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8B7B43" w14:textId="77777777" w:rsidR="008405A0" w:rsidRPr="002D7686" w:rsidRDefault="006A08D5" w:rsidP="00713F3A">
      <w:pPr>
        <w:tabs>
          <w:tab w:val="left" w:pos="2268"/>
        </w:tabs>
        <w:overflowPunct/>
        <w:adjustRightInd/>
        <w:snapToGrid w:val="0"/>
        <w:jc w:val="center"/>
        <w:textAlignment w:val="auto"/>
      </w:pPr>
      <w:r w:rsidRPr="002D7686">
        <w:fldChar w:fldCharType="begin"/>
      </w:r>
      <w:r w:rsidRPr="002D7686">
        <w:instrText xml:space="preserve">  </w:instrText>
      </w:r>
      <w:r w:rsidRPr="002D7686">
        <w:fldChar w:fldCharType="end"/>
      </w:r>
      <w:r w:rsidRPr="002D7686">
        <w:rPr>
          <w:noProof/>
          <w:lang w:val="en-US" w:eastAsia="en-US" w:bidi="ar-SA"/>
        </w:rPr>
        <mc:AlternateContent>
          <mc:Choice Requires="wps">
            <w:drawing>
              <wp:anchor distT="0" distB="0" distL="114300" distR="114300" simplePos="0" relativeHeight="251659264" behindDoc="1" locked="0" layoutInCell="0" allowOverlap="1" wp14:anchorId="2C8B7CBF" wp14:editId="2C8B7CC0">
                <wp:simplePos x="0" y="0"/>
                <wp:positionH relativeFrom="page">
                  <wp:posOffset>6767830</wp:posOffset>
                </wp:positionH>
                <wp:positionV relativeFrom="page">
                  <wp:posOffset>10079990</wp:posOffset>
                </wp:positionV>
                <wp:extent cx="647700" cy="396240"/>
                <wp:effectExtent l="0" t="0" r="0" b="381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B7CD5" w14:textId="77777777" w:rsidR="001808FF" w:rsidRPr="00CA014D" w:rsidRDefault="001808FF" w:rsidP="003415D2">
                            <w:pPr>
                              <w:overflowPunct/>
                              <w:adjustRightInd/>
                              <w:jc w:val="center"/>
                              <w:textAlignment w:val="auto"/>
                              <w:rPr>
                                <w:rFonts w:ascii="Arial" w:hAnsi="Arial" w:cs="Arial"/>
                                <w:b/>
                                <w:sz w:val="48"/>
                              </w:rPr>
                            </w:pPr>
                            <w:r w:rsidRPr="00CA014D">
                              <w:rPr>
                                <w:rFonts w:ascii="Arial" w:hAnsi="Arial"/>
                                <w:b/>
                                <w:sz w:val="48"/>
                              </w:rPr>
                              <w:t>FI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mtQIAALo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D/IEqmtQIA&#10;ALoFAAAOAAAAAAAAAAAAAAAAAC4CAABkcnMvZTJvRG9jLnhtbFBLAQItABQABgAIAAAAIQCBA6l8&#10;4QAAAA8BAAAPAAAAAAAAAAAAAAAAAA8FAABkcnMvZG93bnJldi54bWxQSwUGAAAAAAQABADzAAAA&#10;HQYAAAAA&#10;" o:allowincell="f" filled="f" stroked="f">
                <v:textbox>
                  <w:txbxContent>
                    <w:p w14:paraId="2C8B7CD5" w14:textId="77777777" w:rsidR="001808FF" w:rsidRPr="00CA014D" w:rsidRDefault="001808FF" w:rsidP="003415D2">
                      <w:pPr>
                        <w:overflowPunct/>
                        <w:adjustRightInd/>
                        <w:jc w:val="center"/>
                        <w:textAlignment w:val="auto"/>
                        <w:rPr>
                          <w:rFonts w:ascii="Arial" w:hAnsi="Arial" w:cs="Arial"/>
                          <w:b/>
                          <w:sz w:val="48"/>
                        </w:rPr>
                      </w:pPr>
                      <w:r w:rsidRPr="00CA014D">
                        <w:rPr>
                          <w:rFonts w:ascii="Arial" w:hAnsi="Arial"/>
                          <w:b/>
                          <w:sz w:val="48"/>
                        </w:rPr>
                        <w:t>FI</w:t>
                      </w:r>
                    </w:p>
                  </w:txbxContent>
                </v:textbox>
                <w10:wrap anchorx="page" anchory="page"/>
              </v:shape>
            </w:pict>
          </mc:Fallback>
        </mc:AlternateContent>
      </w:r>
      <w:r w:rsidRPr="002D7686">
        <w:rPr>
          <w:noProof/>
          <w:lang w:val="en-US" w:eastAsia="en-US" w:bidi="ar-SA"/>
        </w:rPr>
        <w:drawing>
          <wp:inline distT="0" distB="0" distL="0" distR="0" wp14:anchorId="2C8B7CC1" wp14:editId="2C8B7CC2">
            <wp:extent cx="87630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563880"/>
                    </a:xfrm>
                    <a:prstGeom prst="rect">
                      <a:avLst/>
                    </a:prstGeom>
                    <a:noFill/>
                    <a:ln>
                      <a:noFill/>
                    </a:ln>
                  </pic:spPr>
                </pic:pic>
              </a:graphicData>
            </a:graphic>
          </wp:inline>
        </w:drawing>
      </w:r>
    </w:p>
    <w:p w14:paraId="2C8B7B44" w14:textId="77777777" w:rsidR="008405A0" w:rsidRPr="002D7686" w:rsidRDefault="00876D7B" w:rsidP="00713F3A">
      <w:pPr>
        <w:tabs>
          <w:tab w:val="left" w:pos="2268"/>
        </w:tabs>
        <w:overflowPunct/>
        <w:adjustRightInd/>
        <w:snapToGrid w:val="0"/>
        <w:jc w:val="center"/>
        <w:textAlignment w:val="auto"/>
        <w:rPr>
          <w:rFonts w:ascii="Arial" w:eastAsia="MS Mincho" w:hAnsi="Arial" w:cs="Arial"/>
          <w:b/>
          <w:i/>
          <w:sz w:val="20"/>
        </w:rPr>
      </w:pPr>
      <w:r w:rsidRPr="002D7686">
        <w:rPr>
          <w:rFonts w:ascii="Arial" w:hAnsi="Arial"/>
          <w:b/>
          <w:i/>
          <w:sz w:val="20"/>
        </w:rPr>
        <w:t>Euroopan talous- ja sosiaalikomitea</w:t>
      </w:r>
    </w:p>
    <w:p w14:paraId="2C8B7B45" w14:textId="77777777" w:rsidR="008405A0" w:rsidRPr="002D7686" w:rsidRDefault="008405A0" w:rsidP="00713F3A">
      <w:pPr>
        <w:tabs>
          <w:tab w:val="left" w:pos="2268"/>
        </w:tabs>
        <w:overflowPunct/>
        <w:adjustRightInd/>
        <w:snapToGrid w:val="0"/>
        <w:textAlignment w:val="auto"/>
      </w:pPr>
    </w:p>
    <w:p w14:paraId="2C8B7B46" w14:textId="77777777" w:rsidR="008405A0" w:rsidRPr="002D7686" w:rsidRDefault="008405A0" w:rsidP="00713F3A">
      <w:pPr>
        <w:tabs>
          <w:tab w:val="left" w:pos="2268"/>
        </w:tabs>
        <w:overflowPunct/>
        <w:adjustRightInd/>
        <w:snapToGrid w:val="0"/>
        <w:textAlignment w:val="auto"/>
      </w:pPr>
    </w:p>
    <w:p w14:paraId="2C8B7B47" w14:textId="51C28F53" w:rsidR="008405A0" w:rsidRPr="002D7686" w:rsidRDefault="00FC0B2C" w:rsidP="00713F3A">
      <w:pPr>
        <w:tabs>
          <w:tab w:val="left" w:pos="2268"/>
        </w:tabs>
        <w:overflowPunct/>
        <w:adjustRightInd/>
        <w:snapToGrid w:val="0"/>
        <w:jc w:val="right"/>
        <w:textAlignment w:val="auto"/>
        <w:rPr>
          <w:rFonts w:eastAsia="MS Mincho"/>
        </w:rPr>
      </w:pPr>
      <w:r w:rsidRPr="002D7686">
        <w:t xml:space="preserve">Bryssel </w:t>
      </w:r>
      <w:r w:rsidR="00144263">
        <w:t>1</w:t>
      </w:r>
      <w:r w:rsidR="00FF2A31">
        <w:t>8</w:t>
      </w:r>
      <w:r w:rsidRPr="002D7686">
        <w:t xml:space="preserve">. </w:t>
      </w:r>
      <w:r w:rsidR="00144263">
        <w:t>kesä</w:t>
      </w:r>
      <w:r w:rsidRPr="002D7686">
        <w:t>kuuta 2018</w:t>
      </w:r>
    </w:p>
    <w:p w14:paraId="2C8B7B48" w14:textId="77777777" w:rsidR="008405A0" w:rsidRPr="002D7686" w:rsidRDefault="008405A0" w:rsidP="00713F3A">
      <w:pPr>
        <w:tabs>
          <w:tab w:val="left" w:pos="2268"/>
        </w:tabs>
        <w:overflowPunct/>
        <w:adjustRightInd/>
        <w:snapToGrid w:val="0"/>
        <w:textAlignment w:val="auto"/>
      </w:pPr>
    </w:p>
    <w:p w14:paraId="2C8B7B49" w14:textId="77777777" w:rsidR="008405A0" w:rsidRPr="002D7686" w:rsidRDefault="008405A0" w:rsidP="00713F3A">
      <w:pPr>
        <w:tabs>
          <w:tab w:val="left" w:pos="2268"/>
        </w:tabs>
        <w:overflowPunct/>
        <w:adjustRightInd/>
        <w:snapToGrid w:val="0"/>
        <w:textAlignment w:val="auto"/>
      </w:pPr>
    </w:p>
    <w:p w14:paraId="2C8B7B4A" w14:textId="77777777" w:rsidR="00AF6F3E" w:rsidRPr="002D7686" w:rsidRDefault="00AF6F3E" w:rsidP="00713F3A">
      <w:pPr>
        <w:tabs>
          <w:tab w:val="left" w:pos="2268"/>
        </w:tabs>
        <w:overflowPunct/>
        <w:adjustRightInd/>
        <w:snapToGrid w:val="0"/>
        <w:textAlignment w:val="auto"/>
      </w:pPr>
    </w:p>
    <w:p w14:paraId="2C8B7B4B" w14:textId="77777777" w:rsidR="006819C8" w:rsidRPr="002D7686" w:rsidRDefault="006819C8" w:rsidP="00713F3A">
      <w:pPr>
        <w:tabs>
          <w:tab w:val="left" w:pos="2268"/>
        </w:tabs>
        <w:overflowPunct/>
        <w:adjustRightInd/>
        <w:snapToGrid w:val="0"/>
        <w:textAlignment w:val="auto"/>
      </w:pPr>
    </w:p>
    <w:tbl>
      <w:tblPr>
        <w:tblW w:w="0" w:type="auto"/>
        <w:tblLayout w:type="fixed"/>
        <w:tblLook w:val="0000" w:firstRow="0" w:lastRow="0" w:firstColumn="0" w:lastColumn="0" w:noHBand="0" w:noVBand="0"/>
      </w:tblPr>
      <w:tblGrid>
        <w:gridCol w:w="9289"/>
      </w:tblGrid>
      <w:tr w:rsidR="008405A0" w:rsidRPr="002D7686" w14:paraId="2C8B7B4F" w14:textId="77777777" w:rsidTr="00A72D7A">
        <w:tc>
          <w:tcPr>
            <w:tcW w:w="9289" w:type="dxa"/>
            <w:tcBorders>
              <w:top w:val="nil"/>
              <w:left w:val="nil"/>
              <w:bottom w:val="double" w:sz="4" w:space="0" w:color="auto"/>
              <w:right w:val="nil"/>
            </w:tcBorders>
          </w:tcPr>
          <w:p w14:paraId="2C8B7B4C" w14:textId="5B60E073" w:rsidR="008405A0" w:rsidRPr="002D7686" w:rsidRDefault="00144263" w:rsidP="00713F3A">
            <w:pPr>
              <w:tabs>
                <w:tab w:val="left" w:pos="2268"/>
              </w:tabs>
              <w:overflowPunct/>
              <w:adjustRightInd/>
              <w:snapToGrid w:val="0"/>
              <w:jc w:val="center"/>
              <w:textAlignment w:val="auto"/>
              <w:rPr>
                <w:rFonts w:eastAsia="MS Mincho"/>
                <w:b/>
                <w:sz w:val="32"/>
              </w:rPr>
            </w:pPr>
            <w:r>
              <w:rPr>
                <w:b/>
                <w:sz w:val="32"/>
              </w:rPr>
              <w:t xml:space="preserve">TÄYSISTUNNOSSA </w:t>
            </w:r>
            <w:r>
              <w:rPr>
                <w:b/>
                <w:sz w:val="32"/>
              </w:rPr>
              <w:br/>
            </w:r>
            <w:r>
              <w:rPr>
                <w:b/>
                <w:sz w:val="32"/>
              </w:rPr>
              <w:br/>
              <w:t>23</w:t>
            </w:r>
            <w:r w:rsidR="00FC0B2C" w:rsidRPr="002D7686">
              <w:rPr>
                <w:b/>
                <w:sz w:val="32"/>
              </w:rPr>
              <w:t xml:space="preserve">. JA </w:t>
            </w:r>
            <w:r>
              <w:rPr>
                <w:b/>
                <w:sz w:val="32"/>
              </w:rPr>
              <w:t>24</w:t>
            </w:r>
            <w:r w:rsidR="00FC0B2C" w:rsidRPr="002D7686">
              <w:rPr>
                <w:b/>
                <w:sz w:val="32"/>
              </w:rPr>
              <w:t xml:space="preserve">. </w:t>
            </w:r>
            <w:proofErr w:type="gramStart"/>
            <w:r w:rsidR="00405D8C" w:rsidRPr="002D7686">
              <w:rPr>
                <w:b/>
                <w:sz w:val="32"/>
              </w:rPr>
              <w:t>T</w:t>
            </w:r>
            <w:r>
              <w:rPr>
                <w:b/>
                <w:sz w:val="32"/>
              </w:rPr>
              <w:t>OUKO</w:t>
            </w:r>
            <w:r w:rsidR="00FC0B2C" w:rsidRPr="002D7686">
              <w:rPr>
                <w:b/>
                <w:sz w:val="32"/>
              </w:rPr>
              <w:t xml:space="preserve">KUUTA 2018 </w:t>
            </w:r>
            <w:r w:rsidR="00FC0B2C" w:rsidRPr="002D7686">
              <w:rPr>
                <w:b/>
                <w:sz w:val="32"/>
              </w:rPr>
              <w:br/>
            </w:r>
            <w:r w:rsidR="00FC0B2C" w:rsidRPr="002D7686">
              <w:rPr>
                <w:b/>
                <w:sz w:val="32"/>
              </w:rPr>
              <w:br/>
              <w:t>ANNETUT LAUSUNNOT</w:t>
            </w:r>
            <w:proofErr w:type="gramEnd"/>
          </w:p>
          <w:p w14:paraId="2C8B7B4D" w14:textId="77777777" w:rsidR="008405A0" w:rsidRPr="002D7686" w:rsidRDefault="008405A0" w:rsidP="00713F3A">
            <w:pPr>
              <w:tabs>
                <w:tab w:val="left" w:pos="2268"/>
              </w:tabs>
              <w:overflowPunct/>
              <w:adjustRightInd/>
              <w:textAlignment w:val="auto"/>
            </w:pPr>
          </w:p>
          <w:p w14:paraId="2C8B7B4E" w14:textId="77777777" w:rsidR="008405A0" w:rsidRPr="002D7686" w:rsidRDefault="008405A0" w:rsidP="00713F3A">
            <w:pPr>
              <w:tabs>
                <w:tab w:val="left" w:pos="2268"/>
              </w:tabs>
              <w:overflowPunct/>
              <w:adjustRightInd/>
              <w:textAlignment w:val="auto"/>
              <w:rPr>
                <w:szCs w:val="22"/>
              </w:rPr>
            </w:pPr>
          </w:p>
        </w:tc>
      </w:tr>
      <w:tr w:rsidR="008405A0" w:rsidRPr="002D7686" w14:paraId="2C8B7B5A" w14:textId="77777777" w:rsidTr="00A72D7A">
        <w:tc>
          <w:tcPr>
            <w:tcW w:w="9289" w:type="dxa"/>
            <w:tcBorders>
              <w:top w:val="double" w:sz="4" w:space="0" w:color="auto"/>
              <w:left w:val="double" w:sz="4" w:space="0" w:color="auto"/>
              <w:bottom w:val="double" w:sz="4" w:space="0" w:color="auto"/>
              <w:right w:val="double" w:sz="4" w:space="0" w:color="auto"/>
            </w:tcBorders>
          </w:tcPr>
          <w:p w14:paraId="2C8B7B50" w14:textId="77777777" w:rsidR="00FF15DA" w:rsidRPr="002D7686" w:rsidRDefault="00FF15DA" w:rsidP="00713F3A">
            <w:pPr>
              <w:tabs>
                <w:tab w:val="left" w:pos="2268"/>
              </w:tabs>
              <w:overflowPunct/>
              <w:adjustRightInd/>
              <w:snapToGrid w:val="0"/>
              <w:jc w:val="center"/>
              <w:textAlignment w:val="auto"/>
              <w:rPr>
                <w:b/>
              </w:rPr>
            </w:pPr>
          </w:p>
          <w:p w14:paraId="2C8B7B51" w14:textId="77777777" w:rsidR="00FC0B2C" w:rsidRPr="002D7686" w:rsidRDefault="00FC0B2C" w:rsidP="00713F3A">
            <w:pPr>
              <w:tabs>
                <w:tab w:val="left" w:pos="2268"/>
              </w:tabs>
              <w:overflowPunct/>
              <w:adjustRightInd/>
              <w:snapToGrid w:val="0"/>
              <w:jc w:val="center"/>
              <w:textAlignment w:val="auto"/>
              <w:rPr>
                <w:rFonts w:eastAsia="MS Mincho"/>
                <w:b/>
              </w:rPr>
            </w:pPr>
            <w:r w:rsidRPr="002D7686">
              <w:rPr>
                <w:b/>
              </w:rPr>
              <w:t>Tämä asiakirja on saatavana unionin virallisilla kielillä komitean internetsivuilla osoitteessa</w:t>
            </w:r>
          </w:p>
          <w:p w14:paraId="2C8B7B52" w14:textId="77777777" w:rsidR="00FC0B2C" w:rsidRPr="002D7686" w:rsidRDefault="00FC0B2C" w:rsidP="00713F3A">
            <w:pPr>
              <w:tabs>
                <w:tab w:val="left" w:pos="2268"/>
              </w:tabs>
              <w:overflowPunct/>
              <w:adjustRightInd/>
              <w:snapToGrid w:val="0"/>
              <w:jc w:val="center"/>
              <w:textAlignment w:val="auto"/>
              <w:rPr>
                <w:b/>
              </w:rPr>
            </w:pPr>
          </w:p>
          <w:p w14:paraId="2C8B7B53" w14:textId="77777777" w:rsidR="00FC0B2C" w:rsidRPr="002D7686" w:rsidRDefault="00C819D6" w:rsidP="00713F3A">
            <w:pPr>
              <w:tabs>
                <w:tab w:val="left" w:pos="2268"/>
              </w:tabs>
              <w:overflowPunct/>
              <w:adjustRightInd/>
              <w:jc w:val="center"/>
              <w:textAlignment w:val="auto"/>
              <w:rPr>
                <w:rStyle w:val="Hyperlink"/>
                <w:b/>
              </w:rPr>
            </w:pPr>
            <w:hyperlink r:id="rId14">
              <w:r w:rsidR="00073040" w:rsidRPr="002D7686">
                <w:rPr>
                  <w:rStyle w:val="Hyperlink"/>
                </w:rPr>
                <w:t>http://www.eesc.europa.eu/en/our-work/opinions-information-reports/plenary-session-summaries</w:t>
              </w:r>
            </w:hyperlink>
          </w:p>
          <w:p w14:paraId="2C8B7B54" w14:textId="77777777" w:rsidR="00FC0B2C" w:rsidRPr="002D7686" w:rsidRDefault="00FC0B2C" w:rsidP="00713F3A">
            <w:pPr>
              <w:tabs>
                <w:tab w:val="left" w:pos="2268"/>
              </w:tabs>
              <w:overflowPunct/>
              <w:adjustRightInd/>
              <w:snapToGrid w:val="0"/>
              <w:jc w:val="center"/>
              <w:textAlignment w:val="auto"/>
              <w:rPr>
                <w:b/>
              </w:rPr>
            </w:pPr>
          </w:p>
          <w:p w14:paraId="2C8B7B55" w14:textId="77777777" w:rsidR="00FC0B2C" w:rsidRPr="002D7686" w:rsidRDefault="00FC0B2C" w:rsidP="00713F3A">
            <w:pPr>
              <w:tabs>
                <w:tab w:val="left" w:pos="2268"/>
              </w:tabs>
              <w:overflowPunct/>
              <w:adjustRightInd/>
              <w:snapToGrid w:val="0"/>
              <w:jc w:val="center"/>
              <w:textAlignment w:val="auto"/>
              <w:rPr>
                <w:rFonts w:eastAsia="SimSun"/>
                <w:b/>
              </w:rPr>
            </w:pPr>
          </w:p>
          <w:p w14:paraId="2C8B7B56" w14:textId="77777777" w:rsidR="00FC0B2C" w:rsidRPr="002D7686" w:rsidRDefault="00FC0B2C" w:rsidP="00713F3A">
            <w:pPr>
              <w:tabs>
                <w:tab w:val="left" w:pos="2268"/>
              </w:tabs>
              <w:overflowPunct/>
              <w:adjustRightInd/>
              <w:snapToGrid w:val="0"/>
              <w:jc w:val="center"/>
              <w:textAlignment w:val="auto"/>
              <w:rPr>
                <w:rFonts w:eastAsia="MS Mincho"/>
                <w:b/>
              </w:rPr>
            </w:pPr>
            <w:r w:rsidRPr="002D7686">
              <w:rPr>
                <w:b/>
              </w:rPr>
              <w:t>Mainitut lausunnot ovat haettavissa sähköisessä muodossa komitean hakukoneella</w:t>
            </w:r>
          </w:p>
          <w:p w14:paraId="2C8B7B57" w14:textId="77777777" w:rsidR="00FC0B2C" w:rsidRPr="002D7686" w:rsidRDefault="00FC0B2C" w:rsidP="00713F3A">
            <w:pPr>
              <w:tabs>
                <w:tab w:val="left" w:pos="2268"/>
              </w:tabs>
              <w:overflowPunct/>
              <w:adjustRightInd/>
              <w:snapToGrid w:val="0"/>
              <w:jc w:val="center"/>
              <w:textAlignment w:val="auto"/>
              <w:rPr>
                <w:b/>
              </w:rPr>
            </w:pPr>
          </w:p>
          <w:p w14:paraId="2C8B7B58" w14:textId="77777777" w:rsidR="00FC0B2C" w:rsidRPr="002D7686" w:rsidRDefault="00C819D6" w:rsidP="00713F3A">
            <w:pPr>
              <w:tabs>
                <w:tab w:val="left" w:pos="2268"/>
              </w:tabs>
              <w:overflowPunct/>
              <w:adjustRightInd/>
              <w:jc w:val="center"/>
              <w:textAlignment w:val="auto"/>
              <w:rPr>
                <w:rStyle w:val="Hyperlink"/>
                <w:b/>
              </w:rPr>
            </w:pPr>
            <w:hyperlink r:id="rId15">
              <w:r w:rsidR="00073040" w:rsidRPr="002D7686">
                <w:rPr>
                  <w:rStyle w:val="Hyperlink"/>
                </w:rPr>
                <w:t>http://dm.eesc.europa.eu/EESCDocumentSearch/Pages/opinionssearch.aspx</w:t>
              </w:r>
            </w:hyperlink>
          </w:p>
          <w:p w14:paraId="2C8B7B59" w14:textId="77777777" w:rsidR="008405A0" w:rsidRPr="002D7686" w:rsidRDefault="008405A0" w:rsidP="00713F3A">
            <w:pPr>
              <w:tabs>
                <w:tab w:val="left" w:pos="2268"/>
              </w:tabs>
              <w:overflowPunct/>
              <w:adjustRightInd/>
              <w:snapToGrid w:val="0"/>
              <w:jc w:val="center"/>
              <w:textAlignment w:val="auto"/>
              <w:rPr>
                <w:b/>
                <w:bCs/>
                <w:szCs w:val="22"/>
              </w:rPr>
            </w:pPr>
          </w:p>
        </w:tc>
      </w:tr>
    </w:tbl>
    <w:p w14:paraId="2C8B7B5B" w14:textId="77777777" w:rsidR="008F7791" w:rsidRPr="002D7686" w:rsidRDefault="008F7791" w:rsidP="00713F3A">
      <w:pPr>
        <w:tabs>
          <w:tab w:val="left" w:pos="2268"/>
        </w:tabs>
        <w:overflowPunct/>
        <w:adjustRightInd/>
        <w:textAlignment w:val="auto"/>
        <w:rPr>
          <w:rFonts w:eastAsia="SimSun"/>
        </w:rPr>
      </w:pPr>
    </w:p>
    <w:p w14:paraId="2C8B7B5C" w14:textId="77777777" w:rsidR="00A9340A" w:rsidRPr="002D7686" w:rsidRDefault="00A9340A" w:rsidP="00713F3A">
      <w:pPr>
        <w:tabs>
          <w:tab w:val="left" w:pos="2268"/>
        </w:tabs>
        <w:overflowPunct/>
        <w:adjustRightInd/>
        <w:textAlignment w:val="auto"/>
        <w:rPr>
          <w:rFonts w:eastAsia="SimSun"/>
        </w:rPr>
        <w:sectPr w:rsidR="00A9340A" w:rsidRPr="002D7686" w:rsidSect="00CA014D">
          <w:footerReference w:type="default" r:id="rId16"/>
          <w:type w:val="continuous"/>
          <w:pgSz w:w="11907" w:h="16839"/>
          <w:pgMar w:top="1417" w:right="1417" w:bottom="1417" w:left="1417" w:header="709" w:footer="709" w:gutter="0"/>
          <w:pgNumType w:start="1"/>
          <w:cols w:space="708"/>
          <w:docGrid w:linePitch="299"/>
        </w:sectPr>
      </w:pPr>
    </w:p>
    <w:p w14:paraId="2C8B7B5D" w14:textId="77777777" w:rsidR="008405A0" w:rsidRPr="002D7686" w:rsidRDefault="00876D7B" w:rsidP="00713F3A">
      <w:pPr>
        <w:tabs>
          <w:tab w:val="left" w:pos="2268"/>
        </w:tabs>
        <w:overflowPunct/>
        <w:adjustRightInd/>
        <w:snapToGrid w:val="0"/>
        <w:textAlignment w:val="auto"/>
        <w:rPr>
          <w:b/>
        </w:rPr>
      </w:pPr>
      <w:r w:rsidRPr="002D7686">
        <w:rPr>
          <w:b/>
        </w:rPr>
        <w:lastRenderedPageBreak/>
        <w:t>Sisällysluettelo</w:t>
      </w:r>
    </w:p>
    <w:p w14:paraId="2C8B7B5E" w14:textId="77777777" w:rsidR="00D16D76" w:rsidRPr="002D7686" w:rsidRDefault="00D16D76" w:rsidP="00713F3A">
      <w:pPr>
        <w:tabs>
          <w:tab w:val="left" w:pos="2268"/>
        </w:tabs>
        <w:overflowPunct/>
        <w:adjustRightInd/>
        <w:textAlignment w:val="auto"/>
      </w:pPr>
    </w:p>
    <w:p w14:paraId="5AB010CB" w14:textId="77777777" w:rsidR="00296032" w:rsidRDefault="00D13D52">
      <w:pPr>
        <w:pStyle w:val="TOC1"/>
        <w:rPr>
          <w:rFonts w:asciiTheme="minorHAnsi" w:eastAsiaTheme="minorEastAsia" w:hAnsiTheme="minorHAnsi" w:cstheme="minorBidi"/>
          <w:noProof/>
          <w:szCs w:val="22"/>
          <w:lang w:val="fr-BE" w:eastAsia="fr-BE" w:bidi="ar-SA"/>
        </w:rPr>
      </w:pPr>
      <w:r w:rsidRPr="002D7686">
        <w:fldChar w:fldCharType="begin"/>
      </w:r>
      <w:r w:rsidRPr="002D7686">
        <w:instrText xml:space="preserve"> TOC \o "1-1" \h \z \u </w:instrText>
      </w:r>
      <w:r w:rsidRPr="002D7686">
        <w:fldChar w:fldCharType="separate"/>
      </w:r>
      <w:hyperlink w:anchor="_Toc514939918" w:history="1">
        <w:r w:rsidR="00296032" w:rsidRPr="00171CF8">
          <w:rPr>
            <w:rStyle w:val="Hyperlink"/>
            <w:caps/>
            <w:noProof/>
          </w:rPr>
          <w:t>1.</w:t>
        </w:r>
        <w:r w:rsidR="00296032">
          <w:rPr>
            <w:rFonts w:asciiTheme="minorHAnsi" w:eastAsiaTheme="minorEastAsia" w:hAnsiTheme="minorHAnsi" w:cstheme="minorBidi"/>
            <w:noProof/>
            <w:szCs w:val="22"/>
            <w:lang w:val="fr-BE" w:eastAsia="fr-BE" w:bidi="ar-SA"/>
          </w:rPr>
          <w:tab/>
        </w:r>
        <w:r w:rsidR="00296032" w:rsidRPr="00171CF8">
          <w:rPr>
            <w:rStyle w:val="Hyperlink"/>
            <w:b/>
            <w:caps/>
            <w:noProof/>
          </w:rPr>
          <w:t>Talous- ja rahaliitto, taloudellinen ja sosiaalinen yhteenkuuluvuus</w:t>
        </w:r>
        <w:r w:rsidR="00296032">
          <w:rPr>
            <w:noProof/>
            <w:webHidden/>
          </w:rPr>
          <w:tab/>
        </w:r>
        <w:r w:rsidR="00296032">
          <w:rPr>
            <w:noProof/>
            <w:webHidden/>
          </w:rPr>
          <w:fldChar w:fldCharType="begin"/>
        </w:r>
        <w:r w:rsidR="00296032">
          <w:rPr>
            <w:noProof/>
            <w:webHidden/>
          </w:rPr>
          <w:instrText xml:space="preserve"> PAGEREF _Toc514939918 \h </w:instrText>
        </w:r>
        <w:r w:rsidR="00296032">
          <w:rPr>
            <w:noProof/>
            <w:webHidden/>
          </w:rPr>
        </w:r>
        <w:r w:rsidR="00296032">
          <w:rPr>
            <w:noProof/>
            <w:webHidden/>
          </w:rPr>
          <w:fldChar w:fldCharType="separate"/>
        </w:r>
        <w:r w:rsidR="00C819D6">
          <w:rPr>
            <w:noProof/>
            <w:webHidden/>
          </w:rPr>
          <w:t>3</w:t>
        </w:r>
        <w:r w:rsidR="00296032">
          <w:rPr>
            <w:noProof/>
            <w:webHidden/>
          </w:rPr>
          <w:fldChar w:fldCharType="end"/>
        </w:r>
      </w:hyperlink>
    </w:p>
    <w:p w14:paraId="2F8131FC" w14:textId="77777777" w:rsidR="00296032" w:rsidRDefault="00C819D6">
      <w:pPr>
        <w:pStyle w:val="TOC1"/>
        <w:rPr>
          <w:rFonts w:asciiTheme="minorHAnsi" w:eastAsiaTheme="minorEastAsia" w:hAnsiTheme="minorHAnsi" w:cstheme="minorBidi"/>
          <w:noProof/>
          <w:szCs w:val="22"/>
          <w:lang w:val="fr-BE" w:eastAsia="fr-BE" w:bidi="ar-SA"/>
        </w:rPr>
      </w:pPr>
      <w:hyperlink w:anchor="_Toc514939919" w:history="1">
        <w:r w:rsidR="00296032" w:rsidRPr="00171CF8">
          <w:rPr>
            <w:rStyle w:val="Hyperlink"/>
            <w:caps/>
            <w:noProof/>
          </w:rPr>
          <w:t>2.</w:t>
        </w:r>
        <w:r w:rsidR="00296032">
          <w:rPr>
            <w:rFonts w:asciiTheme="minorHAnsi" w:eastAsiaTheme="minorEastAsia" w:hAnsiTheme="minorHAnsi" w:cstheme="minorBidi"/>
            <w:noProof/>
            <w:szCs w:val="22"/>
            <w:lang w:val="fr-BE" w:eastAsia="fr-BE" w:bidi="ar-SA"/>
          </w:rPr>
          <w:tab/>
        </w:r>
        <w:r w:rsidR="00296032" w:rsidRPr="00171CF8">
          <w:rPr>
            <w:rStyle w:val="Hyperlink"/>
            <w:b/>
            <w:caps/>
            <w:noProof/>
          </w:rPr>
          <w:t>Yhtenäismarkkinat, tuotanto ja kulutus</w:t>
        </w:r>
        <w:r w:rsidR="00296032">
          <w:rPr>
            <w:noProof/>
            <w:webHidden/>
          </w:rPr>
          <w:tab/>
        </w:r>
        <w:r w:rsidR="00296032">
          <w:rPr>
            <w:noProof/>
            <w:webHidden/>
          </w:rPr>
          <w:fldChar w:fldCharType="begin"/>
        </w:r>
        <w:r w:rsidR="00296032">
          <w:rPr>
            <w:noProof/>
            <w:webHidden/>
          </w:rPr>
          <w:instrText xml:space="preserve"> PAGEREF _Toc514939919 \h </w:instrText>
        </w:r>
        <w:r w:rsidR="00296032">
          <w:rPr>
            <w:noProof/>
            <w:webHidden/>
          </w:rPr>
        </w:r>
        <w:r w:rsidR="00296032">
          <w:rPr>
            <w:noProof/>
            <w:webHidden/>
          </w:rPr>
          <w:fldChar w:fldCharType="separate"/>
        </w:r>
        <w:r>
          <w:rPr>
            <w:noProof/>
            <w:webHidden/>
          </w:rPr>
          <w:t>4</w:t>
        </w:r>
        <w:r w:rsidR="00296032">
          <w:rPr>
            <w:noProof/>
            <w:webHidden/>
          </w:rPr>
          <w:fldChar w:fldCharType="end"/>
        </w:r>
      </w:hyperlink>
    </w:p>
    <w:p w14:paraId="0A675C27" w14:textId="77777777" w:rsidR="00296032" w:rsidRDefault="00C819D6">
      <w:pPr>
        <w:pStyle w:val="TOC1"/>
        <w:rPr>
          <w:rFonts w:asciiTheme="minorHAnsi" w:eastAsiaTheme="minorEastAsia" w:hAnsiTheme="minorHAnsi" w:cstheme="minorBidi"/>
          <w:noProof/>
          <w:szCs w:val="22"/>
          <w:lang w:val="fr-BE" w:eastAsia="fr-BE" w:bidi="ar-SA"/>
        </w:rPr>
      </w:pPr>
      <w:hyperlink w:anchor="_Toc514939920" w:history="1">
        <w:r w:rsidR="00296032" w:rsidRPr="00171CF8">
          <w:rPr>
            <w:rStyle w:val="Hyperlink"/>
            <w:caps/>
            <w:noProof/>
          </w:rPr>
          <w:t>3.</w:t>
        </w:r>
        <w:r w:rsidR="00296032">
          <w:rPr>
            <w:rFonts w:asciiTheme="minorHAnsi" w:eastAsiaTheme="minorEastAsia" w:hAnsiTheme="minorHAnsi" w:cstheme="minorBidi"/>
            <w:noProof/>
            <w:szCs w:val="22"/>
            <w:lang w:val="fr-BE" w:eastAsia="fr-BE" w:bidi="ar-SA"/>
          </w:rPr>
          <w:tab/>
        </w:r>
        <w:r w:rsidR="00296032" w:rsidRPr="00171CF8">
          <w:rPr>
            <w:rStyle w:val="Hyperlink"/>
            <w:b/>
            <w:caps/>
            <w:noProof/>
          </w:rPr>
          <w:t>LIIKENNE, ENERGIA, INFRASTRUKTUURI JA TIETOYHTEISKUNTA</w:t>
        </w:r>
        <w:r w:rsidR="00296032">
          <w:rPr>
            <w:noProof/>
            <w:webHidden/>
          </w:rPr>
          <w:tab/>
        </w:r>
        <w:r w:rsidR="00296032">
          <w:rPr>
            <w:noProof/>
            <w:webHidden/>
          </w:rPr>
          <w:fldChar w:fldCharType="begin"/>
        </w:r>
        <w:r w:rsidR="00296032">
          <w:rPr>
            <w:noProof/>
            <w:webHidden/>
          </w:rPr>
          <w:instrText xml:space="preserve"> PAGEREF _Toc514939920 \h </w:instrText>
        </w:r>
        <w:r w:rsidR="00296032">
          <w:rPr>
            <w:noProof/>
            <w:webHidden/>
          </w:rPr>
        </w:r>
        <w:r w:rsidR="00296032">
          <w:rPr>
            <w:noProof/>
            <w:webHidden/>
          </w:rPr>
          <w:fldChar w:fldCharType="separate"/>
        </w:r>
        <w:r>
          <w:rPr>
            <w:noProof/>
            <w:webHidden/>
          </w:rPr>
          <w:t>6</w:t>
        </w:r>
        <w:r w:rsidR="00296032">
          <w:rPr>
            <w:noProof/>
            <w:webHidden/>
          </w:rPr>
          <w:fldChar w:fldCharType="end"/>
        </w:r>
      </w:hyperlink>
    </w:p>
    <w:p w14:paraId="3A470236" w14:textId="77777777" w:rsidR="00296032" w:rsidRDefault="00C819D6">
      <w:pPr>
        <w:pStyle w:val="TOC1"/>
        <w:rPr>
          <w:rFonts w:asciiTheme="minorHAnsi" w:eastAsiaTheme="minorEastAsia" w:hAnsiTheme="minorHAnsi" w:cstheme="minorBidi"/>
          <w:noProof/>
          <w:szCs w:val="22"/>
          <w:lang w:val="fr-BE" w:eastAsia="fr-BE" w:bidi="ar-SA"/>
        </w:rPr>
      </w:pPr>
      <w:hyperlink w:anchor="_Toc514939921" w:history="1">
        <w:r w:rsidR="00296032" w:rsidRPr="00171CF8">
          <w:rPr>
            <w:rStyle w:val="Hyperlink"/>
            <w:caps/>
            <w:noProof/>
          </w:rPr>
          <w:t>4.</w:t>
        </w:r>
        <w:r w:rsidR="00296032">
          <w:rPr>
            <w:rFonts w:asciiTheme="minorHAnsi" w:eastAsiaTheme="minorEastAsia" w:hAnsiTheme="minorHAnsi" w:cstheme="minorBidi"/>
            <w:noProof/>
            <w:szCs w:val="22"/>
            <w:lang w:val="fr-BE" w:eastAsia="fr-BE" w:bidi="ar-SA"/>
          </w:rPr>
          <w:tab/>
        </w:r>
        <w:r w:rsidR="00296032" w:rsidRPr="00171CF8">
          <w:rPr>
            <w:rStyle w:val="Hyperlink"/>
            <w:b/>
            <w:caps/>
            <w:noProof/>
          </w:rPr>
          <w:t>Ulkosuhteet</w:t>
        </w:r>
        <w:r w:rsidR="00296032">
          <w:rPr>
            <w:noProof/>
            <w:webHidden/>
          </w:rPr>
          <w:tab/>
        </w:r>
        <w:r w:rsidR="00296032">
          <w:rPr>
            <w:noProof/>
            <w:webHidden/>
          </w:rPr>
          <w:fldChar w:fldCharType="begin"/>
        </w:r>
        <w:r w:rsidR="00296032">
          <w:rPr>
            <w:noProof/>
            <w:webHidden/>
          </w:rPr>
          <w:instrText xml:space="preserve"> PAGEREF _Toc514939921 \h </w:instrText>
        </w:r>
        <w:r w:rsidR="00296032">
          <w:rPr>
            <w:noProof/>
            <w:webHidden/>
          </w:rPr>
        </w:r>
        <w:r w:rsidR="00296032">
          <w:rPr>
            <w:noProof/>
            <w:webHidden/>
          </w:rPr>
          <w:fldChar w:fldCharType="separate"/>
        </w:r>
        <w:r>
          <w:rPr>
            <w:noProof/>
            <w:webHidden/>
          </w:rPr>
          <w:t>7</w:t>
        </w:r>
        <w:r w:rsidR="00296032">
          <w:rPr>
            <w:noProof/>
            <w:webHidden/>
          </w:rPr>
          <w:fldChar w:fldCharType="end"/>
        </w:r>
      </w:hyperlink>
    </w:p>
    <w:p w14:paraId="512C9461" w14:textId="77777777" w:rsidR="00296032" w:rsidRDefault="00C819D6">
      <w:pPr>
        <w:pStyle w:val="TOC1"/>
        <w:rPr>
          <w:rFonts w:asciiTheme="minorHAnsi" w:eastAsiaTheme="minorEastAsia" w:hAnsiTheme="minorHAnsi" w:cstheme="minorBidi"/>
          <w:noProof/>
          <w:szCs w:val="22"/>
          <w:lang w:val="fr-BE" w:eastAsia="fr-BE" w:bidi="ar-SA"/>
        </w:rPr>
      </w:pPr>
      <w:hyperlink w:anchor="_Toc514939922" w:history="1">
        <w:r w:rsidR="00296032" w:rsidRPr="00171CF8">
          <w:rPr>
            <w:rStyle w:val="Hyperlink"/>
            <w:caps/>
            <w:noProof/>
          </w:rPr>
          <w:t>5.</w:t>
        </w:r>
        <w:r w:rsidR="00296032">
          <w:rPr>
            <w:rFonts w:asciiTheme="minorHAnsi" w:eastAsiaTheme="minorEastAsia" w:hAnsiTheme="minorHAnsi" w:cstheme="minorBidi"/>
            <w:noProof/>
            <w:szCs w:val="22"/>
            <w:lang w:val="fr-BE" w:eastAsia="fr-BE" w:bidi="ar-SA"/>
          </w:rPr>
          <w:tab/>
        </w:r>
        <w:r w:rsidR="00296032" w:rsidRPr="00171CF8">
          <w:rPr>
            <w:rStyle w:val="Hyperlink"/>
            <w:b/>
            <w:caps/>
            <w:noProof/>
          </w:rPr>
          <w:t>MAATALOUS, MAASEUDUN KEHITTYMINEN JA YMPÄRISTÖ</w:t>
        </w:r>
        <w:r w:rsidR="00296032">
          <w:rPr>
            <w:noProof/>
            <w:webHidden/>
          </w:rPr>
          <w:tab/>
        </w:r>
        <w:r w:rsidR="00296032">
          <w:rPr>
            <w:noProof/>
            <w:webHidden/>
          </w:rPr>
          <w:fldChar w:fldCharType="begin"/>
        </w:r>
        <w:r w:rsidR="00296032">
          <w:rPr>
            <w:noProof/>
            <w:webHidden/>
          </w:rPr>
          <w:instrText xml:space="preserve"> PAGEREF _Toc514939922 \h </w:instrText>
        </w:r>
        <w:r w:rsidR="00296032">
          <w:rPr>
            <w:noProof/>
            <w:webHidden/>
          </w:rPr>
        </w:r>
        <w:r w:rsidR="00296032">
          <w:rPr>
            <w:noProof/>
            <w:webHidden/>
          </w:rPr>
          <w:fldChar w:fldCharType="separate"/>
        </w:r>
        <w:r>
          <w:rPr>
            <w:noProof/>
            <w:webHidden/>
          </w:rPr>
          <w:t>9</w:t>
        </w:r>
        <w:r w:rsidR="00296032">
          <w:rPr>
            <w:noProof/>
            <w:webHidden/>
          </w:rPr>
          <w:fldChar w:fldCharType="end"/>
        </w:r>
      </w:hyperlink>
    </w:p>
    <w:p w14:paraId="36452102" w14:textId="77777777" w:rsidR="00296032" w:rsidRDefault="00C819D6">
      <w:pPr>
        <w:pStyle w:val="TOC1"/>
        <w:rPr>
          <w:rFonts w:asciiTheme="minorHAnsi" w:eastAsiaTheme="minorEastAsia" w:hAnsiTheme="minorHAnsi" w:cstheme="minorBidi"/>
          <w:noProof/>
          <w:szCs w:val="22"/>
          <w:lang w:val="fr-BE" w:eastAsia="fr-BE" w:bidi="ar-SA"/>
        </w:rPr>
      </w:pPr>
      <w:hyperlink w:anchor="_Toc514939923" w:history="1">
        <w:r w:rsidR="00296032" w:rsidRPr="00171CF8">
          <w:rPr>
            <w:rStyle w:val="Hyperlink"/>
            <w:caps/>
            <w:noProof/>
          </w:rPr>
          <w:t>6.</w:t>
        </w:r>
        <w:r w:rsidR="00296032">
          <w:rPr>
            <w:rFonts w:asciiTheme="minorHAnsi" w:eastAsiaTheme="minorEastAsia" w:hAnsiTheme="minorHAnsi" w:cstheme="minorBidi"/>
            <w:noProof/>
            <w:szCs w:val="22"/>
            <w:lang w:val="fr-BE" w:eastAsia="fr-BE" w:bidi="ar-SA"/>
          </w:rPr>
          <w:tab/>
        </w:r>
        <w:r w:rsidR="00296032" w:rsidRPr="00171CF8">
          <w:rPr>
            <w:rStyle w:val="Hyperlink"/>
            <w:b/>
            <w:caps/>
            <w:noProof/>
          </w:rPr>
          <w:t>TYÖLLISYYS, SOSIAALIASIAT JA KANSALAISUUS</w:t>
        </w:r>
        <w:r w:rsidR="00296032">
          <w:rPr>
            <w:noProof/>
            <w:webHidden/>
          </w:rPr>
          <w:tab/>
        </w:r>
        <w:r w:rsidR="00296032">
          <w:rPr>
            <w:noProof/>
            <w:webHidden/>
          </w:rPr>
          <w:fldChar w:fldCharType="begin"/>
        </w:r>
        <w:r w:rsidR="00296032">
          <w:rPr>
            <w:noProof/>
            <w:webHidden/>
          </w:rPr>
          <w:instrText xml:space="preserve"> PAGEREF _Toc514939923 \h </w:instrText>
        </w:r>
        <w:r w:rsidR="00296032">
          <w:rPr>
            <w:noProof/>
            <w:webHidden/>
          </w:rPr>
        </w:r>
        <w:r w:rsidR="00296032">
          <w:rPr>
            <w:noProof/>
            <w:webHidden/>
          </w:rPr>
          <w:fldChar w:fldCharType="separate"/>
        </w:r>
        <w:r>
          <w:rPr>
            <w:noProof/>
            <w:webHidden/>
          </w:rPr>
          <w:t>13</w:t>
        </w:r>
        <w:r w:rsidR="00296032">
          <w:rPr>
            <w:noProof/>
            <w:webHidden/>
          </w:rPr>
          <w:fldChar w:fldCharType="end"/>
        </w:r>
      </w:hyperlink>
    </w:p>
    <w:p w14:paraId="2C8B7B66" w14:textId="77777777" w:rsidR="00DF3D79" w:rsidRPr="002D7686" w:rsidRDefault="00D13D52" w:rsidP="00713F3A">
      <w:pPr>
        <w:pStyle w:val="TOC1"/>
        <w:tabs>
          <w:tab w:val="left" w:pos="2268"/>
        </w:tabs>
        <w:rPr>
          <w:rFonts w:asciiTheme="minorHAnsi" w:eastAsiaTheme="minorEastAsia" w:hAnsiTheme="minorHAnsi" w:cstheme="minorBidi"/>
          <w:szCs w:val="22"/>
        </w:rPr>
      </w:pPr>
      <w:r w:rsidRPr="002D7686">
        <w:rPr>
          <w:rFonts w:asciiTheme="minorHAnsi" w:eastAsiaTheme="minorEastAsia" w:hAnsiTheme="minorHAnsi" w:cstheme="minorBidi"/>
          <w:szCs w:val="22"/>
        </w:rPr>
        <w:fldChar w:fldCharType="end"/>
      </w:r>
      <w:bookmarkStart w:id="0" w:name="_GoBack"/>
      <w:bookmarkEnd w:id="0"/>
    </w:p>
    <w:p w14:paraId="2C8B7B67" w14:textId="77777777" w:rsidR="008405A0" w:rsidRPr="002D7686" w:rsidRDefault="008405A0" w:rsidP="00713F3A">
      <w:pPr>
        <w:tabs>
          <w:tab w:val="left" w:pos="2268"/>
        </w:tabs>
        <w:overflowPunct/>
        <w:adjustRightInd/>
        <w:textAlignment w:val="auto"/>
      </w:pPr>
      <w:r w:rsidRPr="002D7686">
        <w:br w:type="page"/>
      </w:r>
    </w:p>
    <w:p w14:paraId="2C8B7B6A" w14:textId="4B21B9E4" w:rsidR="00421682" w:rsidRPr="002D7686" w:rsidRDefault="00AD7EE7" w:rsidP="00713F3A">
      <w:pPr>
        <w:tabs>
          <w:tab w:val="left" w:pos="2268"/>
        </w:tabs>
        <w:overflowPunct/>
        <w:textAlignment w:val="auto"/>
      </w:pPr>
      <w:r w:rsidRPr="002D7686">
        <w:lastRenderedPageBreak/>
        <w:t>T</w:t>
      </w:r>
      <w:r w:rsidR="00144263">
        <w:t>oukokuun 23. päivänä pidetyssä t</w:t>
      </w:r>
      <w:r w:rsidRPr="002D7686">
        <w:t>äysistunnossa hyväksyttiin seuraavat lausunnot:</w:t>
      </w:r>
    </w:p>
    <w:p w14:paraId="2C8B7B6B" w14:textId="77777777" w:rsidR="00A43397" w:rsidRPr="002D7686" w:rsidRDefault="00A43397" w:rsidP="00713F3A">
      <w:pPr>
        <w:pStyle w:val="Heading1"/>
        <w:numPr>
          <w:ilvl w:val="0"/>
          <w:numId w:val="0"/>
        </w:numPr>
        <w:tabs>
          <w:tab w:val="left" w:pos="2268"/>
        </w:tabs>
      </w:pPr>
    </w:p>
    <w:p w14:paraId="2C8B7B6C" w14:textId="77777777" w:rsidR="00A43397" w:rsidRPr="002D7686" w:rsidRDefault="000C491C" w:rsidP="00713F3A">
      <w:pPr>
        <w:pStyle w:val="Heading1"/>
        <w:tabs>
          <w:tab w:val="left" w:pos="2268"/>
        </w:tabs>
        <w:ind w:left="567" w:hanging="567"/>
        <w:rPr>
          <w:b/>
          <w:caps/>
        </w:rPr>
      </w:pPr>
      <w:bookmarkStart w:id="1" w:name="_Toc506371469"/>
      <w:bookmarkStart w:id="2" w:name="_Toc514939918"/>
      <w:r w:rsidRPr="002D7686">
        <w:rPr>
          <w:b/>
          <w:caps/>
          <w:color w:val="424242"/>
        </w:rPr>
        <w:t>Talous- ja rahaliitto, taloudellinen ja sosiaalinen yhteenkuuluvuus</w:t>
      </w:r>
      <w:bookmarkEnd w:id="1"/>
      <w:bookmarkEnd w:id="2"/>
    </w:p>
    <w:p w14:paraId="2C8B7B6D" w14:textId="77777777" w:rsidR="00915C4E" w:rsidRPr="002D7686" w:rsidRDefault="00915C4E" w:rsidP="00713F3A">
      <w:pPr>
        <w:tabs>
          <w:tab w:val="left" w:pos="2268"/>
        </w:tabs>
        <w:rPr>
          <w:b/>
          <w:iCs/>
          <w:highlight w:val="yellow"/>
          <w:u w:val="single"/>
        </w:rPr>
      </w:pPr>
    </w:p>
    <w:p w14:paraId="2C8B7B87" w14:textId="6411D0DD" w:rsidR="007A3904" w:rsidRPr="002D7686" w:rsidRDefault="00AA49AC" w:rsidP="00AA49AC">
      <w:pPr>
        <w:pStyle w:val="ListParagraph"/>
        <w:keepNext/>
        <w:keepLines/>
        <w:widowControl w:val="0"/>
        <w:numPr>
          <w:ilvl w:val="0"/>
          <w:numId w:val="6"/>
        </w:numPr>
        <w:tabs>
          <w:tab w:val="left" w:pos="2268"/>
        </w:tabs>
        <w:rPr>
          <w:b/>
          <w:bCs/>
          <w:i/>
          <w:iCs/>
          <w:sz w:val="28"/>
          <w:szCs w:val="28"/>
        </w:rPr>
      </w:pPr>
      <w:r w:rsidRPr="00AA49AC">
        <w:rPr>
          <w:b/>
          <w:i/>
          <w:sz w:val="28"/>
        </w:rPr>
        <w:t>Alv-uudistusta koskeva paketti</w:t>
      </w:r>
      <w:proofErr w:type="gramStart"/>
      <w:r w:rsidRPr="00AA49AC">
        <w:rPr>
          <w:b/>
          <w:i/>
          <w:sz w:val="28"/>
        </w:rPr>
        <w:t xml:space="preserve"> (II</w:t>
      </w:r>
      <w:proofErr w:type="gramEnd"/>
    </w:p>
    <w:p w14:paraId="2C8B7B88" w14:textId="77777777" w:rsidR="007A3904" w:rsidRPr="002D7686" w:rsidRDefault="007A3904" w:rsidP="00556D76">
      <w:pPr>
        <w:keepNext/>
        <w:keepLines/>
        <w:tabs>
          <w:tab w:val="left" w:pos="2268"/>
        </w:tabs>
        <w:ind w:firstLine="17"/>
      </w:pPr>
    </w:p>
    <w:p w14:paraId="14773910" w14:textId="4F3E2B2A" w:rsidR="003566C1" w:rsidRPr="002D7686" w:rsidRDefault="007A3904" w:rsidP="00556D76">
      <w:pPr>
        <w:keepNext/>
        <w:keepLines/>
      </w:pPr>
      <w:r w:rsidRPr="002D7686">
        <w:rPr>
          <w:b/>
        </w:rPr>
        <w:t>Esittelijä:</w:t>
      </w:r>
      <w:r w:rsidRPr="002D7686">
        <w:tab/>
      </w:r>
      <w:r w:rsidR="003566C1" w:rsidRPr="002D7686">
        <w:tab/>
      </w:r>
      <w:proofErr w:type="spellStart"/>
      <w:r w:rsidR="00CA6DB6" w:rsidRPr="00D85439">
        <w:rPr>
          <w:lang w:val="en-GB"/>
        </w:rPr>
        <w:t>Petru</w:t>
      </w:r>
      <w:proofErr w:type="spellEnd"/>
      <w:r w:rsidR="00CA6DB6" w:rsidRPr="00D85439">
        <w:rPr>
          <w:lang w:val="en-GB"/>
        </w:rPr>
        <w:t xml:space="preserve"> </w:t>
      </w:r>
      <w:proofErr w:type="spellStart"/>
      <w:r w:rsidR="00CA6DB6" w:rsidRPr="00D85439">
        <w:rPr>
          <w:lang w:val="en-GB"/>
        </w:rPr>
        <w:t>Sorin</w:t>
      </w:r>
      <w:proofErr w:type="spellEnd"/>
      <w:r w:rsidR="00CA6DB6" w:rsidRPr="00D85439">
        <w:rPr>
          <w:lang w:val="en-GB"/>
        </w:rPr>
        <w:t xml:space="preserve"> DANDEA</w:t>
      </w:r>
      <w:r w:rsidR="00CA6DB6" w:rsidRPr="002D7686">
        <w:t xml:space="preserve"> </w:t>
      </w:r>
      <w:r w:rsidR="003566C1" w:rsidRPr="002D7686">
        <w:t>(</w:t>
      </w:r>
      <w:r w:rsidR="00CA6DB6">
        <w:t>työntekijät</w:t>
      </w:r>
      <w:r w:rsidR="003566C1" w:rsidRPr="002F45DD">
        <w:t xml:space="preserve"> </w:t>
      </w:r>
      <w:r w:rsidR="003566C1" w:rsidRPr="002D7686">
        <w:t xml:space="preserve">– </w:t>
      </w:r>
      <w:r w:rsidR="00E159F2" w:rsidRPr="002D7686">
        <w:t>RO</w:t>
      </w:r>
      <w:r w:rsidR="003566C1" w:rsidRPr="002D7686">
        <w:t>)</w:t>
      </w:r>
    </w:p>
    <w:p w14:paraId="2C8B7B8A" w14:textId="77777777" w:rsidR="007A3904" w:rsidRPr="002D7686" w:rsidRDefault="007A3904" w:rsidP="00556D76">
      <w:pPr>
        <w:keepNext/>
        <w:keepLines/>
        <w:tabs>
          <w:tab w:val="left" w:pos="1701"/>
          <w:tab w:val="left" w:pos="2268"/>
        </w:tabs>
      </w:pPr>
    </w:p>
    <w:p w14:paraId="500034EC" w14:textId="69FF70A1" w:rsidR="00CA6DB6" w:rsidRPr="00D85439" w:rsidRDefault="007A3904" w:rsidP="00CA6DB6">
      <w:pPr>
        <w:tabs>
          <w:tab w:val="left" w:pos="1418"/>
        </w:tabs>
        <w:rPr>
          <w:lang w:val="en-GB"/>
        </w:rPr>
      </w:pPr>
      <w:r w:rsidRPr="002D7686">
        <w:rPr>
          <w:b/>
        </w:rPr>
        <w:t>Viiteasiakirjat:</w:t>
      </w:r>
      <w:r w:rsidRPr="002D7686">
        <w:tab/>
      </w:r>
      <w:r w:rsidR="00CA6DB6" w:rsidRPr="00D85439">
        <w:rPr>
          <w:lang w:val="en-GB"/>
        </w:rPr>
        <w:t xml:space="preserve">COM(2018) 20 final </w:t>
      </w:r>
      <w:r w:rsidR="002805C7">
        <w:rPr>
          <w:lang w:val="en-GB"/>
        </w:rPr>
        <w:t>–</w:t>
      </w:r>
      <w:r w:rsidR="00CA6DB6" w:rsidRPr="00D85439">
        <w:rPr>
          <w:lang w:val="en-GB"/>
        </w:rPr>
        <w:t xml:space="preserve"> 2018/0005</w:t>
      </w:r>
      <w:r w:rsidR="00844074">
        <w:rPr>
          <w:lang w:val="en-GB"/>
        </w:rPr>
        <w:t xml:space="preserve"> </w:t>
      </w:r>
      <w:r w:rsidR="00CA6DB6" w:rsidRPr="00D85439">
        <w:rPr>
          <w:lang w:val="en-GB"/>
        </w:rPr>
        <w:t>(CNS)</w:t>
      </w:r>
    </w:p>
    <w:p w14:paraId="32FB2EAE" w14:textId="0790B86B" w:rsidR="00CA6DB6" w:rsidRPr="00D85439" w:rsidRDefault="00CA6DB6" w:rsidP="00CA6DB6">
      <w:pPr>
        <w:tabs>
          <w:tab w:val="left" w:pos="1418"/>
        </w:tabs>
        <w:rPr>
          <w:lang w:val="en-GB"/>
        </w:rPr>
      </w:pPr>
      <w:r w:rsidRPr="00D85439">
        <w:rPr>
          <w:lang w:val="en-GB"/>
        </w:rPr>
        <w:tab/>
      </w:r>
      <w:r>
        <w:rPr>
          <w:lang w:val="en-GB"/>
        </w:rPr>
        <w:tab/>
      </w:r>
      <w:proofErr w:type="gramStart"/>
      <w:r w:rsidRPr="00D85439">
        <w:rPr>
          <w:lang w:val="en-GB"/>
        </w:rPr>
        <w:t>COM(</w:t>
      </w:r>
      <w:proofErr w:type="gramEnd"/>
      <w:r w:rsidRPr="00D85439">
        <w:rPr>
          <w:lang w:val="en-GB"/>
        </w:rPr>
        <w:t xml:space="preserve">2018) 21 final </w:t>
      </w:r>
      <w:r w:rsidR="002805C7">
        <w:rPr>
          <w:lang w:val="en-GB"/>
        </w:rPr>
        <w:t>–</w:t>
      </w:r>
      <w:r w:rsidRPr="00D85439">
        <w:rPr>
          <w:lang w:val="en-GB"/>
        </w:rPr>
        <w:t xml:space="preserve"> 2018/0006</w:t>
      </w:r>
      <w:r w:rsidR="00844074">
        <w:rPr>
          <w:lang w:val="en-GB"/>
        </w:rPr>
        <w:t xml:space="preserve"> </w:t>
      </w:r>
      <w:r w:rsidRPr="00D85439">
        <w:rPr>
          <w:lang w:val="en-GB"/>
        </w:rPr>
        <w:t>(CNS)</w:t>
      </w:r>
    </w:p>
    <w:p w14:paraId="693AA718" w14:textId="55FF91E0" w:rsidR="00CA6DB6" w:rsidRPr="00D85439" w:rsidRDefault="00CA6DB6" w:rsidP="00CA6DB6">
      <w:pPr>
        <w:tabs>
          <w:tab w:val="left" w:pos="1418"/>
        </w:tabs>
        <w:rPr>
          <w:lang w:val="en-GB"/>
        </w:rPr>
      </w:pPr>
      <w:r>
        <w:rPr>
          <w:lang w:val="en-GB"/>
        </w:rPr>
        <w:tab/>
      </w:r>
      <w:r w:rsidRPr="00D85439">
        <w:rPr>
          <w:lang w:val="en-GB"/>
        </w:rPr>
        <w:tab/>
      </w:r>
      <w:proofErr w:type="gramStart"/>
      <w:r w:rsidRPr="00D85439">
        <w:rPr>
          <w:lang w:val="en-GB"/>
        </w:rPr>
        <w:t>COM(</w:t>
      </w:r>
      <w:proofErr w:type="gramEnd"/>
      <w:r w:rsidRPr="00D85439">
        <w:rPr>
          <w:lang w:val="en-GB"/>
        </w:rPr>
        <w:t xml:space="preserve">2018) 783 final </w:t>
      </w:r>
      <w:r w:rsidR="002805C7">
        <w:rPr>
          <w:lang w:val="en-GB"/>
        </w:rPr>
        <w:t>–</w:t>
      </w:r>
      <w:r w:rsidRPr="00D85439">
        <w:rPr>
          <w:lang w:val="en-GB"/>
        </w:rPr>
        <w:t xml:space="preserve"> 2017/0248</w:t>
      </w:r>
      <w:r w:rsidR="00844074">
        <w:rPr>
          <w:lang w:val="en-GB"/>
        </w:rPr>
        <w:t xml:space="preserve"> </w:t>
      </w:r>
      <w:r w:rsidRPr="00D85439">
        <w:rPr>
          <w:lang w:val="en-GB"/>
        </w:rPr>
        <w:t>(CNS)</w:t>
      </w:r>
    </w:p>
    <w:p w14:paraId="0A29346A" w14:textId="488C1045" w:rsidR="00CA6DB6" w:rsidRPr="00D85439" w:rsidRDefault="00CA6DB6" w:rsidP="00CA6DB6">
      <w:pPr>
        <w:tabs>
          <w:tab w:val="left" w:pos="1418"/>
        </w:tabs>
        <w:rPr>
          <w:i/>
          <w:iCs/>
          <w:lang w:val="en-GB"/>
        </w:rPr>
      </w:pPr>
      <w:r>
        <w:rPr>
          <w:lang w:val="en-GB"/>
        </w:rPr>
        <w:tab/>
      </w:r>
      <w:r w:rsidRPr="00D85439">
        <w:rPr>
          <w:lang w:val="en-GB"/>
        </w:rPr>
        <w:tab/>
      </w:r>
      <w:proofErr w:type="gramStart"/>
      <w:r w:rsidRPr="00D85439">
        <w:rPr>
          <w:lang w:val="en-GB"/>
        </w:rPr>
        <w:t>COM(</w:t>
      </w:r>
      <w:proofErr w:type="gramEnd"/>
      <w:r w:rsidRPr="00D85439">
        <w:rPr>
          <w:lang w:val="en-GB"/>
        </w:rPr>
        <w:t xml:space="preserve">2018) 706 final </w:t>
      </w:r>
      <w:r w:rsidR="002805C7">
        <w:rPr>
          <w:lang w:val="en-GB"/>
        </w:rPr>
        <w:t>–</w:t>
      </w:r>
      <w:r w:rsidRPr="00D85439">
        <w:rPr>
          <w:lang w:val="en-GB"/>
        </w:rPr>
        <w:t xml:space="preserve"> 2017/0349</w:t>
      </w:r>
      <w:r w:rsidR="00844074">
        <w:rPr>
          <w:lang w:val="en-GB"/>
        </w:rPr>
        <w:t xml:space="preserve"> </w:t>
      </w:r>
      <w:r w:rsidRPr="00D85439">
        <w:rPr>
          <w:lang w:val="en-GB"/>
        </w:rPr>
        <w:t>(CNS)</w:t>
      </w:r>
    </w:p>
    <w:p w14:paraId="2C8B7B8E" w14:textId="04DF0A53" w:rsidR="007A3904" w:rsidRPr="002D7686" w:rsidRDefault="00CA6DB6" w:rsidP="00CA6DB6">
      <w:pPr>
        <w:keepNext/>
        <w:keepLines/>
        <w:tabs>
          <w:tab w:val="center" w:pos="284"/>
          <w:tab w:val="left" w:pos="1701"/>
        </w:tabs>
        <w:ind w:left="266" w:hanging="266"/>
      </w:pPr>
      <w:r>
        <w:rPr>
          <w:b/>
          <w:bCs/>
          <w:lang w:val="en-GB"/>
        </w:rPr>
        <w:tab/>
      </w:r>
      <w:r>
        <w:rPr>
          <w:b/>
          <w:bCs/>
          <w:lang w:val="en-GB"/>
        </w:rPr>
        <w:tab/>
      </w:r>
      <w:r w:rsidRPr="00D85439">
        <w:rPr>
          <w:b/>
          <w:bCs/>
          <w:lang w:val="en-GB"/>
        </w:rPr>
        <w:tab/>
      </w:r>
      <w:r w:rsidRPr="00D85439">
        <w:rPr>
          <w:lang w:val="en-GB"/>
        </w:rPr>
        <w:t>EESC-2017-05457-00-00-AC-TRA</w:t>
      </w:r>
    </w:p>
    <w:p w14:paraId="2C8B7B8F" w14:textId="77777777" w:rsidR="007A3904" w:rsidRPr="002D7686" w:rsidRDefault="007A3904" w:rsidP="00713F3A">
      <w:pPr>
        <w:keepNext/>
        <w:keepLines/>
        <w:tabs>
          <w:tab w:val="center" w:pos="284"/>
          <w:tab w:val="left" w:pos="2268"/>
        </w:tabs>
        <w:ind w:left="266" w:hanging="266"/>
        <w:rPr>
          <w:b/>
        </w:rPr>
      </w:pPr>
    </w:p>
    <w:p w14:paraId="2C8B7B90" w14:textId="77777777" w:rsidR="007A3904" w:rsidRPr="002D7686" w:rsidRDefault="007A3904" w:rsidP="00713F3A">
      <w:pPr>
        <w:keepNext/>
        <w:keepLines/>
        <w:tabs>
          <w:tab w:val="center" w:pos="284"/>
          <w:tab w:val="left" w:pos="2268"/>
        </w:tabs>
        <w:ind w:left="266" w:hanging="266"/>
        <w:rPr>
          <w:b/>
        </w:rPr>
      </w:pPr>
      <w:r w:rsidRPr="002D7686">
        <w:rPr>
          <w:b/>
        </w:rPr>
        <w:t>Keskeiset kohdat:</w:t>
      </w:r>
    </w:p>
    <w:p w14:paraId="09DBF763" w14:textId="77777777" w:rsidR="000A525B" w:rsidRPr="002D7686" w:rsidRDefault="000A525B" w:rsidP="00713F3A">
      <w:pPr>
        <w:keepNext/>
        <w:tabs>
          <w:tab w:val="left" w:pos="2268"/>
        </w:tabs>
        <w:rPr>
          <w:color w:val="000000" w:themeColor="text1"/>
        </w:rPr>
      </w:pPr>
    </w:p>
    <w:p w14:paraId="2C8B7B91" w14:textId="59BEDAC7" w:rsidR="007A3904" w:rsidRPr="002D7686" w:rsidRDefault="000A525B" w:rsidP="00713F3A">
      <w:pPr>
        <w:keepNext/>
        <w:tabs>
          <w:tab w:val="left" w:pos="2268"/>
        </w:tabs>
        <w:rPr>
          <w:color w:val="000000" w:themeColor="text1"/>
        </w:rPr>
      </w:pPr>
      <w:r w:rsidRPr="002D7686">
        <w:rPr>
          <w:color w:val="000000" w:themeColor="text1"/>
        </w:rPr>
        <w:t>ETSK</w:t>
      </w:r>
    </w:p>
    <w:p w14:paraId="0BC41437" w14:textId="465500F6" w:rsidR="00AA49AC" w:rsidRDefault="00AA49AC" w:rsidP="00AA49AC">
      <w:pPr>
        <w:pStyle w:val="Heading2"/>
        <w:numPr>
          <w:ilvl w:val="0"/>
          <w:numId w:val="4"/>
        </w:numPr>
        <w:tabs>
          <w:tab w:val="left" w:pos="2268"/>
        </w:tabs>
        <w:overflowPunct/>
        <w:adjustRightInd/>
        <w:spacing w:after="120"/>
        <w:textAlignment w:val="auto"/>
      </w:pPr>
      <w:r>
        <w:t xml:space="preserve">suhtautuu myönteisesti komission ehdotukseen ja kehottaa jäsenvaltioita hyväksymään sen ja panemaan sen nopeasti täytäntöön, sillä alv-järjestelmän liiallinen hajanaisuus sisämarkkinoilla asettaa perusteettomia esteitä pienten yritysten kehitykselle. </w:t>
      </w:r>
    </w:p>
    <w:p w14:paraId="69BB498B" w14:textId="02EC41BC" w:rsidR="00FF2A31" w:rsidRPr="00FF2A31" w:rsidRDefault="00AA49AC" w:rsidP="00FF2A31">
      <w:pPr>
        <w:pStyle w:val="Heading2"/>
        <w:numPr>
          <w:ilvl w:val="0"/>
          <w:numId w:val="4"/>
        </w:numPr>
        <w:tabs>
          <w:tab w:val="left" w:pos="2268"/>
        </w:tabs>
        <w:overflowPunct/>
        <w:adjustRightInd/>
        <w:spacing w:after="120"/>
        <w:textAlignment w:val="auto"/>
      </w:pPr>
      <w:r>
        <w:t>kannattaa komission tavoitetta, jonka mukaan tarkasteltavana olevan toimenpidepaketin tulee hyödyttää lopullista kuluttajaa. ETSK on samaa mieltä komission ehdotuksesta laatia ”negatiivinen luettelo” niistä tavaroista ja palveluista, joihin direktiiviluonnoksen mukaisia alennettuja kantoja ei saa soveltaa, mutta toteaa, että luettelo ei saa perusteettomasti rajoittaa jäsenvaltioiden vapautta asettaa alennettuja kantoja tietyille yleisen edun mukaisille tuotteille.</w:t>
      </w:r>
    </w:p>
    <w:p w14:paraId="3CA28577" w14:textId="1CF5BFCD" w:rsidR="00FF2A31" w:rsidRDefault="00812852" w:rsidP="00812852">
      <w:pPr>
        <w:pStyle w:val="Heading2"/>
        <w:numPr>
          <w:ilvl w:val="0"/>
          <w:numId w:val="4"/>
        </w:numPr>
        <w:tabs>
          <w:tab w:val="left" w:pos="2268"/>
        </w:tabs>
        <w:overflowPunct/>
        <w:adjustRightInd/>
        <w:spacing w:after="120"/>
        <w:textAlignment w:val="auto"/>
      </w:pPr>
      <w:r w:rsidRPr="00812852">
        <w:t>pyytää jäsenvaltioita kiinnittämään huomiota muita heikommassa asemassa olevia ihmisiä auttaviin organisaatioihin ja yhdistyksiin sovellettavan alv-järjestelmän keskeisiin näkökohtiin</w:t>
      </w:r>
      <w:r>
        <w:t xml:space="preserve">. </w:t>
      </w:r>
      <w:r w:rsidRPr="00812852">
        <w:t>Tästä syystä komitea suosittelee EU:n toimielimille ja jäsenvaltioille ratkaisua, jonka mukaan nämä organisaatiot eivät kuuluisi alv-järjestelmään.</w:t>
      </w:r>
    </w:p>
    <w:p w14:paraId="5F51ED36" w14:textId="4E2BC970" w:rsidR="00AA49AC" w:rsidRDefault="00AA49AC" w:rsidP="00AA49AC">
      <w:pPr>
        <w:pStyle w:val="Heading2"/>
        <w:numPr>
          <w:ilvl w:val="0"/>
          <w:numId w:val="4"/>
        </w:numPr>
        <w:tabs>
          <w:tab w:val="left" w:pos="2268"/>
        </w:tabs>
        <w:overflowPunct/>
        <w:adjustRightInd/>
        <w:spacing w:after="120"/>
        <w:textAlignment w:val="auto"/>
      </w:pPr>
      <w:r>
        <w:t xml:space="preserve">kannattaa komission ehdotusta sallia jäsenvaltioiden käyttää kahta vähintään viiden prosentin suuruista alennettua kantaa sekä yhtä 0–5 prosenttiin alennettua verokantaa ja katsoo, että näitä tulisi soveltaa tiettyihin tavara- ja palveluluokkiin, kuten eräissä jäsenvaltioissa tehdään. Komitea suosittaa, että jäsenvaltiot jatkavat tiettyihin yleisen edun mukaisten tuotteiden tai palvelujen luokkiin nykyisin sovellettavien alennettujen kantojen soveltamista. </w:t>
      </w:r>
    </w:p>
    <w:p w14:paraId="6E587526" w14:textId="60733C6B" w:rsidR="00AA49AC" w:rsidRDefault="00AA49AC" w:rsidP="00AA49AC">
      <w:pPr>
        <w:pStyle w:val="Heading2"/>
        <w:numPr>
          <w:ilvl w:val="0"/>
          <w:numId w:val="4"/>
        </w:numPr>
        <w:tabs>
          <w:tab w:val="left" w:pos="2268"/>
        </w:tabs>
        <w:overflowPunct/>
        <w:adjustRightInd/>
        <w:spacing w:after="120"/>
        <w:textAlignment w:val="auto"/>
      </w:pPr>
      <w:r>
        <w:t xml:space="preserve">suosittaa, että jäsenvaltiot osoittavat tarvittavat henkilöstöresurssit sekä taloudelliset ja logistiset voimavarat elimille, joiden tehtävänä on torjua alv-rikoksia, jotta voidaan taata asetuksen säännösten asianmukainen täytäntöönpano komission ehdottamalla tavalla. </w:t>
      </w:r>
    </w:p>
    <w:p w14:paraId="4E0D7A77" w14:textId="25F60220" w:rsidR="006B6C5D" w:rsidRPr="009434C3" w:rsidRDefault="00AA49AC" w:rsidP="00AA49AC">
      <w:pPr>
        <w:pStyle w:val="Heading2"/>
        <w:numPr>
          <w:ilvl w:val="0"/>
          <w:numId w:val="4"/>
        </w:numPr>
        <w:tabs>
          <w:tab w:val="left" w:pos="2268"/>
        </w:tabs>
        <w:overflowPunct/>
        <w:adjustRightInd/>
        <w:spacing w:after="120"/>
        <w:textAlignment w:val="auto"/>
      </w:pPr>
      <w:r>
        <w:t>katsoo, että komission sääntelytoimenpiteille asettamat kunnianhimoiset tavoitteet voidaan saavuttaa vain, jos jäsenvaltiot ryhtyvät tarvittaviin toimiin lopullisen alv-järjestelmän ottamiseksi käyttöön kohtuullisessa määräajassa.</w:t>
      </w:r>
    </w:p>
    <w:p w14:paraId="2D7E2548" w14:textId="43433422" w:rsidR="003971E2" w:rsidRPr="002D7686" w:rsidRDefault="003971E2" w:rsidP="003971E2">
      <w:pPr>
        <w:pStyle w:val="BodyTextIndent"/>
        <w:ind w:left="0"/>
        <w:rPr>
          <w:i/>
          <w:lang w:val="fi-FI"/>
        </w:rPr>
      </w:pPr>
    </w:p>
    <w:p w14:paraId="7260F052" w14:textId="25F885F1" w:rsidR="009434C3" w:rsidRPr="00BD2341" w:rsidRDefault="009434C3" w:rsidP="009434C3">
      <w:pPr>
        <w:ind w:left="1418" w:hanging="1418"/>
        <w:rPr>
          <w:rStyle w:val="normal--char"/>
          <w:i/>
          <w:iCs/>
        </w:rPr>
      </w:pPr>
      <w:r>
        <w:rPr>
          <w:rStyle w:val="normal--char"/>
          <w:b/>
          <w:i/>
        </w:rPr>
        <w:t>Yhteyshenkilö:</w:t>
      </w:r>
      <w:r>
        <w:tab/>
      </w:r>
      <w:r>
        <w:tab/>
      </w:r>
      <w:proofErr w:type="spellStart"/>
      <w:r>
        <w:rPr>
          <w:rStyle w:val="normal--char"/>
          <w:i/>
        </w:rPr>
        <w:t>Jüri</w:t>
      </w:r>
      <w:proofErr w:type="spellEnd"/>
      <w:r>
        <w:rPr>
          <w:rStyle w:val="normal--char"/>
          <w:i/>
        </w:rPr>
        <w:t xml:space="preserve"> </w:t>
      </w:r>
      <w:proofErr w:type="spellStart"/>
      <w:r>
        <w:rPr>
          <w:rStyle w:val="normal--char"/>
          <w:i/>
        </w:rPr>
        <w:t>Soosaar</w:t>
      </w:r>
      <w:proofErr w:type="spellEnd"/>
    </w:p>
    <w:p w14:paraId="0BF05BE0" w14:textId="4A3736EE" w:rsidR="009434C3" w:rsidRDefault="009434C3" w:rsidP="009434C3">
      <w:pPr>
        <w:ind w:left="1418" w:hanging="1418"/>
        <w:rPr>
          <w:b/>
          <w:i/>
        </w:rPr>
      </w:pPr>
      <w:r>
        <w:rPr>
          <w:rStyle w:val="normal--char"/>
          <w:i/>
        </w:rPr>
        <w:lastRenderedPageBreak/>
        <w:tab/>
      </w:r>
      <w:r>
        <w:rPr>
          <w:rStyle w:val="normal--char"/>
          <w:i/>
        </w:rPr>
        <w:tab/>
        <w:t>(P. +32 25469628 – sähköposti:</w:t>
      </w:r>
      <w:r w:rsidRPr="0076688B">
        <w:t xml:space="preserve"> </w:t>
      </w:r>
      <w:hyperlink r:id="rId17" w:history="1">
        <w:r w:rsidRPr="00B82C36">
          <w:rPr>
            <w:rStyle w:val="Hyperlink"/>
            <w:i/>
          </w:rPr>
          <w:t>juri.soosaar@eesc.europa.eu</w:t>
        </w:r>
      </w:hyperlink>
      <w:r>
        <w:rPr>
          <w:rStyle w:val="normal--char"/>
          <w:i/>
        </w:rPr>
        <w:t>)</w:t>
      </w:r>
    </w:p>
    <w:p w14:paraId="2C8B7B9E" w14:textId="77777777" w:rsidR="007868C2" w:rsidRPr="00556D76" w:rsidRDefault="007868C2" w:rsidP="00713F3A">
      <w:pPr>
        <w:tabs>
          <w:tab w:val="left" w:pos="2268"/>
        </w:tabs>
        <w:overflowPunct/>
        <w:autoSpaceDE/>
        <w:autoSpaceDN/>
        <w:adjustRightInd/>
        <w:jc w:val="left"/>
        <w:textAlignment w:val="auto"/>
        <w:rPr>
          <w:i/>
          <w:sz w:val="16"/>
          <w:szCs w:val="16"/>
        </w:rPr>
      </w:pPr>
    </w:p>
    <w:p w14:paraId="29D564E0" w14:textId="77777777" w:rsidR="00A57509" w:rsidRPr="002D7686" w:rsidRDefault="00A57509" w:rsidP="00713F3A">
      <w:pPr>
        <w:tabs>
          <w:tab w:val="left" w:pos="2268"/>
        </w:tabs>
        <w:overflowPunct/>
        <w:autoSpaceDE/>
        <w:autoSpaceDN/>
        <w:adjustRightInd/>
        <w:jc w:val="left"/>
        <w:textAlignment w:val="auto"/>
        <w:rPr>
          <w:i/>
        </w:rPr>
      </w:pPr>
    </w:p>
    <w:p w14:paraId="2C8B7B9F" w14:textId="77777777" w:rsidR="00A43397" w:rsidRPr="002D7686" w:rsidRDefault="000C491C" w:rsidP="00713F3A">
      <w:pPr>
        <w:pStyle w:val="Heading1"/>
        <w:tabs>
          <w:tab w:val="left" w:pos="2268"/>
        </w:tabs>
        <w:ind w:left="567" w:hanging="567"/>
        <w:rPr>
          <w:b/>
          <w:caps/>
        </w:rPr>
      </w:pPr>
      <w:bookmarkStart w:id="3" w:name="_Toc506371470"/>
      <w:bookmarkStart w:id="4" w:name="_Toc514939919"/>
      <w:r w:rsidRPr="002D7686">
        <w:rPr>
          <w:b/>
          <w:caps/>
          <w:color w:val="424242"/>
        </w:rPr>
        <w:t>Yhtenäismarkkinat, tuotanto ja kulutus</w:t>
      </w:r>
      <w:bookmarkEnd w:id="3"/>
      <w:bookmarkEnd w:id="4"/>
    </w:p>
    <w:p w14:paraId="2C8B7BA0" w14:textId="77777777" w:rsidR="00915C4E" w:rsidRPr="002D7686" w:rsidRDefault="00915C4E" w:rsidP="00713F3A">
      <w:pPr>
        <w:tabs>
          <w:tab w:val="left" w:pos="2268"/>
        </w:tabs>
        <w:textAlignment w:val="auto"/>
        <w:rPr>
          <w:i/>
          <w:iCs/>
          <w:szCs w:val="22"/>
          <w:u w:val="single"/>
        </w:rPr>
      </w:pPr>
    </w:p>
    <w:p w14:paraId="2C8B7BA1" w14:textId="134FB5A9" w:rsidR="002831ED" w:rsidRPr="002D7686" w:rsidRDefault="00D50AA4" w:rsidP="00D50AA4">
      <w:pPr>
        <w:pStyle w:val="ListParagraph"/>
        <w:widowControl w:val="0"/>
        <w:numPr>
          <w:ilvl w:val="0"/>
          <w:numId w:val="7"/>
        </w:numPr>
        <w:tabs>
          <w:tab w:val="left" w:pos="2268"/>
        </w:tabs>
        <w:rPr>
          <w:i/>
          <w:sz w:val="28"/>
          <w:szCs w:val="28"/>
        </w:rPr>
      </w:pPr>
      <w:r w:rsidRPr="00D50AA4">
        <w:rPr>
          <w:rFonts w:eastAsiaTheme="minorEastAsia"/>
          <w:b/>
          <w:i/>
          <w:sz w:val="28"/>
        </w:rPr>
        <w:t>Yhteisötalouden yritykset / maahanmuuttajat</w:t>
      </w:r>
    </w:p>
    <w:p w14:paraId="2C8B7BA2" w14:textId="77777777" w:rsidR="002831ED" w:rsidRPr="002D7686" w:rsidRDefault="002831ED" w:rsidP="00713F3A">
      <w:pPr>
        <w:tabs>
          <w:tab w:val="center" w:pos="284"/>
          <w:tab w:val="left" w:pos="2268"/>
        </w:tabs>
        <w:ind w:left="266" w:hanging="266"/>
        <w:rPr>
          <w:b/>
        </w:rPr>
      </w:pPr>
    </w:p>
    <w:p w14:paraId="2C8B7BA3" w14:textId="7DA099C8" w:rsidR="002831ED" w:rsidRPr="002D7686" w:rsidRDefault="002831ED" w:rsidP="006A2E31">
      <w:r w:rsidRPr="002D7686">
        <w:rPr>
          <w:b/>
        </w:rPr>
        <w:t>Esittelijä:</w:t>
      </w:r>
      <w:r w:rsidRPr="002D7686">
        <w:tab/>
      </w:r>
      <w:r w:rsidR="006A2E31" w:rsidRPr="002D7686">
        <w:tab/>
      </w:r>
      <w:r w:rsidR="009434C3" w:rsidRPr="00D85439">
        <w:rPr>
          <w:lang w:val="en-GB"/>
        </w:rPr>
        <w:t>Giuseppe GUERINI</w:t>
      </w:r>
      <w:r w:rsidR="009434C3" w:rsidRPr="002D7686">
        <w:t xml:space="preserve"> </w:t>
      </w:r>
      <w:r w:rsidR="006A2E31" w:rsidRPr="002D7686">
        <w:t>(</w:t>
      </w:r>
      <w:r w:rsidR="009434C3">
        <w:t>moninainen Eurooppa</w:t>
      </w:r>
      <w:r w:rsidR="009434C3" w:rsidRPr="002D7686">
        <w:t xml:space="preserve"> </w:t>
      </w:r>
      <w:r w:rsidR="001466B5" w:rsidRPr="002D7686">
        <w:t xml:space="preserve">– </w:t>
      </w:r>
      <w:r w:rsidR="009434C3">
        <w:t>IT</w:t>
      </w:r>
      <w:r w:rsidR="006A2E31" w:rsidRPr="002D7686">
        <w:t>)</w:t>
      </w:r>
    </w:p>
    <w:p w14:paraId="2C8B7BA4" w14:textId="77777777" w:rsidR="002831ED" w:rsidRPr="002D7686" w:rsidRDefault="002831ED" w:rsidP="00713F3A">
      <w:pPr>
        <w:tabs>
          <w:tab w:val="center" w:pos="0"/>
          <w:tab w:val="left" w:pos="1701"/>
          <w:tab w:val="left" w:pos="2268"/>
        </w:tabs>
        <w:rPr>
          <w:b/>
        </w:rPr>
      </w:pPr>
    </w:p>
    <w:p w14:paraId="1414523A" w14:textId="28CA4A51" w:rsidR="001466B5" w:rsidRPr="002D7686" w:rsidRDefault="002831ED" w:rsidP="001466B5">
      <w:pPr>
        <w:tabs>
          <w:tab w:val="left" w:pos="1701"/>
        </w:tabs>
      </w:pPr>
      <w:r w:rsidRPr="002D7686">
        <w:rPr>
          <w:b/>
        </w:rPr>
        <w:t>Viiteasiakirja:</w:t>
      </w:r>
      <w:r w:rsidRPr="002D7686">
        <w:tab/>
      </w:r>
      <w:r w:rsidR="009434C3" w:rsidRPr="00D85439">
        <w:rPr>
          <w:lang w:val="en-GB"/>
        </w:rPr>
        <w:t>EESC-</w:t>
      </w:r>
      <w:proofErr w:type="gramStart"/>
      <w:r w:rsidR="009434C3" w:rsidRPr="00D85439">
        <w:rPr>
          <w:lang w:val="en-GB"/>
        </w:rPr>
        <w:t>2017-04769</w:t>
      </w:r>
      <w:proofErr w:type="gramEnd"/>
      <w:r w:rsidR="009434C3" w:rsidRPr="00D85439">
        <w:rPr>
          <w:lang w:val="en-GB"/>
        </w:rPr>
        <w:t>-00-00-AC-TRA</w:t>
      </w:r>
    </w:p>
    <w:p w14:paraId="2C8B7BA8" w14:textId="68A94788" w:rsidR="002831ED" w:rsidRPr="002D7686" w:rsidRDefault="001466B5" w:rsidP="001466B5">
      <w:r w:rsidRPr="002D7686">
        <w:tab/>
      </w:r>
      <w:r w:rsidRPr="002D7686">
        <w:tab/>
      </w:r>
      <w:r w:rsidRPr="002D7686">
        <w:tab/>
      </w:r>
      <w:r w:rsidR="009434C3">
        <w:t>oma-aloitteinen lausunto</w:t>
      </w:r>
    </w:p>
    <w:p w14:paraId="2C8B7BA9" w14:textId="77777777" w:rsidR="002831ED" w:rsidRPr="002D7686" w:rsidRDefault="002831ED" w:rsidP="00713F3A">
      <w:pPr>
        <w:tabs>
          <w:tab w:val="center" w:pos="284"/>
          <w:tab w:val="left" w:pos="2268"/>
        </w:tabs>
        <w:ind w:left="266" w:hanging="266"/>
      </w:pPr>
    </w:p>
    <w:p w14:paraId="2C8B7BAA" w14:textId="77777777" w:rsidR="002831ED" w:rsidRDefault="007C3321" w:rsidP="00713F3A">
      <w:pPr>
        <w:tabs>
          <w:tab w:val="center" w:pos="284"/>
          <w:tab w:val="left" w:pos="2268"/>
        </w:tabs>
        <w:ind w:left="266" w:hanging="266"/>
        <w:rPr>
          <w:b/>
        </w:rPr>
      </w:pPr>
      <w:r w:rsidRPr="002D7686">
        <w:rPr>
          <w:b/>
        </w:rPr>
        <w:t>Keskeiset kohdat:</w:t>
      </w:r>
    </w:p>
    <w:p w14:paraId="1093D623" w14:textId="77777777" w:rsidR="009C5ADA" w:rsidRDefault="009C5ADA" w:rsidP="00713F3A">
      <w:pPr>
        <w:tabs>
          <w:tab w:val="center" w:pos="284"/>
          <w:tab w:val="left" w:pos="2268"/>
        </w:tabs>
        <w:ind w:left="266" w:hanging="266"/>
        <w:rPr>
          <w:b/>
        </w:rPr>
      </w:pPr>
    </w:p>
    <w:p w14:paraId="128AA40E" w14:textId="03C61DB5" w:rsidR="009C5ADA" w:rsidRPr="002D7686" w:rsidRDefault="009434C3" w:rsidP="00713F3A">
      <w:pPr>
        <w:tabs>
          <w:tab w:val="center" w:pos="284"/>
          <w:tab w:val="left" w:pos="2268"/>
        </w:tabs>
        <w:ind w:left="266" w:hanging="266"/>
        <w:rPr>
          <w:b/>
          <w:szCs w:val="22"/>
        </w:rPr>
      </w:pPr>
      <w:r>
        <w:t>ETSK</w:t>
      </w:r>
    </w:p>
    <w:p w14:paraId="2C8B7BAB" w14:textId="77777777" w:rsidR="00915C4E" w:rsidRPr="002D7686" w:rsidRDefault="00915C4E" w:rsidP="00713F3A">
      <w:pPr>
        <w:tabs>
          <w:tab w:val="left" w:pos="2268"/>
        </w:tabs>
        <w:rPr>
          <w:szCs w:val="22"/>
        </w:rPr>
      </w:pPr>
    </w:p>
    <w:p w14:paraId="4939E556" w14:textId="2F527AF6" w:rsidR="00D50AA4" w:rsidRDefault="00BE7ADB" w:rsidP="00D50AA4">
      <w:pPr>
        <w:pStyle w:val="Heading2"/>
        <w:numPr>
          <w:ilvl w:val="0"/>
          <w:numId w:val="4"/>
        </w:numPr>
        <w:tabs>
          <w:tab w:val="left" w:pos="2268"/>
        </w:tabs>
        <w:overflowPunct/>
        <w:adjustRightInd/>
        <w:spacing w:after="120"/>
        <w:textAlignment w:val="auto"/>
      </w:pPr>
      <w:r>
        <w:t>katsoo, että y</w:t>
      </w:r>
      <w:r w:rsidR="00D50AA4">
        <w:t xml:space="preserve">hteisötalouden yrityksillä on olennainen rooli niiden toimiessa neljällä muuttajien kotouttamisen kannalta keskeisellä alla: terveys ja avustaminen; asuminen; koulutus; työ ja muuttajien aktiivinen integrointi. </w:t>
      </w:r>
    </w:p>
    <w:p w14:paraId="6E645075" w14:textId="77777777" w:rsidR="00BE7ADB" w:rsidRDefault="00D50AA4" w:rsidP="00D50AA4">
      <w:pPr>
        <w:pStyle w:val="Heading2"/>
        <w:numPr>
          <w:ilvl w:val="0"/>
          <w:numId w:val="4"/>
        </w:numPr>
        <w:tabs>
          <w:tab w:val="left" w:pos="2268"/>
        </w:tabs>
        <w:overflowPunct/>
        <w:adjustRightInd/>
        <w:spacing w:after="120"/>
        <w:textAlignment w:val="auto"/>
      </w:pPr>
      <w:r>
        <w:t>katsoo, että yhteisötalouden yritykset voivat edistää ja tukea uusien työpaikkojen luomisen lisäksi myös yrittäjyyttä ja muuttajien ja pakolaisten taloudellisen toiminnan harjoittamista.</w:t>
      </w:r>
    </w:p>
    <w:p w14:paraId="70545865" w14:textId="31931B18" w:rsidR="00041F44" w:rsidRPr="002D7686" w:rsidRDefault="00D50AA4" w:rsidP="00D50AA4">
      <w:pPr>
        <w:pStyle w:val="Heading2"/>
        <w:numPr>
          <w:ilvl w:val="0"/>
          <w:numId w:val="4"/>
        </w:numPr>
        <w:tabs>
          <w:tab w:val="left" w:pos="2268"/>
        </w:tabs>
        <w:overflowPunct/>
        <w:adjustRightInd/>
        <w:spacing w:after="120"/>
        <w:textAlignment w:val="auto"/>
      </w:pPr>
      <w:r>
        <w:t>kehottaa unionin toimielimiä asettamaan etusijalle yhteisötalouden yrityksille suunnatut toimintalinjat, kuten komitea totesi myös panoksessaan komission vuoden 2018 työohjelmaan.</w:t>
      </w:r>
    </w:p>
    <w:p w14:paraId="2C8B7BB4" w14:textId="1677CA1E" w:rsidR="002831ED" w:rsidRPr="002D7686" w:rsidRDefault="002831ED" w:rsidP="00693082">
      <w:pPr>
        <w:tabs>
          <w:tab w:val="left" w:pos="2268"/>
        </w:tabs>
        <w:rPr>
          <w:szCs w:val="24"/>
        </w:rPr>
      </w:pPr>
    </w:p>
    <w:p w14:paraId="4E91B994" w14:textId="3A32A3D4" w:rsidR="009434C3" w:rsidRPr="004517CE" w:rsidRDefault="009434C3" w:rsidP="009434C3">
      <w:pPr>
        <w:tabs>
          <w:tab w:val="left" w:pos="993"/>
          <w:tab w:val="left" w:pos="1418"/>
        </w:tabs>
        <w:textAlignment w:val="auto"/>
        <w:rPr>
          <w:i/>
        </w:rPr>
      </w:pPr>
      <w:r w:rsidRPr="004517CE">
        <w:rPr>
          <w:b/>
          <w:i/>
        </w:rPr>
        <w:t>Yhteyshenkilö:</w:t>
      </w:r>
      <w:r>
        <w:tab/>
      </w:r>
      <w:r>
        <w:tab/>
      </w:r>
      <w:proofErr w:type="spellStart"/>
      <w:r>
        <w:rPr>
          <w:i/>
        </w:rPr>
        <w:t>Marie-Laurence</w:t>
      </w:r>
      <w:proofErr w:type="spellEnd"/>
      <w:r>
        <w:rPr>
          <w:i/>
        </w:rPr>
        <w:t xml:space="preserve"> </w:t>
      </w:r>
      <w:proofErr w:type="spellStart"/>
      <w:r>
        <w:rPr>
          <w:i/>
        </w:rPr>
        <w:t>Drillon</w:t>
      </w:r>
      <w:proofErr w:type="spellEnd"/>
    </w:p>
    <w:p w14:paraId="47893722" w14:textId="43C3BC4E" w:rsidR="009434C3" w:rsidRDefault="009434C3" w:rsidP="009434C3">
      <w:pPr>
        <w:tabs>
          <w:tab w:val="left" w:pos="993"/>
        </w:tabs>
        <w:rPr>
          <w:b/>
          <w:i/>
          <w:szCs w:val="22"/>
        </w:rPr>
      </w:pPr>
      <w:r>
        <w:rPr>
          <w:i/>
        </w:rPr>
        <w:tab/>
      </w:r>
      <w:r>
        <w:rPr>
          <w:i/>
        </w:rPr>
        <w:tab/>
      </w:r>
      <w:r>
        <w:rPr>
          <w:i/>
        </w:rPr>
        <w:tab/>
      </w:r>
      <w:r w:rsidRPr="004517CE">
        <w:rPr>
          <w:i/>
        </w:rPr>
        <w:t>(P. +32 25468</w:t>
      </w:r>
      <w:r>
        <w:rPr>
          <w:i/>
        </w:rPr>
        <w:t>320</w:t>
      </w:r>
      <w:r w:rsidRPr="004517CE">
        <w:rPr>
          <w:i/>
        </w:rPr>
        <w:t xml:space="preserve"> – sähköposti:</w:t>
      </w:r>
      <w:r w:rsidRPr="008136F2">
        <w:t xml:space="preserve"> </w:t>
      </w:r>
      <w:hyperlink r:id="rId18" w:history="1">
        <w:r w:rsidRPr="00985812">
          <w:rPr>
            <w:rStyle w:val="Hyperlink"/>
            <w:i/>
          </w:rPr>
          <w:t>marie-laurence.drillon@eesc.europa.eu</w:t>
        </w:r>
      </w:hyperlink>
      <w:r w:rsidRPr="004517CE">
        <w:rPr>
          <w:i/>
        </w:rPr>
        <w:t>)</w:t>
      </w:r>
    </w:p>
    <w:p w14:paraId="2C8B7BB7" w14:textId="77777777" w:rsidR="00915C4E" w:rsidRPr="002D7686" w:rsidRDefault="00915C4E" w:rsidP="00713F3A">
      <w:pPr>
        <w:tabs>
          <w:tab w:val="left" w:pos="2268"/>
        </w:tabs>
        <w:overflowPunct/>
        <w:autoSpaceDE/>
        <w:autoSpaceDN/>
        <w:adjustRightInd/>
        <w:jc w:val="left"/>
        <w:textAlignment w:val="auto"/>
        <w:rPr>
          <w:b/>
          <w:highlight w:val="yellow"/>
          <w:u w:val="single"/>
        </w:rPr>
      </w:pPr>
    </w:p>
    <w:p w14:paraId="178C3BBF" w14:textId="3F3A70AD" w:rsidR="009D3309" w:rsidRPr="002D7686" w:rsidRDefault="008E45E1" w:rsidP="008E45E1">
      <w:pPr>
        <w:pStyle w:val="ListParagraph"/>
        <w:widowControl w:val="0"/>
        <w:numPr>
          <w:ilvl w:val="0"/>
          <w:numId w:val="7"/>
        </w:numPr>
        <w:tabs>
          <w:tab w:val="left" w:pos="2268"/>
        </w:tabs>
        <w:rPr>
          <w:i/>
          <w:sz w:val="28"/>
          <w:szCs w:val="28"/>
        </w:rPr>
      </w:pPr>
      <w:r w:rsidRPr="008E45E1">
        <w:rPr>
          <w:rFonts w:eastAsiaTheme="minorEastAsia"/>
          <w:b/>
          <w:i/>
          <w:sz w:val="28"/>
        </w:rPr>
        <w:t>Tavaramarkkinoiden säädöspaketti</w:t>
      </w:r>
    </w:p>
    <w:p w14:paraId="79DCC47B" w14:textId="77777777" w:rsidR="009D3309" w:rsidRPr="002D7686" w:rsidRDefault="009D3309" w:rsidP="009D3309">
      <w:pPr>
        <w:tabs>
          <w:tab w:val="center" w:pos="284"/>
          <w:tab w:val="left" w:pos="2268"/>
        </w:tabs>
        <w:ind w:left="266" w:hanging="266"/>
        <w:rPr>
          <w:b/>
        </w:rPr>
      </w:pPr>
    </w:p>
    <w:p w14:paraId="256AA86F" w14:textId="5B9EFE99" w:rsidR="009D3309" w:rsidRPr="002D7686" w:rsidRDefault="009D3309" w:rsidP="009D3309">
      <w:r w:rsidRPr="002D7686">
        <w:rPr>
          <w:b/>
        </w:rPr>
        <w:t>Esittelijä:</w:t>
      </w:r>
      <w:r w:rsidRPr="002D7686">
        <w:tab/>
      </w:r>
      <w:r w:rsidRPr="002D7686">
        <w:tab/>
      </w:r>
      <w:r>
        <w:rPr>
          <w:lang w:val="fr-FR"/>
        </w:rPr>
        <w:t>Jorge PEGADO LIZ</w:t>
      </w:r>
      <w:r w:rsidRPr="00240939">
        <w:rPr>
          <w:lang w:val="fr-FR"/>
        </w:rPr>
        <w:t xml:space="preserve"> </w:t>
      </w:r>
      <w:r w:rsidRPr="002D7686">
        <w:t>(</w:t>
      </w:r>
      <w:r>
        <w:t>moninainen Eurooppa</w:t>
      </w:r>
      <w:r w:rsidRPr="002D7686">
        <w:t xml:space="preserve"> – </w:t>
      </w:r>
      <w:r>
        <w:t>PT</w:t>
      </w:r>
      <w:r w:rsidRPr="002D7686">
        <w:t>)</w:t>
      </w:r>
    </w:p>
    <w:p w14:paraId="07CC66A5" w14:textId="77777777" w:rsidR="009D3309" w:rsidRPr="002D7686" w:rsidRDefault="009D3309" w:rsidP="009D3309">
      <w:pPr>
        <w:tabs>
          <w:tab w:val="center" w:pos="0"/>
          <w:tab w:val="left" w:pos="1701"/>
          <w:tab w:val="left" w:pos="2268"/>
        </w:tabs>
        <w:rPr>
          <w:b/>
        </w:rPr>
      </w:pPr>
    </w:p>
    <w:p w14:paraId="0B18C62D" w14:textId="77777777" w:rsidR="009D3309" w:rsidRPr="00562DAD" w:rsidRDefault="009D3309" w:rsidP="009D3309">
      <w:pPr>
        <w:tabs>
          <w:tab w:val="left" w:pos="1418"/>
        </w:tabs>
        <w:rPr>
          <w:lang w:val="fr-FR"/>
        </w:rPr>
      </w:pPr>
      <w:r w:rsidRPr="002D7686">
        <w:rPr>
          <w:b/>
        </w:rPr>
        <w:t>Viiteasiakirja</w:t>
      </w:r>
      <w:r>
        <w:rPr>
          <w:b/>
        </w:rPr>
        <w:t>t</w:t>
      </w:r>
      <w:r w:rsidRPr="002D7686">
        <w:rPr>
          <w:b/>
        </w:rPr>
        <w:t>:</w:t>
      </w:r>
      <w:r w:rsidRPr="002D7686">
        <w:tab/>
      </w:r>
      <w:r w:rsidRPr="00562DAD">
        <w:rPr>
          <w:lang w:val="fr-FR"/>
        </w:rPr>
        <w:t>COM(2017) 787 final</w:t>
      </w:r>
    </w:p>
    <w:p w14:paraId="50776E5C" w14:textId="6C82CCAB" w:rsidR="009D3309" w:rsidRPr="00562DAD" w:rsidRDefault="009D3309" w:rsidP="009D3309">
      <w:pPr>
        <w:tabs>
          <w:tab w:val="left" w:pos="1418"/>
        </w:tabs>
        <w:rPr>
          <w:lang w:val="fr-FR"/>
        </w:rPr>
      </w:pPr>
      <w:r>
        <w:rPr>
          <w:lang w:val="fr-FR"/>
        </w:rPr>
        <w:tab/>
      </w:r>
      <w:r>
        <w:rPr>
          <w:lang w:val="fr-FR"/>
        </w:rPr>
        <w:tab/>
      </w:r>
      <w:r w:rsidRPr="00562DAD">
        <w:rPr>
          <w:lang w:val="fr-FR"/>
        </w:rPr>
        <w:t>COM(2017) 795 final – 2017/</w:t>
      </w:r>
      <w:r w:rsidR="00800F7A">
        <w:rPr>
          <w:lang w:val="fr-FR"/>
        </w:rPr>
        <w:t>0</w:t>
      </w:r>
      <w:r w:rsidRPr="00562DAD">
        <w:rPr>
          <w:lang w:val="fr-FR"/>
        </w:rPr>
        <w:t>353 (COD)</w:t>
      </w:r>
    </w:p>
    <w:p w14:paraId="10D19A3D" w14:textId="70F2A47E" w:rsidR="009D3309" w:rsidRDefault="009D3309" w:rsidP="009D3309">
      <w:pPr>
        <w:tabs>
          <w:tab w:val="left" w:pos="1418"/>
        </w:tabs>
        <w:rPr>
          <w:lang w:val="fr-FR"/>
        </w:rPr>
      </w:pPr>
      <w:r>
        <w:rPr>
          <w:lang w:val="fr-FR"/>
        </w:rPr>
        <w:tab/>
      </w:r>
      <w:r>
        <w:rPr>
          <w:lang w:val="fr-FR"/>
        </w:rPr>
        <w:tab/>
      </w:r>
      <w:r w:rsidRPr="00562DAD">
        <w:rPr>
          <w:lang w:val="fr-FR"/>
        </w:rPr>
        <w:t>COM(2017) 796 final – 2017/</w:t>
      </w:r>
      <w:r w:rsidR="00800F7A">
        <w:rPr>
          <w:lang w:val="fr-FR"/>
        </w:rPr>
        <w:t>0</w:t>
      </w:r>
      <w:r w:rsidRPr="00562DAD">
        <w:rPr>
          <w:lang w:val="fr-FR"/>
        </w:rPr>
        <w:t>354 (COD)</w:t>
      </w:r>
    </w:p>
    <w:p w14:paraId="27F25AEE" w14:textId="5416CF54" w:rsidR="009D3309" w:rsidRPr="002D7686" w:rsidRDefault="009D3309" w:rsidP="009D3309">
      <w:pPr>
        <w:tabs>
          <w:tab w:val="left" w:pos="1701"/>
        </w:tabs>
      </w:pPr>
      <w:r>
        <w:rPr>
          <w:lang w:val="fr-FR"/>
        </w:rPr>
        <w:tab/>
        <w:t>EESC-2018-00201-00-00-</w:t>
      </w:r>
      <w:r w:rsidRPr="00811D51">
        <w:rPr>
          <w:lang w:val="fr-FR"/>
        </w:rPr>
        <w:t>A</w:t>
      </w:r>
      <w:r>
        <w:rPr>
          <w:lang w:val="fr-FR"/>
        </w:rPr>
        <w:t>C-TRA</w:t>
      </w:r>
    </w:p>
    <w:p w14:paraId="17973089" w14:textId="77777777" w:rsidR="009D3309" w:rsidRPr="002D7686" w:rsidRDefault="009D3309" w:rsidP="009D3309">
      <w:pPr>
        <w:tabs>
          <w:tab w:val="center" w:pos="284"/>
          <w:tab w:val="left" w:pos="2268"/>
        </w:tabs>
        <w:ind w:left="266" w:hanging="266"/>
      </w:pPr>
    </w:p>
    <w:p w14:paraId="1E2DA39B" w14:textId="77777777" w:rsidR="009D3309" w:rsidRDefault="009D3309" w:rsidP="009D3309">
      <w:pPr>
        <w:tabs>
          <w:tab w:val="center" w:pos="284"/>
          <w:tab w:val="left" w:pos="2268"/>
        </w:tabs>
        <w:ind w:left="266" w:hanging="266"/>
        <w:rPr>
          <w:b/>
        </w:rPr>
      </w:pPr>
      <w:r w:rsidRPr="002D7686">
        <w:rPr>
          <w:b/>
        </w:rPr>
        <w:t>Keskeiset kohdat:</w:t>
      </w:r>
    </w:p>
    <w:p w14:paraId="57EA2EC0" w14:textId="77777777" w:rsidR="009D3309" w:rsidRDefault="009D3309" w:rsidP="009D3309">
      <w:pPr>
        <w:tabs>
          <w:tab w:val="center" w:pos="284"/>
          <w:tab w:val="left" w:pos="2268"/>
        </w:tabs>
        <w:ind w:left="266" w:hanging="266"/>
        <w:rPr>
          <w:b/>
        </w:rPr>
      </w:pPr>
    </w:p>
    <w:p w14:paraId="4E10537E" w14:textId="77777777" w:rsidR="009D3309" w:rsidRPr="002D7686" w:rsidRDefault="009D3309" w:rsidP="009D3309">
      <w:pPr>
        <w:tabs>
          <w:tab w:val="center" w:pos="284"/>
          <w:tab w:val="left" w:pos="2268"/>
        </w:tabs>
        <w:ind w:left="266" w:hanging="266"/>
        <w:rPr>
          <w:b/>
          <w:szCs w:val="22"/>
        </w:rPr>
      </w:pPr>
      <w:r>
        <w:t>ETSK</w:t>
      </w:r>
    </w:p>
    <w:p w14:paraId="635FD726" w14:textId="77777777" w:rsidR="009D3309" w:rsidRPr="002D7686" w:rsidRDefault="009D3309" w:rsidP="009D3309">
      <w:pPr>
        <w:tabs>
          <w:tab w:val="left" w:pos="2268"/>
        </w:tabs>
        <w:rPr>
          <w:szCs w:val="22"/>
        </w:rPr>
      </w:pPr>
    </w:p>
    <w:p w14:paraId="1CE6555B" w14:textId="72F6CF5E" w:rsidR="008E45E1" w:rsidRDefault="008E45E1" w:rsidP="008E45E1">
      <w:pPr>
        <w:pStyle w:val="Heading2"/>
        <w:numPr>
          <w:ilvl w:val="0"/>
          <w:numId w:val="4"/>
        </w:numPr>
        <w:tabs>
          <w:tab w:val="left" w:pos="2268"/>
        </w:tabs>
        <w:overflowPunct/>
        <w:adjustRightInd/>
        <w:spacing w:after="120"/>
        <w:textAlignment w:val="auto"/>
      </w:pPr>
      <w:r>
        <w:t xml:space="preserve">on tyytyväinen komission monitahoiseen työhön tässä tarkasteltavan lainsäädäntöpaketin laatimiseksi mutta katsoo, että tässä tarkasteltavaan ehdotukseen olisi sisällyttävä sääntö, jolla vahvistettaisiin jäsenvaltioiden markkinavalvontavelvollisuutta, muun muassa velvollisuutta toimittaa komissiolle (neljännesvuosittain) kertomuksia suoritetuista toimista ja tarkastuksista. </w:t>
      </w:r>
    </w:p>
    <w:p w14:paraId="71C76F4A" w14:textId="642CFABD" w:rsidR="008E45E1" w:rsidRDefault="008E45E1" w:rsidP="008E45E1">
      <w:pPr>
        <w:pStyle w:val="Heading2"/>
        <w:numPr>
          <w:ilvl w:val="0"/>
          <w:numId w:val="4"/>
        </w:numPr>
        <w:tabs>
          <w:tab w:val="left" w:pos="2268"/>
        </w:tabs>
        <w:overflowPunct/>
        <w:adjustRightInd/>
        <w:spacing w:after="120"/>
        <w:textAlignment w:val="auto"/>
      </w:pPr>
      <w:r>
        <w:lastRenderedPageBreak/>
        <w:t xml:space="preserve">painottaa jälleen, että markkinavalvontaa koskeviin yleisiin periaatteisiin olisi sisällytettävä ennalta varautumisen periaate, jonka on aina oltava keskeinen tekijä päätöksissä. </w:t>
      </w:r>
    </w:p>
    <w:p w14:paraId="12D71752" w14:textId="78232A43" w:rsidR="008E45E1" w:rsidRDefault="008E45E1" w:rsidP="008E45E1">
      <w:pPr>
        <w:pStyle w:val="Heading2"/>
        <w:numPr>
          <w:ilvl w:val="0"/>
          <w:numId w:val="4"/>
        </w:numPr>
        <w:tabs>
          <w:tab w:val="left" w:pos="2268"/>
        </w:tabs>
        <w:overflowPunct/>
        <w:adjustRightInd/>
        <w:spacing w:after="120"/>
        <w:textAlignment w:val="auto"/>
      </w:pPr>
      <w:r>
        <w:t xml:space="preserve">pitää ensiarvoisen tärkeänä, että paitsi velvoitetaan Euroopan komissio antamaan määräajoin kertomus tuoteturvallisuuden nopeasta hälytysjärjestelmästä (RAPEX) myös huolehditaan siitä, että kuluttajat ja yritykset sekä niitä edustavat organisaatiot voivat saavat käyttöönsä enemmän tietoa kuin mitä on julkisesti saatavilla.  </w:t>
      </w:r>
    </w:p>
    <w:p w14:paraId="08A5BF17" w14:textId="7BA05900" w:rsidR="008E45E1" w:rsidRDefault="008E45E1" w:rsidP="008E45E1">
      <w:pPr>
        <w:pStyle w:val="Heading2"/>
        <w:numPr>
          <w:ilvl w:val="0"/>
          <w:numId w:val="4"/>
        </w:numPr>
        <w:tabs>
          <w:tab w:val="left" w:pos="2268"/>
        </w:tabs>
        <w:overflowPunct/>
        <w:adjustRightInd/>
        <w:spacing w:after="120"/>
        <w:textAlignment w:val="auto"/>
      </w:pPr>
      <w:r>
        <w:t xml:space="preserve">painottaa tarvetta vahvistaa yhteistä eurooppalaista tullistrategiaa, jotta varmistetaan aineellisten ja henkilöresurssien optimointi tässä ehdotuksessa esitettyjen toimenpiteiden toteuttamiseksi, ja suosittaa tähän liittyen, että tehostetaan keskinäistä avunantoa koskevia sopimuksia kaikkien kauppakumppanien kanssa. </w:t>
      </w:r>
    </w:p>
    <w:p w14:paraId="6ECDA67E" w14:textId="3E13221B" w:rsidR="009D3309" w:rsidRPr="002D7686" w:rsidRDefault="008E45E1" w:rsidP="008E45E1">
      <w:pPr>
        <w:pStyle w:val="Heading2"/>
        <w:numPr>
          <w:ilvl w:val="0"/>
          <w:numId w:val="4"/>
        </w:numPr>
        <w:tabs>
          <w:tab w:val="left" w:pos="2268"/>
        </w:tabs>
        <w:overflowPunct/>
        <w:adjustRightInd/>
        <w:spacing w:after="120"/>
        <w:textAlignment w:val="auto"/>
      </w:pPr>
      <w:r>
        <w:t>katsoo, että kysymys verkkoalustojen kautta tapahtuvaa myyntiä koskevasta markkinavalvonnasta sekä uusien riskien arvioiminen internetiin liitettyjä laitteita käyttävien kuluttajien kannalta tulisi sisällyttää tässä tarkasteltavaan ehdotukseen.</w:t>
      </w:r>
    </w:p>
    <w:p w14:paraId="627919DF" w14:textId="77777777" w:rsidR="009D3309" w:rsidRPr="002D7686" w:rsidRDefault="009D3309" w:rsidP="009D3309">
      <w:pPr>
        <w:tabs>
          <w:tab w:val="left" w:pos="2268"/>
        </w:tabs>
        <w:rPr>
          <w:szCs w:val="24"/>
        </w:rPr>
      </w:pPr>
    </w:p>
    <w:p w14:paraId="15B934E8" w14:textId="77777777" w:rsidR="009D3309" w:rsidRPr="00E3384D" w:rsidRDefault="009D3309" w:rsidP="009D3309">
      <w:pPr>
        <w:tabs>
          <w:tab w:val="left" w:pos="993"/>
        </w:tabs>
        <w:rPr>
          <w:i/>
          <w:szCs w:val="22"/>
        </w:rPr>
      </w:pPr>
      <w:r w:rsidRPr="00E3384D">
        <w:rPr>
          <w:b/>
          <w:i/>
          <w:szCs w:val="22"/>
        </w:rPr>
        <w:t>Yhteyshenkilö</w:t>
      </w:r>
      <w:r>
        <w:rPr>
          <w:szCs w:val="22"/>
        </w:rPr>
        <w:t>:</w:t>
      </w:r>
      <w:r>
        <w:rPr>
          <w:szCs w:val="22"/>
        </w:rPr>
        <w:tab/>
      </w:r>
      <w:r>
        <w:rPr>
          <w:i/>
          <w:szCs w:val="22"/>
        </w:rPr>
        <w:t xml:space="preserve">Jana </w:t>
      </w:r>
      <w:proofErr w:type="spellStart"/>
      <w:r>
        <w:rPr>
          <w:i/>
          <w:szCs w:val="22"/>
        </w:rPr>
        <w:t>Valant</w:t>
      </w:r>
      <w:proofErr w:type="spellEnd"/>
    </w:p>
    <w:p w14:paraId="7D2F5AEE" w14:textId="1CC05493" w:rsidR="009D3309" w:rsidRPr="00E3384D" w:rsidRDefault="009D3309" w:rsidP="009D3309">
      <w:pPr>
        <w:tabs>
          <w:tab w:val="left" w:pos="993"/>
        </w:tabs>
        <w:rPr>
          <w:i/>
          <w:szCs w:val="22"/>
        </w:rPr>
      </w:pPr>
      <w:r>
        <w:rPr>
          <w:i/>
          <w:szCs w:val="22"/>
        </w:rPr>
        <w:tab/>
      </w:r>
      <w:r>
        <w:rPr>
          <w:i/>
          <w:szCs w:val="22"/>
        </w:rPr>
        <w:tab/>
      </w:r>
      <w:r>
        <w:rPr>
          <w:i/>
          <w:szCs w:val="22"/>
        </w:rPr>
        <w:tab/>
      </w:r>
      <w:r w:rsidRPr="00E3384D">
        <w:rPr>
          <w:i/>
          <w:szCs w:val="22"/>
        </w:rPr>
        <w:t>(P. +32 2546</w:t>
      </w:r>
      <w:r>
        <w:rPr>
          <w:i/>
          <w:szCs w:val="22"/>
        </w:rPr>
        <w:t>8924</w:t>
      </w:r>
      <w:r w:rsidRPr="00E3384D">
        <w:rPr>
          <w:i/>
          <w:szCs w:val="22"/>
        </w:rPr>
        <w:t xml:space="preserve"> – </w:t>
      </w:r>
      <w:r w:rsidRPr="00E3384D">
        <w:rPr>
          <w:i/>
          <w:iCs/>
          <w:szCs w:val="22"/>
        </w:rPr>
        <w:t>sähköposti</w:t>
      </w:r>
      <w:r w:rsidRPr="00E3384D">
        <w:rPr>
          <w:i/>
          <w:szCs w:val="22"/>
        </w:rPr>
        <w:t>:</w:t>
      </w:r>
      <w:r w:rsidRPr="00244EAC">
        <w:t xml:space="preserve"> </w:t>
      </w:r>
      <w:hyperlink r:id="rId19" w:history="1">
        <w:r w:rsidRPr="00F51494">
          <w:rPr>
            <w:rStyle w:val="Hyperlink"/>
            <w:i/>
            <w:szCs w:val="22"/>
          </w:rPr>
          <w:t>jana.valant@eesc.europa.eu</w:t>
        </w:r>
      </w:hyperlink>
      <w:r>
        <w:rPr>
          <w:i/>
          <w:szCs w:val="22"/>
        </w:rPr>
        <w:t>)</w:t>
      </w:r>
    </w:p>
    <w:p w14:paraId="57D8B6AF" w14:textId="77777777" w:rsidR="0003187D" w:rsidRDefault="0003187D" w:rsidP="00713F3A">
      <w:pPr>
        <w:tabs>
          <w:tab w:val="left" w:pos="1418"/>
          <w:tab w:val="left" w:pos="2268"/>
        </w:tabs>
      </w:pPr>
    </w:p>
    <w:p w14:paraId="61E6DD02" w14:textId="6AECBD44" w:rsidR="002C3B80" w:rsidRPr="002D7686" w:rsidRDefault="002E4CC6" w:rsidP="002E4CC6">
      <w:pPr>
        <w:pStyle w:val="ListParagraph"/>
        <w:widowControl w:val="0"/>
        <w:numPr>
          <w:ilvl w:val="0"/>
          <w:numId w:val="7"/>
        </w:numPr>
        <w:tabs>
          <w:tab w:val="left" w:pos="2268"/>
        </w:tabs>
        <w:rPr>
          <w:i/>
          <w:sz w:val="28"/>
          <w:szCs w:val="28"/>
        </w:rPr>
      </w:pPr>
      <w:r w:rsidRPr="002E4CC6">
        <w:rPr>
          <w:rFonts w:eastAsiaTheme="minorEastAsia"/>
          <w:b/>
          <w:i/>
          <w:sz w:val="28"/>
        </w:rPr>
        <w:t>Terveysteknologian arviointi</w:t>
      </w:r>
    </w:p>
    <w:p w14:paraId="70B992B4" w14:textId="77777777" w:rsidR="002C3B80" w:rsidRPr="002D7686" w:rsidRDefault="002C3B80" w:rsidP="002C3B80">
      <w:pPr>
        <w:tabs>
          <w:tab w:val="center" w:pos="284"/>
          <w:tab w:val="left" w:pos="2268"/>
        </w:tabs>
        <w:ind w:left="266" w:hanging="266"/>
        <w:rPr>
          <w:b/>
        </w:rPr>
      </w:pPr>
    </w:p>
    <w:p w14:paraId="1A3E02B2" w14:textId="15433635" w:rsidR="002C3B80" w:rsidRPr="002D7686" w:rsidRDefault="002C3B80" w:rsidP="002C3B80">
      <w:r w:rsidRPr="002D7686">
        <w:rPr>
          <w:b/>
        </w:rPr>
        <w:t>Esittelijä:</w:t>
      </w:r>
      <w:r w:rsidRPr="002D7686">
        <w:tab/>
      </w:r>
      <w:r w:rsidRPr="002D7686">
        <w:tab/>
      </w:r>
      <w:proofErr w:type="spellStart"/>
      <w:r>
        <w:rPr>
          <w:lang w:val="fr-FR"/>
        </w:rPr>
        <w:t>Dimitris</w:t>
      </w:r>
      <w:proofErr w:type="spellEnd"/>
      <w:r>
        <w:rPr>
          <w:lang w:val="fr-FR"/>
        </w:rPr>
        <w:t xml:space="preserve"> DIMITRIADIS</w:t>
      </w:r>
      <w:r w:rsidRPr="00240939">
        <w:rPr>
          <w:lang w:val="fr-FR"/>
        </w:rPr>
        <w:t xml:space="preserve"> </w:t>
      </w:r>
      <w:r w:rsidRPr="002D7686">
        <w:t>(</w:t>
      </w:r>
      <w:r>
        <w:t>työnantajat</w:t>
      </w:r>
      <w:r w:rsidRPr="002D7686">
        <w:t xml:space="preserve"> – </w:t>
      </w:r>
      <w:r>
        <w:t>EL</w:t>
      </w:r>
      <w:r w:rsidRPr="002D7686">
        <w:t>)</w:t>
      </w:r>
    </w:p>
    <w:p w14:paraId="57FA3184" w14:textId="77777777" w:rsidR="002C3B80" w:rsidRPr="002D7686" w:rsidRDefault="002C3B80" w:rsidP="002C3B80">
      <w:pPr>
        <w:tabs>
          <w:tab w:val="center" w:pos="0"/>
          <w:tab w:val="left" w:pos="1701"/>
          <w:tab w:val="left" w:pos="2268"/>
        </w:tabs>
        <w:rPr>
          <w:b/>
        </w:rPr>
      </w:pPr>
    </w:p>
    <w:p w14:paraId="0A8F7420" w14:textId="77777777" w:rsidR="002C3B80" w:rsidRPr="00240939" w:rsidRDefault="002C3B80" w:rsidP="002C3B80">
      <w:pPr>
        <w:tabs>
          <w:tab w:val="left" w:pos="1418"/>
        </w:tabs>
        <w:ind w:left="266" w:hanging="266"/>
        <w:rPr>
          <w:lang w:val="fr-FR"/>
        </w:rPr>
      </w:pPr>
      <w:r w:rsidRPr="002D7686">
        <w:rPr>
          <w:b/>
        </w:rPr>
        <w:t>Viiteasiakirja</w:t>
      </w:r>
      <w:r>
        <w:rPr>
          <w:b/>
        </w:rPr>
        <w:t>t</w:t>
      </w:r>
      <w:r w:rsidRPr="002D7686">
        <w:rPr>
          <w:b/>
        </w:rPr>
        <w:t>:</w:t>
      </w:r>
      <w:r w:rsidRPr="002D7686">
        <w:tab/>
      </w:r>
      <w:r w:rsidRPr="00CD24A5">
        <w:rPr>
          <w:lang w:val="fr-FR"/>
        </w:rPr>
        <w:t>COM(2018) 051 final – 2018/0018 (COD)</w:t>
      </w:r>
    </w:p>
    <w:p w14:paraId="5E8E9D37" w14:textId="3C6695D7" w:rsidR="002C3B80" w:rsidRPr="002D7686" w:rsidRDefault="002C3B80" w:rsidP="002C3B80">
      <w:pPr>
        <w:tabs>
          <w:tab w:val="left" w:pos="1418"/>
        </w:tabs>
      </w:pPr>
      <w:r>
        <w:rPr>
          <w:lang w:val="fr-FR"/>
        </w:rPr>
        <w:tab/>
      </w:r>
      <w:r>
        <w:rPr>
          <w:lang w:val="fr-FR"/>
        </w:rPr>
        <w:tab/>
      </w:r>
      <w:r w:rsidRPr="00240939">
        <w:rPr>
          <w:lang w:val="fr-FR"/>
        </w:rPr>
        <w:t>EESC-201</w:t>
      </w:r>
      <w:r>
        <w:rPr>
          <w:lang w:val="fr-FR"/>
        </w:rPr>
        <w:t>8</w:t>
      </w:r>
      <w:r w:rsidRPr="00240939">
        <w:rPr>
          <w:lang w:val="fr-FR"/>
        </w:rPr>
        <w:t>-0</w:t>
      </w:r>
      <w:r>
        <w:rPr>
          <w:lang w:val="fr-FR"/>
        </w:rPr>
        <w:t>0</w:t>
      </w:r>
      <w:r w:rsidRPr="00240939">
        <w:rPr>
          <w:lang w:val="fr-FR"/>
        </w:rPr>
        <w:t>6</w:t>
      </w:r>
      <w:r>
        <w:rPr>
          <w:lang w:val="fr-FR"/>
        </w:rPr>
        <w:t>26</w:t>
      </w:r>
      <w:r w:rsidRPr="00240939">
        <w:rPr>
          <w:lang w:val="fr-FR"/>
        </w:rPr>
        <w:t>-00-00-</w:t>
      </w:r>
      <w:r>
        <w:rPr>
          <w:lang w:val="fr-FR"/>
        </w:rPr>
        <w:t>AC</w:t>
      </w:r>
      <w:r w:rsidRPr="00240939">
        <w:rPr>
          <w:lang w:val="fr-FR"/>
        </w:rPr>
        <w:t>-TRA</w:t>
      </w:r>
    </w:p>
    <w:p w14:paraId="20322325" w14:textId="77777777" w:rsidR="002C3B80" w:rsidRPr="002D7686" w:rsidRDefault="002C3B80" w:rsidP="002C3B80">
      <w:pPr>
        <w:tabs>
          <w:tab w:val="center" w:pos="284"/>
          <w:tab w:val="left" w:pos="2268"/>
        </w:tabs>
        <w:ind w:left="266" w:hanging="266"/>
      </w:pPr>
    </w:p>
    <w:p w14:paraId="3E7B05F4" w14:textId="77777777" w:rsidR="002C3B80" w:rsidRDefault="002C3B80" w:rsidP="002C3B80">
      <w:pPr>
        <w:tabs>
          <w:tab w:val="center" w:pos="284"/>
          <w:tab w:val="left" w:pos="2268"/>
        </w:tabs>
        <w:ind w:left="266" w:hanging="266"/>
        <w:rPr>
          <w:b/>
        </w:rPr>
      </w:pPr>
      <w:r w:rsidRPr="002D7686">
        <w:rPr>
          <w:b/>
        </w:rPr>
        <w:t>Keskeiset kohdat:</w:t>
      </w:r>
    </w:p>
    <w:p w14:paraId="10A02E5F" w14:textId="77777777" w:rsidR="002C3B80" w:rsidRDefault="002C3B80" w:rsidP="002C3B80">
      <w:pPr>
        <w:tabs>
          <w:tab w:val="center" w:pos="284"/>
          <w:tab w:val="left" w:pos="2268"/>
        </w:tabs>
        <w:ind w:left="266" w:hanging="266"/>
        <w:rPr>
          <w:b/>
        </w:rPr>
      </w:pPr>
    </w:p>
    <w:p w14:paraId="6C1FA5FC" w14:textId="77777777" w:rsidR="002C3B80" w:rsidRPr="002D7686" w:rsidRDefault="002C3B80" w:rsidP="002C3B80">
      <w:pPr>
        <w:tabs>
          <w:tab w:val="center" w:pos="284"/>
          <w:tab w:val="left" w:pos="2268"/>
        </w:tabs>
        <w:ind w:left="266" w:hanging="266"/>
        <w:rPr>
          <w:b/>
          <w:szCs w:val="22"/>
        </w:rPr>
      </w:pPr>
      <w:r>
        <w:t>ETSK</w:t>
      </w:r>
    </w:p>
    <w:p w14:paraId="152FAC96" w14:textId="77777777" w:rsidR="002C3B80" w:rsidRPr="002D7686" w:rsidRDefault="002C3B80" w:rsidP="002C3B80">
      <w:pPr>
        <w:tabs>
          <w:tab w:val="left" w:pos="2268"/>
        </w:tabs>
        <w:rPr>
          <w:szCs w:val="22"/>
        </w:rPr>
      </w:pPr>
    </w:p>
    <w:p w14:paraId="0A378364" w14:textId="6666D521" w:rsidR="002E4CC6" w:rsidRDefault="002E4CC6" w:rsidP="002E4CC6">
      <w:pPr>
        <w:pStyle w:val="Heading2"/>
        <w:numPr>
          <w:ilvl w:val="0"/>
          <w:numId w:val="4"/>
        </w:numPr>
        <w:tabs>
          <w:tab w:val="left" w:pos="2268"/>
        </w:tabs>
        <w:overflowPunct/>
        <w:adjustRightInd/>
        <w:spacing w:after="120"/>
        <w:textAlignment w:val="auto"/>
      </w:pPr>
      <w:r>
        <w:t xml:space="preserve">kannattaa ajatusta siitä, että terveysteknologian arviointia koskevalla pysyvällä EU-tason yhteistyöllä pyritään varmistamaan kaikkien unionin jäsenvaltioiden hyötyminen järjestelmän tehostumisesta sekä mahdollisimman suuri lisäarvo. </w:t>
      </w:r>
    </w:p>
    <w:p w14:paraId="4DA6A856" w14:textId="5772113F" w:rsidR="002E4CC6" w:rsidRDefault="002E4CC6" w:rsidP="002E4CC6">
      <w:pPr>
        <w:pStyle w:val="Heading2"/>
        <w:numPr>
          <w:ilvl w:val="0"/>
          <w:numId w:val="4"/>
        </w:numPr>
        <w:tabs>
          <w:tab w:val="left" w:pos="2268"/>
        </w:tabs>
        <w:overflowPunct/>
        <w:adjustRightInd/>
        <w:spacing w:after="120"/>
        <w:textAlignment w:val="auto"/>
      </w:pPr>
      <w:r>
        <w:t xml:space="preserve">katsoo, että ehdotuksen odotetaan hyödyttävän pk-yrityksiä sekä alalla toimivia yhteiskunnallisia yrityksiä, koska se vähentää nykyistä hallinnollista rasitetta ja sääntöjen noudattamisesta aiheutuvia kustannuksia, joita koituu asiakirja-aineistojen moninkertaisesta toimittamisesta terveysteknologian arviointiin liittyvien erilaisten kansallisten vaatimusten täyttämiseksi. </w:t>
      </w:r>
    </w:p>
    <w:p w14:paraId="60FCA984" w14:textId="047E771C" w:rsidR="002C3B80" w:rsidRPr="002D7686" w:rsidRDefault="002E4CC6" w:rsidP="002E4CC6">
      <w:pPr>
        <w:pStyle w:val="Heading2"/>
        <w:numPr>
          <w:ilvl w:val="0"/>
          <w:numId w:val="4"/>
        </w:numPr>
        <w:tabs>
          <w:tab w:val="left" w:pos="2268"/>
        </w:tabs>
        <w:overflowPunct/>
        <w:adjustRightInd/>
        <w:spacing w:after="120"/>
        <w:textAlignment w:val="auto"/>
      </w:pPr>
      <w:r>
        <w:t>ehdottaa, että asetuksessa viitattaisiin ennaltaehkäiseviin toimiin, jotka koskevat esimerkiksi sairaaloiden tukemista sairaalainfektioiden valvonnassa, ehkäisyssä ja rajoittamisessa ja lopulta hävittämisessä, ja ehdottaa, että asetuksen soveltamisalaa laajennetaan tai täydennetään tätä koskevilla säännöksillä.</w:t>
      </w:r>
    </w:p>
    <w:p w14:paraId="5800218A" w14:textId="77777777" w:rsidR="002C3B80" w:rsidRDefault="002C3B80" w:rsidP="002C3B80">
      <w:pPr>
        <w:tabs>
          <w:tab w:val="left" w:pos="2268"/>
        </w:tabs>
        <w:rPr>
          <w:szCs w:val="24"/>
        </w:rPr>
      </w:pPr>
    </w:p>
    <w:p w14:paraId="734AB018" w14:textId="77777777" w:rsidR="00C819D6" w:rsidRPr="002D7686" w:rsidRDefault="00C819D6" w:rsidP="002C3B80">
      <w:pPr>
        <w:tabs>
          <w:tab w:val="left" w:pos="2268"/>
        </w:tabs>
        <w:rPr>
          <w:szCs w:val="24"/>
        </w:rPr>
      </w:pPr>
    </w:p>
    <w:p w14:paraId="18139D40" w14:textId="77777777" w:rsidR="002C3B80" w:rsidRPr="00E3384D" w:rsidRDefault="002C3B80" w:rsidP="002C3B80">
      <w:pPr>
        <w:tabs>
          <w:tab w:val="left" w:pos="993"/>
        </w:tabs>
        <w:rPr>
          <w:i/>
          <w:szCs w:val="22"/>
        </w:rPr>
      </w:pPr>
      <w:r w:rsidRPr="00E3384D">
        <w:rPr>
          <w:b/>
          <w:i/>
          <w:szCs w:val="22"/>
        </w:rPr>
        <w:lastRenderedPageBreak/>
        <w:t>Yhteyshenkilö</w:t>
      </w:r>
      <w:r>
        <w:rPr>
          <w:szCs w:val="22"/>
        </w:rPr>
        <w:t>:</w:t>
      </w:r>
      <w:r>
        <w:rPr>
          <w:szCs w:val="22"/>
        </w:rPr>
        <w:tab/>
      </w:r>
      <w:r>
        <w:rPr>
          <w:i/>
          <w:szCs w:val="22"/>
        </w:rPr>
        <w:t xml:space="preserve">Jana </w:t>
      </w:r>
      <w:proofErr w:type="spellStart"/>
      <w:r>
        <w:rPr>
          <w:i/>
          <w:szCs w:val="22"/>
        </w:rPr>
        <w:t>Valant</w:t>
      </w:r>
      <w:proofErr w:type="spellEnd"/>
    </w:p>
    <w:p w14:paraId="43846C3A" w14:textId="77777777" w:rsidR="002C3B80" w:rsidRPr="00E3384D" w:rsidRDefault="002C3B80" w:rsidP="002C3B80">
      <w:pPr>
        <w:tabs>
          <w:tab w:val="left" w:pos="993"/>
        </w:tabs>
        <w:rPr>
          <w:i/>
          <w:szCs w:val="22"/>
        </w:rPr>
      </w:pPr>
      <w:r>
        <w:rPr>
          <w:i/>
          <w:szCs w:val="22"/>
        </w:rPr>
        <w:tab/>
      </w:r>
      <w:r>
        <w:rPr>
          <w:i/>
          <w:szCs w:val="22"/>
        </w:rPr>
        <w:tab/>
      </w:r>
      <w:r>
        <w:rPr>
          <w:i/>
          <w:szCs w:val="22"/>
        </w:rPr>
        <w:tab/>
      </w:r>
      <w:r w:rsidRPr="00E3384D">
        <w:rPr>
          <w:i/>
          <w:szCs w:val="22"/>
        </w:rPr>
        <w:t>(P. +32 2546</w:t>
      </w:r>
      <w:r>
        <w:rPr>
          <w:i/>
          <w:szCs w:val="22"/>
        </w:rPr>
        <w:t>8924</w:t>
      </w:r>
      <w:r w:rsidRPr="00E3384D">
        <w:rPr>
          <w:i/>
          <w:szCs w:val="22"/>
        </w:rPr>
        <w:t xml:space="preserve"> – </w:t>
      </w:r>
      <w:r w:rsidRPr="00E3384D">
        <w:rPr>
          <w:i/>
          <w:iCs/>
          <w:szCs w:val="22"/>
        </w:rPr>
        <w:t>sähköposti</w:t>
      </w:r>
      <w:r w:rsidRPr="00E3384D">
        <w:rPr>
          <w:i/>
          <w:szCs w:val="22"/>
        </w:rPr>
        <w:t>:</w:t>
      </w:r>
      <w:r w:rsidRPr="00244EAC">
        <w:t xml:space="preserve"> </w:t>
      </w:r>
      <w:hyperlink r:id="rId20" w:history="1">
        <w:r w:rsidRPr="00F51494">
          <w:rPr>
            <w:rStyle w:val="Hyperlink"/>
            <w:i/>
            <w:szCs w:val="22"/>
          </w:rPr>
          <w:t>jana.valant@eesc.europa.eu</w:t>
        </w:r>
      </w:hyperlink>
      <w:r>
        <w:rPr>
          <w:i/>
          <w:szCs w:val="22"/>
        </w:rPr>
        <w:t>)</w:t>
      </w:r>
    </w:p>
    <w:p w14:paraId="4354973C" w14:textId="77777777" w:rsidR="009D3309" w:rsidRDefault="009D3309" w:rsidP="00713F3A">
      <w:pPr>
        <w:tabs>
          <w:tab w:val="left" w:pos="1418"/>
          <w:tab w:val="left" w:pos="2268"/>
        </w:tabs>
      </w:pPr>
    </w:p>
    <w:p w14:paraId="1F3AC359" w14:textId="77777777" w:rsidR="009D3309" w:rsidRDefault="009D3309" w:rsidP="00713F3A">
      <w:pPr>
        <w:tabs>
          <w:tab w:val="left" w:pos="1418"/>
          <w:tab w:val="left" w:pos="2268"/>
        </w:tabs>
      </w:pPr>
    </w:p>
    <w:p w14:paraId="04BF2F5C" w14:textId="0F2D7B72" w:rsidR="00C363A1" w:rsidRPr="002D7686" w:rsidRDefault="00C363A1" w:rsidP="00C363A1">
      <w:pPr>
        <w:pStyle w:val="Heading1"/>
        <w:tabs>
          <w:tab w:val="left" w:pos="2268"/>
        </w:tabs>
        <w:ind w:left="567" w:hanging="567"/>
        <w:rPr>
          <w:b/>
          <w:caps/>
        </w:rPr>
      </w:pPr>
      <w:bookmarkStart w:id="5" w:name="_Toc514939920"/>
      <w:r>
        <w:rPr>
          <w:b/>
          <w:caps/>
        </w:rPr>
        <w:t>LIIKENNE, ENERGIA, INFRASTRUKTUURI JA TIETOYHTEISKUNTA</w:t>
      </w:r>
      <w:bookmarkEnd w:id="5"/>
    </w:p>
    <w:p w14:paraId="358882A3" w14:textId="77777777" w:rsidR="00C363A1" w:rsidRPr="002D7686" w:rsidRDefault="00C363A1" w:rsidP="00C363A1">
      <w:pPr>
        <w:tabs>
          <w:tab w:val="left" w:pos="2268"/>
        </w:tabs>
      </w:pPr>
    </w:p>
    <w:p w14:paraId="5108731E" w14:textId="11E5D7B7" w:rsidR="00C363A1" w:rsidRPr="002D7686" w:rsidRDefault="00FA150E" w:rsidP="00FA150E">
      <w:pPr>
        <w:pStyle w:val="ListParagraph"/>
        <w:widowControl w:val="0"/>
        <w:numPr>
          <w:ilvl w:val="0"/>
          <w:numId w:val="9"/>
        </w:numPr>
        <w:tabs>
          <w:tab w:val="left" w:pos="2268"/>
        </w:tabs>
        <w:rPr>
          <w:b/>
          <w:i/>
          <w:spacing w:val="-2"/>
          <w:sz w:val="28"/>
          <w:szCs w:val="28"/>
        </w:rPr>
      </w:pPr>
      <w:r w:rsidRPr="00FA150E">
        <w:rPr>
          <w:b/>
          <w:i/>
          <w:spacing w:val="-2"/>
          <w:sz w:val="28"/>
        </w:rPr>
        <w:t>Suurteholaskenta</w:t>
      </w:r>
    </w:p>
    <w:p w14:paraId="4C351FD0" w14:textId="77777777" w:rsidR="00C363A1" w:rsidRPr="002D7686" w:rsidRDefault="00C363A1" w:rsidP="00C363A1">
      <w:pPr>
        <w:widowControl w:val="0"/>
        <w:tabs>
          <w:tab w:val="left" w:pos="2268"/>
        </w:tabs>
      </w:pPr>
    </w:p>
    <w:p w14:paraId="2D124734" w14:textId="671F8D50" w:rsidR="00C363A1" w:rsidRPr="002D7686" w:rsidRDefault="00C363A1" w:rsidP="00C363A1">
      <w:r w:rsidRPr="002D7686">
        <w:rPr>
          <w:b/>
        </w:rPr>
        <w:t>Esittelijä:</w:t>
      </w:r>
      <w:r w:rsidRPr="002D7686">
        <w:tab/>
      </w:r>
      <w:r w:rsidRPr="002D7686">
        <w:tab/>
      </w:r>
      <w:r>
        <w:t xml:space="preserve">Ulrich SAMM </w:t>
      </w:r>
      <w:r w:rsidRPr="002D7686">
        <w:t xml:space="preserve">(työnantajat – </w:t>
      </w:r>
      <w:r>
        <w:t>DE</w:t>
      </w:r>
      <w:r w:rsidRPr="002D7686">
        <w:t>)</w:t>
      </w:r>
    </w:p>
    <w:p w14:paraId="31426B29" w14:textId="31B1E3C5" w:rsidR="00C363A1" w:rsidRPr="002D7686" w:rsidRDefault="00C363A1" w:rsidP="00C363A1">
      <w:pPr>
        <w:rPr>
          <w:highlight w:val="yellow"/>
        </w:rPr>
      </w:pPr>
      <w:r w:rsidRPr="002D7686">
        <w:rPr>
          <w:b/>
        </w:rPr>
        <w:t>Toinen esittelijä:</w:t>
      </w:r>
      <w:r w:rsidRPr="002D7686">
        <w:tab/>
      </w:r>
      <w:r>
        <w:t xml:space="preserve">Antonio LONGO </w:t>
      </w:r>
      <w:r w:rsidRPr="002D7686">
        <w:t>(</w:t>
      </w:r>
      <w:r>
        <w:t>moninainen Eurooppa</w:t>
      </w:r>
      <w:r w:rsidRPr="002D7686">
        <w:t xml:space="preserve"> – </w:t>
      </w:r>
      <w:r>
        <w:t>IT</w:t>
      </w:r>
      <w:r w:rsidRPr="002D7686">
        <w:t>)</w:t>
      </w:r>
    </w:p>
    <w:p w14:paraId="5C15D27E" w14:textId="77777777" w:rsidR="00C363A1" w:rsidRPr="002D7686" w:rsidRDefault="00C363A1" w:rsidP="00C363A1"/>
    <w:p w14:paraId="1F75B926" w14:textId="113CE0B6" w:rsidR="00C363A1" w:rsidRDefault="00C363A1" w:rsidP="00C363A1">
      <w:pPr>
        <w:tabs>
          <w:tab w:val="left" w:pos="1701"/>
        </w:tabs>
        <w:rPr>
          <w:lang w:val="en-GB"/>
        </w:rPr>
      </w:pPr>
      <w:r w:rsidRPr="002D7686">
        <w:rPr>
          <w:b/>
        </w:rPr>
        <w:t>Viiteasiakirja</w:t>
      </w:r>
      <w:r>
        <w:rPr>
          <w:b/>
        </w:rPr>
        <w:t>t</w:t>
      </w:r>
      <w:r w:rsidRPr="002D7686">
        <w:rPr>
          <w:b/>
        </w:rPr>
        <w:t>:</w:t>
      </w:r>
      <w:r w:rsidRPr="002D7686">
        <w:tab/>
      </w:r>
      <w:r>
        <w:rPr>
          <w:lang w:val="en-GB"/>
        </w:rPr>
        <w:t>COM(2018) 8 final –</w:t>
      </w:r>
      <w:r w:rsidRPr="00FE237B">
        <w:rPr>
          <w:lang w:val="en-GB"/>
        </w:rPr>
        <w:t xml:space="preserve"> 2018/0003</w:t>
      </w:r>
      <w:r w:rsidR="009C0291">
        <w:rPr>
          <w:lang w:val="en-GB"/>
        </w:rPr>
        <w:t xml:space="preserve"> </w:t>
      </w:r>
      <w:r w:rsidRPr="00FE237B">
        <w:rPr>
          <w:lang w:val="en-GB"/>
        </w:rPr>
        <w:t>(NLE)</w:t>
      </w:r>
    </w:p>
    <w:p w14:paraId="4C391A5E" w14:textId="01A35CCC" w:rsidR="00C363A1" w:rsidRPr="002D7686" w:rsidRDefault="00C363A1" w:rsidP="00C363A1">
      <w:pPr>
        <w:rPr>
          <w:rFonts w:eastAsiaTheme="minorEastAsia"/>
        </w:rPr>
      </w:pPr>
      <w:r>
        <w:rPr>
          <w:lang w:val="en-GB"/>
        </w:rPr>
        <w:tab/>
      </w:r>
      <w:r>
        <w:rPr>
          <w:lang w:val="en-GB"/>
        </w:rPr>
        <w:tab/>
      </w:r>
      <w:r>
        <w:rPr>
          <w:lang w:val="en-GB"/>
        </w:rPr>
        <w:tab/>
      </w:r>
      <w:r w:rsidRPr="00FE237B">
        <w:rPr>
          <w:lang w:val="en-GB"/>
        </w:rPr>
        <w:t>EESC-2018-00354-00-00-A</w:t>
      </w:r>
      <w:r>
        <w:rPr>
          <w:lang w:val="en-GB"/>
        </w:rPr>
        <w:t>C</w:t>
      </w:r>
      <w:r w:rsidRPr="00FE237B">
        <w:rPr>
          <w:lang w:val="en-GB"/>
        </w:rPr>
        <w:t>-TRA</w:t>
      </w:r>
    </w:p>
    <w:p w14:paraId="45B565E2" w14:textId="77777777" w:rsidR="00C363A1" w:rsidRPr="002D7686" w:rsidRDefault="00C363A1" w:rsidP="00C363A1">
      <w:pPr>
        <w:tabs>
          <w:tab w:val="left" w:pos="2268"/>
        </w:tabs>
        <w:jc w:val="left"/>
      </w:pPr>
    </w:p>
    <w:p w14:paraId="5B1271DB" w14:textId="77777777" w:rsidR="00C363A1" w:rsidRPr="002D7686" w:rsidRDefault="00C363A1" w:rsidP="00C363A1">
      <w:pPr>
        <w:tabs>
          <w:tab w:val="left" w:pos="2268"/>
        </w:tabs>
      </w:pPr>
      <w:r w:rsidRPr="002D7686">
        <w:rPr>
          <w:b/>
        </w:rPr>
        <w:t>Keskeiset kohdat:</w:t>
      </w:r>
    </w:p>
    <w:p w14:paraId="0B707312" w14:textId="77777777" w:rsidR="005B5047" w:rsidRDefault="005B5047" w:rsidP="00C363A1">
      <w:pPr>
        <w:widowControl w:val="0"/>
        <w:tabs>
          <w:tab w:val="left" w:pos="2268"/>
        </w:tabs>
      </w:pPr>
    </w:p>
    <w:p w14:paraId="73FB2AD7" w14:textId="3CC3EC2E" w:rsidR="005B5047" w:rsidRPr="002D7686" w:rsidRDefault="005B5047" w:rsidP="00C363A1">
      <w:pPr>
        <w:widowControl w:val="0"/>
        <w:tabs>
          <w:tab w:val="left" w:pos="2268"/>
        </w:tabs>
      </w:pPr>
      <w:r>
        <w:t>ETSK</w:t>
      </w:r>
    </w:p>
    <w:p w14:paraId="3E2C4997" w14:textId="07DE995C" w:rsidR="00FA150E" w:rsidRDefault="00FA150E" w:rsidP="00FA150E">
      <w:pPr>
        <w:pStyle w:val="Heading2"/>
        <w:numPr>
          <w:ilvl w:val="0"/>
          <w:numId w:val="4"/>
        </w:numPr>
        <w:tabs>
          <w:tab w:val="left" w:pos="2268"/>
        </w:tabs>
        <w:overflowPunct/>
        <w:adjustRightInd/>
        <w:spacing w:after="120"/>
        <w:textAlignment w:val="auto"/>
      </w:pPr>
      <w:r>
        <w:t>kannattaa tarkasteltavana olevaa aloitetta suurteholaskennan yhteisyrityksen (</w:t>
      </w:r>
      <w:proofErr w:type="spellStart"/>
      <w:r>
        <w:t>EuroHPC</w:t>
      </w:r>
      <w:proofErr w:type="spellEnd"/>
      <w:r>
        <w:t xml:space="preserve">) perustamiseksi tervetulleena konkreettisena, eurooppalaisen pilvipalvelustrategian mukaisena askeleena sekä osana EU:n laajempaa strategiaa (johon sisältyvät kyberturvallisuus, digitaaliset sisämarkkinat, eurooppalainen gigabittiyhteiskunta, avoin tiede yms.). Aloite tuo selkeää EU:n lisäarvoa hyödyntämällä keskeistä tekniikkaa, joka auttaa kohtaamaan modernin yhteiskuntamme suurimmat haasteet ja tuo viime kädessä hyötyä hyvinvoinnin, kilpailukyvyn ja työpaikkojen muodossa. </w:t>
      </w:r>
    </w:p>
    <w:p w14:paraId="51CD9A2F" w14:textId="16E2C1F1" w:rsidR="00FA150E" w:rsidRDefault="00FA150E" w:rsidP="00FA150E">
      <w:pPr>
        <w:pStyle w:val="Heading2"/>
        <w:numPr>
          <w:ilvl w:val="0"/>
          <w:numId w:val="4"/>
        </w:numPr>
        <w:tabs>
          <w:tab w:val="left" w:pos="2268"/>
        </w:tabs>
        <w:overflowPunct/>
        <w:adjustRightInd/>
        <w:spacing w:after="120"/>
        <w:textAlignment w:val="auto"/>
      </w:pPr>
      <w:r>
        <w:t xml:space="preserve">ETSK pitää miljardin euron alkuinvestointia maailmanluokan supertietokoneiden hankintaa ja käyttöä varten merkittävän suurena, muttei kuitenkaan liian kunnianhimoisena kilpailijoidensa – Yhdysvaltojen ja Kiinan – panostuksiin verrattuna. ETSK on vakuuttunut siitä, että (EU:n jäsenvaltioissa) tehtävien investointien merkittävä lisääminen yhdessä vahvan eurooppalaisen tutkimus- ja kehittämisohjelman kanssa ovat tarpeen maailmanluokan tason ylläpitämiseksi suurteholaskentasovelluksissa. Koska kilpajuoksu jatkuu, ei ole epäilystäkään siitä, </w:t>
      </w:r>
      <w:proofErr w:type="gramStart"/>
      <w:r>
        <w:t>etteikö</w:t>
      </w:r>
      <w:proofErr w:type="gramEnd"/>
      <w:r>
        <w:t xml:space="preserve"> vastaavaa panostusta vaadittaisi myös seuraavan monivuotisen rahoituskehyksen aikana.  </w:t>
      </w:r>
    </w:p>
    <w:p w14:paraId="769E8A06" w14:textId="2ADB0176" w:rsidR="00C363A1" w:rsidRDefault="00FA150E" w:rsidP="00FA150E">
      <w:pPr>
        <w:pStyle w:val="Heading2"/>
        <w:numPr>
          <w:ilvl w:val="0"/>
          <w:numId w:val="4"/>
        </w:numPr>
        <w:tabs>
          <w:tab w:val="left" w:pos="2268"/>
        </w:tabs>
        <w:overflowPunct/>
        <w:adjustRightInd/>
        <w:spacing w:after="120"/>
        <w:textAlignment w:val="auto"/>
      </w:pPr>
      <w:r>
        <w:t xml:space="preserve">ETSK kannattaa teollista toimintamallia pientehomikroprosessorien seuraavan sukupolven kehittämiseksi Euroopassa. Tämä vähentäisi Euroopan riippuvuutta tuontitavaroista ja takaisi huipputason suurteholaskentateknologian saatavuuden. Tällaisten mikroprosessorien kehittäminen vaikuttaa myös pienen mittakaavan laskentaan, koska huipputason integroidut piirit voidaan mukauttaa (mittakaavaa pienentämällä) massamarkkinoiden sovelluksiin (tietokoneet, älypuhelimet, autoteollisuus).  </w:t>
      </w:r>
    </w:p>
    <w:p w14:paraId="19FFF9CB" w14:textId="77777777" w:rsidR="00C363A1" w:rsidRPr="00C363A1" w:rsidRDefault="00C363A1" w:rsidP="00C363A1"/>
    <w:p w14:paraId="5B827189" w14:textId="77777777" w:rsidR="009C0291" w:rsidRPr="00E3384D" w:rsidRDefault="009C0291" w:rsidP="009C0291">
      <w:pPr>
        <w:tabs>
          <w:tab w:val="left" w:pos="993"/>
        </w:tabs>
      </w:pPr>
      <w:r>
        <w:rPr>
          <w:b/>
          <w:bCs/>
          <w:i/>
          <w:iCs/>
        </w:rPr>
        <w:t>Yhteyshenkilö:</w:t>
      </w:r>
      <w:r>
        <w:rPr>
          <w:b/>
          <w:bCs/>
          <w:i/>
          <w:iCs/>
        </w:rPr>
        <w:tab/>
      </w:r>
      <w:r>
        <w:rPr>
          <w:i/>
        </w:rPr>
        <w:t xml:space="preserve">Maja </w:t>
      </w:r>
      <w:proofErr w:type="spellStart"/>
      <w:r>
        <w:rPr>
          <w:i/>
        </w:rPr>
        <w:t>Radman</w:t>
      </w:r>
      <w:proofErr w:type="spellEnd"/>
    </w:p>
    <w:p w14:paraId="364A6B63" w14:textId="60068DE7" w:rsidR="009C0291" w:rsidRPr="00E3384D" w:rsidRDefault="009C0291" w:rsidP="009C0291">
      <w:pPr>
        <w:tabs>
          <w:tab w:val="left" w:pos="993"/>
        </w:tabs>
      </w:pPr>
      <w:r>
        <w:rPr>
          <w:i/>
        </w:rPr>
        <w:tab/>
      </w:r>
      <w:r>
        <w:rPr>
          <w:i/>
        </w:rPr>
        <w:tab/>
      </w:r>
      <w:r>
        <w:rPr>
          <w:i/>
        </w:rPr>
        <w:tab/>
      </w:r>
      <w:r w:rsidRPr="00E3384D">
        <w:rPr>
          <w:i/>
        </w:rPr>
        <w:t>(P. +32 2546</w:t>
      </w:r>
      <w:r>
        <w:rPr>
          <w:i/>
        </w:rPr>
        <w:t>9051</w:t>
      </w:r>
      <w:r w:rsidRPr="00E3384D">
        <w:rPr>
          <w:i/>
        </w:rPr>
        <w:t xml:space="preserve"> – sähköposti:</w:t>
      </w:r>
      <w:r w:rsidRPr="00195098">
        <w:t xml:space="preserve"> </w:t>
      </w:r>
      <w:hyperlink r:id="rId21" w:history="1">
        <w:r w:rsidRPr="007C64A8">
          <w:rPr>
            <w:rStyle w:val="Hyperlink"/>
            <w:i/>
          </w:rPr>
          <w:t>maja.radman@eesc.europa.eu</w:t>
        </w:r>
      </w:hyperlink>
      <w:r w:rsidRPr="00E3384D">
        <w:rPr>
          <w:i/>
        </w:rPr>
        <w:t>)</w:t>
      </w:r>
    </w:p>
    <w:p w14:paraId="7FC37869" w14:textId="77777777" w:rsidR="00C363A1" w:rsidRPr="002D7686" w:rsidRDefault="00C363A1" w:rsidP="00C363A1">
      <w:pPr>
        <w:tabs>
          <w:tab w:val="left" w:pos="1418"/>
          <w:tab w:val="left" w:pos="2268"/>
        </w:tabs>
        <w:rPr>
          <w:i/>
          <w:iCs/>
        </w:rPr>
      </w:pPr>
    </w:p>
    <w:p w14:paraId="560BA380" w14:textId="77777777" w:rsidR="009D3309" w:rsidRDefault="009D3309" w:rsidP="00713F3A">
      <w:pPr>
        <w:tabs>
          <w:tab w:val="left" w:pos="1418"/>
          <w:tab w:val="left" w:pos="2268"/>
        </w:tabs>
      </w:pPr>
    </w:p>
    <w:p w14:paraId="13527F55" w14:textId="77777777" w:rsidR="00C819D6" w:rsidRDefault="00C819D6" w:rsidP="00713F3A">
      <w:pPr>
        <w:tabs>
          <w:tab w:val="left" w:pos="1418"/>
          <w:tab w:val="left" w:pos="2268"/>
        </w:tabs>
      </w:pPr>
    </w:p>
    <w:p w14:paraId="5EEBA809" w14:textId="77777777" w:rsidR="00C819D6" w:rsidRPr="002D7686" w:rsidRDefault="00C819D6" w:rsidP="00713F3A">
      <w:pPr>
        <w:tabs>
          <w:tab w:val="left" w:pos="1418"/>
          <w:tab w:val="left" w:pos="2268"/>
        </w:tabs>
      </w:pPr>
    </w:p>
    <w:p w14:paraId="2C8B7C15" w14:textId="77777777" w:rsidR="0099413E" w:rsidRPr="002D7686" w:rsidRDefault="00AF1968" w:rsidP="00713F3A">
      <w:pPr>
        <w:pStyle w:val="Heading1"/>
        <w:tabs>
          <w:tab w:val="left" w:pos="2268"/>
        </w:tabs>
        <w:ind w:left="567" w:hanging="567"/>
        <w:rPr>
          <w:b/>
          <w:caps/>
        </w:rPr>
      </w:pPr>
      <w:bookmarkStart w:id="6" w:name="_Toc506371472"/>
      <w:bookmarkStart w:id="7" w:name="_Toc514939921"/>
      <w:r w:rsidRPr="002D7686">
        <w:rPr>
          <w:b/>
          <w:caps/>
        </w:rPr>
        <w:lastRenderedPageBreak/>
        <w:t>Ulkosuhteet</w:t>
      </w:r>
      <w:bookmarkEnd w:id="6"/>
      <w:bookmarkEnd w:id="7"/>
    </w:p>
    <w:p w14:paraId="2C8B7C16" w14:textId="77777777" w:rsidR="009E1A1C" w:rsidRPr="002D7686" w:rsidRDefault="009E1A1C" w:rsidP="00713F3A">
      <w:pPr>
        <w:tabs>
          <w:tab w:val="left" w:pos="2268"/>
        </w:tabs>
      </w:pPr>
    </w:p>
    <w:p w14:paraId="2C8B7C17" w14:textId="6359AB7C" w:rsidR="002831ED" w:rsidRPr="002D7686" w:rsidRDefault="00BB4C56" w:rsidP="00BB4C56">
      <w:pPr>
        <w:pStyle w:val="ListParagraph"/>
        <w:widowControl w:val="0"/>
        <w:numPr>
          <w:ilvl w:val="0"/>
          <w:numId w:val="9"/>
        </w:numPr>
        <w:tabs>
          <w:tab w:val="left" w:pos="2268"/>
        </w:tabs>
        <w:rPr>
          <w:b/>
          <w:i/>
          <w:spacing w:val="-2"/>
          <w:sz w:val="28"/>
          <w:szCs w:val="28"/>
        </w:rPr>
      </w:pPr>
      <w:r w:rsidRPr="00BB4C56">
        <w:rPr>
          <w:b/>
          <w:i/>
          <w:spacing w:val="-2"/>
          <w:sz w:val="28"/>
        </w:rPr>
        <w:t>EU:n ja Mercosurin assosiaatiosopimus</w:t>
      </w:r>
    </w:p>
    <w:p w14:paraId="2C8B7C18" w14:textId="77777777" w:rsidR="002831ED" w:rsidRPr="002D7686" w:rsidRDefault="002831ED" w:rsidP="00713F3A">
      <w:pPr>
        <w:widowControl w:val="0"/>
        <w:tabs>
          <w:tab w:val="left" w:pos="2268"/>
        </w:tabs>
      </w:pPr>
    </w:p>
    <w:p w14:paraId="2C8B7C19" w14:textId="4FB7BDD1" w:rsidR="002831ED" w:rsidRPr="002D7686" w:rsidRDefault="002831ED" w:rsidP="00D62C96">
      <w:r w:rsidRPr="002D7686">
        <w:rPr>
          <w:b/>
        </w:rPr>
        <w:t>Esittelijä:</w:t>
      </w:r>
      <w:r w:rsidRPr="002D7686">
        <w:tab/>
      </w:r>
      <w:r w:rsidR="00D62C96" w:rsidRPr="002D7686">
        <w:tab/>
      </w:r>
      <w:proofErr w:type="spellStart"/>
      <w:r w:rsidR="00F514EA" w:rsidRPr="0087711E">
        <w:rPr>
          <w:lang w:val="en-GB" w:eastAsia="en-GB" w:bidi="en-GB"/>
        </w:rPr>
        <w:t>Josep</w:t>
      </w:r>
      <w:proofErr w:type="spellEnd"/>
      <w:r w:rsidR="00F514EA" w:rsidRPr="0087711E">
        <w:rPr>
          <w:lang w:val="en-GB" w:eastAsia="en-GB" w:bidi="en-GB"/>
        </w:rPr>
        <w:t xml:space="preserve"> PUXEU ROCAMORA</w:t>
      </w:r>
      <w:r w:rsidR="00F514EA">
        <w:rPr>
          <w:lang w:val="en-GB" w:eastAsia="en-GB" w:bidi="en-GB"/>
        </w:rPr>
        <w:t xml:space="preserve"> </w:t>
      </w:r>
      <w:r w:rsidRPr="002D7686">
        <w:t>(</w:t>
      </w:r>
      <w:r w:rsidR="00F514EA" w:rsidRPr="002D7686">
        <w:t xml:space="preserve">työnantajat </w:t>
      </w:r>
      <w:r w:rsidRPr="002D7686">
        <w:t xml:space="preserve">– </w:t>
      </w:r>
      <w:r w:rsidR="00F514EA">
        <w:t>ES</w:t>
      </w:r>
      <w:r w:rsidRPr="002D7686">
        <w:t>)</w:t>
      </w:r>
    </w:p>
    <w:p w14:paraId="53D4016C" w14:textId="4B5D3C46" w:rsidR="00C968DB" w:rsidRPr="002D7686" w:rsidRDefault="00C968DB" w:rsidP="00D62C96">
      <w:pPr>
        <w:rPr>
          <w:highlight w:val="yellow"/>
        </w:rPr>
      </w:pPr>
      <w:r w:rsidRPr="002D7686">
        <w:rPr>
          <w:b/>
        </w:rPr>
        <w:t>Toinen esittelijä:</w:t>
      </w:r>
      <w:r w:rsidRPr="002D7686">
        <w:tab/>
      </w:r>
      <w:proofErr w:type="spellStart"/>
      <w:r w:rsidR="00F514EA" w:rsidRPr="0087711E">
        <w:rPr>
          <w:color w:val="000000"/>
          <w:lang w:val="en-GB" w:eastAsia="en-GB" w:bidi="en-GB"/>
        </w:rPr>
        <w:t>Mário</w:t>
      </w:r>
      <w:proofErr w:type="spellEnd"/>
      <w:r w:rsidR="00F514EA" w:rsidRPr="0087711E">
        <w:rPr>
          <w:color w:val="000000"/>
          <w:lang w:val="en-GB" w:eastAsia="en-GB" w:bidi="en-GB"/>
        </w:rPr>
        <w:t xml:space="preserve"> SOARES</w:t>
      </w:r>
      <w:r w:rsidR="00F514EA">
        <w:rPr>
          <w:color w:val="000000"/>
          <w:lang w:val="en-GB" w:eastAsia="en-GB" w:bidi="en-GB"/>
        </w:rPr>
        <w:t xml:space="preserve"> </w:t>
      </w:r>
      <w:r w:rsidR="00F514EA">
        <w:t>(moninainen Eurooppa</w:t>
      </w:r>
      <w:r w:rsidR="00F514EA" w:rsidRPr="002D7686">
        <w:t xml:space="preserve"> </w:t>
      </w:r>
      <w:r w:rsidR="00F514EA">
        <w:t>– PT</w:t>
      </w:r>
      <w:r w:rsidRPr="002D7686">
        <w:t>)</w:t>
      </w:r>
    </w:p>
    <w:p w14:paraId="2C8B7C1A" w14:textId="77777777" w:rsidR="002831ED" w:rsidRPr="002D7686" w:rsidRDefault="002831ED" w:rsidP="00D62C96"/>
    <w:p w14:paraId="2C8B7C1C" w14:textId="1F474185" w:rsidR="00E35AA3" w:rsidRDefault="009E1A1C" w:rsidP="00D62C96">
      <w:pPr>
        <w:rPr>
          <w:lang w:val="en-GB" w:eastAsia="en-GB" w:bidi="en-GB"/>
        </w:rPr>
      </w:pPr>
      <w:r w:rsidRPr="002D7686">
        <w:rPr>
          <w:b/>
        </w:rPr>
        <w:t>Viiteasiakirja:</w:t>
      </w:r>
      <w:r w:rsidRPr="002D7686">
        <w:tab/>
      </w:r>
      <w:r w:rsidR="00F514EA" w:rsidRPr="007C2897">
        <w:rPr>
          <w:lang w:val="en-GB" w:eastAsia="en-GB" w:bidi="en-GB"/>
        </w:rPr>
        <w:t>EESC-</w:t>
      </w:r>
      <w:proofErr w:type="gramStart"/>
      <w:r w:rsidR="00F514EA" w:rsidRPr="007C2897">
        <w:rPr>
          <w:lang w:val="en-GB" w:eastAsia="en-GB" w:bidi="en-GB"/>
        </w:rPr>
        <w:t>2018-01010</w:t>
      </w:r>
      <w:proofErr w:type="gramEnd"/>
      <w:r w:rsidR="00F514EA" w:rsidRPr="007C2897">
        <w:rPr>
          <w:lang w:val="en-GB" w:eastAsia="en-GB" w:bidi="en-GB"/>
        </w:rPr>
        <w:t>-00-00-A</w:t>
      </w:r>
      <w:r w:rsidR="00F514EA">
        <w:rPr>
          <w:lang w:val="en-GB" w:eastAsia="en-GB" w:bidi="en-GB"/>
        </w:rPr>
        <w:t>C</w:t>
      </w:r>
      <w:r w:rsidR="00F514EA" w:rsidRPr="007C2897">
        <w:rPr>
          <w:lang w:val="en-GB" w:eastAsia="en-GB" w:bidi="en-GB"/>
        </w:rPr>
        <w:t>-TRA</w:t>
      </w:r>
    </w:p>
    <w:p w14:paraId="0BA95ABE" w14:textId="2CFE0C24" w:rsidR="00F514EA" w:rsidRPr="002D7686" w:rsidRDefault="00F514EA" w:rsidP="00D62C96">
      <w:pPr>
        <w:rPr>
          <w:rFonts w:eastAsiaTheme="minorEastAsia"/>
        </w:rPr>
      </w:pPr>
      <w:r>
        <w:rPr>
          <w:lang w:val="en-GB" w:eastAsia="en-GB" w:bidi="en-GB"/>
        </w:rPr>
        <w:tab/>
      </w:r>
      <w:r>
        <w:rPr>
          <w:lang w:val="en-GB" w:eastAsia="en-GB" w:bidi="en-GB"/>
        </w:rPr>
        <w:tab/>
      </w:r>
      <w:r>
        <w:rPr>
          <w:lang w:val="en-GB" w:eastAsia="en-GB" w:bidi="en-GB"/>
        </w:rPr>
        <w:tab/>
      </w:r>
      <w:proofErr w:type="spellStart"/>
      <w:proofErr w:type="gramStart"/>
      <w:r>
        <w:rPr>
          <w:lang w:val="en-GB" w:eastAsia="en-GB" w:bidi="en-GB"/>
        </w:rPr>
        <w:t>oma-aloitteinen</w:t>
      </w:r>
      <w:proofErr w:type="spellEnd"/>
      <w:proofErr w:type="gramEnd"/>
      <w:r>
        <w:rPr>
          <w:lang w:val="en-GB" w:eastAsia="en-GB" w:bidi="en-GB"/>
        </w:rPr>
        <w:t xml:space="preserve"> </w:t>
      </w:r>
      <w:proofErr w:type="spellStart"/>
      <w:r>
        <w:rPr>
          <w:lang w:val="en-GB" w:eastAsia="en-GB" w:bidi="en-GB"/>
        </w:rPr>
        <w:t>lausunto</w:t>
      </w:r>
      <w:proofErr w:type="spellEnd"/>
    </w:p>
    <w:p w14:paraId="2C8B7C1D" w14:textId="77777777" w:rsidR="00E35AA3" w:rsidRPr="002D7686" w:rsidRDefault="00E35AA3" w:rsidP="00713F3A">
      <w:pPr>
        <w:tabs>
          <w:tab w:val="left" w:pos="2268"/>
        </w:tabs>
        <w:jc w:val="left"/>
      </w:pPr>
    </w:p>
    <w:p w14:paraId="2C8B7C1E" w14:textId="77777777" w:rsidR="002831ED" w:rsidRPr="002D7686" w:rsidRDefault="002831ED" w:rsidP="00713F3A">
      <w:pPr>
        <w:tabs>
          <w:tab w:val="left" w:pos="2268"/>
        </w:tabs>
      </w:pPr>
      <w:r w:rsidRPr="002D7686">
        <w:rPr>
          <w:b/>
        </w:rPr>
        <w:t>Keskeiset kohdat:</w:t>
      </w:r>
    </w:p>
    <w:p w14:paraId="2C8B7C1F" w14:textId="77777777" w:rsidR="002831ED" w:rsidRPr="002D7686" w:rsidRDefault="002831ED" w:rsidP="00713F3A">
      <w:pPr>
        <w:widowControl w:val="0"/>
        <w:tabs>
          <w:tab w:val="left" w:pos="2268"/>
        </w:tabs>
      </w:pPr>
    </w:p>
    <w:p w14:paraId="52F7DA1F" w14:textId="77777777" w:rsidR="00354E8B" w:rsidRDefault="00354E8B" w:rsidP="00354E8B">
      <w:pPr>
        <w:pStyle w:val="Heading2"/>
        <w:numPr>
          <w:ilvl w:val="0"/>
          <w:numId w:val="4"/>
        </w:numPr>
        <w:tabs>
          <w:tab w:val="left" w:pos="2268"/>
        </w:tabs>
        <w:overflowPunct/>
        <w:adjustRightInd/>
        <w:spacing w:after="120"/>
        <w:textAlignment w:val="auto"/>
      </w:pPr>
      <w:r>
        <w:t xml:space="preserve">ETSK katsoo, että tämänkaltainen sopimus on mahdollinen ainoastaan, jos se on tasapainoinen, hyödyttää keskipitkällä ja pitkällä aikavälillä molempia osapuolia ja jos se ei ole vahingoksi millekään erityiselle alalle (kuten maataloudelle tai teollisuudelle), alueelle tai maalle. Assosiaatiosopimus ei voi missään tapauksessa perustua huonoon neuvotteluprosessiin.  </w:t>
      </w:r>
    </w:p>
    <w:p w14:paraId="71C54E8C" w14:textId="77777777" w:rsidR="00354E8B" w:rsidRDefault="00354E8B" w:rsidP="00354E8B">
      <w:pPr>
        <w:pStyle w:val="Heading2"/>
        <w:numPr>
          <w:ilvl w:val="0"/>
          <w:numId w:val="4"/>
        </w:numPr>
        <w:tabs>
          <w:tab w:val="left" w:pos="2268"/>
        </w:tabs>
        <w:overflowPunct/>
        <w:adjustRightInd/>
        <w:spacing w:after="120"/>
        <w:textAlignment w:val="auto"/>
      </w:pPr>
      <w:r>
        <w:t xml:space="preserve">Ottaen huomioon kaikki yhteistyöhön ja poliittiseen vuoropuheluun liittyvät seikat (kaksi assosiaatiosopimuksen kolmesta keskeisestä pilarista) ETSK kehottaa neuvotteluosapuolia osoittamaan sopimuksen aikaansaamiseksi tarvittavaa mahdollisimman vahvaa poliittista tahtoa sekä tekemään kaikkensa kaupallisia kysymyksiä tällä hetkellä koskevien erimielisyyksien ratkaisemiseksi. Osapuolien tulisi tunnustaa eräisiin neuvottelujen piiriin kuuluviin aloihin liittyvät arkaluonteiset näkökohdat ja pyrkiä tavoitteeseen erilaisin keinoin, joita ovat eroavuuksien tunnustaminen, sovittujen näkökohtien seuranta, tuki- ja tasoitustoimenpiteet, poikkeuksista sopiminen, kehityssuunnitelmat eniten kärsivien alojen tukemiseksi, investointien edistäminen, innovointipolitiikat ja korvaus-, siirtymä- ja kehittämislausekkeet. Lisäksi muun muassa tukitoimenpiteiden tulisi käsittää kaikki EU:n politiikat. </w:t>
      </w:r>
    </w:p>
    <w:p w14:paraId="6D8D18A0" w14:textId="77777777" w:rsidR="00354E8B" w:rsidRDefault="00354E8B" w:rsidP="00354E8B">
      <w:pPr>
        <w:pStyle w:val="Heading2"/>
        <w:numPr>
          <w:ilvl w:val="0"/>
          <w:numId w:val="4"/>
        </w:numPr>
        <w:tabs>
          <w:tab w:val="left" w:pos="2268"/>
        </w:tabs>
        <w:overflowPunct/>
        <w:adjustRightInd/>
        <w:spacing w:after="120"/>
        <w:textAlignment w:val="auto"/>
      </w:pPr>
      <w:r>
        <w:t xml:space="preserve">ETSK katsoo, että Atlantin molemmin puolin käynnissä olevat syvälliset digitaaliset muutokset voisivat vauhdittaa merkittävästi EU:n ja Mercosurin välillä allekirjoitettavan assosiaatiosopimuksen potentiaalin hyödyntämistä. Sopimuksesta mahdollisesti hyötyvillä aloilla tulisi harkita nykyisin erittäin heikkojen globaalien arvoketjujen vahvistamista EU:n ja Mercosurin välillä. </w:t>
      </w:r>
    </w:p>
    <w:p w14:paraId="081075B4" w14:textId="77777777" w:rsidR="00354E8B" w:rsidRDefault="00354E8B" w:rsidP="00354E8B">
      <w:pPr>
        <w:pStyle w:val="Heading2"/>
        <w:numPr>
          <w:ilvl w:val="0"/>
          <w:numId w:val="4"/>
        </w:numPr>
        <w:tabs>
          <w:tab w:val="left" w:pos="2268"/>
        </w:tabs>
        <w:overflowPunct/>
        <w:adjustRightInd/>
        <w:spacing w:after="120"/>
        <w:textAlignment w:val="auto"/>
      </w:pPr>
      <w:r>
        <w:t xml:space="preserve">Assosiaatiosopimuksella olisi merkitystä myös kaikessa infrastruktuurien ja etenkin </w:t>
      </w:r>
      <w:proofErr w:type="spellStart"/>
      <w:r>
        <w:t>yhteenliitäntäinfrastruktuurien</w:t>
      </w:r>
      <w:proofErr w:type="spellEnd"/>
      <w:r>
        <w:t xml:space="preserve"> rakentamiseen, uusiutuvien energiamuotojen kehittämiseen sekä varsinkin tietoliikennealaan liittyvässä toiminnassa. </w:t>
      </w:r>
    </w:p>
    <w:p w14:paraId="43217E73" w14:textId="77777777" w:rsidR="00354E8B" w:rsidRDefault="00354E8B" w:rsidP="00354E8B">
      <w:pPr>
        <w:pStyle w:val="Heading2"/>
        <w:numPr>
          <w:ilvl w:val="0"/>
          <w:numId w:val="4"/>
        </w:numPr>
        <w:tabs>
          <w:tab w:val="left" w:pos="2268"/>
        </w:tabs>
        <w:overflowPunct/>
        <w:adjustRightInd/>
        <w:spacing w:after="120"/>
        <w:textAlignment w:val="auto"/>
      </w:pPr>
      <w:r>
        <w:t xml:space="preserve">ETSK kehottaa neuvotteluosapuolia ja erityisesti EU:ta arvioimaan korkeita poliittisia, taloudellisia sekä menetettyihin mahdollisuuksiin liittyviä kustannuksia, joita aiheutuisi sopimuksen syntymättä jäämisestä tai siitä, että päädyttäisiin sopimukseen, joka ei ole molempien osapuolien kannalta tasapainoinen. On selvää, että sopimuksen syntymättä jäämisen kustannuksia laskettaessa ei pidä ajatella ainoastaan Mercosur-maita, vaan on otettava huomioon myös Latinalainen Amerikka kokonaisuutena ja varsinkin Tyynenmeren </w:t>
      </w:r>
      <w:proofErr w:type="gramStart"/>
      <w:r>
        <w:t>allianssiin  kuuluvat</w:t>
      </w:r>
      <w:proofErr w:type="gramEnd"/>
      <w:r>
        <w:t xml:space="preserve"> maat, joista on tullut yksi Euroopan tärkeimmistä huomion kohteista Latinalaisen Amerikan alueellisessa yhdentymisprosessissa.  </w:t>
      </w:r>
    </w:p>
    <w:p w14:paraId="0CCEB5CD" w14:textId="77777777" w:rsidR="00354E8B" w:rsidRDefault="00354E8B" w:rsidP="00354E8B">
      <w:pPr>
        <w:pStyle w:val="Heading2"/>
        <w:numPr>
          <w:ilvl w:val="0"/>
          <w:numId w:val="4"/>
        </w:numPr>
        <w:tabs>
          <w:tab w:val="left" w:pos="2268"/>
        </w:tabs>
        <w:overflowPunct/>
        <w:adjustRightInd/>
        <w:spacing w:after="120"/>
        <w:textAlignment w:val="auto"/>
      </w:pPr>
      <w:r>
        <w:lastRenderedPageBreak/>
        <w:t xml:space="preserve">ETSK pitää olennaisen tärkeänä, että assosiaatiosopimus on kunnianhimoinen ja että se käsittää kaikki EU:n ja Mercosur-maiden suhteisiin liittyvät näkökohdat. Siinä tulee ottaa huomioon Kanadan ja Japanin kanssa äskettäin solmitut vapaakauppasopimukset. Näin ollen on tärkeää puuttua yritysten kohtaamiin todellisiin esteisiin yhdenmukaistamalla sääntely sekä vaikutukset tullien ulkopuolisiin kaupan esteisiin. </w:t>
      </w:r>
    </w:p>
    <w:p w14:paraId="203FC484" w14:textId="77777777" w:rsidR="00354E8B" w:rsidRDefault="00354E8B" w:rsidP="00354E8B">
      <w:pPr>
        <w:pStyle w:val="Heading2"/>
        <w:numPr>
          <w:ilvl w:val="0"/>
          <w:numId w:val="4"/>
        </w:numPr>
        <w:tabs>
          <w:tab w:val="left" w:pos="2268"/>
        </w:tabs>
        <w:overflowPunct/>
        <w:adjustRightInd/>
        <w:spacing w:after="120"/>
        <w:textAlignment w:val="auto"/>
      </w:pPr>
      <w:r>
        <w:t xml:space="preserve">Assosiaatiosopimukseen tulisi sisältyä sosiaali-, työelämä- ja ympäristöulottuvuus, joka kattaa koko sopimuksen. Tämän ulottuvuuden tulisi varmistaa sopimuksen sosiaalisten ja ympäristötavoitteiden mukaiset taloudelliset suhteet kestävää kehitystä säänteleviä sääntöjä ja takeita heikentämättä. Niin ikään olisi korostettava elintarviketurvan merkitystä. </w:t>
      </w:r>
    </w:p>
    <w:p w14:paraId="0B71AFDE" w14:textId="77777777" w:rsidR="00354E8B" w:rsidRDefault="00354E8B" w:rsidP="00354E8B">
      <w:pPr>
        <w:pStyle w:val="Heading2"/>
        <w:numPr>
          <w:ilvl w:val="0"/>
          <w:numId w:val="4"/>
        </w:numPr>
        <w:tabs>
          <w:tab w:val="left" w:pos="2268"/>
        </w:tabs>
        <w:overflowPunct/>
        <w:adjustRightInd/>
        <w:spacing w:after="120"/>
        <w:textAlignment w:val="auto"/>
      </w:pPr>
      <w:r>
        <w:t xml:space="preserve">ETSK katsoo, että assosiaatiosopimuksen tulee olla aktiivinen väline, jolla edistetään työmarkkinaosapuolten vuoropuhelua sekä </w:t>
      </w:r>
      <w:proofErr w:type="spellStart"/>
      <w:r>
        <w:t>ILO:n</w:t>
      </w:r>
      <w:proofErr w:type="spellEnd"/>
      <w:r>
        <w:t xml:space="preserve"> keskeisten yleissopimusten noudattamista, erityisesti niiden, jotka koskevat ihmisarvoista työtä ja sisältyvät vuonna 1998 annettuun julistukseen työelämän perusperiaatteista ja -oikeuksista. ETSK kehottaakin sisällyttämään sopimukseen vahvistetun sosiaali- ja työmarkkina-alan asioita koskevan luvun työelämään liittyvien ongelmien käsittelemiseksi ja työnantajien ja työntekijöiden vuoropuhelun edistämiseksi, mikä voisi osaltaan lisätä sosiaalista yhteenkuuluvuutta.  </w:t>
      </w:r>
    </w:p>
    <w:p w14:paraId="3586E201" w14:textId="77777777" w:rsidR="00354E8B" w:rsidRDefault="00354E8B" w:rsidP="00354E8B">
      <w:pPr>
        <w:pStyle w:val="Heading2"/>
        <w:numPr>
          <w:ilvl w:val="0"/>
          <w:numId w:val="4"/>
        </w:numPr>
        <w:tabs>
          <w:tab w:val="left" w:pos="2268"/>
        </w:tabs>
        <w:overflowPunct/>
        <w:adjustRightInd/>
        <w:spacing w:after="120"/>
        <w:textAlignment w:val="auto"/>
      </w:pPr>
      <w:r>
        <w:t xml:space="preserve">ETSK kehottaa niin ikään perustamaan kansalaisyhteiskuntaa edustavan yhteisen seurantakomitean, joka koostuu </w:t>
      </w:r>
      <w:proofErr w:type="spellStart"/>
      <w:r>
        <w:t>ETSK:n</w:t>
      </w:r>
      <w:proofErr w:type="spellEnd"/>
      <w:r>
        <w:t xml:space="preserve"> ja Mercosurin neuvoa-antavan talous- ja sosiaalifoorumin edustajista. Seurantakomitean tulee täyttää seuraavat kriteerit: </w:t>
      </w:r>
    </w:p>
    <w:p w14:paraId="599C653B" w14:textId="77777777" w:rsidR="00A36BFD" w:rsidRDefault="00354E8B" w:rsidP="00A36BFD">
      <w:pPr>
        <w:pStyle w:val="Heading2"/>
        <w:numPr>
          <w:ilvl w:val="0"/>
          <w:numId w:val="18"/>
        </w:numPr>
        <w:tabs>
          <w:tab w:val="clear" w:pos="0"/>
        </w:tabs>
        <w:overflowPunct/>
        <w:adjustRightInd/>
        <w:ind w:left="993"/>
        <w:textAlignment w:val="auto"/>
      </w:pPr>
      <w:r>
        <w:t>Sen tulee oll</w:t>
      </w:r>
      <w:r w:rsidR="00A36BFD">
        <w:t>a luonteeltaan neuvoa-antava.</w:t>
      </w:r>
    </w:p>
    <w:p w14:paraId="3AC877C4" w14:textId="77777777" w:rsidR="00A36BFD" w:rsidRDefault="00354E8B" w:rsidP="00A36BFD">
      <w:pPr>
        <w:pStyle w:val="Heading2"/>
        <w:numPr>
          <w:ilvl w:val="0"/>
          <w:numId w:val="18"/>
        </w:numPr>
        <w:tabs>
          <w:tab w:val="clear" w:pos="0"/>
        </w:tabs>
        <w:overflowPunct/>
        <w:adjustRightInd/>
        <w:ind w:left="993"/>
        <w:textAlignment w:val="auto"/>
      </w:pPr>
      <w:r>
        <w:t>Molemmissa elimissä edustettuina olevilla kolmella eturyhmällä tulee olla sen kokoonpanossa yhdenverta</w:t>
      </w:r>
      <w:r w:rsidR="00A36BFD">
        <w:t>inen ja tasapainoinen edustus.</w:t>
      </w:r>
    </w:p>
    <w:p w14:paraId="1942E13E" w14:textId="77777777" w:rsidR="00A36BFD" w:rsidRDefault="00354E8B" w:rsidP="00A36BFD">
      <w:pPr>
        <w:pStyle w:val="Heading2"/>
        <w:numPr>
          <w:ilvl w:val="0"/>
          <w:numId w:val="18"/>
        </w:numPr>
        <w:tabs>
          <w:tab w:val="clear" w:pos="0"/>
        </w:tabs>
        <w:overflowPunct/>
        <w:adjustRightInd/>
        <w:ind w:left="993"/>
        <w:textAlignment w:val="auto"/>
      </w:pPr>
      <w:r>
        <w:t>Sen tulee ottaa kantaa kaikkia assosiaatiosopimuksen kattamia aloja koskeviin kysymyksiin (mukaan lukien kauppaa ja kestävää kehitystä koskev</w:t>
      </w:r>
      <w:r w:rsidR="00A36BFD">
        <w:t>aan lukuun sisältyvät aiheet).</w:t>
      </w:r>
    </w:p>
    <w:p w14:paraId="4B1CF06D" w14:textId="77777777" w:rsidR="00A36BFD" w:rsidRDefault="00354E8B" w:rsidP="00A36BFD">
      <w:pPr>
        <w:pStyle w:val="Heading2"/>
        <w:numPr>
          <w:ilvl w:val="0"/>
          <w:numId w:val="18"/>
        </w:numPr>
        <w:tabs>
          <w:tab w:val="clear" w:pos="0"/>
        </w:tabs>
        <w:overflowPunct/>
        <w:adjustRightInd/>
        <w:ind w:left="993"/>
        <w:textAlignment w:val="auto"/>
      </w:pPr>
      <w:r>
        <w:t>Sillä on oltava mahdollisuus käydä suoraa vuoropuhelua assosiaatiosopimuksen nojalla toimivien m</w:t>
      </w:r>
      <w:r w:rsidR="00A36BFD">
        <w:t>uiden yhteisten elinten kanssa.</w:t>
      </w:r>
    </w:p>
    <w:p w14:paraId="6994C108" w14:textId="6A9504DB" w:rsidR="00354E8B" w:rsidRDefault="00354E8B" w:rsidP="00A36BFD">
      <w:pPr>
        <w:pStyle w:val="Heading2"/>
        <w:numPr>
          <w:ilvl w:val="0"/>
          <w:numId w:val="18"/>
        </w:numPr>
        <w:tabs>
          <w:tab w:val="clear" w:pos="0"/>
        </w:tabs>
        <w:overflowPunct/>
        <w:adjustRightInd/>
        <w:ind w:left="993"/>
        <w:textAlignment w:val="auto"/>
      </w:pPr>
      <w:r>
        <w:t>Kyseisten elinten on kuultava sitä, ja se voi ilmaista kantansa myös oma-aloitteisesti, laatia oman sisäisen työjärjestyksensä sekä saada asianmukaista rahoitusta asianomaisilta poliittisen vallan edustajil</w:t>
      </w:r>
      <w:r w:rsidR="00A36BFD">
        <w:t>ta tehtäviensä suorittamiseksi.</w:t>
      </w:r>
    </w:p>
    <w:p w14:paraId="71E8435C" w14:textId="77777777" w:rsidR="00A36BFD" w:rsidRPr="00A36BFD" w:rsidRDefault="00A36BFD" w:rsidP="00A36BFD"/>
    <w:p w14:paraId="5CD2128B" w14:textId="33A7CB6B" w:rsidR="00030D71" w:rsidRPr="002D7686" w:rsidRDefault="00354E8B" w:rsidP="00A36BFD">
      <w:pPr>
        <w:pStyle w:val="Heading2"/>
        <w:numPr>
          <w:ilvl w:val="0"/>
          <w:numId w:val="4"/>
        </w:numPr>
        <w:tabs>
          <w:tab w:val="left" w:pos="2268"/>
        </w:tabs>
        <w:overflowPunct/>
        <w:adjustRightInd/>
        <w:spacing w:after="120"/>
        <w:textAlignment w:val="auto"/>
      </w:pPr>
      <w:proofErr w:type="spellStart"/>
      <w:r>
        <w:t>ETSK:n</w:t>
      </w:r>
      <w:proofErr w:type="spellEnd"/>
      <w:r>
        <w:t xml:space="preserve"> mielestä on tarpeetonta ja tehotonta, että kansalaisyhteiskunnalla on kaksinkertainen edustus sekä assosiaatiosopimuksen yleisissä puitteissa että kauppaa ja kestävää kehitystä koskevan luvun puitteissa. Komitea katsookin, että assosiaatiosopimus on yksi kokonaisuus, joka vaikuttaa sopimuksen osapuolina olevien molempien alueiden kaikkiin maihin. ETSK kehottaa neuvottelijoita ottamaan oppia kokemuksista, joita on saatu muista assosiaatiosopimuksista. Niiden yhteydessä kukin osapuoli on luonut kansalaisyhteiskuntaa edustavat sisäiset neuvoa-antavat ryhmät vailla mahdollisuutta tunnustettuun vuoropuheluun sopimusten puitteissa. </w:t>
      </w:r>
      <w:proofErr w:type="gramStart"/>
      <w:r>
        <w:t>Tämän mallin jo ilmeisiksi käyneet rajoitteet osoittavat, ettei ole järkevää, että jokaisella Mercosurin maalla on assosiaatiosopimukseen välillisesti osallistuva, kansalaisyhteiskuntaa edustava sisäinen neuvoa-antava ryhmä, etenkään, kun kummallakin osapuolella on riippumattomat, tasapainoiset ja edustavat neuvoa-antavat elimet, jotka kykenevät täyttämään tehtävänsä assosiaatiosopimuksen puitteissa.</w:t>
      </w:r>
      <w:proofErr w:type="gramEnd"/>
    </w:p>
    <w:p w14:paraId="160D8EEF" w14:textId="77777777" w:rsidR="00630A40" w:rsidRPr="002D7686" w:rsidRDefault="00630A40" w:rsidP="00713F3A">
      <w:pPr>
        <w:pStyle w:val="NoSpacing"/>
        <w:tabs>
          <w:tab w:val="left" w:pos="2268"/>
        </w:tabs>
        <w:spacing w:line="288" w:lineRule="auto"/>
      </w:pPr>
    </w:p>
    <w:p w14:paraId="764B91C3" w14:textId="77777777" w:rsidR="007C7CFD" w:rsidRDefault="007C7CFD" w:rsidP="007C7CFD">
      <w:pPr>
        <w:tabs>
          <w:tab w:val="center" w:pos="284"/>
          <w:tab w:val="left" w:pos="993"/>
        </w:tabs>
        <w:ind w:left="266" w:hanging="266"/>
        <w:rPr>
          <w:i/>
        </w:rPr>
      </w:pPr>
      <w:r w:rsidRPr="002E3531">
        <w:rPr>
          <w:b/>
          <w:i/>
        </w:rPr>
        <w:lastRenderedPageBreak/>
        <w:t>Yhteyshenkilö:</w:t>
      </w:r>
      <w:r>
        <w:rPr>
          <w:i/>
        </w:rPr>
        <w:tab/>
      </w:r>
      <w:r w:rsidRPr="009326DA">
        <w:rPr>
          <w:i/>
        </w:rPr>
        <w:t>Luc</w:t>
      </w:r>
      <w:r>
        <w:rPr>
          <w:i/>
        </w:rPr>
        <w:t>i</w:t>
      </w:r>
      <w:r w:rsidRPr="009326DA">
        <w:rPr>
          <w:i/>
        </w:rPr>
        <w:t xml:space="preserve">a </w:t>
      </w:r>
      <w:proofErr w:type="spellStart"/>
      <w:r>
        <w:rPr>
          <w:i/>
        </w:rPr>
        <w:t>Mendez</w:t>
      </w:r>
      <w:proofErr w:type="spellEnd"/>
      <w:r>
        <w:rPr>
          <w:i/>
        </w:rPr>
        <w:t xml:space="preserve"> del Rio </w:t>
      </w:r>
      <w:proofErr w:type="spellStart"/>
      <w:r>
        <w:rPr>
          <w:i/>
        </w:rPr>
        <w:t>Cabra</w:t>
      </w:r>
      <w:proofErr w:type="spellEnd"/>
    </w:p>
    <w:p w14:paraId="4C23DA5B" w14:textId="167CA54F" w:rsidR="007C7CFD" w:rsidRPr="002E3531" w:rsidRDefault="007C7CFD" w:rsidP="007C7CFD">
      <w:pPr>
        <w:tabs>
          <w:tab w:val="center" w:pos="284"/>
          <w:tab w:val="left" w:pos="993"/>
        </w:tabs>
        <w:ind w:left="266" w:hanging="266"/>
        <w:rPr>
          <w:i/>
        </w:rPr>
      </w:pPr>
      <w:r>
        <w:rPr>
          <w:i/>
        </w:rPr>
        <w:tab/>
      </w:r>
      <w:r>
        <w:rPr>
          <w:i/>
        </w:rPr>
        <w:tab/>
      </w:r>
      <w:r>
        <w:rPr>
          <w:i/>
        </w:rPr>
        <w:tab/>
      </w:r>
      <w:r>
        <w:rPr>
          <w:i/>
        </w:rPr>
        <w:tab/>
      </w:r>
      <w:r>
        <w:rPr>
          <w:i/>
        </w:rPr>
        <w:tab/>
      </w:r>
      <w:r w:rsidRPr="002E3531">
        <w:rPr>
          <w:i/>
        </w:rPr>
        <w:t>(P. +32 2546</w:t>
      </w:r>
      <w:r>
        <w:rPr>
          <w:i/>
        </w:rPr>
        <w:t>9345</w:t>
      </w:r>
      <w:r w:rsidRPr="002E3531">
        <w:rPr>
          <w:i/>
        </w:rPr>
        <w:t xml:space="preserve"> – sähköposti:</w:t>
      </w:r>
      <w:r w:rsidRPr="006F6B04">
        <w:t xml:space="preserve"> </w:t>
      </w:r>
      <w:hyperlink r:id="rId22" w:history="1">
        <w:r w:rsidRPr="00F51494">
          <w:rPr>
            <w:rStyle w:val="Hyperlink"/>
            <w:i/>
          </w:rPr>
          <w:t>lucia.mendezdelriocabra@eesc.europa.eu</w:t>
        </w:r>
      </w:hyperlink>
      <w:r w:rsidRPr="002E3531">
        <w:rPr>
          <w:i/>
        </w:rPr>
        <w:t>)</w:t>
      </w:r>
    </w:p>
    <w:p w14:paraId="2C8B7C2C" w14:textId="77777777" w:rsidR="00937A04" w:rsidRPr="002D7686" w:rsidRDefault="00937A04" w:rsidP="00713F3A">
      <w:pPr>
        <w:tabs>
          <w:tab w:val="left" w:pos="1418"/>
          <w:tab w:val="left" w:pos="2268"/>
        </w:tabs>
        <w:rPr>
          <w:i/>
          <w:iCs/>
        </w:rPr>
      </w:pPr>
    </w:p>
    <w:p w14:paraId="2CD125F5" w14:textId="77777777" w:rsidR="0083737A" w:rsidRDefault="0083737A" w:rsidP="0083737A">
      <w:pPr>
        <w:tabs>
          <w:tab w:val="left" w:pos="1418"/>
          <w:tab w:val="left" w:pos="2268"/>
        </w:tabs>
        <w:rPr>
          <w:i/>
          <w:iCs/>
        </w:rPr>
      </w:pPr>
    </w:p>
    <w:p w14:paraId="66B10CE3" w14:textId="6F928EBE" w:rsidR="009242D5" w:rsidRPr="002D7686" w:rsidRDefault="009242D5" w:rsidP="009242D5">
      <w:pPr>
        <w:pStyle w:val="Heading1"/>
        <w:tabs>
          <w:tab w:val="left" w:pos="2268"/>
        </w:tabs>
        <w:ind w:left="567" w:hanging="567"/>
        <w:rPr>
          <w:b/>
          <w:caps/>
        </w:rPr>
      </w:pPr>
      <w:bookmarkStart w:id="8" w:name="_Toc514939922"/>
      <w:r>
        <w:rPr>
          <w:b/>
          <w:caps/>
        </w:rPr>
        <w:t>MAATALOUS, MAASEUDUN KEHITTYMINEN JA YMPÄRISTÖ</w:t>
      </w:r>
      <w:bookmarkEnd w:id="8"/>
    </w:p>
    <w:p w14:paraId="31484A91" w14:textId="77777777" w:rsidR="009242D5" w:rsidRPr="002D7686" w:rsidRDefault="009242D5" w:rsidP="009242D5">
      <w:pPr>
        <w:widowControl w:val="0"/>
        <w:tabs>
          <w:tab w:val="left" w:pos="2268"/>
        </w:tabs>
        <w:rPr>
          <w:bCs/>
          <w:iCs/>
          <w:szCs w:val="28"/>
        </w:rPr>
      </w:pPr>
    </w:p>
    <w:p w14:paraId="3D6157F2" w14:textId="51ABC61E" w:rsidR="009242D5" w:rsidRPr="002D7686" w:rsidRDefault="007D3680" w:rsidP="007D3680">
      <w:pPr>
        <w:pStyle w:val="ListParagraph"/>
        <w:numPr>
          <w:ilvl w:val="0"/>
          <w:numId w:val="3"/>
        </w:numPr>
        <w:tabs>
          <w:tab w:val="left" w:pos="2268"/>
        </w:tabs>
        <w:rPr>
          <w:b/>
          <w:bCs/>
          <w:i/>
          <w:iCs/>
          <w:sz w:val="28"/>
          <w:szCs w:val="28"/>
        </w:rPr>
      </w:pPr>
      <w:r w:rsidRPr="007D3680">
        <w:rPr>
          <w:b/>
          <w:i/>
          <w:sz w:val="28"/>
        </w:rPr>
        <w:t>Kemikaali-, tuote- ja jätelainsäädännön keskinäiset yhteydet</w:t>
      </w:r>
    </w:p>
    <w:p w14:paraId="5A77AC63" w14:textId="77777777" w:rsidR="009242D5" w:rsidRPr="002D7686" w:rsidRDefault="009242D5" w:rsidP="009242D5">
      <w:pPr>
        <w:tabs>
          <w:tab w:val="left" w:pos="1701"/>
          <w:tab w:val="left" w:pos="2268"/>
        </w:tabs>
      </w:pPr>
    </w:p>
    <w:p w14:paraId="3C1D4B20" w14:textId="54EAC281" w:rsidR="009242D5" w:rsidRPr="002D7686" w:rsidRDefault="009242D5" w:rsidP="009242D5">
      <w:r w:rsidRPr="002D7686">
        <w:rPr>
          <w:b/>
        </w:rPr>
        <w:t>Esittelijä:</w:t>
      </w:r>
      <w:r w:rsidRPr="002D7686">
        <w:tab/>
      </w:r>
      <w:r w:rsidRPr="002D7686">
        <w:tab/>
      </w:r>
      <w:r>
        <w:rPr>
          <w:lang w:val="en-GB"/>
        </w:rPr>
        <w:t xml:space="preserve">Brian </w:t>
      </w:r>
      <w:r w:rsidRPr="00396C91">
        <w:rPr>
          <w:caps/>
          <w:lang w:val="en-GB"/>
        </w:rPr>
        <w:t>Curtis</w:t>
      </w:r>
      <w:r>
        <w:rPr>
          <w:lang w:val="en-GB"/>
        </w:rPr>
        <w:t xml:space="preserve"> </w:t>
      </w:r>
      <w:r>
        <w:t>(työntekijät</w:t>
      </w:r>
      <w:r w:rsidRPr="002D7686">
        <w:t xml:space="preserve"> – </w:t>
      </w:r>
      <w:r>
        <w:t>UK</w:t>
      </w:r>
      <w:r w:rsidRPr="002D7686">
        <w:t>)</w:t>
      </w:r>
    </w:p>
    <w:p w14:paraId="55BDEDEA" w14:textId="77777777" w:rsidR="009242D5" w:rsidRPr="002D7686" w:rsidRDefault="009242D5" w:rsidP="009242D5"/>
    <w:p w14:paraId="678B546F" w14:textId="77777777" w:rsidR="009242D5" w:rsidRDefault="009242D5" w:rsidP="009242D5">
      <w:pPr>
        <w:tabs>
          <w:tab w:val="left" w:pos="1418"/>
        </w:tabs>
      </w:pPr>
      <w:r w:rsidRPr="002D7686">
        <w:rPr>
          <w:b/>
        </w:rPr>
        <w:t>Viiteasiakirja</w:t>
      </w:r>
      <w:r>
        <w:rPr>
          <w:b/>
        </w:rPr>
        <w:t>t</w:t>
      </w:r>
      <w:r w:rsidRPr="002D7686">
        <w:rPr>
          <w:b/>
        </w:rPr>
        <w:t>:</w:t>
      </w:r>
      <w:r w:rsidRPr="002D7686">
        <w:tab/>
      </w:r>
      <w:r w:rsidRPr="00AD323C">
        <w:t xml:space="preserve">COM(2018) 32 </w:t>
      </w:r>
      <w:proofErr w:type="spellStart"/>
      <w:r w:rsidRPr="00AD323C">
        <w:t>final</w:t>
      </w:r>
      <w:proofErr w:type="spellEnd"/>
    </w:p>
    <w:p w14:paraId="725CFB61" w14:textId="7848AC3A" w:rsidR="009242D5" w:rsidRPr="002D7686" w:rsidRDefault="009242D5" w:rsidP="009242D5">
      <w:r>
        <w:tab/>
      </w:r>
      <w:r>
        <w:tab/>
      </w:r>
      <w:r>
        <w:tab/>
      </w:r>
      <w:r w:rsidRPr="00AD323C">
        <w:t>EESC-</w:t>
      </w:r>
      <w:proofErr w:type="gramStart"/>
      <w:r w:rsidRPr="00AD323C">
        <w:t>2018-00491</w:t>
      </w:r>
      <w:proofErr w:type="gramEnd"/>
      <w:r w:rsidRPr="00AD323C">
        <w:t>-00-00-A</w:t>
      </w:r>
      <w:r>
        <w:t>C</w:t>
      </w:r>
      <w:r w:rsidRPr="00AD323C">
        <w:t>-TRA</w:t>
      </w:r>
    </w:p>
    <w:p w14:paraId="74249C1D" w14:textId="77777777" w:rsidR="009242D5" w:rsidRPr="002D7686" w:rsidRDefault="009242D5" w:rsidP="009242D5">
      <w:pPr>
        <w:tabs>
          <w:tab w:val="left" w:pos="2268"/>
        </w:tabs>
        <w:spacing w:line="240" w:lineRule="auto"/>
        <w:rPr>
          <w:b/>
        </w:rPr>
      </w:pPr>
    </w:p>
    <w:p w14:paraId="3B8609AF" w14:textId="77777777" w:rsidR="009242D5" w:rsidRPr="002D7686" w:rsidRDefault="009242D5" w:rsidP="009242D5">
      <w:pPr>
        <w:tabs>
          <w:tab w:val="left" w:pos="2268"/>
        </w:tabs>
        <w:spacing w:line="240" w:lineRule="auto"/>
        <w:rPr>
          <w:b/>
          <w:iCs/>
          <w:highlight w:val="yellow"/>
          <w:u w:val="single"/>
        </w:rPr>
      </w:pPr>
      <w:r w:rsidRPr="002D7686">
        <w:rPr>
          <w:b/>
        </w:rPr>
        <w:t>Keskeiset kohdat:</w:t>
      </w:r>
    </w:p>
    <w:p w14:paraId="202E4FE0" w14:textId="77777777" w:rsidR="009242D5" w:rsidRPr="002D7686" w:rsidRDefault="009242D5" w:rsidP="009242D5">
      <w:pPr>
        <w:tabs>
          <w:tab w:val="left" w:pos="2268"/>
        </w:tabs>
        <w:spacing w:line="240" w:lineRule="auto"/>
        <w:ind w:left="-567"/>
        <w:rPr>
          <w:iCs/>
          <w:highlight w:val="yellow"/>
        </w:rPr>
      </w:pPr>
    </w:p>
    <w:p w14:paraId="36D830FF" w14:textId="77777777" w:rsidR="007D3680" w:rsidRDefault="007D3680" w:rsidP="007D3680">
      <w:pPr>
        <w:pStyle w:val="Heading2"/>
        <w:numPr>
          <w:ilvl w:val="0"/>
          <w:numId w:val="4"/>
        </w:numPr>
        <w:tabs>
          <w:tab w:val="left" w:pos="2268"/>
        </w:tabs>
        <w:overflowPunct/>
        <w:adjustRightInd/>
        <w:spacing w:after="120"/>
        <w:textAlignment w:val="auto"/>
      </w:pPr>
      <w:r>
        <w:t xml:space="preserve">Komitea on tyytyväinen komission toimintatapaan tutkia järjestelmällisesti erilaisia vaihtoehtoja, jotka voisivat auttaa ratkaisemaan kemikaali-, tuote- ja jätelainsäädännön rajapinnalla yksilöityjä ongelmia. </w:t>
      </w:r>
    </w:p>
    <w:p w14:paraId="6BFEFB3B" w14:textId="77777777" w:rsidR="007D3680" w:rsidRDefault="007D3680" w:rsidP="007D3680">
      <w:pPr>
        <w:pStyle w:val="Heading2"/>
        <w:numPr>
          <w:ilvl w:val="0"/>
          <w:numId w:val="4"/>
        </w:numPr>
        <w:tabs>
          <w:tab w:val="left" w:pos="2268"/>
        </w:tabs>
        <w:overflowPunct/>
        <w:adjustRightInd/>
        <w:spacing w:after="120"/>
        <w:textAlignment w:val="auto"/>
      </w:pPr>
      <w:r>
        <w:t xml:space="preserve">Komitea kannattaa komission tässä asiassa omaksumaa ennakoivaa ja pitkäjänteistä näkemystä. Siirtymäprosessi tulee väistämättä olemaan pitkä, ja sen etenemistä on jatkuvasti edistettävä ottaen huomioon määritys- ja prosessiteknologian kehittyminen. </w:t>
      </w:r>
    </w:p>
    <w:p w14:paraId="71B5DB8E" w14:textId="77777777" w:rsidR="007D3680" w:rsidRDefault="007D3680" w:rsidP="007D3680">
      <w:pPr>
        <w:pStyle w:val="Heading2"/>
        <w:numPr>
          <w:ilvl w:val="0"/>
          <w:numId w:val="4"/>
        </w:numPr>
        <w:tabs>
          <w:tab w:val="left" w:pos="2268"/>
        </w:tabs>
        <w:overflowPunct/>
        <w:adjustRightInd/>
        <w:spacing w:after="120"/>
        <w:textAlignment w:val="auto"/>
      </w:pPr>
      <w:r>
        <w:t xml:space="preserve">Kierrätyslaitosten työntekijöiden työterveys ja -turvallisuus ovat myös vaarassa ilman kattavia toimia, joilla pyritään ratkaisemaan erityisesti vaarallisiin aineisiin liittyvä ongelma. Kattavien tietojen antaminen ammattiliitoille on näin ollen erittäin tärkeää. </w:t>
      </w:r>
    </w:p>
    <w:p w14:paraId="39FE1785" w14:textId="77777777" w:rsidR="007D3680" w:rsidRDefault="007D3680" w:rsidP="007D3680">
      <w:pPr>
        <w:pStyle w:val="Heading2"/>
        <w:numPr>
          <w:ilvl w:val="0"/>
          <w:numId w:val="4"/>
        </w:numPr>
        <w:tabs>
          <w:tab w:val="left" w:pos="2268"/>
        </w:tabs>
        <w:overflowPunct/>
        <w:adjustRightInd/>
        <w:spacing w:after="120"/>
        <w:textAlignment w:val="auto"/>
      </w:pPr>
      <w:proofErr w:type="spellStart"/>
      <w:r>
        <w:t>REACH-asetuksen</w:t>
      </w:r>
      <w:proofErr w:type="spellEnd"/>
      <w:r>
        <w:t xml:space="preserve"> ja muun jo olemassa olevan kemikaalilainsäädännön tinkimätön täytäntöönpano tulisi asettaa etusijalle. Nykyistä lainsäädäntöä, jolla pyritään alun alkaen estämään vaarallisten kemikaalien pääsy materiaalikiertoon, ei vielä sovelleta joka suhteessa eikä etenkään kolmansista maista EU:hun tuotuihin tuotteisiin. </w:t>
      </w:r>
    </w:p>
    <w:p w14:paraId="270E672E" w14:textId="77777777" w:rsidR="007D3680" w:rsidRDefault="007D3680" w:rsidP="007D3680">
      <w:pPr>
        <w:pStyle w:val="Heading2"/>
        <w:numPr>
          <w:ilvl w:val="0"/>
          <w:numId w:val="4"/>
        </w:numPr>
        <w:tabs>
          <w:tab w:val="left" w:pos="2268"/>
        </w:tabs>
        <w:overflowPunct/>
        <w:adjustRightInd/>
        <w:spacing w:after="120"/>
        <w:textAlignment w:val="auto"/>
      </w:pPr>
      <w:r>
        <w:t xml:space="preserve">Komitean mielestä on välttämätöntä, että kierrätysyritykset jatkavat investointeja asianmukaisiin lajittelulaitteisiin, ja </w:t>
      </w:r>
      <w:proofErr w:type="gramStart"/>
      <w:r>
        <w:t>kehottaa</w:t>
      </w:r>
      <w:proofErr w:type="gramEnd"/>
      <w:r>
        <w:t xml:space="preserve"> harkitsemaan taloudellisia ja teknisiä tukitoimia tällä alalla. </w:t>
      </w:r>
    </w:p>
    <w:p w14:paraId="2BBAFAED" w14:textId="016E00CD" w:rsidR="009242D5" w:rsidRPr="002D7686" w:rsidRDefault="007D3680" w:rsidP="007D3680">
      <w:pPr>
        <w:pStyle w:val="Heading2"/>
        <w:numPr>
          <w:ilvl w:val="0"/>
          <w:numId w:val="4"/>
        </w:numPr>
        <w:tabs>
          <w:tab w:val="left" w:pos="2268"/>
        </w:tabs>
        <w:overflowPunct/>
        <w:adjustRightInd/>
        <w:spacing w:after="120"/>
        <w:textAlignment w:val="auto"/>
      </w:pPr>
      <w:r>
        <w:t>Komitea kannattaa voimakkaasti näkemystä, että hyödyntämisketjun toimijoiden ongelmia voidaan vähentää parantamalla tiedotusta vaarallisten kemikaalien esiintymisestä, sijainnista ja pitoisuudesta jätteistä talteen otetuissa tuotteissa ja materiaaleissa.</w:t>
      </w:r>
    </w:p>
    <w:p w14:paraId="12E3D9BF" w14:textId="77777777" w:rsidR="009242D5" w:rsidRPr="002D7686" w:rsidRDefault="009242D5" w:rsidP="009242D5">
      <w:pPr>
        <w:tabs>
          <w:tab w:val="left" w:pos="2268"/>
        </w:tabs>
        <w:spacing w:line="240" w:lineRule="auto"/>
        <w:rPr>
          <w:b/>
          <w:iCs/>
          <w:highlight w:val="yellow"/>
          <w:u w:val="single"/>
        </w:rPr>
      </w:pPr>
    </w:p>
    <w:p w14:paraId="0BC027A4" w14:textId="77777777" w:rsidR="009242D5" w:rsidRPr="00780921" w:rsidRDefault="009242D5" w:rsidP="009242D5">
      <w:pPr>
        <w:tabs>
          <w:tab w:val="left" w:pos="993"/>
        </w:tabs>
        <w:textAlignment w:val="auto"/>
        <w:rPr>
          <w:i/>
        </w:rPr>
      </w:pPr>
      <w:r w:rsidRPr="00780921">
        <w:rPr>
          <w:b/>
          <w:i/>
        </w:rPr>
        <w:t>Yhteyshenkilö:</w:t>
      </w:r>
      <w:r>
        <w:tab/>
      </w:r>
      <w:r w:rsidRPr="002502DF">
        <w:rPr>
          <w:i/>
        </w:rPr>
        <w:t xml:space="preserve">Conrad </w:t>
      </w:r>
      <w:proofErr w:type="spellStart"/>
      <w:r w:rsidRPr="002502DF">
        <w:rPr>
          <w:i/>
        </w:rPr>
        <w:t>Ganslandt</w:t>
      </w:r>
      <w:proofErr w:type="spellEnd"/>
    </w:p>
    <w:p w14:paraId="65BD7187" w14:textId="2FB935AA" w:rsidR="009242D5" w:rsidRPr="00780921" w:rsidRDefault="009242D5" w:rsidP="009242D5">
      <w:pPr>
        <w:tabs>
          <w:tab w:val="left" w:pos="993"/>
        </w:tabs>
        <w:textAlignment w:val="auto"/>
        <w:rPr>
          <w:i/>
        </w:rPr>
      </w:pPr>
      <w:r>
        <w:rPr>
          <w:i/>
        </w:rPr>
        <w:tab/>
      </w:r>
      <w:r>
        <w:rPr>
          <w:i/>
        </w:rPr>
        <w:tab/>
      </w:r>
      <w:r>
        <w:rPr>
          <w:i/>
        </w:rPr>
        <w:tab/>
      </w:r>
      <w:r w:rsidRPr="00780921">
        <w:rPr>
          <w:i/>
        </w:rPr>
        <w:t>(P. +32 2546</w:t>
      </w:r>
      <w:r>
        <w:rPr>
          <w:i/>
        </w:rPr>
        <w:t>8275</w:t>
      </w:r>
      <w:r w:rsidRPr="00780921">
        <w:rPr>
          <w:i/>
        </w:rPr>
        <w:t xml:space="preserve"> – sähköposti:</w:t>
      </w:r>
      <w:r w:rsidRPr="002502DF">
        <w:t xml:space="preserve"> </w:t>
      </w:r>
      <w:hyperlink r:id="rId23" w:history="1">
        <w:r w:rsidRPr="006B4428">
          <w:rPr>
            <w:rStyle w:val="Hyperlink"/>
            <w:i/>
          </w:rPr>
          <w:t>conrad.ganslandt@eesc.europa.eu</w:t>
        </w:r>
      </w:hyperlink>
      <w:r w:rsidRPr="00780921">
        <w:rPr>
          <w:i/>
        </w:rPr>
        <w:t>)</w:t>
      </w:r>
    </w:p>
    <w:p w14:paraId="21273B6B" w14:textId="77777777" w:rsidR="009242D5" w:rsidRDefault="009242D5" w:rsidP="0083737A">
      <w:pPr>
        <w:tabs>
          <w:tab w:val="left" w:pos="1418"/>
          <w:tab w:val="left" w:pos="2268"/>
        </w:tabs>
        <w:rPr>
          <w:i/>
          <w:iCs/>
        </w:rPr>
      </w:pPr>
    </w:p>
    <w:p w14:paraId="5F40B101" w14:textId="0D02F433" w:rsidR="009242D5" w:rsidRPr="00F44B0F" w:rsidRDefault="002C3AB8" w:rsidP="002C3AB8">
      <w:pPr>
        <w:pStyle w:val="ListParagraph"/>
        <w:numPr>
          <w:ilvl w:val="0"/>
          <w:numId w:val="3"/>
        </w:numPr>
        <w:tabs>
          <w:tab w:val="left" w:pos="2268"/>
        </w:tabs>
        <w:rPr>
          <w:b/>
          <w:i/>
          <w:sz w:val="28"/>
        </w:rPr>
      </w:pPr>
      <w:r w:rsidRPr="002C3AB8">
        <w:rPr>
          <w:b/>
          <w:i/>
          <w:sz w:val="28"/>
        </w:rPr>
        <w:t>Strategia muoveista kiertotaloudessa (mukaan lukien aluksista peräisin olevaa jätettä koskevat toimet)</w:t>
      </w:r>
      <w:r>
        <w:rPr>
          <w:b/>
          <w:i/>
          <w:sz w:val="28"/>
        </w:rPr>
        <w:t xml:space="preserve"> </w:t>
      </w:r>
    </w:p>
    <w:p w14:paraId="4FD356F1" w14:textId="77777777" w:rsidR="009242D5" w:rsidRPr="002D7686" w:rsidRDefault="009242D5" w:rsidP="009242D5">
      <w:pPr>
        <w:tabs>
          <w:tab w:val="left" w:pos="1701"/>
          <w:tab w:val="left" w:pos="2268"/>
        </w:tabs>
      </w:pPr>
    </w:p>
    <w:p w14:paraId="79BB44BF" w14:textId="5D2522EA" w:rsidR="009242D5" w:rsidRPr="002D7686" w:rsidRDefault="009242D5" w:rsidP="009242D5">
      <w:r w:rsidRPr="002D7686">
        <w:rPr>
          <w:b/>
        </w:rPr>
        <w:t>Esittelijä:</w:t>
      </w:r>
      <w:r w:rsidRPr="002D7686">
        <w:tab/>
      </w:r>
      <w:r w:rsidRPr="002D7686">
        <w:tab/>
      </w:r>
      <w:r w:rsidRPr="00D85439">
        <w:rPr>
          <w:lang w:val="en-GB"/>
        </w:rPr>
        <w:t xml:space="preserve">Antonello </w:t>
      </w:r>
      <w:r w:rsidRPr="00D85439">
        <w:rPr>
          <w:caps/>
          <w:lang w:val="en-GB"/>
        </w:rPr>
        <w:t>Pezzini</w:t>
      </w:r>
      <w:r w:rsidRPr="00D85439">
        <w:rPr>
          <w:lang w:val="en-GB"/>
        </w:rPr>
        <w:t xml:space="preserve"> </w:t>
      </w:r>
      <w:r>
        <w:t>(työnantajat</w:t>
      </w:r>
      <w:r w:rsidRPr="002D7686">
        <w:t xml:space="preserve"> – </w:t>
      </w:r>
      <w:r>
        <w:t>IT</w:t>
      </w:r>
      <w:r w:rsidRPr="002D7686">
        <w:t>)</w:t>
      </w:r>
    </w:p>
    <w:p w14:paraId="2049547E" w14:textId="77777777" w:rsidR="009242D5" w:rsidRPr="002D7686" w:rsidRDefault="009242D5" w:rsidP="009242D5"/>
    <w:p w14:paraId="3CB0DF2A" w14:textId="77777777" w:rsidR="009242D5" w:rsidRPr="00D85439" w:rsidRDefault="009242D5" w:rsidP="009242D5">
      <w:pPr>
        <w:tabs>
          <w:tab w:val="left" w:pos="1418"/>
        </w:tabs>
        <w:spacing w:line="276" w:lineRule="auto"/>
        <w:rPr>
          <w:lang w:val="en-GB"/>
        </w:rPr>
      </w:pPr>
      <w:r w:rsidRPr="002D7686">
        <w:rPr>
          <w:b/>
        </w:rPr>
        <w:lastRenderedPageBreak/>
        <w:t>Viiteasiakirja</w:t>
      </w:r>
      <w:r>
        <w:rPr>
          <w:b/>
        </w:rPr>
        <w:t>t</w:t>
      </w:r>
      <w:r w:rsidRPr="002D7686">
        <w:rPr>
          <w:b/>
        </w:rPr>
        <w:t>:</w:t>
      </w:r>
      <w:r w:rsidRPr="002D7686">
        <w:tab/>
      </w:r>
      <w:r w:rsidRPr="00D85439">
        <w:rPr>
          <w:lang w:val="en-GB"/>
        </w:rPr>
        <w:t>COM(2018) 28 final</w:t>
      </w:r>
    </w:p>
    <w:p w14:paraId="686E1C8E" w14:textId="279D7707" w:rsidR="009242D5" w:rsidRPr="00D85439" w:rsidRDefault="009242D5" w:rsidP="009242D5">
      <w:pPr>
        <w:tabs>
          <w:tab w:val="left" w:pos="1418"/>
        </w:tabs>
        <w:spacing w:line="276" w:lineRule="auto"/>
        <w:rPr>
          <w:lang w:val="en-GB"/>
        </w:rPr>
      </w:pPr>
      <w:r w:rsidRPr="00D85439">
        <w:rPr>
          <w:lang w:val="en-GB"/>
        </w:rPr>
        <w:tab/>
      </w:r>
      <w:r>
        <w:rPr>
          <w:lang w:val="en-GB"/>
        </w:rPr>
        <w:tab/>
      </w:r>
      <w:proofErr w:type="gramStart"/>
      <w:r w:rsidRPr="00D85439">
        <w:rPr>
          <w:lang w:val="en-GB"/>
        </w:rPr>
        <w:t>COM(</w:t>
      </w:r>
      <w:proofErr w:type="gramEnd"/>
      <w:r w:rsidRPr="00D85439">
        <w:rPr>
          <w:lang w:val="en-GB"/>
        </w:rPr>
        <w:t>2018) 33 final – 2018</w:t>
      </w:r>
      <w:r>
        <w:rPr>
          <w:lang w:val="en-GB"/>
        </w:rPr>
        <w:t>/</w:t>
      </w:r>
      <w:r w:rsidR="00800F7A">
        <w:rPr>
          <w:lang w:val="en-GB"/>
        </w:rPr>
        <w:t>00</w:t>
      </w:r>
      <w:r w:rsidRPr="00D85439">
        <w:rPr>
          <w:lang w:val="en-GB"/>
        </w:rPr>
        <w:t>12</w:t>
      </w:r>
      <w:r>
        <w:rPr>
          <w:lang w:val="en-GB"/>
        </w:rPr>
        <w:t xml:space="preserve"> </w:t>
      </w:r>
      <w:r w:rsidRPr="00D85439">
        <w:rPr>
          <w:lang w:val="en-GB"/>
        </w:rPr>
        <w:t>COD</w:t>
      </w:r>
    </w:p>
    <w:p w14:paraId="4E167FFE" w14:textId="2C5A4CDD" w:rsidR="009242D5" w:rsidRPr="002D7686" w:rsidRDefault="009242D5" w:rsidP="009242D5">
      <w:pPr>
        <w:tabs>
          <w:tab w:val="left" w:pos="1418"/>
        </w:tabs>
      </w:pPr>
      <w:r w:rsidRPr="00D85439">
        <w:rPr>
          <w:lang w:val="en-GB"/>
        </w:rPr>
        <w:tab/>
      </w:r>
      <w:r>
        <w:rPr>
          <w:lang w:val="en-GB"/>
        </w:rPr>
        <w:tab/>
      </w:r>
      <w:r w:rsidRPr="00D85439">
        <w:rPr>
          <w:lang w:val="en-GB"/>
        </w:rPr>
        <w:t>EESC-2018-00536-00-00-AC-TRA</w:t>
      </w:r>
    </w:p>
    <w:p w14:paraId="503901DF" w14:textId="77777777" w:rsidR="009242D5" w:rsidRPr="002D7686" w:rsidRDefault="009242D5" w:rsidP="009242D5">
      <w:pPr>
        <w:tabs>
          <w:tab w:val="left" w:pos="2268"/>
        </w:tabs>
        <w:spacing w:line="240" w:lineRule="auto"/>
        <w:rPr>
          <w:b/>
        </w:rPr>
      </w:pPr>
    </w:p>
    <w:p w14:paraId="3609B69B" w14:textId="77777777" w:rsidR="009242D5" w:rsidRPr="002D7686" w:rsidRDefault="009242D5" w:rsidP="009242D5">
      <w:pPr>
        <w:tabs>
          <w:tab w:val="left" w:pos="2268"/>
        </w:tabs>
        <w:spacing w:line="240" w:lineRule="auto"/>
        <w:rPr>
          <w:b/>
          <w:iCs/>
          <w:highlight w:val="yellow"/>
          <w:u w:val="single"/>
        </w:rPr>
      </w:pPr>
      <w:r w:rsidRPr="002D7686">
        <w:rPr>
          <w:b/>
        </w:rPr>
        <w:t>Keskeiset kohdat:</w:t>
      </w:r>
    </w:p>
    <w:p w14:paraId="2DAF360C" w14:textId="77777777" w:rsidR="009242D5" w:rsidRPr="002D7686" w:rsidRDefault="009242D5" w:rsidP="009242D5">
      <w:pPr>
        <w:tabs>
          <w:tab w:val="left" w:pos="2268"/>
        </w:tabs>
        <w:spacing w:line="240" w:lineRule="auto"/>
        <w:ind w:left="-567"/>
        <w:rPr>
          <w:iCs/>
          <w:highlight w:val="yellow"/>
        </w:rPr>
      </w:pPr>
    </w:p>
    <w:p w14:paraId="70E3F265" w14:textId="0B2DE3AB" w:rsidR="0095314E" w:rsidRDefault="0095314E" w:rsidP="0095314E">
      <w:pPr>
        <w:pStyle w:val="Heading2"/>
        <w:numPr>
          <w:ilvl w:val="0"/>
          <w:numId w:val="4"/>
        </w:numPr>
        <w:tabs>
          <w:tab w:val="left" w:pos="2268"/>
        </w:tabs>
        <w:overflowPunct/>
        <w:adjustRightInd/>
        <w:spacing w:after="120"/>
        <w:textAlignment w:val="auto"/>
      </w:pPr>
      <w:r>
        <w:t xml:space="preserve">ETSK on kannattanut komission kiertotalouspolitiikkaa alusta lähtien mutta katsoo, että sitä tulee harjoittaa tiiviissä yhteistyössä työmarkkinaosapuolten ja kansalaisyhteiskunnan organisaatioiden kanssa ennakkosuunnittelun pohjalta siten, että mukana on myös tiedelaitoksia ja erilaisia oppilaitoksia. </w:t>
      </w:r>
    </w:p>
    <w:p w14:paraId="1861E99E" w14:textId="2DC0B897" w:rsidR="0095314E" w:rsidRDefault="0095314E" w:rsidP="0095314E">
      <w:pPr>
        <w:pStyle w:val="Heading2"/>
        <w:numPr>
          <w:ilvl w:val="0"/>
          <w:numId w:val="4"/>
        </w:numPr>
        <w:tabs>
          <w:tab w:val="left" w:pos="2268"/>
        </w:tabs>
        <w:overflowPunct/>
        <w:adjustRightInd/>
        <w:spacing w:after="120"/>
        <w:textAlignment w:val="auto"/>
      </w:pPr>
      <w:r>
        <w:t xml:space="preserve">ETSK katsoo, että ennen muuta pakkausalalle, joka on tänä päivänä valtavan laaja, tulee kehittää taloudellisista ja hygieniasyistä koko alan kattava uudelleenkäyttöstrategia sellaisten yritysten myötävaikutuksella, joilla on kokemusta kierrätysprosesseista. Osaamista tulee yhtenäistää ja kehittää prosessin alku- ja loppupäässä. Kansallisten standardointielinten olisi tehostettava tiiviissä yhteistyössä eurooppalaisten ja kansainvälisten standardointielinten kanssa prosessia uusioraaka-aineiden tunnustamiseksi erityisen merkinnän avulla, jotta valmistettavien uusien tuotteiden kuluttajaturvallisuutta voidaan parantaa Euroopan laajuisen yhdenmukaistamisen avulla. </w:t>
      </w:r>
    </w:p>
    <w:p w14:paraId="267312FB" w14:textId="361E960C" w:rsidR="0095314E" w:rsidRDefault="0095314E" w:rsidP="0095314E">
      <w:pPr>
        <w:pStyle w:val="Heading2"/>
        <w:numPr>
          <w:ilvl w:val="0"/>
          <w:numId w:val="4"/>
        </w:numPr>
        <w:tabs>
          <w:tab w:val="left" w:pos="2268"/>
        </w:tabs>
        <w:overflowPunct/>
        <w:adjustRightInd/>
        <w:spacing w:after="120"/>
        <w:textAlignment w:val="auto"/>
      </w:pPr>
      <w:r>
        <w:t xml:space="preserve">ETSK katsoo, että merkittävä sija tulee antaa tutkimukselle ja innovoinnille, erityisesti biopohjaisia tuotteita kehittävälle yhteiselle teknologia-aloitteelle, joka on Horisontti 2020 -puiteohjelman mukainen institutionaalinen julkisen ja yksityisen sektorin yhteistyökumppanuus, sekä muille kiertotalouspohjaisille kestävyyttä edistäville hankkeille tulevassa yhdeksännessä puiteohjelmassa.  </w:t>
      </w:r>
    </w:p>
    <w:p w14:paraId="585501A0" w14:textId="1534B396" w:rsidR="0095314E" w:rsidRDefault="0095314E" w:rsidP="0095314E">
      <w:pPr>
        <w:pStyle w:val="Heading2"/>
        <w:numPr>
          <w:ilvl w:val="0"/>
          <w:numId w:val="4"/>
        </w:numPr>
        <w:tabs>
          <w:tab w:val="left" w:pos="2268"/>
        </w:tabs>
        <w:overflowPunct/>
        <w:adjustRightInd/>
        <w:spacing w:after="120"/>
        <w:textAlignment w:val="auto"/>
      </w:pPr>
      <w:r>
        <w:t xml:space="preserve">Ensisijaisen tärkeää on ottaa käyttöön eri muovilajien digitaaliset merkinnät, jotta muovit voidaan tunnistaa, lajitella ja mahdollisesti poistaa kierrosta yhteisesti sovittujen menetelmien mukaisesti. Kyseiset uusioraaka-aineet eivät varsinkaan saa sisältää sellaisia myrkyllisiä aineita, joita esiintyy raaka-aineissa, joita ei ole tarkoitettu käytettäväksi elintarvikkeiden kanssa tai lasten leikeissä. ETSK katsoo erityisesti, että </w:t>
      </w:r>
      <w:proofErr w:type="spellStart"/>
      <w:r>
        <w:t>REACH-toimiin</w:t>
      </w:r>
      <w:proofErr w:type="spellEnd"/>
      <w:r>
        <w:t xml:space="preserve"> liittyvien kemiallisten analyysien avulla tulee pyrkiä vähentämään mikromuovien aiheuttamaa saastumista, joka on yksi suurimmista ympäristöä ja ihmisten terveyttä uhkaavista tekijöistä. </w:t>
      </w:r>
    </w:p>
    <w:p w14:paraId="35B926C1" w14:textId="45233904" w:rsidR="009242D5" w:rsidRPr="002D7686" w:rsidRDefault="0095314E" w:rsidP="0095314E">
      <w:pPr>
        <w:pStyle w:val="Heading2"/>
        <w:numPr>
          <w:ilvl w:val="0"/>
          <w:numId w:val="4"/>
        </w:numPr>
        <w:tabs>
          <w:tab w:val="left" w:pos="2268"/>
        </w:tabs>
        <w:overflowPunct/>
        <w:adjustRightInd/>
        <w:spacing w:after="120"/>
        <w:textAlignment w:val="auto"/>
      </w:pPr>
      <w:r>
        <w:t>ETSK kannattaa painokkaasti komission ehdotuksia jätteen vastaanottolaitteiden sijoittamisesta satamiin sekä alusten vastuuhenkilöiden velvoittamista noudattamaan jätteiden purkamista koskevia menettelyjä. Vastaavaa toimintatapaa pitäisi soveltaa myös jokien hoidossa, sillä jokia pitkin kulkeutuu meriin huomattavan paljon saasteita. ETSK katsoo, että kalastajajärjestöjen ja työmarkkinaosapuolten olisi oltava sekä toimintakulttuurinsa puolesta että kansallisen ja unionilta saatavan rahoituksen turvin mukana vesistöjen puhdistamisessa polymeerijäänteistä. Ne voisivat mm. järjestää valveutuskampanjoita jokien ja merien roskaantumisesta ja tarvittavan koulutuksen saatuaan myös osallistua satamissa tai jokien varsilla kierrätyksen toimitusketjun alkupään toimiin eritoten kalastuskieltokausien aikana.</w:t>
      </w:r>
    </w:p>
    <w:p w14:paraId="1B107D07" w14:textId="77777777" w:rsidR="009242D5" w:rsidRPr="002D7686" w:rsidRDefault="009242D5" w:rsidP="009242D5">
      <w:pPr>
        <w:tabs>
          <w:tab w:val="left" w:pos="2268"/>
        </w:tabs>
        <w:spacing w:line="240" w:lineRule="auto"/>
        <w:rPr>
          <w:b/>
          <w:iCs/>
          <w:highlight w:val="yellow"/>
          <w:u w:val="single"/>
        </w:rPr>
      </w:pPr>
    </w:p>
    <w:p w14:paraId="76275FE6" w14:textId="77777777" w:rsidR="00105974" w:rsidRPr="008C6BED" w:rsidRDefault="00105974" w:rsidP="00105974">
      <w:pPr>
        <w:rPr>
          <w:i/>
        </w:rPr>
      </w:pPr>
      <w:r>
        <w:rPr>
          <w:b/>
          <w:i/>
        </w:rPr>
        <w:t>Yhteyshenkilö:</w:t>
      </w:r>
      <w:r>
        <w:tab/>
      </w:r>
      <w:r>
        <w:rPr>
          <w:i/>
        </w:rPr>
        <w:t xml:space="preserve">Monica </w:t>
      </w:r>
      <w:proofErr w:type="spellStart"/>
      <w:r>
        <w:rPr>
          <w:i/>
        </w:rPr>
        <w:t>Guarinoni</w:t>
      </w:r>
      <w:proofErr w:type="spellEnd"/>
    </w:p>
    <w:p w14:paraId="5F96F416" w14:textId="3D1EE1A9" w:rsidR="00105974" w:rsidRPr="00800DAD" w:rsidRDefault="00105974" w:rsidP="00105974">
      <w:pPr>
        <w:tabs>
          <w:tab w:val="left" w:pos="993"/>
        </w:tabs>
        <w:rPr>
          <w:i/>
        </w:rPr>
      </w:pPr>
      <w:r>
        <w:rPr>
          <w:i/>
        </w:rPr>
        <w:tab/>
      </w:r>
      <w:r>
        <w:rPr>
          <w:i/>
        </w:rPr>
        <w:tab/>
      </w:r>
      <w:r>
        <w:rPr>
          <w:i/>
        </w:rPr>
        <w:tab/>
        <w:t>(P. +32 25468127 – sähköposti:</w:t>
      </w:r>
      <w:r w:rsidRPr="00914455">
        <w:t xml:space="preserve"> </w:t>
      </w:r>
      <w:hyperlink r:id="rId24" w:history="1">
        <w:r w:rsidRPr="005A1702">
          <w:rPr>
            <w:rStyle w:val="Hyperlink"/>
            <w:i/>
          </w:rPr>
          <w:t>monica.guarinoni@eesc.europa.eu</w:t>
        </w:r>
      </w:hyperlink>
      <w:r>
        <w:rPr>
          <w:i/>
        </w:rPr>
        <w:t>)</w:t>
      </w:r>
    </w:p>
    <w:p w14:paraId="791F40FF" w14:textId="77777777" w:rsidR="009242D5" w:rsidRDefault="009242D5" w:rsidP="0083737A">
      <w:pPr>
        <w:tabs>
          <w:tab w:val="left" w:pos="1418"/>
          <w:tab w:val="left" w:pos="2268"/>
        </w:tabs>
        <w:rPr>
          <w:i/>
          <w:iCs/>
        </w:rPr>
      </w:pPr>
    </w:p>
    <w:p w14:paraId="119A380A" w14:textId="77777777" w:rsidR="00C819D6" w:rsidRDefault="00C819D6" w:rsidP="0083737A">
      <w:pPr>
        <w:tabs>
          <w:tab w:val="left" w:pos="1418"/>
          <w:tab w:val="left" w:pos="2268"/>
        </w:tabs>
        <w:rPr>
          <w:i/>
          <w:iCs/>
        </w:rPr>
      </w:pPr>
    </w:p>
    <w:p w14:paraId="3C8C3989" w14:textId="400A2BC4" w:rsidR="00B71225" w:rsidRPr="002D7686" w:rsidRDefault="00AD0B77" w:rsidP="00AD0B77">
      <w:pPr>
        <w:pStyle w:val="ListParagraph"/>
        <w:widowControl w:val="0"/>
        <w:numPr>
          <w:ilvl w:val="0"/>
          <w:numId w:val="9"/>
        </w:numPr>
        <w:tabs>
          <w:tab w:val="left" w:pos="2268"/>
        </w:tabs>
        <w:rPr>
          <w:b/>
          <w:i/>
          <w:spacing w:val="-2"/>
          <w:sz w:val="28"/>
          <w:szCs w:val="28"/>
        </w:rPr>
      </w:pPr>
      <w:r w:rsidRPr="00AD0B77">
        <w:rPr>
          <w:b/>
          <w:i/>
          <w:spacing w:val="-2"/>
          <w:sz w:val="28"/>
        </w:rPr>
        <w:lastRenderedPageBreak/>
        <w:t>Ruoan ja maanviljelyn tulevaisuus</w:t>
      </w:r>
    </w:p>
    <w:p w14:paraId="6A881376" w14:textId="77777777" w:rsidR="00B71225" w:rsidRPr="002D7686" w:rsidRDefault="00B71225" w:rsidP="00B71225">
      <w:pPr>
        <w:widowControl w:val="0"/>
        <w:tabs>
          <w:tab w:val="left" w:pos="2268"/>
        </w:tabs>
      </w:pPr>
    </w:p>
    <w:p w14:paraId="015F75C8" w14:textId="27F62E53" w:rsidR="00B71225" w:rsidRPr="002D7686" w:rsidRDefault="00B71225" w:rsidP="00B71225">
      <w:r w:rsidRPr="002D7686">
        <w:rPr>
          <w:b/>
        </w:rPr>
        <w:t>Esittelijä:</w:t>
      </w:r>
      <w:r w:rsidRPr="002D7686">
        <w:tab/>
      </w:r>
      <w:r w:rsidRPr="002D7686">
        <w:tab/>
      </w:r>
      <w:proofErr w:type="spellStart"/>
      <w:r w:rsidRPr="00D85439">
        <w:rPr>
          <w:lang w:val="en-GB"/>
        </w:rPr>
        <w:t>Jarmila</w:t>
      </w:r>
      <w:proofErr w:type="spellEnd"/>
      <w:r w:rsidRPr="00D85439">
        <w:rPr>
          <w:lang w:val="en-GB"/>
        </w:rPr>
        <w:t xml:space="preserve"> </w:t>
      </w:r>
      <w:r w:rsidRPr="00D85439">
        <w:rPr>
          <w:caps/>
          <w:lang w:val="en-GB"/>
        </w:rPr>
        <w:t>Dubravská</w:t>
      </w:r>
      <w:r w:rsidRPr="00D85439">
        <w:rPr>
          <w:lang w:val="en-GB"/>
        </w:rPr>
        <w:t xml:space="preserve"> </w:t>
      </w:r>
      <w:r w:rsidRPr="002D7686">
        <w:t xml:space="preserve">(työnantajat – </w:t>
      </w:r>
      <w:r>
        <w:t>SK</w:t>
      </w:r>
      <w:r w:rsidRPr="002D7686">
        <w:t>)</w:t>
      </w:r>
    </w:p>
    <w:p w14:paraId="463619F3" w14:textId="2AAABA26" w:rsidR="00B71225" w:rsidRPr="002D7686" w:rsidRDefault="00B71225" w:rsidP="00B71225">
      <w:pPr>
        <w:rPr>
          <w:highlight w:val="yellow"/>
        </w:rPr>
      </w:pPr>
      <w:r w:rsidRPr="002D7686">
        <w:rPr>
          <w:b/>
        </w:rPr>
        <w:t>Toinen esittelijä:</w:t>
      </w:r>
      <w:r w:rsidRPr="002D7686">
        <w:tab/>
      </w:r>
      <w:r w:rsidRPr="00D85439">
        <w:rPr>
          <w:lang w:val="en-GB"/>
        </w:rPr>
        <w:t xml:space="preserve">John </w:t>
      </w:r>
      <w:r w:rsidRPr="00D85439">
        <w:rPr>
          <w:caps/>
          <w:lang w:val="en-GB"/>
        </w:rPr>
        <w:t>Bryan</w:t>
      </w:r>
      <w:r w:rsidRPr="00D85439">
        <w:rPr>
          <w:lang w:val="en-GB"/>
        </w:rPr>
        <w:t xml:space="preserve"> </w:t>
      </w:r>
      <w:r>
        <w:t>(moninainen Eurooppa</w:t>
      </w:r>
      <w:r w:rsidRPr="002D7686">
        <w:t xml:space="preserve"> </w:t>
      </w:r>
      <w:r>
        <w:t>– IE</w:t>
      </w:r>
      <w:r w:rsidRPr="002D7686">
        <w:t>)</w:t>
      </w:r>
    </w:p>
    <w:p w14:paraId="248E6422" w14:textId="77777777" w:rsidR="00B71225" w:rsidRPr="002D7686" w:rsidRDefault="00B71225" w:rsidP="00B71225"/>
    <w:p w14:paraId="20BC1512" w14:textId="58AD7905" w:rsidR="00B71225" w:rsidRPr="00D85439" w:rsidRDefault="00B71225" w:rsidP="00B71225">
      <w:pPr>
        <w:tabs>
          <w:tab w:val="left" w:pos="1701"/>
        </w:tabs>
        <w:rPr>
          <w:lang w:val="en-GB"/>
        </w:rPr>
      </w:pPr>
      <w:r w:rsidRPr="002D7686">
        <w:rPr>
          <w:b/>
        </w:rPr>
        <w:t>Viiteasiakirja</w:t>
      </w:r>
      <w:r>
        <w:rPr>
          <w:b/>
        </w:rPr>
        <w:t>t</w:t>
      </w:r>
      <w:r w:rsidRPr="002D7686">
        <w:rPr>
          <w:b/>
        </w:rPr>
        <w:t>:</w:t>
      </w:r>
      <w:r w:rsidRPr="002D7686">
        <w:tab/>
      </w:r>
      <w:r w:rsidRPr="00D85439">
        <w:rPr>
          <w:lang w:val="en-GB"/>
        </w:rPr>
        <w:t xml:space="preserve">COM(2017) 713 final </w:t>
      </w:r>
    </w:p>
    <w:p w14:paraId="08EC4593" w14:textId="6D1097CE" w:rsidR="00B71225" w:rsidRPr="002D7686" w:rsidRDefault="00B71225" w:rsidP="00B71225">
      <w:pPr>
        <w:rPr>
          <w:rFonts w:eastAsiaTheme="minorEastAsia"/>
        </w:rPr>
      </w:pPr>
      <w:r>
        <w:rPr>
          <w:lang w:val="en-GB"/>
        </w:rPr>
        <w:tab/>
      </w:r>
      <w:r>
        <w:rPr>
          <w:lang w:val="en-GB"/>
        </w:rPr>
        <w:tab/>
      </w:r>
      <w:r w:rsidRPr="00D85439">
        <w:rPr>
          <w:lang w:val="en-GB"/>
        </w:rPr>
        <w:tab/>
        <w:t>EESC-2018-00162-00-00-AC-TRA</w:t>
      </w:r>
    </w:p>
    <w:p w14:paraId="6B35C043" w14:textId="77777777" w:rsidR="00B71225" w:rsidRPr="002D7686" w:rsidRDefault="00B71225" w:rsidP="00B71225">
      <w:pPr>
        <w:tabs>
          <w:tab w:val="left" w:pos="2268"/>
        </w:tabs>
        <w:jc w:val="left"/>
      </w:pPr>
    </w:p>
    <w:p w14:paraId="081DBC76" w14:textId="77777777" w:rsidR="00B71225" w:rsidRPr="002D7686" w:rsidRDefault="00B71225" w:rsidP="00B71225">
      <w:pPr>
        <w:tabs>
          <w:tab w:val="left" w:pos="2268"/>
        </w:tabs>
      </w:pPr>
      <w:r w:rsidRPr="002D7686">
        <w:rPr>
          <w:b/>
        </w:rPr>
        <w:t>Keskeiset kohdat:</w:t>
      </w:r>
    </w:p>
    <w:p w14:paraId="77D3A08E" w14:textId="77777777" w:rsidR="00B71225" w:rsidRPr="002D7686" w:rsidRDefault="00B71225" w:rsidP="00B71225">
      <w:pPr>
        <w:widowControl w:val="0"/>
        <w:tabs>
          <w:tab w:val="left" w:pos="2268"/>
        </w:tabs>
      </w:pPr>
    </w:p>
    <w:p w14:paraId="180AA359" w14:textId="77777777" w:rsidR="00AD0B77" w:rsidRDefault="00AD0B77" w:rsidP="00AD0B77">
      <w:pPr>
        <w:pStyle w:val="Heading2"/>
        <w:numPr>
          <w:ilvl w:val="0"/>
          <w:numId w:val="4"/>
        </w:numPr>
        <w:tabs>
          <w:tab w:val="left" w:pos="2268"/>
        </w:tabs>
        <w:overflowPunct/>
        <w:adjustRightInd/>
        <w:spacing w:after="120"/>
        <w:textAlignment w:val="auto"/>
      </w:pPr>
      <w:r>
        <w:t xml:space="preserve">Tulevan YMP:n on täytettävä Rooman sopimuksessa alun perin asetetut tavoitteet sekä uudet tavoitteet, jotka koskevat ympäristöä, ilmastonmuutosta ja biologista monimuotoisuutta, ja samalla varmistettava, että eurooppalainen maatalousmalli säilytetään ja että se pysyy kilpailukykyisenä ja elinkelpoisena, jotta voidaan vastata EU:n kansalaisten tarpeisiin. YMP:hen on myös sisällytettävä ja sen avulla on täytettävä sitoumukset, jotka on määritelty YK:n kestävän kehityksen tavoitteissa ja COP 21:ssä. </w:t>
      </w:r>
    </w:p>
    <w:p w14:paraId="6CD768D7" w14:textId="77777777" w:rsidR="00AD0B77" w:rsidRDefault="00AD0B77" w:rsidP="00AD0B77">
      <w:pPr>
        <w:pStyle w:val="Heading2"/>
        <w:numPr>
          <w:ilvl w:val="0"/>
          <w:numId w:val="4"/>
        </w:numPr>
        <w:tabs>
          <w:tab w:val="left" w:pos="2268"/>
        </w:tabs>
        <w:overflowPunct/>
        <w:adjustRightInd/>
        <w:spacing w:after="120"/>
        <w:textAlignment w:val="auto"/>
      </w:pPr>
      <w:r>
        <w:t xml:space="preserve">ETSK pitää uudistusten suuntaa sekä uusia ehdotuksia toissijaisuusperiaatteen soveltamisesta ja uudesta täytäntöönpanomallista tervetulleina ja korostaa tarvetta varmistaa, että ne toteutetaan tavalla, joka suojaa yhteistä politiikkaa ja sisämarkkinoita ja täyttää yksinkertaistamiseen tähtäävät sitoumukset. ETSK olisi kuitenkin toivonut yksityiskohtaisempaa tiedonantoa. Komitea toivoi, että komissio olisi ottanut tulevissa säädösehdotuksissa huomioon tässä lausunnossa esitetyt kansalaisyhteiskunnan näkemykset. Määräajat </w:t>
      </w:r>
      <w:proofErr w:type="spellStart"/>
      <w:r>
        <w:t>ETSK:n</w:t>
      </w:r>
      <w:proofErr w:type="spellEnd"/>
      <w:r>
        <w:t xml:space="preserve"> lausunnolle ja komission säädösehdotuksille olivat liian tiukat. </w:t>
      </w:r>
    </w:p>
    <w:p w14:paraId="23FA3A60" w14:textId="0E60E294" w:rsidR="00AD0B77" w:rsidRDefault="00AD0B77" w:rsidP="00AD0B77">
      <w:pPr>
        <w:pStyle w:val="Heading2"/>
        <w:numPr>
          <w:ilvl w:val="0"/>
          <w:numId w:val="4"/>
        </w:numPr>
        <w:tabs>
          <w:tab w:val="left" w:pos="2268"/>
        </w:tabs>
        <w:overflowPunct/>
        <w:adjustRightInd/>
        <w:spacing w:after="120"/>
        <w:textAlignment w:val="auto"/>
      </w:pPr>
      <w:r>
        <w:t xml:space="preserve">ETSK kannattaa kahden pilarin YMP-mallia, jossa ensimmäinen pilari kattaa suorat tuet, jotka olisi suunnattava uudelleen ja joilla on varmistettava maataloustuottajien kohtuulliset tulot ja kannusteet julkishyödykkeiden tuottamiseksi, sekä markkinatuen ja jossa toinen pilari kattaa maaseutualueiden tukemisen ja väestökadon torjumisen </w:t>
      </w:r>
      <w:proofErr w:type="spellStart"/>
      <w:r>
        <w:t>Cork</w:t>
      </w:r>
      <w:proofErr w:type="spellEnd"/>
      <w:r>
        <w:t xml:space="preserve"> 2.0 -julistuksen mukaisesti. ETSK vastustaa yhteisrahoitusta ensimmäisen pilarin puitteissa. ETSK kehottaa asettamaan kaikille jäsenvaltioille kohtuullisen tason toisen pilarin yhteisrahoitukselle. ETSK painottaa, että suoria tukia tulisi maksaa vain aktiivisille maataloustuottajille objektiivisten, maataloustoimintaa ja julkishyödykkeiden tarjontaa koskevien kriteereiden perusteella. </w:t>
      </w:r>
    </w:p>
    <w:p w14:paraId="6E534A9D" w14:textId="77777777" w:rsidR="00AD0B77" w:rsidRDefault="00AD0B77" w:rsidP="00AD0B77">
      <w:pPr>
        <w:pStyle w:val="Heading2"/>
        <w:numPr>
          <w:ilvl w:val="0"/>
          <w:numId w:val="4"/>
        </w:numPr>
        <w:tabs>
          <w:tab w:val="left" w:pos="2268"/>
        </w:tabs>
        <w:overflowPunct/>
        <w:adjustRightInd/>
        <w:spacing w:after="120"/>
        <w:textAlignment w:val="auto"/>
      </w:pPr>
      <w:r>
        <w:t xml:space="preserve">ETSK kannattaa vahvaa ja riittävästi rahoitettua YMP:tä ja EU:n talousarvion kasvattamista 1,3 prosenttiin </w:t>
      </w:r>
      <w:proofErr w:type="spellStart"/>
      <w:r>
        <w:t>BKTL:stä</w:t>
      </w:r>
      <w:proofErr w:type="spellEnd"/>
      <w:r>
        <w:t xml:space="preserve"> EU:n talouskasvua seuraten. YMP:hen on osoitettava riittävät määrärahat, jotta voidaan puuttua maataloustuottajien ja -työntekijöiden mataliin tuloihin, inflaatioon ja </w:t>
      </w:r>
      <w:proofErr w:type="spellStart"/>
      <w:r>
        <w:t>brexitin</w:t>
      </w:r>
      <w:proofErr w:type="spellEnd"/>
      <w:r>
        <w:t xml:space="preserve"> mahdollisesti aiheuttamiin vajauksiin sekä ympäristöä ja ilmastonmuutosta koskeviin lisävaatimuksiin, ja jotta voidaan vastata tarpeeseen suorien tukien lähentämisestä jäsenvaltioiden välillä olosuhde-erot huomioon ottaen. </w:t>
      </w:r>
    </w:p>
    <w:p w14:paraId="0CC34F71" w14:textId="7BC0D30B" w:rsidR="00B71225" w:rsidRPr="002D7686" w:rsidRDefault="00AD0B77" w:rsidP="00AD0B77">
      <w:pPr>
        <w:pStyle w:val="Heading2"/>
        <w:numPr>
          <w:ilvl w:val="0"/>
          <w:numId w:val="4"/>
        </w:numPr>
        <w:tabs>
          <w:tab w:val="left" w:pos="2268"/>
        </w:tabs>
        <w:overflowPunct/>
        <w:adjustRightInd/>
        <w:spacing w:after="120"/>
        <w:textAlignment w:val="auto"/>
      </w:pPr>
      <w:r>
        <w:t>ETSK katsoo, että YMP:n on tuettava maataloustuottajia – pieniä ja suuria, nuoria ja vanhoja, uusia ja vakiintuneita, itsenäisiä maatalousyrittäjiä ja heidän työntekijöitään, naisia ja miehiä – niin, että aktiiviset maataloustuottajat, jotka toimivat maataloustuotannon alalla, tarjoavat julkishyödykkeitä, huolehtivat ympäristöstä ja edistävät osaltaan työllisyyttä, pystyvät elämään maaseudulla</w:t>
      </w:r>
      <w:r w:rsidR="00B71225" w:rsidRPr="002D7686">
        <w:t xml:space="preserve">.  </w:t>
      </w:r>
    </w:p>
    <w:p w14:paraId="3BCB4C16" w14:textId="77777777" w:rsidR="00B71225" w:rsidRPr="002D7686" w:rsidRDefault="00B71225" w:rsidP="00B71225">
      <w:pPr>
        <w:pStyle w:val="NoSpacing"/>
        <w:tabs>
          <w:tab w:val="left" w:pos="2268"/>
        </w:tabs>
        <w:spacing w:line="288" w:lineRule="auto"/>
      </w:pPr>
    </w:p>
    <w:p w14:paraId="559F7992" w14:textId="5FB39D9A" w:rsidR="00E236B0" w:rsidRPr="00E3384D" w:rsidRDefault="00E236B0" w:rsidP="00E236B0">
      <w:pPr>
        <w:tabs>
          <w:tab w:val="center" w:pos="284"/>
          <w:tab w:val="left" w:pos="993"/>
        </w:tabs>
        <w:spacing w:line="280" w:lineRule="auto"/>
        <w:ind w:left="266" w:hanging="266"/>
        <w:rPr>
          <w:i/>
          <w:iCs/>
          <w:szCs w:val="22"/>
        </w:rPr>
      </w:pPr>
      <w:r w:rsidRPr="00E3384D">
        <w:rPr>
          <w:b/>
          <w:i/>
          <w:szCs w:val="22"/>
        </w:rPr>
        <w:lastRenderedPageBreak/>
        <w:t>Yhteyshenkilö</w:t>
      </w:r>
      <w:r>
        <w:rPr>
          <w:b/>
          <w:i/>
          <w:szCs w:val="22"/>
        </w:rPr>
        <w:t>t</w:t>
      </w:r>
      <w:r>
        <w:rPr>
          <w:i/>
          <w:szCs w:val="22"/>
        </w:rPr>
        <w:t>:</w:t>
      </w:r>
      <w:r>
        <w:rPr>
          <w:i/>
          <w:szCs w:val="22"/>
        </w:rPr>
        <w:tab/>
      </w:r>
      <w:r w:rsidRPr="00E3384D">
        <w:rPr>
          <w:i/>
          <w:iCs/>
          <w:szCs w:val="22"/>
        </w:rPr>
        <w:t>Maarit Laurila</w:t>
      </w:r>
    </w:p>
    <w:p w14:paraId="6207B9C4" w14:textId="5D6E8B56" w:rsidR="00E236B0" w:rsidRPr="00E3384D" w:rsidRDefault="00E236B0" w:rsidP="00E236B0">
      <w:pPr>
        <w:tabs>
          <w:tab w:val="left" w:pos="993"/>
        </w:tabs>
        <w:rPr>
          <w:i/>
          <w:iCs/>
          <w:szCs w:val="22"/>
        </w:rPr>
      </w:pPr>
      <w:r>
        <w:rPr>
          <w:i/>
          <w:iCs/>
          <w:szCs w:val="22"/>
        </w:rPr>
        <w:tab/>
      </w:r>
      <w:r>
        <w:rPr>
          <w:i/>
          <w:iCs/>
          <w:szCs w:val="22"/>
        </w:rPr>
        <w:tab/>
      </w:r>
      <w:r>
        <w:rPr>
          <w:i/>
          <w:iCs/>
          <w:szCs w:val="22"/>
        </w:rPr>
        <w:tab/>
      </w:r>
      <w:r w:rsidRPr="00E3384D">
        <w:rPr>
          <w:i/>
          <w:iCs/>
          <w:szCs w:val="22"/>
        </w:rPr>
        <w:t xml:space="preserve">(P. +32 25469739 – sähköposti: </w:t>
      </w:r>
      <w:hyperlink r:id="rId25" w:history="1">
        <w:r w:rsidRPr="00E3384D">
          <w:rPr>
            <w:rStyle w:val="Hyperlink"/>
            <w:i/>
            <w:iCs/>
            <w:szCs w:val="22"/>
          </w:rPr>
          <w:t>maarit.laurila@eesc.europa.eu</w:t>
        </w:r>
      </w:hyperlink>
      <w:r w:rsidRPr="00E3384D">
        <w:rPr>
          <w:i/>
          <w:iCs/>
          <w:szCs w:val="22"/>
        </w:rPr>
        <w:t>)</w:t>
      </w:r>
    </w:p>
    <w:p w14:paraId="2FED7919" w14:textId="7C155227" w:rsidR="00E236B0" w:rsidRPr="00E3384D" w:rsidRDefault="00E236B0" w:rsidP="00E236B0">
      <w:pPr>
        <w:tabs>
          <w:tab w:val="center" w:pos="284"/>
          <w:tab w:val="left" w:pos="993"/>
        </w:tabs>
        <w:ind w:left="266" w:hanging="266"/>
        <w:rPr>
          <w:i/>
          <w:iCs/>
          <w:szCs w:val="22"/>
        </w:rPr>
      </w:pPr>
      <w:r>
        <w:rPr>
          <w:i/>
          <w:szCs w:val="22"/>
        </w:rPr>
        <w:tab/>
      </w:r>
      <w:r>
        <w:rPr>
          <w:i/>
          <w:szCs w:val="22"/>
        </w:rPr>
        <w:tab/>
      </w:r>
      <w:r>
        <w:rPr>
          <w:i/>
          <w:szCs w:val="22"/>
        </w:rPr>
        <w:tab/>
      </w:r>
      <w:r>
        <w:rPr>
          <w:i/>
          <w:szCs w:val="22"/>
        </w:rPr>
        <w:tab/>
      </w:r>
      <w:r>
        <w:rPr>
          <w:i/>
          <w:szCs w:val="22"/>
        </w:rPr>
        <w:tab/>
      </w:r>
      <w:proofErr w:type="spellStart"/>
      <w:r>
        <w:rPr>
          <w:i/>
          <w:szCs w:val="22"/>
        </w:rPr>
        <w:t>Arturo</w:t>
      </w:r>
      <w:proofErr w:type="spellEnd"/>
      <w:r>
        <w:rPr>
          <w:i/>
          <w:szCs w:val="22"/>
        </w:rPr>
        <w:t xml:space="preserve"> </w:t>
      </w:r>
      <w:proofErr w:type="spellStart"/>
      <w:r>
        <w:rPr>
          <w:i/>
          <w:szCs w:val="22"/>
        </w:rPr>
        <w:t>Iniguez</w:t>
      </w:r>
      <w:proofErr w:type="spellEnd"/>
    </w:p>
    <w:p w14:paraId="444B8408" w14:textId="58FD9FD2" w:rsidR="00E236B0" w:rsidRPr="00E3384D" w:rsidRDefault="00E236B0" w:rsidP="00E236B0">
      <w:pPr>
        <w:tabs>
          <w:tab w:val="left" w:pos="993"/>
        </w:tabs>
        <w:rPr>
          <w:i/>
          <w:iCs/>
          <w:szCs w:val="22"/>
        </w:rPr>
      </w:pPr>
      <w:r>
        <w:rPr>
          <w:i/>
          <w:iCs/>
          <w:szCs w:val="22"/>
        </w:rPr>
        <w:tab/>
      </w:r>
      <w:r>
        <w:rPr>
          <w:i/>
          <w:iCs/>
          <w:szCs w:val="22"/>
        </w:rPr>
        <w:tab/>
      </w:r>
      <w:r>
        <w:rPr>
          <w:i/>
          <w:iCs/>
          <w:szCs w:val="22"/>
        </w:rPr>
        <w:tab/>
      </w:r>
      <w:r w:rsidRPr="00E3384D">
        <w:rPr>
          <w:i/>
          <w:iCs/>
          <w:szCs w:val="22"/>
        </w:rPr>
        <w:t>(P. +32 25468</w:t>
      </w:r>
      <w:r>
        <w:rPr>
          <w:i/>
          <w:iCs/>
          <w:szCs w:val="22"/>
        </w:rPr>
        <w:t>76</w:t>
      </w:r>
      <w:r w:rsidRPr="00E3384D">
        <w:rPr>
          <w:i/>
          <w:iCs/>
          <w:szCs w:val="22"/>
        </w:rPr>
        <w:t xml:space="preserve">8 – sähköposti: </w:t>
      </w:r>
      <w:hyperlink r:id="rId26" w:history="1">
        <w:r w:rsidRPr="00E3384D">
          <w:rPr>
            <w:rStyle w:val="Hyperlink"/>
            <w:i/>
            <w:iCs/>
            <w:szCs w:val="22"/>
          </w:rPr>
          <w:t>arturo.iniguez@eesc.europa.eu</w:t>
        </w:r>
      </w:hyperlink>
      <w:r w:rsidRPr="00E3384D">
        <w:rPr>
          <w:i/>
          <w:iCs/>
          <w:szCs w:val="22"/>
        </w:rPr>
        <w:t>)</w:t>
      </w:r>
    </w:p>
    <w:p w14:paraId="0432D53C" w14:textId="77777777" w:rsidR="009242D5" w:rsidRDefault="009242D5" w:rsidP="0083737A">
      <w:pPr>
        <w:tabs>
          <w:tab w:val="left" w:pos="1418"/>
          <w:tab w:val="left" w:pos="2268"/>
        </w:tabs>
        <w:rPr>
          <w:i/>
          <w:iCs/>
        </w:rPr>
      </w:pPr>
    </w:p>
    <w:p w14:paraId="62B81A38" w14:textId="613DE3A8" w:rsidR="0062707A" w:rsidRPr="002D7686" w:rsidRDefault="00BD6302" w:rsidP="00BD6302">
      <w:pPr>
        <w:pStyle w:val="ListParagraph"/>
        <w:numPr>
          <w:ilvl w:val="0"/>
          <w:numId w:val="3"/>
        </w:numPr>
        <w:tabs>
          <w:tab w:val="left" w:pos="2268"/>
        </w:tabs>
        <w:rPr>
          <w:b/>
          <w:bCs/>
          <w:i/>
          <w:iCs/>
          <w:sz w:val="28"/>
          <w:szCs w:val="28"/>
        </w:rPr>
      </w:pPr>
      <w:r w:rsidRPr="00BD6302">
        <w:rPr>
          <w:b/>
          <w:i/>
          <w:sz w:val="28"/>
        </w:rPr>
        <w:t xml:space="preserve">EU:n toimet ympäristövaatimusten </w:t>
      </w:r>
      <w:proofErr w:type="gramStart"/>
      <w:r w:rsidRPr="00BD6302">
        <w:rPr>
          <w:b/>
          <w:i/>
          <w:sz w:val="28"/>
        </w:rPr>
        <w:t>noudattamisen  ja</w:t>
      </w:r>
      <w:proofErr w:type="gramEnd"/>
      <w:r w:rsidRPr="00BD6302">
        <w:rPr>
          <w:b/>
          <w:i/>
          <w:sz w:val="28"/>
        </w:rPr>
        <w:t xml:space="preserve"> ympäristöhallinnan parantamiseksi</w:t>
      </w:r>
    </w:p>
    <w:p w14:paraId="4BD2C982" w14:textId="77777777" w:rsidR="0062707A" w:rsidRPr="002D7686" w:rsidRDefault="0062707A" w:rsidP="0062707A">
      <w:pPr>
        <w:tabs>
          <w:tab w:val="left" w:pos="1701"/>
          <w:tab w:val="left" w:pos="2268"/>
        </w:tabs>
      </w:pPr>
    </w:p>
    <w:p w14:paraId="70896108" w14:textId="264705EF" w:rsidR="0062707A" w:rsidRPr="002D7686" w:rsidRDefault="0062707A" w:rsidP="0062707A">
      <w:r w:rsidRPr="002D7686">
        <w:rPr>
          <w:b/>
        </w:rPr>
        <w:t>Esittelijä:</w:t>
      </w:r>
      <w:r w:rsidRPr="002D7686">
        <w:tab/>
      </w:r>
      <w:r w:rsidRPr="002D7686">
        <w:tab/>
      </w:r>
      <w:r w:rsidRPr="00D85439">
        <w:rPr>
          <w:lang w:val="en-GB"/>
        </w:rPr>
        <w:t xml:space="preserve">Arnaud </w:t>
      </w:r>
      <w:r w:rsidRPr="00D85439">
        <w:rPr>
          <w:caps/>
          <w:lang w:val="en-GB"/>
        </w:rPr>
        <w:t>Schwartz</w:t>
      </w:r>
      <w:r w:rsidRPr="00D85439">
        <w:rPr>
          <w:lang w:val="en-GB"/>
        </w:rPr>
        <w:t xml:space="preserve"> </w:t>
      </w:r>
      <w:r>
        <w:t>(moninainen Eurooppa</w:t>
      </w:r>
      <w:r w:rsidRPr="002D7686">
        <w:t xml:space="preserve"> – </w:t>
      </w:r>
      <w:r>
        <w:t>FR</w:t>
      </w:r>
      <w:r w:rsidRPr="002D7686">
        <w:t>)</w:t>
      </w:r>
    </w:p>
    <w:p w14:paraId="615C63D2" w14:textId="77777777" w:rsidR="0062707A" w:rsidRPr="002D7686" w:rsidRDefault="0062707A" w:rsidP="0062707A"/>
    <w:p w14:paraId="7ED0EA10" w14:textId="77777777" w:rsidR="0062707A" w:rsidRPr="00D85439" w:rsidRDefault="0062707A" w:rsidP="0062707A">
      <w:pPr>
        <w:tabs>
          <w:tab w:val="left" w:pos="1418"/>
        </w:tabs>
        <w:rPr>
          <w:lang w:val="en-GB"/>
        </w:rPr>
      </w:pPr>
      <w:r w:rsidRPr="002D7686">
        <w:rPr>
          <w:b/>
        </w:rPr>
        <w:t>Viiteasiakirja</w:t>
      </w:r>
      <w:r>
        <w:rPr>
          <w:b/>
        </w:rPr>
        <w:t>t</w:t>
      </w:r>
      <w:r w:rsidRPr="002D7686">
        <w:rPr>
          <w:b/>
        </w:rPr>
        <w:t>:</w:t>
      </w:r>
      <w:r w:rsidRPr="002D7686">
        <w:tab/>
      </w:r>
      <w:r w:rsidRPr="00D85439">
        <w:rPr>
          <w:lang w:val="en-GB"/>
        </w:rPr>
        <w:t>COM(2018) 10 final</w:t>
      </w:r>
    </w:p>
    <w:p w14:paraId="11F848AA" w14:textId="1C2EC33D" w:rsidR="0062707A" w:rsidRPr="002D7686" w:rsidRDefault="0062707A" w:rsidP="0062707A">
      <w:pPr>
        <w:tabs>
          <w:tab w:val="left" w:pos="1418"/>
        </w:tabs>
      </w:pPr>
      <w:r>
        <w:rPr>
          <w:lang w:val="en-GB"/>
        </w:rPr>
        <w:tab/>
      </w:r>
      <w:r w:rsidRPr="00D85439">
        <w:rPr>
          <w:lang w:val="en-GB"/>
        </w:rPr>
        <w:tab/>
        <w:t>EESC-2018-00505-00-00-AC-TRA</w:t>
      </w:r>
    </w:p>
    <w:p w14:paraId="7D0854C8" w14:textId="77777777" w:rsidR="0062707A" w:rsidRPr="002D7686" w:rsidRDefault="0062707A" w:rsidP="0062707A">
      <w:pPr>
        <w:tabs>
          <w:tab w:val="left" w:pos="2268"/>
        </w:tabs>
        <w:spacing w:line="240" w:lineRule="auto"/>
        <w:rPr>
          <w:b/>
        </w:rPr>
      </w:pPr>
    </w:p>
    <w:p w14:paraId="43A9713F" w14:textId="77777777" w:rsidR="0062707A" w:rsidRPr="002D7686" w:rsidRDefault="0062707A" w:rsidP="0062707A">
      <w:pPr>
        <w:tabs>
          <w:tab w:val="left" w:pos="2268"/>
        </w:tabs>
        <w:spacing w:line="240" w:lineRule="auto"/>
        <w:rPr>
          <w:b/>
          <w:iCs/>
          <w:highlight w:val="yellow"/>
          <w:u w:val="single"/>
        </w:rPr>
      </w:pPr>
      <w:r w:rsidRPr="002D7686">
        <w:rPr>
          <w:b/>
        </w:rPr>
        <w:t>Keskeiset kohdat:</w:t>
      </w:r>
    </w:p>
    <w:p w14:paraId="566A49A3" w14:textId="77777777" w:rsidR="0062707A" w:rsidRPr="002D7686" w:rsidRDefault="0062707A" w:rsidP="0062707A">
      <w:pPr>
        <w:tabs>
          <w:tab w:val="left" w:pos="2268"/>
        </w:tabs>
        <w:spacing w:line="240" w:lineRule="auto"/>
        <w:ind w:left="-567"/>
        <w:rPr>
          <w:iCs/>
          <w:highlight w:val="yellow"/>
        </w:rPr>
      </w:pPr>
    </w:p>
    <w:p w14:paraId="41A27E7B" w14:textId="364B5C7D" w:rsidR="00BD6302" w:rsidRDefault="00BD6302" w:rsidP="00BD6302">
      <w:pPr>
        <w:pStyle w:val="Heading2"/>
        <w:numPr>
          <w:ilvl w:val="0"/>
          <w:numId w:val="4"/>
        </w:numPr>
        <w:tabs>
          <w:tab w:val="left" w:pos="2268"/>
        </w:tabs>
        <w:overflowPunct/>
        <w:adjustRightInd/>
        <w:spacing w:after="120"/>
        <w:textAlignment w:val="auto"/>
      </w:pPr>
      <w:r>
        <w:t xml:space="preserve">ETSK suhtautuu varauksellisesti lausunnon kohteena olevaan tiedonantoon, sillä Euroopan komission esittämä toimintasuunnitelma, jonka avulla on tarkoitus parantaa ympäristövaatimusten noudattamista ja ympäristöhallintaa, on ympäristön nykyinen huono tila huomioon ottaen aivan liian ponneton ja aliresursoitu. </w:t>
      </w:r>
    </w:p>
    <w:p w14:paraId="477352F2" w14:textId="0D602A74" w:rsidR="00BD6302" w:rsidRDefault="00BD6302" w:rsidP="00BD6302">
      <w:pPr>
        <w:pStyle w:val="Heading2"/>
        <w:numPr>
          <w:ilvl w:val="0"/>
          <w:numId w:val="4"/>
        </w:numPr>
        <w:tabs>
          <w:tab w:val="left" w:pos="2268"/>
        </w:tabs>
        <w:overflowPunct/>
        <w:adjustRightInd/>
        <w:spacing w:after="120"/>
        <w:textAlignment w:val="auto"/>
      </w:pPr>
      <w:r>
        <w:t xml:space="preserve">ETSK on pidättyväinen myös sen vuoksi, että se on komission tavoin tietoinen siitä, että ympäristölainsäädännön ja ympäristöhallinnan täytäntöönpanon varmistavien mekanismien riittämätön noudattaminen aiheuttaa valitettavasti epätervettä kilpailua ja taloudellista haittaa. </w:t>
      </w:r>
    </w:p>
    <w:p w14:paraId="73AD17A9" w14:textId="77777777" w:rsidR="00BD6302" w:rsidRDefault="00BD6302" w:rsidP="00BD6302">
      <w:pPr>
        <w:pStyle w:val="Heading2"/>
        <w:numPr>
          <w:ilvl w:val="0"/>
          <w:numId w:val="4"/>
        </w:numPr>
        <w:tabs>
          <w:tab w:val="left" w:pos="2268"/>
        </w:tabs>
        <w:overflowPunct/>
        <w:adjustRightInd/>
        <w:spacing w:after="120"/>
        <w:textAlignment w:val="auto"/>
      </w:pPr>
      <w:r>
        <w:t xml:space="preserve">ETSK korostaa komission lailla myös sitä, että nykyiset puutteet heikentävät yleistä luottamusta EU:n lainsäädännön vaikuttavuuteen, ja </w:t>
      </w:r>
      <w:proofErr w:type="gramStart"/>
      <w:r>
        <w:t>kehottaa</w:t>
      </w:r>
      <w:proofErr w:type="gramEnd"/>
      <w:r>
        <w:t xml:space="preserve"> jäsenvaltioita ja komissiota osoittamaan runsaasti rahoitusta lisähenkilöstön palkkaamiseksi valvomaan ympäristöhallinnan ja -lainsäädännön täytäntöönpanoa. </w:t>
      </w:r>
    </w:p>
    <w:p w14:paraId="3CB42732" w14:textId="12CB3991" w:rsidR="00BD6302" w:rsidRDefault="00BD6302" w:rsidP="00BD6302">
      <w:pPr>
        <w:pStyle w:val="Heading2"/>
        <w:numPr>
          <w:ilvl w:val="0"/>
          <w:numId w:val="4"/>
        </w:numPr>
        <w:tabs>
          <w:tab w:val="left" w:pos="2268"/>
        </w:tabs>
        <w:overflowPunct/>
        <w:adjustRightInd/>
        <w:spacing w:after="120"/>
        <w:textAlignment w:val="auto"/>
      </w:pPr>
      <w:r>
        <w:t>Kuten tiedonannossa ”EU:n lainsäädäntö: parempiin tuloksiin soveltamista parantamalla”</w:t>
      </w:r>
      <w:r>
        <w:rPr>
          <w:rStyle w:val="FootnoteReference"/>
        </w:rPr>
        <w:footnoteReference w:id="2"/>
      </w:r>
      <w:r>
        <w:t xml:space="preserve"> todetaan, ”EU:n lainsäädännön rikkomistapaukset eivät ole rutiiniasioita”. Niitä ei myöskään pitäisi käsitellä sellaisina. ETSK katsoo, että EU:n lainsäädännön noudattamatta jättämiseen tulee puuttua riittävän korkealla tasolla ja viivytyksettä, mikä ei toteudu nyt esitetyn tiedonannon</w:t>
      </w:r>
      <w:r>
        <w:rPr>
          <w:rStyle w:val="FootnoteReference"/>
        </w:rPr>
        <w:footnoteReference w:id="3"/>
      </w:r>
      <w:r>
        <w:t xml:space="preserve"> avulla. </w:t>
      </w:r>
    </w:p>
    <w:p w14:paraId="4697E48E" w14:textId="0B9E16F4" w:rsidR="0062707A" w:rsidRPr="002D7686" w:rsidRDefault="00BD6302" w:rsidP="00BD6302">
      <w:pPr>
        <w:pStyle w:val="Heading2"/>
        <w:numPr>
          <w:ilvl w:val="0"/>
          <w:numId w:val="4"/>
        </w:numPr>
        <w:tabs>
          <w:tab w:val="left" w:pos="2268"/>
        </w:tabs>
        <w:overflowPunct/>
        <w:adjustRightInd/>
        <w:spacing w:after="120"/>
        <w:textAlignment w:val="auto"/>
      </w:pPr>
      <w:r>
        <w:t>Tiedonannossa käsitellään vain jäsenvaltiotason valmiuksien parantamista ja tukea. Yksikään toimenpide ei koske komission ”perussopimusten valvojana” unionin tasolla suorittamaa seurantaa tai soveltamisen valvontaa. Toimintasuunnitelmassa ei puututa sekaannuksen ja valmiuksien puutteen lisäksi sääntöjen noudattamatta jättämisen muihin syihin, joita voivat olla esimerkiksi opportunismi ja poliittisen tahdon puuttuminen. Jäsenvaltioiden tukeminen on tarpeen, mutta toimintasuunnitelmaan sisältyvät pehmeät toimenpiteet eivät voi olla ainoa strategia ympäristövaatimusten noudattamisen parantamiseksi.</w:t>
      </w:r>
    </w:p>
    <w:p w14:paraId="4C27FC78" w14:textId="77777777" w:rsidR="0062707A" w:rsidRPr="002D7686" w:rsidRDefault="0062707A" w:rsidP="0062707A">
      <w:pPr>
        <w:tabs>
          <w:tab w:val="left" w:pos="2268"/>
        </w:tabs>
        <w:spacing w:line="240" w:lineRule="auto"/>
        <w:rPr>
          <w:b/>
          <w:iCs/>
          <w:highlight w:val="yellow"/>
          <w:u w:val="single"/>
        </w:rPr>
      </w:pPr>
    </w:p>
    <w:p w14:paraId="350D5C1D" w14:textId="77777777" w:rsidR="0062707A" w:rsidRPr="00780921" w:rsidRDefault="0062707A" w:rsidP="0062707A">
      <w:pPr>
        <w:tabs>
          <w:tab w:val="left" w:pos="993"/>
        </w:tabs>
        <w:textAlignment w:val="auto"/>
        <w:rPr>
          <w:i/>
        </w:rPr>
      </w:pPr>
      <w:r w:rsidRPr="00780921">
        <w:rPr>
          <w:b/>
          <w:i/>
        </w:rPr>
        <w:t>Yhteyshenkilö:</w:t>
      </w:r>
      <w:r>
        <w:tab/>
      </w:r>
      <w:r w:rsidRPr="002502DF">
        <w:rPr>
          <w:i/>
        </w:rPr>
        <w:t xml:space="preserve">Conrad </w:t>
      </w:r>
      <w:proofErr w:type="spellStart"/>
      <w:r w:rsidRPr="002502DF">
        <w:rPr>
          <w:i/>
        </w:rPr>
        <w:t>Ganslandt</w:t>
      </w:r>
      <w:proofErr w:type="spellEnd"/>
    </w:p>
    <w:p w14:paraId="5C939A2D" w14:textId="77777777" w:rsidR="0062707A" w:rsidRPr="00780921" w:rsidRDefault="0062707A" w:rsidP="0062707A">
      <w:pPr>
        <w:tabs>
          <w:tab w:val="left" w:pos="993"/>
        </w:tabs>
        <w:textAlignment w:val="auto"/>
        <w:rPr>
          <w:i/>
        </w:rPr>
      </w:pPr>
      <w:r>
        <w:rPr>
          <w:i/>
        </w:rPr>
        <w:lastRenderedPageBreak/>
        <w:tab/>
      </w:r>
      <w:r>
        <w:rPr>
          <w:i/>
        </w:rPr>
        <w:tab/>
      </w:r>
      <w:r>
        <w:rPr>
          <w:i/>
        </w:rPr>
        <w:tab/>
      </w:r>
      <w:r w:rsidRPr="00780921">
        <w:rPr>
          <w:i/>
        </w:rPr>
        <w:t>(P. +32 2546</w:t>
      </w:r>
      <w:r>
        <w:rPr>
          <w:i/>
        </w:rPr>
        <w:t>8275</w:t>
      </w:r>
      <w:r w:rsidRPr="00780921">
        <w:rPr>
          <w:i/>
        </w:rPr>
        <w:t xml:space="preserve"> – sähköposti:</w:t>
      </w:r>
      <w:r w:rsidRPr="002502DF">
        <w:t xml:space="preserve"> </w:t>
      </w:r>
      <w:hyperlink r:id="rId27" w:history="1">
        <w:r w:rsidRPr="006B4428">
          <w:rPr>
            <w:rStyle w:val="Hyperlink"/>
            <w:i/>
          </w:rPr>
          <w:t>conrad.ganslandt@eesc.europa.eu</w:t>
        </w:r>
      </w:hyperlink>
      <w:r w:rsidRPr="00780921">
        <w:rPr>
          <w:i/>
        </w:rPr>
        <w:t>)</w:t>
      </w:r>
    </w:p>
    <w:p w14:paraId="2D2B06CF" w14:textId="77777777" w:rsidR="009242D5" w:rsidRPr="002D7686" w:rsidRDefault="009242D5" w:rsidP="0083737A">
      <w:pPr>
        <w:tabs>
          <w:tab w:val="left" w:pos="1418"/>
          <w:tab w:val="left" w:pos="2268"/>
        </w:tabs>
        <w:rPr>
          <w:i/>
          <w:iCs/>
        </w:rPr>
      </w:pPr>
    </w:p>
    <w:p w14:paraId="6E23BCC5" w14:textId="5EB177F0" w:rsidR="0062707A" w:rsidRPr="002D7686" w:rsidRDefault="00586F36" w:rsidP="00586F36">
      <w:pPr>
        <w:pStyle w:val="ListParagraph"/>
        <w:widowControl w:val="0"/>
        <w:numPr>
          <w:ilvl w:val="0"/>
          <w:numId w:val="9"/>
        </w:numPr>
        <w:tabs>
          <w:tab w:val="left" w:pos="2268"/>
        </w:tabs>
        <w:rPr>
          <w:b/>
          <w:i/>
          <w:spacing w:val="-2"/>
          <w:sz w:val="28"/>
          <w:szCs w:val="28"/>
        </w:rPr>
      </w:pPr>
      <w:r w:rsidRPr="00586F36">
        <w:rPr>
          <w:b/>
          <w:i/>
          <w:spacing w:val="-2"/>
          <w:sz w:val="28"/>
        </w:rPr>
        <w:t xml:space="preserve">Kalastusta koskevat </w:t>
      </w:r>
      <w:proofErr w:type="gramStart"/>
      <w:r w:rsidRPr="00586F36">
        <w:rPr>
          <w:b/>
          <w:i/>
          <w:spacing w:val="-2"/>
          <w:sz w:val="28"/>
        </w:rPr>
        <w:t xml:space="preserve">säännökset  </w:t>
      </w:r>
      <w:proofErr w:type="spellStart"/>
      <w:r w:rsidRPr="00586F36">
        <w:rPr>
          <w:b/>
          <w:i/>
          <w:spacing w:val="-2"/>
          <w:sz w:val="28"/>
        </w:rPr>
        <w:t>GFCM</w:t>
      </w:r>
      <w:proofErr w:type="gramEnd"/>
      <w:r w:rsidRPr="00586F36">
        <w:rPr>
          <w:b/>
          <w:i/>
          <w:spacing w:val="-2"/>
          <w:sz w:val="28"/>
        </w:rPr>
        <w:t>:n</w:t>
      </w:r>
      <w:proofErr w:type="spellEnd"/>
      <w:r w:rsidRPr="00586F36">
        <w:rPr>
          <w:b/>
          <w:i/>
          <w:spacing w:val="-2"/>
          <w:sz w:val="28"/>
        </w:rPr>
        <w:t xml:space="preserve"> (Välimeren yleisen  kalastuskomission) sopimusalueella</w:t>
      </w:r>
    </w:p>
    <w:p w14:paraId="6C0DB4EB" w14:textId="77777777" w:rsidR="0062707A" w:rsidRPr="002D7686" w:rsidRDefault="0062707A" w:rsidP="0062707A">
      <w:pPr>
        <w:widowControl w:val="0"/>
        <w:tabs>
          <w:tab w:val="left" w:pos="2268"/>
        </w:tabs>
      </w:pPr>
    </w:p>
    <w:p w14:paraId="77D001F2" w14:textId="70EC01B6" w:rsidR="0062707A" w:rsidRPr="00D85439" w:rsidRDefault="0062707A" w:rsidP="0062707A">
      <w:pPr>
        <w:tabs>
          <w:tab w:val="left" w:pos="1418"/>
        </w:tabs>
        <w:ind w:left="-5"/>
        <w:rPr>
          <w:bCs/>
          <w:lang w:val="en-GB"/>
        </w:rPr>
      </w:pPr>
      <w:r w:rsidRPr="002D7686">
        <w:rPr>
          <w:b/>
        </w:rPr>
        <w:t>Viiteasiakirja</w:t>
      </w:r>
      <w:r>
        <w:rPr>
          <w:b/>
        </w:rPr>
        <w:t>t</w:t>
      </w:r>
      <w:r w:rsidRPr="002D7686">
        <w:rPr>
          <w:b/>
        </w:rPr>
        <w:t>:</w:t>
      </w:r>
      <w:r w:rsidRPr="002D7686">
        <w:tab/>
      </w:r>
      <w:proofErr w:type="spellStart"/>
      <w:r>
        <w:rPr>
          <w:bCs/>
          <w:lang w:val="en-GB"/>
        </w:rPr>
        <w:t>Ryhmään</w:t>
      </w:r>
      <w:proofErr w:type="spellEnd"/>
      <w:r>
        <w:rPr>
          <w:bCs/>
          <w:lang w:val="en-GB"/>
        </w:rPr>
        <w:t xml:space="preserve"> C</w:t>
      </w:r>
      <w:r w:rsidRPr="00D85439">
        <w:rPr>
          <w:bCs/>
          <w:lang w:val="en-GB"/>
        </w:rPr>
        <w:t xml:space="preserve"> </w:t>
      </w:r>
      <w:proofErr w:type="spellStart"/>
      <w:r>
        <w:rPr>
          <w:bCs/>
          <w:lang w:val="en-GB"/>
        </w:rPr>
        <w:t>kuuluva</w:t>
      </w:r>
      <w:proofErr w:type="spellEnd"/>
      <w:r>
        <w:rPr>
          <w:bCs/>
          <w:lang w:val="en-GB"/>
        </w:rPr>
        <w:t xml:space="preserve"> </w:t>
      </w:r>
      <w:proofErr w:type="spellStart"/>
      <w:r>
        <w:rPr>
          <w:bCs/>
          <w:lang w:val="en-GB"/>
        </w:rPr>
        <w:t>lausunto</w:t>
      </w:r>
      <w:proofErr w:type="spellEnd"/>
    </w:p>
    <w:p w14:paraId="01E793A2" w14:textId="5EEC07C1" w:rsidR="0062707A" w:rsidRPr="00D85439" w:rsidRDefault="0062707A" w:rsidP="0062707A">
      <w:pPr>
        <w:tabs>
          <w:tab w:val="left" w:pos="1418"/>
        </w:tabs>
        <w:ind w:left="-5"/>
        <w:rPr>
          <w:lang w:val="en-GB"/>
        </w:rPr>
      </w:pPr>
      <w:r>
        <w:rPr>
          <w:bCs/>
          <w:lang w:val="en-GB"/>
        </w:rPr>
        <w:tab/>
      </w:r>
      <w:r w:rsidRPr="00D85439">
        <w:rPr>
          <w:bCs/>
          <w:lang w:val="en-GB"/>
        </w:rPr>
        <w:tab/>
      </w:r>
      <w:proofErr w:type="gramStart"/>
      <w:r w:rsidRPr="00D85439">
        <w:rPr>
          <w:bCs/>
          <w:lang w:val="en-GB"/>
        </w:rPr>
        <w:t>COM(</w:t>
      </w:r>
      <w:proofErr w:type="gramEnd"/>
      <w:r w:rsidRPr="00D85439">
        <w:rPr>
          <w:bCs/>
          <w:lang w:val="en-GB"/>
        </w:rPr>
        <w:t xml:space="preserve">2018) 143 final </w:t>
      </w:r>
      <w:r>
        <w:rPr>
          <w:bCs/>
          <w:lang w:val="en-GB"/>
        </w:rPr>
        <w:t>–</w:t>
      </w:r>
      <w:r w:rsidRPr="00D85439">
        <w:rPr>
          <w:bCs/>
          <w:lang w:val="en-GB"/>
        </w:rPr>
        <w:t xml:space="preserve"> 2018/0069</w:t>
      </w:r>
      <w:r w:rsidR="00800F7A">
        <w:rPr>
          <w:bCs/>
          <w:lang w:val="en-GB"/>
        </w:rPr>
        <w:t xml:space="preserve"> </w:t>
      </w:r>
      <w:r w:rsidRPr="00D85439">
        <w:rPr>
          <w:bCs/>
          <w:lang w:val="en-GB"/>
        </w:rPr>
        <w:t>(COD)</w:t>
      </w:r>
      <w:r w:rsidRPr="00D85439">
        <w:rPr>
          <w:b/>
          <w:bCs/>
          <w:lang w:val="en-GB"/>
        </w:rPr>
        <w:t xml:space="preserve"> </w:t>
      </w:r>
      <w:r w:rsidRPr="00D85439">
        <w:rPr>
          <w:b/>
          <w:bCs/>
          <w:lang w:val="en-GB"/>
        </w:rPr>
        <w:tab/>
      </w:r>
    </w:p>
    <w:p w14:paraId="469B859B" w14:textId="2C1764ED" w:rsidR="0062707A" w:rsidRPr="002D7686" w:rsidRDefault="0062707A" w:rsidP="0062707A">
      <w:pPr>
        <w:tabs>
          <w:tab w:val="left" w:pos="1701"/>
        </w:tabs>
        <w:rPr>
          <w:rFonts w:eastAsiaTheme="minorEastAsia"/>
        </w:rPr>
      </w:pPr>
      <w:r w:rsidRPr="00D85439">
        <w:rPr>
          <w:lang w:val="en-GB"/>
        </w:rPr>
        <w:tab/>
        <w:t>EESC-2018-02319-00-00-AC-TRA</w:t>
      </w:r>
    </w:p>
    <w:p w14:paraId="57617063" w14:textId="77777777" w:rsidR="0062707A" w:rsidRDefault="0062707A" w:rsidP="0062707A">
      <w:pPr>
        <w:tabs>
          <w:tab w:val="left" w:pos="2268"/>
        </w:tabs>
        <w:jc w:val="left"/>
      </w:pPr>
    </w:p>
    <w:p w14:paraId="698DF825" w14:textId="0C8BF0F9" w:rsidR="00793BB1" w:rsidRPr="002D7686" w:rsidRDefault="00586F36" w:rsidP="0062707A">
      <w:pPr>
        <w:tabs>
          <w:tab w:val="left" w:pos="2268"/>
        </w:tabs>
        <w:jc w:val="left"/>
      </w:pPr>
      <w:r w:rsidRPr="00586F36">
        <w:t xml:space="preserve">Koska komitea katsoo, että </w:t>
      </w:r>
      <w:r>
        <w:t>komission ehdotuksen</w:t>
      </w:r>
      <w:r w:rsidRPr="00586F36">
        <w:t xml:space="preserve"> sisältö on täysin hyväksyttävä, eikä komitealla ole siihen kommentoitavaa, se päätti antaa esitetystä asiakirjasta myönteisen lausunnon.</w:t>
      </w:r>
    </w:p>
    <w:p w14:paraId="2B961150" w14:textId="77777777" w:rsidR="0062707A" w:rsidRPr="002D7686" w:rsidRDefault="0062707A" w:rsidP="0062707A">
      <w:pPr>
        <w:widowControl w:val="0"/>
        <w:tabs>
          <w:tab w:val="left" w:pos="2268"/>
        </w:tabs>
      </w:pPr>
    </w:p>
    <w:p w14:paraId="375385FD" w14:textId="42A90768" w:rsidR="0062707A" w:rsidRPr="00E3384D" w:rsidRDefault="0062707A" w:rsidP="0062707A">
      <w:pPr>
        <w:tabs>
          <w:tab w:val="center" w:pos="284"/>
          <w:tab w:val="left" w:pos="993"/>
        </w:tabs>
        <w:spacing w:line="280" w:lineRule="auto"/>
        <w:ind w:left="266" w:hanging="266"/>
        <w:rPr>
          <w:i/>
          <w:iCs/>
          <w:szCs w:val="22"/>
        </w:rPr>
      </w:pPr>
      <w:r w:rsidRPr="00E3384D">
        <w:rPr>
          <w:b/>
          <w:i/>
          <w:szCs w:val="22"/>
        </w:rPr>
        <w:t>Yhteyshenkilö</w:t>
      </w:r>
      <w:r>
        <w:rPr>
          <w:i/>
          <w:szCs w:val="22"/>
        </w:rPr>
        <w:t>:</w:t>
      </w:r>
      <w:r>
        <w:rPr>
          <w:i/>
          <w:szCs w:val="22"/>
        </w:rPr>
        <w:tab/>
      </w:r>
      <w:proofErr w:type="spellStart"/>
      <w:r>
        <w:rPr>
          <w:i/>
          <w:szCs w:val="22"/>
        </w:rPr>
        <w:t>Arturo</w:t>
      </w:r>
      <w:proofErr w:type="spellEnd"/>
      <w:r>
        <w:rPr>
          <w:i/>
          <w:szCs w:val="22"/>
        </w:rPr>
        <w:t xml:space="preserve"> </w:t>
      </w:r>
      <w:proofErr w:type="spellStart"/>
      <w:r>
        <w:rPr>
          <w:i/>
          <w:szCs w:val="22"/>
        </w:rPr>
        <w:t>Iniguez</w:t>
      </w:r>
      <w:proofErr w:type="spellEnd"/>
    </w:p>
    <w:p w14:paraId="1A481700" w14:textId="77777777" w:rsidR="0062707A" w:rsidRPr="00E3384D" w:rsidRDefault="0062707A" w:rsidP="0062707A">
      <w:pPr>
        <w:tabs>
          <w:tab w:val="left" w:pos="993"/>
        </w:tabs>
        <w:rPr>
          <w:i/>
          <w:iCs/>
          <w:szCs w:val="22"/>
        </w:rPr>
      </w:pPr>
      <w:r>
        <w:rPr>
          <w:i/>
          <w:iCs/>
          <w:szCs w:val="22"/>
        </w:rPr>
        <w:tab/>
      </w:r>
      <w:r>
        <w:rPr>
          <w:i/>
          <w:iCs/>
          <w:szCs w:val="22"/>
        </w:rPr>
        <w:tab/>
      </w:r>
      <w:r>
        <w:rPr>
          <w:i/>
          <w:iCs/>
          <w:szCs w:val="22"/>
        </w:rPr>
        <w:tab/>
      </w:r>
      <w:r w:rsidRPr="00E3384D">
        <w:rPr>
          <w:i/>
          <w:iCs/>
          <w:szCs w:val="22"/>
        </w:rPr>
        <w:t>(P. +32 25468</w:t>
      </w:r>
      <w:r>
        <w:rPr>
          <w:i/>
          <w:iCs/>
          <w:szCs w:val="22"/>
        </w:rPr>
        <w:t>76</w:t>
      </w:r>
      <w:r w:rsidRPr="00E3384D">
        <w:rPr>
          <w:i/>
          <w:iCs/>
          <w:szCs w:val="22"/>
        </w:rPr>
        <w:t xml:space="preserve">8 – sähköposti: </w:t>
      </w:r>
      <w:hyperlink r:id="rId28" w:history="1">
        <w:r w:rsidRPr="00E3384D">
          <w:rPr>
            <w:rStyle w:val="Hyperlink"/>
            <w:i/>
            <w:iCs/>
            <w:szCs w:val="22"/>
          </w:rPr>
          <w:t>arturo.iniguez@eesc.europa.eu</w:t>
        </w:r>
      </w:hyperlink>
      <w:r w:rsidRPr="00E3384D">
        <w:rPr>
          <w:i/>
          <w:iCs/>
          <w:szCs w:val="22"/>
        </w:rPr>
        <w:t>)</w:t>
      </w:r>
    </w:p>
    <w:p w14:paraId="2660F2FA" w14:textId="77777777" w:rsidR="00746A70" w:rsidRDefault="00746A70" w:rsidP="00713F3A">
      <w:pPr>
        <w:tabs>
          <w:tab w:val="left" w:pos="1418"/>
          <w:tab w:val="left" w:pos="2268"/>
        </w:tabs>
        <w:rPr>
          <w:i/>
          <w:iCs/>
        </w:rPr>
      </w:pPr>
    </w:p>
    <w:p w14:paraId="4EA6C015" w14:textId="77777777" w:rsidR="0062707A" w:rsidRPr="002D7686" w:rsidRDefault="0062707A" w:rsidP="00713F3A">
      <w:pPr>
        <w:tabs>
          <w:tab w:val="left" w:pos="1418"/>
          <w:tab w:val="left" w:pos="2268"/>
        </w:tabs>
        <w:rPr>
          <w:i/>
          <w:iCs/>
        </w:rPr>
      </w:pPr>
    </w:p>
    <w:p w14:paraId="2C8B7C40" w14:textId="53FF4CE6" w:rsidR="00AF1968" w:rsidRPr="002D7686" w:rsidRDefault="00746A70" w:rsidP="00713F3A">
      <w:pPr>
        <w:pStyle w:val="Heading1"/>
        <w:tabs>
          <w:tab w:val="left" w:pos="2268"/>
        </w:tabs>
        <w:ind w:left="567" w:hanging="567"/>
        <w:rPr>
          <w:b/>
          <w:caps/>
        </w:rPr>
      </w:pPr>
      <w:bookmarkStart w:id="9" w:name="_Toc514939923"/>
      <w:r w:rsidRPr="002D7686">
        <w:rPr>
          <w:b/>
          <w:caps/>
        </w:rPr>
        <w:t>TYÖLLISYYS, SOSIAALIASIAT JA KANSALAISUUS</w:t>
      </w:r>
      <w:bookmarkEnd w:id="9"/>
    </w:p>
    <w:p w14:paraId="2C8B7C41" w14:textId="77777777" w:rsidR="00915C4E" w:rsidRPr="002D7686" w:rsidRDefault="00915C4E" w:rsidP="00713F3A">
      <w:pPr>
        <w:widowControl w:val="0"/>
        <w:tabs>
          <w:tab w:val="left" w:pos="2268"/>
        </w:tabs>
        <w:rPr>
          <w:bCs/>
          <w:iCs/>
          <w:szCs w:val="28"/>
        </w:rPr>
      </w:pPr>
    </w:p>
    <w:p w14:paraId="2C8B7C42" w14:textId="514C39C5" w:rsidR="004B03FA" w:rsidRPr="002D7686" w:rsidRDefault="00AE6390" w:rsidP="00AE6390">
      <w:pPr>
        <w:pStyle w:val="ListParagraph"/>
        <w:numPr>
          <w:ilvl w:val="0"/>
          <w:numId w:val="3"/>
        </w:numPr>
        <w:tabs>
          <w:tab w:val="left" w:pos="2268"/>
        </w:tabs>
        <w:rPr>
          <w:b/>
          <w:bCs/>
          <w:i/>
          <w:iCs/>
          <w:sz w:val="28"/>
          <w:szCs w:val="28"/>
        </w:rPr>
      </w:pPr>
      <w:r>
        <w:rPr>
          <w:b/>
          <w:i/>
          <w:sz w:val="28"/>
        </w:rPr>
        <w:t>Avoimia ja ennakoitavia t</w:t>
      </w:r>
      <w:r w:rsidR="00052356" w:rsidRPr="00052356">
        <w:rPr>
          <w:b/>
          <w:i/>
          <w:sz w:val="28"/>
        </w:rPr>
        <w:t>yöoloja koskeva direktiivi</w:t>
      </w:r>
    </w:p>
    <w:p w14:paraId="2C8B7C43" w14:textId="77777777" w:rsidR="004B03FA" w:rsidRPr="002D7686" w:rsidRDefault="004B03FA" w:rsidP="00713F3A">
      <w:pPr>
        <w:tabs>
          <w:tab w:val="left" w:pos="1701"/>
          <w:tab w:val="left" w:pos="2268"/>
        </w:tabs>
      </w:pPr>
    </w:p>
    <w:p w14:paraId="2C8B7C44" w14:textId="2D8668BB" w:rsidR="005C5CD7" w:rsidRPr="002D7686" w:rsidRDefault="005C5CD7" w:rsidP="00746A70">
      <w:r w:rsidRPr="002D7686">
        <w:rPr>
          <w:b/>
        </w:rPr>
        <w:t>Esittelijä:</w:t>
      </w:r>
      <w:r w:rsidRPr="002D7686">
        <w:tab/>
      </w:r>
      <w:r w:rsidR="00746A70" w:rsidRPr="002D7686">
        <w:tab/>
      </w:r>
      <w:r w:rsidR="001808FF" w:rsidRPr="00973A8E">
        <w:rPr>
          <w:lang w:val="en-GB"/>
        </w:rPr>
        <w:t xml:space="preserve">Christian </w:t>
      </w:r>
      <w:r w:rsidR="001808FF" w:rsidRPr="00396C91">
        <w:rPr>
          <w:caps/>
          <w:lang w:val="en-GB"/>
        </w:rPr>
        <w:t>Bäumler</w:t>
      </w:r>
      <w:r w:rsidR="001808FF" w:rsidRPr="00973A8E">
        <w:rPr>
          <w:lang w:val="en-GB"/>
        </w:rPr>
        <w:t xml:space="preserve"> </w:t>
      </w:r>
      <w:r w:rsidR="002F45DD">
        <w:t>(</w:t>
      </w:r>
      <w:r w:rsidR="001808FF">
        <w:t>työntekijät</w:t>
      </w:r>
      <w:r w:rsidRPr="002D7686">
        <w:t xml:space="preserve"> – </w:t>
      </w:r>
      <w:r w:rsidR="001808FF">
        <w:t>DE</w:t>
      </w:r>
      <w:r w:rsidRPr="002D7686">
        <w:t>)</w:t>
      </w:r>
    </w:p>
    <w:p w14:paraId="2F50951B" w14:textId="41AD9EF0" w:rsidR="00794782" w:rsidRPr="002D7686" w:rsidRDefault="00794782" w:rsidP="00746A70">
      <w:r w:rsidRPr="002D7686">
        <w:rPr>
          <w:b/>
        </w:rPr>
        <w:t>Toinen esittelijä:</w:t>
      </w:r>
      <w:r w:rsidRPr="002D7686">
        <w:tab/>
      </w:r>
      <w:proofErr w:type="spellStart"/>
      <w:r w:rsidRPr="002D7686">
        <w:t>Vladimíra</w:t>
      </w:r>
      <w:proofErr w:type="spellEnd"/>
      <w:r w:rsidRPr="002D7686">
        <w:t xml:space="preserve"> DRBALOVÁ (työnantajat – CZ)</w:t>
      </w:r>
    </w:p>
    <w:p w14:paraId="2C8B7C45" w14:textId="77777777" w:rsidR="005C5CD7" w:rsidRPr="002D7686" w:rsidRDefault="005C5CD7" w:rsidP="00746A70"/>
    <w:p w14:paraId="2C8B7C47" w14:textId="0EE3F04F" w:rsidR="005C5CD7" w:rsidRDefault="005C5CD7" w:rsidP="00746A70">
      <w:r w:rsidRPr="002D7686">
        <w:rPr>
          <w:b/>
        </w:rPr>
        <w:t>Viiteasiakirja</w:t>
      </w:r>
      <w:r w:rsidR="00B61A92">
        <w:rPr>
          <w:b/>
        </w:rPr>
        <w:t>t</w:t>
      </w:r>
      <w:r w:rsidRPr="002D7686">
        <w:rPr>
          <w:b/>
        </w:rPr>
        <w:t>:</w:t>
      </w:r>
      <w:r w:rsidRPr="002D7686">
        <w:tab/>
      </w:r>
      <w:r w:rsidR="001808FF" w:rsidRPr="00952A43">
        <w:t>EESC-</w:t>
      </w:r>
      <w:proofErr w:type="gramStart"/>
      <w:r w:rsidR="001808FF" w:rsidRPr="00952A43">
        <w:t>2018-00300</w:t>
      </w:r>
      <w:proofErr w:type="gramEnd"/>
      <w:r w:rsidR="001808FF" w:rsidRPr="00952A43">
        <w:t>-00-00-A</w:t>
      </w:r>
      <w:r w:rsidR="001808FF">
        <w:t>C</w:t>
      </w:r>
      <w:r w:rsidR="001808FF" w:rsidRPr="00952A43">
        <w:t>-TRA</w:t>
      </w:r>
    </w:p>
    <w:p w14:paraId="7964CA73" w14:textId="08DC84EB" w:rsidR="00155DA3" w:rsidRPr="002D7686" w:rsidRDefault="00155DA3" w:rsidP="00746A70">
      <w:r>
        <w:tab/>
      </w:r>
      <w:r>
        <w:tab/>
      </w:r>
      <w:r>
        <w:tab/>
      </w:r>
      <w:r w:rsidR="00B61A92" w:rsidRPr="00B61A92">
        <w:t xml:space="preserve">COM(2017) 797 </w:t>
      </w:r>
      <w:proofErr w:type="spellStart"/>
      <w:r w:rsidR="00B61A92" w:rsidRPr="00B61A92">
        <w:t>final</w:t>
      </w:r>
      <w:proofErr w:type="spellEnd"/>
      <w:r w:rsidR="00B61A92" w:rsidRPr="00B61A92">
        <w:t xml:space="preserve"> – 2017/0355 (COD)</w:t>
      </w:r>
    </w:p>
    <w:p w14:paraId="2C8B7C48" w14:textId="77777777" w:rsidR="00DB2CC6" w:rsidRPr="002D7686" w:rsidRDefault="00DB2CC6" w:rsidP="00474E4A">
      <w:pPr>
        <w:tabs>
          <w:tab w:val="left" w:pos="2268"/>
        </w:tabs>
        <w:spacing w:line="240" w:lineRule="auto"/>
        <w:rPr>
          <w:b/>
        </w:rPr>
      </w:pPr>
    </w:p>
    <w:p w14:paraId="2C8B7C49" w14:textId="77777777" w:rsidR="005C5CD7" w:rsidRPr="002D7686" w:rsidRDefault="005C5CD7" w:rsidP="00474E4A">
      <w:pPr>
        <w:tabs>
          <w:tab w:val="left" w:pos="2268"/>
        </w:tabs>
        <w:spacing w:line="240" w:lineRule="auto"/>
        <w:rPr>
          <w:b/>
          <w:iCs/>
          <w:highlight w:val="yellow"/>
          <w:u w:val="single"/>
        </w:rPr>
      </w:pPr>
      <w:r w:rsidRPr="002D7686">
        <w:rPr>
          <w:b/>
        </w:rPr>
        <w:t>Keskeiset kohdat:</w:t>
      </w:r>
    </w:p>
    <w:p w14:paraId="2C8B7C4A" w14:textId="77777777" w:rsidR="00915C4E" w:rsidRPr="002D7686" w:rsidRDefault="00915C4E" w:rsidP="00474E4A">
      <w:pPr>
        <w:tabs>
          <w:tab w:val="left" w:pos="2268"/>
        </w:tabs>
        <w:spacing w:line="240" w:lineRule="auto"/>
        <w:ind w:left="-567"/>
        <w:rPr>
          <w:iCs/>
          <w:highlight w:val="yellow"/>
        </w:rPr>
      </w:pPr>
    </w:p>
    <w:p w14:paraId="655FE616" w14:textId="77777777" w:rsidR="00052356" w:rsidRDefault="00052356" w:rsidP="00052356">
      <w:pPr>
        <w:pStyle w:val="Heading2"/>
        <w:numPr>
          <w:ilvl w:val="0"/>
          <w:numId w:val="4"/>
        </w:numPr>
        <w:tabs>
          <w:tab w:val="left" w:pos="2268"/>
        </w:tabs>
        <w:overflowPunct/>
        <w:adjustRightInd/>
        <w:spacing w:after="120"/>
        <w:textAlignment w:val="auto"/>
      </w:pPr>
      <w:r>
        <w:t xml:space="preserve">ETSK kannattaa komission pyrkimystä parantaa kaikkien ja erityisesti epätyypillisessä työsuhteessa olevien työntekijöiden työolojen avoimutta ja ennakoitavuutta. Komitea pitää sitä konkreettisena askeleena Euroopan sosiaalisten oikeuksien pilarin toteuttamiseksi. </w:t>
      </w:r>
    </w:p>
    <w:p w14:paraId="1B5BFC8C" w14:textId="77777777" w:rsidR="00052356" w:rsidRDefault="00052356" w:rsidP="00052356">
      <w:pPr>
        <w:pStyle w:val="Heading2"/>
        <w:numPr>
          <w:ilvl w:val="0"/>
          <w:numId w:val="4"/>
        </w:numPr>
        <w:tabs>
          <w:tab w:val="left" w:pos="2268"/>
        </w:tabs>
        <w:overflowPunct/>
        <w:adjustRightInd/>
        <w:spacing w:after="120"/>
        <w:textAlignment w:val="auto"/>
      </w:pPr>
      <w:r>
        <w:t xml:space="preserve">Työmarkkinaosapuolilla on erityinen rooli, kun on kyse avointen ja ennakoitavien työolojen sääntelystä työmarkkinavuoropuhelun ja työehtosopimusneuvottelujen keinoin niin, että jäsenvaltioiden ja jäsenvaltiokohtaisten käytänteiden monimuotoisuus otetaan huomioon. Eräät jäsenvaltiot ovat puuttuneet epätyypillisiin työsuhteisiin liittyviin haasteisiin työehtosopimusten, työmarkkinavuoropuhelun tai lainsäädännön avulla. </w:t>
      </w:r>
    </w:p>
    <w:p w14:paraId="34BD1979" w14:textId="77777777" w:rsidR="00052356" w:rsidRDefault="00052356" w:rsidP="00052356">
      <w:pPr>
        <w:pStyle w:val="Heading2"/>
        <w:numPr>
          <w:ilvl w:val="0"/>
          <w:numId w:val="4"/>
        </w:numPr>
        <w:tabs>
          <w:tab w:val="left" w:pos="2268"/>
        </w:tabs>
        <w:overflowPunct/>
        <w:adjustRightInd/>
        <w:spacing w:after="120"/>
        <w:textAlignment w:val="auto"/>
      </w:pPr>
      <w:r>
        <w:t xml:space="preserve">ETSK tiedostaa työnantajina toimivien luonnollisten henkilöiden ja mikro- ja pienyritysten erityistilanteen ja suosittaa, että tällaisille toimijoille tarjotaan asianmukaista tukea.  </w:t>
      </w:r>
    </w:p>
    <w:p w14:paraId="38C5F916" w14:textId="0F2D0522" w:rsidR="00052356" w:rsidRDefault="00052356" w:rsidP="00052356">
      <w:pPr>
        <w:pStyle w:val="Heading2"/>
        <w:numPr>
          <w:ilvl w:val="0"/>
          <w:numId w:val="4"/>
        </w:numPr>
        <w:tabs>
          <w:tab w:val="left" w:pos="2268"/>
        </w:tabs>
        <w:overflowPunct/>
        <w:adjustRightInd/>
        <w:spacing w:after="120"/>
        <w:textAlignment w:val="auto"/>
      </w:pPr>
      <w:r>
        <w:t xml:space="preserve">Jäsenvaltioiden on voitava työmarkkinavuoropuhelun puitteissa määrittää, ketkä kuuluvat ”työntekijöiden” joukkoon, mutta asian tulkinnassa on otettava lähtökohdaksi direktiivin tavoite. Lisäksi kysymystä on suotavaa vielä selventää, jotta myös alustatyöntekijät pääsevät nauttimaan direktiivin tarjoamasta suojasta. Aidosti itsenäiset ja riippumattomat ammatinharjoittajat, jotka hyödyntävät alustoja, olisi kuitenkin rajattava direktiivin </w:t>
      </w:r>
      <w:r>
        <w:lastRenderedPageBreak/>
        <w:t xml:space="preserve">soveltamisalan ulkopuolelle. Direktiivin henkilöllistä soveltamisalaa olisi selkeytettävä myös työnantajan määritelmän osalta. </w:t>
      </w:r>
    </w:p>
    <w:p w14:paraId="36A6A04C" w14:textId="77777777" w:rsidR="00052356" w:rsidRDefault="00052356" w:rsidP="00052356">
      <w:pPr>
        <w:pStyle w:val="Heading2"/>
        <w:numPr>
          <w:ilvl w:val="0"/>
          <w:numId w:val="4"/>
        </w:numPr>
        <w:tabs>
          <w:tab w:val="left" w:pos="2268"/>
        </w:tabs>
        <w:overflowPunct/>
        <w:adjustRightInd/>
        <w:spacing w:after="120"/>
        <w:textAlignment w:val="auto"/>
      </w:pPr>
      <w:r>
        <w:t xml:space="preserve">ETSK katsoo, että tarpeen mukaan tehtävää työtä ei voida pitää työsuhteen muotona ilman asiaan kuuluvia viiteaikoja ja ennakkoilmoituksia. Tarpeen mukaan tehtävän työn mahdollistavissa työsopimuksissa olisi taattava työntekijälle tietty määrä työtunteja tai vastaava palkka. </w:t>
      </w:r>
    </w:p>
    <w:p w14:paraId="13F4C40F" w14:textId="77777777" w:rsidR="00052356" w:rsidRDefault="00052356" w:rsidP="00052356">
      <w:pPr>
        <w:pStyle w:val="Heading2"/>
        <w:numPr>
          <w:ilvl w:val="0"/>
          <w:numId w:val="4"/>
        </w:numPr>
        <w:tabs>
          <w:tab w:val="left" w:pos="2268"/>
        </w:tabs>
        <w:overflowPunct/>
        <w:adjustRightInd/>
        <w:spacing w:after="120"/>
        <w:textAlignment w:val="auto"/>
      </w:pPr>
      <w:r>
        <w:t xml:space="preserve">ETSK kannattaa säännöksiä työoloihin liittyvistä vähimmäisvaatimuksista. </w:t>
      </w:r>
      <w:proofErr w:type="gramStart"/>
      <w:r>
        <w:t>Tämä koskee erityisesti koeajan pituutta, sivutyön kieltämistä koskevia rajoituksia, työn vähimmäisennakoitavuutta, siirtymistä toiseen työsuhteen muotoon, jos sellaisia on tarjolla, ja työtehtävien hoitamiseen tarvittavan koulutuksen antamista työntekijöille maksutta.</w:t>
      </w:r>
      <w:proofErr w:type="gramEnd"/>
      <w:r>
        <w:t xml:space="preserve"> Komitea kehottaa kuitenkin selkeyttämään tiettyjä näkökohtia ja suosittaa, että vastuu jätetään kansalliselle tasolle asioiden hoitamiseksi jäsenvaltioiden oikeudellisten ja työmarkkinavuoropuhelua koskevien käytänteiden mukaisesti. </w:t>
      </w:r>
    </w:p>
    <w:p w14:paraId="3E32755D" w14:textId="77777777" w:rsidR="00052356" w:rsidRDefault="00052356" w:rsidP="00052356">
      <w:pPr>
        <w:pStyle w:val="Heading2"/>
        <w:numPr>
          <w:ilvl w:val="0"/>
          <w:numId w:val="4"/>
        </w:numPr>
        <w:tabs>
          <w:tab w:val="left" w:pos="2268"/>
        </w:tabs>
        <w:overflowPunct/>
        <w:adjustRightInd/>
        <w:spacing w:after="120"/>
        <w:textAlignment w:val="auto"/>
      </w:pPr>
      <w:r>
        <w:t xml:space="preserve">ETSK katsoo, että direktiivin tehokkaan soveltamisen varmistamiseksi on oikein suojella työntekijöitä irtisanomisilta. Seuraamusten, sikäli kun ne ovat perusteltuja, olisi vastattava työntekijälle aiheutuneita vahinkoja. Komitea on tyytyväinen 14 artiklan ensimmäisen kohdan säännökseen, jossa työnantajille annetaan 15 päivää aikaa puuttuvien tietojen toimittamiseen.  </w:t>
      </w:r>
    </w:p>
    <w:p w14:paraId="0699DEB5" w14:textId="1B3CD7C3" w:rsidR="00A14D5F" w:rsidRPr="002D7686" w:rsidRDefault="00052356" w:rsidP="00052356">
      <w:pPr>
        <w:pStyle w:val="Heading2"/>
        <w:numPr>
          <w:ilvl w:val="0"/>
          <w:numId w:val="4"/>
        </w:numPr>
        <w:tabs>
          <w:tab w:val="left" w:pos="2268"/>
        </w:tabs>
        <w:overflowPunct/>
        <w:adjustRightInd/>
        <w:spacing w:after="120"/>
        <w:textAlignment w:val="auto"/>
      </w:pPr>
      <w:r>
        <w:t>Ehdotetussa direktiivissä asetetaan vähimmäisvaatimuksia lähentymistä varten, ja on tärkeää, että työtyöntekijöiden, joiden aineelliset oikeudet ovat nykyisellään paremmat, ei tarvitse pelätä oikeuksiensa heikentyvän direktiivin täytäntöönpanon myötä.</w:t>
      </w:r>
    </w:p>
    <w:p w14:paraId="182B368D" w14:textId="77777777" w:rsidR="00B941ED" w:rsidRPr="002D7686" w:rsidRDefault="00B941ED" w:rsidP="00474E4A">
      <w:pPr>
        <w:tabs>
          <w:tab w:val="left" w:pos="2268"/>
        </w:tabs>
        <w:spacing w:line="240" w:lineRule="auto"/>
        <w:rPr>
          <w:b/>
          <w:iCs/>
          <w:highlight w:val="yellow"/>
          <w:u w:val="single"/>
        </w:rPr>
      </w:pPr>
    </w:p>
    <w:p w14:paraId="2D54E776" w14:textId="77777777" w:rsidR="001808FF" w:rsidRPr="0075018E" w:rsidRDefault="001808FF" w:rsidP="001808FF">
      <w:pPr>
        <w:tabs>
          <w:tab w:val="left" w:pos="993"/>
        </w:tabs>
        <w:rPr>
          <w:i/>
          <w:szCs w:val="22"/>
        </w:rPr>
      </w:pPr>
      <w:r w:rsidRPr="0075018E">
        <w:rPr>
          <w:b/>
          <w:i/>
          <w:szCs w:val="22"/>
        </w:rPr>
        <w:t>Yhteyshenkilö</w:t>
      </w:r>
      <w:r>
        <w:rPr>
          <w:szCs w:val="22"/>
        </w:rPr>
        <w:t>:</w:t>
      </w:r>
      <w:r>
        <w:rPr>
          <w:szCs w:val="22"/>
        </w:rPr>
        <w:tab/>
      </w:r>
      <w:proofErr w:type="spellStart"/>
      <w:r>
        <w:rPr>
          <w:i/>
          <w:szCs w:val="22"/>
        </w:rPr>
        <w:t>June</w:t>
      </w:r>
      <w:proofErr w:type="spellEnd"/>
      <w:r>
        <w:rPr>
          <w:i/>
          <w:szCs w:val="22"/>
        </w:rPr>
        <w:t xml:space="preserve"> </w:t>
      </w:r>
      <w:proofErr w:type="spellStart"/>
      <w:r>
        <w:rPr>
          <w:i/>
          <w:szCs w:val="22"/>
        </w:rPr>
        <w:t>Bedaton</w:t>
      </w:r>
      <w:proofErr w:type="spellEnd"/>
    </w:p>
    <w:p w14:paraId="2D405536" w14:textId="1811CD10" w:rsidR="001808FF" w:rsidRPr="0075018E" w:rsidRDefault="001808FF" w:rsidP="001808FF">
      <w:pPr>
        <w:tabs>
          <w:tab w:val="left" w:pos="993"/>
        </w:tabs>
        <w:rPr>
          <w:i/>
          <w:szCs w:val="22"/>
        </w:rPr>
      </w:pPr>
      <w:r>
        <w:rPr>
          <w:i/>
          <w:szCs w:val="22"/>
        </w:rPr>
        <w:tab/>
      </w:r>
      <w:r>
        <w:rPr>
          <w:i/>
          <w:szCs w:val="22"/>
        </w:rPr>
        <w:tab/>
      </w:r>
      <w:r>
        <w:rPr>
          <w:i/>
          <w:szCs w:val="22"/>
        </w:rPr>
        <w:tab/>
      </w:r>
      <w:r w:rsidRPr="0075018E">
        <w:rPr>
          <w:i/>
          <w:szCs w:val="22"/>
        </w:rPr>
        <w:t>(P. +32 25468</w:t>
      </w:r>
      <w:r>
        <w:rPr>
          <w:i/>
          <w:szCs w:val="22"/>
        </w:rPr>
        <w:t>134</w:t>
      </w:r>
      <w:r w:rsidRPr="0075018E">
        <w:rPr>
          <w:i/>
          <w:szCs w:val="22"/>
        </w:rPr>
        <w:t xml:space="preserve"> – </w:t>
      </w:r>
      <w:r w:rsidRPr="0075018E">
        <w:rPr>
          <w:i/>
          <w:iCs/>
          <w:szCs w:val="22"/>
        </w:rPr>
        <w:t>sähköposti</w:t>
      </w:r>
      <w:r w:rsidRPr="0075018E">
        <w:rPr>
          <w:i/>
          <w:szCs w:val="22"/>
        </w:rPr>
        <w:t>:</w:t>
      </w:r>
      <w:r w:rsidRPr="00F67991">
        <w:t xml:space="preserve"> </w:t>
      </w:r>
      <w:hyperlink r:id="rId29" w:history="1">
        <w:r w:rsidRPr="00381771">
          <w:rPr>
            <w:rStyle w:val="Hyperlink"/>
            <w:i/>
            <w:szCs w:val="22"/>
          </w:rPr>
          <w:t>june.bedaton@eesc.europa.eu</w:t>
        </w:r>
      </w:hyperlink>
      <w:r w:rsidRPr="0075018E">
        <w:rPr>
          <w:i/>
          <w:szCs w:val="22"/>
        </w:rPr>
        <w:t>)</w:t>
      </w:r>
    </w:p>
    <w:p w14:paraId="2C8B7C52" w14:textId="77777777" w:rsidR="00915C4E" w:rsidRPr="00556D76" w:rsidRDefault="00915C4E" w:rsidP="00713F3A">
      <w:pPr>
        <w:tabs>
          <w:tab w:val="left" w:pos="2268"/>
        </w:tabs>
        <w:rPr>
          <w:b/>
          <w:iCs/>
          <w:sz w:val="16"/>
          <w:szCs w:val="16"/>
          <w:highlight w:val="yellow"/>
          <w:u w:val="single"/>
        </w:rPr>
      </w:pPr>
    </w:p>
    <w:p w14:paraId="2C8B7C53" w14:textId="600D168B" w:rsidR="005C5CD7" w:rsidRPr="002D7686" w:rsidRDefault="0035626D" w:rsidP="0035626D">
      <w:pPr>
        <w:pStyle w:val="ListParagraph"/>
        <w:numPr>
          <w:ilvl w:val="0"/>
          <w:numId w:val="3"/>
        </w:numPr>
        <w:tabs>
          <w:tab w:val="left" w:pos="2268"/>
        </w:tabs>
        <w:rPr>
          <w:b/>
          <w:i/>
          <w:sz w:val="28"/>
        </w:rPr>
      </w:pPr>
      <w:r w:rsidRPr="0035626D">
        <w:rPr>
          <w:b/>
          <w:i/>
          <w:sz w:val="28"/>
        </w:rPr>
        <w:t>EU:n tietojärjestelmien (rajaturvallisuus</w:t>
      </w:r>
      <w:r>
        <w:rPr>
          <w:b/>
          <w:i/>
          <w:sz w:val="28"/>
        </w:rPr>
        <w:t>,</w:t>
      </w:r>
      <w:r w:rsidRPr="0035626D">
        <w:rPr>
          <w:b/>
          <w:i/>
          <w:sz w:val="28"/>
        </w:rPr>
        <w:t xml:space="preserve"> viisumiasiat</w:t>
      </w:r>
      <w:r>
        <w:rPr>
          <w:b/>
          <w:i/>
          <w:sz w:val="28"/>
        </w:rPr>
        <w:t>,</w:t>
      </w:r>
      <w:r w:rsidRPr="0035626D">
        <w:rPr>
          <w:b/>
          <w:i/>
          <w:sz w:val="28"/>
        </w:rPr>
        <w:t xml:space="preserve"> poliisiyhteistyö ja oikeudellinen yhteistyö</w:t>
      </w:r>
      <w:r>
        <w:rPr>
          <w:b/>
          <w:i/>
          <w:sz w:val="28"/>
        </w:rPr>
        <w:t>,</w:t>
      </w:r>
      <w:r w:rsidRPr="0035626D">
        <w:rPr>
          <w:b/>
          <w:i/>
          <w:sz w:val="28"/>
        </w:rPr>
        <w:t xml:space="preserve"> turvapaikka- ja maahanmuuttokysymykset) </w:t>
      </w:r>
      <w:proofErr w:type="spellStart"/>
      <w:r w:rsidRPr="0035626D">
        <w:rPr>
          <w:b/>
          <w:i/>
          <w:sz w:val="28"/>
        </w:rPr>
        <w:t>yhteentoimivuu</w:t>
      </w:r>
      <w:r>
        <w:rPr>
          <w:b/>
          <w:i/>
          <w:sz w:val="28"/>
        </w:rPr>
        <w:t>s</w:t>
      </w:r>
      <w:proofErr w:type="spellEnd"/>
    </w:p>
    <w:p w14:paraId="2C8B7C54" w14:textId="77777777" w:rsidR="005C5CD7" w:rsidRPr="00556D76" w:rsidRDefault="005C5CD7" w:rsidP="00713F3A">
      <w:pPr>
        <w:widowControl w:val="0"/>
        <w:tabs>
          <w:tab w:val="left" w:pos="2268"/>
        </w:tabs>
        <w:rPr>
          <w:bCs/>
          <w:iCs/>
          <w:sz w:val="16"/>
          <w:szCs w:val="16"/>
        </w:rPr>
      </w:pPr>
    </w:p>
    <w:p w14:paraId="2C8B7C55" w14:textId="58D4AD99" w:rsidR="005C5CD7" w:rsidRPr="002D7686" w:rsidRDefault="005C5CD7" w:rsidP="00F07A8F">
      <w:r w:rsidRPr="002D7686">
        <w:rPr>
          <w:b/>
        </w:rPr>
        <w:t>Esittelijä:</w:t>
      </w:r>
      <w:r w:rsidRPr="002D7686">
        <w:tab/>
      </w:r>
      <w:r w:rsidR="00F07A8F" w:rsidRPr="002D7686">
        <w:tab/>
      </w:r>
      <w:proofErr w:type="spellStart"/>
      <w:r w:rsidR="001808FF">
        <w:t>Laure</w:t>
      </w:r>
      <w:proofErr w:type="spellEnd"/>
      <w:r w:rsidR="001808FF">
        <w:t xml:space="preserve"> </w:t>
      </w:r>
      <w:r w:rsidR="001808FF" w:rsidRPr="00396C91">
        <w:rPr>
          <w:caps/>
        </w:rPr>
        <w:t>Batut</w:t>
      </w:r>
      <w:r w:rsidR="001808FF" w:rsidRPr="0026317F">
        <w:t xml:space="preserve"> </w:t>
      </w:r>
      <w:r w:rsidR="00794782" w:rsidRPr="002D7686">
        <w:t xml:space="preserve">(työntekijät – </w:t>
      </w:r>
      <w:r w:rsidR="001808FF">
        <w:t>FR</w:t>
      </w:r>
      <w:r w:rsidRPr="002D7686">
        <w:t>)</w:t>
      </w:r>
    </w:p>
    <w:p w14:paraId="2C8B7C56" w14:textId="77777777" w:rsidR="005C5CD7" w:rsidRPr="002D7686" w:rsidRDefault="005C5CD7" w:rsidP="00F07A8F"/>
    <w:p w14:paraId="2C8B7C58" w14:textId="4FC59353" w:rsidR="005C5CD7" w:rsidRDefault="005C5CD7" w:rsidP="00F07A8F">
      <w:r w:rsidRPr="002D7686">
        <w:rPr>
          <w:b/>
        </w:rPr>
        <w:t>Viiteasiakirja</w:t>
      </w:r>
      <w:r w:rsidR="00ED799A">
        <w:rPr>
          <w:b/>
        </w:rPr>
        <w:t>t</w:t>
      </w:r>
      <w:r w:rsidRPr="002D7686">
        <w:rPr>
          <w:b/>
        </w:rPr>
        <w:t>:</w:t>
      </w:r>
      <w:r w:rsidRPr="002D7686">
        <w:tab/>
      </w:r>
      <w:r w:rsidR="001808FF" w:rsidRPr="000509CD">
        <w:t>EESC-</w:t>
      </w:r>
      <w:proofErr w:type="gramStart"/>
      <w:r w:rsidR="001808FF" w:rsidRPr="000509CD">
        <w:t>201</w:t>
      </w:r>
      <w:r w:rsidR="001808FF">
        <w:t>8</w:t>
      </w:r>
      <w:r w:rsidR="001808FF" w:rsidRPr="000509CD">
        <w:t>-0</w:t>
      </w:r>
      <w:r w:rsidR="001808FF">
        <w:t>0446</w:t>
      </w:r>
      <w:proofErr w:type="gramEnd"/>
      <w:r w:rsidR="001808FF" w:rsidRPr="000509CD">
        <w:t>-00-00-</w:t>
      </w:r>
      <w:r w:rsidR="001808FF">
        <w:t>AC</w:t>
      </w:r>
      <w:r w:rsidR="001808FF" w:rsidRPr="000509CD">
        <w:t>-TRA</w:t>
      </w:r>
    </w:p>
    <w:p w14:paraId="3A2DBBA6" w14:textId="1A6727C3" w:rsidR="00ED799A" w:rsidRDefault="00ED799A" w:rsidP="00ED799A">
      <w:r>
        <w:tab/>
      </w:r>
      <w:r>
        <w:tab/>
      </w:r>
      <w:r>
        <w:tab/>
        <w:t xml:space="preserve">COM(2017) 793 </w:t>
      </w:r>
      <w:proofErr w:type="spellStart"/>
      <w:r>
        <w:t>final</w:t>
      </w:r>
      <w:proofErr w:type="spellEnd"/>
      <w:r>
        <w:t xml:space="preserve"> – 2017/0351 (COD)</w:t>
      </w:r>
    </w:p>
    <w:p w14:paraId="69B1BDBA" w14:textId="62A33FBF" w:rsidR="00ED799A" w:rsidRPr="002D7686" w:rsidRDefault="00ED799A" w:rsidP="00ED799A">
      <w:r>
        <w:tab/>
      </w:r>
      <w:r>
        <w:tab/>
      </w:r>
      <w:r>
        <w:tab/>
        <w:t xml:space="preserve">COM(2017) 794 </w:t>
      </w:r>
      <w:proofErr w:type="spellStart"/>
      <w:r>
        <w:t>final</w:t>
      </w:r>
      <w:proofErr w:type="spellEnd"/>
      <w:r>
        <w:t xml:space="preserve"> – 2017/0352 (COD)</w:t>
      </w:r>
    </w:p>
    <w:p w14:paraId="10075DE0" w14:textId="77777777" w:rsidR="00042354" w:rsidRDefault="00042354" w:rsidP="00713F3A">
      <w:pPr>
        <w:tabs>
          <w:tab w:val="left" w:pos="2268"/>
        </w:tabs>
        <w:ind w:left="-5"/>
        <w:rPr>
          <w:b/>
        </w:rPr>
      </w:pPr>
    </w:p>
    <w:p w14:paraId="2C8B7C5A" w14:textId="77777777" w:rsidR="005C5CD7" w:rsidRPr="002D7686" w:rsidRDefault="005C5CD7" w:rsidP="00713F3A">
      <w:pPr>
        <w:tabs>
          <w:tab w:val="left" w:pos="2268"/>
        </w:tabs>
        <w:ind w:left="-5"/>
        <w:rPr>
          <w:bCs/>
          <w:iCs/>
        </w:rPr>
      </w:pPr>
      <w:r w:rsidRPr="002D7686">
        <w:rPr>
          <w:b/>
        </w:rPr>
        <w:t>Keskeiset kohdat:</w:t>
      </w:r>
    </w:p>
    <w:p w14:paraId="2C8B7C5B" w14:textId="77777777" w:rsidR="00915C4E" w:rsidRPr="002D7686" w:rsidRDefault="00915C4E" w:rsidP="00713F3A">
      <w:pPr>
        <w:tabs>
          <w:tab w:val="left" w:pos="2268"/>
        </w:tabs>
      </w:pPr>
    </w:p>
    <w:p w14:paraId="75EF32A3" w14:textId="77777777" w:rsidR="00705186" w:rsidRPr="002D7686" w:rsidRDefault="00705186" w:rsidP="00705186">
      <w:pPr>
        <w:tabs>
          <w:tab w:val="left" w:pos="2268"/>
        </w:tabs>
      </w:pPr>
      <w:r w:rsidRPr="002D7686">
        <w:t xml:space="preserve">ETSK </w:t>
      </w:r>
    </w:p>
    <w:p w14:paraId="056D8C1B" w14:textId="77777777" w:rsidR="00705186" w:rsidRPr="002D7686" w:rsidRDefault="00705186" w:rsidP="00705186">
      <w:pPr>
        <w:tabs>
          <w:tab w:val="left" w:pos="2268"/>
        </w:tabs>
      </w:pPr>
    </w:p>
    <w:p w14:paraId="1A8E114A" w14:textId="6192B699" w:rsidR="00633FD2" w:rsidRDefault="00633FD2" w:rsidP="00633FD2">
      <w:pPr>
        <w:pStyle w:val="Heading2"/>
        <w:numPr>
          <w:ilvl w:val="0"/>
          <w:numId w:val="4"/>
        </w:numPr>
        <w:tabs>
          <w:tab w:val="left" w:pos="2268"/>
        </w:tabs>
        <w:overflowPunct/>
        <w:adjustRightInd/>
        <w:spacing w:after="120"/>
        <w:textAlignment w:val="auto"/>
      </w:pPr>
      <w:r>
        <w:t xml:space="preserve">pitää hyödyllisenä ja myönteisenä Euroopan komission ehdotusta parantaa rajaturvallisuuteen ja viisumiasioihin liittyvien EU:n tietojärjestelmien </w:t>
      </w:r>
      <w:proofErr w:type="spellStart"/>
      <w:r>
        <w:t>yhteentoimivuutta</w:t>
      </w:r>
      <w:proofErr w:type="spellEnd"/>
      <w:r>
        <w:t xml:space="preserve"> sekä poliisiyhteistyötä, oikeudellista yhteistyötä ja yhteistyötä turvapaikka- ja muuttoliikekysymyksissä. </w:t>
      </w:r>
    </w:p>
    <w:p w14:paraId="017A7BC1" w14:textId="010965CF" w:rsidR="00633FD2" w:rsidRDefault="00633FD2" w:rsidP="00633FD2">
      <w:pPr>
        <w:pStyle w:val="Heading2"/>
        <w:numPr>
          <w:ilvl w:val="0"/>
          <w:numId w:val="4"/>
        </w:numPr>
        <w:tabs>
          <w:tab w:val="left" w:pos="2268"/>
        </w:tabs>
        <w:overflowPunct/>
        <w:adjustRightInd/>
        <w:spacing w:after="120"/>
        <w:textAlignment w:val="auto"/>
      </w:pPr>
      <w:r>
        <w:lastRenderedPageBreak/>
        <w:t xml:space="preserve">katsoo, että </w:t>
      </w:r>
      <w:proofErr w:type="spellStart"/>
      <w:r>
        <w:t>yhteentoimivuus</w:t>
      </w:r>
      <w:proofErr w:type="spellEnd"/>
      <w:r>
        <w:t xml:space="preserve"> tulee ottaa EU:n strategiseksi tavoitteeksi, jotta unioni voi säilyä avoimena alueena, jossa perusoikeudet ja liikkuvuus on turvattu. EU:n ja jäsenvaltioiden velvollisuutena on suojella kaikkien ihmisten henkeä ja turvallisuutta. </w:t>
      </w:r>
    </w:p>
    <w:p w14:paraId="6E37A50B" w14:textId="1457EBDB" w:rsidR="00633FD2" w:rsidRDefault="00633FD2" w:rsidP="00633FD2">
      <w:pPr>
        <w:pStyle w:val="Heading2"/>
        <w:numPr>
          <w:ilvl w:val="0"/>
          <w:numId w:val="4"/>
        </w:numPr>
        <w:tabs>
          <w:tab w:val="left" w:pos="2268"/>
        </w:tabs>
        <w:overflowPunct/>
        <w:adjustRightInd/>
        <w:spacing w:after="120"/>
        <w:textAlignment w:val="auto"/>
      </w:pPr>
      <w:r>
        <w:t xml:space="preserve">katsoo, että </w:t>
      </w:r>
      <w:proofErr w:type="spellStart"/>
      <w:r>
        <w:t>yhteentoimivuuteen</w:t>
      </w:r>
      <w:proofErr w:type="spellEnd"/>
      <w:r>
        <w:t xml:space="preserve"> tähtäävät toimenpiteet hyväksytään vieläkin paremmin, jos niillä taataan edellytykset tasapainoon vapauden ja turvallisuuden välillä kunnioittaen vallanjaon periaatetta, turvataan kaikkien asianomaisten ihmisten perusoikeudet, vahvistetaan vaatimus noudattaa sisäänrakennetun tietosuojan periaatteita eikä luoda uusia esteitä tavanomaiselle matkustaja- ja tavaraliikenteelle. </w:t>
      </w:r>
    </w:p>
    <w:p w14:paraId="605E4D35" w14:textId="7679954C" w:rsidR="00633FD2" w:rsidRDefault="00633FD2" w:rsidP="00633FD2">
      <w:pPr>
        <w:pStyle w:val="Heading2"/>
        <w:numPr>
          <w:ilvl w:val="0"/>
          <w:numId w:val="4"/>
        </w:numPr>
        <w:tabs>
          <w:tab w:val="left" w:pos="2268"/>
        </w:tabs>
        <w:overflowPunct/>
        <w:adjustRightInd/>
        <w:spacing w:after="120"/>
        <w:textAlignment w:val="auto"/>
      </w:pPr>
      <w:r>
        <w:t xml:space="preserve">vaatii, että käytettäessä tietoja lainvalvontatarkoituksiin sovelletaan menettelyjä ja takeita, joilla varmistetaan yleisen tietosuoja-asetuksen soveltaminen </w:t>
      </w:r>
    </w:p>
    <w:p w14:paraId="13C5D2E4" w14:textId="01BB9925" w:rsidR="00633FD2" w:rsidRDefault="00633FD2" w:rsidP="00633FD2">
      <w:pPr>
        <w:pStyle w:val="Heading2"/>
        <w:numPr>
          <w:ilvl w:val="0"/>
          <w:numId w:val="4"/>
        </w:numPr>
        <w:tabs>
          <w:tab w:val="left" w:pos="2268"/>
        </w:tabs>
        <w:overflowPunct/>
        <w:adjustRightInd/>
        <w:spacing w:after="120"/>
        <w:textAlignment w:val="auto"/>
      </w:pPr>
      <w:r>
        <w:t xml:space="preserve">katsoo, että vastuutahojen tulee laatia vuosittain päätöksentekijöille ja komissiolle kertomus </w:t>
      </w:r>
      <w:proofErr w:type="spellStart"/>
      <w:r>
        <w:t>yhteentoimivuuden</w:t>
      </w:r>
      <w:proofErr w:type="spellEnd"/>
      <w:r>
        <w:t xml:space="preserve"> komponenttien turvallisuudesta ja kahden vuoden välein toimenpiteiden vaikutuksista perusoikeuksiin </w:t>
      </w:r>
    </w:p>
    <w:p w14:paraId="539E46DD" w14:textId="2ABD3F1B" w:rsidR="00633FD2" w:rsidRDefault="00633FD2" w:rsidP="00633FD2">
      <w:pPr>
        <w:pStyle w:val="Heading2"/>
        <w:numPr>
          <w:ilvl w:val="0"/>
          <w:numId w:val="4"/>
        </w:numPr>
        <w:tabs>
          <w:tab w:val="left" w:pos="2268"/>
        </w:tabs>
        <w:overflowPunct/>
        <w:adjustRightInd/>
        <w:spacing w:after="120"/>
        <w:textAlignment w:val="auto"/>
      </w:pPr>
      <w:proofErr w:type="gramStart"/>
      <w:r>
        <w:t>suosittaa</w:t>
      </w:r>
      <w:proofErr w:type="gramEnd"/>
      <w:r>
        <w:t xml:space="preserve"> laatimaan kattavat koulutusohjelmat asiasta vastaaville viranomaisille ja </w:t>
      </w:r>
      <w:proofErr w:type="spellStart"/>
      <w:r>
        <w:t>eu-LISAn</w:t>
      </w:r>
      <w:proofErr w:type="spellEnd"/>
      <w:r>
        <w:t xml:space="preserve"> toimihenkilöille ja valvomaan tiukasti viraston toimihenkilöiden ja työnhakijoiden pätevyyttä </w:t>
      </w:r>
    </w:p>
    <w:p w14:paraId="245E60A1" w14:textId="36977A0D" w:rsidR="00633FD2" w:rsidRDefault="00633FD2" w:rsidP="00633FD2">
      <w:pPr>
        <w:pStyle w:val="Heading2"/>
        <w:numPr>
          <w:ilvl w:val="0"/>
          <w:numId w:val="4"/>
        </w:numPr>
        <w:tabs>
          <w:tab w:val="left" w:pos="2268"/>
        </w:tabs>
        <w:overflowPunct/>
        <w:adjustRightInd/>
        <w:spacing w:after="120"/>
        <w:textAlignment w:val="auto"/>
      </w:pPr>
      <w:r>
        <w:t xml:space="preserve">on huolissaan uuden järjestelmän rahoittamisesta. Suunnittelun seuranta on ratkaisevassa asemassa, jotta budjetti ei ylity ja hanke saadaan vietyä päätökseen aikataulun mukaisesti vuonna 2029. </w:t>
      </w:r>
    </w:p>
    <w:p w14:paraId="19C22EE7" w14:textId="57A9248E" w:rsidR="00633FD2" w:rsidRDefault="00633FD2" w:rsidP="00633FD2">
      <w:pPr>
        <w:pStyle w:val="Heading2"/>
        <w:numPr>
          <w:ilvl w:val="0"/>
          <w:numId w:val="4"/>
        </w:numPr>
        <w:tabs>
          <w:tab w:val="left" w:pos="2268"/>
        </w:tabs>
        <w:overflowPunct/>
        <w:adjustRightInd/>
        <w:spacing w:after="120"/>
        <w:textAlignment w:val="auto"/>
      </w:pPr>
      <w:r>
        <w:t xml:space="preserve">kehottaa järjestämään yleisötiedotusta hankkeen edistymisestä sen valmistumiseen asti. </w:t>
      </w:r>
    </w:p>
    <w:p w14:paraId="4455C5EE" w14:textId="3CF666F6" w:rsidR="00722C24" w:rsidRPr="002D7686" w:rsidRDefault="00633FD2" w:rsidP="00633FD2">
      <w:pPr>
        <w:pStyle w:val="Heading2"/>
        <w:numPr>
          <w:ilvl w:val="0"/>
          <w:numId w:val="4"/>
        </w:numPr>
        <w:tabs>
          <w:tab w:val="left" w:pos="2268"/>
        </w:tabs>
        <w:overflowPunct/>
        <w:adjustRightInd/>
        <w:spacing w:after="120"/>
        <w:textAlignment w:val="auto"/>
      </w:pPr>
      <w:r>
        <w:t>katsoo, että koko prosessin pysäyttämisen täytyy olla mahdollista, jos järjestelmän väärinkäyttö uhkaa vapautta ja perusoikeuksia.</w:t>
      </w:r>
    </w:p>
    <w:p w14:paraId="1CC5FC8C" w14:textId="77777777" w:rsidR="00705186" w:rsidRPr="002D7686" w:rsidRDefault="00705186" w:rsidP="00413F33">
      <w:pPr>
        <w:rPr>
          <w:b/>
          <w:i/>
          <w:szCs w:val="24"/>
        </w:rPr>
      </w:pPr>
    </w:p>
    <w:p w14:paraId="35B85D35" w14:textId="05AAF50D" w:rsidR="00B9738D" w:rsidRPr="00E3384D" w:rsidRDefault="00B9738D" w:rsidP="00B9738D">
      <w:pPr>
        <w:tabs>
          <w:tab w:val="left" w:pos="993"/>
          <w:tab w:val="left" w:pos="1418"/>
        </w:tabs>
        <w:textAlignment w:val="auto"/>
        <w:rPr>
          <w:i/>
        </w:rPr>
      </w:pPr>
      <w:r w:rsidRPr="00E3384D">
        <w:rPr>
          <w:b/>
          <w:i/>
        </w:rPr>
        <w:t>Yhteyshenkilö:</w:t>
      </w:r>
      <w:r>
        <w:tab/>
      </w:r>
      <w:r>
        <w:tab/>
      </w:r>
      <w:proofErr w:type="spellStart"/>
      <w:r>
        <w:rPr>
          <w:i/>
        </w:rPr>
        <w:t>Triin</w:t>
      </w:r>
      <w:proofErr w:type="spellEnd"/>
      <w:r>
        <w:rPr>
          <w:i/>
        </w:rPr>
        <w:t xml:space="preserve"> </w:t>
      </w:r>
      <w:proofErr w:type="spellStart"/>
      <w:r>
        <w:rPr>
          <w:i/>
        </w:rPr>
        <w:t>Aasmaa</w:t>
      </w:r>
      <w:proofErr w:type="spellEnd"/>
    </w:p>
    <w:p w14:paraId="5B72CBA0" w14:textId="3FCC0652" w:rsidR="00BD527E" w:rsidRPr="002D7686" w:rsidRDefault="00B9738D" w:rsidP="00B9738D">
      <w:pPr>
        <w:widowControl w:val="0"/>
        <w:rPr>
          <w:bCs/>
          <w:iCs/>
          <w:szCs w:val="28"/>
        </w:rPr>
      </w:pPr>
      <w:r>
        <w:rPr>
          <w:i/>
        </w:rPr>
        <w:tab/>
      </w:r>
      <w:r>
        <w:rPr>
          <w:i/>
        </w:rPr>
        <w:tab/>
      </w:r>
      <w:r>
        <w:rPr>
          <w:i/>
        </w:rPr>
        <w:tab/>
      </w:r>
      <w:r w:rsidRPr="00E3384D">
        <w:rPr>
          <w:i/>
        </w:rPr>
        <w:t>(</w:t>
      </w:r>
      <w:r w:rsidRPr="00E3384D">
        <w:rPr>
          <w:i/>
          <w:szCs w:val="24"/>
        </w:rPr>
        <w:t xml:space="preserve">P. +32 </w:t>
      </w:r>
      <w:r w:rsidRPr="00E3384D">
        <w:rPr>
          <w:i/>
        </w:rPr>
        <w:t>2546</w:t>
      </w:r>
      <w:r>
        <w:rPr>
          <w:i/>
        </w:rPr>
        <w:t>9524</w:t>
      </w:r>
      <w:r w:rsidRPr="00E3384D">
        <w:rPr>
          <w:i/>
        </w:rPr>
        <w:t xml:space="preserve"> – sähköposti:</w:t>
      </w:r>
      <w:r w:rsidRPr="00961514">
        <w:rPr>
          <w:i/>
        </w:rPr>
        <w:t xml:space="preserve"> </w:t>
      </w:r>
      <w:hyperlink r:id="rId30" w:history="1">
        <w:r w:rsidRPr="00DE17DD">
          <w:rPr>
            <w:rStyle w:val="Hyperlink"/>
            <w:i/>
          </w:rPr>
          <w:t>triin.aasmaa@eesc.europa.eu</w:t>
        </w:r>
      </w:hyperlink>
      <w:r w:rsidRPr="00E3384D">
        <w:rPr>
          <w:i/>
        </w:rPr>
        <w:t>)</w:t>
      </w:r>
    </w:p>
    <w:p w14:paraId="66149384" w14:textId="77777777" w:rsidR="00BD527E" w:rsidRPr="002D7686" w:rsidRDefault="00BD527E" w:rsidP="00713F3A">
      <w:pPr>
        <w:widowControl w:val="0"/>
        <w:tabs>
          <w:tab w:val="left" w:pos="2268"/>
        </w:tabs>
        <w:rPr>
          <w:bCs/>
          <w:iCs/>
          <w:szCs w:val="28"/>
        </w:rPr>
      </w:pPr>
    </w:p>
    <w:p w14:paraId="6A61EC14" w14:textId="77777777" w:rsidR="004A3025" w:rsidRPr="002D7686" w:rsidRDefault="004A3025" w:rsidP="00474E4A">
      <w:pPr>
        <w:tabs>
          <w:tab w:val="left" w:pos="2268"/>
        </w:tabs>
        <w:spacing w:line="240" w:lineRule="auto"/>
        <w:rPr>
          <w:b/>
          <w:bCs/>
        </w:rPr>
      </w:pPr>
    </w:p>
    <w:p w14:paraId="2C8B7CBD" w14:textId="77777777" w:rsidR="00474E4A" w:rsidRPr="002D7686" w:rsidRDefault="00474E4A">
      <w:pPr>
        <w:jc w:val="center"/>
      </w:pPr>
      <w:r w:rsidRPr="002D7686">
        <w:t>_____________</w:t>
      </w:r>
    </w:p>
    <w:p w14:paraId="2C8B7CBE" w14:textId="77777777" w:rsidR="0099413E" w:rsidRPr="002D7686" w:rsidRDefault="0099413E" w:rsidP="00713F3A">
      <w:pPr>
        <w:tabs>
          <w:tab w:val="left" w:pos="2268"/>
        </w:tabs>
        <w:jc w:val="center"/>
      </w:pPr>
    </w:p>
    <w:sectPr w:rsidR="0099413E" w:rsidRPr="002D7686" w:rsidSect="00CA014D">
      <w:headerReference w:type="even" r:id="rId31"/>
      <w:headerReference w:type="default" r:id="rId32"/>
      <w:footerReference w:type="even" r:id="rId33"/>
      <w:footerReference w:type="default" r:id="rId34"/>
      <w:headerReference w:type="first" r:id="rId35"/>
      <w:footerReference w:type="first" r:id="rId36"/>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8B7CC6" w14:textId="77777777" w:rsidR="001808FF" w:rsidRDefault="001808FF" w:rsidP="003B283B">
      <w:pPr>
        <w:spacing w:line="240" w:lineRule="auto"/>
      </w:pPr>
      <w:r>
        <w:separator/>
      </w:r>
    </w:p>
  </w:endnote>
  <w:endnote w:type="continuationSeparator" w:id="0">
    <w:p w14:paraId="2C8B7CC7" w14:textId="77777777" w:rsidR="001808FF" w:rsidRDefault="001808FF" w:rsidP="003B283B">
      <w:pPr>
        <w:spacing w:line="240" w:lineRule="auto"/>
      </w:pPr>
      <w:r>
        <w:continuationSeparator/>
      </w:r>
    </w:p>
  </w:endnote>
  <w:endnote w:type="continuationNotice" w:id="1">
    <w:p w14:paraId="2C8B7CC8" w14:textId="77777777" w:rsidR="001808FF" w:rsidRDefault="001808F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B7CCC" w14:textId="6F427B5B" w:rsidR="001808FF" w:rsidRPr="00CA014D" w:rsidRDefault="001808FF" w:rsidP="00CA014D">
    <w:pPr>
      <w:pStyle w:val="Footer"/>
    </w:pPr>
    <w:r>
      <w:t>EESC-</w:t>
    </w:r>
    <w:proofErr w:type="gramStart"/>
    <w:r>
      <w:t>2018-02039</w:t>
    </w:r>
    <w:proofErr w:type="gramEnd"/>
    <w:r>
      <w:t>-00-0</w:t>
    </w:r>
    <w:r w:rsidR="00FF2A31">
      <w:t>1</w:t>
    </w:r>
    <w:r>
      <w:t xml:space="preserve">-TCD-TRA (FR/EN) </w:t>
    </w:r>
    <w:r>
      <w:fldChar w:fldCharType="begin"/>
    </w:r>
    <w:r>
      <w:instrText xml:space="preserve"> PAGE  \* Arabic  \* MERGEFORMAT </w:instrText>
    </w:r>
    <w:r>
      <w:fldChar w:fldCharType="separate"/>
    </w:r>
    <w:r w:rsidR="00C819D6">
      <w:rPr>
        <w:noProof/>
      </w:rPr>
      <w:t>1</w:t>
    </w:r>
    <w:r>
      <w:fldChar w:fldCharType="end"/>
    </w:r>
    <w:r>
      <w:t>/</w:t>
    </w:r>
    <w:r>
      <w:fldChar w:fldCharType="begin"/>
    </w:r>
    <w:r>
      <w:instrText xml:space="preserve"> = </w:instrText>
    </w:r>
    <w:fldSimple w:instr=" NUMPAGES ">
      <w:r w:rsidR="00C819D6">
        <w:rPr>
          <w:noProof/>
        </w:rPr>
        <w:instrText>15</w:instrText>
      </w:r>
    </w:fldSimple>
    <w:r>
      <w:instrText xml:space="preserve"> -0 </w:instrText>
    </w:r>
    <w:r>
      <w:fldChar w:fldCharType="separate"/>
    </w:r>
    <w:r w:rsidR="00C819D6">
      <w:rPr>
        <w:noProof/>
      </w:rPr>
      <w:t>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B7CD1" w14:textId="77777777" w:rsidR="001808FF" w:rsidRPr="00CA014D" w:rsidRDefault="001808FF" w:rsidP="00CA01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B7CD2" w14:textId="183D7C76" w:rsidR="001808FF" w:rsidRPr="00CA014D" w:rsidRDefault="001808FF" w:rsidP="00CA014D">
    <w:pPr>
      <w:pStyle w:val="Footer"/>
    </w:pPr>
    <w:r>
      <w:t>EESC-</w:t>
    </w:r>
    <w:proofErr w:type="gramStart"/>
    <w:r>
      <w:t>2018-02039</w:t>
    </w:r>
    <w:proofErr w:type="gramEnd"/>
    <w:r>
      <w:t>-00-0</w:t>
    </w:r>
    <w:r w:rsidR="00FF2A31">
      <w:t>1</w:t>
    </w:r>
    <w:r>
      <w:t xml:space="preserve">-TCD-TRA (FR/EN) </w:t>
    </w:r>
    <w:r>
      <w:fldChar w:fldCharType="begin"/>
    </w:r>
    <w:r>
      <w:instrText xml:space="preserve"> PAGE  \* Arabic  \* MERGEFORMAT </w:instrText>
    </w:r>
    <w:r>
      <w:fldChar w:fldCharType="separate"/>
    </w:r>
    <w:r w:rsidR="00C819D6">
      <w:rPr>
        <w:noProof/>
      </w:rPr>
      <w:t>2</w:t>
    </w:r>
    <w:r>
      <w:fldChar w:fldCharType="end"/>
    </w:r>
    <w:r>
      <w:t>/</w:t>
    </w:r>
    <w:r>
      <w:fldChar w:fldCharType="begin"/>
    </w:r>
    <w:r>
      <w:instrText xml:space="preserve"> = </w:instrText>
    </w:r>
    <w:fldSimple w:instr=" NUMPAGES ">
      <w:r w:rsidR="00C819D6">
        <w:rPr>
          <w:noProof/>
        </w:rPr>
        <w:instrText>15</w:instrText>
      </w:r>
    </w:fldSimple>
    <w:r>
      <w:instrText xml:space="preserve"> -0 </w:instrText>
    </w:r>
    <w:r>
      <w:fldChar w:fldCharType="separate"/>
    </w:r>
    <w:r w:rsidR="00C819D6">
      <w:rPr>
        <w:noProof/>
      </w:rPr>
      <w:t>15</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B7CD4" w14:textId="77777777" w:rsidR="001808FF" w:rsidRPr="00CA014D" w:rsidRDefault="001808FF" w:rsidP="00CA01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8B7CC3" w14:textId="77777777" w:rsidR="001808FF" w:rsidRDefault="001808FF" w:rsidP="003B283B">
      <w:pPr>
        <w:spacing w:line="240" w:lineRule="auto"/>
      </w:pPr>
      <w:r>
        <w:separator/>
      </w:r>
    </w:p>
  </w:footnote>
  <w:footnote w:type="continuationSeparator" w:id="0">
    <w:p w14:paraId="2C8B7CC4" w14:textId="77777777" w:rsidR="001808FF" w:rsidRDefault="001808FF" w:rsidP="003B283B">
      <w:pPr>
        <w:spacing w:line="240" w:lineRule="auto"/>
      </w:pPr>
      <w:r>
        <w:continuationSeparator/>
      </w:r>
    </w:p>
  </w:footnote>
  <w:footnote w:type="continuationNotice" w:id="1">
    <w:p w14:paraId="2C8B7CC5" w14:textId="77777777" w:rsidR="001808FF" w:rsidRPr="00377A77" w:rsidRDefault="001808FF">
      <w:pPr>
        <w:spacing w:line="240" w:lineRule="auto"/>
        <w:rPr>
          <w:sz w:val="2"/>
          <w:szCs w:val="2"/>
        </w:rPr>
      </w:pPr>
    </w:p>
  </w:footnote>
  <w:footnote w:id="2">
    <w:p w14:paraId="7D80A208" w14:textId="63373A0C" w:rsidR="00BD6302" w:rsidRPr="00BD6302" w:rsidRDefault="00BD6302">
      <w:pPr>
        <w:pStyle w:val="FootnoteText"/>
      </w:pPr>
      <w:r>
        <w:rPr>
          <w:rStyle w:val="FootnoteReference"/>
        </w:rPr>
        <w:footnoteRef/>
      </w:r>
      <w:r>
        <w:t xml:space="preserve"> </w:t>
      </w:r>
      <w:r>
        <w:tab/>
      </w:r>
      <w:r w:rsidRPr="00BD6302">
        <w:t>2017/C 18/02.</w:t>
      </w:r>
    </w:p>
  </w:footnote>
  <w:footnote w:id="3">
    <w:p w14:paraId="196C2D6B" w14:textId="5555AA66" w:rsidR="00BD6302" w:rsidRPr="00BD6302" w:rsidRDefault="00BD6302">
      <w:pPr>
        <w:pStyle w:val="FootnoteText"/>
      </w:pPr>
      <w:r>
        <w:rPr>
          <w:rStyle w:val="FootnoteReference"/>
        </w:rPr>
        <w:footnoteRef/>
      </w:r>
      <w:r>
        <w:t xml:space="preserve"> </w:t>
      </w:r>
      <w:r>
        <w:tab/>
      </w:r>
      <w:r w:rsidRPr="00BD6302">
        <w:t xml:space="preserve">COM(2018) 10 </w:t>
      </w:r>
      <w:proofErr w:type="spellStart"/>
      <w:r w:rsidRPr="00BD6302">
        <w:t>final</w:t>
      </w:r>
      <w:proofErr w:type="spellEnd"/>
      <w:r w:rsidRPr="00BD6302">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B7CCF" w14:textId="77777777" w:rsidR="001808FF" w:rsidRPr="00CA014D" w:rsidRDefault="001808FF" w:rsidP="00CA01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B7CD0" w14:textId="77777777" w:rsidR="001808FF" w:rsidRPr="00CA014D" w:rsidRDefault="001808FF" w:rsidP="00CA01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B7CD3" w14:textId="77777777" w:rsidR="001808FF" w:rsidRPr="00CA014D" w:rsidRDefault="001808FF" w:rsidP="00CA01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222C564"/>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rPr>
        <w:rFonts w:cs="Times New Roman"/>
      </w:rPr>
    </w:lvl>
  </w:abstractNum>
  <w:abstractNum w:abstractNumId="2">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CE7EA6"/>
    <w:multiLevelType w:val="hybridMultilevel"/>
    <w:tmpl w:val="D30AAE6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22886B44"/>
    <w:multiLevelType w:val="hybridMultilevel"/>
    <w:tmpl w:val="DFFA3F70"/>
    <w:lvl w:ilvl="0" w:tplc="A8C2A5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7561E8"/>
    <w:multiLevelType w:val="hybridMultilevel"/>
    <w:tmpl w:val="9D9E2DC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48B92032"/>
    <w:multiLevelType w:val="hybridMultilevel"/>
    <w:tmpl w:val="CBE6D1C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5351021A"/>
    <w:multiLevelType w:val="hybridMultilevel"/>
    <w:tmpl w:val="89EC9FAA"/>
    <w:lvl w:ilvl="0" w:tplc="DABAAE42">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9">
    <w:nsid w:val="5CB96C58"/>
    <w:multiLevelType w:val="hybridMultilevel"/>
    <w:tmpl w:val="86DAEA58"/>
    <w:lvl w:ilvl="0" w:tplc="7EECC9EA">
      <w:start w:val="1"/>
      <w:numFmt w:val="bullet"/>
      <w:lvlRestart w:val="0"/>
      <w:lvlText w:val="-"/>
      <w:lvlJc w:val="left"/>
      <w:pPr>
        <w:tabs>
          <w:tab w:val="num" w:pos="0"/>
        </w:tabs>
        <w:ind w:left="283" w:hanging="283"/>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6F44641F"/>
    <w:multiLevelType w:val="hybridMultilevel"/>
    <w:tmpl w:val="A498EF3C"/>
    <w:lvl w:ilvl="0" w:tplc="E17032E4">
      <w:start w:val="1"/>
      <w:numFmt w:val="bullet"/>
      <w:lvlRestart w:val="0"/>
      <w:lvlText w:val="-"/>
      <w:lvlJc w:val="left"/>
      <w:pPr>
        <w:tabs>
          <w:tab w:val="num" w:pos="0"/>
        </w:tabs>
        <w:ind w:left="283" w:hanging="283"/>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71F04359"/>
    <w:multiLevelType w:val="hybridMultilevel"/>
    <w:tmpl w:val="F58A74B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76877D8E"/>
    <w:multiLevelType w:val="hybridMultilevel"/>
    <w:tmpl w:val="2B5CE87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7F4A7ED8"/>
    <w:multiLevelType w:val="hybridMultilevel"/>
    <w:tmpl w:val="EE446F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4"/>
  </w:num>
  <w:num w:numId="5">
    <w:abstractNumId w:val="11"/>
  </w:num>
  <w:num w:numId="6">
    <w:abstractNumId w:val="3"/>
  </w:num>
  <w:num w:numId="7">
    <w:abstractNumId w:val="5"/>
  </w:num>
  <w:num w:numId="8">
    <w:abstractNumId w:val="6"/>
  </w:num>
  <w:num w:numId="9">
    <w:abstractNumId w:val="12"/>
  </w:num>
  <w:num w:numId="10">
    <w:abstractNumId w:val="13"/>
  </w:num>
  <w:num w:numId="11">
    <w:abstractNumId w:val="10"/>
  </w:num>
  <w:num w:numId="12">
    <w:abstractNumId w:val="0"/>
  </w:num>
  <w:num w:numId="13">
    <w:abstractNumId w:val="0"/>
  </w:num>
  <w:num w:numId="14">
    <w:abstractNumId w:val="0"/>
  </w:num>
  <w:num w:numId="15">
    <w:abstractNumId w:val="0"/>
  </w:num>
  <w:num w:numId="16">
    <w:abstractNumId w:val="0"/>
  </w:num>
  <w:num w:numId="17">
    <w:abstractNumId w:val="7"/>
  </w:num>
  <w:num w:numId="18">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880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E4F"/>
    <w:rsid w:val="00004774"/>
    <w:rsid w:val="00004D0F"/>
    <w:rsid w:val="00005B0A"/>
    <w:rsid w:val="00007B94"/>
    <w:rsid w:val="000115A9"/>
    <w:rsid w:val="00012B39"/>
    <w:rsid w:val="00013610"/>
    <w:rsid w:val="000138A1"/>
    <w:rsid w:val="0001686B"/>
    <w:rsid w:val="00017703"/>
    <w:rsid w:val="00020A28"/>
    <w:rsid w:val="000215A9"/>
    <w:rsid w:val="00022B6C"/>
    <w:rsid w:val="000240FE"/>
    <w:rsid w:val="0002432A"/>
    <w:rsid w:val="000244F9"/>
    <w:rsid w:val="00024FEF"/>
    <w:rsid w:val="00026BD2"/>
    <w:rsid w:val="00027186"/>
    <w:rsid w:val="00030813"/>
    <w:rsid w:val="00030B04"/>
    <w:rsid w:val="00030D71"/>
    <w:rsid w:val="0003128F"/>
    <w:rsid w:val="000316FF"/>
    <w:rsid w:val="0003187D"/>
    <w:rsid w:val="00031C70"/>
    <w:rsid w:val="00032E3A"/>
    <w:rsid w:val="000338E8"/>
    <w:rsid w:val="00033C6E"/>
    <w:rsid w:val="00033DA8"/>
    <w:rsid w:val="00034832"/>
    <w:rsid w:val="000349EE"/>
    <w:rsid w:val="00034A75"/>
    <w:rsid w:val="00035B58"/>
    <w:rsid w:val="00035EF4"/>
    <w:rsid w:val="00036976"/>
    <w:rsid w:val="000378CC"/>
    <w:rsid w:val="00037B11"/>
    <w:rsid w:val="0004006B"/>
    <w:rsid w:val="0004042B"/>
    <w:rsid w:val="00041C6C"/>
    <w:rsid w:val="00041EB7"/>
    <w:rsid w:val="00041F44"/>
    <w:rsid w:val="00042354"/>
    <w:rsid w:val="00042751"/>
    <w:rsid w:val="00044DCB"/>
    <w:rsid w:val="00045054"/>
    <w:rsid w:val="000451B3"/>
    <w:rsid w:val="0005077B"/>
    <w:rsid w:val="00051C81"/>
    <w:rsid w:val="00052356"/>
    <w:rsid w:val="0005250A"/>
    <w:rsid w:val="000529F2"/>
    <w:rsid w:val="00054BA6"/>
    <w:rsid w:val="00054E26"/>
    <w:rsid w:val="00055735"/>
    <w:rsid w:val="000559BE"/>
    <w:rsid w:val="000562AF"/>
    <w:rsid w:val="00060853"/>
    <w:rsid w:val="00060E5C"/>
    <w:rsid w:val="00065751"/>
    <w:rsid w:val="00066490"/>
    <w:rsid w:val="00067189"/>
    <w:rsid w:val="00067BC4"/>
    <w:rsid w:val="0007026C"/>
    <w:rsid w:val="00070C28"/>
    <w:rsid w:val="00070DC9"/>
    <w:rsid w:val="000714D6"/>
    <w:rsid w:val="00071E53"/>
    <w:rsid w:val="00073040"/>
    <w:rsid w:val="0007365D"/>
    <w:rsid w:val="00073A46"/>
    <w:rsid w:val="000747E4"/>
    <w:rsid w:val="00074A88"/>
    <w:rsid w:val="00074CD8"/>
    <w:rsid w:val="00076AD3"/>
    <w:rsid w:val="000807B6"/>
    <w:rsid w:val="000814F6"/>
    <w:rsid w:val="00081813"/>
    <w:rsid w:val="000818D4"/>
    <w:rsid w:val="000821ED"/>
    <w:rsid w:val="00082546"/>
    <w:rsid w:val="000836FE"/>
    <w:rsid w:val="00083F57"/>
    <w:rsid w:val="000868DE"/>
    <w:rsid w:val="00086D04"/>
    <w:rsid w:val="00086E67"/>
    <w:rsid w:val="00087AE9"/>
    <w:rsid w:val="00093786"/>
    <w:rsid w:val="00094645"/>
    <w:rsid w:val="000967CA"/>
    <w:rsid w:val="00096999"/>
    <w:rsid w:val="00097F0D"/>
    <w:rsid w:val="000A2809"/>
    <w:rsid w:val="000A525B"/>
    <w:rsid w:val="000A62E2"/>
    <w:rsid w:val="000B1EEE"/>
    <w:rsid w:val="000C07F0"/>
    <w:rsid w:val="000C0946"/>
    <w:rsid w:val="000C0AA0"/>
    <w:rsid w:val="000C2679"/>
    <w:rsid w:val="000C37E9"/>
    <w:rsid w:val="000C3BFD"/>
    <w:rsid w:val="000C3DF6"/>
    <w:rsid w:val="000C469F"/>
    <w:rsid w:val="000C491C"/>
    <w:rsid w:val="000C56D4"/>
    <w:rsid w:val="000C6808"/>
    <w:rsid w:val="000C6F0E"/>
    <w:rsid w:val="000D007F"/>
    <w:rsid w:val="000D118D"/>
    <w:rsid w:val="000D28F0"/>
    <w:rsid w:val="000D3F88"/>
    <w:rsid w:val="000D4C45"/>
    <w:rsid w:val="000D50A8"/>
    <w:rsid w:val="000D59D3"/>
    <w:rsid w:val="000D7F5A"/>
    <w:rsid w:val="000E0D65"/>
    <w:rsid w:val="000E26A2"/>
    <w:rsid w:val="000E4C16"/>
    <w:rsid w:val="000E6466"/>
    <w:rsid w:val="000E6F41"/>
    <w:rsid w:val="000F035E"/>
    <w:rsid w:val="000F0AFF"/>
    <w:rsid w:val="000F0BA1"/>
    <w:rsid w:val="000F16CE"/>
    <w:rsid w:val="000F181E"/>
    <w:rsid w:val="000F42C4"/>
    <w:rsid w:val="000F4A9A"/>
    <w:rsid w:val="000F558D"/>
    <w:rsid w:val="000F77C3"/>
    <w:rsid w:val="000F7B4B"/>
    <w:rsid w:val="00101ADC"/>
    <w:rsid w:val="0010339F"/>
    <w:rsid w:val="001036E0"/>
    <w:rsid w:val="0010391E"/>
    <w:rsid w:val="00103CC0"/>
    <w:rsid w:val="00104975"/>
    <w:rsid w:val="001052AF"/>
    <w:rsid w:val="001053BA"/>
    <w:rsid w:val="001055E6"/>
    <w:rsid w:val="00105974"/>
    <w:rsid w:val="001063E3"/>
    <w:rsid w:val="0010786D"/>
    <w:rsid w:val="00110344"/>
    <w:rsid w:val="0011091A"/>
    <w:rsid w:val="001126F6"/>
    <w:rsid w:val="001127C6"/>
    <w:rsid w:val="00113882"/>
    <w:rsid w:val="001138B0"/>
    <w:rsid w:val="001158DF"/>
    <w:rsid w:val="00116CFB"/>
    <w:rsid w:val="00125DFA"/>
    <w:rsid w:val="0012647C"/>
    <w:rsid w:val="00126A7F"/>
    <w:rsid w:val="00127660"/>
    <w:rsid w:val="00130B18"/>
    <w:rsid w:val="00131042"/>
    <w:rsid w:val="0013146D"/>
    <w:rsid w:val="00132AD0"/>
    <w:rsid w:val="00134B0D"/>
    <w:rsid w:val="00135E41"/>
    <w:rsid w:val="00136F53"/>
    <w:rsid w:val="00136FA8"/>
    <w:rsid w:val="001376AC"/>
    <w:rsid w:val="001400DB"/>
    <w:rsid w:val="0014104C"/>
    <w:rsid w:val="00142A4E"/>
    <w:rsid w:val="00144263"/>
    <w:rsid w:val="0014464E"/>
    <w:rsid w:val="00144A1D"/>
    <w:rsid w:val="00144DCE"/>
    <w:rsid w:val="001466B5"/>
    <w:rsid w:val="00146F91"/>
    <w:rsid w:val="001509A7"/>
    <w:rsid w:val="00153199"/>
    <w:rsid w:val="001540D3"/>
    <w:rsid w:val="001545B6"/>
    <w:rsid w:val="00155138"/>
    <w:rsid w:val="00155DA3"/>
    <w:rsid w:val="00156950"/>
    <w:rsid w:val="00157649"/>
    <w:rsid w:val="00160DCC"/>
    <w:rsid w:val="001657F4"/>
    <w:rsid w:val="00165850"/>
    <w:rsid w:val="00166FCB"/>
    <w:rsid w:val="0017241F"/>
    <w:rsid w:val="001737B7"/>
    <w:rsid w:val="0017469D"/>
    <w:rsid w:val="001764F7"/>
    <w:rsid w:val="001768E2"/>
    <w:rsid w:val="001805B4"/>
    <w:rsid w:val="0018061D"/>
    <w:rsid w:val="001808FF"/>
    <w:rsid w:val="00180A82"/>
    <w:rsid w:val="001811FF"/>
    <w:rsid w:val="00182D03"/>
    <w:rsid w:val="00184C46"/>
    <w:rsid w:val="00186D96"/>
    <w:rsid w:val="00191C0B"/>
    <w:rsid w:val="001940FA"/>
    <w:rsid w:val="00194447"/>
    <w:rsid w:val="0019516A"/>
    <w:rsid w:val="00195479"/>
    <w:rsid w:val="001970B2"/>
    <w:rsid w:val="001979F8"/>
    <w:rsid w:val="001A1064"/>
    <w:rsid w:val="001A141E"/>
    <w:rsid w:val="001A1B3B"/>
    <w:rsid w:val="001A3D0C"/>
    <w:rsid w:val="001A56E8"/>
    <w:rsid w:val="001A75F6"/>
    <w:rsid w:val="001B01AC"/>
    <w:rsid w:val="001B0D26"/>
    <w:rsid w:val="001B1504"/>
    <w:rsid w:val="001B15BB"/>
    <w:rsid w:val="001B18C2"/>
    <w:rsid w:val="001B232C"/>
    <w:rsid w:val="001B28BC"/>
    <w:rsid w:val="001B424E"/>
    <w:rsid w:val="001B4CC9"/>
    <w:rsid w:val="001B5DF7"/>
    <w:rsid w:val="001B65A1"/>
    <w:rsid w:val="001C0535"/>
    <w:rsid w:val="001C05B2"/>
    <w:rsid w:val="001C07DD"/>
    <w:rsid w:val="001C0B67"/>
    <w:rsid w:val="001C12BE"/>
    <w:rsid w:val="001C17BE"/>
    <w:rsid w:val="001C2233"/>
    <w:rsid w:val="001C365D"/>
    <w:rsid w:val="001C39EC"/>
    <w:rsid w:val="001C4264"/>
    <w:rsid w:val="001C52C8"/>
    <w:rsid w:val="001C6C93"/>
    <w:rsid w:val="001C76BE"/>
    <w:rsid w:val="001C782A"/>
    <w:rsid w:val="001D00DF"/>
    <w:rsid w:val="001D013F"/>
    <w:rsid w:val="001D078A"/>
    <w:rsid w:val="001D4E3C"/>
    <w:rsid w:val="001D52CB"/>
    <w:rsid w:val="001D69DD"/>
    <w:rsid w:val="001D6C48"/>
    <w:rsid w:val="001D74DC"/>
    <w:rsid w:val="001E0E97"/>
    <w:rsid w:val="001E2338"/>
    <w:rsid w:val="001E4C51"/>
    <w:rsid w:val="001E558F"/>
    <w:rsid w:val="001E5961"/>
    <w:rsid w:val="001E717B"/>
    <w:rsid w:val="001E74A2"/>
    <w:rsid w:val="001E76FC"/>
    <w:rsid w:val="001E7906"/>
    <w:rsid w:val="001F0BC4"/>
    <w:rsid w:val="001F1D17"/>
    <w:rsid w:val="001F1F3D"/>
    <w:rsid w:val="001F4D66"/>
    <w:rsid w:val="001F59A5"/>
    <w:rsid w:val="00200F03"/>
    <w:rsid w:val="002013C3"/>
    <w:rsid w:val="00202634"/>
    <w:rsid w:val="00203A8F"/>
    <w:rsid w:val="00203D01"/>
    <w:rsid w:val="00204864"/>
    <w:rsid w:val="002052D8"/>
    <w:rsid w:val="00205EFC"/>
    <w:rsid w:val="002112CC"/>
    <w:rsid w:val="00211393"/>
    <w:rsid w:val="00211FAE"/>
    <w:rsid w:val="00211FF4"/>
    <w:rsid w:val="00212787"/>
    <w:rsid w:val="002138A9"/>
    <w:rsid w:val="00214451"/>
    <w:rsid w:val="0021639E"/>
    <w:rsid w:val="00217339"/>
    <w:rsid w:val="00221123"/>
    <w:rsid w:val="00223339"/>
    <w:rsid w:val="002236A6"/>
    <w:rsid w:val="00224DE6"/>
    <w:rsid w:val="00224E75"/>
    <w:rsid w:val="002259C0"/>
    <w:rsid w:val="00226823"/>
    <w:rsid w:val="002276DD"/>
    <w:rsid w:val="0023002B"/>
    <w:rsid w:val="002327D5"/>
    <w:rsid w:val="002327E9"/>
    <w:rsid w:val="00233285"/>
    <w:rsid w:val="00233CAC"/>
    <w:rsid w:val="00234CD4"/>
    <w:rsid w:val="0023548F"/>
    <w:rsid w:val="002358E8"/>
    <w:rsid w:val="00236FB9"/>
    <w:rsid w:val="002407AA"/>
    <w:rsid w:val="002411E0"/>
    <w:rsid w:val="00241C29"/>
    <w:rsid w:val="00242408"/>
    <w:rsid w:val="00242759"/>
    <w:rsid w:val="00242890"/>
    <w:rsid w:val="00242A97"/>
    <w:rsid w:val="00242B03"/>
    <w:rsid w:val="00243514"/>
    <w:rsid w:val="002469F7"/>
    <w:rsid w:val="00247F50"/>
    <w:rsid w:val="002532B5"/>
    <w:rsid w:val="002539A1"/>
    <w:rsid w:val="00253B72"/>
    <w:rsid w:val="002542CC"/>
    <w:rsid w:val="002559A2"/>
    <w:rsid w:val="002563ED"/>
    <w:rsid w:val="00256406"/>
    <w:rsid w:val="0026049D"/>
    <w:rsid w:val="00260E92"/>
    <w:rsid w:val="00263B55"/>
    <w:rsid w:val="002653BB"/>
    <w:rsid w:val="00266729"/>
    <w:rsid w:val="00266BC6"/>
    <w:rsid w:val="00266F4F"/>
    <w:rsid w:val="00267947"/>
    <w:rsid w:val="00267AB2"/>
    <w:rsid w:val="0027137C"/>
    <w:rsid w:val="00274585"/>
    <w:rsid w:val="002751DD"/>
    <w:rsid w:val="00276777"/>
    <w:rsid w:val="00276ED9"/>
    <w:rsid w:val="002805C7"/>
    <w:rsid w:val="00281365"/>
    <w:rsid w:val="0028188E"/>
    <w:rsid w:val="002831ED"/>
    <w:rsid w:val="002843D9"/>
    <w:rsid w:val="002903CB"/>
    <w:rsid w:val="00291252"/>
    <w:rsid w:val="002915A8"/>
    <w:rsid w:val="00291981"/>
    <w:rsid w:val="00291F64"/>
    <w:rsid w:val="00293159"/>
    <w:rsid w:val="0029435D"/>
    <w:rsid w:val="00296032"/>
    <w:rsid w:val="002A0707"/>
    <w:rsid w:val="002A17C4"/>
    <w:rsid w:val="002A2B5D"/>
    <w:rsid w:val="002A349B"/>
    <w:rsid w:val="002A3665"/>
    <w:rsid w:val="002A3BAB"/>
    <w:rsid w:val="002A4A76"/>
    <w:rsid w:val="002A5E72"/>
    <w:rsid w:val="002A5F58"/>
    <w:rsid w:val="002B03F3"/>
    <w:rsid w:val="002B10EE"/>
    <w:rsid w:val="002B1D9F"/>
    <w:rsid w:val="002B2798"/>
    <w:rsid w:val="002B4372"/>
    <w:rsid w:val="002B445D"/>
    <w:rsid w:val="002B5973"/>
    <w:rsid w:val="002C0F1F"/>
    <w:rsid w:val="002C1811"/>
    <w:rsid w:val="002C1999"/>
    <w:rsid w:val="002C3AB8"/>
    <w:rsid w:val="002C3B80"/>
    <w:rsid w:val="002C3DCC"/>
    <w:rsid w:val="002C41FF"/>
    <w:rsid w:val="002C43DB"/>
    <w:rsid w:val="002C5D72"/>
    <w:rsid w:val="002C78B6"/>
    <w:rsid w:val="002C7E27"/>
    <w:rsid w:val="002C7ECD"/>
    <w:rsid w:val="002D0F32"/>
    <w:rsid w:val="002D1B76"/>
    <w:rsid w:val="002D2A79"/>
    <w:rsid w:val="002D41B7"/>
    <w:rsid w:val="002D6E86"/>
    <w:rsid w:val="002D73EF"/>
    <w:rsid w:val="002D750B"/>
    <w:rsid w:val="002D7686"/>
    <w:rsid w:val="002D7796"/>
    <w:rsid w:val="002E4CC6"/>
    <w:rsid w:val="002E5A78"/>
    <w:rsid w:val="002E64CB"/>
    <w:rsid w:val="002E7DDB"/>
    <w:rsid w:val="002E7ECB"/>
    <w:rsid w:val="002F0044"/>
    <w:rsid w:val="002F0199"/>
    <w:rsid w:val="002F0388"/>
    <w:rsid w:val="002F1441"/>
    <w:rsid w:val="002F194E"/>
    <w:rsid w:val="002F352C"/>
    <w:rsid w:val="002F3776"/>
    <w:rsid w:val="002F3FAF"/>
    <w:rsid w:val="002F45DD"/>
    <w:rsid w:val="002F7D23"/>
    <w:rsid w:val="003002D3"/>
    <w:rsid w:val="003029D8"/>
    <w:rsid w:val="00302FF6"/>
    <w:rsid w:val="00303C59"/>
    <w:rsid w:val="00304E98"/>
    <w:rsid w:val="003058FB"/>
    <w:rsid w:val="00306501"/>
    <w:rsid w:val="003075E1"/>
    <w:rsid w:val="003079A2"/>
    <w:rsid w:val="00307A61"/>
    <w:rsid w:val="00311036"/>
    <w:rsid w:val="00311101"/>
    <w:rsid w:val="003111F0"/>
    <w:rsid w:val="00313641"/>
    <w:rsid w:val="00313967"/>
    <w:rsid w:val="00314E4E"/>
    <w:rsid w:val="00314E67"/>
    <w:rsid w:val="003154F6"/>
    <w:rsid w:val="003160F4"/>
    <w:rsid w:val="003179EF"/>
    <w:rsid w:val="00320034"/>
    <w:rsid w:val="00322BCE"/>
    <w:rsid w:val="00325A3E"/>
    <w:rsid w:val="0032640E"/>
    <w:rsid w:val="00326AA5"/>
    <w:rsid w:val="00326F48"/>
    <w:rsid w:val="0032747F"/>
    <w:rsid w:val="00327A6E"/>
    <w:rsid w:val="00327A80"/>
    <w:rsid w:val="00330A73"/>
    <w:rsid w:val="00331316"/>
    <w:rsid w:val="00331403"/>
    <w:rsid w:val="00332F52"/>
    <w:rsid w:val="00333F18"/>
    <w:rsid w:val="00335367"/>
    <w:rsid w:val="003353E8"/>
    <w:rsid w:val="00336DB2"/>
    <w:rsid w:val="00337799"/>
    <w:rsid w:val="003415D2"/>
    <w:rsid w:val="00342579"/>
    <w:rsid w:val="00342715"/>
    <w:rsid w:val="003445DE"/>
    <w:rsid w:val="003448C7"/>
    <w:rsid w:val="00345197"/>
    <w:rsid w:val="0034601A"/>
    <w:rsid w:val="0034657E"/>
    <w:rsid w:val="00346C63"/>
    <w:rsid w:val="00347908"/>
    <w:rsid w:val="00350470"/>
    <w:rsid w:val="00351081"/>
    <w:rsid w:val="00353680"/>
    <w:rsid w:val="003542D4"/>
    <w:rsid w:val="003543F0"/>
    <w:rsid w:val="00354E8B"/>
    <w:rsid w:val="003552B8"/>
    <w:rsid w:val="003555A1"/>
    <w:rsid w:val="0035626D"/>
    <w:rsid w:val="0035631F"/>
    <w:rsid w:val="003566C1"/>
    <w:rsid w:val="00357667"/>
    <w:rsid w:val="00360D02"/>
    <w:rsid w:val="00361CF3"/>
    <w:rsid w:val="003627DD"/>
    <w:rsid w:val="00362B7F"/>
    <w:rsid w:val="00362F91"/>
    <w:rsid w:val="00363EFA"/>
    <w:rsid w:val="00364BAB"/>
    <w:rsid w:val="00364D74"/>
    <w:rsid w:val="00364D95"/>
    <w:rsid w:val="00365049"/>
    <w:rsid w:val="0036522E"/>
    <w:rsid w:val="00367133"/>
    <w:rsid w:val="00367A90"/>
    <w:rsid w:val="00371671"/>
    <w:rsid w:val="0037202C"/>
    <w:rsid w:val="00372D96"/>
    <w:rsid w:val="0037316D"/>
    <w:rsid w:val="003759AE"/>
    <w:rsid w:val="00377A77"/>
    <w:rsid w:val="003803A1"/>
    <w:rsid w:val="00380A9A"/>
    <w:rsid w:val="0038274D"/>
    <w:rsid w:val="003833E4"/>
    <w:rsid w:val="00383700"/>
    <w:rsid w:val="00383AB0"/>
    <w:rsid w:val="0038496B"/>
    <w:rsid w:val="0038799C"/>
    <w:rsid w:val="00387CFB"/>
    <w:rsid w:val="003909E1"/>
    <w:rsid w:val="003911A9"/>
    <w:rsid w:val="0039178A"/>
    <w:rsid w:val="00391A85"/>
    <w:rsid w:val="00392559"/>
    <w:rsid w:val="003931A5"/>
    <w:rsid w:val="003939EE"/>
    <w:rsid w:val="00393A41"/>
    <w:rsid w:val="00394196"/>
    <w:rsid w:val="0039485C"/>
    <w:rsid w:val="00394D69"/>
    <w:rsid w:val="00395564"/>
    <w:rsid w:val="0039620F"/>
    <w:rsid w:val="00396F6E"/>
    <w:rsid w:val="003971E2"/>
    <w:rsid w:val="00397835"/>
    <w:rsid w:val="00397A66"/>
    <w:rsid w:val="00397C0A"/>
    <w:rsid w:val="003A2297"/>
    <w:rsid w:val="003A510A"/>
    <w:rsid w:val="003A63B9"/>
    <w:rsid w:val="003A667F"/>
    <w:rsid w:val="003A68E1"/>
    <w:rsid w:val="003A7683"/>
    <w:rsid w:val="003B0EF9"/>
    <w:rsid w:val="003B0F39"/>
    <w:rsid w:val="003B1165"/>
    <w:rsid w:val="003B20F1"/>
    <w:rsid w:val="003B283B"/>
    <w:rsid w:val="003B2AB5"/>
    <w:rsid w:val="003B2BA2"/>
    <w:rsid w:val="003B38AA"/>
    <w:rsid w:val="003B4824"/>
    <w:rsid w:val="003B48BF"/>
    <w:rsid w:val="003B5313"/>
    <w:rsid w:val="003B5456"/>
    <w:rsid w:val="003B5A54"/>
    <w:rsid w:val="003C1187"/>
    <w:rsid w:val="003C195A"/>
    <w:rsid w:val="003C287B"/>
    <w:rsid w:val="003C2DB1"/>
    <w:rsid w:val="003C4AF5"/>
    <w:rsid w:val="003C4EF8"/>
    <w:rsid w:val="003C5357"/>
    <w:rsid w:val="003C7E96"/>
    <w:rsid w:val="003D05FE"/>
    <w:rsid w:val="003D2235"/>
    <w:rsid w:val="003D2C5B"/>
    <w:rsid w:val="003D35EF"/>
    <w:rsid w:val="003D3668"/>
    <w:rsid w:val="003D3B49"/>
    <w:rsid w:val="003D3D9E"/>
    <w:rsid w:val="003D5DE9"/>
    <w:rsid w:val="003D5F81"/>
    <w:rsid w:val="003D7FAF"/>
    <w:rsid w:val="003E0B8C"/>
    <w:rsid w:val="003E24BB"/>
    <w:rsid w:val="003E387D"/>
    <w:rsid w:val="003E44F6"/>
    <w:rsid w:val="003E5833"/>
    <w:rsid w:val="003E6010"/>
    <w:rsid w:val="003E693F"/>
    <w:rsid w:val="003E75FE"/>
    <w:rsid w:val="003F0686"/>
    <w:rsid w:val="003F1D4E"/>
    <w:rsid w:val="003F21F6"/>
    <w:rsid w:val="003F2CD5"/>
    <w:rsid w:val="003F2F97"/>
    <w:rsid w:val="003F4B1F"/>
    <w:rsid w:val="003F4FF6"/>
    <w:rsid w:val="003F59AD"/>
    <w:rsid w:val="003F65E2"/>
    <w:rsid w:val="00400FC6"/>
    <w:rsid w:val="00402CA2"/>
    <w:rsid w:val="00405D8C"/>
    <w:rsid w:val="004079A9"/>
    <w:rsid w:val="00407AA7"/>
    <w:rsid w:val="004107E8"/>
    <w:rsid w:val="00411755"/>
    <w:rsid w:val="0041385B"/>
    <w:rsid w:val="00413CA9"/>
    <w:rsid w:val="00413EED"/>
    <w:rsid w:val="00413F33"/>
    <w:rsid w:val="00414A4C"/>
    <w:rsid w:val="00415AAD"/>
    <w:rsid w:val="0041728F"/>
    <w:rsid w:val="00421682"/>
    <w:rsid w:val="004221CC"/>
    <w:rsid w:val="004235E7"/>
    <w:rsid w:val="004242B7"/>
    <w:rsid w:val="00425526"/>
    <w:rsid w:val="004258F9"/>
    <w:rsid w:val="00426306"/>
    <w:rsid w:val="00427C97"/>
    <w:rsid w:val="0043072E"/>
    <w:rsid w:val="00430FC6"/>
    <w:rsid w:val="004331FF"/>
    <w:rsid w:val="00434AB9"/>
    <w:rsid w:val="00434C77"/>
    <w:rsid w:val="00440808"/>
    <w:rsid w:val="00442974"/>
    <w:rsid w:val="00443153"/>
    <w:rsid w:val="00443D1F"/>
    <w:rsid w:val="0044401F"/>
    <w:rsid w:val="00444C4C"/>
    <w:rsid w:val="00444D44"/>
    <w:rsid w:val="004452E3"/>
    <w:rsid w:val="004460B4"/>
    <w:rsid w:val="00446146"/>
    <w:rsid w:val="00450993"/>
    <w:rsid w:val="004513D7"/>
    <w:rsid w:val="004520DF"/>
    <w:rsid w:val="0045436B"/>
    <w:rsid w:val="00456257"/>
    <w:rsid w:val="00460A6B"/>
    <w:rsid w:val="00460CCB"/>
    <w:rsid w:val="00460D3F"/>
    <w:rsid w:val="00461E3E"/>
    <w:rsid w:val="004639B7"/>
    <w:rsid w:val="004641D6"/>
    <w:rsid w:val="004647DD"/>
    <w:rsid w:val="00464A26"/>
    <w:rsid w:val="00464B19"/>
    <w:rsid w:val="00464C86"/>
    <w:rsid w:val="00464F78"/>
    <w:rsid w:val="00465B54"/>
    <w:rsid w:val="00466AC6"/>
    <w:rsid w:val="00466E21"/>
    <w:rsid w:val="0047016B"/>
    <w:rsid w:val="00470409"/>
    <w:rsid w:val="0047306F"/>
    <w:rsid w:val="0047355F"/>
    <w:rsid w:val="0047417A"/>
    <w:rsid w:val="0047419F"/>
    <w:rsid w:val="00474E4A"/>
    <w:rsid w:val="004764CC"/>
    <w:rsid w:val="00477B4B"/>
    <w:rsid w:val="00477C1C"/>
    <w:rsid w:val="0048090F"/>
    <w:rsid w:val="00480C50"/>
    <w:rsid w:val="00482227"/>
    <w:rsid w:val="00486144"/>
    <w:rsid w:val="00486C20"/>
    <w:rsid w:val="00486F07"/>
    <w:rsid w:val="00491D54"/>
    <w:rsid w:val="004929C8"/>
    <w:rsid w:val="00492EDB"/>
    <w:rsid w:val="00494604"/>
    <w:rsid w:val="00496EBA"/>
    <w:rsid w:val="004A3025"/>
    <w:rsid w:val="004A58D1"/>
    <w:rsid w:val="004A6EE3"/>
    <w:rsid w:val="004A7356"/>
    <w:rsid w:val="004A737C"/>
    <w:rsid w:val="004A7AEE"/>
    <w:rsid w:val="004A7C3A"/>
    <w:rsid w:val="004A7E85"/>
    <w:rsid w:val="004B03FA"/>
    <w:rsid w:val="004B0633"/>
    <w:rsid w:val="004B14C0"/>
    <w:rsid w:val="004B41EE"/>
    <w:rsid w:val="004B6415"/>
    <w:rsid w:val="004B6441"/>
    <w:rsid w:val="004B7790"/>
    <w:rsid w:val="004C05A5"/>
    <w:rsid w:val="004C0FE5"/>
    <w:rsid w:val="004C2DBC"/>
    <w:rsid w:val="004C340A"/>
    <w:rsid w:val="004C4138"/>
    <w:rsid w:val="004C4D7B"/>
    <w:rsid w:val="004C56A4"/>
    <w:rsid w:val="004C6E55"/>
    <w:rsid w:val="004C745C"/>
    <w:rsid w:val="004C7B95"/>
    <w:rsid w:val="004D1F3E"/>
    <w:rsid w:val="004D5272"/>
    <w:rsid w:val="004D6D5B"/>
    <w:rsid w:val="004E0268"/>
    <w:rsid w:val="004E0985"/>
    <w:rsid w:val="004E1536"/>
    <w:rsid w:val="004E16EC"/>
    <w:rsid w:val="004E21A8"/>
    <w:rsid w:val="004E2B3E"/>
    <w:rsid w:val="004E3528"/>
    <w:rsid w:val="004E3A5B"/>
    <w:rsid w:val="004E46A8"/>
    <w:rsid w:val="004E4A42"/>
    <w:rsid w:val="004E7950"/>
    <w:rsid w:val="004F0B26"/>
    <w:rsid w:val="004F1B3E"/>
    <w:rsid w:val="004F2819"/>
    <w:rsid w:val="004F3783"/>
    <w:rsid w:val="004F3AB4"/>
    <w:rsid w:val="004F3CB8"/>
    <w:rsid w:val="004F4E76"/>
    <w:rsid w:val="004F7074"/>
    <w:rsid w:val="004F70F9"/>
    <w:rsid w:val="004F7A13"/>
    <w:rsid w:val="004F7DD4"/>
    <w:rsid w:val="005003CF"/>
    <w:rsid w:val="005021B6"/>
    <w:rsid w:val="005024F6"/>
    <w:rsid w:val="005029EB"/>
    <w:rsid w:val="00503FE7"/>
    <w:rsid w:val="00504096"/>
    <w:rsid w:val="00504A01"/>
    <w:rsid w:val="00505516"/>
    <w:rsid w:val="00505DD7"/>
    <w:rsid w:val="00506054"/>
    <w:rsid w:val="005072AD"/>
    <w:rsid w:val="00507398"/>
    <w:rsid w:val="005073C6"/>
    <w:rsid w:val="00507B8C"/>
    <w:rsid w:val="00511B8D"/>
    <w:rsid w:val="00511C40"/>
    <w:rsid w:val="0051243D"/>
    <w:rsid w:val="00512710"/>
    <w:rsid w:val="00514A9A"/>
    <w:rsid w:val="00515BC0"/>
    <w:rsid w:val="00516F22"/>
    <w:rsid w:val="00517B2C"/>
    <w:rsid w:val="005207E3"/>
    <w:rsid w:val="00522152"/>
    <w:rsid w:val="00523686"/>
    <w:rsid w:val="00523996"/>
    <w:rsid w:val="00525911"/>
    <w:rsid w:val="00531900"/>
    <w:rsid w:val="005329D4"/>
    <w:rsid w:val="00534CC2"/>
    <w:rsid w:val="00535FFB"/>
    <w:rsid w:val="0054017E"/>
    <w:rsid w:val="0054017F"/>
    <w:rsid w:val="0054168C"/>
    <w:rsid w:val="005434EE"/>
    <w:rsid w:val="00543793"/>
    <w:rsid w:val="00543DD5"/>
    <w:rsid w:val="0054508A"/>
    <w:rsid w:val="00546C60"/>
    <w:rsid w:val="005508F5"/>
    <w:rsid w:val="0055113A"/>
    <w:rsid w:val="005515D5"/>
    <w:rsid w:val="00551720"/>
    <w:rsid w:val="005533A1"/>
    <w:rsid w:val="00553E31"/>
    <w:rsid w:val="00554364"/>
    <w:rsid w:val="00554B37"/>
    <w:rsid w:val="00556040"/>
    <w:rsid w:val="005563AF"/>
    <w:rsid w:val="00556D76"/>
    <w:rsid w:val="00557587"/>
    <w:rsid w:val="00557A1C"/>
    <w:rsid w:val="00560546"/>
    <w:rsid w:val="00560AD6"/>
    <w:rsid w:val="00561C94"/>
    <w:rsid w:val="00561E5A"/>
    <w:rsid w:val="005632D7"/>
    <w:rsid w:val="0056359E"/>
    <w:rsid w:val="00565200"/>
    <w:rsid w:val="00566858"/>
    <w:rsid w:val="005676DC"/>
    <w:rsid w:val="00567739"/>
    <w:rsid w:val="00567A1B"/>
    <w:rsid w:val="0057117C"/>
    <w:rsid w:val="0057239E"/>
    <w:rsid w:val="005724ED"/>
    <w:rsid w:val="00574C82"/>
    <w:rsid w:val="00575896"/>
    <w:rsid w:val="00575EED"/>
    <w:rsid w:val="0057764D"/>
    <w:rsid w:val="00577829"/>
    <w:rsid w:val="005779A4"/>
    <w:rsid w:val="005805C8"/>
    <w:rsid w:val="0058068C"/>
    <w:rsid w:val="00581104"/>
    <w:rsid w:val="005828CD"/>
    <w:rsid w:val="00584D4C"/>
    <w:rsid w:val="00585A11"/>
    <w:rsid w:val="00586F36"/>
    <w:rsid w:val="005876F8"/>
    <w:rsid w:val="00590A97"/>
    <w:rsid w:val="005918AB"/>
    <w:rsid w:val="00592C99"/>
    <w:rsid w:val="00593D2E"/>
    <w:rsid w:val="00595399"/>
    <w:rsid w:val="0059550E"/>
    <w:rsid w:val="00595E30"/>
    <w:rsid w:val="005966FE"/>
    <w:rsid w:val="00596BE7"/>
    <w:rsid w:val="00596CDE"/>
    <w:rsid w:val="00597449"/>
    <w:rsid w:val="005A07EF"/>
    <w:rsid w:val="005A196D"/>
    <w:rsid w:val="005A22B5"/>
    <w:rsid w:val="005A2AD2"/>
    <w:rsid w:val="005A68CF"/>
    <w:rsid w:val="005A71E9"/>
    <w:rsid w:val="005B04CB"/>
    <w:rsid w:val="005B0683"/>
    <w:rsid w:val="005B0D29"/>
    <w:rsid w:val="005B1315"/>
    <w:rsid w:val="005B41D2"/>
    <w:rsid w:val="005B4236"/>
    <w:rsid w:val="005B46EE"/>
    <w:rsid w:val="005B4883"/>
    <w:rsid w:val="005B5047"/>
    <w:rsid w:val="005B50A3"/>
    <w:rsid w:val="005B5D2D"/>
    <w:rsid w:val="005B6FAD"/>
    <w:rsid w:val="005B70E6"/>
    <w:rsid w:val="005B7EAD"/>
    <w:rsid w:val="005C0D2A"/>
    <w:rsid w:val="005C119A"/>
    <w:rsid w:val="005C1435"/>
    <w:rsid w:val="005C1519"/>
    <w:rsid w:val="005C2810"/>
    <w:rsid w:val="005C2BCF"/>
    <w:rsid w:val="005C4EEA"/>
    <w:rsid w:val="005C5CD7"/>
    <w:rsid w:val="005C6AF2"/>
    <w:rsid w:val="005C6C52"/>
    <w:rsid w:val="005C6CC7"/>
    <w:rsid w:val="005C6FD3"/>
    <w:rsid w:val="005C7155"/>
    <w:rsid w:val="005D060D"/>
    <w:rsid w:val="005D2896"/>
    <w:rsid w:val="005D40E1"/>
    <w:rsid w:val="005D460E"/>
    <w:rsid w:val="005D4846"/>
    <w:rsid w:val="005D6008"/>
    <w:rsid w:val="005D6252"/>
    <w:rsid w:val="005D652A"/>
    <w:rsid w:val="005D6D67"/>
    <w:rsid w:val="005E26CF"/>
    <w:rsid w:val="005E27A6"/>
    <w:rsid w:val="005E32A3"/>
    <w:rsid w:val="005E3865"/>
    <w:rsid w:val="005E531B"/>
    <w:rsid w:val="005E74AE"/>
    <w:rsid w:val="005E7516"/>
    <w:rsid w:val="005E75FA"/>
    <w:rsid w:val="005F3AFA"/>
    <w:rsid w:val="005F3E11"/>
    <w:rsid w:val="005F54A5"/>
    <w:rsid w:val="005F5722"/>
    <w:rsid w:val="005F5D74"/>
    <w:rsid w:val="005F693F"/>
    <w:rsid w:val="005F7907"/>
    <w:rsid w:val="005F7FD3"/>
    <w:rsid w:val="00600B60"/>
    <w:rsid w:val="00601997"/>
    <w:rsid w:val="006028AC"/>
    <w:rsid w:val="006043AA"/>
    <w:rsid w:val="00606054"/>
    <w:rsid w:val="00610CDE"/>
    <w:rsid w:val="006139AA"/>
    <w:rsid w:val="006140BB"/>
    <w:rsid w:val="0061565F"/>
    <w:rsid w:val="006168EB"/>
    <w:rsid w:val="00616E48"/>
    <w:rsid w:val="0062066D"/>
    <w:rsid w:val="006210CA"/>
    <w:rsid w:val="00622A2D"/>
    <w:rsid w:val="00623026"/>
    <w:rsid w:val="0062302E"/>
    <w:rsid w:val="00623940"/>
    <w:rsid w:val="00626B1D"/>
    <w:rsid w:val="0062707A"/>
    <w:rsid w:val="00627E4F"/>
    <w:rsid w:val="00630A40"/>
    <w:rsid w:val="00630BE1"/>
    <w:rsid w:val="00630FCB"/>
    <w:rsid w:val="00632738"/>
    <w:rsid w:val="00633E90"/>
    <w:rsid w:val="00633FD2"/>
    <w:rsid w:val="0063400F"/>
    <w:rsid w:val="00637052"/>
    <w:rsid w:val="00637DD7"/>
    <w:rsid w:val="006403B3"/>
    <w:rsid w:val="0064336B"/>
    <w:rsid w:val="00643E56"/>
    <w:rsid w:val="0064421A"/>
    <w:rsid w:val="006452AC"/>
    <w:rsid w:val="00646338"/>
    <w:rsid w:val="00646EEC"/>
    <w:rsid w:val="00647030"/>
    <w:rsid w:val="00647038"/>
    <w:rsid w:val="006472A6"/>
    <w:rsid w:val="006501DC"/>
    <w:rsid w:val="00653919"/>
    <w:rsid w:val="0065504C"/>
    <w:rsid w:val="006552FD"/>
    <w:rsid w:val="0065609C"/>
    <w:rsid w:val="006579F9"/>
    <w:rsid w:val="00657F8D"/>
    <w:rsid w:val="006600DC"/>
    <w:rsid w:val="00661E13"/>
    <w:rsid w:val="00662B40"/>
    <w:rsid w:val="00664675"/>
    <w:rsid w:val="00664CC5"/>
    <w:rsid w:val="00664E83"/>
    <w:rsid w:val="00666847"/>
    <w:rsid w:val="006703C8"/>
    <w:rsid w:val="006705FA"/>
    <w:rsid w:val="00671031"/>
    <w:rsid w:val="00673A39"/>
    <w:rsid w:val="006763EC"/>
    <w:rsid w:val="0067717C"/>
    <w:rsid w:val="00680159"/>
    <w:rsid w:val="006808D7"/>
    <w:rsid w:val="0068174F"/>
    <w:rsid w:val="00681787"/>
    <w:rsid w:val="006819C8"/>
    <w:rsid w:val="00683BD1"/>
    <w:rsid w:val="00683FED"/>
    <w:rsid w:val="00690AFD"/>
    <w:rsid w:val="00691478"/>
    <w:rsid w:val="0069185E"/>
    <w:rsid w:val="006927FA"/>
    <w:rsid w:val="00692AC9"/>
    <w:rsid w:val="00693082"/>
    <w:rsid w:val="0069600A"/>
    <w:rsid w:val="00696261"/>
    <w:rsid w:val="00697507"/>
    <w:rsid w:val="0069782A"/>
    <w:rsid w:val="006A08D5"/>
    <w:rsid w:val="006A091D"/>
    <w:rsid w:val="006A0EA7"/>
    <w:rsid w:val="006A2764"/>
    <w:rsid w:val="006A2E31"/>
    <w:rsid w:val="006A31EB"/>
    <w:rsid w:val="006A416D"/>
    <w:rsid w:val="006A41F5"/>
    <w:rsid w:val="006A4EAA"/>
    <w:rsid w:val="006A5918"/>
    <w:rsid w:val="006A5BE8"/>
    <w:rsid w:val="006A6090"/>
    <w:rsid w:val="006A645E"/>
    <w:rsid w:val="006A7210"/>
    <w:rsid w:val="006B02D0"/>
    <w:rsid w:val="006B15C0"/>
    <w:rsid w:val="006B1950"/>
    <w:rsid w:val="006B1EE7"/>
    <w:rsid w:val="006B4FD1"/>
    <w:rsid w:val="006B5013"/>
    <w:rsid w:val="006B6362"/>
    <w:rsid w:val="006B65B3"/>
    <w:rsid w:val="006B6C5D"/>
    <w:rsid w:val="006B7240"/>
    <w:rsid w:val="006B7B1B"/>
    <w:rsid w:val="006C0C38"/>
    <w:rsid w:val="006C15CE"/>
    <w:rsid w:val="006C1861"/>
    <w:rsid w:val="006C1D03"/>
    <w:rsid w:val="006C29F2"/>
    <w:rsid w:val="006C4809"/>
    <w:rsid w:val="006D03D8"/>
    <w:rsid w:val="006D1BB9"/>
    <w:rsid w:val="006D2114"/>
    <w:rsid w:val="006D2A80"/>
    <w:rsid w:val="006D2D8D"/>
    <w:rsid w:val="006D30A4"/>
    <w:rsid w:val="006D311D"/>
    <w:rsid w:val="006D3206"/>
    <w:rsid w:val="006D4380"/>
    <w:rsid w:val="006D4815"/>
    <w:rsid w:val="006D698D"/>
    <w:rsid w:val="006D7318"/>
    <w:rsid w:val="006D78FF"/>
    <w:rsid w:val="006D7E2A"/>
    <w:rsid w:val="006E058E"/>
    <w:rsid w:val="006E07C3"/>
    <w:rsid w:val="006E28A4"/>
    <w:rsid w:val="006E3C3D"/>
    <w:rsid w:val="006E4A32"/>
    <w:rsid w:val="006E4C0E"/>
    <w:rsid w:val="006E6132"/>
    <w:rsid w:val="006E77C1"/>
    <w:rsid w:val="006F088B"/>
    <w:rsid w:val="006F0D9E"/>
    <w:rsid w:val="006F170C"/>
    <w:rsid w:val="006F19C1"/>
    <w:rsid w:val="006F289E"/>
    <w:rsid w:val="006F2CA5"/>
    <w:rsid w:val="006F396D"/>
    <w:rsid w:val="006F457A"/>
    <w:rsid w:val="006F5B7B"/>
    <w:rsid w:val="006F6558"/>
    <w:rsid w:val="0070007A"/>
    <w:rsid w:val="007008B5"/>
    <w:rsid w:val="00701383"/>
    <w:rsid w:val="00701551"/>
    <w:rsid w:val="00701FE4"/>
    <w:rsid w:val="00704BB2"/>
    <w:rsid w:val="00705186"/>
    <w:rsid w:val="007056EF"/>
    <w:rsid w:val="007074EA"/>
    <w:rsid w:val="007078F0"/>
    <w:rsid w:val="0071116B"/>
    <w:rsid w:val="007112FB"/>
    <w:rsid w:val="00712A98"/>
    <w:rsid w:val="00712E5C"/>
    <w:rsid w:val="00713F3A"/>
    <w:rsid w:val="007149F9"/>
    <w:rsid w:val="0071714D"/>
    <w:rsid w:val="007200A7"/>
    <w:rsid w:val="00720A63"/>
    <w:rsid w:val="00721659"/>
    <w:rsid w:val="00722923"/>
    <w:rsid w:val="00722C24"/>
    <w:rsid w:val="0072400C"/>
    <w:rsid w:val="0072636A"/>
    <w:rsid w:val="007272E6"/>
    <w:rsid w:val="007274A7"/>
    <w:rsid w:val="00727FFB"/>
    <w:rsid w:val="00730B8E"/>
    <w:rsid w:val="00732A09"/>
    <w:rsid w:val="00736415"/>
    <w:rsid w:val="0073735F"/>
    <w:rsid w:val="007402B1"/>
    <w:rsid w:val="00740EA8"/>
    <w:rsid w:val="00741C6B"/>
    <w:rsid w:val="00742468"/>
    <w:rsid w:val="007424AC"/>
    <w:rsid w:val="00742995"/>
    <w:rsid w:val="0074514B"/>
    <w:rsid w:val="007456DC"/>
    <w:rsid w:val="007460DB"/>
    <w:rsid w:val="00746A70"/>
    <w:rsid w:val="00746BC1"/>
    <w:rsid w:val="0074791C"/>
    <w:rsid w:val="0075085B"/>
    <w:rsid w:val="00750AF6"/>
    <w:rsid w:val="0075179F"/>
    <w:rsid w:val="00752038"/>
    <w:rsid w:val="00752D36"/>
    <w:rsid w:val="00754261"/>
    <w:rsid w:val="00754C10"/>
    <w:rsid w:val="007551F4"/>
    <w:rsid w:val="00755CB2"/>
    <w:rsid w:val="007562AD"/>
    <w:rsid w:val="00757CF0"/>
    <w:rsid w:val="007605C0"/>
    <w:rsid w:val="00760E25"/>
    <w:rsid w:val="00761AEB"/>
    <w:rsid w:val="00761E29"/>
    <w:rsid w:val="00761F77"/>
    <w:rsid w:val="00763B53"/>
    <w:rsid w:val="007647C3"/>
    <w:rsid w:val="00765C42"/>
    <w:rsid w:val="00765F1B"/>
    <w:rsid w:val="00766201"/>
    <w:rsid w:val="00766CB7"/>
    <w:rsid w:val="0076772E"/>
    <w:rsid w:val="007700AF"/>
    <w:rsid w:val="00770D5C"/>
    <w:rsid w:val="00771B7B"/>
    <w:rsid w:val="007720EE"/>
    <w:rsid w:val="00772D4D"/>
    <w:rsid w:val="007738AC"/>
    <w:rsid w:val="00773CCB"/>
    <w:rsid w:val="00774A10"/>
    <w:rsid w:val="00774ED8"/>
    <w:rsid w:val="00776936"/>
    <w:rsid w:val="00780E20"/>
    <w:rsid w:val="0078178B"/>
    <w:rsid w:val="0078187B"/>
    <w:rsid w:val="007818AB"/>
    <w:rsid w:val="00781CA3"/>
    <w:rsid w:val="00782FDA"/>
    <w:rsid w:val="00785302"/>
    <w:rsid w:val="00785399"/>
    <w:rsid w:val="00785B79"/>
    <w:rsid w:val="007868C2"/>
    <w:rsid w:val="00791C99"/>
    <w:rsid w:val="00792440"/>
    <w:rsid w:val="00793BB1"/>
    <w:rsid w:val="00793BC6"/>
    <w:rsid w:val="00793CC7"/>
    <w:rsid w:val="0079472F"/>
    <w:rsid w:val="00794782"/>
    <w:rsid w:val="007949E3"/>
    <w:rsid w:val="00794E1C"/>
    <w:rsid w:val="00795A2F"/>
    <w:rsid w:val="00795DA3"/>
    <w:rsid w:val="00796D74"/>
    <w:rsid w:val="00797036"/>
    <w:rsid w:val="00797F04"/>
    <w:rsid w:val="007A3904"/>
    <w:rsid w:val="007A57F4"/>
    <w:rsid w:val="007B31B6"/>
    <w:rsid w:val="007B3529"/>
    <w:rsid w:val="007B5211"/>
    <w:rsid w:val="007C07C5"/>
    <w:rsid w:val="007C2D6B"/>
    <w:rsid w:val="007C3321"/>
    <w:rsid w:val="007C3593"/>
    <w:rsid w:val="007C4447"/>
    <w:rsid w:val="007C500B"/>
    <w:rsid w:val="007C7CFD"/>
    <w:rsid w:val="007D03DC"/>
    <w:rsid w:val="007D0DD1"/>
    <w:rsid w:val="007D114B"/>
    <w:rsid w:val="007D135C"/>
    <w:rsid w:val="007D2AA2"/>
    <w:rsid w:val="007D31F4"/>
    <w:rsid w:val="007D3680"/>
    <w:rsid w:val="007D4275"/>
    <w:rsid w:val="007D4B5F"/>
    <w:rsid w:val="007D53A2"/>
    <w:rsid w:val="007D5905"/>
    <w:rsid w:val="007D64BB"/>
    <w:rsid w:val="007D7201"/>
    <w:rsid w:val="007E0666"/>
    <w:rsid w:val="007E06C0"/>
    <w:rsid w:val="007E0816"/>
    <w:rsid w:val="007E0BBB"/>
    <w:rsid w:val="007E134F"/>
    <w:rsid w:val="007E170F"/>
    <w:rsid w:val="007E2573"/>
    <w:rsid w:val="007E3E7F"/>
    <w:rsid w:val="007E6BCE"/>
    <w:rsid w:val="007E6DF2"/>
    <w:rsid w:val="007F00D3"/>
    <w:rsid w:val="007F0D28"/>
    <w:rsid w:val="007F0D84"/>
    <w:rsid w:val="007F15F7"/>
    <w:rsid w:val="007F16A2"/>
    <w:rsid w:val="007F2174"/>
    <w:rsid w:val="007F2384"/>
    <w:rsid w:val="007F2A89"/>
    <w:rsid w:val="007F2E18"/>
    <w:rsid w:val="007F4B64"/>
    <w:rsid w:val="007F556F"/>
    <w:rsid w:val="007F76AD"/>
    <w:rsid w:val="007F7E76"/>
    <w:rsid w:val="00800AE3"/>
    <w:rsid w:val="00800F7A"/>
    <w:rsid w:val="00801B7A"/>
    <w:rsid w:val="00802367"/>
    <w:rsid w:val="0080274C"/>
    <w:rsid w:val="00802AF7"/>
    <w:rsid w:val="008031D6"/>
    <w:rsid w:val="008038C5"/>
    <w:rsid w:val="008056A7"/>
    <w:rsid w:val="00805F7C"/>
    <w:rsid w:val="00806324"/>
    <w:rsid w:val="008063E7"/>
    <w:rsid w:val="00806DD0"/>
    <w:rsid w:val="00810910"/>
    <w:rsid w:val="0081158D"/>
    <w:rsid w:val="00811B34"/>
    <w:rsid w:val="00811B49"/>
    <w:rsid w:val="00811CDA"/>
    <w:rsid w:val="00811D61"/>
    <w:rsid w:val="00812852"/>
    <w:rsid w:val="00814D3F"/>
    <w:rsid w:val="008157C9"/>
    <w:rsid w:val="008212B0"/>
    <w:rsid w:val="00821A37"/>
    <w:rsid w:val="00821C94"/>
    <w:rsid w:val="00822E71"/>
    <w:rsid w:val="00822F86"/>
    <w:rsid w:val="00824BEE"/>
    <w:rsid w:val="00826076"/>
    <w:rsid w:val="00826273"/>
    <w:rsid w:val="00826FD1"/>
    <w:rsid w:val="008275E5"/>
    <w:rsid w:val="00827D46"/>
    <w:rsid w:val="0083066E"/>
    <w:rsid w:val="00830E2A"/>
    <w:rsid w:val="008314D7"/>
    <w:rsid w:val="00831C5E"/>
    <w:rsid w:val="00832685"/>
    <w:rsid w:val="008331AD"/>
    <w:rsid w:val="008350EE"/>
    <w:rsid w:val="0083618B"/>
    <w:rsid w:val="008367AC"/>
    <w:rsid w:val="0083737A"/>
    <w:rsid w:val="008405A0"/>
    <w:rsid w:val="008429E8"/>
    <w:rsid w:val="00843DF6"/>
    <w:rsid w:val="00844074"/>
    <w:rsid w:val="00845BBE"/>
    <w:rsid w:val="008470E1"/>
    <w:rsid w:val="00847AAF"/>
    <w:rsid w:val="00850E12"/>
    <w:rsid w:val="00851487"/>
    <w:rsid w:val="008524D0"/>
    <w:rsid w:val="00852878"/>
    <w:rsid w:val="00853046"/>
    <w:rsid w:val="008535EF"/>
    <w:rsid w:val="008549CE"/>
    <w:rsid w:val="0085624B"/>
    <w:rsid w:val="0085647C"/>
    <w:rsid w:val="00860B63"/>
    <w:rsid w:val="008615C4"/>
    <w:rsid w:val="008620C5"/>
    <w:rsid w:val="008634DC"/>
    <w:rsid w:val="00863940"/>
    <w:rsid w:val="00864DC6"/>
    <w:rsid w:val="008655DD"/>
    <w:rsid w:val="00867B02"/>
    <w:rsid w:val="00870187"/>
    <w:rsid w:val="008731B6"/>
    <w:rsid w:val="008731E1"/>
    <w:rsid w:val="008736DF"/>
    <w:rsid w:val="008741DB"/>
    <w:rsid w:val="00874B7D"/>
    <w:rsid w:val="00875E52"/>
    <w:rsid w:val="00875F60"/>
    <w:rsid w:val="00876D7B"/>
    <w:rsid w:val="00880B4D"/>
    <w:rsid w:val="0088128E"/>
    <w:rsid w:val="008813F4"/>
    <w:rsid w:val="00881E5F"/>
    <w:rsid w:val="008829A4"/>
    <w:rsid w:val="008836DC"/>
    <w:rsid w:val="00883FCB"/>
    <w:rsid w:val="0088450B"/>
    <w:rsid w:val="008860BD"/>
    <w:rsid w:val="00886F6C"/>
    <w:rsid w:val="008874F5"/>
    <w:rsid w:val="00887B21"/>
    <w:rsid w:val="00891B74"/>
    <w:rsid w:val="00892DE9"/>
    <w:rsid w:val="00893E28"/>
    <w:rsid w:val="00894DA5"/>
    <w:rsid w:val="0089503E"/>
    <w:rsid w:val="00895093"/>
    <w:rsid w:val="008959B9"/>
    <w:rsid w:val="00896BB6"/>
    <w:rsid w:val="008A0BF5"/>
    <w:rsid w:val="008A2046"/>
    <w:rsid w:val="008A2455"/>
    <w:rsid w:val="008A2A2F"/>
    <w:rsid w:val="008A3652"/>
    <w:rsid w:val="008A6D95"/>
    <w:rsid w:val="008A6EC0"/>
    <w:rsid w:val="008B0BDE"/>
    <w:rsid w:val="008B1171"/>
    <w:rsid w:val="008B4532"/>
    <w:rsid w:val="008B48E2"/>
    <w:rsid w:val="008B4929"/>
    <w:rsid w:val="008B5152"/>
    <w:rsid w:val="008B5EA0"/>
    <w:rsid w:val="008B6EE1"/>
    <w:rsid w:val="008B7356"/>
    <w:rsid w:val="008B7E27"/>
    <w:rsid w:val="008C0548"/>
    <w:rsid w:val="008C0AEC"/>
    <w:rsid w:val="008C0CA5"/>
    <w:rsid w:val="008C0CB4"/>
    <w:rsid w:val="008C11BE"/>
    <w:rsid w:val="008C12A2"/>
    <w:rsid w:val="008C18C1"/>
    <w:rsid w:val="008C1CF5"/>
    <w:rsid w:val="008C2734"/>
    <w:rsid w:val="008C3CE8"/>
    <w:rsid w:val="008C3DC9"/>
    <w:rsid w:val="008C4B38"/>
    <w:rsid w:val="008C6470"/>
    <w:rsid w:val="008C670E"/>
    <w:rsid w:val="008C7465"/>
    <w:rsid w:val="008D00A6"/>
    <w:rsid w:val="008D10DE"/>
    <w:rsid w:val="008D3DE9"/>
    <w:rsid w:val="008D4DC3"/>
    <w:rsid w:val="008D54FE"/>
    <w:rsid w:val="008D5533"/>
    <w:rsid w:val="008D639A"/>
    <w:rsid w:val="008D6B9D"/>
    <w:rsid w:val="008D7826"/>
    <w:rsid w:val="008E0AC9"/>
    <w:rsid w:val="008E1227"/>
    <w:rsid w:val="008E212A"/>
    <w:rsid w:val="008E23C2"/>
    <w:rsid w:val="008E2A16"/>
    <w:rsid w:val="008E3205"/>
    <w:rsid w:val="008E328D"/>
    <w:rsid w:val="008E383F"/>
    <w:rsid w:val="008E45E1"/>
    <w:rsid w:val="008E4FE2"/>
    <w:rsid w:val="008E5190"/>
    <w:rsid w:val="008E5F8B"/>
    <w:rsid w:val="008E79DB"/>
    <w:rsid w:val="008F1975"/>
    <w:rsid w:val="008F199D"/>
    <w:rsid w:val="008F1CB0"/>
    <w:rsid w:val="008F1D0A"/>
    <w:rsid w:val="008F1EF7"/>
    <w:rsid w:val="008F25E8"/>
    <w:rsid w:val="008F3933"/>
    <w:rsid w:val="008F405E"/>
    <w:rsid w:val="008F45BE"/>
    <w:rsid w:val="008F663E"/>
    <w:rsid w:val="008F6AB1"/>
    <w:rsid w:val="008F74C9"/>
    <w:rsid w:val="008F7791"/>
    <w:rsid w:val="008F7979"/>
    <w:rsid w:val="00900EA0"/>
    <w:rsid w:val="00901B7F"/>
    <w:rsid w:val="00902034"/>
    <w:rsid w:val="009022ED"/>
    <w:rsid w:val="00902891"/>
    <w:rsid w:val="009031A2"/>
    <w:rsid w:val="0090367E"/>
    <w:rsid w:val="00903E49"/>
    <w:rsid w:val="00903EBB"/>
    <w:rsid w:val="00904EB4"/>
    <w:rsid w:val="00904EBC"/>
    <w:rsid w:val="0090578F"/>
    <w:rsid w:val="00906027"/>
    <w:rsid w:val="009066D0"/>
    <w:rsid w:val="009110F8"/>
    <w:rsid w:val="009114AF"/>
    <w:rsid w:val="00911883"/>
    <w:rsid w:val="0091399B"/>
    <w:rsid w:val="00915485"/>
    <w:rsid w:val="00915C4E"/>
    <w:rsid w:val="00915EB8"/>
    <w:rsid w:val="00916A2C"/>
    <w:rsid w:val="00916ADD"/>
    <w:rsid w:val="009177C9"/>
    <w:rsid w:val="00917932"/>
    <w:rsid w:val="009207D3"/>
    <w:rsid w:val="00921023"/>
    <w:rsid w:val="00921C9B"/>
    <w:rsid w:val="00921E9F"/>
    <w:rsid w:val="0092229A"/>
    <w:rsid w:val="00923DCD"/>
    <w:rsid w:val="009242D5"/>
    <w:rsid w:val="009249E5"/>
    <w:rsid w:val="00924DDF"/>
    <w:rsid w:val="00925D18"/>
    <w:rsid w:val="009273A1"/>
    <w:rsid w:val="00927AA9"/>
    <w:rsid w:val="00927B5B"/>
    <w:rsid w:val="00930781"/>
    <w:rsid w:val="00930D55"/>
    <w:rsid w:val="00932F5A"/>
    <w:rsid w:val="00933610"/>
    <w:rsid w:val="00933B07"/>
    <w:rsid w:val="00934561"/>
    <w:rsid w:val="0093556D"/>
    <w:rsid w:val="00936954"/>
    <w:rsid w:val="00937A04"/>
    <w:rsid w:val="009434C3"/>
    <w:rsid w:val="00944F28"/>
    <w:rsid w:val="0094625A"/>
    <w:rsid w:val="00947A7A"/>
    <w:rsid w:val="009523E9"/>
    <w:rsid w:val="0095314E"/>
    <w:rsid w:val="00953BD4"/>
    <w:rsid w:val="00953DE1"/>
    <w:rsid w:val="00954C4D"/>
    <w:rsid w:val="00955259"/>
    <w:rsid w:val="0095581E"/>
    <w:rsid w:val="00955D18"/>
    <w:rsid w:val="00960E94"/>
    <w:rsid w:val="009619CC"/>
    <w:rsid w:val="00963089"/>
    <w:rsid w:val="0096362C"/>
    <w:rsid w:val="00963FE9"/>
    <w:rsid w:val="009650BD"/>
    <w:rsid w:val="00966084"/>
    <w:rsid w:val="009661A6"/>
    <w:rsid w:val="00966E9D"/>
    <w:rsid w:val="00967A30"/>
    <w:rsid w:val="00967E69"/>
    <w:rsid w:val="00974757"/>
    <w:rsid w:val="00974AD2"/>
    <w:rsid w:val="00974B06"/>
    <w:rsid w:val="00974ED0"/>
    <w:rsid w:val="00975DEF"/>
    <w:rsid w:val="00976875"/>
    <w:rsid w:val="00977579"/>
    <w:rsid w:val="00977961"/>
    <w:rsid w:val="00977C46"/>
    <w:rsid w:val="009804DC"/>
    <w:rsid w:val="009814EC"/>
    <w:rsid w:val="0098230F"/>
    <w:rsid w:val="00982EDD"/>
    <w:rsid w:val="0098336A"/>
    <w:rsid w:val="00983AF9"/>
    <w:rsid w:val="00983C32"/>
    <w:rsid w:val="0098597A"/>
    <w:rsid w:val="009860AD"/>
    <w:rsid w:val="009867C1"/>
    <w:rsid w:val="009871E1"/>
    <w:rsid w:val="00987D03"/>
    <w:rsid w:val="00987EAE"/>
    <w:rsid w:val="0099016F"/>
    <w:rsid w:val="00991B1C"/>
    <w:rsid w:val="00992591"/>
    <w:rsid w:val="00992739"/>
    <w:rsid w:val="00993CF2"/>
    <w:rsid w:val="0099413E"/>
    <w:rsid w:val="0099424C"/>
    <w:rsid w:val="00994BA0"/>
    <w:rsid w:val="0099587F"/>
    <w:rsid w:val="009967CB"/>
    <w:rsid w:val="009A0DEA"/>
    <w:rsid w:val="009A1A95"/>
    <w:rsid w:val="009A1F1D"/>
    <w:rsid w:val="009A24AD"/>
    <w:rsid w:val="009A253D"/>
    <w:rsid w:val="009A26C1"/>
    <w:rsid w:val="009A495E"/>
    <w:rsid w:val="009A51F0"/>
    <w:rsid w:val="009A791D"/>
    <w:rsid w:val="009A7FA8"/>
    <w:rsid w:val="009B0BC4"/>
    <w:rsid w:val="009B0BC8"/>
    <w:rsid w:val="009B10FF"/>
    <w:rsid w:val="009B3504"/>
    <w:rsid w:val="009B4402"/>
    <w:rsid w:val="009B5536"/>
    <w:rsid w:val="009B5A72"/>
    <w:rsid w:val="009C0291"/>
    <w:rsid w:val="009C1289"/>
    <w:rsid w:val="009C4B4E"/>
    <w:rsid w:val="009C5ADA"/>
    <w:rsid w:val="009C6421"/>
    <w:rsid w:val="009C7881"/>
    <w:rsid w:val="009D0DE4"/>
    <w:rsid w:val="009D3309"/>
    <w:rsid w:val="009D383A"/>
    <w:rsid w:val="009D3AE0"/>
    <w:rsid w:val="009D4AAB"/>
    <w:rsid w:val="009D5BAA"/>
    <w:rsid w:val="009D6AF9"/>
    <w:rsid w:val="009D77ED"/>
    <w:rsid w:val="009E15A0"/>
    <w:rsid w:val="009E1A1C"/>
    <w:rsid w:val="009E1DC8"/>
    <w:rsid w:val="009E5563"/>
    <w:rsid w:val="009E5586"/>
    <w:rsid w:val="009E5C1F"/>
    <w:rsid w:val="009E6BE9"/>
    <w:rsid w:val="009F01E3"/>
    <w:rsid w:val="009F02EC"/>
    <w:rsid w:val="009F05CF"/>
    <w:rsid w:val="009F09F1"/>
    <w:rsid w:val="009F40D9"/>
    <w:rsid w:val="009F4267"/>
    <w:rsid w:val="009F475D"/>
    <w:rsid w:val="009F4BE9"/>
    <w:rsid w:val="009F58A3"/>
    <w:rsid w:val="009F7736"/>
    <w:rsid w:val="00A0080F"/>
    <w:rsid w:val="00A0181D"/>
    <w:rsid w:val="00A02081"/>
    <w:rsid w:val="00A02258"/>
    <w:rsid w:val="00A02AB3"/>
    <w:rsid w:val="00A04281"/>
    <w:rsid w:val="00A0447D"/>
    <w:rsid w:val="00A04E10"/>
    <w:rsid w:val="00A05234"/>
    <w:rsid w:val="00A05870"/>
    <w:rsid w:val="00A0670F"/>
    <w:rsid w:val="00A07E52"/>
    <w:rsid w:val="00A100FF"/>
    <w:rsid w:val="00A108CC"/>
    <w:rsid w:val="00A11345"/>
    <w:rsid w:val="00A11D42"/>
    <w:rsid w:val="00A12A28"/>
    <w:rsid w:val="00A134D8"/>
    <w:rsid w:val="00A14950"/>
    <w:rsid w:val="00A14D5F"/>
    <w:rsid w:val="00A15EA8"/>
    <w:rsid w:val="00A16EE4"/>
    <w:rsid w:val="00A1766C"/>
    <w:rsid w:val="00A17F1A"/>
    <w:rsid w:val="00A22001"/>
    <w:rsid w:val="00A222A7"/>
    <w:rsid w:val="00A24AFA"/>
    <w:rsid w:val="00A25506"/>
    <w:rsid w:val="00A25D87"/>
    <w:rsid w:val="00A26386"/>
    <w:rsid w:val="00A26D96"/>
    <w:rsid w:val="00A31462"/>
    <w:rsid w:val="00A31921"/>
    <w:rsid w:val="00A34ED8"/>
    <w:rsid w:val="00A353BC"/>
    <w:rsid w:val="00A355C7"/>
    <w:rsid w:val="00A36171"/>
    <w:rsid w:val="00A36716"/>
    <w:rsid w:val="00A36A65"/>
    <w:rsid w:val="00A36BDD"/>
    <w:rsid w:val="00A36BFD"/>
    <w:rsid w:val="00A372EE"/>
    <w:rsid w:val="00A429DA"/>
    <w:rsid w:val="00A43163"/>
    <w:rsid w:val="00A43397"/>
    <w:rsid w:val="00A4405B"/>
    <w:rsid w:val="00A44AE9"/>
    <w:rsid w:val="00A45217"/>
    <w:rsid w:val="00A45CD8"/>
    <w:rsid w:val="00A45EE9"/>
    <w:rsid w:val="00A54ACB"/>
    <w:rsid w:val="00A55ABB"/>
    <w:rsid w:val="00A56055"/>
    <w:rsid w:val="00A56B6D"/>
    <w:rsid w:val="00A57509"/>
    <w:rsid w:val="00A57F27"/>
    <w:rsid w:val="00A60027"/>
    <w:rsid w:val="00A61E8F"/>
    <w:rsid w:val="00A6266F"/>
    <w:rsid w:val="00A63F16"/>
    <w:rsid w:val="00A65DD2"/>
    <w:rsid w:val="00A679BC"/>
    <w:rsid w:val="00A70063"/>
    <w:rsid w:val="00A7009D"/>
    <w:rsid w:val="00A7080D"/>
    <w:rsid w:val="00A71A8D"/>
    <w:rsid w:val="00A71EF4"/>
    <w:rsid w:val="00A72D7A"/>
    <w:rsid w:val="00A72E3F"/>
    <w:rsid w:val="00A74327"/>
    <w:rsid w:val="00A7436E"/>
    <w:rsid w:val="00A76812"/>
    <w:rsid w:val="00A76B23"/>
    <w:rsid w:val="00A7721A"/>
    <w:rsid w:val="00A80AAC"/>
    <w:rsid w:val="00A81584"/>
    <w:rsid w:val="00A86A1B"/>
    <w:rsid w:val="00A86D47"/>
    <w:rsid w:val="00A91E1F"/>
    <w:rsid w:val="00A93369"/>
    <w:rsid w:val="00A9340A"/>
    <w:rsid w:val="00A944F3"/>
    <w:rsid w:val="00A96E05"/>
    <w:rsid w:val="00A97896"/>
    <w:rsid w:val="00A97E15"/>
    <w:rsid w:val="00AA050E"/>
    <w:rsid w:val="00AA179C"/>
    <w:rsid w:val="00AA18AE"/>
    <w:rsid w:val="00AA2776"/>
    <w:rsid w:val="00AA4125"/>
    <w:rsid w:val="00AA49AC"/>
    <w:rsid w:val="00AA4AA6"/>
    <w:rsid w:val="00AA5DB4"/>
    <w:rsid w:val="00AB0B99"/>
    <w:rsid w:val="00AB1113"/>
    <w:rsid w:val="00AB16BF"/>
    <w:rsid w:val="00AB1FBE"/>
    <w:rsid w:val="00AB24C8"/>
    <w:rsid w:val="00AB3FA9"/>
    <w:rsid w:val="00AB4252"/>
    <w:rsid w:val="00AB508B"/>
    <w:rsid w:val="00AB68D0"/>
    <w:rsid w:val="00AC00CE"/>
    <w:rsid w:val="00AC16E1"/>
    <w:rsid w:val="00AC27AB"/>
    <w:rsid w:val="00AC4547"/>
    <w:rsid w:val="00AC5086"/>
    <w:rsid w:val="00AC5496"/>
    <w:rsid w:val="00AD0B77"/>
    <w:rsid w:val="00AD173D"/>
    <w:rsid w:val="00AD2465"/>
    <w:rsid w:val="00AD2558"/>
    <w:rsid w:val="00AD442D"/>
    <w:rsid w:val="00AD6554"/>
    <w:rsid w:val="00AD7EE7"/>
    <w:rsid w:val="00AE0A04"/>
    <w:rsid w:val="00AE14F3"/>
    <w:rsid w:val="00AE20D3"/>
    <w:rsid w:val="00AE22F2"/>
    <w:rsid w:val="00AE2392"/>
    <w:rsid w:val="00AE24DF"/>
    <w:rsid w:val="00AE3428"/>
    <w:rsid w:val="00AE5B1E"/>
    <w:rsid w:val="00AE6390"/>
    <w:rsid w:val="00AE79CA"/>
    <w:rsid w:val="00AF1968"/>
    <w:rsid w:val="00AF310D"/>
    <w:rsid w:val="00AF328F"/>
    <w:rsid w:val="00AF4582"/>
    <w:rsid w:val="00AF6B3D"/>
    <w:rsid w:val="00AF6F3E"/>
    <w:rsid w:val="00AF7639"/>
    <w:rsid w:val="00AF7B73"/>
    <w:rsid w:val="00B01399"/>
    <w:rsid w:val="00B03922"/>
    <w:rsid w:val="00B04ACF"/>
    <w:rsid w:val="00B053C6"/>
    <w:rsid w:val="00B05746"/>
    <w:rsid w:val="00B07386"/>
    <w:rsid w:val="00B10030"/>
    <w:rsid w:val="00B104E7"/>
    <w:rsid w:val="00B108E3"/>
    <w:rsid w:val="00B14DAA"/>
    <w:rsid w:val="00B16723"/>
    <w:rsid w:val="00B16E80"/>
    <w:rsid w:val="00B17D6B"/>
    <w:rsid w:val="00B234E3"/>
    <w:rsid w:val="00B23945"/>
    <w:rsid w:val="00B24A09"/>
    <w:rsid w:val="00B274CC"/>
    <w:rsid w:val="00B32641"/>
    <w:rsid w:val="00B33A06"/>
    <w:rsid w:val="00B34AF2"/>
    <w:rsid w:val="00B35253"/>
    <w:rsid w:val="00B40107"/>
    <w:rsid w:val="00B4093A"/>
    <w:rsid w:val="00B419F8"/>
    <w:rsid w:val="00B41BBD"/>
    <w:rsid w:val="00B4246E"/>
    <w:rsid w:val="00B4361E"/>
    <w:rsid w:val="00B43B74"/>
    <w:rsid w:val="00B44DE2"/>
    <w:rsid w:val="00B4742A"/>
    <w:rsid w:val="00B50DEE"/>
    <w:rsid w:val="00B50F6E"/>
    <w:rsid w:val="00B52FBD"/>
    <w:rsid w:val="00B53927"/>
    <w:rsid w:val="00B54D58"/>
    <w:rsid w:val="00B55D48"/>
    <w:rsid w:val="00B57DB2"/>
    <w:rsid w:val="00B607BF"/>
    <w:rsid w:val="00B60D9B"/>
    <w:rsid w:val="00B6122B"/>
    <w:rsid w:val="00B61251"/>
    <w:rsid w:val="00B614E6"/>
    <w:rsid w:val="00B61A92"/>
    <w:rsid w:val="00B6214E"/>
    <w:rsid w:val="00B6342A"/>
    <w:rsid w:val="00B65239"/>
    <w:rsid w:val="00B65894"/>
    <w:rsid w:val="00B65A19"/>
    <w:rsid w:val="00B65AF4"/>
    <w:rsid w:val="00B65EDF"/>
    <w:rsid w:val="00B65F77"/>
    <w:rsid w:val="00B71225"/>
    <w:rsid w:val="00B71A2B"/>
    <w:rsid w:val="00B72929"/>
    <w:rsid w:val="00B7390A"/>
    <w:rsid w:val="00B73F92"/>
    <w:rsid w:val="00B75A56"/>
    <w:rsid w:val="00B75A7B"/>
    <w:rsid w:val="00B77130"/>
    <w:rsid w:val="00B77B0A"/>
    <w:rsid w:val="00B77EB1"/>
    <w:rsid w:val="00B811E0"/>
    <w:rsid w:val="00B811EC"/>
    <w:rsid w:val="00B8165C"/>
    <w:rsid w:val="00B81ED2"/>
    <w:rsid w:val="00B822F3"/>
    <w:rsid w:val="00B82F3D"/>
    <w:rsid w:val="00B83530"/>
    <w:rsid w:val="00B84123"/>
    <w:rsid w:val="00B847FA"/>
    <w:rsid w:val="00B85972"/>
    <w:rsid w:val="00B86C8A"/>
    <w:rsid w:val="00B87120"/>
    <w:rsid w:val="00B92979"/>
    <w:rsid w:val="00B929A5"/>
    <w:rsid w:val="00B939A6"/>
    <w:rsid w:val="00B93E80"/>
    <w:rsid w:val="00B941ED"/>
    <w:rsid w:val="00B94955"/>
    <w:rsid w:val="00B9738D"/>
    <w:rsid w:val="00B97C33"/>
    <w:rsid w:val="00B97F73"/>
    <w:rsid w:val="00BA020D"/>
    <w:rsid w:val="00BA0A81"/>
    <w:rsid w:val="00BA0C8A"/>
    <w:rsid w:val="00BA1E37"/>
    <w:rsid w:val="00BA4901"/>
    <w:rsid w:val="00BA49CA"/>
    <w:rsid w:val="00BA4C14"/>
    <w:rsid w:val="00BA5F2A"/>
    <w:rsid w:val="00BA6C29"/>
    <w:rsid w:val="00BA72BD"/>
    <w:rsid w:val="00BB018A"/>
    <w:rsid w:val="00BB026F"/>
    <w:rsid w:val="00BB087C"/>
    <w:rsid w:val="00BB3FB2"/>
    <w:rsid w:val="00BB4C56"/>
    <w:rsid w:val="00BB5370"/>
    <w:rsid w:val="00BB6031"/>
    <w:rsid w:val="00BB64B0"/>
    <w:rsid w:val="00BB65C4"/>
    <w:rsid w:val="00BB7B9D"/>
    <w:rsid w:val="00BC2853"/>
    <w:rsid w:val="00BC3EEC"/>
    <w:rsid w:val="00BC4431"/>
    <w:rsid w:val="00BC4B7F"/>
    <w:rsid w:val="00BC5074"/>
    <w:rsid w:val="00BC5473"/>
    <w:rsid w:val="00BC6E2E"/>
    <w:rsid w:val="00BC7645"/>
    <w:rsid w:val="00BC7DE7"/>
    <w:rsid w:val="00BD097C"/>
    <w:rsid w:val="00BD2639"/>
    <w:rsid w:val="00BD37E2"/>
    <w:rsid w:val="00BD4CC9"/>
    <w:rsid w:val="00BD4EB5"/>
    <w:rsid w:val="00BD527E"/>
    <w:rsid w:val="00BD5B6F"/>
    <w:rsid w:val="00BD620F"/>
    <w:rsid w:val="00BD6302"/>
    <w:rsid w:val="00BE0D47"/>
    <w:rsid w:val="00BE364C"/>
    <w:rsid w:val="00BE37BA"/>
    <w:rsid w:val="00BE4580"/>
    <w:rsid w:val="00BE50AC"/>
    <w:rsid w:val="00BE7ADB"/>
    <w:rsid w:val="00BF15FD"/>
    <w:rsid w:val="00BF1785"/>
    <w:rsid w:val="00BF2010"/>
    <w:rsid w:val="00BF2365"/>
    <w:rsid w:val="00BF2E5D"/>
    <w:rsid w:val="00BF384C"/>
    <w:rsid w:val="00BF4496"/>
    <w:rsid w:val="00BF4BCD"/>
    <w:rsid w:val="00BF688B"/>
    <w:rsid w:val="00C01120"/>
    <w:rsid w:val="00C01A8A"/>
    <w:rsid w:val="00C0229B"/>
    <w:rsid w:val="00C0389C"/>
    <w:rsid w:val="00C04263"/>
    <w:rsid w:val="00C04273"/>
    <w:rsid w:val="00C044F5"/>
    <w:rsid w:val="00C04732"/>
    <w:rsid w:val="00C049C9"/>
    <w:rsid w:val="00C06017"/>
    <w:rsid w:val="00C06E2C"/>
    <w:rsid w:val="00C07936"/>
    <w:rsid w:val="00C07E13"/>
    <w:rsid w:val="00C1115F"/>
    <w:rsid w:val="00C1160A"/>
    <w:rsid w:val="00C11D42"/>
    <w:rsid w:val="00C12328"/>
    <w:rsid w:val="00C12A12"/>
    <w:rsid w:val="00C12B67"/>
    <w:rsid w:val="00C13825"/>
    <w:rsid w:val="00C1391E"/>
    <w:rsid w:val="00C13A7D"/>
    <w:rsid w:val="00C141C9"/>
    <w:rsid w:val="00C144F2"/>
    <w:rsid w:val="00C152A6"/>
    <w:rsid w:val="00C15982"/>
    <w:rsid w:val="00C16E14"/>
    <w:rsid w:val="00C201CA"/>
    <w:rsid w:val="00C203E7"/>
    <w:rsid w:val="00C21EFF"/>
    <w:rsid w:val="00C22360"/>
    <w:rsid w:val="00C227AD"/>
    <w:rsid w:val="00C22825"/>
    <w:rsid w:val="00C23BA1"/>
    <w:rsid w:val="00C23DF7"/>
    <w:rsid w:val="00C253D7"/>
    <w:rsid w:val="00C25B4D"/>
    <w:rsid w:val="00C274F6"/>
    <w:rsid w:val="00C27BFD"/>
    <w:rsid w:val="00C303D0"/>
    <w:rsid w:val="00C30474"/>
    <w:rsid w:val="00C3053E"/>
    <w:rsid w:val="00C31597"/>
    <w:rsid w:val="00C34292"/>
    <w:rsid w:val="00C363A1"/>
    <w:rsid w:val="00C373A2"/>
    <w:rsid w:val="00C4067A"/>
    <w:rsid w:val="00C41BC5"/>
    <w:rsid w:val="00C434E9"/>
    <w:rsid w:val="00C454C8"/>
    <w:rsid w:val="00C45A67"/>
    <w:rsid w:val="00C46454"/>
    <w:rsid w:val="00C47394"/>
    <w:rsid w:val="00C47D9F"/>
    <w:rsid w:val="00C515E0"/>
    <w:rsid w:val="00C5183B"/>
    <w:rsid w:val="00C522C9"/>
    <w:rsid w:val="00C540BC"/>
    <w:rsid w:val="00C57333"/>
    <w:rsid w:val="00C57A19"/>
    <w:rsid w:val="00C61790"/>
    <w:rsid w:val="00C62955"/>
    <w:rsid w:val="00C64256"/>
    <w:rsid w:val="00C64815"/>
    <w:rsid w:val="00C64A18"/>
    <w:rsid w:val="00C64C12"/>
    <w:rsid w:val="00C66947"/>
    <w:rsid w:val="00C7004B"/>
    <w:rsid w:val="00C703D4"/>
    <w:rsid w:val="00C7096C"/>
    <w:rsid w:val="00C70A83"/>
    <w:rsid w:val="00C714A2"/>
    <w:rsid w:val="00C725E7"/>
    <w:rsid w:val="00C726AA"/>
    <w:rsid w:val="00C72F05"/>
    <w:rsid w:val="00C732DD"/>
    <w:rsid w:val="00C73BEF"/>
    <w:rsid w:val="00C74BBA"/>
    <w:rsid w:val="00C74EB7"/>
    <w:rsid w:val="00C7512A"/>
    <w:rsid w:val="00C761B3"/>
    <w:rsid w:val="00C80F0D"/>
    <w:rsid w:val="00C819D6"/>
    <w:rsid w:val="00C8222D"/>
    <w:rsid w:val="00C83322"/>
    <w:rsid w:val="00C835B2"/>
    <w:rsid w:val="00C83E94"/>
    <w:rsid w:val="00C85AC8"/>
    <w:rsid w:val="00C87EFC"/>
    <w:rsid w:val="00C90593"/>
    <w:rsid w:val="00C90ACF"/>
    <w:rsid w:val="00C90C12"/>
    <w:rsid w:val="00C92ED9"/>
    <w:rsid w:val="00C937E3"/>
    <w:rsid w:val="00C938A2"/>
    <w:rsid w:val="00C94BED"/>
    <w:rsid w:val="00C968DB"/>
    <w:rsid w:val="00C97992"/>
    <w:rsid w:val="00C97B34"/>
    <w:rsid w:val="00CA014D"/>
    <w:rsid w:val="00CA1241"/>
    <w:rsid w:val="00CA18F8"/>
    <w:rsid w:val="00CA1941"/>
    <w:rsid w:val="00CA3753"/>
    <w:rsid w:val="00CA3D9A"/>
    <w:rsid w:val="00CA6DB6"/>
    <w:rsid w:val="00CB10E5"/>
    <w:rsid w:val="00CB1D32"/>
    <w:rsid w:val="00CB40EE"/>
    <w:rsid w:val="00CB4F00"/>
    <w:rsid w:val="00CB5CC4"/>
    <w:rsid w:val="00CC0E6A"/>
    <w:rsid w:val="00CC3065"/>
    <w:rsid w:val="00CC3E39"/>
    <w:rsid w:val="00CC4171"/>
    <w:rsid w:val="00CC4385"/>
    <w:rsid w:val="00CC49A2"/>
    <w:rsid w:val="00CC57DC"/>
    <w:rsid w:val="00CC6783"/>
    <w:rsid w:val="00CC6AD3"/>
    <w:rsid w:val="00CC7157"/>
    <w:rsid w:val="00CC734B"/>
    <w:rsid w:val="00CD064B"/>
    <w:rsid w:val="00CD1811"/>
    <w:rsid w:val="00CD2E7B"/>
    <w:rsid w:val="00CD4639"/>
    <w:rsid w:val="00CD5F76"/>
    <w:rsid w:val="00CD6411"/>
    <w:rsid w:val="00CE24C9"/>
    <w:rsid w:val="00CE27BF"/>
    <w:rsid w:val="00CE2C06"/>
    <w:rsid w:val="00CE3E7C"/>
    <w:rsid w:val="00CE5779"/>
    <w:rsid w:val="00CE60B7"/>
    <w:rsid w:val="00CE653A"/>
    <w:rsid w:val="00CF0F9F"/>
    <w:rsid w:val="00CF2663"/>
    <w:rsid w:val="00CF35CD"/>
    <w:rsid w:val="00CF35FC"/>
    <w:rsid w:val="00CF53C8"/>
    <w:rsid w:val="00CF5F66"/>
    <w:rsid w:val="00CF635C"/>
    <w:rsid w:val="00CF63CB"/>
    <w:rsid w:val="00CF7A15"/>
    <w:rsid w:val="00D00275"/>
    <w:rsid w:val="00D00B99"/>
    <w:rsid w:val="00D0129A"/>
    <w:rsid w:val="00D033AB"/>
    <w:rsid w:val="00D0410B"/>
    <w:rsid w:val="00D0422F"/>
    <w:rsid w:val="00D046A8"/>
    <w:rsid w:val="00D04985"/>
    <w:rsid w:val="00D0498D"/>
    <w:rsid w:val="00D05BB8"/>
    <w:rsid w:val="00D06776"/>
    <w:rsid w:val="00D06826"/>
    <w:rsid w:val="00D06A85"/>
    <w:rsid w:val="00D13369"/>
    <w:rsid w:val="00D13D52"/>
    <w:rsid w:val="00D13F17"/>
    <w:rsid w:val="00D14053"/>
    <w:rsid w:val="00D14D46"/>
    <w:rsid w:val="00D15180"/>
    <w:rsid w:val="00D1518A"/>
    <w:rsid w:val="00D155F5"/>
    <w:rsid w:val="00D15664"/>
    <w:rsid w:val="00D160F1"/>
    <w:rsid w:val="00D16179"/>
    <w:rsid w:val="00D16D76"/>
    <w:rsid w:val="00D17D86"/>
    <w:rsid w:val="00D215F3"/>
    <w:rsid w:val="00D2288D"/>
    <w:rsid w:val="00D229C6"/>
    <w:rsid w:val="00D23740"/>
    <w:rsid w:val="00D238B9"/>
    <w:rsid w:val="00D27CCC"/>
    <w:rsid w:val="00D32E3B"/>
    <w:rsid w:val="00D33B62"/>
    <w:rsid w:val="00D341AA"/>
    <w:rsid w:val="00D345E7"/>
    <w:rsid w:val="00D350C8"/>
    <w:rsid w:val="00D35215"/>
    <w:rsid w:val="00D354D8"/>
    <w:rsid w:val="00D36E0C"/>
    <w:rsid w:val="00D40A15"/>
    <w:rsid w:val="00D40BA4"/>
    <w:rsid w:val="00D4141E"/>
    <w:rsid w:val="00D416D2"/>
    <w:rsid w:val="00D4227C"/>
    <w:rsid w:val="00D4404D"/>
    <w:rsid w:val="00D468AB"/>
    <w:rsid w:val="00D502B8"/>
    <w:rsid w:val="00D504C3"/>
    <w:rsid w:val="00D508CE"/>
    <w:rsid w:val="00D50AA4"/>
    <w:rsid w:val="00D51474"/>
    <w:rsid w:val="00D51BE0"/>
    <w:rsid w:val="00D538D3"/>
    <w:rsid w:val="00D56136"/>
    <w:rsid w:val="00D56D1A"/>
    <w:rsid w:val="00D601FC"/>
    <w:rsid w:val="00D606E2"/>
    <w:rsid w:val="00D61533"/>
    <w:rsid w:val="00D62387"/>
    <w:rsid w:val="00D62A5F"/>
    <w:rsid w:val="00D62C96"/>
    <w:rsid w:val="00D64CA3"/>
    <w:rsid w:val="00D668D4"/>
    <w:rsid w:val="00D67A5D"/>
    <w:rsid w:val="00D67BBB"/>
    <w:rsid w:val="00D67C7B"/>
    <w:rsid w:val="00D70F2A"/>
    <w:rsid w:val="00D71342"/>
    <w:rsid w:val="00D71AA4"/>
    <w:rsid w:val="00D73B1E"/>
    <w:rsid w:val="00D7472A"/>
    <w:rsid w:val="00D74A5E"/>
    <w:rsid w:val="00D77727"/>
    <w:rsid w:val="00D80E32"/>
    <w:rsid w:val="00D81307"/>
    <w:rsid w:val="00D82C94"/>
    <w:rsid w:val="00D830A4"/>
    <w:rsid w:val="00D83969"/>
    <w:rsid w:val="00D84D1C"/>
    <w:rsid w:val="00D86311"/>
    <w:rsid w:val="00D87BF1"/>
    <w:rsid w:val="00D90188"/>
    <w:rsid w:val="00D90FB6"/>
    <w:rsid w:val="00D92D5B"/>
    <w:rsid w:val="00D93206"/>
    <w:rsid w:val="00D95007"/>
    <w:rsid w:val="00D95EAB"/>
    <w:rsid w:val="00D96879"/>
    <w:rsid w:val="00D97E9B"/>
    <w:rsid w:val="00D97EA9"/>
    <w:rsid w:val="00DA031C"/>
    <w:rsid w:val="00DA0BA0"/>
    <w:rsid w:val="00DA21B4"/>
    <w:rsid w:val="00DA6571"/>
    <w:rsid w:val="00DB0D67"/>
    <w:rsid w:val="00DB2CC6"/>
    <w:rsid w:val="00DB4472"/>
    <w:rsid w:val="00DB4A7C"/>
    <w:rsid w:val="00DB4B5E"/>
    <w:rsid w:val="00DB564E"/>
    <w:rsid w:val="00DB69D2"/>
    <w:rsid w:val="00DB6DF3"/>
    <w:rsid w:val="00DB73A9"/>
    <w:rsid w:val="00DC0D75"/>
    <w:rsid w:val="00DC21B2"/>
    <w:rsid w:val="00DC27C5"/>
    <w:rsid w:val="00DC52F2"/>
    <w:rsid w:val="00DC543D"/>
    <w:rsid w:val="00DC7A11"/>
    <w:rsid w:val="00DC7ED7"/>
    <w:rsid w:val="00DC7FAC"/>
    <w:rsid w:val="00DD0491"/>
    <w:rsid w:val="00DD05C4"/>
    <w:rsid w:val="00DD05FE"/>
    <w:rsid w:val="00DD07C9"/>
    <w:rsid w:val="00DD0A86"/>
    <w:rsid w:val="00DD0C2E"/>
    <w:rsid w:val="00DD198E"/>
    <w:rsid w:val="00DD3A16"/>
    <w:rsid w:val="00DD3CE5"/>
    <w:rsid w:val="00DD4A63"/>
    <w:rsid w:val="00DD5011"/>
    <w:rsid w:val="00DD64AF"/>
    <w:rsid w:val="00DD6AE4"/>
    <w:rsid w:val="00DD6D5D"/>
    <w:rsid w:val="00DD7879"/>
    <w:rsid w:val="00DD7D2B"/>
    <w:rsid w:val="00DE1B14"/>
    <w:rsid w:val="00DE25EF"/>
    <w:rsid w:val="00DE4C44"/>
    <w:rsid w:val="00DE4F63"/>
    <w:rsid w:val="00DE59B3"/>
    <w:rsid w:val="00DE6866"/>
    <w:rsid w:val="00DF2441"/>
    <w:rsid w:val="00DF29AB"/>
    <w:rsid w:val="00DF2C27"/>
    <w:rsid w:val="00DF2ED9"/>
    <w:rsid w:val="00DF2F41"/>
    <w:rsid w:val="00DF3D79"/>
    <w:rsid w:val="00DF4971"/>
    <w:rsid w:val="00DF76D7"/>
    <w:rsid w:val="00DF776E"/>
    <w:rsid w:val="00DF7C95"/>
    <w:rsid w:val="00E01B2D"/>
    <w:rsid w:val="00E03C2F"/>
    <w:rsid w:val="00E04459"/>
    <w:rsid w:val="00E0490E"/>
    <w:rsid w:val="00E06D7D"/>
    <w:rsid w:val="00E07AE2"/>
    <w:rsid w:val="00E1002C"/>
    <w:rsid w:val="00E112B9"/>
    <w:rsid w:val="00E1288A"/>
    <w:rsid w:val="00E12B0C"/>
    <w:rsid w:val="00E12CA4"/>
    <w:rsid w:val="00E130F3"/>
    <w:rsid w:val="00E159F2"/>
    <w:rsid w:val="00E165E5"/>
    <w:rsid w:val="00E16BDF"/>
    <w:rsid w:val="00E17510"/>
    <w:rsid w:val="00E17B8F"/>
    <w:rsid w:val="00E209D8"/>
    <w:rsid w:val="00E2126D"/>
    <w:rsid w:val="00E21B91"/>
    <w:rsid w:val="00E21BCC"/>
    <w:rsid w:val="00E2261E"/>
    <w:rsid w:val="00E226E9"/>
    <w:rsid w:val="00E236B0"/>
    <w:rsid w:val="00E236E2"/>
    <w:rsid w:val="00E24D04"/>
    <w:rsid w:val="00E24E8C"/>
    <w:rsid w:val="00E30A3C"/>
    <w:rsid w:val="00E30C86"/>
    <w:rsid w:val="00E32722"/>
    <w:rsid w:val="00E33B33"/>
    <w:rsid w:val="00E34658"/>
    <w:rsid w:val="00E3526B"/>
    <w:rsid w:val="00E35AA3"/>
    <w:rsid w:val="00E37047"/>
    <w:rsid w:val="00E37661"/>
    <w:rsid w:val="00E407DD"/>
    <w:rsid w:val="00E41308"/>
    <w:rsid w:val="00E41633"/>
    <w:rsid w:val="00E41726"/>
    <w:rsid w:val="00E417E3"/>
    <w:rsid w:val="00E4347A"/>
    <w:rsid w:val="00E435F2"/>
    <w:rsid w:val="00E44AB4"/>
    <w:rsid w:val="00E44B09"/>
    <w:rsid w:val="00E44C79"/>
    <w:rsid w:val="00E45BEF"/>
    <w:rsid w:val="00E46012"/>
    <w:rsid w:val="00E50405"/>
    <w:rsid w:val="00E51A34"/>
    <w:rsid w:val="00E53230"/>
    <w:rsid w:val="00E53332"/>
    <w:rsid w:val="00E5374A"/>
    <w:rsid w:val="00E5375C"/>
    <w:rsid w:val="00E53AE5"/>
    <w:rsid w:val="00E54FA7"/>
    <w:rsid w:val="00E55EF4"/>
    <w:rsid w:val="00E568E7"/>
    <w:rsid w:val="00E5739B"/>
    <w:rsid w:val="00E57F1B"/>
    <w:rsid w:val="00E602DF"/>
    <w:rsid w:val="00E6048D"/>
    <w:rsid w:val="00E62608"/>
    <w:rsid w:val="00E631B5"/>
    <w:rsid w:val="00E63E28"/>
    <w:rsid w:val="00E643F2"/>
    <w:rsid w:val="00E6444F"/>
    <w:rsid w:val="00E6466A"/>
    <w:rsid w:val="00E65473"/>
    <w:rsid w:val="00E655A4"/>
    <w:rsid w:val="00E6566F"/>
    <w:rsid w:val="00E657FB"/>
    <w:rsid w:val="00E66299"/>
    <w:rsid w:val="00E6694D"/>
    <w:rsid w:val="00E66BA2"/>
    <w:rsid w:val="00E67A8B"/>
    <w:rsid w:val="00E70827"/>
    <w:rsid w:val="00E70DF7"/>
    <w:rsid w:val="00E71C7E"/>
    <w:rsid w:val="00E752BD"/>
    <w:rsid w:val="00E75D87"/>
    <w:rsid w:val="00E80D97"/>
    <w:rsid w:val="00E81A13"/>
    <w:rsid w:val="00E82F78"/>
    <w:rsid w:val="00E83647"/>
    <w:rsid w:val="00E83C53"/>
    <w:rsid w:val="00E83F3B"/>
    <w:rsid w:val="00E8403B"/>
    <w:rsid w:val="00E84AF3"/>
    <w:rsid w:val="00E850CE"/>
    <w:rsid w:val="00E850FE"/>
    <w:rsid w:val="00E855C2"/>
    <w:rsid w:val="00E90872"/>
    <w:rsid w:val="00E918FA"/>
    <w:rsid w:val="00E94287"/>
    <w:rsid w:val="00E9483D"/>
    <w:rsid w:val="00E9527E"/>
    <w:rsid w:val="00E97693"/>
    <w:rsid w:val="00E97DE3"/>
    <w:rsid w:val="00EA005D"/>
    <w:rsid w:val="00EA0B99"/>
    <w:rsid w:val="00EA0FAF"/>
    <w:rsid w:val="00EA33A4"/>
    <w:rsid w:val="00EA3B47"/>
    <w:rsid w:val="00EA45D8"/>
    <w:rsid w:val="00EA5C24"/>
    <w:rsid w:val="00EA5F81"/>
    <w:rsid w:val="00EA6E1D"/>
    <w:rsid w:val="00EA72AB"/>
    <w:rsid w:val="00EA7B88"/>
    <w:rsid w:val="00EB44EE"/>
    <w:rsid w:val="00EB509D"/>
    <w:rsid w:val="00EB6E7A"/>
    <w:rsid w:val="00EC13B7"/>
    <w:rsid w:val="00EC1BD8"/>
    <w:rsid w:val="00EC2445"/>
    <w:rsid w:val="00EC2AB1"/>
    <w:rsid w:val="00EC423F"/>
    <w:rsid w:val="00EC63E2"/>
    <w:rsid w:val="00EC69E1"/>
    <w:rsid w:val="00EC6D2D"/>
    <w:rsid w:val="00EC713A"/>
    <w:rsid w:val="00ED0F60"/>
    <w:rsid w:val="00ED2941"/>
    <w:rsid w:val="00ED65ED"/>
    <w:rsid w:val="00ED799A"/>
    <w:rsid w:val="00EE25F5"/>
    <w:rsid w:val="00EE278E"/>
    <w:rsid w:val="00EE3AEB"/>
    <w:rsid w:val="00EE4363"/>
    <w:rsid w:val="00EE5CC0"/>
    <w:rsid w:val="00EE5E88"/>
    <w:rsid w:val="00EE74E4"/>
    <w:rsid w:val="00EF0FE0"/>
    <w:rsid w:val="00EF1FF3"/>
    <w:rsid w:val="00EF2B89"/>
    <w:rsid w:val="00EF2BED"/>
    <w:rsid w:val="00EF5987"/>
    <w:rsid w:val="00EF64A8"/>
    <w:rsid w:val="00EF65C5"/>
    <w:rsid w:val="00F01448"/>
    <w:rsid w:val="00F01EBA"/>
    <w:rsid w:val="00F024B3"/>
    <w:rsid w:val="00F046C3"/>
    <w:rsid w:val="00F04B25"/>
    <w:rsid w:val="00F04D10"/>
    <w:rsid w:val="00F051B3"/>
    <w:rsid w:val="00F06136"/>
    <w:rsid w:val="00F07A8F"/>
    <w:rsid w:val="00F1063D"/>
    <w:rsid w:val="00F10F32"/>
    <w:rsid w:val="00F11602"/>
    <w:rsid w:val="00F139A5"/>
    <w:rsid w:val="00F13AE7"/>
    <w:rsid w:val="00F1658B"/>
    <w:rsid w:val="00F215A9"/>
    <w:rsid w:val="00F21A6E"/>
    <w:rsid w:val="00F226CE"/>
    <w:rsid w:val="00F23BB1"/>
    <w:rsid w:val="00F248F3"/>
    <w:rsid w:val="00F24CCC"/>
    <w:rsid w:val="00F25C93"/>
    <w:rsid w:val="00F27DB8"/>
    <w:rsid w:val="00F3080D"/>
    <w:rsid w:val="00F31ACB"/>
    <w:rsid w:val="00F327DB"/>
    <w:rsid w:val="00F32D1A"/>
    <w:rsid w:val="00F32EE8"/>
    <w:rsid w:val="00F33BFD"/>
    <w:rsid w:val="00F362A7"/>
    <w:rsid w:val="00F36F50"/>
    <w:rsid w:val="00F400A9"/>
    <w:rsid w:val="00F410EA"/>
    <w:rsid w:val="00F413C3"/>
    <w:rsid w:val="00F42186"/>
    <w:rsid w:val="00F42FBF"/>
    <w:rsid w:val="00F43CDE"/>
    <w:rsid w:val="00F44B0F"/>
    <w:rsid w:val="00F44F7C"/>
    <w:rsid w:val="00F4567B"/>
    <w:rsid w:val="00F47577"/>
    <w:rsid w:val="00F513F7"/>
    <w:rsid w:val="00F514EA"/>
    <w:rsid w:val="00F5237A"/>
    <w:rsid w:val="00F5294A"/>
    <w:rsid w:val="00F52DC5"/>
    <w:rsid w:val="00F533AD"/>
    <w:rsid w:val="00F533C5"/>
    <w:rsid w:val="00F534B9"/>
    <w:rsid w:val="00F5728B"/>
    <w:rsid w:val="00F6004F"/>
    <w:rsid w:val="00F600F8"/>
    <w:rsid w:val="00F61B63"/>
    <w:rsid w:val="00F61E0A"/>
    <w:rsid w:val="00F6430A"/>
    <w:rsid w:val="00F671B2"/>
    <w:rsid w:val="00F672FE"/>
    <w:rsid w:val="00F673C4"/>
    <w:rsid w:val="00F7022D"/>
    <w:rsid w:val="00F70FF1"/>
    <w:rsid w:val="00F70FFA"/>
    <w:rsid w:val="00F71A9C"/>
    <w:rsid w:val="00F728F6"/>
    <w:rsid w:val="00F73B1E"/>
    <w:rsid w:val="00F74BB3"/>
    <w:rsid w:val="00F75B41"/>
    <w:rsid w:val="00F75E35"/>
    <w:rsid w:val="00F76EFE"/>
    <w:rsid w:val="00F77554"/>
    <w:rsid w:val="00F8102D"/>
    <w:rsid w:val="00F81B41"/>
    <w:rsid w:val="00F82F52"/>
    <w:rsid w:val="00F83F52"/>
    <w:rsid w:val="00F84C0F"/>
    <w:rsid w:val="00F852B3"/>
    <w:rsid w:val="00F86641"/>
    <w:rsid w:val="00F86CE7"/>
    <w:rsid w:val="00F86EB4"/>
    <w:rsid w:val="00F86ED1"/>
    <w:rsid w:val="00F8738E"/>
    <w:rsid w:val="00F87711"/>
    <w:rsid w:val="00F87901"/>
    <w:rsid w:val="00F90E75"/>
    <w:rsid w:val="00F91945"/>
    <w:rsid w:val="00F91FCF"/>
    <w:rsid w:val="00F92923"/>
    <w:rsid w:val="00F92E94"/>
    <w:rsid w:val="00F93161"/>
    <w:rsid w:val="00F93A92"/>
    <w:rsid w:val="00F955CF"/>
    <w:rsid w:val="00F9673A"/>
    <w:rsid w:val="00F97A2D"/>
    <w:rsid w:val="00FA0840"/>
    <w:rsid w:val="00FA08A4"/>
    <w:rsid w:val="00FA0AD4"/>
    <w:rsid w:val="00FA150E"/>
    <w:rsid w:val="00FA27F5"/>
    <w:rsid w:val="00FA2E43"/>
    <w:rsid w:val="00FA63F1"/>
    <w:rsid w:val="00FA65B3"/>
    <w:rsid w:val="00FA681F"/>
    <w:rsid w:val="00FA773F"/>
    <w:rsid w:val="00FA799B"/>
    <w:rsid w:val="00FA7B89"/>
    <w:rsid w:val="00FB159F"/>
    <w:rsid w:val="00FB19F4"/>
    <w:rsid w:val="00FB1F36"/>
    <w:rsid w:val="00FB4732"/>
    <w:rsid w:val="00FB4F51"/>
    <w:rsid w:val="00FB5355"/>
    <w:rsid w:val="00FB5CC0"/>
    <w:rsid w:val="00FB6FED"/>
    <w:rsid w:val="00FB72FC"/>
    <w:rsid w:val="00FB7F26"/>
    <w:rsid w:val="00FC0B2C"/>
    <w:rsid w:val="00FC3325"/>
    <w:rsid w:val="00FC4239"/>
    <w:rsid w:val="00FC45F0"/>
    <w:rsid w:val="00FC4F4E"/>
    <w:rsid w:val="00FC5610"/>
    <w:rsid w:val="00FD126B"/>
    <w:rsid w:val="00FD183E"/>
    <w:rsid w:val="00FD1A59"/>
    <w:rsid w:val="00FD1EF9"/>
    <w:rsid w:val="00FD3802"/>
    <w:rsid w:val="00FD5998"/>
    <w:rsid w:val="00FD5BD5"/>
    <w:rsid w:val="00FD6793"/>
    <w:rsid w:val="00FD7243"/>
    <w:rsid w:val="00FD75DA"/>
    <w:rsid w:val="00FD7DA4"/>
    <w:rsid w:val="00FD7E01"/>
    <w:rsid w:val="00FE16FC"/>
    <w:rsid w:val="00FE1926"/>
    <w:rsid w:val="00FE21A5"/>
    <w:rsid w:val="00FE2B7E"/>
    <w:rsid w:val="00FE33DE"/>
    <w:rsid w:val="00FE543B"/>
    <w:rsid w:val="00FE57C9"/>
    <w:rsid w:val="00FE64BB"/>
    <w:rsid w:val="00FE7485"/>
    <w:rsid w:val="00FF0753"/>
    <w:rsid w:val="00FF15DA"/>
    <w:rsid w:val="00FF1B46"/>
    <w:rsid w:val="00FF2067"/>
    <w:rsid w:val="00FF27A9"/>
    <w:rsid w:val="00FF2A31"/>
    <w:rsid w:val="00FF3A9F"/>
    <w:rsid w:val="00FF3F13"/>
    <w:rsid w:val="00FF5603"/>
    <w:rsid w:val="00FF573B"/>
    <w:rsid w:val="00FF5A93"/>
    <w:rsid w:val="00FF72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8065"/>
    <o:shapelayout v:ext="edit">
      <o:idmap v:ext="edit" data="1"/>
    </o:shapelayout>
  </w:shapeDefaults>
  <w:decimalSymbol w:val=","/>
  <w:listSeparator w:val=";"/>
  <w14:docId w14:val="2C8B7B43"/>
  <w14:defaultImageDpi w14:val="96"/>
  <w:attachedTemplate r:id="relationI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i-FI" w:eastAsia="fi-FI" w:bidi="fi-FI"/>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uiPriority="99" w:qFormat="1"/>
    <w:lsdException w:name="caption" w:locked="1" w:semiHidden="1" w:unhideWhenUsed="1" w:qFormat="1"/>
    <w:lsdException w:name="footnote reference" w:locked="1" w:qFormat="1"/>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uiPriority="20" w:qFormat="1"/>
    <w:lsdException w:name="Normal (Web)" w:uiPriority="99"/>
    <w:lsdException w:name="HTML Preformatted"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522E"/>
    <w:pPr>
      <w:overflowPunct w:val="0"/>
      <w:autoSpaceDE w:val="0"/>
      <w:autoSpaceDN w:val="0"/>
      <w:adjustRightInd w:val="0"/>
      <w:spacing w:line="288" w:lineRule="auto"/>
      <w:jc w:val="both"/>
      <w:textAlignment w:val="baseline"/>
    </w:pPr>
    <w:rPr>
      <w:rFonts w:ascii="Times New Roman" w:hAnsi="Times New Roman"/>
      <w:sz w:val="22"/>
    </w:rPr>
  </w:style>
  <w:style w:type="paragraph" w:styleId="Heading1">
    <w:name w:val="heading 1"/>
    <w:basedOn w:val="Normal"/>
    <w:next w:val="Normal"/>
    <w:link w:val="Heading1Char"/>
    <w:qFormat/>
    <w:rsid w:val="0036522E"/>
    <w:pPr>
      <w:numPr>
        <w:numId w:val="1"/>
      </w:numPr>
      <w:outlineLvl w:val="0"/>
    </w:pPr>
    <w:rPr>
      <w:kern w:val="28"/>
    </w:rPr>
  </w:style>
  <w:style w:type="paragraph" w:styleId="Heading2">
    <w:name w:val="heading 2"/>
    <w:aliases w:val=" Char"/>
    <w:basedOn w:val="Normal"/>
    <w:next w:val="Normal"/>
    <w:link w:val="Heading2Char"/>
    <w:qFormat/>
    <w:rsid w:val="0036522E"/>
    <w:pPr>
      <w:numPr>
        <w:ilvl w:val="1"/>
        <w:numId w:val="1"/>
      </w:numPr>
      <w:outlineLvl w:val="1"/>
    </w:pPr>
  </w:style>
  <w:style w:type="paragraph" w:styleId="Heading3">
    <w:name w:val="heading 3"/>
    <w:basedOn w:val="Normal"/>
    <w:next w:val="Normal"/>
    <w:link w:val="Heading3Char"/>
    <w:qFormat/>
    <w:rsid w:val="0036522E"/>
    <w:pPr>
      <w:numPr>
        <w:ilvl w:val="2"/>
        <w:numId w:val="1"/>
      </w:numPr>
      <w:ind w:left="720" w:hanging="720"/>
      <w:outlineLvl w:val="2"/>
    </w:pPr>
  </w:style>
  <w:style w:type="paragraph" w:styleId="Heading4">
    <w:name w:val="heading 4"/>
    <w:basedOn w:val="Normal"/>
    <w:next w:val="Normal"/>
    <w:link w:val="Heading4Char"/>
    <w:qFormat/>
    <w:rsid w:val="0036522E"/>
    <w:pPr>
      <w:numPr>
        <w:ilvl w:val="3"/>
        <w:numId w:val="1"/>
      </w:numPr>
      <w:ind w:left="720" w:hanging="720"/>
      <w:outlineLvl w:val="3"/>
    </w:pPr>
  </w:style>
  <w:style w:type="paragraph" w:styleId="Heading5">
    <w:name w:val="heading 5"/>
    <w:basedOn w:val="Normal"/>
    <w:next w:val="Normal"/>
    <w:link w:val="Heading5Char"/>
    <w:qFormat/>
    <w:rsid w:val="0036522E"/>
    <w:pPr>
      <w:numPr>
        <w:ilvl w:val="4"/>
        <w:numId w:val="1"/>
      </w:numPr>
      <w:ind w:left="720" w:hanging="720"/>
      <w:outlineLvl w:val="4"/>
    </w:pPr>
  </w:style>
  <w:style w:type="paragraph" w:styleId="Heading6">
    <w:name w:val="heading 6"/>
    <w:basedOn w:val="Normal"/>
    <w:next w:val="Normal"/>
    <w:link w:val="Heading6Char"/>
    <w:qFormat/>
    <w:rsid w:val="0036522E"/>
    <w:pPr>
      <w:numPr>
        <w:ilvl w:val="5"/>
        <w:numId w:val="1"/>
      </w:numPr>
      <w:ind w:left="720" w:hanging="720"/>
      <w:outlineLvl w:val="5"/>
    </w:pPr>
  </w:style>
  <w:style w:type="paragraph" w:styleId="Heading7">
    <w:name w:val="heading 7"/>
    <w:basedOn w:val="Normal"/>
    <w:next w:val="Normal"/>
    <w:link w:val="Heading7Char"/>
    <w:qFormat/>
    <w:rsid w:val="0036522E"/>
    <w:pPr>
      <w:numPr>
        <w:ilvl w:val="6"/>
        <w:numId w:val="1"/>
      </w:numPr>
      <w:ind w:left="720" w:hanging="720"/>
      <w:outlineLvl w:val="6"/>
    </w:pPr>
  </w:style>
  <w:style w:type="paragraph" w:styleId="Heading8">
    <w:name w:val="heading 8"/>
    <w:basedOn w:val="Normal"/>
    <w:next w:val="Normal"/>
    <w:link w:val="Heading8Char"/>
    <w:qFormat/>
    <w:rsid w:val="0036522E"/>
    <w:pPr>
      <w:numPr>
        <w:ilvl w:val="7"/>
        <w:numId w:val="1"/>
      </w:numPr>
      <w:ind w:left="720" w:hanging="720"/>
      <w:outlineLvl w:val="7"/>
    </w:pPr>
  </w:style>
  <w:style w:type="paragraph" w:styleId="Heading9">
    <w:name w:val="heading 9"/>
    <w:basedOn w:val="Normal"/>
    <w:next w:val="Normal"/>
    <w:link w:val="Heading9Char"/>
    <w:qFormat/>
    <w:rsid w:val="0036522E"/>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rPr>
  </w:style>
  <w:style w:type="character" w:customStyle="1" w:styleId="Heading2Char">
    <w:name w:val="Heading 2 Char"/>
    <w:aliases w:val=" Char Char"/>
    <w:basedOn w:val="DefaultParagraphFont"/>
    <w:link w:val="Heading2"/>
    <w:qFormat/>
    <w:locked/>
    <w:rsid w:val="003B283B"/>
    <w:rPr>
      <w:rFonts w:ascii="Times New Roman" w:hAnsi="Times New Roman"/>
      <w:sz w:val="22"/>
    </w:rPr>
  </w:style>
  <w:style w:type="character" w:customStyle="1" w:styleId="Heading3Char">
    <w:name w:val="Heading 3 Char"/>
    <w:basedOn w:val="DefaultParagraphFont"/>
    <w:link w:val="Heading3"/>
    <w:locked/>
    <w:rsid w:val="003B283B"/>
    <w:rPr>
      <w:rFonts w:ascii="Times New Roman" w:hAnsi="Times New Roman"/>
      <w:sz w:val="22"/>
    </w:rPr>
  </w:style>
  <w:style w:type="character" w:customStyle="1" w:styleId="Heading4Char">
    <w:name w:val="Heading 4 Char"/>
    <w:basedOn w:val="DefaultParagraphFont"/>
    <w:link w:val="Heading4"/>
    <w:locked/>
    <w:rsid w:val="003B283B"/>
    <w:rPr>
      <w:rFonts w:ascii="Times New Roman" w:hAnsi="Times New Roman"/>
      <w:sz w:val="22"/>
    </w:rPr>
  </w:style>
  <w:style w:type="character" w:customStyle="1" w:styleId="Heading5Char">
    <w:name w:val="Heading 5 Char"/>
    <w:basedOn w:val="DefaultParagraphFont"/>
    <w:link w:val="Heading5"/>
    <w:locked/>
    <w:rsid w:val="003B283B"/>
    <w:rPr>
      <w:rFonts w:ascii="Times New Roman" w:hAnsi="Times New Roman"/>
      <w:sz w:val="22"/>
    </w:rPr>
  </w:style>
  <w:style w:type="character" w:customStyle="1" w:styleId="Heading6Char">
    <w:name w:val="Heading 6 Char"/>
    <w:basedOn w:val="DefaultParagraphFont"/>
    <w:link w:val="Heading6"/>
    <w:locked/>
    <w:rsid w:val="003B283B"/>
    <w:rPr>
      <w:rFonts w:ascii="Times New Roman" w:hAnsi="Times New Roman"/>
      <w:sz w:val="22"/>
    </w:rPr>
  </w:style>
  <w:style w:type="character" w:customStyle="1" w:styleId="Heading7Char">
    <w:name w:val="Heading 7 Char"/>
    <w:basedOn w:val="DefaultParagraphFont"/>
    <w:link w:val="Heading7"/>
    <w:locked/>
    <w:rsid w:val="003B283B"/>
    <w:rPr>
      <w:rFonts w:ascii="Times New Roman" w:hAnsi="Times New Roman"/>
      <w:sz w:val="22"/>
    </w:rPr>
  </w:style>
  <w:style w:type="character" w:customStyle="1" w:styleId="Heading8Char">
    <w:name w:val="Heading 8 Char"/>
    <w:basedOn w:val="DefaultParagraphFont"/>
    <w:link w:val="Heading8"/>
    <w:locked/>
    <w:rsid w:val="003B283B"/>
    <w:rPr>
      <w:rFonts w:ascii="Times New Roman" w:hAnsi="Times New Roman"/>
      <w:sz w:val="22"/>
    </w:rPr>
  </w:style>
  <w:style w:type="character" w:customStyle="1" w:styleId="Heading9Char">
    <w:name w:val="Heading 9 Char"/>
    <w:basedOn w:val="DefaultParagraphFont"/>
    <w:link w:val="Heading9"/>
    <w:locked/>
    <w:rsid w:val="003B283B"/>
    <w:rPr>
      <w:rFonts w:ascii="Times New Roman" w:hAnsi="Times New Roman"/>
      <w:sz w:val="22"/>
    </w:rPr>
  </w:style>
  <w:style w:type="paragraph" w:styleId="FootnoteText">
    <w:name w:val="footnote text"/>
    <w:basedOn w:val="Normal"/>
    <w:link w:val="FootnoteTextChar"/>
    <w:qFormat/>
    <w:rsid w:val="0036522E"/>
    <w:pPr>
      <w:keepLines/>
      <w:spacing w:after="60" w:line="240" w:lineRule="auto"/>
      <w:ind w:left="720" w:hanging="720"/>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lang w:val="fi-FI" w:eastAsia="fi-FI" w:bidi="fi-FI"/>
    </w:rPr>
  </w:style>
  <w:style w:type="paragraph" w:styleId="Header">
    <w:name w:val="header"/>
    <w:basedOn w:val="Normal"/>
    <w:link w:val="HeaderChar"/>
    <w:qFormat/>
    <w:rsid w:val="0036522E"/>
  </w:style>
  <w:style w:type="character" w:customStyle="1" w:styleId="HeaderChar">
    <w:name w:val="Header Char"/>
    <w:basedOn w:val="DefaultParagraphFont"/>
    <w:link w:val="Header"/>
    <w:locked/>
    <w:rsid w:val="003B283B"/>
    <w:rPr>
      <w:rFonts w:ascii="Times New Roman" w:hAnsi="Times New Roman"/>
      <w:sz w:val="22"/>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uiPriority w:val="99"/>
    <w:rsid w:val="003415D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415D2"/>
    <w:rPr>
      <w:rFonts w:ascii="Tahoma" w:hAnsi="Tahoma" w:cs="Tahoma"/>
      <w:sz w:val="16"/>
      <w:szCs w:val="16"/>
      <w:lang w:val="fi-FI" w:eastAsia="fi-FI" w:bidi="fi-FI"/>
    </w:rPr>
  </w:style>
  <w:style w:type="paragraph" w:styleId="Footer">
    <w:name w:val="footer"/>
    <w:basedOn w:val="Normal"/>
    <w:link w:val="FooterChar"/>
    <w:uiPriority w:val="99"/>
    <w:qFormat/>
    <w:locked/>
    <w:rsid w:val="0036522E"/>
  </w:style>
  <w:style w:type="character" w:customStyle="1" w:styleId="FooterChar">
    <w:name w:val="Footer Char"/>
    <w:basedOn w:val="DefaultParagraphFont"/>
    <w:link w:val="Footer"/>
    <w:uiPriority w:val="99"/>
    <w:rsid w:val="0036522E"/>
    <w:rPr>
      <w:rFonts w:ascii="Times New Roman" w:hAnsi="Times New Roman"/>
      <w:sz w:val="22"/>
    </w:rPr>
  </w:style>
  <w:style w:type="character" w:styleId="FootnoteReference">
    <w:name w:val="footnote reference"/>
    <w:aliases w:val="SUPERS,Footnote reference number,Footnote symbol,note TESI,-E Fußnotenzeichen,number,Footnote Reference Superscript,Times 10 Point,Exposant 3 Point"/>
    <w:basedOn w:val="DefaultParagraphFont"/>
    <w:qFormat/>
    <w:locked/>
    <w:rsid w:val="0036522E"/>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
    <w:basedOn w:val="Normal"/>
    <w:uiPriority w:val="34"/>
    <w:qFormat/>
    <w:rsid w:val="008959B9"/>
    <w:pPr>
      <w:overflowPunct/>
      <w:autoSpaceDE/>
      <w:autoSpaceDN/>
      <w:adjustRightInd/>
      <w:ind w:left="720"/>
      <w:contextualSpacing/>
      <w:textAlignment w:val="auto"/>
    </w:pPr>
    <w:rPr>
      <w:szCs w:val="22"/>
    </w:rPr>
  </w:style>
  <w:style w:type="paragraph" w:customStyle="1" w:styleId="Bullet0">
    <w:name w:val="Bullet 0"/>
    <w:basedOn w:val="Normal"/>
    <w:rsid w:val="00BA72BD"/>
    <w:pPr>
      <w:tabs>
        <w:tab w:val="num" w:pos="850"/>
      </w:tabs>
      <w:overflowPunct/>
      <w:autoSpaceDE/>
      <w:autoSpaceDN/>
      <w:adjustRightInd/>
      <w:spacing w:before="120" w:after="120" w:line="240" w:lineRule="auto"/>
      <w:ind w:left="850" w:hanging="850"/>
      <w:textAlignment w:val="auto"/>
    </w:pPr>
    <w:rPr>
      <w:snapToGrid w:val="0"/>
      <w:sz w:val="24"/>
      <w:szCs w:val="24"/>
    </w:rPr>
  </w:style>
  <w:style w:type="paragraph" w:customStyle="1" w:styleId="ListHeader">
    <w:name w:val="List Header"/>
    <w:uiPriority w:val="99"/>
    <w:rsid w:val="00DD0A86"/>
    <w:pPr>
      <w:widowControl w:val="0"/>
      <w:autoSpaceDE w:val="0"/>
      <w:autoSpaceDN w:val="0"/>
      <w:adjustRightInd w:val="0"/>
    </w:pPr>
    <w:rPr>
      <w:rFonts w:ascii="Arial" w:eastAsiaTheme="minorEastAsia" w:hAnsi="Arial" w:cs="Arial"/>
      <w:b/>
      <w:bCs/>
      <w:color w:val="404040"/>
    </w:rPr>
  </w:style>
  <w:style w:type="paragraph" w:customStyle="1" w:styleId="ListData">
    <w:name w:val="List Data"/>
    <w:uiPriority w:val="99"/>
    <w:rsid w:val="00DD0A86"/>
    <w:pPr>
      <w:widowControl w:val="0"/>
      <w:autoSpaceDE w:val="0"/>
      <w:autoSpaceDN w:val="0"/>
      <w:adjustRightInd w:val="0"/>
    </w:pPr>
    <w:rPr>
      <w:rFonts w:ascii="Arial" w:eastAsiaTheme="minorEastAsia" w:hAnsi="Arial" w:cs="Arial"/>
      <w:color w:val="000000"/>
      <w:sz w:val="18"/>
      <w:szCs w:val="18"/>
    </w:rPr>
  </w:style>
  <w:style w:type="paragraph" w:customStyle="1" w:styleId="ListParagraph1">
    <w:name w:val="List Paragraph1"/>
    <w:basedOn w:val="Normal"/>
    <w:uiPriority w:val="34"/>
    <w:qFormat/>
    <w:rsid w:val="00234CD4"/>
    <w:pPr>
      <w:overflowPunct/>
      <w:autoSpaceDE/>
      <w:autoSpaceDN/>
      <w:adjustRightInd/>
      <w:ind w:left="720"/>
      <w:contextualSpacing/>
      <w:textAlignment w:val="auto"/>
    </w:pPr>
    <w:rPr>
      <w:szCs w:val="22"/>
    </w:rPr>
  </w:style>
  <w:style w:type="paragraph" w:styleId="NoSpacing">
    <w:name w:val="No Spacing"/>
    <w:uiPriority w:val="1"/>
    <w:qFormat/>
    <w:rsid w:val="00DB6DF3"/>
    <w:pPr>
      <w:jc w:val="both"/>
    </w:pPr>
    <w:rPr>
      <w:rFonts w:ascii="Times New Roman" w:hAnsi="Times New Roman"/>
      <w:sz w:val="22"/>
      <w:szCs w:val="22"/>
    </w:rPr>
  </w:style>
  <w:style w:type="paragraph" w:styleId="NormalWeb">
    <w:name w:val="Normal (Web)"/>
    <w:basedOn w:val="Normal"/>
    <w:uiPriority w:val="99"/>
    <w:unhideWhenUsed/>
    <w:rsid w:val="009D4AAB"/>
    <w:pPr>
      <w:overflowPunct/>
      <w:autoSpaceDE/>
      <w:autoSpaceDN/>
      <w:adjustRightInd/>
      <w:spacing w:before="100" w:beforeAutospacing="1" w:after="100" w:afterAutospacing="1" w:line="240" w:lineRule="auto"/>
      <w:jc w:val="left"/>
      <w:textAlignment w:val="auto"/>
    </w:pPr>
    <w:rPr>
      <w:sz w:val="24"/>
      <w:szCs w:val="24"/>
      <w:lang w:val="en-GB" w:eastAsia="en-GB" w:bidi="ar-SA"/>
    </w:rPr>
  </w:style>
  <w:style w:type="character" w:customStyle="1" w:styleId="normal--char">
    <w:name w:val="normal--char"/>
    <w:basedOn w:val="DefaultParagraphFont"/>
    <w:rsid w:val="003566C1"/>
  </w:style>
  <w:style w:type="paragraph" w:styleId="BodyTextIndent">
    <w:name w:val="Body Text Indent"/>
    <w:basedOn w:val="Normal"/>
    <w:link w:val="BodyTextIndentChar"/>
    <w:rsid w:val="006A2E31"/>
    <w:pPr>
      <w:ind w:left="770"/>
    </w:pPr>
    <w:rPr>
      <w:lang w:val="fr-FR" w:eastAsia="en-US" w:bidi="ar-SA"/>
    </w:rPr>
  </w:style>
  <w:style w:type="character" w:customStyle="1" w:styleId="BodyTextIndentChar">
    <w:name w:val="Body Text Indent Char"/>
    <w:basedOn w:val="DefaultParagraphFont"/>
    <w:link w:val="BodyTextIndent"/>
    <w:rsid w:val="006A2E31"/>
    <w:rPr>
      <w:rFonts w:ascii="Times New Roman" w:hAnsi="Times New Roman"/>
      <w:sz w:val="22"/>
      <w:lang w:val="fr-FR"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i-FI" w:eastAsia="fi-FI" w:bidi="fi-FI"/>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uiPriority="99" w:qFormat="1"/>
    <w:lsdException w:name="caption" w:locked="1" w:semiHidden="1" w:unhideWhenUsed="1" w:qFormat="1"/>
    <w:lsdException w:name="footnote reference" w:locked="1" w:qFormat="1"/>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uiPriority="20" w:qFormat="1"/>
    <w:lsdException w:name="Normal (Web)" w:uiPriority="99"/>
    <w:lsdException w:name="HTML Preformatted"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522E"/>
    <w:pPr>
      <w:overflowPunct w:val="0"/>
      <w:autoSpaceDE w:val="0"/>
      <w:autoSpaceDN w:val="0"/>
      <w:adjustRightInd w:val="0"/>
      <w:spacing w:line="288" w:lineRule="auto"/>
      <w:jc w:val="both"/>
      <w:textAlignment w:val="baseline"/>
    </w:pPr>
    <w:rPr>
      <w:rFonts w:ascii="Times New Roman" w:hAnsi="Times New Roman"/>
      <w:sz w:val="22"/>
    </w:rPr>
  </w:style>
  <w:style w:type="paragraph" w:styleId="Heading1">
    <w:name w:val="heading 1"/>
    <w:basedOn w:val="Normal"/>
    <w:next w:val="Normal"/>
    <w:link w:val="Heading1Char"/>
    <w:qFormat/>
    <w:rsid w:val="0036522E"/>
    <w:pPr>
      <w:numPr>
        <w:numId w:val="1"/>
      </w:numPr>
      <w:outlineLvl w:val="0"/>
    </w:pPr>
    <w:rPr>
      <w:kern w:val="28"/>
    </w:rPr>
  </w:style>
  <w:style w:type="paragraph" w:styleId="Heading2">
    <w:name w:val="heading 2"/>
    <w:aliases w:val=" Char"/>
    <w:basedOn w:val="Normal"/>
    <w:next w:val="Normal"/>
    <w:link w:val="Heading2Char"/>
    <w:qFormat/>
    <w:rsid w:val="0036522E"/>
    <w:pPr>
      <w:numPr>
        <w:ilvl w:val="1"/>
        <w:numId w:val="1"/>
      </w:numPr>
      <w:outlineLvl w:val="1"/>
    </w:pPr>
  </w:style>
  <w:style w:type="paragraph" w:styleId="Heading3">
    <w:name w:val="heading 3"/>
    <w:basedOn w:val="Normal"/>
    <w:next w:val="Normal"/>
    <w:link w:val="Heading3Char"/>
    <w:qFormat/>
    <w:rsid w:val="0036522E"/>
    <w:pPr>
      <w:numPr>
        <w:ilvl w:val="2"/>
        <w:numId w:val="1"/>
      </w:numPr>
      <w:ind w:left="720" w:hanging="720"/>
      <w:outlineLvl w:val="2"/>
    </w:pPr>
  </w:style>
  <w:style w:type="paragraph" w:styleId="Heading4">
    <w:name w:val="heading 4"/>
    <w:basedOn w:val="Normal"/>
    <w:next w:val="Normal"/>
    <w:link w:val="Heading4Char"/>
    <w:qFormat/>
    <w:rsid w:val="0036522E"/>
    <w:pPr>
      <w:numPr>
        <w:ilvl w:val="3"/>
        <w:numId w:val="1"/>
      </w:numPr>
      <w:ind w:left="720" w:hanging="720"/>
      <w:outlineLvl w:val="3"/>
    </w:pPr>
  </w:style>
  <w:style w:type="paragraph" w:styleId="Heading5">
    <w:name w:val="heading 5"/>
    <w:basedOn w:val="Normal"/>
    <w:next w:val="Normal"/>
    <w:link w:val="Heading5Char"/>
    <w:qFormat/>
    <w:rsid w:val="0036522E"/>
    <w:pPr>
      <w:numPr>
        <w:ilvl w:val="4"/>
        <w:numId w:val="1"/>
      </w:numPr>
      <w:ind w:left="720" w:hanging="720"/>
      <w:outlineLvl w:val="4"/>
    </w:pPr>
  </w:style>
  <w:style w:type="paragraph" w:styleId="Heading6">
    <w:name w:val="heading 6"/>
    <w:basedOn w:val="Normal"/>
    <w:next w:val="Normal"/>
    <w:link w:val="Heading6Char"/>
    <w:qFormat/>
    <w:rsid w:val="0036522E"/>
    <w:pPr>
      <w:numPr>
        <w:ilvl w:val="5"/>
        <w:numId w:val="1"/>
      </w:numPr>
      <w:ind w:left="720" w:hanging="720"/>
      <w:outlineLvl w:val="5"/>
    </w:pPr>
  </w:style>
  <w:style w:type="paragraph" w:styleId="Heading7">
    <w:name w:val="heading 7"/>
    <w:basedOn w:val="Normal"/>
    <w:next w:val="Normal"/>
    <w:link w:val="Heading7Char"/>
    <w:qFormat/>
    <w:rsid w:val="0036522E"/>
    <w:pPr>
      <w:numPr>
        <w:ilvl w:val="6"/>
        <w:numId w:val="1"/>
      </w:numPr>
      <w:ind w:left="720" w:hanging="720"/>
      <w:outlineLvl w:val="6"/>
    </w:pPr>
  </w:style>
  <w:style w:type="paragraph" w:styleId="Heading8">
    <w:name w:val="heading 8"/>
    <w:basedOn w:val="Normal"/>
    <w:next w:val="Normal"/>
    <w:link w:val="Heading8Char"/>
    <w:qFormat/>
    <w:rsid w:val="0036522E"/>
    <w:pPr>
      <w:numPr>
        <w:ilvl w:val="7"/>
        <w:numId w:val="1"/>
      </w:numPr>
      <w:ind w:left="720" w:hanging="720"/>
      <w:outlineLvl w:val="7"/>
    </w:pPr>
  </w:style>
  <w:style w:type="paragraph" w:styleId="Heading9">
    <w:name w:val="heading 9"/>
    <w:basedOn w:val="Normal"/>
    <w:next w:val="Normal"/>
    <w:link w:val="Heading9Char"/>
    <w:qFormat/>
    <w:rsid w:val="0036522E"/>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rPr>
  </w:style>
  <w:style w:type="character" w:customStyle="1" w:styleId="Heading2Char">
    <w:name w:val="Heading 2 Char"/>
    <w:aliases w:val=" Char Char"/>
    <w:basedOn w:val="DefaultParagraphFont"/>
    <w:link w:val="Heading2"/>
    <w:qFormat/>
    <w:locked/>
    <w:rsid w:val="003B283B"/>
    <w:rPr>
      <w:rFonts w:ascii="Times New Roman" w:hAnsi="Times New Roman"/>
      <w:sz w:val="22"/>
    </w:rPr>
  </w:style>
  <w:style w:type="character" w:customStyle="1" w:styleId="Heading3Char">
    <w:name w:val="Heading 3 Char"/>
    <w:basedOn w:val="DefaultParagraphFont"/>
    <w:link w:val="Heading3"/>
    <w:locked/>
    <w:rsid w:val="003B283B"/>
    <w:rPr>
      <w:rFonts w:ascii="Times New Roman" w:hAnsi="Times New Roman"/>
      <w:sz w:val="22"/>
    </w:rPr>
  </w:style>
  <w:style w:type="character" w:customStyle="1" w:styleId="Heading4Char">
    <w:name w:val="Heading 4 Char"/>
    <w:basedOn w:val="DefaultParagraphFont"/>
    <w:link w:val="Heading4"/>
    <w:locked/>
    <w:rsid w:val="003B283B"/>
    <w:rPr>
      <w:rFonts w:ascii="Times New Roman" w:hAnsi="Times New Roman"/>
      <w:sz w:val="22"/>
    </w:rPr>
  </w:style>
  <w:style w:type="character" w:customStyle="1" w:styleId="Heading5Char">
    <w:name w:val="Heading 5 Char"/>
    <w:basedOn w:val="DefaultParagraphFont"/>
    <w:link w:val="Heading5"/>
    <w:locked/>
    <w:rsid w:val="003B283B"/>
    <w:rPr>
      <w:rFonts w:ascii="Times New Roman" w:hAnsi="Times New Roman"/>
      <w:sz w:val="22"/>
    </w:rPr>
  </w:style>
  <w:style w:type="character" w:customStyle="1" w:styleId="Heading6Char">
    <w:name w:val="Heading 6 Char"/>
    <w:basedOn w:val="DefaultParagraphFont"/>
    <w:link w:val="Heading6"/>
    <w:locked/>
    <w:rsid w:val="003B283B"/>
    <w:rPr>
      <w:rFonts w:ascii="Times New Roman" w:hAnsi="Times New Roman"/>
      <w:sz w:val="22"/>
    </w:rPr>
  </w:style>
  <w:style w:type="character" w:customStyle="1" w:styleId="Heading7Char">
    <w:name w:val="Heading 7 Char"/>
    <w:basedOn w:val="DefaultParagraphFont"/>
    <w:link w:val="Heading7"/>
    <w:locked/>
    <w:rsid w:val="003B283B"/>
    <w:rPr>
      <w:rFonts w:ascii="Times New Roman" w:hAnsi="Times New Roman"/>
      <w:sz w:val="22"/>
    </w:rPr>
  </w:style>
  <w:style w:type="character" w:customStyle="1" w:styleId="Heading8Char">
    <w:name w:val="Heading 8 Char"/>
    <w:basedOn w:val="DefaultParagraphFont"/>
    <w:link w:val="Heading8"/>
    <w:locked/>
    <w:rsid w:val="003B283B"/>
    <w:rPr>
      <w:rFonts w:ascii="Times New Roman" w:hAnsi="Times New Roman"/>
      <w:sz w:val="22"/>
    </w:rPr>
  </w:style>
  <w:style w:type="character" w:customStyle="1" w:styleId="Heading9Char">
    <w:name w:val="Heading 9 Char"/>
    <w:basedOn w:val="DefaultParagraphFont"/>
    <w:link w:val="Heading9"/>
    <w:locked/>
    <w:rsid w:val="003B283B"/>
    <w:rPr>
      <w:rFonts w:ascii="Times New Roman" w:hAnsi="Times New Roman"/>
      <w:sz w:val="22"/>
    </w:rPr>
  </w:style>
  <w:style w:type="paragraph" w:styleId="FootnoteText">
    <w:name w:val="footnote text"/>
    <w:basedOn w:val="Normal"/>
    <w:link w:val="FootnoteTextChar"/>
    <w:qFormat/>
    <w:rsid w:val="0036522E"/>
    <w:pPr>
      <w:keepLines/>
      <w:spacing w:after="60" w:line="240" w:lineRule="auto"/>
      <w:ind w:left="720" w:hanging="720"/>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lang w:val="fi-FI" w:eastAsia="fi-FI" w:bidi="fi-FI"/>
    </w:rPr>
  </w:style>
  <w:style w:type="paragraph" w:styleId="Header">
    <w:name w:val="header"/>
    <w:basedOn w:val="Normal"/>
    <w:link w:val="HeaderChar"/>
    <w:qFormat/>
    <w:rsid w:val="0036522E"/>
  </w:style>
  <w:style w:type="character" w:customStyle="1" w:styleId="HeaderChar">
    <w:name w:val="Header Char"/>
    <w:basedOn w:val="DefaultParagraphFont"/>
    <w:link w:val="Header"/>
    <w:locked/>
    <w:rsid w:val="003B283B"/>
    <w:rPr>
      <w:rFonts w:ascii="Times New Roman" w:hAnsi="Times New Roman"/>
      <w:sz w:val="22"/>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uiPriority w:val="99"/>
    <w:rsid w:val="003415D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415D2"/>
    <w:rPr>
      <w:rFonts w:ascii="Tahoma" w:hAnsi="Tahoma" w:cs="Tahoma"/>
      <w:sz w:val="16"/>
      <w:szCs w:val="16"/>
      <w:lang w:val="fi-FI" w:eastAsia="fi-FI" w:bidi="fi-FI"/>
    </w:rPr>
  </w:style>
  <w:style w:type="paragraph" w:styleId="Footer">
    <w:name w:val="footer"/>
    <w:basedOn w:val="Normal"/>
    <w:link w:val="FooterChar"/>
    <w:uiPriority w:val="99"/>
    <w:qFormat/>
    <w:locked/>
    <w:rsid w:val="0036522E"/>
  </w:style>
  <w:style w:type="character" w:customStyle="1" w:styleId="FooterChar">
    <w:name w:val="Footer Char"/>
    <w:basedOn w:val="DefaultParagraphFont"/>
    <w:link w:val="Footer"/>
    <w:uiPriority w:val="99"/>
    <w:rsid w:val="0036522E"/>
    <w:rPr>
      <w:rFonts w:ascii="Times New Roman" w:hAnsi="Times New Roman"/>
      <w:sz w:val="22"/>
    </w:rPr>
  </w:style>
  <w:style w:type="character" w:styleId="FootnoteReference">
    <w:name w:val="footnote reference"/>
    <w:aliases w:val="SUPERS,Footnote reference number,Footnote symbol,note TESI,-E Fußnotenzeichen,number,Footnote Reference Superscript,Times 10 Point,Exposant 3 Point"/>
    <w:basedOn w:val="DefaultParagraphFont"/>
    <w:qFormat/>
    <w:locked/>
    <w:rsid w:val="0036522E"/>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
    <w:basedOn w:val="Normal"/>
    <w:uiPriority w:val="34"/>
    <w:qFormat/>
    <w:rsid w:val="008959B9"/>
    <w:pPr>
      <w:overflowPunct/>
      <w:autoSpaceDE/>
      <w:autoSpaceDN/>
      <w:adjustRightInd/>
      <w:ind w:left="720"/>
      <w:contextualSpacing/>
      <w:textAlignment w:val="auto"/>
    </w:pPr>
    <w:rPr>
      <w:szCs w:val="22"/>
    </w:rPr>
  </w:style>
  <w:style w:type="paragraph" w:customStyle="1" w:styleId="Bullet0">
    <w:name w:val="Bullet 0"/>
    <w:basedOn w:val="Normal"/>
    <w:rsid w:val="00BA72BD"/>
    <w:pPr>
      <w:tabs>
        <w:tab w:val="num" w:pos="850"/>
      </w:tabs>
      <w:overflowPunct/>
      <w:autoSpaceDE/>
      <w:autoSpaceDN/>
      <w:adjustRightInd/>
      <w:spacing w:before="120" w:after="120" w:line="240" w:lineRule="auto"/>
      <w:ind w:left="850" w:hanging="850"/>
      <w:textAlignment w:val="auto"/>
    </w:pPr>
    <w:rPr>
      <w:snapToGrid w:val="0"/>
      <w:sz w:val="24"/>
      <w:szCs w:val="24"/>
    </w:rPr>
  </w:style>
  <w:style w:type="paragraph" w:customStyle="1" w:styleId="ListHeader">
    <w:name w:val="List Header"/>
    <w:uiPriority w:val="99"/>
    <w:rsid w:val="00DD0A86"/>
    <w:pPr>
      <w:widowControl w:val="0"/>
      <w:autoSpaceDE w:val="0"/>
      <w:autoSpaceDN w:val="0"/>
      <w:adjustRightInd w:val="0"/>
    </w:pPr>
    <w:rPr>
      <w:rFonts w:ascii="Arial" w:eastAsiaTheme="minorEastAsia" w:hAnsi="Arial" w:cs="Arial"/>
      <w:b/>
      <w:bCs/>
      <w:color w:val="404040"/>
    </w:rPr>
  </w:style>
  <w:style w:type="paragraph" w:customStyle="1" w:styleId="ListData">
    <w:name w:val="List Data"/>
    <w:uiPriority w:val="99"/>
    <w:rsid w:val="00DD0A86"/>
    <w:pPr>
      <w:widowControl w:val="0"/>
      <w:autoSpaceDE w:val="0"/>
      <w:autoSpaceDN w:val="0"/>
      <w:adjustRightInd w:val="0"/>
    </w:pPr>
    <w:rPr>
      <w:rFonts w:ascii="Arial" w:eastAsiaTheme="minorEastAsia" w:hAnsi="Arial" w:cs="Arial"/>
      <w:color w:val="000000"/>
      <w:sz w:val="18"/>
      <w:szCs w:val="18"/>
    </w:rPr>
  </w:style>
  <w:style w:type="paragraph" w:customStyle="1" w:styleId="ListParagraph1">
    <w:name w:val="List Paragraph1"/>
    <w:basedOn w:val="Normal"/>
    <w:uiPriority w:val="34"/>
    <w:qFormat/>
    <w:rsid w:val="00234CD4"/>
    <w:pPr>
      <w:overflowPunct/>
      <w:autoSpaceDE/>
      <w:autoSpaceDN/>
      <w:adjustRightInd/>
      <w:ind w:left="720"/>
      <w:contextualSpacing/>
      <w:textAlignment w:val="auto"/>
    </w:pPr>
    <w:rPr>
      <w:szCs w:val="22"/>
    </w:rPr>
  </w:style>
  <w:style w:type="paragraph" w:styleId="NoSpacing">
    <w:name w:val="No Spacing"/>
    <w:uiPriority w:val="1"/>
    <w:qFormat/>
    <w:rsid w:val="00DB6DF3"/>
    <w:pPr>
      <w:jc w:val="both"/>
    </w:pPr>
    <w:rPr>
      <w:rFonts w:ascii="Times New Roman" w:hAnsi="Times New Roman"/>
      <w:sz w:val="22"/>
      <w:szCs w:val="22"/>
    </w:rPr>
  </w:style>
  <w:style w:type="paragraph" w:styleId="NormalWeb">
    <w:name w:val="Normal (Web)"/>
    <w:basedOn w:val="Normal"/>
    <w:uiPriority w:val="99"/>
    <w:unhideWhenUsed/>
    <w:rsid w:val="009D4AAB"/>
    <w:pPr>
      <w:overflowPunct/>
      <w:autoSpaceDE/>
      <w:autoSpaceDN/>
      <w:adjustRightInd/>
      <w:spacing w:before="100" w:beforeAutospacing="1" w:after="100" w:afterAutospacing="1" w:line="240" w:lineRule="auto"/>
      <w:jc w:val="left"/>
      <w:textAlignment w:val="auto"/>
    </w:pPr>
    <w:rPr>
      <w:sz w:val="24"/>
      <w:szCs w:val="24"/>
      <w:lang w:val="en-GB" w:eastAsia="en-GB" w:bidi="ar-SA"/>
    </w:rPr>
  </w:style>
  <w:style w:type="character" w:customStyle="1" w:styleId="normal--char">
    <w:name w:val="normal--char"/>
    <w:basedOn w:val="DefaultParagraphFont"/>
    <w:rsid w:val="003566C1"/>
  </w:style>
  <w:style w:type="paragraph" w:styleId="BodyTextIndent">
    <w:name w:val="Body Text Indent"/>
    <w:basedOn w:val="Normal"/>
    <w:link w:val="BodyTextIndentChar"/>
    <w:rsid w:val="006A2E31"/>
    <w:pPr>
      <w:ind w:left="770"/>
    </w:pPr>
    <w:rPr>
      <w:lang w:val="fr-FR" w:eastAsia="en-US" w:bidi="ar-SA"/>
    </w:rPr>
  </w:style>
  <w:style w:type="character" w:customStyle="1" w:styleId="BodyTextIndentChar">
    <w:name w:val="Body Text Indent Char"/>
    <w:basedOn w:val="DefaultParagraphFont"/>
    <w:link w:val="BodyTextIndent"/>
    <w:rsid w:val="006A2E31"/>
    <w:rPr>
      <w:rFonts w:ascii="Times New Roman" w:hAnsi="Times New Roman"/>
      <w:sz w:val="22"/>
      <w:lang w:val="fr-FR"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01370633">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03590556">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15727752">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090731721">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89591680">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087338836">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mailto:marie-laurence.drillon@eesc.europa.eu" TargetMode="External"/><Relationship Id="rId26" Type="http://schemas.openxmlformats.org/officeDocument/2006/relationships/hyperlink" Target="mailto:arturo.iniguez@eesc.europa.eu" TargetMode="External"/><Relationship Id="rId3" Type="http://schemas.openxmlformats.org/officeDocument/2006/relationships/customXml" Target="../customXml/item3.xml"/><Relationship Id="rId21" Type="http://schemas.openxmlformats.org/officeDocument/2006/relationships/hyperlink" Target="mailto:maja.radman@eesc.europa.eu" TargetMode="External"/><Relationship Id="rId34" Type="http://schemas.openxmlformats.org/officeDocument/2006/relationships/footer" Target="foot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juri.soosaar@eesc.europa.eu" TargetMode="External"/><Relationship Id="rId25" Type="http://schemas.openxmlformats.org/officeDocument/2006/relationships/hyperlink" Target="mailto:maarit.laurila@eesc.europa.eu" TargetMode="External"/><Relationship Id="rId33" Type="http://schemas.openxmlformats.org/officeDocument/2006/relationships/footer" Target="footer2.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jana.valant@eesc.europa.eu" TargetMode="External"/><Relationship Id="rId29" Type="http://schemas.openxmlformats.org/officeDocument/2006/relationships/hyperlink" Target="mailto:june.bedaton@eesc.europa.e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monica.guarinoni@eesc.europa.eu"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dm.eesc.europa.eu/EESCDocumentSearch/Pages/opinionssearch.aspx" TargetMode="External"/><Relationship Id="rId23" Type="http://schemas.openxmlformats.org/officeDocument/2006/relationships/hyperlink" Target="mailto:conrad.ganslandt@eesc.europa.eu" TargetMode="External"/><Relationship Id="rId28" Type="http://schemas.openxmlformats.org/officeDocument/2006/relationships/hyperlink" Target="mailto:arturo.iniguez@eesc.europa.eu" TargetMode="External"/><Relationship Id="rId36"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hyperlink" Target="mailto:jana.valant@eesc.europa.eu"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en/our-work/opinions-information-reports/plenary-session-summaries" TargetMode="External"/><Relationship Id="rId22" Type="http://schemas.openxmlformats.org/officeDocument/2006/relationships/hyperlink" Target="mailto:lucia.mendezdelriocabra@eesc.europa.eu" TargetMode="External"/><Relationship Id="rId27" Type="http://schemas.openxmlformats.org/officeDocument/2006/relationships/hyperlink" Target="mailto:conrad.ganslandt@eesc.europa.eu" TargetMode="External"/><Relationship Id="rId30" Type="http://schemas.openxmlformats.org/officeDocument/2006/relationships/hyperlink" Target="mailto:triin.aasmaa@eesc.europa.eu" TargetMode="External"/><Relationship Id="rId35" Type="http://schemas.openxmlformats.org/officeDocument/2006/relationships/header" Target="header3.xml"/></Relationships>
</file>

<file path=word/_rels/settings.xml.rels>&#65279;<?xml version="1.0" encoding="utf-8"?><Relationships xmlns="http://schemas.openxmlformats.org/package/2006/relationships"><Relationship Type="http://schemas.openxmlformats.org/officeDocument/2006/relationships/attachedTemplate" Target="Normal.dotm" TargetMode="External" Id="relationI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RCSZ5D2JPTA3-5-5563</_dlc_DocId>
    <_dlc_DocIdUrl xmlns="8975caae-a2e4-4a1b-856a-87d8a7cad937">
      <Url>http://dm/EESC/2018/_layouts/DocIdRedir.aspx?ID=RCSZ5D2JPTA3-5-5563</Url>
      <Description>RCSZ5D2JPTA3-5-5563</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b2fd9cfc-69a7-468d-842d-8645d9eed445" xsi:nil="true"/>
    <Procedure xmlns="8975caae-a2e4-4a1b-856a-87d8a7cad937"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2018-06-15T12:00:00+00:00</ProductionDate>
    <DocumentNumber xmlns="b2fd9cfc-69a7-468d-842d-8645d9eed445">2039</DocumentNumber>
    <FicheYear xmlns="8975caae-a2e4-4a1b-856a-87d8a7cad937">2018</FicheYear>
    <DocumentVersion xmlns="8975caae-a2e4-4a1b-856a-87d8a7cad937">1</DocumentVersion>
    <DossierNumber xmlns="8975caae-a2e4-4a1b-856a-87d8a7cad93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 xsi:nil="true"/>
    <TaxCatchAll xmlns="8975caae-a2e4-4a1b-856a-87d8a7cad937">
      <Value>41</Value>
      <Value>40</Value>
      <Value>39</Value>
      <Value>38</Value>
      <Value>37</Value>
      <Value>33</Value>
      <Value>31</Value>
      <Value>28</Value>
      <Value>27</Value>
      <Value>25</Value>
      <Value>24</Value>
      <Value>23</Value>
      <Value>22</Value>
      <Value>21</Value>
      <Value>20</Value>
      <Value>19</Value>
      <Value>18</Value>
      <Value>16</Value>
      <Value>14</Value>
      <Value>13</Value>
      <Value>8</Value>
      <Value>7</Value>
      <Value>6</Value>
      <Value>5</Value>
      <Value>4</Value>
      <Value>1</Value>
      <Value>47</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FI</TermName>
          <TermId xmlns="http://schemas.microsoft.com/office/infopath/2007/PartnerControls">87606a43-d45f-42d6-b8c9-e1a3457db5b7</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7300</FicheNumber>
    <DocumentYear xmlns="8975caae-a2e4-4a1b-856a-87d8a7cad937">2018</DocumentYear>
    <AdoptionDate xmlns="8975caae-a2e4-4a1b-856a-87d8a7cad937">2018-05-23T12:00:00+00:00</AdoptionDate>
    <DocumentPart xmlns="8975caae-a2e4-4a1b-856a-87d8a7cad937">0</DocumentPart>
    <MeetingName_0 xmlns="http://schemas.microsoft.com/sharepoint/v3/fields">
      <Terms xmlns="http://schemas.microsoft.com/office/infopath/2007/PartnerControls"/>
    </MeetingName_0>
    <RequestingService xmlns="8975caae-a2e4-4a1b-856a-87d8a7cad937">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s>
    </AvailableTranslations_0>
  </documentManagement>
</p:propertie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C11DA2224A10F34E86FCC8C9E81793CC" ma:contentTypeVersion="4" ma:contentTypeDescription="Defines the documents for Document Manager V2" ma:contentTypeScope="" ma:versionID="0dadef9e21ff8e8145220e901a7995e2">
  <xsd:schema xmlns:xsd="http://www.w3.org/2001/XMLSchema" xmlns:xs="http://www.w3.org/2001/XMLSchema" xmlns:p="http://schemas.microsoft.com/office/2006/metadata/properties" xmlns:ns2="8975caae-a2e4-4a1b-856a-87d8a7cad937" xmlns:ns3="http://schemas.microsoft.com/sharepoint/v3/fields" xmlns:ns4="b2fd9cfc-69a7-468d-842d-8645d9eed445" targetNamespace="http://schemas.microsoft.com/office/2006/metadata/properties" ma:root="true" ma:fieldsID="71c43a90a329af690f26b436bfba4f57" ns2:_="" ns3:_="" ns4:_="">
    <xsd:import namespace="8975caae-a2e4-4a1b-856a-87d8a7cad937"/>
    <xsd:import namespace="http://schemas.microsoft.com/sharepoint/v3/fields"/>
    <xsd:import namespace="b2fd9cfc-69a7-468d-842d-8645d9eed44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fd9cfc-69a7-468d-842d-8645d9eed445"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2B315-18A8-418C-AEDB-0DE6F18C5CA7}"/>
</file>

<file path=customXml/itemProps2.xml><?xml version="1.0" encoding="utf-8"?>
<ds:datastoreItem xmlns:ds="http://schemas.openxmlformats.org/officeDocument/2006/customXml" ds:itemID="{27172C6D-F210-4BCC-96B9-D59A42C1E6F5}"/>
</file>

<file path=customXml/itemProps3.xml><?xml version="1.0" encoding="utf-8"?>
<ds:datastoreItem xmlns:ds="http://schemas.openxmlformats.org/officeDocument/2006/customXml" ds:itemID="{56BB4BF6-F0E9-4E01-B293-8F3850464632}"/>
</file>

<file path=customXml/itemProps4.xml><?xml version="1.0" encoding="utf-8"?>
<ds:datastoreItem xmlns:ds="http://schemas.openxmlformats.org/officeDocument/2006/customXml" ds:itemID="{65C41151-A0C8-492A-9572-9867E45A8089}"/>
</file>

<file path=customXml/itemProps5.xml><?xml version="1.0" encoding="utf-8"?>
<ds:datastoreItem xmlns:ds="http://schemas.openxmlformats.org/officeDocument/2006/customXml" ds:itemID="{CBC84AAA-7801-4394-84A0-ADE4BC456807}"/>
</file>

<file path=docProps/app.xml><?xml version="1.0" encoding="utf-8"?>
<Properties xmlns="http://schemas.openxmlformats.org/officeDocument/2006/extended-properties" xmlns:vt="http://schemas.openxmlformats.org/officeDocument/2006/docPropsVTypes">
  <Template>Normal</Template>
  <TotalTime>2</TotalTime>
  <Pages>15</Pages>
  <Words>3239</Words>
  <Characters>30462</Characters>
  <Application>Microsoft Office Word</Application>
  <DocSecurity>0</DocSecurity>
  <Lines>253</Lines>
  <Paragraphs>67</Paragraphs>
  <ScaleCrop>false</ScaleCrop>
  <HeadingPairs>
    <vt:vector size="2" baseType="variant">
      <vt:variant>
        <vt:lpstr>Title</vt:lpstr>
      </vt:variant>
      <vt:variant>
        <vt:i4>1</vt:i4>
      </vt:variant>
    </vt:vector>
  </HeadingPairs>
  <TitlesOfParts>
    <vt:vector size="1" baseType="lpstr">
      <vt:lpstr>Täysistunnossa annetut lausunnot - huhtikuu 2018</vt:lpstr>
    </vt:vector>
  </TitlesOfParts>
  <Company>CESE-CdR</Company>
  <LinksUpToDate>false</LinksUpToDate>
  <CharactersWithSpaces>33634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Toukokuun 2018 täysistunnossa annetut lausunnot</dc:title>
  <dc:subject>Lausuntotyö, muut</dc:subject>
  <dc:creator>Marcos Jaime Tornin</dc:creator>
  <cp:keywords>EESC-2018-02039-00-01-TCD-TRA-FR</cp:keywords>
  <dc:description>Rapporteur:  - Original language: FR, EN - Date of document: 15/06/2018 - Date of meeting:  - External documents:  - Administrator: MME Tamasauskiene Julija</dc:description>
  <cp:lastModifiedBy>Anna Paakkulainen</cp:lastModifiedBy>
  <cp:revision>3</cp:revision>
  <cp:lastPrinted>2018-02-12T07:51:00Z</cp:lastPrinted>
  <dcterms:created xsi:type="dcterms:W3CDTF">2018-06-14T15:57:00Z</dcterms:created>
  <dcterms:modified xsi:type="dcterms:W3CDTF">2018-06-15T11:32:00Z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14/02/2018, 24/01/2018, 16/01/2018, 19/12/2017, 01/12/2017, 16/11/2017, 15/11/2017, 17/10/2017, 13/09/2017, 03/07/2017, 12/06/2017, 02/06/2017, 24/04/2017, 23/03/2017, 13/12/2016, 15/09/2016, 14/09/2016, 14/09/2016, 12/07/2016, 30/06/2016, 29/06/2016, 23/</vt:lpwstr>
  </property>
  <property fmtid="{D5CDD505-2E9C-101B-9397-08002B2CF9AE}" pid="4" name="Pref_Time">
    <vt:lpwstr>11:57:02, 15:31:00, 09:45:52, 11:53:01, 15:00:14, 15:49:39, 15:47:16, 10:48:52, 11:23:50, 09:51:12, 14:43:57, 12:54:34, 12:22:33, 12:08:44, 12:23:59, 18:12:41, 09:48:43, 08:36:59, 11:43:50, 09:30:52, 17:35:55, 17:02:49, 16:30:20, 11:28:20, 09:54:52, 08:31</vt:lpwstr>
  </property>
  <property fmtid="{D5CDD505-2E9C-101B-9397-08002B2CF9AE}" pid="5" name="Pref_User">
    <vt:lpwstr>mkop, hnic, mkop, amett, jhvi, amett, tvoc, tvoc, tvoc, amett, hnic, mreg, mreg, enied, mreg, jhvi, tvoc, htoo, mreg, tvoc, hnic, mreg, hnic, amett, nmcg, amett, enied, nmcg, amett, enied, ymur, tvoc, nmcg, vvos, ssex, vvos, vvos, mkop, nmcg, amett, htoo,</vt:lpwstr>
  </property>
  <property fmtid="{D5CDD505-2E9C-101B-9397-08002B2CF9AE}" pid="6" name="Pref_FileName">
    <vt:lpwstr>EESC-2018-00366-00-00-TCD-ORI.docx, EESC-2017-05949-00-01-TCD-ORI.docx, EESC-2017-05949-00-00-TCD-ORI.docx, EESC-2017-05092-00-01-TCD-ORI.docx, EESC-2017-05092-00-00-TCD-ORI.docx, EESC-2017-04270-00-02-TCD-ORI.docx, EESC-2017-04270-00-01-TCD-ORI.docx, EES</vt:lpwstr>
  </property>
  <property fmtid="{D5CDD505-2E9C-101B-9397-08002B2CF9AE}" pid="7" name="ContentTypeId">
    <vt:lpwstr>0x010100EA97B91038054C99906057A708A1480A00C11DA2224A10F34E86FCC8C9E81793CC</vt:lpwstr>
  </property>
  <property fmtid="{D5CDD505-2E9C-101B-9397-08002B2CF9AE}" pid="8" name="_dlc_DocIdItemGuid">
    <vt:lpwstr>95d79832-8520-4ef4-918a-1f161e4f85b0</vt:lpwstr>
  </property>
  <property fmtid="{D5CDD505-2E9C-101B-9397-08002B2CF9AE}" pid="9" name="DocumentType_0">
    <vt:lpwstr>TCD|cd9d6eb6-3f4f-424a-b2d1-57c9d450eaaf</vt:lpwstr>
  </property>
  <property fmtid="{D5CDD505-2E9C-101B-9397-08002B2CF9AE}" pid="10" name="AvailableTranslations">
    <vt:lpwstr>38;#IT|0774613c-01ed-4e5d-a25d-11d2388de825;#22;#FI|87606a43-d45f-42d6-b8c9-e1a3457db5b7;#37;#LT|a7ff5ce7-6123-4f68-865a-a57c31810414;#39;#LV|46f7e311-5d9f-4663-b433-18aeccb7ace7;#19;#SL|98a412ae-eb01-49e9-ae3d-585a81724cfc;#40;#HR|2f555653-ed1a-4fe6-8362-9082d95989e5;#13;#DA|5d49c027-8956-412b-aa16-e85a0f96ad0e;#8;#FR|d2afafd3-4c81-4f60-8f52-ee33f2f54ff3;#4;#EN|f2175f21-25d7-44a3-96da-d6a61b075e1b;#18;#ES|e7a6b05b-ae16-40c8-add9-68b64b03aeba;#47;#ET|ff6c3f4c-b02c-4c3c-ab07-2c37995a7a0a;#41;#SV|c2ed69e7-a339-43d7-8f22-d93680a92aa0;#16;#HU|6b229040-c589-4408-b4c1-4285663d20a8;#33;#EL|6d4f4d51-af9b-4650-94b4-4276bee85c91;#14;#NL|55c6556c-b4f4-441d-9acf-c498d4f838bd;#21;#CS|72f9705b-0217-4fd3-bea2-cbc7ed80e26e;#23;#SK|46d9fce0-ef79-4f71-b89b-cd6aa82426b8;#24;#PT|50ccc04a-eadd-42ae-a0cb-acaf45f812ba;#27;#DE|f6b31e5a-26fa-4935-b661-318e46daf27e;#31;#RO|feb747a2-64cd-4299-af12-4833ddc30497;#28;#BG|1a1b3951-7821-4e6a-85f5-5673fc08bd2c;#20;#PL|1e03da61-4678-4e07-b136-b5024ca9197b</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2018</vt:i4>
  </property>
  <property fmtid="{D5CDD505-2E9C-101B-9397-08002B2CF9AE}" pid="14" name="DocumentNumber">
    <vt:i4>2039</vt:i4>
  </property>
  <property fmtid="{D5CDD505-2E9C-101B-9397-08002B2CF9AE}" pid="15" name="DocumentVersion">
    <vt:i4>1</vt:i4>
  </property>
  <property fmtid="{D5CDD505-2E9C-101B-9397-08002B2CF9AE}" pid="16" name="DocumentSource">
    <vt:lpwstr>1;#EESC|422833ec-8d7e-4e65-8e4e-8bed07ffb729</vt:lpwstr>
  </property>
  <property fmtid="{D5CDD505-2E9C-101B-9397-08002B2CF9AE}" pid="17" name="AdoptionDate">
    <vt:filetime>2018-05-23T12:00:00Z</vt:filetime>
  </property>
  <property fmtid="{D5CDD505-2E9C-101B-9397-08002B2CF9AE}" pid="18" name="DocumentType">
    <vt:lpwstr>25;#TCD|cd9d6eb6-3f4f-424a-b2d1-57c9d450eaaf</vt:lpwstr>
  </property>
  <property fmtid="{D5CDD505-2E9C-101B-9397-08002B2CF9AE}" pid="19" name="DocumentStatus">
    <vt:lpwstr>7;#TRA|150d2a88-1431-44e6-a8ca-0bb753ab8672</vt:lpwstr>
  </property>
  <property fmtid="{D5CDD505-2E9C-101B-9397-08002B2CF9AE}" pid="20" name="DossierName">
    <vt:lpwstr/>
  </property>
  <property fmtid="{D5CDD505-2E9C-101B-9397-08002B2CF9AE}" pid="21" name="DocumentPart">
    <vt:i4>0</vt:i4>
  </property>
  <property fmtid="{D5CDD505-2E9C-101B-9397-08002B2CF9AE}" pid="22" name="RequestingService">
    <vt:lpwstr>Greffe</vt:lpwstr>
  </property>
  <property fmtid="{D5CDD505-2E9C-101B-9397-08002B2CF9AE}" pid="23" name="Confidentiality">
    <vt:lpwstr>5;#Unrestricted|826e22d7-d029-4ec0-a450-0c28ff673572</vt:lpwstr>
  </property>
  <property fmtid="{D5CDD505-2E9C-101B-9397-08002B2CF9AE}" pid="24" name="Confidentiality_0">
    <vt:lpwstr>Unrestricted|826e22d7-d029-4ec0-a450-0c28ff673572</vt:lpwstr>
  </property>
  <property fmtid="{D5CDD505-2E9C-101B-9397-08002B2CF9AE}" pid="25" name="MeetingName_0">
    <vt:lpwstr/>
  </property>
  <property fmtid="{D5CDD505-2E9C-101B-9397-08002B2CF9AE}" pid="26" name="OriginalLanguage">
    <vt:lpwstr>8;#FR|d2afafd3-4c81-4f60-8f52-ee33f2f54ff3;#4;#EN|f2175f21-25d7-44a3-96da-d6a61b075e1b</vt:lpwstr>
  </property>
  <property fmtid="{D5CDD505-2E9C-101B-9397-08002B2CF9AE}" pid="27" name="MeetingName">
    <vt:lpwstr/>
  </property>
  <property fmtid="{D5CDD505-2E9C-101B-9397-08002B2CF9AE}" pid="28" name="DocumentStatus_0">
    <vt:lpwstr>TRA|150d2a88-1431-44e6-a8ca-0bb753ab8672</vt:lpwstr>
  </property>
  <property fmtid="{D5CDD505-2E9C-101B-9397-08002B2CF9AE}" pid="29" name="OriginalLanguage_0">
    <vt:lpwstr>FR|d2afafd3-4c81-4f60-8f52-ee33f2f54ff3;EN|f2175f21-25d7-44a3-96da-d6a61b075e1b</vt:lpwstr>
  </property>
  <property fmtid="{D5CDD505-2E9C-101B-9397-08002B2CF9AE}" pid="31" name="TaxCatchAll">
    <vt:lpwstr>19;#SL|98a412ae-eb01-49e9-ae3d-585a81724cfc;#27;#DE|f6b31e5a-26fa-4935-b661-318e46daf27e;#33;#EL|6d4f4d51-af9b-4650-94b4-4276bee85c91;#8;#FR|d2afafd3-4c81-4f60-8f52-ee33f2f54ff3;#7;#TRA|150d2a88-1431-44e6-a8ca-0bb753ab8672;#6;#Final|ea5e6674-7b27-4bac-b091-73adbb394efe;#5;#Unrestricted|826e22d7-d029-4ec0-a450-0c28ff673572;#4;#EN|f2175f21-25d7-44a3-96da-d6a61b075e1b;#25;#TCD|cd9d6eb6-3f4f-424a-b2d1-57c9d450eaaf;#1;#EESC|422833ec-8d7e-4e65-8e4e-8bed07ffb729;#23;#SK|46d9fce0-ef79-4f71-b89b-cd6aa82426b8</vt:lpwstr>
  </property>
  <property fmtid="{D5CDD505-2E9C-101B-9397-08002B2CF9AE}" pid="32" name="AvailableTranslations_0">
    <vt:lpwstr>SL|98a412ae-eb01-49e9-ae3d-585a81724cfc;EL|6d4f4d51-af9b-4650-94b4-4276bee85c91;SK|46d9fce0-ef79-4f71-b89b-cd6aa82426b8;DE|f6b31e5a-26fa-4935-b661-318e46daf27e</vt:lpwstr>
  </property>
  <property fmtid="{D5CDD505-2E9C-101B-9397-08002B2CF9AE}" pid="33" name="VersionStatus">
    <vt:lpwstr>6;#Final|ea5e6674-7b27-4bac-b091-73adbb394efe</vt:lpwstr>
  </property>
  <property fmtid="{D5CDD505-2E9C-101B-9397-08002B2CF9AE}" pid="34" name="VersionStatus_0">
    <vt:lpwstr>Final|ea5e6674-7b27-4bac-b091-73adbb394efe</vt:lpwstr>
  </property>
  <property fmtid="{D5CDD505-2E9C-101B-9397-08002B2CF9AE}" pid="35" name="FicheNumber">
    <vt:i4>7300</vt:i4>
  </property>
  <property fmtid="{D5CDD505-2E9C-101B-9397-08002B2CF9AE}" pid="36" name="DocumentYear">
    <vt:i4>2018</vt:i4>
  </property>
  <property fmtid="{D5CDD505-2E9C-101B-9397-08002B2CF9AE}" pid="37" name="DocumentLanguage">
    <vt:lpwstr>22;#FI|87606a43-d45f-42d6-b8c9-e1a3457db5b7</vt:lpwstr>
  </property>
</Properties>
</file>