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5A0" w:rsidRPr="0090399E" w:rsidRDefault="00FF5BF0" w:rsidP="00AB6734">
      <w:pPr>
        <w:snapToGrid w:val="0"/>
        <w:jc w:val="center"/>
      </w:pPr>
      <w:r w:rsidRPr="0090399E">
        <w:rPr>
          <w:noProof/>
          <w:lang w:val="fr-BE" w:eastAsia="fr-BE"/>
        </w:rPr>
        <mc:AlternateContent>
          <mc:Choice Requires="wps">
            <w:drawing>
              <wp:anchor distT="0" distB="0" distL="114300" distR="114300" simplePos="0" relativeHeight="251659264" behindDoc="1" locked="0" layoutInCell="0" allowOverlap="1" wp14:anchorId="06AC800C" wp14:editId="22B90EE6">
                <wp:simplePos x="0" y="0"/>
                <wp:positionH relativeFrom="page">
                  <wp:posOffset>6767830</wp:posOffset>
                </wp:positionH>
                <wp:positionV relativeFrom="page">
                  <wp:posOffset>10079990</wp:posOffset>
                </wp:positionV>
                <wp:extent cx="647700" cy="396240"/>
                <wp:effectExtent l="0" t="0" r="0" b="3810"/>
                <wp:wrapNone/>
                <wp:docPr id="1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5BF0" w:rsidRPr="00FF5BF0" w:rsidRDefault="00FF5BF0" w:rsidP="00FF5BF0">
                            <w:pPr>
                              <w:jc w:val="center"/>
                              <w:rPr>
                                <w:rFonts w:ascii="Arial" w:hAnsi="Arial" w:cs="Arial"/>
                                <w:b/>
                                <w:sz w:val="48"/>
                              </w:rPr>
                            </w:pPr>
                            <w:r>
                              <w:rPr>
                                <w:rFonts w:ascii="Arial" w:hAnsi="Arial"/>
                                <w:b/>
                                <w:sz w:val="48"/>
                              </w:rPr>
                              <w: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532.9pt;margin-top:793.7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" o:allowincell="f" filled="f" stroked="f">
                <v:textbox>
                  <w:txbxContent>
                    <w:p w:rsidR="00FF5BF0" w:rsidRPr="00FF5BF0" w:rsidRDefault="00FF5BF0" w:rsidP="00FF5BF0">
                      <w:pPr>
                        <w:jc w:val="center"/>
                        <w:rPr>
                          <w:rFonts w:ascii="Arial" w:hAnsi="Arial" w:cs="Arial"/>
                          <w:b/>
                          <w:sz w:val="48"/>
                        </w:rPr>
                      </w:pPr>
                      <w:r>
                        <w:rPr>
                          <w:rFonts w:ascii="Arial" w:hAnsi="Arial"/>
                          <w:b/>
                          <w:sz w:val="48"/>
                        </w:rPr>
                        <w:t>ES</w:t>
                      </w:r>
                    </w:p>
                  </w:txbxContent>
                </v:textbox>
                <w10:wrap anchorx="page" anchory="page"/>
              </v:shape>
            </w:pict>
          </mc:Fallback>
        </mc:AlternateContent>
      </w:r>
      <w:r w:rsidR="006A08D5" w:rsidRPr="0090399E">
        <w:fldChar w:fldCharType="begin"/>
      </w:r>
      <w:r w:rsidR="006A08D5" w:rsidRPr="0090399E">
        <w:instrText xml:space="preserve">  </w:instrText>
      </w:r>
      <w:r w:rsidR="006A08D5" w:rsidRPr="0090399E">
        <w:fldChar w:fldCharType="end"/>
      </w:r>
      <w:r w:rsidR="006A08D5" w:rsidRPr="0090399E">
        <w:rPr>
          <w:noProof/>
          <w:lang w:val="fr-BE" w:eastAsia="fr-BE"/>
        </w:rPr>
        <w:drawing>
          <wp:inline distT="0" distB="0" distL="0" distR="0" wp14:anchorId="307D4C6C" wp14:editId="51E98DEB">
            <wp:extent cx="876300" cy="5638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6300" cy="563880"/>
                    </a:xfrm>
                    <a:prstGeom prst="rect">
                      <a:avLst/>
                    </a:prstGeom>
                    <a:noFill/>
                    <a:ln>
                      <a:noFill/>
                    </a:ln>
                  </pic:spPr>
                </pic:pic>
              </a:graphicData>
            </a:graphic>
          </wp:inline>
        </w:drawing>
      </w:r>
    </w:p>
    <w:p w:rsidR="008405A0" w:rsidRPr="0090399E" w:rsidRDefault="00876D7B" w:rsidP="00AB6734">
      <w:pPr>
        <w:snapToGrid w:val="0"/>
        <w:jc w:val="center"/>
        <w:rPr>
          <w:rFonts w:ascii="Arial" w:eastAsia="MS Mincho" w:hAnsi="Arial" w:cs="Arial"/>
          <w:b/>
          <w:i/>
          <w:sz w:val="20"/>
        </w:rPr>
      </w:pPr>
      <w:r>
        <w:rPr>
          <w:rFonts w:ascii="Arial" w:hAnsi="Arial"/>
          <w:b/>
          <w:i/>
          <w:sz w:val="20"/>
        </w:rPr>
        <w:t>Comité Económico y Social Europeo</w:t>
      </w:r>
    </w:p>
    <w:p w:rsidR="008405A0" w:rsidRPr="0090399E" w:rsidRDefault="008405A0" w:rsidP="00AB6734">
      <w:pPr>
        <w:snapToGrid w:val="0"/>
      </w:pPr>
    </w:p>
    <w:p w:rsidR="008405A0" w:rsidRPr="0090399E" w:rsidRDefault="008405A0" w:rsidP="00AB6734">
      <w:pPr>
        <w:snapToGrid w:val="0"/>
      </w:pPr>
    </w:p>
    <w:p w:rsidR="008405A0" w:rsidRPr="0090399E" w:rsidRDefault="00FC0B2C" w:rsidP="00AB6734">
      <w:pPr>
        <w:snapToGrid w:val="0"/>
        <w:jc w:val="right"/>
        <w:rPr>
          <w:rFonts w:eastAsia="MS Mincho"/>
        </w:rPr>
      </w:pPr>
      <w:r>
        <w:t>Bruselas, 18 de junio de 2018</w:t>
      </w:r>
    </w:p>
    <w:p w:rsidR="008405A0" w:rsidRPr="0090399E" w:rsidRDefault="008405A0" w:rsidP="00AB6734">
      <w:pPr>
        <w:snapToGrid w:val="0"/>
      </w:pPr>
    </w:p>
    <w:p w:rsidR="008405A0" w:rsidRPr="0090399E" w:rsidRDefault="008405A0" w:rsidP="00AB6734">
      <w:pPr>
        <w:snapToGrid w:val="0"/>
      </w:pPr>
    </w:p>
    <w:p w:rsidR="00AF6F3E" w:rsidRPr="0090399E" w:rsidRDefault="00AF6F3E" w:rsidP="00AB6734">
      <w:pPr>
        <w:snapToGrid w:val="0"/>
      </w:pPr>
    </w:p>
    <w:p w:rsidR="006819C8" w:rsidRPr="0090399E" w:rsidRDefault="006819C8" w:rsidP="00AB6734">
      <w:pPr>
        <w:snapToGrid w:val="0"/>
      </w:pPr>
    </w:p>
    <w:tbl>
      <w:tblPr>
        <w:tblW w:w="0" w:type="auto"/>
        <w:tblLayout w:type="fixed"/>
        <w:tblLook w:val="0000" w:firstRow="0" w:lastRow="0" w:firstColumn="0" w:lastColumn="0" w:noHBand="0" w:noVBand="0"/>
      </w:tblPr>
      <w:tblGrid>
        <w:gridCol w:w="9289"/>
      </w:tblGrid>
      <w:tr w:rsidR="008405A0" w:rsidRPr="0090399E" w:rsidTr="00A72D7A">
        <w:tc>
          <w:tcPr>
            <w:tcW w:w="9289" w:type="dxa"/>
            <w:tcBorders>
              <w:top w:val="nil"/>
              <w:left w:val="nil"/>
              <w:bottom w:val="double" w:sz="4" w:space="0" w:color="auto"/>
              <w:right w:val="nil"/>
            </w:tcBorders>
          </w:tcPr>
          <w:p w:rsidR="008405A0" w:rsidRPr="0090399E" w:rsidRDefault="00FC0B2C" w:rsidP="00AB6734">
            <w:pPr>
              <w:snapToGrid w:val="0"/>
              <w:jc w:val="center"/>
              <w:rPr>
                <w:rFonts w:eastAsia="MS Mincho"/>
                <w:b/>
                <w:sz w:val="32"/>
              </w:rPr>
            </w:pPr>
            <w:r>
              <w:rPr>
                <w:b/>
                <w:sz w:val="32"/>
              </w:rPr>
              <w:t>PLENO</w:t>
            </w:r>
            <w:r>
              <w:rPr>
                <w:b/>
                <w:sz w:val="32"/>
              </w:rPr>
              <w:br/>
              <w:t xml:space="preserve"> </w:t>
            </w:r>
            <w:r>
              <w:rPr>
                <w:b/>
                <w:sz w:val="32"/>
              </w:rPr>
              <w:br/>
              <w:t>DE LOS DÍAS 23 Y 24 DE MAYO DE 2018</w:t>
            </w:r>
            <w:r>
              <w:rPr>
                <w:b/>
                <w:sz w:val="32"/>
              </w:rPr>
              <w:br/>
              <w:t xml:space="preserve"> </w:t>
            </w:r>
            <w:r>
              <w:rPr>
                <w:b/>
                <w:sz w:val="32"/>
              </w:rPr>
              <w:br/>
              <w:t>SÍNTESIS DE LOS DICTÁMENES APROBADOS</w:t>
            </w:r>
          </w:p>
          <w:p w:rsidR="008405A0" w:rsidRPr="0090399E" w:rsidRDefault="008405A0" w:rsidP="00AB6734"/>
          <w:p w:rsidR="008405A0" w:rsidRPr="0090399E" w:rsidRDefault="008405A0" w:rsidP="00AB6734"/>
        </w:tc>
      </w:tr>
      <w:tr w:rsidR="008405A0" w:rsidRPr="0090399E" w:rsidTr="00A72D7A">
        <w:tc>
          <w:tcPr>
            <w:tcW w:w="9289" w:type="dxa"/>
            <w:tcBorders>
              <w:top w:val="double" w:sz="4" w:space="0" w:color="auto"/>
              <w:left w:val="double" w:sz="4" w:space="0" w:color="auto"/>
              <w:bottom w:val="double" w:sz="4" w:space="0" w:color="auto"/>
              <w:right w:val="double" w:sz="4" w:space="0" w:color="auto"/>
            </w:tcBorders>
          </w:tcPr>
          <w:p w:rsidR="00FF15DA" w:rsidRPr="0090399E" w:rsidRDefault="00FF15DA" w:rsidP="00AB6734">
            <w:pPr>
              <w:snapToGrid w:val="0"/>
              <w:jc w:val="center"/>
              <w:rPr>
                <w:b/>
              </w:rPr>
            </w:pPr>
          </w:p>
          <w:p w:rsidR="00FC0B2C" w:rsidRPr="0090399E" w:rsidRDefault="00FC0B2C" w:rsidP="00AB6734">
            <w:pPr>
              <w:snapToGrid w:val="0"/>
              <w:jc w:val="center"/>
              <w:rPr>
                <w:rFonts w:eastAsia="MS Mincho"/>
                <w:b/>
              </w:rPr>
            </w:pPr>
            <w:r>
              <w:rPr>
                <w:b/>
              </w:rPr>
              <w:t>Este documento puede consultarse en todas las lenguas oficiales en el sitio Internet del Comité en la siguiente dirección:</w:t>
            </w:r>
          </w:p>
          <w:p w:rsidR="00FC0B2C" w:rsidRPr="0090399E" w:rsidRDefault="00FC0B2C" w:rsidP="00AB6734">
            <w:pPr>
              <w:snapToGrid w:val="0"/>
              <w:jc w:val="center"/>
              <w:rPr>
                <w:b/>
              </w:rPr>
            </w:pPr>
          </w:p>
          <w:p w:rsidR="00FC0B2C" w:rsidRPr="0090399E" w:rsidRDefault="00B65FE6" w:rsidP="00AB6734">
            <w:pPr>
              <w:jc w:val="center"/>
              <w:rPr>
                <w:rStyle w:val="Hyperlink"/>
                <w:b/>
              </w:rPr>
            </w:pPr>
            <w:hyperlink r:id="rId14">
              <w:r w:rsidR="00E66D85">
                <w:rPr>
                  <w:rStyle w:val="Hyperlink"/>
                </w:rPr>
                <w:t>http://www.eesc.europa.eu/en/our-work/opinions-information-reports/plenary-session-summaries</w:t>
              </w:r>
            </w:hyperlink>
          </w:p>
          <w:p w:rsidR="00FC0B2C" w:rsidRPr="0090399E" w:rsidRDefault="00FC0B2C" w:rsidP="00AB6734">
            <w:pPr>
              <w:snapToGrid w:val="0"/>
              <w:jc w:val="center"/>
              <w:rPr>
                <w:b/>
              </w:rPr>
            </w:pPr>
          </w:p>
          <w:p w:rsidR="00FC0B2C" w:rsidRPr="0090399E" w:rsidRDefault="00FC0B2C" w:rsidP="00AB6734">
            <w:pPr>
              <w:snapToGrid w:val="0"/>
              <w:jc w:val="center"/>
              <w:rPr>
                <w:rFonts w:eastAsia="SimSun"/>
                <w:b/>
              </w:rPr>
            </w:pPr>
          </w:p>
          <w:p w:rsidR="00FC0B2C" w:rsidRPr="0090399E" w:rsidRDefault="00FC0B2C" w:rsidP="00AB6734">
            <w:pPr>
              <w:snapToGrid w:val="0"/>
              <w:jc w:val="center"/>
              <w:rPr>
                <w:rFonts w:eastAsia="MS Mincho"/>
                <w:b/>
              </w:rPr>
            </w:pPr>
            <w:r>
              <w:rPr>
                <w:b/>
              </w:rPr>
              <w:t>Los dictámenes mencionados pueden consultarse en línea a partir del motor de búsqueda del Comité:</w:t>
            </w:r>
          </w:p>
          <w:p w:rsidR="00FC0B2C" w:rsidRPr="0090399E" w:rsidRDefault="00FC0B2C" w:rsidP="00AB6734">
            <w:pPr>
              <w:snapToGrid w:val="0"/>
              <w:jc w:val="center"/>
              <w:rPr>
                <w:b/>
              </w:rPr>
            </w:pPr>
          </w:p>
          <w:p w:rsidR="00FC0B2C" w:rsidRPr="0090399E" w:rsidRDefault="00B65FE6" w:rsidP="00AB6734">
            <w:pPr>
              <w:jc w:val="center"/>
              <w:rPr>
                <w:rStyle w:val="Hyperlink"/>
                <w:b/>
              </w:rPr>
            </w:pPr>
            <w:hyperlink r:id="rId15">
              <w:r w:rsidR="00E66D85">
                <w:rPr>
                  <w:rStyle w:val="Hyperlink"/>
                </w:rPr>
                <w:t>http://dm.eesc.europa.eu/EESCDocumentSearch/Pages/opinionssearch.aspx</w:t>
              </w:r>
            </w:hyperlink>
          </w:p>
          <w:p w:rsidR="008405A0" w:rsidRPr="0090399E" w:rsidRDefault="008405A0" w:rsidP="00AB6734">
            <w:pPr>
              <w:snapToGrid w:val="0"/>
              <w:jc w:val="center"/>
              <w:rPr>
                <w:b/>
                <w:bCs/>
              </w:rPr>
            </w:pPr>
          </w:p>
        </w:tc>
      </w:tr>
    </w:tbl>
    <w:p w:rsidR="008F7791" w:rsidRPr="0090399E" w:rsidRDefault="008F7791" w:rsidP="00AB6734">
      <w:pPr>
        <w:rPr>
          <w:rFonts w:eastAsia="SimSun"/>
        </w:rPr>
      </w:pPr>
    </w:p>
    <w:p w:rsidR="00A9340A" w:rsidRPr="0090399E" w:rsidRDefault="00A9340A" w:rsidP="00AB6734">
      <w:pPr>
        <w:rPr>
          <w:rFonts w:eastAsia="SimSun"/>
        </w:rPr>
        <w:sectPr w:rsidR="00A9340A" w:rsidRPr="0090399E" w:rsidSect="00FF5BF0">
          <w:footerReference w:type="default" r:id="rId16"/>
          <w:type w:val="continuous"/>
          <w:pgSz w:w="11907" w:h="16839"/>
          <w:pgMar w:top="1417" w:right="1417" w:bottom="1417" w:left="1417" w:header="709" w:footer="709" w:gutter="0"/>
          <w:pgNumType w:start="1"/>
          <w:cols w:space="708"/>
          <w:docGrid w:linePitch="299"/>
        </w:sectPr>
      </w:pPr>
    </w:p>
    <w:p w:rsidR="008405A0" w:rsidRPr="0090399E" w:rsidRDefault="00876D7B" w:rsidP="00AB6734">
      <w:pPr>
        <w:snapToGrid w:val="0"/>
        <w:rPr>
          <w:b/>
        </w:rPr>
      </w:pPr>
      <w:r>
        <w:rPr>
          <w:b/>
        </w:rPr>
        <w:lastRenderedPageBreak/>
        <w:t>Índice</w:t>
      </w:r>
    </w:p>
    <w:p w:rsidR="00D16D76" w:rsidRPr="0090399E" w:rsidRDefault="00D16D76" w:rsidP="00AB6734"/>
    <w:p w:rsidR="00B65FE6" w:rsidRDefault="003353E8">
      <w:pPr>
        <w:pStyle w:val="TOC1"/>
        <w:rPr>
          <w:rFonts w:asciiTheme="minorHAnsi" w:eastAsiaTheme="minorEastAsia" w:hAnsiTheme="minorHAnsi" w:cstheme="minorBidi"/>
          <w:noProof/>
          <w:lang w:val="fr-BE" w:eastAsia="fr-BE"/>
        </w:rPr>
      </w:pPr>
      <w:r w:rsidRPr="0090399E">
        <w:fldChar w:fldCharType="begin"/>
      </w:r>
      <w:r w:rsidRPr="0090399E">
        <w:instrText xml:space="preserve"> TOC \o "1-1" \h \z \u </w:instrText>
      </w:r>
      <w:r w:rsidRPr="0090399E">
        <w:fldChar w:fldCharType="separate"/>
      </w:r>
      <w:hyperlink w:anchor="_Toc517094445" w:history="1">
        <w:r w:rsidR="00B65FE6" w:rsidRPr="00076EB4">
          <w:rPr>
            <w:rStyle w:val="Hyperlink"/>
            <w:b/>
            <w:caps/>
            <w:noProof/>
          </w:rPr>
          <w:t>1.</w:t>
        </w:r>
        <w:r w:rsidR="00B65FE6">
          <w:rPr>
            <w:rFonts w:asciiTheme="minorHAnsi" w:eastAsiaTheme="minorEastAsia" w:hAnsiTheme="minorHAnsi" w:cstheme="minorBidi"/>
            <w:noProof/>
            <w:lang w:val="fr-BE" w:eastAsia="fr-BE"/>
          </w:rPr>
          <w:tab/>
        </w:r>
        <w:r w:rsidR="00B65FE6" w:rsidRPr="00076EB4">
          <w:rPr>
            <w:rStyle w:val="Hyperlink"/>
            <w:b/>
            <w:caps/>
            <w:noProof/>
          </w:rPr>
          <w:t>Unión Económica y Monetaria y Cohesión Económica y Social</w:t>
        </w:r>
        <w:r w:rsidR="00B65FE6">
          <w:rPr>
            <w:noProof/>
            <w:webHidden/>
          </w:rPr>
          <w:tab/>
        </w:r>
        <w:r w:rsidR="00B65FE6">
          <w:rPr>
            <w:noProof/>
            <w:webHidden/>
          </w:rPr>
          <w:fldChar w:fldCharType="begin"/>
        </w:r>
        <w:r w:rsidR="00B65FE6">
          <w:rPr>
            <w:noProof/>
            <w:webHidden/>
          </w:rPr>
          <w:instrText xml:space="preserve"> PAGEREF _Toc517094445 \h </w:instrText>
        </w:r>
        <w:r w:rsidR="00B65FE6">
          <w:rPr>
            <w:noProof/>
            <w:webHidden/>
          </w:rPr>
        </w:r>
        <w:r w:rsidR="00B65FE6">
          <w:rPr>
            <w:noProof/>
            <w:webHidden/>
          </w:rPr>
          <w:fldChar w:fldCharType="separate"/>
        </w:r>
        <w:r w:rsidR="00B65FE6">
          <w:rPr>
            <w:noProof/>
            <w:webHidden/>
          </w:rPr>
          <w:t>3</w:t>
        </w:r>
        <w:r w:rsidR="00B65FE6">
          <w:rPr>
            <w:noProof/>
            <w:webHidden/>
          </w:rPr>
          <w:fldChar w:fldCharType="end"/>
        </w:r>
      </w:hyperlink>
    </w:p>
    <w:p w:rsidR="00B65FE6" w:rsidRDefault="00B65FE6">
      <w:pPr>
        <w:pStyle w:val="TOC1"/>
        <w:rPr>
          <w:rFonts w:asciiTheme="minorHAnsi" w:eastAsiaTheme="minorEastAsia" w:hAnsiTheme="minorHAnsi" w:cstheme="minorBidi"/>
          <w:noProof/>
          <w:lang w:val="fr-BE" w:eastAsia="fr-BE"/>
        </w:rPr>
      </w:pPr>
      <w:hyperlink w:anchor="_Toc517094446" w:history="1">
        <w:r w:rsidRPr="00076EB4">
          <w:rPr>
            <w:rStyle w:val="Hyperlink"/>
            <w:b/>
            <w:caps/>
            <w:noProof/>
          </w:rPr>
          <w:t>2.</w:t>
        </w:r>
        <w:r>
          <w:rPr>
            <w:rFonts w:asciiTheme="minorHAnsi" w:eastAsiaTheme="minorEastAsia" w:hAnsiTheme="minorHAnsi" w:cstheme="minorBidi"/>
            <w:noProof/>
            <w:lang w:val="fr-BE" w:eastAsia="fr-BE"/>
          </w:rPr>
          <w:tab/>
        </w:r>
        <w:r w:rsidRPr="00076EB4">
          <w:rPr>
            <w:rStyle w:val="Hyperlink"/>
            <w:b/>
            <w:caps/>
            <w:noProof/>
          </w:rPr>
          <w:t>Sección de Mercado Único, Producción y Consumo</w:t>
        </w:r>
        <w:r>
          <w:rPr>
            <w:noProof/>
            <w:webHidden/>
          </w:rPr>
          <w:tab/>
        </w:r>
        <w:r>
          <w:rPr>
            <w:noProof/>
            <w:webHidden/>
          </w:rPr>
          <w:fldChar w:fldCharType="begin"/>
        </w:r>
        <w:r>
          <w:rPr>
            <w:noProof/>
            <w:webHidden/>
          </w:rPr>
          <w:instrText xml:space="preserve"> PAGEREF _Toc517094446 \h </w:instrText>
        </w:r>
        <w:r>
          <w:rPr>
            <w:noProof/>
            <w:webHidden/>
          </w:rPr>
        </w:r>
        <w:r>
          <w:rPr>
            <w:noProof/>
            <w:webHidden/>
          </w:rPr>
          <w:fldChar w:fldCharType="separate"/>
        </w:r>
        <w:r>
          <w:rPr>
            <w:noProof/>
            <w:webHidden/>
          </w:rPr>
          <w:t>4</w:t>
        </w:r>
        <w:r>
          <w:rPr>
            <w:noProof/>
            <w:webHidden/>
          </w:rPr>
          <w:fldChar w:fldCharType="end"/>
        </w:r>
      </w:hyperlink>
    </w:p>
    <w:p w:rsidR="00B65FE6" w:rsidRDefault="00B65FE6">
      <w:pPr>
        <w:pStyle w:val="TOC1"/>
        <w:rPr>
          <w:rFonts w:asciiTheme="minorHAnsi" w:eastAsiaTheme="minorEastAsia" w:hAnsiTheme="minorHAnsi" w:cstheme="minorBidi"/>
          <w:noProof/>
          <w:lang w:val="fr-BE" w:eastAsia="fr-BE"/>
        </w:rPr>
      </w:pPr>
      <w:hyperlink w:anchor="_Toc517094447" w:history="1">
        <w:r w:rsidRPr="00076EB4">
          <w:rPr>
            <w:rStyle w:val="Hyperlink"/>
            <w:b/>
            <w:caps/>
            <w:noProof/>
          </w:rPr>
          <w:t>3.</w:t>
        </w:r>
        <w:r>
          <w:rPr>
            <w:rFonts w:asciiTheme="minorHAnsi" w:eastAsiaTheme="minorEastAsia" w:hAnsiTheme="minorHAnsi" w:cstheme="minorBidi"/>
            <w:noProof/>
            <w:lang w:val="fr-BE" w:eastAsia="fr-BE"/>
          </w:rPr>
          <w:tab/>
        </w:r>
        <w:r w:rsidRPr="00076EB4">
          <w:rPr>
            <w:rStyle w:val="Hyperlink"/>
            <w:b/>
            <w:caps/>
            <w:noProof/>
          </w:rPr>
          <w:t>Transportes, Energía, Infraestructuras y Sociedad de la Información</w:t>
        </w:r>
        <w:r>
          <w:rPr>
            <w:noProof/>
            <w:webHidden/>
          </w:rPr>
          <w:tab/>
        </w:r>
        <w:r>
          <w:rPr>
            <w:noProof/>
            <w:webHidden/>
          </w:rPr>
          <w:fldChar w:fldCharType="begin"/>
        </w:r>
        <w:r>
          <w:rPr>
            <w:noProof/>
            <w:webHidden/>
          </w:rPr>
          <w:instrText xml:space="preserve"> PAGEREF _Toc517094447 \h </w:instrText>
        </w:r>
        <w:r>
          <w:rPr>
            <w:noProof/>
            <w:webHidden/>
          </w:rPr>
        </w:r>
        <w:r>
          <w:rPr>
            <w:noProof/>
            <w:webHidden/>
          </w:rPr>
          <w:fldChar w:fldCharType="separate"/>
        </w:r>
        <w:r>
          <w:rPr>
            <w:noProof/>
            <w:webHidden/>
          </w:rPr>
          <w:t>6</w:t>
        </w:r>
        <w:r>
          <w:rPr>
            <w:noProof/>
            <w:webHidden/>
          </w:rPr>
          <w:fldChar w:fldCharType="end"/>
        </w:r>
      </w:hyperlink>
    </w:p>
    <w:p w:rsidR="00B65FE6" w:rsidRDefault="00B65FE6">
      <w:pPr>
        <w:pStyle w:val="TOC1"/>
        <w:rPr>
          <w:rFonts w:asciiTheme="minorHAnsi" w:eastAsiaTheme="minorEastAsia" w:hAnsiTheme="minorHAnsi" w:cstheme="minorBidi"/>
          <w:noProof/>
          <w:lang w:val="fr-BE" w:eastAsia="fr-BE"/>
        </w:rPr>
      </w:pPr>
      <w:hyperlink w:anchor="_Toc517094448" w:history="1">
        <w:r w:rsidRPr="00076EB4">
          <w:rPr>
            <w:rStyle w:val="Hyperlink"/>
            <w:b/>
            <w:caps/>
            <w:noProof/>
          </w:rPr>
          <w:t>4.</w:t>
        </w:r>
        <w:r>
          <w:rPr>
            <w:rFonts w:asciiTheme="minorHAnsi" w:eastAsiaTheme="minorEastAsia" w:hAnsiTheme="minorHAnsi" w:cstheme="minorBidi"/>
            <w:noProof/>
            <w:lang w:val="fr-BE" w:eastAsia="fr-BE"/>
          </w:rPr>
          <w:tab/>
        </w:r>
        <w:r w:rsidRPr="00076EB4">
          <w:rPr>
            <w:rStyle w:val="Hyperlink"/>
            <w:b/>
            <w:caps/>
            <w:noProof/>
          </w:rPr>
          <w:t>Relaciones Exteriores</w:t>
        </w:r>
        <w:r>
          <w:rPr>
            <w:noProof/>
            <w:webHidden/>
          </w:rPr>
          <w:tab/>
        </w:r>
        <w:r>
          <w:rPr>
            <w:noProof/>
            <w:webHidden/>
          </w:rPr>
          <w:fldChar w:fldCharType="begin"/>
        </w:r>
        <w:r>
          <w:rPr>
            <w:noProof/>
            <w:webHidden/>
          </w:rPr>
          <w:instrText xml:space="preserve"> PAGEREF _Toc517094448 \h </w:instrText>
        </w:r>
        <w:r>
          <w:rPr>
            <w:noProof/>
            <w:webHidden/>
          </w:rPr>
        </w:r>
        <w:r>
          <w:rPr>
            <w:noProof/>
            <w:webHidden/>
          </w:rPr>
          <w:fldChar w:fldCharType="separate"/>
        </w:r>
        <w:r>
          <w:rPr>
            <w:noProof/>
            <w:webHidden/>
          </w:rPr>
          <w:t>7</w:t>
        </w:r>
        <w:r>
          <w:rPr>
            <w:noProof/>
            <w:webHidden/>
          </w:rPr>
          <w:fldChar w:fldCharType="end"/>
        </w:r>
      </w:hyperlink>
    </w:p>
    <w:p w:rsidR="00B65FE6" w:rsidRDefault="00B65FE6">
      <w:pPr>
        <w:pStyle w:val="TOC1"/>
        <w:rPr>
          <w:rFonts w:asciiTheme="minorHAnsi" w:eastAsiaTheme="minorEastAsia" w:hAnsiTheme="minorHAnsi" w:cstheme="minorBidi"/>
          <w:noProof/>
          <w:lang w:val="fr-BE" w:eastAsia="fr-BE"/>
        </w:rPr>
      </w:pPr>
      <w:hyperlink w:anchor="_Toc517094449" w:history="1">
        <w:r w:rsidRPr="00076EB4">
          <w:rPr>
            <w:rStyle w:val="Hyperlink"/>
            <w:b/>
            <w:caps/>
            <w:noProof/>
          </w:rPr>
          <w:t>5.</w:t>
        </w:r>
        <w:r>
          <w:rPr>
            <w:rFonts w:asciiTheme="minorHAnsi" w:eastAsiaTheme="minorEastAsia" w:hAnsiTheme="minorHAnsi" w:cstheme="minorBidi"/>
            <w:noProof/>
            <w:lang w:val="fr-BE" w:eastAsia="fr-BE"/>
          </w:rPr>
          <w:tab/>
        </w:r>
        <w:r w:rsidRPr="00076EB4">
          <w:rPr>
            <w:rStyle w:val="Hyperlink"/>
            <w:b/>
            <w:caps/>
            <w:noProof/>
          </w:rPr>
          <w:t>Agricultura, Desarrollo Rural y Medio Ambiente</w:t>
        </w:r>
        <w:r>
          <w:rPr>
            <w:noProof/>
            <w:webHidden/>
          </w:rPr>
          <w:tab/>
        </w:r>
        <w:r>
          <w:rPr>
            <w:noProof/>
            <w:webHidden/>
          </w:rPr>
          <w:fldChar w:fldCharType="begin"/>
        </w:r>
        <w:r>
          <w:rPr>
            <w:noProof/>
            <w:webHidden/>
          </w:rPr>
          <w:instrText xml:space="preserve"> PAGEREF _Toc517094449 \h </w:instrText>
        </w:r>
        <w:r>
          <w:rPr>
            <w:noProof/>
            <w:webHidden/>
          </w:rPr>
        </w:r>
        <w:r>
          <w:rPr>
            <w:noProof/>
            <w:webHidden/>
          </w:rPr>
          <w:fldChar w:fldCharType="separate"/>
        </w:r>
        <w:r>
          <w:rPr>
            <w:noProof/>
            <w:webHidden/>
          </w:rPr>
          <w:t>9</w:t>
        </w:r>
        <w:r>
          <w:rPr>
            <w:noProof/>
            <w:webHidden/>
          </w:rPr>
          <w:fldChar w:fldCharType="end"/>
        </w:r>
      </w:hyperlink>
    </w:p>
    <w:p w:rsidR="00B65FE6" w:rsidRDefault="00B65FE6">
      <w:pPr>
        <w:pStyle w:val="TOC1"/>
        <w:rPr>
          <w:rFonts w:asciiTheme="minorHAnsi" w:eastAsiaTheme="minorEastAsia" w:hAnsiTheme="minorHAnsi" w:cstheme="minorBidi"/>
          <w:noProof/>
          <w:lang w:val="fr-BE" w:eastAsia="fr-BE"/>
        </w:rPr>
      </w:pPr>
      <w:hyperlink w:anchor="_Toc517094450" w:history="1">
        <w:r w:rsidRPr="00076EB4">
          <w:rPr>
            <w:rStyle w:val="Hyperlink"/>
            <w:b/>
            <w:bCs/>
            <w:iCs/>
            <w:caps/>
            <w:noProof/>
          </w:rPr>
          <w:t>6.</w:t>
        </w:r>
        <w:r>
          <w:rPr>
            <w:rFonts w:asciiTheme="minorHAnsi" w:eastAsiaTheme="minorEastAsia" w:hAnsiTheme="minorHAnsi" w:cstheme="minorBidi"/>
            <w:noProof/>
            <w:lang w:val="fr-BE" w:eastAsia="fr-BE"/>
          </w:rPr>
          <w:tab/>
        </w:r>
        <w:r w:rsidRPr="00076EB4">
          <w:rPr>
            <w:rStyle w:val="Hyperlink"/>
            <w:b/>
            <w:bCs/>
            <w:iCs/>
            <w:caps/>
            <w:noProof/>
          </w:rPr>
          <w:t>Empleo, Asuntos Sociales y Ciudadanía</w:t>
        </w:r>
        <w:r>
          <w:rPr>
            <w:noProof/>
            <w:webHidden/>
          </w:rPr>
          <w:tab/>
        </w:r>
        <w:r>
          <w:rPr>
            <w:noProof/>
            <w:webHidden/>
          </w:rPr>
          <w:fldChar w:fldCharType="begin"/>
        </w:r>
        <w:r>
          <w:rPr>
            <w:noProof/>
            <w:webHidden/>
          </w:rPr>
          <w:instrText xml:space="preserve"> PAGEREF _Toc517094450 \h </w:instrText>
        </w:r>
        <w:r>
          <w:rPr>
            <w:noProof/>
            <w:webHidden/>
          </w:rPr>
        </w:r>
        <w:r>
          <w:rPr>
            <w:noProof/>
            <w:webHidden/>
          </w:rPr>
          <w:fldChar w:fldCharType="separate"/>
        </w:r>
        <w:r>
          <w:rPr>
            <w:noProof/>
            <w:webHidden/>
          </w:rPr>
          <w:t>15</w:t>
        </w:r>
        <w:r>
          <w:rPr>
            <w:noProof/>
            <w:webHidden/>
          </w:rPr>
          <w:fldChar w:fldCharType="end"/>
        </w:r>
      </w:hyperlink>
    </w:p>
    <w:p w:rsidR="008405A0" w:rsidRPr="0090399E" w:rsidRDefault="003353E8" w:rsidP="00AB6734">
      <w:r w:rsidRPr="0090399E">
        <w:fldChar w:fldCharType="end"/>
      </w:r>
      <w:r>
        <w:br w:type="page"/>
      </w:r>
      <w:bookmarkStart w:id="0" w:name="_GoBack"/>
      <w:bookmarkEnd w:id="0"/>
    </w:p>
    <w:p w:rsidR="00421682" w:rsidRPr="0090399E" w:rsidRDefault="00AD7EE7" w:rsidP="00AB6734">
      <w:r>
        <w:lastRenderedPageBreak/>
        <w:t>Los dictámenes aprobados en el pleno del 23 de mayo de 2018 fueron los siguientes:</w:t>
      </w:r>
    </w:p>
    <w:p w:rsidR="00A43397" w:rsidRPr="0090399E" w:rsidRDefault="00A43397" w:rsidP="00AB6734"/>
    <w:p w:rsidR="00A43397" w:rsidRPr="0090399E" w:rsidRDefault="000C491C" w:rsidP="00BC1694">
      <w:pPr>
        <w:pStyle w:val="Heading1"/>
        <w:rPr>
          <w:b/>
          <w:caps/>
        </w:rPr>
      </w:pPr>
      <w:bookmarkStart w:id="1" w:name="_Toc517094445"/>
      <w:r>
        <w:rPr>
          <w:b/>
          <w:caps/>
        </w:rPr>
        <w:t>Unión Económica y Monetaria y Cohesión Económica y Social</w:t>
      </w:r>
      <w:bookmarkEnd w:id="1"/>
    </w:p>
    <w:p w:rsidR="00FE3C85" w:rsidRPr="0090399E" w:rsidRDefault="00FE3C85" w:rsidP="00AB6734"/>
    <w:p w:rsidR="00A32152" w:rsidRPr="0090399E" w:rsidRDefault="00A32152" w:rsidP="00AB6734">
      <w:pPr>
        <w:pStyle w:val="ListParagraph"/>
        <w:widowControl w:val="0"/>
        <w:numPr>
          <w:ilvl w:val="0"/>
          <w:numId w:val="13"/>
        </w:numPr>
        <w:overflowPunct w:val="0"/>
        <w:autoSpaceDE w:val="0"/>
        <w:autoSpaceDN w:val="0"/>
        <w:adjustRightInd w:val="0"/>
        <w:textAlignment w:val="baseline"/>
        <w:rPr>
          <w:b/>
          <w:bCs/>
          <w:i/>
          <w:iCs/>
          <w:sz w:val="28"/>
          <w:szCs w:val="28"/>
        </w:rPr>
      </w:pPr>
      <w:r>
        <w:rPr>
          <w:b/>
          <w:bCs/>
          <w:i/>
          <w:iCs/>
          <w:sz w:val="28"/>
          <w:szCs w:val="28"/>
        </w:rPr>
        <w:t>Paquete sobre la reforma del IVA (II)</w:t>
      </w:r>
    </w:p>
    <w:p w:rsidR="00A32152" w:rsidRPr="0090399E" w:rsidRDefault="00A32152" w:rsidP="00AB6734">
      <w:pPr>
        <w:ind w:firstLine="17"/>
      </w:pPr>
    </w:p>
    <w:p w:rsidR="00A32152" w:rsidRPr="0090399E" w:rsidRDefault="00A32152" w:rsidP="000432D1">
      <w:pPr>
        <w:tabs>
          <w:tab w:val="left" w:pos="1418"/>
        </w:tabs>
      </w:pPr>
      <w:r>
        <w:rPr>
          <w:b/>
        </w:rPr>
        <w:t>Ponente</w:t>
      </w:r>
      <w:r>
        <w:tab/>
      </w:r>
      <w:proofErr w:type="spellStart"/>
      <w:r>
        <w:t>Petru</w:t>
      </w:r>
      <w:proofErr w:type="spellEnd"/>
      <w:r>
        <w:t xml:space="preserve"> </w:t>
      </w:r>
      <w:proofErr w:type="spellStart"/>
      <w:r>
        <w:t>Sorin</w:t>
      </w:r>
      <w:proofErr w:type="spellEnd"/>
      <w:r>
        <w:t xml:space="preserve"> DANDEA (Grupo de Trabajadores – RO)</w:t>
      </w:r>
    </w:p>
    <w:p w:rsidR="00A32152" w:rsidRPr="0090399E" w:rsidRDefault="00A32152" w:rsidP="00AB6734">
      <w:pPr>
        <w:tabs>
          <w:tab w:val="left" w:pos="1701"/>
        </w:tabs>
        <w:rPr>
          <w:b/>
        </w:rPr>
      </w:pPr>
    </w:p>
    <w:p w:rsidR="00A32152" w:rsidRPr="0090399E" w:rsidRDefault="00A32152" w:rsidP="000432D1">
      <w:pPr>
        <w:tabs>
          <w:tab w:val="left" w:pos="1418"/>
        </w:tabs>
      </w:pPr>
      <w:r>
        <w:rPr>
          <w:b/>
          <w:bCs/>
        </w:rPr>
        <w:t>Referencias:</w:t>
      </w:r>
      <w:r w:rsidR="004504F1">
        <w:rPr>
          <w:b/>
          <w:bCs/>
        </w:rPr>
        <w:tab/>
      </w:r>
      <w:proofErr w:type="gramStart"/>
      <w:r>
        <w:t>COM(</w:t>
      </w:r>
      <w:proofErr w:type="gramEnd"/>
      <w:r>
        <w:t>2018) 20 final - 2018/0005(CNS)</w:t>
      </w:r>
    </w:p>
    <w:p w:rsidR="00A32152" w:rsidRPr="0090399E" w:rsidRDefault="0068003C" w:rsidP="000432D1">
      <w:pPr>
        <w:tabs>
          <w:tab w:val="left" w:pos="1418"/>
        </w:tabs>
      </w:pPr>
      <w:r>
        <w:tab/>
      </w:r>
      <w:proofErr w:type="gramStart"/>
      <w:r>
        <w:t>COM(</w:t>
      </w:r>
      <w:proofErr w:type="gramEnd"/>
      <w:r>
        <w:t>2018) 21 final - 2018/0006(CNS)</w:t>
      </w:r>
    </w:p>
    <w:p w:rsidR="00A32152" w:rsidRPr="0090399E" w:rsidRDefault="0068003C" w:rsidP="000432D1">
      <w:pPr>
        <w:tabs>
          <w:tab w:val="left" w:pos="1418"/>
        </w:tabs>
      </w:pPr>
      <w:r>
        <w:tab/>
      </w:r>
      <w:proofErr w:type="gramStart"/>
      <w:r>
        <w:t>COM(</w:t>
      </w:r>
      <w:proofErr w:type="gramEnd"/>
      <w:r>
        <w:t>2018) 783 final - 2017/0248(CNS)</w:t>
      </w:r>
    </w:p>
    <w:p w:rsidR="00A32152" w:rsidRPr="0090399E" w:rsidRDefault="0068003C" w:rsidP="000432D1">
      <w:pPr>
        <w:tabs>
          <w:tab w:val="left" w:pos="1418"/>
        </w:tabs>
        <w:rPr>
          <w:i/>
          <w:iCs/>
        </w:rPr>
      </w:pPr>
      <w:r>
        <w:tab/>
      </w:r>
      <w:proofErr w:type="gramStart"/>
      <w:r>
        <w:t>COM(</w:t>
      </w:r>
      <w:proofErr w:type="gramEnd"/>
      <w:r>
        <w:t>2018) 706 final - 2017/0349(CNS)</w:t>
      </w:r>
    </w:p>
    <w:p w:rsidR="00A32152" w:rsidRPr="0090399E" w:rsidRDefault="00A32152" w:rsidP="000432D1">
      <w:pPr>
        <w:tabs>
          <w:tab w:val="left" w:pos="1418"/>
        </w:tabs>
      </w:pPr>
      <w:r>
        <w:rPr>
          <w:b/>
          <w:bCs/>
        </w:rPr>
        <w:tab/>
      </w:r>
      <w:r>
        <w:t>EESC-2017-05457-00-00-AC-TRA</w:t>
      </w:r>
    </w:p>
    <w:p w:rsidR="00A32152" w:rsidRPr="0090399E" w:rsidRDefault="00A32152" w:rsidP="00AB6734">
      <w:pPr>
        <w:ind w:left="-5"/>
        <w:rPr>
          <w:b/>
        </w:rPr>
      </w:pPr>
      <w:r>
        <w:tab/>
      </w:r>
    </w:p>
    <w:p w:rsidR="00A32152" w:rsidRPr="0090399E" w:rsidRDefault="00A32152" w:rsidP="00AB6734">
      <w:pPr>
        <w:ind w:left="-5"/>
        <w:rPr>
          <w:b/>
        </w:rPr>
      </w:pPr>
      <w:r>
        <w:rPr>
          <w:b/>
        </w:rPr>
        <w:t>Puntos clave:</w:t>
      </w:r>
    </w:p>
    <w:p w:rsidR="00FE3C85" w:rsidRPr="0090399E" w:rsidRDefault="00FE3C85" w:rsidP="00AB6734"/>
    <w:p w:rsidR="00A32152" w:rsidRPr="0090399E" w:rsidRDefault="00A32152" w:rsidP="00AB6734">
      <w:r>
        <w:t>El CESE:</w:t>
      </w:r>
    </w:p>
    <w:p w:rsidR="00A32152" w:rsidRPr="0090399E" w:rsidRDefault="00A32152" w:rsidP="00AB6734"/>
    <w:p w:rsidR="00A32152" w:rsidRPr="0090399E" w:rsidRDefault="00A32152" w:rsidP="0090399E">
      <w:pPr>
        <w:pStyle w:val="ListParagraph"/>
        <w:numPr>
          <w:ilvl w:val="0"/>
          <w:numId w:val="7"/>
        </w:numPr>
        <w:ind w:left="357" w:hanging="357"/>
      </w:pPr>
      <w:r>
        <w:t>acoge favorablemente las propuestas de la Comisión y recomienda a los Estados miembros que las adopten y las apliquen con celeridad, pues la excesiva fragmentación del régimen del IVA en el mercado interior crea obstáculos injustificados para el desarrollo de las pequeñas empresas;</w:t>
      </w:r>
    </w:p>
    <w:p w:rsidR="00A32152" w:rsidRPr="0090399E" w:rsidRDefault="00A32152" w:rsidP="0090399E">
      <w:pPr>
        <w:pStyle w:val="ListParagraph"/>
        <w:numPr>
          <w:ilvl w:val="0"/>
          <w:numId w:val="7"/>
        </w:numPr>
        <w:ind w:left="357" w:hanging="357"/>
      </w:pPr>
      <w:r>
        <w:t>está de acuerdo con el objetivo de la Comisión de que las medidas incluidas en este paquete deben redundar en beneficio del consumidor final pero advierte de que la «lista negativa» no debe afectar indebidamente a la libertad de los Estados miembros de establecer tipos reducidos para determinados productos de interés general;</w:t>
      </w:r>
    </w:p>
    <w:p w:rsidR="00A32152" w:rsidRPr="0090399E" w:rsidRDefault="009E3FEB" w:rsidP="0090399E">
      <w:pPr>
        <w:pStyle w:val="ListParagraph"/>
        <w:numPr>
          <w:ilvl w:val="0"/>
          <w:numId w:val="7"/>
        </w:numPr>
        <w:ind w:left="357" w:hanging="357"/>
      </w:pPr>
      <w:r>
        <w:t>desea llamar la atención de los Estados miembros sobre aspectos importantes del régimen del IVA aplicado a las organizaciones y asociaciones que prestan asistencia a las personas desfavorecidas. Por consiguiente, el Comité recomienda que las instituciones de la UE y los Estados miembros eximan a estas organizaciones del régimen del IVA;</w:t>
      </w:r>
    </w:p>
    <w:p w:rsidR="00A32152" w:rsidRPr="0090399E" w:rsidRDefault="00A32152" w:rsidP="0090399E">
      <w:pPr>
        <w:pStyle w:val="ListParagraph"/>
        <w:numPr>
          <w:ilvl w:val="0"/>
          <w:numId w:val="7"/>
        </w:numPr>
        <w:ind w:left="357" w:hanging="357"/>
      </w:pPr>
      <w:r>
        <w:t>está de acuerdo con la propuesta de la Comisión de permitir a los Estados miembros que utilicen dos tipos reducidos del 5 % como mínimo y un tipo reducido inferior al 5 %, y considera que deben aplicarse, como ya ocurre en algunos Estados miembros, a determinadas categorías de productos y servicios; recomienda a los Estados miembros que mantengan las reducciones aplicadas actualmente a determinadas clases de productos o servicios de interés general;</w:t>
      </w:r>
    </w:p>
    <w:p w:rsidR="00A32152" w:rsidRPr="0090399E" w:rsidRDefault="00A32152" w:rsidP="0090399E">
      <w:pPr>
        <w:pStyle w:val="ListParagraph"/>
        <w:numPr>
          <w:ilvl w:val="0"/>
          <w:numId w:val="7"/>
        </w:numPr>
        <w:ind w:left="357" w:hanging="357"/>
      </w:pPr>
      <w:r>
        <w:t>recomienda a los Estados miembros que destinen los recursos humanos, financieros y logísticos necesarios para las instituciones encargadas de luchar contra los delitos en el ámbito del IVA con el fin de garantizar una correcta aplicación de las disposiciones del Reglamento propuesto por la Comisión;</w:t>
      </w:r>
    </w:p>
    <w:p w:rsidR="00A32152" w:rsidRPr="0090399E" w:rsidRDefault="00A32152" w:rsidP="0090399E">
      <w:pPr>
        <w:pStyle w:val="ListParagraph"/>
        <w:numPr>
          <w:ilvl w:val="0"/>
          <w:numId w:val="8"/>
        </w:numPr>
        <w:ind w:left="357" w:hanging="357"/>
      </w:pPr>
      <w:r>
        <w:t>considera que los ambiciosos objetivos fijados por la Comisión en el marco de este paquete legislativo solo podrán alcanzarse si los Estados miembros hacen los esfuerzos necesarios para adoptar el sistema definitivo del IVA en un plazo de tiempo razonable.</w:t>
      </w:r>
    </w:p>
    <w:p w:rsidR="00A32152" w:rsidRPr="0090399E" w:rsidRDefault="00A32152" w:rsidP="00AB6734">
      <w:pPr>
        <w:rPr>
          <w:highlight w:val="yellow"/>
        </w:rPr>
      </w:pPr>
    </w:p>
    <w:p w:rsidR="00A32152" w:rsidRPr="0090399E" w:rsidRDefault="00A32152" w:rsidP="00BC1694">
      <w:pPr>
        <w:tabs>
          <w:tab w:val="left" w:pos="1134"/>
        </w:tabs>
        <w:rPr>
          <w:i/>
        </w:rPr>
      </w:pPr>
      <w:r>
        <w:rPr>
          <w:b/>
          <w:i/>
        </w:rPr>
        <w:t>Contacto</w:t>
      </w:r>
      <w:r>
        <w:t>:</w:t>
      </w:r>
      <w:r>
        <w:rPr>
          <w:i/>
        </w:rPr>
        <w:t xml:space="preserve"> </w:t>
      </w:r>
      <w:r>
        <w:rPr>
          <w:i/>
        </w:rPr>
        <w:tab/>
      </w:r>
      <w:proofErr w:type="spellStart"/>
      <w:r>
        <w:rPr>
          <w:i/>
        </w:rPr>
        <w:t>Jüri</w:t>
      </w:r>
      <w:proofErr w:type="spellEnd"/>
      <w:r>
        <w:rPr>
          <w:i/>
        </w:rPr>
        <w:t xml:space="preserve"> </w:t>
      </w:r>
      <w:proofErr w:type="spellStart"/>
      <w:r>
        <w:rPr>
          <w:i/>
        </w:rPr>
        <w:t>Soosaar</w:t>
      </w:r>
      <w:proofErr w:type="spellEnd"/>
    </w:p>
    <w:p w:rsidR="0082010F" w:rsidRPr="0090399E" w:rsidRDefault="00A32152" w:rsidP="00BC1694">
      <w:pPr>
        <w:tabs>
          <w:tab w:val="left" w:pos="1134"/>
        </w:tabs>
        <w:rPr>
          <w:i/>
        </w:rPr>
      </w:pPr>
      <w:r>
        <w:rPr>
          <w:i/>
        </w:rPr>
        <w:tab/>
      </w:r>
      <w:r>
        <w:rPr>
          <w:i/>
          <w:iCs/>
        </w:rPr>
        <w:t>(Tel. 00 32 2 546 96 28 – correo electrónico:</w:t>
      </w:r>
      <w:r>
        <w:t xml:space="preserve"> </w:t>
      </w:r>
      <w:hyperlink r:id="rId17" w:history="1">
        <w:r>
          <w:rPr>
            <w:rStyle w:val="Hyperlink"/>
            <w:i/>
          </w:rPr>
          <w:t>juri.soosaar@eesc.europa.eu</w:t>
        </w:r>
      </w:hyperlink>
      <w:r>
        <w:rPr>
          <w:i/>
        </w:rPr>
        <w:t>)</w:t>
      </w:r>
    </w:p>
    <w:p w:rsidR="00DD5589" w:rsidRPr="0090399E" w:rsidRDefault="00DD5589" w:rsidP="00FF5BF0">
      <w:pPr>
        <w:rPr>
          <w:iCs/>
          <w:highlight w:val="yellow"/>
          <w:u w:val="single"/>
        </w:rPr>
      </w:pPr>
      <w:r>
        <w:br w:type="page"/>
      </w:r>
    </w:p>
    <w:p w:rsidR="00A43397" w:rsidRPr="0090399E" w:rsidRDefault="000C491C" w:rsidP="00BC1694">
      <w:pPr>
        <w:pStyle w:val="Heading1"/>
        <w:rPr>
          <w:b/>
          <w:caps/>
        </w:rPr>
      </w:pPr>
      <w:bookmarkStart w:id="2" w:name="_Toc514234401"/>
      <w:bookmarkStart w:id="3" w:name="_Toc514234649"/>
      <w:bookmarkStart w:id="4" w:name="_Toc514234896"/>
      <w:bookmarkStart w:id="5" w:name="_Toc514235021"/>
      <w:bookmarkStart w:id="6" w:name="_Toc514235145"/>
      <w:bookmarkStart w:id="7" w:name="_Toc514235268"/>
      <w:bookmarkStart w:id="8" w:name="_Toc514235388"/>
      <w:bookmarkStart w:id="9" w:name="_Toc514235506"/>
      <w:bookmarkStart w:id="10" w:name="_Toc514235624"/>
      <w:bookmarkStart w:id="11" w:name="_Toc514234402"/>
      <w:bookmarkStart w:id="12" w:name="_Toc514234650"/>
      <w:bookmarkStart w:id="13" w:name="_Toc514234897"/>
      <w:bookmarkStart w:id="14" w:name="_Toc514235022"/>
      <w:bookmarkStart w:id="15" w:name="_Toc514235146"/>
      <w:bookmarkStart w:id="16" w:name="_Toc514235269"/>
      <w:bookmarkStart w:id="17" w:name="_Toc514235389"/>
      <w:bookmarkStart w:id="18" w:name="_Toc514235507"/>
      <w:bookmarkStart w:id="19" w:name="_Toc514235625"/>
      <w:bookmarkStart w:id="20" w:name="_Toc514234403"/>
      <w:bookmarkStart w:id="21" w:name="_Toc514234651"/>
      <w:bookmarkStart w:id="22" w:name="_Toc514234898"/>
      <w:bookmarkStart w:id="23" w:name="_Toc514235023"/>
      <w:bookmarkStart w:id="24" w:name="_Toc514235147"/>
      <w:bookmarkStart w:id="25" w:name="_Toc514235270"/>
      <w:bookmarkStart w:id="26" w:name="_Toc514235390"/>
      <w:bookmarkStart w:id="27" w:name="_Toc514235508"/>
      <w:bookmarkStart w:id="28" w:name="_Toc514235626"/>
      <w:bookmarkStart w:id="29" w:name="_Toc514234404"/>
      <w:bookmarkStart w:id="30" w:name="_Toc514234652"/>
      <w:bookmarkStart w:id="31" w:name="_Toc514234899"/>
      <w:bookmarkStart w:id="32" w:name="_Toc514235024"/>
      <w:bookmarkStart w:id="33" w:name="_Toc514235148"/>
      <w:bookmarkStart w:id="34" w:name="_Toc514235271"/>
      <w:bookmarkStart w:id="35" w:name="_Toc514235391"/>
      <w:bookmarkStart w:id="36" w:name="_Toc514235509"/>
      <w:bookmarkStart w:id="37" w:name="_Toc514235627"/>
      <w:bookmarkStart w:id="38" w:name="_Toc514234405"/>
      <w:bookmarkStart w:id="39" w:name="_Toc514234653"/>
      <w:bookmarkStart w:id="40" w:name="_Toc514234900"/>
      <w:bookmarkStart w:id="41" w:name="_Toc514235025"/>
      <w:bookmarkStart w:id="42" w:name="_Toc514235149"/>
      <w:bookmarkStart w:id="43" w:name="_Toc514235272"/>
      <w:bookmarkStart w:id="44" w:name="_Toc514235392"/>
      <w:bookmarkStart w:id="45" w:name="_Toc514235510"/>
      <w:bookmarkStart w:id="46" w:name="_Toc514235628"/>
      <w:bookmarkStart w:id="47" w:name="_Toc514234406"/>
      <w:bookmarkStart w:id="48" w:name="_Toc514234654"/>
      <w:bookmarkStart w:id="49" w:name="_Toc514234901"/>
      <w:bookmarkStart w:id="50" w:name="_Toc514235026"/>
      <w:bookmarkStart w:id="51" w:name="_Toc514235150"/>
      <w:bookmarkStart w:id="52" w:name="_Toc514235273"/>
      <w:bookmarkStart w:id="53" w:name="_Toc514235393"/>
      <w:bookmarkStart w:id="54" w:name="_Toc514235511"/>
      <w:bookmarkStart w:id="55" w:name="_Toc514235629"/>
      <w:bookmarkStart w:id="56" w:name="_Toc514234407"/>
      <w:bookmarkStart w:id="57" w:name="_Toc514234655"/>
      <w:bookmarkStart w:id="58" w:name="_Toc514234902"/>
      <w:bookmarkStart w:id="59" w:name="_Toc514235027"/>
      <w:bookmarkStart w:id="60" w:name="_Toc514235151"/>
      <w:bookmarkStart w:id="61" w:name="_Toc514235274"/>
      <w:bookmarkStart w:id="62" w:name="_Toc514235394"/>
      <w:bookmarkStart w:id="63" w:name="_Toc514235512"/>
      <w:bookmarkStart w:id="64" w:name="_Toc514235630"/>
      <w:bookmarkStart w:id="65" w:name="_Toc514234408"/>
      <w:bookmarkStart w:id="66" w:name="_Toc514234656"/>
      <w:bookmarkStart w:id="67" w:name="_Toc514234903"/>
      <w:bookmarkStart w:id="68" w:name="_Toc514235028"/>
      <w:bookmarkStart w:id="69" w:name="_Toc514235152"/>
      <w:bookmarkStart w:id="70" w:name="_Toc514235275"/>
      <w:bookmarkStart w:id="71" w:name="_Toc514235395"/>
      <w:bookmarkStart w:id="72" w:name="_Toc514235513"/>
      <w:bookmarkStart w:id="73" w:name="_Toc514235631"/>
      <w:bookmarkStart w:id="74" w:name="_Toc514234409"/>
      <w:bookmarkStart w:id="75" w:name="_Toc514234657"/>
      <w:bookmarkStart w:id="76" w:name="_Toc514234904"/>
      <w:bookmarkStart w:id="77" w:name="_Toc514235029"/>
      <w:bookmarkStart w:id="78" w:name="_Toc514235153"/>
      <w:bookmarkStart w:id="79" w:name="_Toc514235276"/>
      <w:bookmarkStart w:id="80" w:name="_Toc514235396"/>
      <w:bookmarkStart w:id="81" w:name="_Toc514235514"/>
      <w:bookmarkStart w:id="82" w:name="_Toc514235632"/>
      <w:bookmarkStart w:id="83" w:name="_Toc514234410"/>
      <w:bookmarkStart w:id="84" w:name="_Toc514234658"/>
      <w:bookmarkStart w:id="85" w:name="_Toc514234905"/>
      <w:bookmarkStart w:id="86" w:name="_Toc514235030"/>
      <w:bookmarkStart w:id="87" w:name="_Toc514235154"/>
      <w:bookmarkStart w:id="88" w:name="_Toc514235277"/>
      <w:bookmarkStart w:id="89" w:name="_Toc514235397"/>
      <w:bookmarkStart w:id="90" w:name="_Toc514235515"/>
      <w:bookmarkStart w:id="91" w:name="_Toc514235633"/>
      <w:bookmarkStart w:id="92" w:name="_Toc514234411"/>
      <w:bookmarkStart w:id="93" w:name="_Toc514234659"/>
      <w:bookmarkStart w:id="94" w:name="_Toc514234906"/>
      <w:bookmarkStart w:id="95" w:name="_Toc514235031"/>
      <w:bookmarkStart w:id="96" w:name="_Toc514235155"/>
      <w:bookmarkStart w:id="97" w:name="_Toc514235278"/>
      <w:bookmarkStart w:id="98" w:name="_Toc514235398"/>
      <w:bookmarkStart w:id="99" w:name="_Toc514235516"/>
      <w:bookmarkStart w:id="100" w:name="_Toc514235634"/>
      <w:bookmarkStart w:id="101" w:name="_Toc514234412"/>
      <w:bookmarkStart w:id="102" w:name="_Toc514234660"/>
      <w:bookmarkStart w:id="103" w:name="_Toc514234907"/>
      <w:bookmarkStart w:id="104" w:name="_Toc514235032"/>
      <w:bookmarkStart w:id="105" w:name="_Toc514235156"/>
      <w:bookmarkStart w:id="106" w:name="_Toc514235279"/>
      <w:bookmarkStart w:id="107" w:name="_Toc514235399"/>
      <w:bookmarkStart w:id="108" w:name="_Toc514235517"/>
      <w:bookmarkStart w:id="109" w:name="_Toc514235635"/>
      <w:bookmarkStart w:id="110" w:name="_Toc514234413"/>
      <w:bookmarkStart w:id="111" w:name="_Toc514234661"/>
      <w:bookmarkStart w:id="112" w:name="_Toc514234908"/>
      <w:bookmarkStart w:id="113" w:name="_Toc514235033"/>
      <w:bookmarkStart w:id="114" w:name="_Toc514235157"/>
      <w:bookmarkStart w:id="115" w:name="_Toc514235280"/>
      <w:bookmarkStart w:id="116" w:name="_Toc514235400"/>
      <w:bookmarkStart w:id="117" w:name="_Toc514235518"/>
      <w:bookmarkStart w:id="118" w:name="_Toc514235636"/>
      <w:bookmarkStart w:id="119" w:name="_Toc514234414"/>
      <w:bookmarkStart w:id="120" w:name="_Toc514234662"/>
      <w:bookmarkStart w:id="121" w:name="_Toc514234909"/>
      <w:bookmarkStart w:id="122" w:name="_Toc514235034"/>
      <w:bookmarkStart w:id="123" w:name="_Toc514235158"/>
      <w:bookmarkStart w:id="124" w:name="_Toc514235281"/>
      <w:bookmarkStart w:id="125" w:name="_Toc514235401"/>
      <w:bookmarkStart w:id="126" w:name="_Toc514235519"/>
      <w:bookmarkStart w:id="127" w:name="_Toc514235637"/>
      <w:bookmarkStart w:id="128" w:name="_Toc514234415"/>
      <w:bookmarkStart w:id="129" w:name="_Toc514234663"/>
      <w:bookmarkStart w:id="130" w:name="_Toc514234910"/>
      <w:bookmarkStart w:id="131" w:name="_Toc514235035"/>
      <w:bookmarkStart w:id="132" w:name="_Toc514235159"/>
      <w:bookmarkStart w:id="133" w:name="_Toc514235282"/>
      <w:bookmarkStart w:id="134" w:name="_Toc514235402"/>
      <w:bookmarkStart w:id="135" w:name="_Toc514235520"/>
      <w:bookmarkStart w:id="136" w:name="_Toc514235638"/>
      <w:bookmarkStart w:id="137" w:name="_Toc514234416"/>
      <w:bookmarkStart w:id="138" w:name="_Toc514234664"/>
      <w:bookmarkStart w:id="139" w:name="_Toc514234911"/>
      <w:bookmarkStart w:id="140" w:name="_Toc514235036"/>
      <w:bookmarkStart w:id="141" w:name="_Toc514235160"/>
      <w:bookmarkStart w:id="142" w:name="_Toc514235283"/>
      <w:bookmarkStart w:id="143" w:name="_Toc514235403"/>
      <w:bookmarkStart w:id="144" w:name="_Toc514235521"/>
      <w:bookmarkStart w:id="145" w:name="_Toc514235639"/>
      <w:bookmarkStart w:id="146" w:name="_Toc514234417"/>
      <w:bookmarkStart w:id="147" w:name="_Toc514234665"/>
      <w:bookmarkStart w:id="148" w:name="_Toc514234912"/>
      <w:bookmarkStart w:id="149" w:name="_Toc514235037"/>
      <w:bookmarkStart w:id="150" w:name="_Toc514235161"/>
      <w:bookmarkStart w:id="151" w:name="_Toc514235284"/>
      <w:bookmarkStart w:id="152" w:name="_Toc514235404"/>
      <w:bookmarkStart w:id="153" w:name="_Toc514235522"/>
      <w:bookmarkStart w:id="154" w:name="_Toc514235640"/>
      <w:bookmarkStart w:id="155" w:name="_Toc514234418"/>
      <w:bookmarkStart w:id="156" w:name="_Toc514234666"/>
      <w:bookmarkStart w:id="157" w:name="_Toc514234913"/>
      <w:bookmarkStart w:id="158" w:name="_Toc514235038"/>
      <w:bookmarkStart w:id="159" w:name="_Toc514235162"/>
      <w:bookmarkStart w:id="160" w:name="_Toc514235285"/>
      <w:bookmarkStart w:id="161" w:name="_Toc514235405"/>
      <w:bookmarkStart w:id="162" w:name="_Toc514235523"/>
      <w:bookmarkStart w:id="163" w:name="_Toc514235641"/>
      <w:bookmarkStart w:id="164" w:name="_Toc514234419"/>
      <w:bookmarkStart w:id="165" w:name="_Toc514234667"/>
      <w:bookmarkStart w:id="166" w:name="_Toc514234914"/>
      <w:bookmarkStart w:id="167" w:name="_Toc514235039"/>
      <w:bookmarkStart w:id="168" w:name="_Toc514235163"/>
      <w:bookmarkStart w:id="169" w:name="_Toc514235286"/>
      <w:bookmarkStart w:id="170" w:name="_Toc514235406"/>
      <w:bookmarkStart w:id="171" w:name="_Toc514235524"/>
      <w:bookmarkStart w:id="172" w:name="_Toc514235642"/>
      <w:bookmarkStart w:id="173" w:name="_Toc514234420"/>
      <w:bookmarkStart w:id="174" w:name="_Toc514234668"/>
      <w:bookmarkStart w:id="175" w:name="_Toc514234915"/>
      <w:bookmarkStart w:id="176" w:name="_Toc514235040"/>
      <w:bookmarkStart w:id="177" w:name="_Toc514235164"/>
      <w:bookmarkStart w:id="178" w:name="_Toc514235287"/>
      <w:bookmarkStart w:id="179" w:name="_Toc514235407"/>
      <w:bookmarkStart w:id="180" w:name="_Toc514235525"/>
      <w:bookmarkStart w:id="181" w:name="_Toc514235643"/>
      <w:bookmarkStart w:id="182" w:name="_Toc514234421"/>
      <w:bookmarkStart w:id="183" w:name="_Toc514234669"/>
      <w:bookmarkStart w:id="184" w:name="_Toc514234916"/>
      <w:bookmarkStart w:id="185" w:name="_Toc514235041"/>
      <w:bookmarkStart w:id="186" w:name="_Toc514235165"/>
      <w:bookmarkStart w:id="187" w:name="_Toc514235288"/>
      <w:bookmarkStart w:id="188" w:name="_Toc514235408"/>
      <w:bookmarkStart w:id="189" w:name="_Toc514235526"/>
      <w:bookmarkStart w:id="190" w:name="_Toc514235644"/>
      <w:bookmarkStart w:id="191" w:name="_Toc514234422"/>
      <w:bookmarkStart w:id="192" w:name="_Toc514234670"/>
      <w:bookmarkStart w:id="193" w:name="_Toc514234917"/>
      <w:bookmarkStart w:id="194" w:name="_Toc514235042"/>
      <w:bookmarkStart w:id="195" w:name="_Toc514235166"/>
      <w:bookmarkStart w:id="196" w:name="_Toc514235289"/>
      <w:bookmarkStart w:id="197" w:name="_Toc514235409"/>
      <w:bookmarkStart w:id="198" w:name="_Toc514235527"/>
      <w:bookmarkStart w:id="199" w:name="_Toc514235645"/>
      <w:bookmarkStart w:id="200" w:name="_Toc514234423"/>
      <w:bookmarkStart w:id="201" w:name="_Toc514234671"/>
      <w:bookmarkStart w:id="202" w:name="_Toc514234918"/>
      <w:bookmarkStart w:id="203" w:name="_Toc514235043"/>
      <w:bookmarkStart w:id="204" w:name="_Toc514235167"/>
      <w:bookmarkStart w:id="205" w:name="_Toc514235290"/>
      <w:bookmarkStart w:id="206" w:name="_Toc514235410"/>
      <w:bookmarkStart w:id="207" w:name="_Toc514235528"/>
      <w:bookmarkStart w:id="208" w:name="_Toc514235646"/>
      <w:bookmarkStart w:id="209" w:name="_Toc514234424"/>
      <w:bookmarkStart w:id="210" w:name="_Toc514234672"/>
      <w:bookmarkStart w:id="211" w:name="_Toc514234919"/>
      <w:bookmarkStart w:id="212" w:name="_Toc514235044"/>
      <w:bookmarkStart w:id="213" w:name="_Toc514235168"/>
      <w:bookmarkStart w:id="214" w:name="_Toc514235291"/>
      <w:bookmarkStart w:id="215" w:name="_Toc514235411"/>
      <w:bookmarkStart w:id="216" w:name="_Toc514235529"/>
      <w:bookmarkStart w:id="217" w:name="_Toc514235647"/>
      <w:bookmarkStart w:id="218" w:name="_Toc514234425"/>
      <w:bookmarkStart w:id="219" w:name="_Toc514234673"/>
      <w:bookmarkStart w:id="220" w:name="_Toc514234920"/>
      <w:bookmarkStart w:id="221" w:name="_Toc514235045"/>
      <w:bookmarkStart w:id="222" w:name="_Toc514235169"/>
      <w:bookmarkStart w:id="223" w:name="_Toc514235292"/>
      <w:bookmarkStart w:id="224" w:name="_Toc514235412"/>
      <w:bookmarkStart w:id="225" w:name="_Toc514235530"/>
      <w:bookmarkStart w:id="226" w:name="_Toc514235648"/>
      <w:bookmarkStart w:id="227" w:name="_Toc514234426"/>
      <w:bookmarkStart w:id="228" w:name="_Toc514234674"/>
      <w:bookmarkStart w:id="229" w:name="_Toc514234921"/>
      <w:bookmarkStart w:id="230" w:name="_Toc514235046"/>
      <w:bookmarkStart w:id="231" w:name="_Toc514235170"/>
      <w:bookmarkStart w:id="232" w:name="_Toc514235293"/>
      <w:bookmarkStart w:id="233" w:name="_Toc514235413"/>
      <w:bookmarkStart w:id="234" w:name="_Toc514235531"/>
      <w:bookmarkStart w:id="235" w:name="_Toc514235649"/>
      <w:bookmarkStart w:id="236" w:name="_Toc514234427"/>
      <w:bookmarkStart w:id="237" w:name="_Toc514234675"/>
      <w:bookmarkStart w:id="238" w:name="_Toc514234922"/>
      <w:bookmarkStart w:id="239" w:name="_Toc514235047"/>
      <w:bookmarkStart w:id="240" w:name="_Toc514235171"/>
      <w:bookmarkStart w:id="241" w:name="_Toc514235294"/>
      <w:bookmarkStart w:id="242" w:name="_Toc514235414"/>
      <w:bookmarkStart w:id="243" w:name="_Toc514235532"/>
      <w:bookmarkStart w:id="244" w:name="_Toc514235650"/>
      <w:bookmarkStart w:id="245" w:name="_Toc514234428"/>
      <w:bookmarkStart w:id="246" w:name="_Toc514234676"/>
      <w:bookmarkStart w:id="247" w:name="_Toc514234923"/>
      <w:bookmarkStart w:id="248" w:name="_Toc514235048"/>
      <w:bookmarkStart w:id="249" w:name="_Toc514235172"/>
      <w:bookmarkStart w:id="250" w:name="_Toc514235295"/>
      <w:bookmarkStart w:id="251" w:name="_Toc514235415"/>
      <w:bookmarkStart w:id="252" w:name="_Toc514235533"/>
      <w:bookmarkStart w:id="253" w:name="_Toc514235651"/>
      <w:bookmarkStart w:id="254" w:name="_Toc514234429"/>
      <w:bookmarkStart w:id="255" w:name="_Toc514234677"/>
      <w:bookmarkStart w:id="256" w:name="_Toc514234924"/>
      <w:bookmarkStart w:id="257" w:name="_Toc514235049"/>
      <w:bookmarkStart w:id="258" w:name="_Toc514235173"/>
      <w:bookmarkStart w:id="259" w:name="_Toc514235296"/>
      <w:bookmarkStart w:id="260" w:name="_Toc514235416"/>
      <w:bookmarkStart w:id="261" w:name="_Toc514235534"/>
      <w:bookmarkStart w:id="262" w:name="_Toc514235652"/>
      <w:bookmarkStart w:id="263" w:name="_Toc514234430"/>
      <w:bookmarkStart w:id="264" w:name="_Toc514234678"/>
      <w:bookmarkStart w:id="265" w:name="_Toc514234925"/>
      <w:bookmarkStart w:id="266" w:name="_Toc514235050"/>
      <w:bookmarkStart w:id="267" w:name="_Toc514235174"/>
      <w:bookmarkStart w:id="268" w:name="_Toc514235297"/>
      <w:bookmarkStart w:id="269" w:name="_Toc514235417"/>
      <w:bookmarkStart w:id="270" w:name="_Toc514235535"/>
      <w:bookmarkStart w:id="271" w:name="_Toc514235653"/>
      <w:bookmarkStart w:id="272" w:name="_Toc514234431"/>
      <w:bookmarkStart w:id="273" w:name="_Toc514234679"/>
      <w:bookmarkStart w:id="274" w:name="_Toc514234926"/>
      <w:bookmarkStart w:id="275" w:name="_Toc514235051"/>
      <w:bookmarkStart w:id="276" w:name="_Toc514235175"/>
      <w:bookmarkStart w:id="277" w:name="_Toc514235298"/>
      <w:bookmarkStart w:id="278" w:name="_Toc514235418"/>
      <w:bookmarkStart w:id="279" w:name="_Toc514235536"/>
      <w:bookmarkStart w:id="280" w:name="_Toc514235654"/>
      <w:bookmarkStart w:id="281" w:name="_Toc514234432"/>
      <w:bookmarkStart w:id="282" w:name="_Toc514234680"/>
      <w:bookmarkStart w:id="283" w:name="_Toc514234927"/>
      <w:bookmarkStart w:id="284" w:name="_Toc514235052"/>
      <w:bookmarkStart w:id="285" w:name="_Toc514235176"/>
      <w:bookmarkStart w:id="286" w:name="_Toc514235299"/>
      <w:bookmarkStart w:id="287" w:name="_Toc514235419"/>
      <w:bookmarkStart w:id="288" w:name="_Toc514235537"/>
      <w:bookmarkStart w:id="289" w:name="_Toc514235655"/>
      <w:bookmarkStart w:id="290" w:name="_Toc514234433"/>
      <w:bookmarkStart w:id="291" w:name="_Toc514234681"/>
      <w:bookmarkStart w:id="292" w:name="_Toc514234928"/>
      <w:bookmarkStart w:id="293" w:name="_Toc514235053"/>
      <w:bookmarkStart w:id="294" w:name="_Toc514235177"/>
      <w:bookmarkStart w:id="295" w:name="_Toc514235300"/>
      <w:bookmarkStart w:id="296" w:name="_Toc514235420"/>
      <w:bookmarkStart w:id="297" w:name="_Toc514235538"/>
      <w:bookmarkStart w:id="298" w:name="_Toc514235656"/>
      <w:bookmarkStart w:id="299" w:name="_Toc514234434"/>
      <w:bookmarkStart w:id="300" w:name="_Toc514234682"/>
      <w:bookmarkStart w:id="301" w:name="_Toc514234929"/>
      <w:bookmarkStart w:id="302" w:name="_Toc514235054"/>
      <w:bookmarkStart w:id="303" w:name="_Toc514235178"/>
      <w:bookmarkStart w:id="304" w:name="_Toc514235301"/>
      <w:bookmarkStart w:id="305" w:name="_Toc514235421"/>
      <w:bookmarkStart w:id="306" w:name="_Toc514235539"/>
      <w:bookmarkStart w:id="307" w:name="_Toc514235657"/>
      <w:bookmarkStart w:id="308" w:name="_Toc514234435"/>
      <w:bookmarkStart w:id="309" w:name="_Toc514234683"/>
      <w:bookmarkStart w:id="310" w:name="_Toc514234930"/>
      <w:bookmarkStart w:id="311" w:name="_Toc514235055"/>
      <w:bookmarkStart w:id="312" w:name="_Toc514235179"/>
      <w:bookmarkStart w:id="313" w:name="_Toc514235302"/>
      <w:bookmarkStart w:id="314" w:name="_Toc514235422"/>
      <w:bookmarkStart w:id="315" w:name="_Toc514235540"/>
      <w:bookmarkStart w:id="316" w:name="_Toc514235658"/>
      <w:bookmarkStart w:id="317" w:name="_Toc514234436"/>
      <w:bookmarkStart w:id="318" w:name="_Toc514234684"/>
      <w:bookmarkStart w:id="319" w:name="_Toc514234931"/>
      <w:bookmarkStart w:id="320" w:name="_Toc514235056"/>
      <w:bookmarkStart w:id="321" w:name="_Toc514235180"/>
      <w:bookmarkStart w:id="322" w:name="_Toc514235303"/>
      <w:bookmarkStart w:id="323" w:name="_Toc514235423"/>
      <w:bookmarkStart w:id="324" w:name="_Toc514235541"/>
      <w:bookmarkStart w:id="325" w:name="_Toc514235659"/>
      <w:bookmarkStart w:id="326" w:name="_Toc514234437"/>
      <w:bookmarkStart w:id="327" w:name="_Toc514234685"/>
      <w:bookmarkStart w:id="328" w:name="_Toc514234932"/>
      <w:bookmarkStart w:id="329" w:name="_Toc514235057"/>
      <w:bookmarkStart w:id="330" w:name="_Toc514235181"/>
      <w:bookmarkStart w:id="331" w:name="_Toc514235304"/>
      <w:bookmarkStart w:id="332" w:name="_Toc514235424"/>
      <w:bookmarkStart w:id="333" w:name="_Toc514235542"/>
      <w:bookmarkStart w:id="334" w:name="_Toc514235660"/>
      <w:bookmarkStart w:id="335" w:name="_Toc514234438"/>
      <w:bookmarkStart w:id="336" w:name="_Toc514234686"/>
      <w:bookmarkStart w:id="337" w:name="_Toc514234933"/>
      <w:bookmarkStart w:id="338" w:name="_Toc514235058"/>
      <w:bookmarkStart w:id="339" w:name="_Toc514235182"/>
      <w:bookmarkStart w:id="340" w:name="_Toc514235305"/>
      <w:bookmarkStart w:id="341" w:name="_Toc514235425"/>
      <w:bookmarkStart w:id="342" w:name="_Toc514235543"/>
      <w:bookmarkStart w:id="343" w:name="_Toc514235661"/>
      <w:bookmarkStart w:id="344" w:name="_Toc514234439"/>
      <w:bookmarkStart w:id="345" w:name="_Toc514234687"/>
      <w:bookmarkStart w:id="346" w:name="_Toc514234934"/>
      <w:bookmarkStart w:id="347" w:name="_Toc514235059"/>
      <w:bookmarkStart w:id="348" w:name="_Toc514235183"/>
      <w:bookmarkStart w:id="349" w:name="_Toc514235306"/>
      <w:bookmarkStart w:id="350" w:name="_Toc514235426"/>
      <w:bookmarkStart w:id="351" w:name="_Toc514235544"/>
      <w:bookmarkStart w:id="352" w:name="_Toc514235662"/>
      <w:bookmarkStart w:id="353" w:name="_Toc514234440"/>
      <w:bookmarkStart w:id="354" w:name="_Toc514234688"/>
      <w:bookmarkStart w:id="355" w:name="_Toc514234935"/>
      <w:bookmarkStart w:id="356" w:name="_Toc514235060"/>
      <w:bookmarkStart w:id="357" w:name="_Toc514235184"/>
      <w:bookmarkStart w:id="358" w:name="_Toc514235307"/>
      <w:bookmarkStart w:id="359" w:name="_Toc514235427"/>
      <w:bookmarkStart w:id="360" w:name="_Toc514235545"/>
      <w:bookmarkStart w:id="361" w:name="_Toc514235663"/>
      <w:bookmarkStart w:id="362" w:name="_Toc514234441"/>
      <w:bookmarkStart w:id="363" w:name="_Toc514234689"/>
      <w:bookmarkStart w:id="364" w:name="_Toc514234936"/>
      <w:bookmarkStart w:id="365" w:name="_Toc514235061"/>
      <w:bookmarkStart w:id="366" w:name="_Toc514235185"/>
      <w:bookmarkStart w:id="367" w:name="_Toc514235308"/>
      <w:bookmarkStart w:id="368" w:name="_Toc514235428"/>
      <w:bookmarkStart w:id="369" w:name="_Toc514235546"/>
      <w:bookmarkStart w:id="370" w:name="_Toc514235664"/>
      <w:bookmarkStart w:id="371" w:name="_Toc514234442"/>
      <w:bookmarkStart w:id="372" w:name="_Toc514234690"/>
      <w:bookmarkStart w:id="373" w:name="_Toc514234937"/>
      <w:bookmarkStart w:id="374" w:name="_Toc514235062"/>
      <w:bookmarkStart w:id="375" w:name="_Toc514235186"/>
      <w:bookmarkStart w:id="376" w:name="_Toc514235309"/>
      <w:bookmarkStart w:id="377" w:name="_Toc514235429"/>
      <w:bookmarkStart w:id="378" w:name="_Toc514235547"/>
      <w:bookmarkStart w:id="379" w:name="_Toc514235665"/>
      <w:bookmarkStart w:id="380" w:name="_Toc514234443"/>
      <w:bookmarkStart w:id="381" w:name="_Toc514234691"/>
      <w:bookmarkStart w:id="382" w:name="_Toc514234938"/>
      <w:bookmarkStart w:id="383" w:name="_Toc514235063"/>
      <w:bookmarkStart w:id="384" w:name="_Toc514235187"/>
      <w:bookmarkStart w:id="385" w:name="_Toc514235310"/>
      <w:bookmarkStart w:id="386" w:name="_Toc514235430"/>
      <w:bookmarkStart w:id="387" w:name="_Toc514235548"/>
      <w:bookmarkStart w:id="388" w:name="_Toc514235666"/>
      <w:bookmarkStart w:id="389" w:name="_Toc514234444"/>
      <w:bookmarkStart w:id="390" w:name="_Toc514234692"/>
      <w:bookmarkStart w:id="391" w:name="_Toc514234939"/>
      <w:bookmarkStart w:id="392" w:name="_Toc514235064"/>
      <w:bookmarkStart w:id="393" w:name="_Toc514235188"/>
      <w:bookmarkStart w:id="394" w:name="_Toc514235311"/>
      <w:bookmarkStart w:id="395" w:name="_Toc514235431"/>
      <w:bookmarkStart w:id="396" w:name="_Toc514235549"/>
      <w:bookmarkStart w:id="397" w:name="_Toc514235667"/>
      <w:bookmarkStart w:id="398" w:name="_Toc514234445"/>
      <w:bookmarkStart w:id="399" w:name="_Toc514234693"/>
      <w:bookmarkStart w:id="400" w:name="_Toc514234940"/>
      <w:bookmarkStart w:id="401" w:name="_Toc514235065"/>
      <w:bookmarkStart w:id="402" w:name="_Toc514235189"/>
      <w:bookmarkStart w:id="403" w:name="_Toc514235312"/>
      <w:bookmarkStart w:id="404" w:name="_Toc514235432"/>
      <w:bookmarkStart w:id="405" w:name="_Toc514235550"/>
      <w:bookmarkStart w:id="406" w:name="_Toc514235668"/>
      <w:bookmarkStart w:id="407" w:name="_Toc514234446"/>
      <w:bookmarkStart w:id="408" w:name="_Toc514234694"/>
      <w:bookmarkStart w:id="409" w:name="_Toc514234941"/>
      <w:bookmarkStart w:id="410" w:name="_Toc514235066"/>
      <w:bookmarkStart w:id="411" w:name="_Toc514235190"/>
      <w:bookmarkStart w:id="412" w:name="_Toc514235313"/>
      <w:bookmarkStart w:id="413" w:name="_Toc514235433"/>
      <w:bookmarkStart w:id="414" w:name="_Toc514235551"/>
      <w:bookmarkStart w:id="415" w:name="_Toc514235669"/>
      <w:bookmarkStart w:id="416" w:name="_Toc514234447"/>
      <w:bookmarkStart w:id="417" w:name="_Toc514234695"/>
      <w:bookmarkStart w:id="418" w:name="_Toc514234942"/>
      <w:bookmarkStart w:id="419" w:name="_Toc514235067"/>
      <w:bookmarkStart w:id="420" w:name="_Toc514235191"/>
      <w:bookmarkStart w:id="421" w:name="_Toc514235314"/>
      <w:bookmarkStart w:id="422" w:name="_Toc514235434"/>
      <w:bookmarkStart w:id="423" w:name="_Toc514235552"/>
      <w:bookmarkStart w:id="424" w:name="_Toc514235670"/>
      <w:bookmarkStart w:id="425" w:name="_Toc514234448"/>
      <w:bookmarkStart w:id="426" w:name="_Toc514234696"/>
      <w:bookmarkStart w:id="427" w:name="_Toc514234943"/>
      <w:bookmarkStart w:id="428" w:name="_Toc514235068"/>
      <w:bookmarkStart w:id="429" w:name="_Toc514235192"/>
      <w:bookmarkStart w:id="430" w:name="_Toc514235315"/>
      <w:bookmarkStart w:id="431" w:name="_Toc514235435"/>
      <w:bookmarkStart w:id="432" w:name="_Toc514235553"/>
      <w:bookmarkStart w:id="433" w:name="_Toc514235671"/>
      <w:bookmarkStart w:id="434" w:name="_Toc514234449"/>
      <w:bookmarkStart w:id="435" w:name="_Toc514234697"/>
      <w:bookmarkStart w:id="436" w:name="_Toc514234944"/>
      <w:bookmarkStart w:id="437" w:name="_Toc514235069"/>
      <w:bookmarkStart w:id="438" w:name="_Toc514235193"/>
      <w:bookmarkStart w:id="439" w:name="_Toc514235316"/>
      <w:bookmarkStart w:id="440" w:name="_Toc514235436"/>
      <w:bookmarkStart w:id="441" w:name="_Toc514235554"/>
      <w:bookmarkStart w:id="442" w:name="_Toc514235672"/>
      <w:bookmarkStart w:id="443" w:name="_Toc514234450"/>
      <w:bookmarkStart w:id="444" w:name="_Toc514234698"/>
      <w:bookmarkStart w:id="445" w:name="_Toc514234945"/>
      <w:bookmarkStart w:id="446" w:name="_Toc514235070"/>
      <w:bookmarkStart w:id="447" w:name="_Toc514235194"/>
      <w:bookmarkStart w:id="448" w:name="_Toc514235317"/>
      <w:bookmarkStart w:id="449" w:name="_Toc514235437"/>
      <w:bookmarkStart w:id="450" w:name="_Toc514235555"/>
      <w:bookmarkStart w:id="451" w:name="_Toc514235673"/>
      <w:bookmarkStart w:id="452" w:name="_Toc514234451"/>
      <w:bookmarkStart w:id="453" w:name="_Toc514234699"/>
      <w:bookmarkStart w:id="454" w:name="_Toc514234946"/>
      <w:bookmarkStart w:id="455" w:name="_Toc514235071"/>
      <w:bookmarkStart w:id="456" w:name="_Toc514235195"/>
      <w:bookmarkStart w:id="457" w:name="_Toc514235318"/>
      <w:bookmarkStart w:id="458" w:name="_Toc514235438"/>
      <w:bookmarkStart w:id="459" w:name="_Toc514235556"/>
      <w:bookmarkStart w:id="460" w:name="_Toc514235674"/>
      <w:bookmarkStart w:id="461" w:name="_Toc514234452"/>
      <w:bookmarkStart w:id="462" w:name="_Toc514234700"/>
      <w:bookmarkStart w:id="463" w:name="_Toc514234947"/>
      <w:bookmarkStart w:id="464" w:name="_Toc514235072"/>
      <w:bookmarkStart w:id="465" w:name="_Toc514235196"/>
      <w:bookmarkStart w:id="466" w:name="_Toc514235319"/>
      <w:bookmarkStart w:id="467" w:name="_Toc514235439"/>
      <w:bookmarkStart w:id="468" w:name="_Toc514235557"/>
      <w:bookmarkStart w:id="469" w:name="_Toc514235675"/>
      <w:bookmarkStart w:id="470" w:name="_Toc514234453"/>
      <w:bookmarkStart w:id="471" w:name="_Toc514234701"/>
      <w:bookmarkStart w:id="472" w:name="_Toc514234948"/>
      <w:bookmarkStart w:id="473" w:name="_Toc514235073"/>
      <w:bookmarkStart w:id="474" w:name="_Toc514235197"/>
      <w:bookmarkStart w:id="475" w:name="_Toc514235320"/>
      <w:bookmarkStart w:id="476" w:name="_Toc514235440"/>
      <w:bookmarkStart w:id="477" w:name="_Toc514235558"/>
      <w:bookmarkStart w:id="478" w:name="_Toc514235676"/>
      <w:bookmarkStart w:id="479" w:name="_Toc514234454"/>
      <w:bookmarkStart w:id="480" w:name="_Toc514234702"/>
      <w:bookmarkStart w:id="481" w:name="_Toc514234949"/>
      <w:bookmarkStart w:id="482" w:name="_Toc514235074"/>
      <w:bookmarkStart w:id="483" w:name="_Toc514235198"/>
      <w:bookmarkStart w:id="484" w:name="_Toc514235321"/>
      <w:bookmarkStart w:id="485" w:name="_Toc514235441"/>
      <w:bookmarkStart w:id="486" w:name="_Toc514235559"/>
      <w:bookmarkStart w:id="487" w:name="_Toc514235677"/>
      <w:bookmarkStart w:id="488" w:name="_Toc514234455"/>
      <w:bookmarkStart w:id="489" w:name="_Toc514234703"/>
      <w:bookmarkStart w:id="490" w:name="_Toc514234950"/>
      <w:bookmarkStart w:id="491" w:name="_Toc514235075"/>
      <w:bookmarkStart w:id="492" w:name="_Toc514235199"/>
      <w:bookmarkStart w:id="493" w:name="_Toc514235322"/>
      <w:bookmarkStart w:id="494" w:name="_Toc514235442"/>
      <w:bookmarkStart w:id="495" w:name="_Toc514235560"/>
      <w:bookmarkStart w:id="496" w:name="_Toc514235678"/>
      <w:bookmarkStart w:id="497" w:name="_Toc514234456"/>
      <w:bookmarkStart w:id="498" w:name="_Toc514234704"/>
      <w:bookmarkStart w:id="499" w:name="_Toc514234951"/>
      <w:bookmarkStart w:id="500" w:name="_Toc514235076"/>
      <w:bookmarkStart w:id="501" w:name="_Toc514235200"/>
      <w:bookmarkStart w:id="502" w:name="_Toc514235323"/>
      <w:bookmarkStart w:id="503" w:name="_Toc514235443"/>
      <w:bookmarkStart w:id="504" w:name="_Toc514235561"/>
      <w:bookmarkStart w:id="505" w:name="_Toc514235679"/>
      <w:bookmarkStart w:id="506" w:name="_Toc514234457"/>
      <w:bookmarkStart w:id="507" w:name="_Toc514234705"/>
      <w:bookmarkStart w:id="508" w:name="_Toc514234952"/>
      <w:bookmarkStart w:id="509" w:name="_Toc514235077"/>
      <w:bookmarkStart w:id="510" w:name="_Toc514235201"/>
      <w:bookmarkStart w:id="511" w:name="_Toc514235324"/>
      <w:bookmarkStart w:id="512" w:name="_Toc514235444"/>
      <w:bookmarkStart w:id="513" w:name="_Toc514235562"/>
      <w:bookmarkStart w:id="514" w:name="_Toc514235680"/>
      <w:bookmarkStart w:id="515" w:name="_Toc514234458"/>
      <w:bookmarkStart w:id="516" w:name="_Toc514234706"/>
      <w:bookmarkStart w:id="517" w:name="_Toc514234953"/>
      <w:bookmarkStart w:id="518" w:name="_Toc514235078"/>
      <w:bookmarkStart w:id="519" w:name="_Toc514235202"/>
      <w:bookmarkStart w:id="520" w:name="_Toc514235325"/>
      <w:bookmarkStart w:id="521" w:name="_Toc514235445"/>
      <w:bookmarkStart w:id="522" w:name="_Toc514235563"/>
      <w:bookmarkStart w:id="523" w:name="_Toc514235681"/>
      <w:bookmarkStart w:id="524" w:name="_Toc514234459"/>
      <w:bookmarkStart w:id="525" w:name="_Toc514234707"/>
      <w:bookmarkStart w:id="526" w:name="_Toc514234954"/>
      <w:bookmarkStart w:id="527" w:name="_Toc514235079"/>
      <w:bookmarkStart w:id="528" w:name="_Toc514235203"/>
      <w:bookmarkStart w:id="529" w:name="_Toc514235326"/>
      <w:bookmarkStart w:id="530" w:name="_Toc514235446"/>
      <w:bookmarkStart w:id="531" w:name="_Toc514235564"/>
      <w:bookmarkStart w:id="532" w:name="_Toc514235682"/>
      <w:bookmarkStart w:id="533" w:name="_Toc514234460"/>
      <w:bookmarkStart w:id="534" w:name="_Toc514234708"/>
      <w:bookmarkStart w:id="535" w:name="_Toc514234955"/>
      <w:bookmarkStart w:id="536" w:name="_Toc514235080"/>
      <w:bookmarkStart w:id="537" w:name="_Toc514235204"/>
      <w:bookmarkStart w:id="538" w:name="_Toc514235327"/>
      <w:bookmarkStart w:id="539" w:name="_Toc514235447"/>
      <w:bookmarkStart w:id="540" w:name="_Toc514235565"/>
      <w:bookmarkStart w:id="541" w:name="_Toc514235683"/>
      <w:bookmarkStart w:id="542" w:name="_Toc514234461"/>
      <w:bookmarkStart w:id="543" w:name="_Toc514234709"/>
      <w:bookmarkStart w:id="544" w:name="_Toc514234956"/>
      <w:bookmarkStart w:id="545" w:name="_Toc514235081"/>
      <w:bookmarkStart w:id="546" w:name="_Toc514235205"/>
      <w:bookmarkStart w:id="547" w:name="_Toc514235328"/>
      <w:bookmarkStart w:id="548" w:name="_Toc514235448"/>
      <w:bookmarkStart w:id="549" w:name="_Toc514235566"/>
      <w:bookmarkStart w:id="550" w:name="_Toc514235684"/>
      <w:bookmarkStart w:id="551" w:name="_Toc514234462"/>
      <w:bookmarkStart w:id="552" w:name="_Toc514234710"/>
      <w:bookmarkStart w:id="553" w:name="_Toc514234957"/>
      <w:bookmarkStart w:id="554" w:name="_Toc514235082"/>
      <w:bookmarkStart w:id="555" w:name="_Toc514235206"/>
      <w:bookmarkStart w:id="556" w:name="_Toc514235329"/>
      <w:bookmarkStart w:id="557" w:name="_Toc514235449"/>
      <w:bookmarkStart w:id="558" w:name="_Toc514235567"/>
      <w:bookmarkStart w:id="559" w:name="_Toc514235685"/>
      <w:bookmarkStart w:id="560" w:name="_Toc514234463"/>
      <w:bookmarkStart w:id="561" w:name="_Toc514234711"/>
      <w:bookmarkStart w:id="562" w:name="_Toc514234958"/>
      <w:bookmarkStart w:id="563" w:name="_Toc514235083"/>
      <w:bookmarkStart w:id="564" w:name="_Toc514235207"/>
      <w:bookmarkStart w:id="565" w:name="_Toc514235330"/>
      <w:bookmarkStart w:id="566" w:name="_Toc514235450"/>
      <w:bookmarkStart w:id="567" w:name="_Toc514235568"/>
      <w:bookmarkStart w:id="568" w:name="_Toc514235686"/>
      <w:bookmarkStart w:id="569" w:name="_Toc514234464"/>
      <w:bookmarkStart w:id="570" w:name="_Toc514234712"/>
      <w:bookmarkStart w:id="571" w:name="_Toc514234959"/>
      <w:bookmarkStart w:id="572" w:name="_Toc514235084"/>
      <w:bookmarkStart w:id="573" w:name="_Toc514235208"/>
      <w:bookmarkStart w:id="574" w:name="_Toc514235331"/>
      <w:bookmarkStart w:id="575" w:name="_Toc514235451"/>
      <w:bookmarkStart w:id="576" w:name="_Toc514235569"/>
      <w:bookmarkStart w:id="577" w:name="_Toc514235687"/>
      <w:bookmarkStart w:id="578" w:name="_Toc514234465"/>
      <w:bookmarkStart w:id="579" w:name="_Toc514234713"/>
      <w:bookmarkStart w:id="580" w:name="_Toc514234960"/>
      <w:bookmarkStart w:id="581" w:name="_Toc514235085"/>
      <w:bookmarkStart w:id="582" w:name="_Toc514235209"/>
      <w:bookmarkStart w:id="583" w:name="_Toc514235332"/>
      <w:bookmarkStart w:id="584" w:name="_Toc514235452"/>
      <w:bookmarkStart w:id="585" w:name="_Toc514235570"/>
      <w:bookmarkStart w:id="586" w:name="_Toc514235688"/>
      <w:bookmarkStart w:id="587" w:name="_Toc514234466"/>
      <w:bookmarkStart w:id="588" w:name="_Toc514234714"/>
      <w:bookmarkStart w:id="589" w:name="_Toc514234961"/>
      <w:bookmarkStart w:id="590" w:name="_Toc514235086"/>
      <w:bookmarkStart w:id="591" w:name="_Toc514235210"/>
      <w:bookmarkStart w:id="592" w:name="_Toc514235333"/>
      <w:bookmarkStart w:id="593" w:name="_Toc514235453"/>
      <w:bookmarkStart w:id="594" w:name="_Toc514235571"/>
      <w:bookmarkStart w:id="595" w:name="_Toc514235689"/>
      <w:bookmarkStart w:id="596" w:name="_Toc514234467"/>
      <w:bookmarkStart w:id="597" w:name="_Toc514234715"/>
      <w:bookmarkStart w:id="598" w:name="_Toc514234962"/>
      <w:bookmarkStart w:id="599" w:name="_Toc514235087"/>
      <w:bookmarkStart w:id="600" w:name="_Toc514235211"/>
      <w:bookmarkStart w:id="601" w:name="_Toc514235334"/>
      <w:bookmarkStart w:id="602" w:name="_Toc514235454"/>
      <w:bookmarkStart w:id="603" w:name="_Toc514235572"/>
      <w:bookmarkStart w:id="604" w:name="_Toc514235690"/>
      <w:bookmarkStart w:id="605" w:name="_Toc514234468"/>
      <w:bookmarkStart w:id="606" w:name="_Toc514234716"/>
      <w:bookmarkStart w:id="607" w:name="_Toc514234963"/>
      <w:bookmarkStart w:id="608" w:name="_Toc514235088"/>
      <w:bookmarkStart w:id="609" w:name="_Toc514235212"/>
      <w:bookmarkStart w:id="610" w:name="_Toc514235335"/>
      <w:bookmarkStart w:id="611" w:name="_Toc514235455"/>
      <w:bookmarkStart w:id="612" w:name="_Toc514235573"/>
      <w:bookmarkStart w:id="613" w:name="_Toc514235691"/>
      <w:bookmarkStart w:id="614" w:name="_Toc514234469"/>
      <w:bookmarkStart w:id="615" w:name="_Toc514234717"/>
      <w:bookmarkStart w:id="616" w:name="_Toc514234964"/>
      <w:bookmarkStart w:id="617" w:name="_Toc514235089"/>
      <w:bookmarkStart w:id="618" w:name="_Toc514235213"/>
      <w:bookmarkStart w:id="619" w:name="_Toc514235336"/>
      <w:bookmarkStart w:id="620" w:name="_Toc514235456"/>
      <w:bookmarkStart w:id="621" w:name="_Toc514235574"/>
      <w:bookmarkStart w:id="622" w:name="_Toc514235692"/>
      <w:bookmarkStart w:id="623" w:name="_Toc514234470"/>
      <w:bookmarkStart w:id="624" w:name="_Toc514234718"/>
      <w:bookmarkStart w:id="625" w:name="_Toc514234965"/>
      <w:bookmarkStart w:id="626" w:name="_Toc514235090"/>
      <w:bookmarkStart w:id="627" w:name="_Toc514235214"/>
      <w:bookmarkStart w:id="628" w:name="_Toc514235337"/>
      <w:bookmarkStart w:id="629" w:name="_Toc514235457"/>
      <w:bookmarkStart w:id="630" w:name="_Toc514235575"/>
      <w:bookmarkStart w:id="631" w:name="_Toc514235693"/>
      <w:bookmarkStart w:id="632" w:name="_Toc514234471"/>
      <w:bookmarkStart w:id="633" w:name="_Toc514234719"/>
      <w:bookmarkStart w:id="634" w:name="_Toc514234966"/>
      <w:bookmarkStart w:id="635" w:name="_Toc514235091"/>
      <w:bookmarkStart w:id="636" w:name="_Toc514235215"/>
      <w:bookmarkStart w:id="637" w:name="_Toc514235338"/>
      <w:bookmarkStart w:id="638" w:name="_Toc514235458"/>
      <w:bookmarkStart w:id="639" w:name="_Toc514235576"/>
      <w:bookmarkStart w:id="640" w:name="_Toc514235694"/>
      <w:bookmarkStart w:id="641" w:name="_Toc514234472"/>
      <w:bookmarkStart w:id="642" w:name="_Toc514234720"/>
      <w:bookmarkStart w:id="643" w:name="_Toc514234967"/>
      <w:bookmarkStart w:id="644" w:name="_Toc514235092"/>
      <w:bookmarkStart w:id="645" w:name="_Toc514235216"/>
      <w:bookmarkStart w:id="646" w:name="_Toc514235339"/>
      <w:bookmarkStart w:id="647" w:name="_Toc514235459"/>
      <w:bookmarkStart w:id="648" w:name="_Toc514235577"/>
      <w:bookmarkStart w:id="649" w:name="_Toc514235695"/>
      <w:bookmarkStart w:id="650" w:name="_Toc514234473"/>
      <w:bookmarkStart w:id="651" w:name="_Toc514234721"/>
      <w:bookmarkStart w:id="652" w:name="_Toc514234968"/>
      <w:bookmarkStart w:id="653" w:name="_Toc514235093"/>
      <w:bookmarkStart w:id="654" w:name="_Toc514235217"/>
      <w:bookmarkStart w:id="655" w:name="_Toc514235340"/>
      <w:bookmarkStart w:id="656" w:name="_Toc514235460"/>
      <w:bookmarkStart w:id="657" w:name="_Toc514235578"/>
      <w:bookmarkStart w:id="658" w:name="_Toc514235696"/>
      <w:bookmarkStart w:id="659" w:name="_Toc514234474"/>
      <w:bookmarkStart w:id="660" w:name="_Toc514234722"/>
      <w:bookmarkStart w:id="661" w:name="_Toc514234969"/>
      <w:bookmarkStart w:id="662" w:name="_Toc514235094"/>
      <w:bookmarkStart w:id="663" w:name="_Toc514235218"/>
      <w:bookmarkStart w:id="664" w:name="_Toc514235341"/>
      <w:bookmarkStart w:id="665" w:name="_Toc514235461"/>
      <w:bookmarkStart w:id="666" w:name="_Toc514235579"/>
      <w:bookmarkStart w:id="667" w:name="_Toc514235697"/>
      <w:bookmarkStart w:id="668" w:name="_Toc514234475"/>
      <w:bookmarkStart w:id="669" w:name="_Toc514234723"/>
      <w:bookmarkStart w:id="670" w:name="_Toc514234970"/>
      <w:bookmarkStart w:id="671" w:name="_Toc514235095"/>
      <w:bookmarkStart w:id="672" w:name="_Toc514235219"/>
      <w:bookmarkStart w:id="673" w:name="_Toc514235342"/>
      <w:bookmarkStart w:id="674" w:name="_Toc514235462"/>
      <w:bookmarkStart w:id="675" w:name="_Toc514235580"/>
      <w:bookmarkStart w:id="676" w:name="_Toc514235698"/>
      <w:bookmarkStart w:id="677" w:name="_Toc514234476"/>
      <w:bookmarkStart w:id="678" w:name="_Toc514234724"/>
      <w:bookmarkStart w:id="679" w:name="_Toc514234971"/>
      <w:bookmarkStart w:id="680" w:name="_Toc514235096"/>
      <w:bookmarkStart w:id="681" w:name="_Toc514235220"/>
      <w:bookmarkStart w:id="682" w:name="_Toc514235343"/>
      <w:bookmarkStart w:id="683" w:name="_Toc514235463"/>
      <w:bookmarkStart w:id="684" w:name="_Toc514235581"/>
      <w:bookmarkStart w:id="685" w:name="_Toc514235699"/>
      <w:bookmarkStart w:id="686" w:name="_Toc514234477"/>
      <w:bookmarkStart w:id="687" w:name="_Toc514234725"/>
      <w:bookmarkStart w:id="688" w:name="_Toc514234972"/>
      <w:bookmarkStart w:id="689" w:name="_Toc514235097"/>
      <w:bookmarkStart w:id="690" w:name="_Toc514235221"/>
      <w:bookmarkStart w:id="691" w:name="_Toc514235344"/>
      <w:bookmarkStart w:id="692" w:name="_Toc514235464"/>
      <w:bookmarkStart w:id="693" w:name="_Toc514235582"/>
      <w:bookmarkStart w:id="694" w:name="_Toc514235700"/>
      <w:bookmarkStart w:id="695" w:name="_Toc514234478"/>
      <w:bookmarkStart w:id="696" w:name="_Toc514234726"/>
      <w:bookmarkStart w:id="697" w:name="_Toc514234973"/>
      <w:bookmarkStart w:id="698" w:name="_Toc514235098"/>
      <w:bookmarkStart w:id="699" w:name="_Toc514235222"/>
      <w:bookmarkStart w:id="700" w:name="_Toc514235345"/>
      <w:bookmarkStart w:id="701" w:name="_Toc514235465"/>
      <w:bookmarkStart w:id="702" w:name="_Toc514235583"/>
      <w:bookmarkStart w:id="703" w:name="_Toc514235701"/>
      <w:bookmarkStart w:id="704" w:name="_Toc514234479"/>
      <w:bookmarkStart w:id="705" w:name="_Toc514234727"/>
      <w:bookmarkStart w:id="706" w:name="_Toc514234974"/>
      <w:bookmarkStart w:id="707" w:name="_Toc514235099"/>
      <w:bookmarkStart w:id="708" w:name="_Toc514235223"/>
      <w:bookmarkStart w:id="709" w:name="_Toc514235346"/>
      <w:bookmarkStart w:id="710" w:name="_Toc514235466"/>
      <w:bookmarkStart w:id="711" w:name="_Toc514235584"/>
      <w:bookmarkStart w:id="712" w:name="_Toc514235702"/>
      <w:bookmarkStart w:id="713" w:name="_Toc514234480"/>
      <w:bookmarkStart w:id="714" w:name="_Toc514234728"/>
      <w:bookmarkStart w:id="715" w:name="_Toc514234975"/>
      <w:bookmarkStart w:id="716" w:name="_Toc514235100"/>
      <w:bookmarkStart w:id="717" w:name="_Toc514235224"/>
      <w:bookmarkStart w:id="718" w:name="_Toc514235347"/>
      <w:bookmarkStart w:id="719" w:name="_Toc514235467"/>
      <w:bookmarkStart w:id="720" w:name="_Toc514235585"/>
      <w:bookmarkStart w:id="721" w:name="_Toc514235703"/>
      <w:bookmarkStart w:id="722" w:name="_Toc514234481"/>
      <w:bookmarkStart w:id="723" w:name="_Toc514234729"/>
      <w:bookmarkStart w:id="724" w:name="_Toc514234976"/>
      <w:bookmarkStart w:id="725" w:name="_Toc514235101"/>
      <w:bookmarkStart w:id="726" w:name="_Toc514235225"/>
      <w:bookmarkStart w:id="727" w:name="_Toc514235348"/>
      <w:bookmarkStart w:id="728" w:name="_Toc514235468"/>
      <w:bookmarkStart w:id="729" w:name="_Toc514235586"/>
      <w:bookmarkStart w:id="730" w:name="_Toc514235704"/>
      <w:bookmarkStart w:id="731" w:name="_Toc514234482"/>
      <w:bookmarkStart w:id="732" w:name="_Toc514234730"/>
      <w:bookmarkStart w:id="733" w:name="_Toc514234977"/>
      <w:bookmarkStart w:id="734" w:name="_Toc514235102"/>
      <w:bookmarkStart w:id="735" w:name="_Toc514235226"/>
      <w:bookmarkStart w:id="736" w:name="_Toc514235349"/>
      <w:bookmarkStart w:id="737" w:name="_Toc514235469"/>
      <w:bookmarkStart w:id="738" w:name="_Toc514235587"/>
      <w:bookmarkStart w:id="739" w:name="_Toc514235705"/>
      <w:bookmarkStart w:id="740" w:name="_Toc514234483"/>
      <w:bookmarkStart w:id="741" w:name="_Toc514234731"/>
      <w:bookmarkStart w:id="742" w:name="_Toc514234978"/>
      <w:bookmarkStart w:id="743" w:name="_Toc514235103"/>
      <w:bookmarkStart w:id="744" w:name="_Toc514235227"/>
      <w:bookmarkStart w:id="745" w:name="_Toc514235350"/>
      <w:bookmarkStart w:id="746" w:name="_Toc514235470"/>
      <w:bookmarkStart w:id="747" w:name="_Toc514235588"/>
      <w:bookmarkStart w:id="748" w:name="_Toc514235706"/>
      <w:bookmarkStart w:id="749" w:name="_Toc514234484"/>
      <w:bookmarkStart w:id="750" w:name="_Toc514234732"/>
      <w:bookmarkStart w:id="751" w:name="_Toc514234979"/>
      <w:bookmarkStart w:id="752" w:name="_Toc514235104"/>
      <w:bookmarkStart w:id="753" w:name="_Toc514235228"/>
      <w:bookmarkStart w:id="754" w:name="_Toc514235351"/>
      <w:bookmarkStart w:id="755" w:name="_Toc514235471"/>
      <w:bookmarkStart w:id="756" w:name="_Toc514235589"/>
      <w:bookmarkStart w:id="757" w:name="_Toc514235707"/>
      <w:bookmarkStart w:id="758" w:name="_Toc514234485"/>
      <w:bookmarkStart w:id="759" w:name="_Toc514234733"/>
      <w:bookmarkStart w:id="760" w:name="_Toc514234980"/>
      <w:bookmarkStart w:id="761" w:name="_Toc514235105"/>
      <w:bookmarkStart w:id="762" w:name="_Toc514235229"/>
      <w:bookmarkStart w:id="763" w:name="_Toc514235352"/>
      <w:bookmarkStart w:id="764" w:name="_Toc514235472"/>
      <w:bookmarkStart w:id="765" w:name="_Toc514235590"/>
      <w:bookmarkStart w:id="766" w:name="_Toc514235708"/>
      <w:bookmarkStart w:id="767" w:name="_Toc514234486"/>
      <w:bookmarkStart w:id="768" w:name="_Toc514234734"/>
      <w:bookmarkStart w:id="769" w:name="_Toc514234981"/>
      <w:bookmarkStart w:id="770" w:name="_Toc514235106"/>
      <w:bookmarkStart w:id="771" w:name="_Toc514235230"/>
      <w:bookmarkStart w:id="772" w:name="_Toc514235353"/>
      <w:bookmarkStart w:id="773" w:name="_Toc514235473"/>
      <w:bookmarkStart w:id="774" w:name="_Toc514235591"/>
      <w:bookmarkStart w:id="775" w:name="_Toc514235709"/>
      <w:bookmarkStart w:id="776" w:name="_Toc514234487"/>
      <w:bookmarkStart w:id="777" w:name="_Toc514234735"/>
      <w:bookmarkStart w:id="778" w:name="_Toc514234982"/>
      <w:bookmarkStart w:id="779" w:name="_Toc514235107"/>
      <w:bookmarkStart w:id="780" w:name="_Toc514235231"/>
      <w:bookmarkStart w:id="781" w:name="_Toc514235354"/>
      <w:bookmarkStart w:id="782" w:name="_Toc514235474"/>
      <w:bookmarkStart w:id="783" w:name="_Toc514235592"/>
      <w:bookmarkStart w:id="784" w:name="_Toc514235710"/>
      <w:bookmarkStart w:id="785" w:name="_Toc514234488"/>
      <w:bookmarkStart w:id="786" w:name="_Toc514234736"/>
      <w:bookmarkStart w:id="787" w:name="_Toc514234983"/>
      <w:bookmarkStart w:id="788" w:name="_Toc514235108"/>
      <w:bookmarkStart w:id="789" w:name="_Toc514235232"/>
      <w:bookmarkStart w:id="790" w:name="_Toc514235355"/>
      <w:bookmarkStart w:id="791" w:name="_Toc514235475"/>
      <w:bookmarkStart w:id="792" w:name="_Toc514235593"/>
      <w:bookmarkStart w:id="793" w:name="_Toc514235711"/>
      <w:bookmarkStart w:id="794" w:name="_Toc514234489"/>
      <w:bookmarkStart w:id="795" w:name="_Toc514234737"/>
      <w:bookmarkStart w:id="796" w:name="_Toc514234984"/>
      <w:bookmarkStart w:id="797" w:name="_Toc514235109"/>
      <w:bookmarkStart w:id="798" w:name="_Toc514235233"/>
      <w:bookmarkStart w:id="799" w:name="_Toc514235356"/>
      <w:bookmarkStart w:id="800" w:name="_Toc514235476"/>
      <w:bookmarkStart w:id="801" w:name="_Toc514235594"/>
      <w:bookmarkStart w:id="802" w:name="_Toc514235712"/>
      <w:bookmarkStart w:id="803" w:name="_Toc514234490"/>
      <w:bookmarkStart w:id="804" w:name="_Toc514234738"/>
      <w:bookmarkStart w:id="805" w:name="_Toc514234985"/>
      <w:bookmarkStart w:id="806" w:name="_Toc514235110"/>
      <w:bookmarkStart w:id="807" w:name="_Toc514235234"/>
      <w:bookmarkStart w:id="808" w:name="_Toc514235357"/>
      <w:bookmarkStart w:id="809" w:name="_Toc514235477"/>
      <w:bookmarkStart w:id="810" w:name="_Toc514235595"/>
      <w:bookmarkStart w:id="811" w:name="_Toc514235713"/>
      <w:bookmarkStart w:id="812" w:name="_Toc514234491"/>
      <w:bookmarkStart w:id="813" w:name="_Toc514234739"/>
      <w:bookmarkStart w:id="814" w:name="_Toc514234986"/>
      <w:bookmarkStart w:id="815" w:name="_Toc514235111"/>
      <w:bookmarkStart w:id="816" w:name="_Toc514235235"/>
      <w:bookmarkStart w:id="817" w:name="_Toc514235358"/>
      <w:bookmarkStart w:id="818" w:name="_Toc514235478"/>
      <w:bookmarkStart w:id="819" w:name="_Toc514235596"/>
      <w:bookmarkStart w:id="820" w:name="_Toc514235714"/>
      <w:bookmarkStart w:id="821" w:name="_Toc514234492"/>
      <w:bookmarkStart w:id="822" w:name="_Toc514234740"/>
      <w:bookmarkStart w:id="823" w:name="_Toc514234987"/>
      <w:bookmarkStart w:id="824" w:name="_Toc514235112"/>
      <w:bookmarkStart w:id="825" w:name="_Toc514235236"/>
      <w:bookmarkStart w:id="826" w:name="_Toc514235359"/>
      <w:bookmarkStart w:id="827" w:name="_Toc514235479"/>
      <w:bookmarkStart w:id="828" w:name="_Toc514235597"/>
      <w:bookmarkStart w:id="829" w:name="_Toc514235715"/>
      <w:bookmarkStart w:id="830" w:name="_Toc517094446"/>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r>
        <w:rPr>
          <w:b/>
          <w:caps/>
        </w:rPr>
        <w:t>Sección de Mercado Único, Producción y Consumo</w:t>
      </w:r>
      <w:bookmarkEnd w:id="830"/>
    </w:p>
    <w:p w:rsidR="00FE3C85" w:rsidRPr="0090399E" w:rsidRDefault="00FE3C85" w:rsidP="00AB6734">
      <w:pPr>
        <w:rPr>
          <w:iCs/>
        </w:rPr>
      </w:pPr>
    </w:p>
    <w:p w:rsidR="005661DF" w:rsidRPr="0090399E" w:rsidRDefault="00DD5589" w:rsidP="00AB6734">
      <w:pPr>
        <w:pStyle w:val="ListParagraph"/>
        <w:widowControl w:val="0"/>
        <w:numPr>
          <w:ilvl w:val="0"/>
          <w:numId w:val="14"/>
        </w:numPr>
        <w:overflowPunct w:val="0"/>
        <w:autoSpaceDE w:val="0"/>
        <w:autoSpaceDN w:val="0"/>
        <w:adjustRightInd w:val="0"/>
        <w:textAlignment w:val="baseline"/>
        <w:rPr>
          <w:sz w:val="24"/>
          <w:szCs w:val="24"/>
        </w:rPr>
      </w:pPr>
      <w:r>
        <w:rPr>
          <w:b/>
          <w:i/>
          <w:sz w:val="28"/>
          <w:szCs w:val="28"/>
        </w:rPr>
        <w:t>Las empresas de la economía social/migrantes</w:t>
      </w:r>
    </w:p>
    <w:p w:rsidR="005661DF" w:rsidRPr="0090399E" w:rsidRDefault="005661DF" w:rsidP="00AB6734">
      <w:pPr>
        <w:tabs>
          <w:tab w:val="center" w:pos="284"/>
          <w:tab w:val="left" w:pos="1701"/>
        </w:tabs>
        <w:ind w:left="266" w:hanging="266"/>
        <w:rPr>
          <w:b/>
        </w:rPr>
      </w:pPr>
    </w:p>
    <w:p w:rsidR="005661DF" w:rsidRPr="0090399E" w:rsidRDefault="005661DF" w:rsidP="000432D1">
      <w:pPr>
        <w:tabs>
          <w:tab w:val="center" w:pos="284"/>
          <w:tab w:val="left" w:pos="1418"/>
        </w:tabs>
        <w:ind w:left="266" w:hanging="266"/>
      </w:pPr>
      <w:r>
        <w:rPr>
          <w:b/>
        </w:rPr>
        <w:t>Ponente:</w:t>
      </w:r>
      <w:r>
        <w:tab/>
        <w:t>Giuseppe GUERINI (Diversidad Europa – IT)</w:t>
      </w:r>
    </w:p>
    <w:p w:rsidR="005661DF" w:rsidRPr="0090399E" w:rsidRDefault="005661DF" w:rsidP="00AB6734">
      <w:pPr>
        <w:tabs>
          <w:tab w:val="center" w:pos="284"/>
          <w:tab w:val="left" w:pos="1701"/>
        </w:tabs>
        <w:ind w:left="266" w:hanging="266"/>
        <w:rPr>
          <w:b/>
        </w:rPr>
      </w:pPr>
    </w:p>
    <w:p w:rsidR="005661DF" w:rsidRPr="0090399E" w:rsidRDefault="005661DF" w:rsidP="000432D1">
      <w:pPr>
        <w:tabs>
          <w:tab w:val="center" w:pos="284"/>
          <w:tab w:val="left" w:pos="1418"/>
        </w:tabs>
        <w:ind w:left="266" w:hanging="266"/>
      </w:pPr>
      <w:r>
        <w:rPr>
          <w:b/>
        </w:rPr>
        <w:t>Referencia:</w:t>
      </w:r>
      <w:r w:rsidR="00E66D85">
        <w:rPr>
          <w:b/>
        </w:rPr>
        <w:tab/>
      </w:r>
      <w:r>
        <w:t>EESC-2017-04769-00-00-AC-TRA</w:t>
      </w:r>
    </w:p>
    <w:p w:rsidR="005661DF" w:rsidRPr="0090399E" w:rsidRDefault="005661DF" w:rsidP="000432D1">
      <w:pPr>
        <w:tabs>
          <w:tab w:val="left" w:pos="1418"/>
        </w:tabs>
      </w:pPr>
      <w:r>
        <w:tab/>
        <w:t>Dictamen de iniciativa</w:t>
      </w:r>
    </w:p>
    <w:p w:rsidR="005661DF" w:rsidRPr="0090399E" w:rsidRDefault="005661DF" w:rsidP="00AB6734">
      <w:pPr>
        <w:tabs>
          <w:tab w:val="center" w:pos="284"/>
        </w:tabs>
        <w:ind w:left="266" w:hanging="266"/>
      </w:pPr>
    </w:p>
    <w:p w:rsidR="005661DF" w:rsidRPr="0090399E" w:rsidRDefault="00697392" w:rsidP="00AB6734">
      <w:pPr>
        <w:tabs>
          <w:tab w:val="center" w:pos="284"/>
        </w:tabs>
        <w:ind w:left="266" w:hanging="266"/>
        <w:rPr>
          <w:b/>
        </w:rPr>
      </w:pPr>
      <w:r>
        <w:rPr>
          <w:b/>
        </w:rPr>
        <w:t>Puntos clave:</w:t>
      </w:r>
    </w:p>
    <w:p w:rsidR="00FE3C85" w:rsidRPr="00FF5BF0" w:rsidRDefault="00FE3C85" w:rsidP="00AB6734">
      <w:pPr>
        <w:tabs>
          <w:tab w:val="center" w:pos="284"/>
        </w:tabs>
        <w:ind w:left="266" w:hanging="266"/>
      </w:pPr>
    </w:p>
    <w:p w:rsidR="005661DF" w:rsidRDefault="005661DF" w:rsidP="00AB6734">
      <w:r>
        <w:t>El CESE:</w:t>
      </w:r>
    </w:p>
    <w:p w:rsidR="009D19BB" w:rsidRPr="00FF5BF0" w:rsidRDefault="009D19BB" w:rsidP="00AB6734"/>
    <w:p w:rsidR="005661DF" w:rsidRPr="00FF5BF0" w:rsidRDefault="005661DF" w:rsidP="0090399E">
      <w:pPr>
        <w:pStyle w:val="ListParagraph"/>
        <w:numPr>
          <w:ilvl w:val="0"/>
          <w:numId w:val="5"/>
        </w:numPr>
        <w:ind w:left="357" w:hanging="357"/>
        <w:rPr>
          <w:szCs w:val="24"/>
        </w:rPr>
      </w:pPr>
      <w:r>
        <w:t>considera que las empresas de la economía social desempeñan un papel clave en la medida en que intervienen en cuatro aspectos especialmente importantes para el proceso de integración de las personas migrantes: la salud y la asistencia, la vivienda, la formación y educación, y el trabajo y la integración activa;</w:t>
      </w:r>
    </w:p>
    <w:p w:rsidR="005661DF" w:rsidRPr="00FF5BF0" w:rsidRDefault="005661DF" w:rsidP="0090399E">
      <w:pPr>
        <w:pStyle w:val="ListParagraph"/>
        <w:numPr>
          <w:ilvl w:val="0"/>
          <w:numId w:val="5"/>
        </w:numPr>
        <w:ind w:left="357" w:hanging="357"/>
        <w:rPr>
          <w:szCs w:val="24"/>
        </w:rPr>
      </w:pPr>
      <w:r>
        <w:t>considera que las empresas de la economía social pueden contribuir a promover y apoyar no solo la creación de empleo, sino también el espíritu empresarial y el acceso de los migrantes y refugiados a una actividad económica;</w:t>
      </w:r>
    </w:p>
    <w:p w:rsidR="005661DF" w:rsidRPr="00FF5BF0" w:rsidRDefault="005661DF" w:rsidP="0090399E">
      <w:pPr>
        <w:pStyle w:val="ListParagraph"/>
        <w:numPr>
          <w:ilvl w:val="0"/>
          <w:numId w:val="5"/>
        </w:numPr>
        <w:ind w:left="357" w:hanging="357"/>
        <w:rPr>
          <w:szCs w:val="24"/>
        </w:rPr>
      </w:pPr>
      <w:r>
        <w:t>pide a las instituciones europeas que den prioridad a las políticas dirigidas a las empresas de la economía social, como ya lo reclamaba en su contribución al programa de trabajo de la Comisión Europea para 2018.</w:t>
      </w:r>
    </w:p>
    <w:p w:rsidR="005661DF" w:rsidRPr="008C4DA0" w:rsidRDefault="005661DF" w:rsidP="00AB6734">
      <w:pPr>
        <w:tabs>
          <w:tab w:val="left" w:pos="1418"/>
        </w:tabs>
        <w:rPr>
          <w:szCs w:val="24"/>
          <w:lang w:val="fr-FR"/>
        </w:rPr>
      </w:pPr>
    </w:p>
    <w:p w:rsidR="005661DF" w:rsidRPr="00FF5BF0" w:rsidRDefault="005661DF" w:rsidP="00BC1694">
      <w:pPr>
        <w:tabs>
          <w:tab w:val="left" w:pos="1134"/>
        </w:tabs>
        <w:rPr>
          <w:i/>
        </w:rPr>
      </w:pPr>
      <w:r>
        <w:rPr>
          <w:b/>
          <w:i/>
        </w:rPr>
        <w:t>Contacto:</w:t>
      </w:r>
      <w:r>
        <w:tab/>
      </w:r>
      <w:r>
        <w:rPr>
          <w:i/>
        </w:rPr>
        <w:t xml:space="preserve">Marie-Laurence </w:t>
      </w:r>
      <w:proofErr w:type="spellStart"/>
      <w:r>
        <w:rPr>
          <w:i/>
        </w:rPr>
        <w:t>Drillon</w:t>
      </w:r>
      <w:proofErr w:type="spellEnd"/>
    </w:p>
    <w:p w:rsidR="005661DF" w:rsidRPr="00FF5BF0" w:rsidRDefault="00697392" w:rsidP="00BC1694">
      <w:pPr>
        <w:tabs>
          <w:tab w:val="left" w:pos="1134"/>
        </w:tabs>
        <w:rPr>
          <w:i/>
        </w:rPr>
      </w:pPr>
      <w:r>
        <w:rPr>
          <w:i/>
        </w:rPr>
        <w:tab/>
        <w:t xml:space="preserve">(Tel. 00 32 2 546 83 20 – correo electrónico: </w:t>
      </w:r>
      <w:hyperlink r:id="rId18" w:history="1">
        <w:r>
          <w:rPr>
            <w:rStyle w:val="Hyperlink"/>
            <w:i/>
          </w:rPr>
          <w:t>marie-laurence.drillon@eesc.europa.eu</w:t>
        </w:r>
      </w:hyperlink>
      <w:r>
        <w:rPr>
          <w:i/>
        </w:rPr>
        <w:t>)</w:t>
      </w:r>
    </w:p>
    <w:p w:rsidR="00FE3C85" w:rsidRPr="00FF5BF0" w:rsidRDefault="00FE3C85" w:rsidP="00AB6734"/>
    <w:p w:rsidR="005661DF" w:rsidRPr="00FF5BF0" w:rsidRDefault="00DD5589" w:rsidP="00AB6734">
      <w:pPr>
        <w:pStyle w:val="ListParagraph"/>
        <w:widowControl w:val="0"/>
        <w:numPr>
          <w:ilvl w:val="0"/>
          <w:numId w:val="15"/>
        </w:numPr>
        <w:overflowPunct w:val="0"/>
        <w:autoSpaceDE w:val="0"/>
        <w:autoSpaceDN w:val="0"/>
        <w:adjustRightInd w:val="0"/>
        <w:textAlignment w:val="baseline"/>
        <w:rPr>
          <w:sz w:val="24"/>
          <w:szCs w:val="24"/>
        </w:rPr>
      </w:pPr>
      <w:r>
        <w:rPr>
          <w:b/>
          <w:i/>
          <w:sz w:val="28"/>
          <w:szCs w:val="28"/>
        </w:rPr>
        <w:t>Paquete sobre mercancías</w:t>
      </w:r>
    </w:p>
    <w:p w:rsidR="005661DF" w:rsidRPr="00FF5BF0" w:rsidRDefault="005661DF" w:rsidP="00AB6734">
      <w:pPr>
        <w:rPr>
          <w:b/>
        </w:rPr>
      </w:pPr>
    </w:p>
    <w:p w:rsidR="005661DF" w:rsidRPr="00FF5BF0" w:rsidRDefault="005661DF" w:rsidP="000432D1">
      <w:pPr>
        <w:tabs>
          <w:tab w:val="left" w:pos="1418"/>
        </w:tabs>
      </w:pPr>
      <w:r>
        <w:rPr>
          <w:b/>
        </w:rPr>
        <w:t>Ponente:</w:t>
      </w:r>
      <w:r w:rsidR="004504F1">
        <w:rPr>
          <w:b/>
        </w:rPr>
        <w:tab/>
      </w:r>
      <w:r>
        <w:t>Jorge PEGADO LIZ (Diversidad Europa – PT)</w:t>
      </w:r>
    </w:p>
    <w:p w:rsidR="005661DF" w:rsidRPr="00FF5BF0" w:rsidRDefault="005661DF" w:rsidP="00AB6734">
      <w:pPr>
        <w:tabs>
          <w:tab w:val="left" w:pos="1701"/>
        </w:tabs>
        <w:rPr>
          <w:b/>
        </w:rPr>
      </w:pPr>
    </w:p>
    <w:p w:rsidR="005661DF" w:rsidRPr="00FF5BF0" w:rsidRDefault="005661DF" w:rsidP="000432D1">
      <w:pPr>
        <w:tabs>
          <w:tab w:val="left" w:pos="1418"/>
        </w:tabs>
      </w:pPr>
      <w:r>
        <w:rPr>
          <w:b/>
        </w:rPr>
        <w:t>Referencias:</w:t>
      </w:r>
      <w:r w:rsidR="004504F1">
        <w:rPr>
          <w:b/>
        </w:rPr>
        <w:tab/>
      </w:r>
      <w:proofErr w:type="gramStart"/>
      <w:r>
        <w:t>COM(</w:t>
      </w:r>
      <w:proofErr w:type="gramEnd"/>
      <w:r>
        <w:t>2017) 787 final</w:t>
      </w:r>
    </w:p>
    <w:p w:rsidR="005661DF" w:rsidRPr="00FF5BF0" w:rsidRDefault="0068003C" w:rsidP="000432D1">
      <w:pPr>
        <w:tabs>
          <w:tab w:val="left" w:pos="1418"/>
        </w:tabs>
      </w:pPr>
      <w:r>
        <w:tab/>
      </w:r>
      <w:proofErr w:type="gramStart"/>
      <w:r>
        <w:t>COM(</w:t>
      </w:r>
      <w:proofErr w:type="gramEnd"/>
      <w:r>
        <w:t>2017) 795 final – 2017/353 (COD)</w:t>
      </w:r>
    </w:p>
    <w:p w:rsidR="005661DF" w:rsidRPr="00FF5BF0" w:rsidRDefault="0068003C" w:rsidP="000432D1">
      <w:pPr>
        <w:tabs>
          <w:tab w:val="left" w:pos="1418"/>
        </w:tabs>
      </w:pPr>
      <w:r>
        <w:tab/>
      </w:r>
      <w:proofErr w:type="gramStart"/>
      <w:r>
        <w:t>COM(</w:t>
      </w:r>
      <w:proofErr w:type="gramEnd"/>
      <w:r>
        <w:t>2017) 796 final – 2017/354 (COD)</w:t>
      </w:r>
    </w:p>
    <w:p w:rsidR="005661DF" w:rsidRPr="00FF5BF0" w:rsidRDefault="0068003C" w:rsidP="000432D1">
      <w:pPr>
        <w:tabs>
          <w:tab w:val="left" w:pos="1418"/>
        </w:tabs>
      </w:pPr>
      <w:r>
        <w:tab/>
        <w:t>EESC-2018-00201-00-00-AC-TRA</w:t>
      </w:r>
    </w:p>
    <w:p w:rsidR="005661DF" w:rsidRPr="00FF5BF0" w:rsidRDefault="005661DF" w:rsidP="00AB6734">
      <w:pPr>
        <w:tabs>
          <w:tab w:val="center" w:pos="284"/>
        </w:tabs>
        <w:ind w:left="266" w:hanging="266"/>
      </w:pPr>
    </w:p>
    <w:p w:rsidR="005661DF" w:rsidRPr="00FF5BF0" w:rsidRDefault="00697392" w:rsidP="00AB6734">
      <w:pPr>
        <w:tabs>
          <w:tab w:val="center" w:pos="284"/>
        </w:tabs>
        <w:ind w:left="266" w:hanging="266"/>
        <w:rPr>
          <w:b/>
        </w:rPr>
      </w:pPr>
      <w:r>
        <w:rPr>
          <w:b/>
        </w:rPr>
        <w:t>Puntos clave:</w:t>
      </w:r>
    </w:p>
    <w:p w:rsidR="00FE3C85" w:rsidRPr="00FF5BF0" w:rsidRDefault="00FE3C85" w:rsidP="00AB6734">
      <w:pPr>
        <w:rPr>
          <w:b/>
        </w:rPr>
      </w:pPr>
    </w:p>
    <w:p w:rsidR="005661DF" w:rsidRDefault="005661DF" w:rsidP="00AB6734">
      <w:r>
        <w:t>El CESE:</w:t>
      </w:r>
    </w:p>
    <w:p w:rsidR="004504F1" w:rsidRPr="00FF5BF0" w:rsidRDefault="004504F1" w:rsidP="00AB6734"/>
    <w:p w:rsidR="005661DF" w:rsidRPr="00FF5BF0" w:rsidRDefault="005661DF" w:rsidP="0090399E">
      <w:pPr>
        <w:pStyle w:val="ListParagraph"/>
        <w:numPr>
          <w:ilvl w:val="0"/>
          <w:numId w:val="6"/>
        </w:numPr>
        <w:ind w:left="357" w:hanging="357"/>
        <w:rPr>
          <w:color w:val="000000" w:themeColor="text1"/>
        </w:rPr>
      </w:pPr>
      <w:r>
        <w:rPr>
          <w:color w:val="000000" w:themeColor="text1"/>
        </w:rPr>
        <w:t>felicita a la Comisión por el enorme trabajo que ha desarrollado con este «paquete», pero considera asimismo que la propuesta actual debería comprender una disposición que refuerce la obligación de vigilancia del mercado por parte de los Estados miembros y, en particular, la obligación de presentar a la Comisión informes (trimestrales) de las acciones y controles;</w:t>
      </w:r>
    </w:p>
    <w:p w:rsidR="005661DF" w:rsidRPr="00FF5BF0" w:rsidRDefault="005661DF" w:rsidP="0090399E">
      <w:pPr>
        <w:pStyle w:val="ListParagraph"/>
        <w:numPr>
          <w:ilvl w:val="0"/>
          <w:numId w:val="6"/>
        </w:numPr>
        <w:ind w:left="357" w:hanging="357"/>
        <w:rPr>
          <w:color w:val="000000" w:themeColor="text1"/>
        </w:rPr>
      </w:pPr>
      <w:r>
        <w:rPr>
          <w:color w:val="000000" w:themeColor="text1"/>
        </w:rPr>
        <w:t>vuelve a insistir en que, entre los principios generales relativos a la vigilancia del mercado, siempre se debería incluir el principio de precaución como elemento fundamental de la toma de decisiones;</w:t>
      </w:r>
    </w:p>
    <w:p w:rsidR="005661DF" w:rsidRPr="00FF5BF0" w:rsidRDefault="005661DF" w:rsidP="0090399E">
      <w:pPr>
        <w:pStyle w:val="ListParagraph"/>
        <w:numPr>
          <w:ilvl w:val="0"/>
          <w:numId w:val="6"/>
        </w:numPr>
        <w:ind w:left="357" w:hanging="357"/>
        <w:rPr>
          <w:color w:val="000000" w:themeColor="text1"/>
        </w:rPr>
      </w:pPr>
      <w:r>
        <w:rPr>
          <w:color w:val="000000" w:themeColor="text1"/>
        </w:rPr>
        <w:t>considera prioritario prever no solo la obligación de que la Comisión Europea presente informes periódicos sobre RAPEX, sino también que los consumidores y las empresas, así como sus organizaciones representativas, tengan acceso a más información de la que se facilita a los ciudadanos;</w:t>
      </w:r>
    </w:p>
    <w:p w:rsidR="005661DF" w:rsidRPr="00FF5BF0" w:rsidRDefault="005661DF" w:rsidP="0090399E">
      <w:pPr>
        <w:pStyle w:val="ListParagraph"/>
        <w:numPr>
          <w:ilvl w:val="0"/>
          <w:numId w:val="6"/>
        </w:numPr>
        <w:ind w:left="357" w:hanging="357"/>
        <w:rPr>
          <w:color w:val="000000" w:themeColor="text1"/>
        </w:rPr>
      </w:pPr>
      <w:r>
        <w:rPr>
          <w:color w:val="000000" w:themeColor="text1"/>
        </w:rPr>
        <w:t>resalta la necesidad de reforzar la estrategia europea aduanera común a fin de garantizar la optimización de los recursos materiales y humanos para el desarrollo de las medidas previstas en la propuesta sometida a examen y, en este sentido, recomienda intensificar los acuerdos de asistencia mutua con los socios comerciales;</w:t>
      </w:r>
    </w:p>
    <w:p w:rsidR="005661DF" w:rsidRPr="00FF5BF0" w:rsidRDefault="005661DF" w:rsidP="0090399E">
      <w:pPr>
        <w:pStyle w:val="ListParagraph"/>
        <w:numPr>
          <w:ilvl w:val="0"/>
          <w:numId w:val="6"/>
        </w:numPr>
        <w:ind w:left="357" w:hanging="357"/>
        <w:rPr>
          <w:color w:val="000000" w:themeColor="text1"/>
        </w:rPr>
      </w:pPr>
      <w:r>
        <w:rPr>
          <w:color w:val="000000" w:themeColor="text1"/>
        </w:rPr>
        <w:t>considera que la propuesta actual debería comprender una disposición que refuerce la obligación de vigilancia del mercado de las ventas a través de plataformas en línea, así como la obligación de informar sobre los nuevos riesgos relacionados con internet («dispositivos conectados a internet»).</w:t>
      </w:r>
    </w:p>
    <w:p w:rsidR="005661DF" w:rsidRPr="00FF5BF0" w:rsidRDefault="005661DF" w:rsidP="00AB6734">
      <w:pPr>
        <w:rPr>
          <w:b/>
        </w:rPr>
      </w:pPr>
    </w:p>
    <w:p w:rsidR="005661DF" w:rsidRPr="00FF5BF0" w:rsidRDefault="005661DF" w:rsidP="00BC1694">
      <w:pPr>
        <w:tabs>
          <w:tab w:val="left" w:pos="1134"/>
        </w:tabs>
        <w:rPr>
          <w:i/>
        </w:rPr>
      </w:pPr>
      <w:r>
        <w:rPr>
          <w:b/>
          <w:i/>
        </w:rPr>
        <w:t>Contacto</w:t>
      </w:r>
      <w:r>
        <w:t>:</w:t>
      </w:r>
      <w:r>
        <w:tab/>
      </w:r>
      <w:r>
        <w:rPr>
          <w:i/>
        </w:rPr>
        <w:t xml:space="preserve">Jana </w:t>
      </w:r>
      <w:proofErr w:type="spellStart"/>
      <w:r>
        <w:rPr>
          <w:i/>
        </w:rPr>
        <w:t>Valant</w:t>
      </w:r>
      <w:proofErr w:type="spellEnd"/>
    </w:p>
    <w:p w:rsidR="005661DF" w:rsidRPr="00FF5BF0" w:rsidRDefault="00DD5589" w:rsidP="00BC1694">
      <w:pPr>
        <w:tabs>
          <w:tab w:val="left" w:pos="1134"/>
        </w:tabs>
      </w:pPr>
      <w:r>
        <w:rPr>
          <w:i/>
        </w:rPr>
        <w:tab/>
        <w:t xml:space="preserve">(Tel. 00 32 2 546 89 24 – correo electrónico: </w:t>
      </w:r>
      <w:hyperlink r:id="rId19" w:history="1">
        <w:r>
          <w:rPr>
            <w:rStyle w:val="Hyperlink"/>
            <w:i/>
          </w:rPr>
          <w:t>jana.valant@eesc.europa.eu</w:t>
        </w:r>
      </w:hyperlink>
      <w:r>
        <w:t>)</w:t>
      </w:r>
    </w:p>
    <w:p w:rsidR="00FE3C85" w:rsidRPr="00FF5BF0" w:rsidRDefault="00FE3C85" w:rsidP="00AB6734"/>
    <w:p w:rsidR="005661DF" w:rsidRPr="00FF5BF0" w:rsidRDefault="0027413E" w:rsidP="00AB6734">
      <w:pPr>
        <w:widowControl w:val="0"/>
        <w:numPr>
          <w:ilvl w:val="0"/>
          <w:numId w:val="4"/>
        </w:numPr>
        <w:overflowPunct w:val="0"/>
        <w:autoSpaceDE w:val="0"/>
        <w:autoSpaceDN w:val="0"/>
        <w:adjustRightInd w:val="0"/>
        <w:textAlignment w:val="baseline"/>
        <w:rPr>
          <w:sz w:val="24"/>
          <w:szCs w:val="24"/>
        </w:rPr>
      </w:pPr>
      <w:r>
        <w:rPr>
          <w:b/>
          <w:i/>
          <w:sz w:val="28"/>
          <w:szCs w:val="28"/>
        </w:rPr>
        <w:t>Evaluación de las tecnologías sanitarias</w:t>
      </w:r>
    </w:p>
    <w:p w:rsidR="005661DF" w:rsidRPr="00FF5BF0" w:rsidRDefault="005661DF" w:rsidP="00AB6734">
      <w:pPr>
        <w:tabs>
          <w:tab w:val="center" w:pos="284"/>
        </w:tabs>
        <w:ind w:left="266" w:hanging="266"/>
        <w:rPr>
          <w:b/>
        </w:rPr>
      </w:pPr>
    </w:p>
    <w:p w:rsidR="005661DF" w:rsidRPr="00FF5BF0" w:rsidRDefault="005661DF" w:rsidP="000432D1">
      <w:pPr>
        <w:tabs>
          <w:tab w:val="left" w:pos="1418"/>
        </w:tabs>
        <w:ind w:left="266" w:hanging="266"/>
      </w:pPr>
      <w:r>
        <w:rPr>
          <w:b/>
        </w:rPr>
        <w:t>Ponente:</w:t>
      </w:r>
      <w:r w:rsidR="004504F1">
        <w:rPr>
          <w:b/>
        </w:rPr>
        <w:tab/>
      </w:r>
      <w:proofErr w:type="spellStart"/>
      <w:r>
        <w:t>Dimitris</w:t>
      </w:r>
      <w:proofErr w:type="spellEnd"/>
      <w:r>
        <w:t xml:space="preserve"> DIMITRIADIS (Empresarios – EL)</w:t>
      </w:r>
    </w:p>
    <w:p w:rsidR="005661DF" w:rsidRPr="00FF5BF0" w:rsidRDefault="005661DF" w:rsidP="00AB6734">
      <w:pPr>
        <w:tabs>
          <w:tab w:val="left" w:pos="1701"/>
        </w:tabs>
        <w:ind w:left="266" w:hanging="266"/>
        <w:rPr>
          <w:b/>
        </w:rPr>
      </w:pPr>
    </w:p>
    <w:p w:rsidR="005661DF" w:rsidRPr="00FF5BF0" w:rsidRDefault="005661DF" w:rsidP="000432D1">
      <w:pPr>
        <w:tabs>
          <w:tab w:val="left" w:pos="1418"/>
        </w:tabs>
        <w:ind w:left="266" w:hanging="266"/>
      </w:pPr>
      <w:r>
        <w:rPr>
          <w:b/>
        </w:rPr>
        <w:t>Referencias:</w:t>
      </w:r>
      <w:r w:rsidR="004504F1">
        <w:rPr>
          <w:b/>
        </w:rPr>
        <w:tab/>
      </w:r>
      <w:proofErr w:type="gramStart"/>
      <w:r>
        <w:t>COM(</w:t>
      </w:r>
      <w:proofErr w:type="gramEnd"/>
      <w:r>
        <w:t>2018) 051 final – 2018/0018 (COD)</w:t>
      </w:r>
    </w:p>
    <w:p w:rsidR="005661DF" w:rsidRPr="00FF5BF0" w:rsidRDefault="005661DF" w:rsidP="000432D1">
      <w:pPr>
        <w:tabs>
          <w:tab w:val="left" w:pos="1418"/>
        </w:tabs>
        <w:ind w:left="266" w:hanging="266"/>
      </w:pPr>
      <w:r>
        <w:tab/>
      </w:r>
      <w:r>
        <w:tab/>
        <w:t>EESC-2018-00626-00-00-AC-TRA</w:t>
      </w:r>
    </w:p>
    <w:p w:rsidR="005661DF" w:rsidRPr="00FF5BF0" w:rsidRDefault="005661DF" w:rsidP="00AB6734">
      <w:pPr>
        <w:tabs>
          <w:tab w:val="center" w:pos="284"/>
        </w:tabs>
        <w:ind w:left="266" w:hanging="266"/>
      </w:pPr>
    </w:p>
    <w:p w:rsidR="0027413E" w:rsidRPr="00FF5BF0" w:rsidRDefault="0027413E" w:rsidP="00AB6734">
      <w:pPr>
        <w:tabs>
          <w:tab w:val="center" w:pos="284"/>
        </w:tabs>
        <w:ind w:left="266" w:hanging="266"/>
        <w:rPr>
          <w:b/>
        </w:rPr>
      </w:pPr>
      <w:r>
        <w:rPr>
          <w:b/>
        </w:rPr>
        <w:t>Puntos clave:</w:t>
      </w:r>
    </w:p>
    <w:p w:rsidR="00FE3C85" w:rsidRPr="00FF5BF0" w:rsidRDefault="00FE3C85" w:rsidP="00AB6734"/>
    <w:p w:rsidR="005661DF" w:rsidRPr="008C4DA0" w:rsidRDefault="005661DF" w:rsidP="00AB6734">
      <w:pPr>
        <w:rPr>
          <w:color w:val="000000" w:themeColor="text1"/>
        </w:rPr>
      </w:pPr>
      <w:r>
        <w:t>El CESE:</w:t>
      </w:r>
    </w:p>
    <w:p w:rsidR="005661DF" w:rsidRPr="008C4DA0" w:rsidRDefault="005661DF" w:rsidP="0090399E">
      <w:pPr>
        <w:pStyle w:val="ListParagraph"/>
        <w:numPr>
          <w:ilvl w:val="0"/>
          <w:numId w:val="6"/>
        </w:numPr>
        <w:ind w:left="357" w:hanging="357"/>
        <w:rPr>
          <w:color w:val="000000" w:themeColor="text1"/>
        </w:rPr>
      </w:pPr>
      <w:r>
        <w:rPr>
          <w:color w:val="000000" w:themeColor="text1"/>
        </w:rPr>
        <w:t>coincide en que la cooperación en materia de evaluación de las tecnologías sanitarias (ETS) llevada a cabo de manera sostenible en la UE tiene por objeto garantizar que todos los Estados miembros de la UE puedan beneficiarse de un aumento de la eficiencia de dicha evaluación, maximizando el valor añadido;</w:t>
      </w:r>
    </w:p>
    <w:p w:rsidR="005661DF" w:rsidRPr="008C4DA0" w:rsidRDefault="005661DF" w:rsidP="0090399E">
      <w:pPr>
        <w:pStyle w:val="ListParagraph"/>
        <w:numPr>
          <w:ilvl w:val="0"/>
          <w:numId w:val="6"/>
        </w:numPr>
        <w:ind w:left="357" w:hanging="357"/>
        <w:rPr>
          <w:color w:val="000000" w:themeColor="text1"/>
        </w:rPr>
      </w:pPr>
      <w:r>
        <w:rPr>
          <w:color w:val="000000" w:themeColor="text1"/>
        </w:rPr>
        <w:t>considera que la propuesta en principio beneficiará a las pymes, así como a las empresas sociales que operan en el sector, al reducir la carga administrativa y los costes de cumplimiento relacionados con la presentación múltiple de documentación para cumplir los diferentes requisitos nacionales en materia de ETS;</w:t>
      </w:r>
    </w:p>
    <w:p w:rsidR="005661DF" w:rsidRPr="008C4DA0" w:rsidRDefault="005661DF" w:rsidP="0090399E">
      <w:pPr>
        <w:pStyle w:val="ListParagraph"/>
        <w:numPr>
          <w:ilvl w:val="0"/>
          <w:numId w:val="6"/>
        </w:numPr>
        <w:ind w:left="357" w:hanging="357"/>
        <w:rPr>
          <w:color w:val="000000" w:themeColor="text1"/>
        </w:rPr>
      </w:pPr>
      <w:r>
        <w:rPr>
          <w:color w:val="000000" w:themeColor="text1"/>
        </w:rPr>
        <w:t>recomienda que en el Reglamento se haga referencia a medidas preventivas como, por ejemplo, el apoyo a los hospitales en el control, la prevención, la reducción y, finalmente, la eliminación de las infecciones nosocomiales, y que se amplíe su ámbito de aplicación para incluir dichas medidas.</w:t>
      </w:r>
    </w:p>
    <w:p w:rsidR="005661DF" w:rsidRPr="008C4DA0" w:rsidRDefault="005661DF" w:rsidP="00AB6734">
      <w:pPr>
        <w:rPr>
          <w:b/>
          <w:lang w:val="fr-FR"/>
        </w:rPr>
      </w:pPr>
    </w:p>
    <w:p w:rsidR="005661DF" w:rsidRPr="00FF5BF0" w:rsidRDefault="005661DF" w:rsidP="00BC1694">
      <w:pPr>
        <w:tabs>
          <w:tab w:val="left" w:pos="1134"/>
        </w:tabs>
        <w:rPr>
          <w:i/>
        </w:rPr>
      </w:pPr>
      <w:r>
        <w:rPr>
          <w:b/>
          <w:i/>
        </w:rPr>
        <w:t>Contacto:</w:t>
      </w:r>
      <w:r>
        <w:tab/>
      </w:r>
      <w:r>
        <w:rPr>
          <w:i/>
        </w:rPr>
        <w:t xml:space="preserve">Jana </w:t>
      </w:r>
      <w:proofErr w:type="spellStart"/>
      <w:r>
        <w:rPr>
          <w:i/>
        </w:rPr>
        <w:t>Valant</w:t>
      </w:r>
      <w:proofErr w:type="spellEnd"/>
    </w:p>
    <w:p w:rsidR="005661DF" w:rsidRPr="00FF5BF0" w:rsidRDefault="00114E69" w:rsidP="00BC1694">
      <w:pPr>
        <w:tabs>
          <w:tab w:val="left" w:pos="1134"/>
        </w:tabs>
      </w:pPr>
      <w:r>
        <w:rPr>
          <w:i/>
        </w:rPr>
        <w:tab/>
        <w:t xml:space="preserve">(Tel. 00 32 2 546 89 24 – correo electrónico: </w:t>
      </w:r>
      <w:hyperlink r:id="rId20" w:history="1">
        <w:r>
          <w:rPr>
            <w:rStyle w:val="Hyperlink"/>
            <w:i/>
          </w:rPr>
          <w:t>jana.valant@eesc.europa.eu</w:t>
        </w:r>
      </w:hyperlink>
      <w:r>
        <w:t>)</w:t>
      </w:r>
    </w:p>
    <w:p w:rsidR="005661DF" w:rsidRPr="00FF5BF0" w:rsidRDefault="005661DF" w:rsidP="00AB6734"/>
    <w:p w:rsidR="005661DF" w:rsidRPr="00FF5BF0" w:rsidRDefault="005661DF" w:rsidP="00AB6734"/>
    <w:p w:rsidR="00114E69" w:rsidRPr="00FF5BF0" w:rsidRDefault="00114E69" w:rsidP="00FF5BF0">
      <w:r>
        <w:br w:type="page"/>
      </w:r>
    </w:p>
    <w:p w:rsidR="00F2269F" w:rsidRPr="00FF5BF0" w:rsidRDefault="00F2269F" w:rsidP="00BC1694">
      <w:pPr>
        <w:pStyle w:val="Heading1"/>
        <w:rPr>
          <w:b/>
          <w:caps/>
        </w:rPr>
      </w:pPr>
      <w:bookmarkStart w:id="831" w:name="_Toc517094447"/>
      <w:r>
        <w:rPr>
          <w:b/>
          <w:caps/>
        </w:rPr>
        <w:t>Transportes, Energía, Infraestructuras y Sociedad de la Información</w:t>
      </w:r>
      <w:bookmarkEnd w:id="831"/>
    </w:p>
    <w:p w:rsidR="00FE3C85" w:rsidRPr="00FF5BF0" w:rsidRDefault="00FE3C85" w:rsidP="00AB6734"/>
    <w:p w:rsidR="00F2269F" w:rsidRPr="00FF5BF0" w:rsidRDefault="00F2269F" w:rsidP="00AB6734">
      <w:pPr>
        <w:widowControl w:val="0"/>
        <w:numPr>
          <w:ilvl w:val="0"/>
          <w:numId w:val="2"/>
        </w:numPr>
        <w:overflowPunct w:val="0"/>
        <w:autoSpaceDE w:val="0"/>
        <w:autoSpaceDN w:val="0"/>
        <w:adjustRightInd w:val="0"/>
        <w:textAlignment w:val="baseline"/>
        <w:rPr>
          <w:bCs/>
          <w:i/>
        </w:rPr>
      </w:pPr>
      <w:r>
        <w:rPr>
          <w:b/>
          <w:i/>
          <w:sz w:val="28"/>
          <w:szCs w:val="28"/>
        </w:rPr>
        <w:t>Informática de alto rendimiento</w:t>
      </w:r>
    </w:p>
    <w:p w:rsidR="00F2269F" w:rsidRPr="00FF5BF0" w:rsidRDefault="00F2269F" w:rsidP="00AB6734">
      <w:pPr>
        <w:widowControl w:val="0"/>
        <w:rPr>
          <w:bCs/>
          <w:highlight w:val="green"/>
        </w:rPr>
      </w:pPr>
    </w:p>
    <w:p w:rsidR="0087711E" w:rsidRPr="00FF5BF0" w:rsidRDefault="00F2269F" w:rsidP="00AB6734">
      <w:pPr>
        <w:tabs>
          <w:tab w:val="left" w:pos="1701"/>
        </w:tabs>
      </w:pPr>
      <w:r>
        <w:rPr>
          <w:b/>
        </w:rPr>
        <w:t>Ponente:</w:t>
      </w:r>
      <w:r w:rsidR="00E66D85">
        <w:rPr>
          <w:b/>
        </w:rPr>
        <w:tab/>
      </w:r>
      <w:r>
        <w:t>Ulrich SAMM (Empresarios – DE)</w:t>
      </w:r>
    </w:p>
    <w:p w:rsidR="00F2269F" w:rsidRPr="00FF5BF0" w:rsidRDefault="00F2269F" w:rsidP="00AB6734">
      <w:pPr>
        <w:tabs>
          <w:tab w:val="left" w:pos="1701"/>
        </w:tabs>
      </w:pPr>
      <w:proofErr w:type="spellStart"/>
      <w:r>
        <w:rPr>
          <w:b/>
        </w:rPr>
        <w:t>Coponente</w:t>
      </w:r>
      <w:proofErr w:type="spellEnd"/>
      <w:r>
        <w:t>:</w:t>
      </w:r>
      <w:r>
        <w:tab/>
        <w:t>Antonio LONGO (Diversidad Europa – IT)</w:t>
      </w:r>
    </w:p>
    <w:p w:rsidR="0087711E" w:rsidRPr="00FF5BF0" w:rsidRDefault="0087711E" w:rsidP="00AB6734">
      <w:pPr>
        <w:tabs>
          <w:tab w:val="left" w:pos="1701"/>
        </w:tabs>
      </w:pPr>
    </w:p>
    <w:p w:rsidR="0087711E" w:rsidRPr="00FF5BF0" w:rsidRDefault="00F2269F" w:rsidP="00AB6734">
      <w:pPr>
        <w:tabs>
          <w:tab w:val="left" w:pos="1701"/>
        </w:tabs>
      </w:pPr>
      <w:r>
        <w:rPr>
          <w:b/>
        </w:rPr>
        <w:t>Referencias:</w:t>
      </w:r>
      <w:r w:rsidR="00E66D85">
        <w:rPr>
          <w:b/>
        </w:rPr>
        <w:tab/>
      </w:r>
      <w:proofErr w:type="gramStart"/>
      <w:r>
        <w:t>COM(</w:t>
      </w:r>
      <w:proofErr w:type="gramEnd"/>
      <w:r>
        <w:t>2018) 8 final - 2018/0003(NLE)</w:t>
      </w:r>
    </w:p>
    <w:p w:rsidR="00F2269F" w:rsidRPr="00FF5BF0" w:rsidRDefault="0087711E" w:rsidP="00AB6734">
      <w:pPr>
        <w:tabs>
          <w:tab w:val="left" w:pos="1701"/>
        </w:tabs>
      </w:pPr>
      <w:r>
        <w:tab/>
        <w:t>EESC-2018-00354-00-00-AC-TRA</w:t>
      </w:r>
    </w:p>
    <w:p w:rsidR="00F2269F" w:rsidRPr="00FF5BF0" w:rsidRDefault="00F2269F" w:rsidP="00AB6734">
      <w:pPr>
        <w:tabs>
          <w:tab w:val="num" w:pos="550"/>
        </w:tabs>
        <w:rPr>
          <w:b/>
          <w:highlight w:val="green"/>
        </w:rPr>
      </w:pPr>
    </w:p>
    <w:p w:rsidR="00F2269F" w:rsidRPr="00FF5BF0" w:rsidRDefault="00F2269F" w:rsidP="00AB6734">
      <w:pPr>
        <w:rPr>
          <w:color w:val="000000"/>
        </w:rPr>
      </w:pPr>
      <w:r>
        <w:rPr>
          <w:b/>
        </w:rPr>
        <w:t>Puntos clave:</w:t>
      </w:r>
    </w:p>
    <w:p w:rsidR="00E66D85" w:rsidRDefault="00E66D85" w:rsidP="00464F6D"/>
    <w:p w:rsidR="005F0470" w:rsidRDefault="00C117FF" w:rsidP="00464F6D">
      <w:r>
        <w:t>EL CESE</w:t>
      </w:r>
      <w:r w:rsidR="009D19BB">
        <w:t>:</w:t>
      </w:r>
    </w:p>
    <w:p w:rsidR="009D19BB" w:rsidRPr="00FF5BF0" w:rsidRDefault="009D19BB" w:rsidP="00464F6D">
      <w:pPr>
        <w:rPr>
          <w:color w:val="000000"/>
        </w:rPr>
      </w:pPr>
    </w:p>
    <w:p w:rsidR="00F2269F" w:rsidRPr="00FF5BF0" w:rsidRDefault="00F2269F" w:rsidP="0090399E">
      <w:pPr>
        <w:pStyle w:val="ListParagraph"/>
        <w:numPr>
          <w:ilvl w:val="0"/>
          <w:numId w:val="19"/>
        </w:numPr>
        <w:ind w:left="357" w:hanging="357"/>
      </w:pPr>
      <w:r>
        <w:t xml:space="preserve">respalda esta iniciativa de Empresa Común </w:t>
      </w:r>
      <w:proofErr w:type="spellStart"/>
      <w:r>
        <w:t>EuroHPC</w:t>
      </w:r>
      <w:proofErr w:type="spellEnd"/>
      <w:r>
        <w:t xml:space="preserve"> como paso concreto en consonancia con la estrategia europea de computación en la nube, así como en el marco de una estrategia más amplia de la UE (que incluye la </w:t>
      </w:r>
      <w:proofErr w:type="spellStart"/>
      <w:r>
        <w:t>ciberseguridad</w:t>
      </w:r>
      <w:proofErr w:type="spellEnd"/>
      <w:r>
        <w:t>, el mercado único digital, la sociedad europea del Gigabit, la ciencia abierta, etc.). Esta iniciativa aporta un claro valor añadido europeo, con una tecnología fundamental que ayudará a afrontar los problemas más difíciles de nuestra sociedad moderna y, en última instancia, será beneficiosa para nuestro bienestar, competitividad y empleo;</w:t>
      </w:r>
    </w:p>
    <w:p w:rsidR="00F2269F" w:rsidRPr="00FF5BF0" w:rsidRDefault="00F2269F" w:rsidP="0090399E">
      <w:pPr>
        <w:pStyle w:val="ListParagraph"/>
        <w:numPr>
          <w:ilvl w:val="0"/>
          <w:numId w:val="19"/>
        </w:numPr>
        <w:ind w:left="357" w:hanging="357"/>
      </w:pPr>
      <w:r>
        <w:t>considera que la inversión inicial de 1 000 millones de euros para la adquisición y explotación de superordenadores de categoría mundial es significativa pero poco ambiciosa en comparación con las inversiones de países competidores como Estados Unidos y China. Sin embargo, expresa su convencimiento de que un incremento sustancial de las inversiones (en los Estados miembros de la UE), combinado con un sólido programa europeo de investigación e innovación, será necesario para mantener un nivel de categoría mundial en las aplicaciones de HPC. Puesto que la carrera continúa, no cabe duda de que será necesario realizar un esfuerzo similar en el marco del próximo MFP, en consonancia con el esfuerzo que despliegan los competidores mundiales;</w:t>
      </w:r>
    </w:p>
    <w:p w:rsidR="00F2269F" w:rsidRPr="00FF5BF0" w:rsidRDefault="00F2269F" w:rsidP="0090399E">
      <w:pPr>
        <w:pStyle w:val="ListParagraph"/>
        <w:numPr>
          <w:ilvl w:val="0"/>
          <w:numId w:val="19"/>
        </w:numPr>
        <w:ind w:left="357" w:hanging="357"/>
        <w:rPr>
          <w:color w:val="000000"/>
        </w:rPr>
      </w:pPr>
      <w:r>
        <w:t>respalda el enfoque industrial para desarrollar la próxima generación de microchips de bajo consumo en Europa. Puesto que contribuiría a una menor dependencia de las importaciones en la UE y garantizaría un acceso seguro a las mejores tecnologías de HPC. Señala que el desarrollo de estos microchips también repercute en la informática a pequeña escala, porque los circuitos integrados de gama alta pueden adaptarse (mediante la reducción de escala) a los aparatos en el mercado general (ordenadores personales, teléfonos inteligentes, sector de la automoción).</w:t>
      </w:r>
    </w:p>
    <w:p w:rsidR="00F2269F" w:rsidRPr="00FF5BF0" w:rsidRDefault="00F2269F" w:rsidP="00AB6734">
      <w:pPr>
        <w:rPr>
          <w:rFonts w:eastAsia="Calibri"/>
          <w:highlight w:val="yellow"/>
        </w:rPr>
      </w:pPr>
    </w:p>
    <w:p w:rsidR="00F2269F" w:rsidRPr="00FF5BF0" w:rsidRDefault="00F2269F" w:rsidP="00BC1694">
      <w:pPr>
        <w:tabs>
          <w:tab w:val="left" w:pos="1134"/>
        </w:tabs>
        <w:rPr>
          <w:i/>
        </w:rPr>
      </w:pPr>
      <w:r>
        <w:rPr>
          <w:b/>
          <w:i/>
        </w:rPr>
        <w:t>Contacto:</w:t>
      </w:r>
      <w:r>
        <w:rPr>
          <w:i/>
        </w:rPr>
        <w:tab/>
        <w:t xml:space="preserve">Maja </w:t>
      </w:r>
      <w:proofErr w:type="spellStart"/>
      <w:r>
        <w:rPr>
          <w:i/>
        </w:rPr>
        <w:t>Radman</w:t>
      </w:r>
      <w:proofErr w:type="spellEnd"/>
    </w:p>
    <w:p w:rsidR="00F2269F" w:rsidRPr="00FF5BF0" w:rsidRDefault="00C546D9" w:rsidP="00BC1694">
      <w:pPr>
        <w:tabs>
          <w:tab w:val="left" w:pos="1134"/>
        </w:tabs>
        <w:rPr>
          <w:i/>
        </w:rPr>
      </w:pPr>
      <w:r>
        <w:rPr>
          <w:i/>
        </w:rPr>
        <w:tab/>
        <w:t xml:space="preserve">(Tel. 00 32 2 546 9051 – correo electrónico: </w:t>
      </w:r>
      <w:hyperlink r:id="rId21" w:history="1">
        <w:r>
          <w:rPr>
            <w:rStyle w:val="Hyperlink"/>
            <w:i/>
          </w:rPr>
          <w:t>Maja.Radman@eesc.europa.eu</w:t>
        </w:r>
      </w:hyperlink>
      <w:r>
        <w:rPr>
          <w:i/>
        </w:rPr>
        <w:t>)</w:t>
      </w:r>
    </w:p>
    <w:p w:rsidR="00F2269F" w:rsidRPr="00FF5BF0" w:rsidRDefault="00F2269F" w:rsidP="00AB6734">
      <w:pPr>
        <w:rPr>
          <w:b/>
          <w:i/>
        </w:rPr>
      </w:pPr>
    </w:p>
    <w:p w:rsidR="00F2269F" w:rsidRPr="00FF5BF0" w:rsidRDefault="00F2269F" w:rsidP="00AB6734"/>
    <w:p w:rsidR="00C546D9" w:rsidRPr="00FF5BF0" w:rsidRDefault="00C546D9" w:rsidP="00FF5BF0">
      <w:pPr>
        <w:rPr>
          <w:caps/>
        </w:rPr>
      </w:pPr>
      <w:r>
        <w:br w:type="page"/>
      </w:r>
    </w:p>
    <w:p w:rsidR="0099413E" w:rsidRPr="00FF5BF0" w:rsidRDefault="00AF1968" w:rsidP="00BC1694">
      <w:pPr>
        <w:pStyle w:val="Heading1"/>
        <w:rPr>
          <w:b/>
          <w:caps/>
        </w:rPr>
      </w:pPr>
      <w:bookmarkStart w:id="832" w:name="_Toc517094448"/>
      <w:r>
        <w:rPr>
          <w:b/>
          <w:caps/>
        </w:rPr>
        <w:t>Relaciones Exteriores</w:t>
      </w:r>
      <w:bookmarkEnd w:id="832"/>
    </w:p>
    <w:p w:rsidR="00FE3C85" w:rsidRPr="00FF5BF0" w:rsidRDefault="00FE3C85" w:rsidP="00AB6734"/>
    <w:p w:rsidR="00314C5F" w:rsidRPr="00FF5BF0" w:rsidRDefault="00314C5F" w:rsidP="00FF5BF0">
      <w:pPr>
        <w:pStyle w:val="ListParagraph"/>
        <w:numPr>
          <w:ilvl w:val="0"/>
          <w:numId w:val="16"/>
        </w:numPr>
        <w:autoSpaceDE w:val="0"/>
        <w:autoSpaceDN w:val="0"/>
        <w:rPr>
          <w:b/>
          <w:i/>
          <w:sz w:val="28"/>
          <w:szCs w:val="28"/>
        </w:rPr>
      </w:pPr>
      <w:r>
        <w:rPr>
          <w:b/>
          <w:i/>
          <w:sz w:val="28"/>
          <w:szCs w:val="28"/>
        </w:rPr>
        <w:t>Acuerdo de Asociación UE-Mercosur</w:t>
      </w:r>
    </w:p>
    <w:p w:rsidR="00314C5F" w:rsidRPr="00FF5BF0" w:rsidRDefault="00314C5F" w:rsidP="00FF5BF0">
      <w:pPr>
        <w:overflowPunct w:val="0"/>
        <w:autoSpaceDE w:val="0"/>
        <w:autoSpaceDN w:val="0"/>
        <w:adjustRightInd w:val="0"/>
        <w:textAlignment w:val="baseline"/>
        <w:outlineLvl w:val="0"/>
        <w:rPr>
          <w:kern w:val="28"/>
          <w:szCs w:val="20"/>
        </w:rPr>
      </w:pPr>
    </w:p>
    <w:p w:rsidR="00314C5F" w:rsidRPr="00FF5BF0" w:rsidRDefault="00314C5F" w:rsidP="00FF5BF0">
      <w:pPr>
        <w:tabs>
          <w:tab w:val="left" w:pos="1701"/>
        </w:tabs>
        <w:autoSpaceDE w:val="0"/>
        <w:autoSpaceDN w:val="0"/>
        <w:rPr>
          <w:szCs w:val="20"/>
        </w:rPr>
      </w:pPr>
      <w:r>
        <w:rPr>
          <w:b/>
          <w:szCs w:val="20"/>
        </w:rPr>
        <w:t>Ponente:</w:t>
      </w:r>
      <w:r>
        <w:tab/>
        <w:t>Josep PUXEU ROCAMORA (Empresarios – ES)</w:t>
      </w:r>
    </w:p>
    <w:p w:rsidR="00314C5F" w:rsidRPr="00FF5BF0" w:rsidRDefault="00314C5F" w:rsidP="00FF5BF0">
      <w:pPr>
        <w:tabs>
          <w:tab w:val="left" w:pos="1701"/>
        </w:tabs>
        <w:autoSpaceDE w:val="0"/>
        <w:autoSpaceDN w:val="0"/>
        <w:rPr>
          <w:color w:val="000000"/>
          <w:szCs w:val="20"/>
        </w:rPr>
      </w:pPr>
      <w:proofErr w:type="spellStart"/>
      <w:r>
        <w:rPr>
          <w:b/>
          <w:szCs w:val="20"/>
        </w:rPr>
        <w:t>Coponente</w:t>
      </w:r>
      <w:proofErr w:type="spellEnd"/>
      <w:r>
        <w:rPr>
          <w:b/>
          <w:szCs w:val="20"/>
        </w:rPr>
        <w:t>:</w:t>
      </w:r>
      <w:r w:rsidR="00E66D85">
        <w:rPr>
          <w:b/>
          <w:szCs w:val="20"/>
        </w:rPr>
        <w:tab/>
      </w:r>
      <w:proofErr w:type="spellStart"/>
      <w:r>
        <w:rPr>
          <w:color w:val="000000"/>
          <w:szCs w:val="20"/>
        </w:rPr>
        <w:t>Mário</w:t>
      </w:r>
      <w:proofErr w:type="spellEnd"/>
      <w:r>
        <w:rPr>
          <w:color w:val="000000"/>
          <w:szCs w:val="20"/>
        </w:rPr>
        <w:t xml:space="preserve"> SOARES (Diversidad Europa – PT)</w:t>
      </w:r>
    </w:p>
    <w:p w:rsidR="0087711E" w:rsidRPr="00FF5BF0" w:rsidRDefault="0087711E" w:rsidP="00FF5BF0">
      <w:pPr>
        <w:tabs>
          <w:tab w:val="left" w:pos="1701"/>
        </w:tabs>
        <w:autoSpaceDE w:val="0"/>
        <w:autoSpaceDN w:val="0"/>
        <w:rPr>
          <w:b/>
          <w:szCs w:val="20"/>
          <w:lang w:eastAsia="en-GB" w:bidi="en-GB"/>
        </w:rPr>
      </w:pPr>
    </w:p>
    <w:p w:rsidR="00314C5F" w:rsidRPr="00FF5BF0" w:rsidRDefault="0087711E" w:rsidP="00AB6734">
      <w:pPr>
        <w:tabs>
          <w:tab w:val="left" w:pos="1701"/>
        </w:tabs>
        <w:rPr>
          <w:szCs w:val="20"/>
        </w:rPr>
      </w:pPr>
      <w:r>
        <w:rPr>
          <w:b/>
        </w:rPr>
        <w:t>Referencia:</w:t>
      </w:r>
      <w:r w:rsidR="00E66D85">
        <w:rPr>
          <w:b/>
        </w:rPr>
        <w:tab/>
      </w:r>
      <w:r>
        <w:t>EESC-2018-01010-00-00-AC-TRA</w:t>
      </w:r>
      <w:r>
        <w:br/>
      </w:r>
      <w:r>
        <w:tab/>
        <w:t>Dictamen de iniciativa</w:t>
      </w:r>
    </w:p>
    <w:p w:rsidR="0087711E" w:rsidRPr="00FF5BF0" w:rsidRDefault="0087711E" w:rsidP="00FF5BF0">
      <w:pPr>
        <w:overflowPunct w:val="0"/>
        <w:autoSpaceDE w:val="0"/>
        <w:autoSpaceDN w:val="0"/>
        <w:adjustRightInd w:val="0"/>
        <w:textAlignment w:val="baseline"/>
        <w:outlineLvl w:val="0"/>
        <w:rPr>
          <w:b/>
          <w:kern w:val="28"/>
          <w:szCs w:val="20"/>
        </w:rPr>
      </w:pPr>
    </w:p>
    <w:p w:rsidR="00314C5F" w:rsidRPr="00FF5BF0" w:rsidRDefault="00314C5F" w:rsidP="00AB6734">
      <w:pPr>
        <w:rPr>
          <w:b/>
          <w:kern w:val="28"/>
          <w:szCs w:val="20"/>
        </w:rPr>
      </w:pPr>
      <w:r>
        <w:rPr>
          <w:b/>
          <w:szCs w:val="20"/>
        </w:rPr>
        <w:t>Puntos clave:</w:t>
      </w:r>
    </w:p>
    <w:p w:rsidR="00314C5F" w:rsidRPr="00FF5BF0" w:rsidRDefault="00314C5F" w:rsidP="00AB6734">
      <w:pPr>
        <w:autoSpaceDE w:val="0"/>
        <w:autoSpaceDN w:val="0"/>
        <w:rPr>
          <w:szCs w:val="20"/>
        </w:rPr>
      </w:pPr>
    </w:p>
    <w:p w:rsidR="00314C5F" w:rsidRPr="00FF5BF0" w:rsidRDefault="00314C5F" w:rsidP="0090399E">
      <w:pPr>
        <w:pStyle w:val="ListParagraph"/>
        <w:numPr>
          <w:ilvl w:val="0"/>
          <w:numId w:val="22"/>
        </w:numPr>
        <w:ind w:left="357" w:hanging="357"/>
        <w:rPr>
          <w:szCs w:val="20"/>
        </w:rPr>
      </w:pPr>
      <w:r>
        <w:t>El CESE considera que un Acuerdo de esta naturaleza solo será posible si es equilibrado, beneficia a medio y largo plazo a las dos partes y no sacrifica a ningún sector (como el agrícola o el industrial), región o país en particular. En ningún caso, el Acuerdo de Asociación (AA) puede basarse en una mala negociación.</w:t>
      </w:r>
    </w:p>
    <w:p w:rsidR="00314C5F" w:rsidRPr="00FF5BF0" w:rsidRDefault="00314C5F" w:rsidP="0090399E">
      <w:pPr>
        <w:pStyle w:val="ListParagraph"/>
        <w:numPr>
          <w:ilvl w:val="0"/>
          <w:numId w:val="22"/>
        </w:numPr>
        <w:ind w:left="357" w:hanging="357"/>
        <w:rPr>
          <w:szCs w:val="20"/>
        </w:rPr>
      </w:pPr>
      <w:r>
        <w:t>Teniendo en cuenta todo lo referente a la cooperación y al diálogo político (dos de los tres pilares esenciales del AA), el CESE pide a las partes negociadoras la mayor voluntad política necesaria para cerrar el Acuerdo y el máximo empeño para superar las diferencias que en estos momentos afectan la dimensión comercial, reconociendo los aspectos sensibles de algunos sectores incluidos en la negociación y utilizando para ello el reconocimiento de asimetrías, seguimiento de los puntos acordados, medidas de acompañamiento y compensación, establecimiento de excepciones, planes de desarrollo para apoyar a los sectores más afectados, promoción de inversiones, políticas de innovación, cláusulas compensatorias, transitorias y evolutivas. Sería necesario, además, implicar a todas las políticas de la UE en las medidas de acompañamiento, entre otras.</w:t>
      </w:r>
    </w:p>
    <w:p w:rsidR="00314C5F" w:rsidRPr="00FF5BF0" w:rsidRDefault="00314C5F" w:rsidP="0090399E">
      <w:pPr>
        <w:pStyle w:val="ListParagraph"/>
        <w:numPr>
          <w:ilvl w:val="0"/>
          <w:numId w:val="22"/>
        </w:numPr>
        <w:ind w:left="357" w:hanging="357"/>
        <w:rPr>
          <w:szCs w:val="20"/>
        </w:rPr>
      </w:pPr>
      <w:r>
        <w:t>Para el CESE, las profundas transformaciones digitales que están teniendo lugar a ambos lados del Atlántico podrían ser un gran dinamizador para sacar un mejor partido de la firma de un AA entre la UE y el Mercosur. Entre los sectores que podrían verse satisfactoriamente afectados habría que considerar el refuerzo de las cadenas globales de valor, en este momento muy débiles, entre la UE y el Mercosur. También sería relevante el AA en todo aquello que respecta a la construcción de infraestructuras, especialmente de interconexión, el desarrollo de energías renovables y, muy especialmente, el sector de las telecomunicaciones.</w:t>
      </w:r>
    </w:p>
    <w:p w:rsidR="00314C5F" w:rsidRPr="00FF5BF0" w:rsidRDefault="00314C5F" w:rsidP="0090399E">
      <w:pPr>
        <w:pStyle w:val="ListParagraph"/>
        <w:numPr>
          <w:ilvl w:val="0"/>
          <w:numId w:val="22"/>
        </w:numPr>
        <w:ind w:left="357" w:hanging="357"/>
        <w:rPr>
          <w:szCs w:val="20"/>
        </w:rPr>
      </w:pPr>
      <w:r>
        <w:t>El CESE insta a las partes negociadoras y, en particular, a la UE, a que sopesen el elevado coste político, económico y de oportunidad que supondría un no acuerdo o un acuerdo no equilibrado para ambas partes. Es evidente que el coste del no acuerdo no se debe calcular solo teniendo en mente a los países del Mercosur, sino que debe incluir también al conjunto de América Latina, y muy especialmente a los países de la Alianza del Pacífico, que se ha convertido en uno de los principales focos de atención europea del proceso de integración regional latinoamericano.</w:t>
      </w:r>
    </w:p>
    <w:p w:rsidR="00314C5F" w:rsidRPr="00FF5BF0" w:rsidRDefault="00314C5F" w:rsidP="0090399E">
      <w:pPr>
        <w:pStyle w:val="ListParagraph"/>
        <w:numPr>
          <w:ilvl w:val="0"/>
          <w:numId w:val="22"/>
        </w:numPr>
        <w:ind w:left="357" w:hanging="357"/>
        <w:rPr>
          <w:szCs w:val="20"/>
        </w:rPr>
      </w:pPr>
      <w:r>
        <w:t>Para el CESE es esencial que el AA sea ambicioso y abarque todos los aspectos de las relaciones entre la UE y el Mercosur. Los recientes Acuerdos de libre comercio firmados con Canadá y Japón deben ser considerados. En este sentido, es importante abordar los obstáculos reales que afrontan las empresas mediante la armonización de la regulación y las repercusiones sobre las barreras no comerciales.</w:t>
      </w:r>
    </w:p>
    <w:p w:rsidR="00314C5F" w:rsidRPr="00FF5BF0" w:rsidRDefault="00314C5F" w:rsidP="00AB6734">
      <w:pPr>
        <w:autoSpaceDE w:val="0"/>
        <w:autoSpaceDN w:val="0"/>
        <w:rPr>
          <w:szCs w:val="20"/>
        </w:rPr>
      </w:pPr>
    </w:p>
    <w:p w:rsidR="00314C5F" w:rsidRPr="00FF5BF0" w:rsidRDefault="00314C5F" w:rsidP="0090399E">
      <w:pPr>
        <w:pStyle w:val="ListParagraph"/>
        <w:numPr>
          <w:ilvl w:val="0"/>
          <w:numId w:val="22"/>
        </w:numPr>
        <w:ind w:left="357" w:hanging="357"/>
        <w:rPr>
          <w:szCs w:val="20"/>
        </w:rPr>
      </w:pPr>
      <w:r>
        <w:t>El AA tendría que recoger una dimensión social, laboral y medioambiental que lo implique íntegramente. Tal dimensión debería garantizar las relaciones económicas acordes con los objetivos sociales y medioambientales de lo pactado y que no menoscaben las normas y garantías que regulan el desarrollo sostenible. También habría que insistir en la importancia de la seguridad alimentaria.</w:t>
      </w:r>
    </w:p>
    <w:p w:rsidR="00314C5F" w:rsidRPr="00FF5BF0" w:rsidRDefault="00314C5F" w:rsidP="0090399E">
      <w:pPr>
        <w:pStyle w:val="ListParagraph"/>
        <w:numPr>
          <w:ilvl w:val="0"/>
          <w:numId w:val="22"/>
        </w:numPr>
        <w:ind w:left="357" w:hanging="357"/>
        <w:rPr>
          <w:szCs w:val="20"/>
        </w:rPr>
      </w:pPr>
      <w:r>
        <w:t xml:space="preserve">El CESE considera que el AA deberá ser un instrumento activo de fomento del diálogo social y el cumplimiento de los convenios fundamentales de la OIT, especialmente aquellos referidos al trabajo decente y comprendidos en la Declaración de Principios y Derechos en el Trabajo de 1998. En este sentido, el CESE pide la inclusión de un capítulo </w:t>
      </w:r>
      <w:proofErr w:type="spellStart"/>
      <w:r>
        <w:t>sociolaboral</w:t>
      </w:r>
      <w:proofErr w:type="spellEnd"/>
      <w:r>
        <w:t xml:space="preserve"> reforzado para abordar los problemas del mundo del trabajo y fomentar el diálogo entre empresarios y trabajadores que podría ser un impulso para una mayor cohesión social.</w:t>
      </w:r>
    </w:p>
    <w:p w:rsidR="00314C5F" w:rsidRPr="00FF5BF0" w:rsidRDefault="00314C5F" w:rsidP="0090399E">
      <w:pPr>
        <w:pStyle w:val="ListParagraph"/>
        <w:numPr>
          <w:ilvl w:val="0"/>
          <w:numId w:val="22"/>
        </w:numPr>
        <w:ind w:left="357" w:hanging="357"/>
        <w:rPr>
          <w:szCs w:val="20"/>
        </w:rPr>
      </w:pPr>
      <w:r>
        <w:t>El Comité demanda asimismo la creación de un Comité Mixto de Seguimiento de la sociedad civil integrado por el CESE y el Foro Consultivo Económico-Social del Mercosur. Este deberá:</w:t>
      </w:r>
    </w:p>
    <w:p w:rsidR="00314C5F" w:rsidRPr="00FF5BF0" w:rsidRDefault="00314C5F" w:rsidP="00AB6734">
      <w:pPr>
        <w:autoSpaceDE w:val="0"/>
        <w:autoSpaceDN w:val="0"/>
        <w:rPr>
          <w:szCs w:val="20"/>
        </w:rPr>
      </w:pPr>
    </w:p>
    <w:p w:rsidR="00314C5F" w:rsidRPr="00FF5BF0" w:rsidRDefault="00314C5F" w:rsidP="00194CF8">
      <w:pPr>
        <w:pStyle w:val="ListParagraph"/>
        <w:numPr>
          <w:ilvl w:val="0"/>
          <w:numId w:val="20"/>
        </w:numPr>
        <w:overflowPunct w:val="0"/>
        <w:autoSpaceDE w:val="0"/>
        <w:autoSpaceDN w:val="0"/>
        <w:adjustRightInd w:val="0"/>
        <w:ind w:left="726" w:hanging="357"/>
        <w:textAlignment w:val="baseline"/>
        <w:rPr>
          <w:szCs w:val="20"/>
        </w:rPr>
      </w:pPr>
      <w:r>
        <w:t>tener carácter consultivo;</w:t>
      </w:r>
    </w:p>
    <w:p w:rsidR="00314C5F" w:rsidRPr="00FF5BF0" w:rsidRDefault="00314C5F" w:rsidP="00194CF8">
      <w:pPr>
        <w:pStyle w:val="ListParagraph"/>
        <w:numPr>
          <w:ilvl w:val="0"/>
          <w:numId w:val="20"/>
        </w:numPr>
        <w:overflowPunct w:val="0"/>
        <w:autoSpaceDE w:val="0"/>
        <w:autoSpaceDN w:val="0"/>
        <w:adjustRightInd w:val="0"/>
        <w:ind w:left="726" w:hanging="357"/>
        <w:textAlignment w:val="baseline"/>
        <w:rPr>
          <w:szCs w:val="20"/>
        </w:rPr>
      </w:pPr>
      <w:r>
        <w:t>contar con una composición paritaria y equilibrada entre los tres sectores de intereses representados en ambas instituciones;</w:t>
      </w:r>
    </w:p>
    <w:p w:rsidR="00314C5F" w:rsidRPr="00FF5BF0" w:rsidRDefault="00314C5F" w:rsidP="00194CF8">
      <w:pPr>
        <w:pStyle w:val="ListParagraph"/>
        <w:numPr>
          <w:ilvl w:val="0"/>
          <w:numId w:val="20"/>
        </w:numPr>
        <w:overflowPunct w:val="0"/>
        <w:autoSpaceDE w:val="0"/>
        <w:autoSpaceDN w:val="0"/>
        <w:adjustRightInd w:val="0"/>
        <w:ind w:left="726" w:hanging="357"/>
        <w:textAlignment w:val="baseline"/>
        <w:rPr>
          <w:szCs w:val="20"/>
        </w:rPr>
      </w:pPr>
      <w:r>
        <w:t>expresarse sobre todos los ámbitos cubiertos por el AA (incluido, por tanto, su capítulo sobre comercio y desarrollo sostenible);</w:t>
      </w:r>
    </w:p>
    <w:p w:rsidR="00314C5F" w:rsidRPr="00FF5BF0" w:rsidRDefault="00314C5F" w:rsidP="00194CF8">
      <w:pPr>
        <w:pStyle w:val="ListParagraph"/>
        <w:numPr>
          <w:ilvl w:val="0"/>
          <w:numId w:val="20"/>
        </w:numPr>
        <w:overflowPunct w:val="0"/>
        <w:autoSpaceDE w:val="0"/>
        <w:autoSpaceDN w:val="0"/>
        <w:adjustRightInd w:val="0"/>
        <w:ind w:left="726" w:hanging="357"/>
        <w:textAlignment w:val="baseline"/>
        <w:rPr>
          <w:szCs w:val="20"/>
        </w:rPr>
      </w:pPr>
      <w:r>
        <w:t>tener reconocida su capacidad de interlocución directa con los demás órganos conjuntos del AA, y</w:t>
      </w:r>
    </w:p>
    <w:p w:rsidR="00314C5F" w:rsidRPr="00FF5BF0" w:rsidRDefault="00314C5F" w:rsidP="00194CF8">
      <w:pPr>
        <w:pStyle w:val="ListParagraph"/>
        <w:numPr>
          <w:ilvl w:val="0"/>
          <w:numId w:val="20"/>
        </w:numPr>
        <w:overflowPunct w:val="0"/>
        <w:autoSpaceDE w:val="0"/>
        <w:autoSpaceDN w:val="0"/>
        <w:adjustRightInd w:val="0"/>
        <w:ind w:left="726" w:hanging="357"/>
        <w:textAlignment w:val="baseline"/>
        <w:rPr>
          <w:szCs w:val="20"/>
        </w:rPr>
      </w:pPr>
      <w:r>
        <w:t>recibir consultas de dichos órganos, y expresarse de propia iniciativa, elaborar su propio reglamento interno y recibir la financiación adecuada de sus respectivas autoridades políticas para el desempeño de sus funciones.</w:t>
      </w:r>
    </w:p>
    <w:p w:rsidR="00314C5F" w:rsidRPr="00FF5BF0" w:rsidRDefault="00314C5F" w:rsidP="00AB6734">
      <w:pPr>
        <w:autoSpaceDE w:val="0"/>
        <w:autoSpaceDN w:val="0"/>
        <w:rPr>
          <w:szCs w:val="20"/>
        </w:rPr>
      </w:pPr>
    </w:p>
    <w:p w:rsidR="00314C5F" w:rsidRPr="00FF5BF0" w:rsidRDefault="00314C5F" w:rsidP="0090399E">
      <w:pPr>
        <w:pStyle w:val="ListParagraph"/>
        <w:numPr>
          <w:ilvl w:val="0"/>
          <w:numId w:val="21"/>
        </w:numPr>
        <w:ind w:left="357" w:hanging="357"/>
        <w:rPr>
          <w:szCs w:val="20"/>
        </w:rPr>
      </w:pPr>
      <w:r>
        <w:t>El CESE considera innecesaria e ineficaz una duplicidad de representación de la sociedad civil, una en el ámbito general del AA y otra en el capítulo de Comercio y Desarrollo Sostenible. En este sentido, el CESE estima que el AA es un todo que afecta al conjunto de países de ambas partes. El CESE insta a los negociadores a aprender de las experiencias derivadas de otros acuerdos de asociación, donde se han creado grupos consultivos internos (GCI) de la sociedad civil por cada parte, sin posibilidad de interlocución reconocida dentro de los acuerdos. Las limitaciones ya evidentes de este modelo demuestran que no tiene sentido que cada país del Mercosur tenga un GCI de participación indirecta de la sociedad civil en el AA. Tanto más cuanto que ambas partes cuentan con instituciones consultivas independientes, equilibradas, representativas y aptas para cumplir su mandato dentro del AA.</w:t>
      </w:r>
    </w:p>
    <w:p w:rsidR="004F694B" w:rsidRPr="00FF5BF0" w:rsidRDefault="004F694B" w:rsidP="00AB6734"/>
    <w:p w:rsidR="004F694B" w:rsidRPr="00FF5BF0" w:rsidRDefault="004F694B" w:rsidP="000432D1">
      <w:pPr>
        <w:tabs>
          <w:tab w:val="left" w:pos="1134"/>
        </w:tabs>
        <w:rPr>
          <w:i/>
        </w:rPr>
      </w:pPr>
      <w:r>
        <w:rPr>
          <w:b/>
          <w:i/>
        </w:rPr>
        <w:t>Contacto:</w:t>
      </w:r>
      <w:r>
        <w:rPr>
          <w:i/>
        </w:rPr>
        <w:tab/>
        <w:t xml:space="preserve">Lucia </w:t>
      </w:r>
      <w:proofErr w:type="spellStart"/>
      <w:r>
        <w:rPr>
          <w:i/>
        </w:rPr>
        <w:t>Mendez</w:t>
      </w:r>
      <w:proofErr w:type="spellEnd"/>
      <w:r>
        <w:rPr>
          <w:i/>
        </w:rPr>
        <w:t xml:space="preserve"> Del Rio Cabra</w:t>
      </w:r>
    </w:p>
    <w:p w:rsidR="004F694B" w:rsidRPr="00FF5BF0" w:rsidRDefault="004F694B" w:rsidP="009D19BB">
      <w:pPr>
        <w:tabs>
          <w:tab w:val="left" w:pos="1134"/>
        </w:tabs>
        <w:ind w:left="1134" w:hanging="1134"/>
        <w:rPr>
          <w:i/>
        </w:rPr>
      </w:pPr>
      <w:r>
        <w:rPr>
          <w:i/>
        </w:rPr>
        <w:tab/>
        <w:t xml:space="preserve">(Tel. 00 32 2 546 9345 - correo electrónico: </w:t>
      </w:r>
      <w:hyperlink r:id="rId22" w:history="1">
        <w:r>
          <w:rPr>
            <w:rStyle w:val="Hyperlink"/>
            <w:i/>
          </w:rPr>
          <w:t>Lucia.MendezDelRioCabra@eesc.europa.eu</w:t>
        </w:r>
      </w:hyperlink>
      <w:r>
        <w:rPr>
          <w:i/>
        </w:rPr>
        <w:t>)</w:t>
      </w:r>
    </w:p>
    <w:p w:rsidR="00A81894" w:rsidRPr="00FF5BF0" w:rsidRDefault="00A81894" w:rsidP="00FF5BF0">
      <w:r>
        <w:br w:type="page"/>
      </w:r>
    </w:p>
    <w:p w:rsidR="00314C5F" w:rsidRPr="00FF5BF0" w:rsidRDefault="00F2269F" w:rsidP="00BC1694">
      <w:pPr>
        <w:pStyle w:val="Heading1"/>
        <w:rPr>
          <w:b/>
          <w:caps/>
        </w:rPr>
      </w:pPr>
      <w:bookmarkStart w:id="833" w:name="_Toc517094449"/>
      <w:r>
        <w:rPr>
          <w:b/>
          <w:caps/>
        </w:rPr>
        <w:t>Agricultura, Desarrollo Rural y Medio Ambiente</w:t>
      </w:r>
      <w:bookmarkEnd w:id="833"/>
    </w:p>
    <w:p w:rsidR="00C37F29" w:rsidRPr="00FF5BF0" w:rsidRDefault="00C37F29" w:rsidP="00AB6734"/>
    <w:p w:rsidR="00F2269F" w:rsidRPr="00FF5BF0" w:rsidRDefault="00F2269F" w:rsidP="00AB6734">
      <w:pPr>
        <w:pStyle w:val="ListParagraph"/>
        <w:numPr>
          <w:ilvl w:val="0"/>
          <w:numId w:val="4"/>
        </w:numPr>
        <w:rPr>
          <w:b/>
          <w:bCs/>
          <w:i/>
          <w:iCs/>
          <w:sz w:val="28"/>
          <w:szCs w:val="28"/>
        </w:rPr>
      </w:pPr>
      <w:r>
        <w:rPr>
          <w:b/>
          <w:bCs/>
          <w:i/>
          <w:iCs/>
          <w:sz w:val="28"/>
          <w:szCs w:val="28"/>
        </w:rPr>
        <w:t>Interfaz entre las legislaciones sobre sustancias químicas, sobre productos y sobre residuos</w:t>
      </w:r>
    </w:p>
    <w:p w:rsidR="00F2269F" w:rsidRPr="00FF5BF0" w:rsidRDefault="00F2269F" w:rsidP="00DA2918">
      <w:pPr>
        <w:widowControl w:val="0"/>
        <w:overflowPunct w:val="0"/>
        <w:autoSpaceDE w:val="0"/>
        <w:autoSpaceDN w:val="0"/>
        <w:adjustRightInd w:val="0"/>
        <w:textAlignment w:val="baseline"/>
        <w:rPr>
          <w:bCs/>
          <w:iCs/>
        </w:rPr>
      </w:pPr>
    </w:p>
    <w:p w:rsidR="00F2269F" w:rsidRPr="00FF5BF0" w:rsidRDefault="00F2269F" w:rsidP="000432D1">
      <w:pPr>
        <w:tabs>
          <w:tab w:val="left" w:pos="1418"/>
        </w:tabs>
      </w:pPr>
      <w:r>
        <w:rPr>
          <w:b/>
        </w:rPr>
        <w:t>Ponente:</w:t>
      </w:r>
      <w:r>
        <w:tab/>
        <w:t>Brian CURTIS (Trabajadores - UK)</w:t>
      </w:r>
    </w:p>
    <w:p w:rsidR="00F2269F" w:rsidRPr="00FF5BF0" w:rsidRDefault="00F2269F" w:rsidP="00AB6734">
      <w:pPr>
        <w:tabs>
          <w:tab w:val="left" w:pos="1701"/>
        </w:tabs>
      </w:pPr>
    </w:p>
    <w:p w:rsidR="00F2269F" w:rsidRPr="00FF5BF0" w:rsidRDefault="00F2269F" w:rsidP="000432D1">
      <w:pPr>
        <w:tabs>
          <w:tab w:val="left" w:pos="1418"/>
        </w:tabs>
      </w:pPr>
      <w:r>
        <w:rPr>
          <w:b/>
          <w:bCs/>
        </w:rPr>
        <w:t>Referencias:</w:t>
      </w:r>
      <w:r w:rsidR="00E66D85">
        <w:rPr>
          <w:b/>
          <w:bCs/>
        </w:rPr>
        <w:tab/>
      </w:r>
      <w:proofErr w:type="gramStart"/>
      <w:r>
        <w:t>COM(</w:t>
      </w:r>
      <w:proofErr w:type="gramEnd"/>
      <w:r>
        <w:t>2018) 32 final</w:t>
      </w:r>
    </w:p>
    <w:p w:rsidR="00F2269F" w:rsidRDefault="00F2269F" w:rsidP="000432D1">
      <w:pPr>
        <w:tabs>
          <w:tab w:val="left" w:pos="1418"/>
        </w:tabs>
      </w:pPr>
      <w:r>
        <w:tab/>
        <w:t>EESC-2018-00491-00-00-AC-TRA</w:t>
      </w:r>
    </w:p>
    <w:p w:rsidR="00E66D85" w:rsidRPr="00FF5BF0" w:rsidRDefault="00E66D85" w:rsidP="000432D1">
      <w:pPr>
        <w:tabs>
          <w:tab w:val="left" w:pos="1418"/>
        </w:tabs>
      </w:pPr>
    </w:p>
    <w:p w:rsidR="00F2269F" w:rsidRPr="00FF5BF0" w:rsidRDefault="00F2269F" w:rsidP="00AB6734">
      <w:pPr>
        <w:rPr>
          <w:bCs/>
          <w:iCs/>
        </w:rPr>
      </w:pPr>
      <w:r>
        <w:rPr>
          <w:b/>
        </w:rPr>
        <w:t>Puntos clave:</w:t>
      </w:r>
    </w:p>
    <w:p w:rsidR="00C37F29" w:rsidRPr="00FF5BF0" w:rsidRDefault="00C37F29" w:rsidP="00AB6734"/>
    <w:p w:rsidR="00F2269F" w:rsidRPr="00FF5BF0" w:rsidRDefault="00F2269F" w:rsidP="0090399E">
      <w:pPr>
        <w:pStyle w:val="ListParagraph"/>
        <w:numPr>
          <w:ilvl w:val="0"/>
          <w:numId w:val="23"/>
        </w:numPr>
        <w:ind w:left="357" w:hanging="357"/>
      </w:pPr>
      <w:r>
        <w:t>El Comité acoge favorablemente el enfoque adoptado por la Comisión de explorar sistemáticamente el abanico de opciones pertinentes que podrían contribuir a solucionar una serie de problemas detectados en la interfaz entre las legislaciones sobre sustancias químicas, productos y residuos.</w:t>
      </w:r>
    </w:p>
    <w:p w:rsidR="00F2269F" w:rsidRPr="00FF5BF0" w:rsidRDefault="00F2269F" w:rsidP="0090399E">
      <w:pPr>
        <w:pStyle w:val="ListParagraph"/>
        <w:numPr>
          <w:ilvl w:val="0"/>
          <w:numId w:val="23"/>
        </w:numPr>
        <w:ind w:left="357" w:hanging="357"/>
      </w:pPr>
      <w:r>
        <w:t>Asimismo, se congratula de la visión proactiva y a largo plazo adoptada por la Comisión en este asunto. El proceso de transición será inevitablemente de larga duración, pero requerirá un aliento constante para salir adelante. Además, deberá tenerse en cuenta la evolución actual de la tecnología de identificación y tratamiento.</w:t>
      </w:r>
    </w:p>
    <w:p w:rsidR="00F2269F" w:rsidRPr="00FF5BF0" w:rsidRDefault="00F2269F" w:rsidP="0090399E">
      <w:pPr>
        <w:pStyle w:val="ListParagraph"/>
        <w:numPr>
          <w:ilvl w:val="0"/>
          <w:numId w:val="23"/>
        </w:numPr>
        <w:ind w:left="357" w:hanging="357"/>
      </w:pPr>
      <w:r>
        <w:t>La salud y la seguridad profesionales de los trabajadores en las plantas de reciclado también están en riesgo si no se emprende una acción global, en particular en lo que respecta al problema de las sustancias heredadas. Por tanto, resulta esencial facilitar una información exhaustiva a los sindicatos.</w:t>
      </w:r>
    </w:p>
    <w:p w:rsidR="00F2269F" w:rsidRPr="00FF5BF0" w:rsidRDefault="00F2269F" w:rsidP="0090399E">
      <w:pPr>
        <w:pStyle w:val="ListParagraph"/>
        <w:numPr>
          <w:ilvl w:val="0"/>
          <w:numId w:val="23"/>
        </w:numPr>
        <w:ind w:left="357" w:hanging="357"/>
      </w:pPr>
      <w:r>
        <w:t>Debe darse prioridad a la plena aplicación del Reglamento REACH y las otras normativas sobre sustancias químicas ya en vigor. La legislación existente para impedir la entrada inicial de sustancias químicas peligrosas en el ciclo de materiales todavía no se está aplicando plenamente, especialmente en lo que se refiere a la entrada de productos de terceros países en la UE.</w:t>
      </w:r>
    </w:p>
    <w:p w:rsidR="00F2269F" w:rsidRPr="00FF5BF0" w:rsidRDefault="00F2269F" w:rsidP="0090399E">
      <w:pPr>
        <w:pStyle w:val="ListParagraph"/>
        <w:numPr>
          <w:ilvl w:val="0"/>
          <w:numId w:val="23"/>
        </w:numPr>
        <w:ind w:left="357" w:hanging="357"/>
      </w:pPr>
      <w:r>
        <w:t>El Comité identifica y respalda una mayor inversión en equipos de clasificación adaptados por las empresas de reciclado y la consideración de medidas de apoyo económico y técnico en este ámbito.</w:t>
      </w:r>
    </w:p>
    <w:p w:rsidR="00F2269F" w:rsidRPr="00FF5BF0" w:rsidRDefault="00F2269F" w:rsidP="0090399E">
      <w:pPr>
        <w:pStyle w:val="ListParagraph"/>
        <w:numPr>
          <w:ilvl w:val="0"/>
          <w:numId w:val="23"/>
        </w:numPr>
        <w:ind w:left="357" w:hanging="357"/>
      </w:pPr>
      <w:r>
        <w:t>El Comité apoya firmemente la opinión de que una mejora de la información sobre la presencia, localización y concentración de sustancias químicas peligrosas en productos y materiales recuperados de residuos puede reducir los problemas a los que se enfrentan los operadores en la cadena de recuperación.</w:t>
      </w:r>
    </w:p>
    <w:p w:rsidR="00F2269F" w:rsidRPr="00FF5BF0" w:rsidRDefault="00F2269F" w:rsidP="00AB6734"/>
    <w:p w:rsidR="00F2269F" w:rsidRPr="00FF5BF0" w:rsidRDefault="00F2269F" w:rsidP="000432D1">
      <w:pPr>
        <w:tabs>
          <w:tab w:val="left" w:pos="1134"/>
        </w:tabs>
        <w:rPr>
          <w:i/>
          <w:iCs/>
        </w:rPr>
      </w:pPr>
      <w:r>
        <w:rPr>
          <w:b/>
          <w:bCs/>
          <w:i/>
          <w:iCs/>
        </w:rPr>
        <w:t>Contacto:</w:t>
      </w:r>
      <w:r w:rsidR="009D19BB">
        <w:rPr>
          <w:b/>
          <w:bCs/>
          <w:i/>
          <w:iCs/>
        </w:rPr>
        <w:tab/>
      </w:r>
      <w:proofErr w:type="spellStart"/>
      <w:r>
        <w:rPr>
          <w:bCs/>
          <w:i/>
          <w:iCs/>
        </w:rPr>
        <w:t>Conrad</w:t>
      </w:r>
      <w:proofErr w:type="spellEnd"/>
      <w:r>
        <w:rPr>
          <w:bCs/>
          <w:i/>
          <w:iCs/>
        </w:rPr>
        <w:t xml:space="preserve"> </w:t>
      </w:r>
      <w:proofErr w:type="spellStart"/>
      <w:r>
        <w:rPr>
          <w:bCs/>
          <w:i/>
          <w:iCs/>
        </w:rPr>
        <w:t>Ganslandt</w:t>
      </w:r>
      <w:proofErr w:type="spellEnd"/>
    </w:p>
    <w:p w:rsidR="00F2269F" w:rsidRPr="00FF5BF0" w:rsidRDefault="004A58E6" w:rsidP="000432D1">
      <w:pPr>
        <w:tabs>
          <w:tab w:val="left" w:pos="1134"/>
        </w:tabs>
        <w:rPr>
          <w:i/>
          <w:iCs/>
        </w:rPr>
      </w:pPr>
      <w:r>
        <w:rPr>
          <w:i/>
          <w:iCs/>
        </w:rPr>
        <w:tab/>
        <w:t xml:space="preserve">(Tel. 00 32 2 546 82 75 – correo electrónico: </w:t>
      </w:r>
      <w:hyperlink r:id="rId23" w:history="1">
        <w:r>
          <w:rPr>
            <w:rStyle w:val="Hyperlink"/>
            <w:i/>
            <w:iCs/>
          </w:rPr>
          <w:t>@</w:t>
        </w:r>
        <w:proofErr w:type="spellStart"/>
        <w:r>
          <w:rPr>
            <w:rStyle w:val="Hyperlink"/>
            <w:i/>
            <w:iCs/>
          </w:rPr>
          <w:t>eesc.europa.euConrad.Ganslandt</w:t>
        </w:r>
        <w:proofErr w:type="spellEnd"/>
      </w:hyperlink>
      <w:r>
        <w:rPr>
          <w:i/>
          <w:iCs/>
        </w:rPr>
        <w:t>)</w:t>
      </w:r>
    </w:p>
    <w:p w:rsidR="004A58E6" w:rsidRPr="00FF5BF0" w:rsidRDefault="004A58E6" w:rsidP="00FF5BF0">
      <w:pPr>
        <w:rPr>
          <w:iCs/>
        </w:rPr>
      </w:pPr>
    </w:p>
    <w:p w:rsidR="00C37F29" w:rsidRPr="00FF5BF0" w:rsidRDefault="00C37F29" w:rsidP="00192F9E">
      <w:pPr>
        <w:spacing w:line="276" w:lineRule="auto"/>
        <w:rPr>
          <w:iCs/>
          <w:highlight w:val="yellow"/>
        </w:rPr>
      </w:pPr>
    </w:p>
    <w:p w:rsidR="00F2269F" w:rsidRPr="00FF5BF0" w:rsidRDefault="00F2269F" w:rsidP="00DA2918">
      <w:pPr>
        <w:pStyle w:val="ListParagraph"/>
        <w:keepNext/>
        <w:numPr>
          <w:ilvl w:val="0"/>
          <w:numId w:val="4"/>
        </w:numPr>
        <w:spacing w:line="276" w:lineRule="auto"/>
        <w:rPr>
          <w:b/>
          <w:bCs/>
          <w:i/>
          <w:iCs/>
          <w:sz w:val="28"/>
          <w:szCs w:val="28"/>
        </w:rPr>
      </w:pPr>
      <w:r>
        <w:rPr>
          <w:b/>
          <w:bCs/>
          <w:i/>
          <w:iCs/>
          <w:sz w:val="28"/>
          <w:szCs w:val="28"/>
        </w:rPr>
        <w:t xml:space="preserve">Estrategia sobre los </w:t>
      </w:r>
      <w:proofErr w:type="spellStart"/>
      <w:r>
        <w:rPr>
          <w:b/>
          <w:bCs/>
          <w:i/>
          <w:iCs/>
          <w:sz w:val="28"/>
          <w:szCs w:val="28"/>
        </w:rPr>
        <w:t>plásticosen</w:t>
      </w:r>
      <w:proofErr w:type="spellEnd"/>
      <w:r>
        <w:rPr>
          <w:b/>
          <w:bCs/>
          <w:i/>
          <w:iCs/>
          <w:sz w:val="28"/>
          <w:szCs w:val="28"/>
        </w:rPr>
        <w:t xml:space="preserve"> la economía circular (incluida la acción sobre los desechos de buques)</w:t>
      </w:r>
    </w:p>
    <w:p w:rsidR="00F2269F" w:rsidRPr="009D19BB" w:rsidRDefault="00F2269F" w:rsidP="00DA2918">
      <w:pPr>
        <w:keepNext/>
        <w:tabs>
          <w:tab w:val="left" w:pos="1701"/>
        </w:tabs>
        <w:spacing w:line="276" w:lineRule="auto"/>
        <w:rPr>
          <w:bCs/>
          <w:iCs/>
          <w:sz w:val="16"/>
          <w:szCs w:val="16"/>
        </w:rPr>
      </w:pPr>
    </w:p>
    <w:p w:rsidR="00F2269F" w:rsidRPr="00FF5BF0" w:rsidRDefault="00F2269F" w:rsidP="00DA2918">
      <w:pPr>
        <w:keepNext/>
        <w:tabs>
          <w:tab w:val="left" w:pos="1418"/>
        </w:tabs>
        <w:spacing w:line="276" w:lineRule="auto"/>
      </w:pPr>
      <w:r>
        <w:rPr>
          <w:b/>
        </w:rPr>
        <w:t>Ponente:</w:t>
      </w:r>
      <w:r>
        <w:tab/>
      </w:r>
      <w:proofErr w:type="spellStart"/>
      <w:r>
        <w:t>Antonello</w:t>
      </w:r>
      <w:proofErr w:type="spellEnd"/>
      <w:r>
        <w:t xml:space="preserve"> PEZZINI (Empresarios – IT)</w:t>
      </w:r>
    </w:p>
    <w:p w:rsidR="00F2269F" w:rsidRPr="00FF5BF0" w:rsidRDefault="00F2269F" w:rsidP="00DA2918">
      <w:pPr>
        <w:keepNext/>
        <w:tabs>
          <w:tab w:val="left" w:pos="1701"/>
        </w:tabs>
        <w:spacing w:line="276" w:lineRule="auto"/>
      </w:pPr>
    </w:p>
    <w:p w:rsidR="00F2269F" w:rsidRPr="00FF5BF0" w:rsidRDefault="00F2269F" w:rsidP="00DA2918">
      <w:pPr>
        <w:tabs>
          <w:tab w:val="left" w:pos="1418"/>
        </w:tabs>
        <w:spacing w:line="276" w:lineRule="auto"/>
      </w:pPr>
      <w:r>
        <w:rPr>
          <w:b/>
          <w:bCs/>
        </w:rPr>
        <w:t>Referencias:</w:t>
      </w:r>
      <w:r w:rsidR="00E66D85">
        <w:rPr>
          <w:b/>
          <w:bCs/>
        </w:rPr>
        <w:tab/>
      </w:r>
      <w:proofErr w:type="gramStart"/>
      <w:r>
        <w:t>COM(</w:t>
      </w:r>
      <w:proofErr w:type="gramEnd"/>
      <w:r>
        <w:t>2018) 28 final</w:t>
      </w:r>
    </w:p>
    <w:p w:rsidR="00F2269F" w:rsidRPr="00FF5BF0" w:rsidRDefault="0087711E" w:rsidP="00DA2918">
      <w:pPr>
        <w:tabs>
          <w:tab w:val="left" w:pos="1418"/>
        </w:tabs>
        <w:spacing w:line="276" w:lineRule="auto"/>
      </w:pPr>
      <w:r>
        <w:tab/>
      </w:r>
      <w:proofErr w:type="gramStart"/>
      <w:r>
        <w:t>COM(</w:t>
      </w:r>
      <w:proofErr w:type="gramEnd"/>
      <w:r>
        <w:t>2018) 33 - final – 2018-12-COD</w:t>
      </w:r>
    </w:p>
    <w:p w:rsidR="00F2269F" w:rsidRDefault="00F2269F" w:rsidP="00DA2918">
      <w:pPr>
        <w:tabs>
          <w:tab w:val="left" w:pos="1418"/>
        </w:tabs>
        <w:spacing w:line="276" w:lineRule="auto"/>
      </w:pPr>
      <w:r>
        <w:tab/>
        <w:t>EESC-2018-00536-00-00-AC-TRA</w:t>
      </w:r>
    </w:p>
    <w:p w:rsidR="00E66D85" w:rsidRPr="00FF5BF0" w:rsidRDefault="00E66D85" w:rsidP="00DA2918">
      <w:pPr>
        <w:tabs>
          <w:tab w:val="left" w:pos="1418"/>
        </w:tabs>
        <w:spacing w:line="276" w:lineRule="auto"/>
      </w:pPr>
    </w:p>
    <w:p w:rsidR="00F2269F" w:rsidRPr="00FF5BF0" w:rsidRDefault="00F2269F" w:rsidP="00DA2918">
      <w:pPr>
        <w:spacing w:line="276" w:lineRule="auto"/>
        <w:rPr>
          <w:bCs/>
          <w:iCs/>
        </w:rPr>
      </w:pPr>
      <w:r>
        <w:rPr>
          <w:b/>
        </w:rPr>
        <w:t>Puntos clave:</w:t>
      </w:r>
    </w:p>
    <w:p w:rsidR="00C37F29" w:rsidRPr="00FF5BF0" w:rsidRDefault="00C37F29" w:rsidP="00DA2918">
      <w:pPr>
        <w:spacing w:line="276" w:lineRule="auto"/>
      </w:pPr>
    </w:p>
    <w:p w:rsidR="00F2269F" w:rsidRPr="00FF5BF0" w:rsidRDefault="00F2269F" w:rsidP="0090399E">
      <w:pPr>
        <w:pStyle w:val="ListParagraph"/>
        <w:numPr>
          <w:ilvl w:val="0"/>
          <w:numId w:val="24"/>
        </w:numPr>
        <w:ind w:left="357" w:hanging="357"/>
      </w:pPr>
      <w:r>
        <w:t>El CESE, que desde un comienzo apoyó la política de la Comisión sobre la economía circular, considera, no obstante, que debe perseguirse en estrecho contacto con las fuerzas sociales y las organizaciones de la sociedad civil, a través de ejercicios de prospectiva y con la participación del mundo académico y los distintos centros de formación.</w:t>
      </w:r>
    </w:p>
    <w:p w:rsidR="00F2269F" w:rsidRPr="00FF5BF0" w:rsidRDefault="00F2269F" w:rsidP="0090399E">
      <w:pPr>
        <w:pStyle w:val="Heading3"/>
        <w:numPr>
          <w:ilvl w:val="0"/>
          <w:numId w:val="24"/>
        </w:numPr>
        <w:ind w:left="357" w:hanging="357"/>
        <w:contextualSpacing/>
      </w:pPr>
      <w:r>
        <w:t>En opinión del CESE, sobre todo en el sector de los envases, hoy enormemente extendido, por motivos económicos y de higiene debe elaborarse una estrategia de sector tendente a la reutilización, con la participación de empresas con experiencia en los procesos de reciclaje. Se trata de armonizar y sistematizar en procedimientos concretos las competencias en las fases anteriores y posteriores del proceso. Los organismos nacionales de normalización, en estrecha relación con los organismos europeos e internacionales, deberían intensificar los procesos de reconocimiento, mediante una etiqueta, de las materias primas secundarias, a fin de incrementar mediante una armonización europea la seguridad de los consumidores en los nuevos productos.</w:t>
      </w:r>
    </w:p>
    <w:p w:rsidR="00F2269F" w:rsidRPr="00FF5BF0" w:rsidRDefault="00F2269F" w:rsidP="0090399E">
      <w:pPr>
        <w:pStyle w:val="Heading3"/>
        <w:numPr>
          <w:ilvl w:val="0"/>
          <w:numId w:val="24"/>
        </w:numPr>
        <w:ind w:left="357" w:hanging="357"/>
        <w:contextualSpacing/>
      </w:pPr>
      <w:r>
        <w:t xml:space="preserve">En opinión del CESE, la investigación y la innovación deben desempeñar un papel importante, en especial la ITC (iniciativa tecnológica conjunta) —asociación público privada en el marco de Horizonte 2020—, dirigida al desarrollo de </w:t>
      </w:r>
      <w:proofErr w:type="spellStart"/>
      <w:r>
        <w:t>bioproductos</w:t>
      </w:r>
      <w:proofErr w:type="spellEnd"/>
      <w:r>
        <w:t xml:space="preserve"> y otras iniciativas de sostenibilidad circular en el próximo 9</w:t>
      </w:r>
      <w:proofErr w:type="gramStart"/>
      <w:r>
        <w:t>.º</w:t>
      </w:r>
      <w:proofErr w:type="gramEnd"/>
      <w:r>
        <w:t xml:space="preserve"> PM.</w:t>
      </w:r>
    </w:p>
    <w:p w:rsidR="00F2269F" w:rsidRPr="00FF5BF0" w:rsidRDefault="00F2269F" w:rsidP="0090399E">
      <w:pPr>
        <w:pStyle w:val="Heading3"/>
        <w:numPr>
          <w:ilvl w:val="0"/>
          <w:numId w:val="24"/>
        </w:numPr>
        <w:ind w:left="357" w:hanging="357"/>
        <w:contextualSpacing/>
      </w:pPr>
      <w:r>
        <w:t xml:space="preserve">Hay que dar prioridad al proceso de aplicación del marcado digital de los distintos tipos de plástico para hacer posible su identificación, separación y posible eliminación con arreglo a métodos comunes. En particular, las materias primas secundarias deben carecer de algunas sustancias tóxicas que contienen las materias primas no destinadas a entrar en contacto con los alimentos y los juguetes infantiles. En particular, el CESE considera que, mediante los análisis químicos asociados a REACH, se debe intervenir para limitar la contaminación por </w:t>
      </w:r>
      <w:proofErr w:type="spellStart"/>
      <w:r>
        <w:t>microplásticos</w:t>
      </w:r>
      <w:proofErr w:type="spellEnd"/>
      <w:r>
        <w:t>, que representa una de las principales amenazas para el medio ambiente y la salud de las personas.</w:t>
      </w:r>
    </w:p>
    <w:p w:rsidR="00F2269F" w:rsidRPr="00FF5BF0" w:rsidRDefault="00F2269F" w:rsidP="0090399E">
      <w:pPr>
        <w:pStyle w:val="Heading3"/>
        <w:numPr>
          <w:ilvl w:val="0"/>
          <w:numId w:val="24"/>
        </w:numPr>
        <w:ind w:left="357" w:hanging="357"/>
        <w:contextualSpacing/>
      </w:pPr>
      <w:r>
        <w:t>El CESE apoya con convicción la propuesta de la Comisión de dotar a los puertos de estructuras de recogida de desechos y la obligación de los responsables de los buques de seguir procedimientos para el vertido de residuos. Una política similar debería aplicarse también a la gestión de los ríos, que constituyen un considerable colector de la contaminación de los mares. Según el CESE, las asociaciones de pescadores y las fuerzas sociales deberían participar, ya sea culturalmente ya sea a través de financiaciones nacionales y/o comunitarias, en un ejercicio de limpieza de las aguas de residuos poliméricos, promoviendo también acciones de sensibilización en relación con los residuos fluviales y marinos. Podrían, aunque no solo, intervenir, con una formación adecuada, en la parte del sector equipada en el puerto o a lo largo de los ríos, en las fases iniciales del reciclaje, sobre todo durante las paradas biológicas de la pesca.</w:t>
      </w:r>
    </w:p>
    <w:p w:rsidR="00F2269F" w:rsidRPr="00FF5BF0" w:rsidRDefault="00F2269F" w:rsidP="00DA2918">
      <w:pPr>
        <w:spacing w:line="276" w:lineRule="auto"/>
      </w:pPr>
    </w:p>
    <w:p w:rsidR="00F2269F" w:rsidRPr="00FF5BF0" w:rsidRDefault="00F2269F" w:rsidP="00DA2918">
      <w:pPr>
        <w:tabs>
          <w:tab w:val="left" w:pos="1134"/>
        </w:tabs>
        <w:spacing w:line="276" w:lineRule="auto"/>
        <w:rPr>
          <w:i/>
          <w:iCs/>
        </w:rPr>
      </w:pPr>
      <w:r>
        <w:rPr>
          <w:b/>
          <w:bCs/>
          <w:i/>
          <w:iCs/>
        </w:rPr>
        <w:t>Contacto:</w:t>
      </w:r>
      <w:r w:rsidR="00E66D85">
        <w:rPr>
          <w:b/>
          <w:bCs/>
          <w:i/>
          <w:iCs/>
        </w:rPr>
        <w:tab/>
      </w:r>
      <w:proofErr w:type="spellStart"/>
      <w:r>
        <w:rPr>
          <w:i/>
        </w:rPr>
        <w:t>Monica</w:t>
      </w:r>
      <w:proofErr w:type="spellEnd"/>
      <w:r>
        <w:rPr>
          <w:i/>
        </w:rPr>
        <w:t xml:space="preserve"> </w:t>
      </w:r>
      <w:proofErr w:type="spellStart"/>
      <w:r>
        <w:rPr>
          <w:i/>
        </w:rPr>
        <w:t>Guarinoni</w:t>
      </w:r>
      <w:proofErr w:type="spellEnd"/>
    </w:p>
    <w:p w:rsidR="00F2269F" w:rsidRPr="00FF5BF0" w:rsidRDefault="004A58E6" w:rsidP="00DA2918">
      <w:pPr>
        <w:tabs>
          <w:tab w:val="left" w:pos="1134"/>
        </w:tabs>
        <w:spacing w:line="276" w:lineRule="auto"/>
        <w:rPr>
          <w:i/>
          <w:iCs/>
        </w:rPr>
      </w:pPr>
      <w:r>
        <w:rPr>
          <w:i/>
          <w:iCs/>
        </w:rPr>
        <w:tab/>
        <w:t>(Tel. 00 32 2 546 81 27 – correo electrónico:</w:t>
      </w:r>
      <w:r>
        <w:t xml:space="preserve"> </w:t>
      </w:r>
      <w:hyperlink r:id="rId24" w:history="1">
        <w:r>
          <w:rPr>
            <w:rStyle w:val="Hyperlink"/>
            <w:i/>
            <w:iCs/>
          </w:rPr>
          <w:t>Monica.Guarinoni@eesc.europa.eu</w:t>
        </w:r>
      </w:hyperlink>
      <w:r>
        <w:rPr>
          <w:i/>
          <w:iCs/>
        </w:rPr>
        <w:t>)</w:t>
      </w:r>
    </w:p>
    <w:p w:rsidR="00CF5E85" w:rsidRPr="00FF5BF0" w:rsidRDefault="00CF5E85" w:rsidP="00FF5BF0">
      <w:pPr>
        <w:spacing w:line="240" w:lineRule="auto"/>
        <w:rPr>
          <w:iCs/>
        </w:rPr>
      </w:pPr>
      <w:r>
        <w:br w:type="page"/>
      </w:r>
    </w:p>
    <w:p w:rsidR="00C37F29" w:rsidRPr="00FF5BF0" w:rsidRDefault="00C37F29" w:rsidP="00AB6734">
      <w:pPr>
        <w:rPr>
          <w:iCs/>
        </w:rPr>
      </w:pPr>
    </w:p>
    <w:p w:rsidR="00F2269F" w:rsidRPr="00FF5BF0" w:rsidRDefault="00F2269F" w:rsidP="00AB6734">
      <w:pPr>
        <w:pStyle w:val="ListParagraph"/>
        <w:numPr>
          <w:ilvl w:val="0"/>
          <w:numId w:val="4"/>
        </w:numPr>
        <w:rPr>
          <w:b/>
          <w:bCs/>
          <w:i/>
          <w:iCs/>
          <w:sz w:val="28"/>
          <w:szCs w:val="28"/>
        </w:rPr>
      </w:pPr>
      <w:r>
        <w:rPr>
          <w:b/>
          <w:bCs/>
          <w:i/>
          <w:iCs/>
          <w:sz w:val="28"/>
          <w:szCs w:val="28"/>
        </w:rPr>
        <w:t>El futuro de los alimentos y de la agricultura</w:t>
      </w:r>
    </w:p>
    <w:p w:rsidR="00F2269F" w:rsidRPr="00FF5BF0" w:rsidRDefault="00F2269F" w:rsidP="00FF5BF0"/>
    <w:p w:rsidR="00F2269F" w:rsidRPr="00FF5BF0" w:rsidRDefault="00F2269F" w:rsidP="00AB6734">
      <w:pPr>
        <w:tabs>
          <w:tab w:val="left" w:pos="1701"/>
        </w:tabs>
      </w:pPr>
      <w:r>
        <w:rPr>
          <w:b/>
        </w:rPr>
        <w:t>Ponente:</w:t>
      </w:r>
      <w:r>
        <w:tab/>
      </w:r>
      <w:proofErr w:type="spellStart"/>
      <w:r>
        <w:t>Jarmila</w:t>
      </w:r>
      <w:proofErr w:type="spellEnd"/>
      <w:r>
        <w:t xml:space="preserve"> DUBRAVSKÁ (Empresarios – SK)</w:t>
      </w:r>
    </w:p>
    <w:p w:rsidR="00F2269F" w:rsidRPr="00FF5BF0" w:rsidRDefault="00F2269F" w:rsidP="00AB6734">
      <w:pPr>
        <w:tabs>
          <w:tab w:val="left" w:pos="1701"/>
        </w:tabs>
      </w:pPr>
      <w:proofErr w:type="spellStart"/>
      <w:r>
        <w:rPr>
          <w:b/>
        </w:rPr>
        <w:t>Coponente</w:t>
      </w:r>
      <w:proofErr w:type="spellEnd"/>
      <w:r>
        <w:rPr>
          <w:b/>
        </w:rPr>
        <w:t>:</w:t>
      </w:r>
      <w:r w:rsidR="009D19BB">
        <w:rPr>
          <w:b/>
        </w:rPr>
        <w:tab/>
      </w:r>
      <w:r>
        <w:t>John BRYAN (Diversidad Europa – IE)</w:t>
      </w:r>
    </w:p>
    <w:p w:rsidR="0034052F" w:rsidRPr="00FF5BF0" w:rsidRDefault="0034052F" w:rsidP="00AB6734">
      <w:pPr>
        <w:tabs>
          <w:tab w:val="left" w:pos="1701"/>
        </w:tabs>
        <w:rPr>
          <w:b/>
        </w:rPr>
      </w:pPr>
    </w:p>
    <w:p w:rsidR="00F2269F" w:rsidRPr="00FF5BF0" w:rsidRDefault="00F2269F" w:rsidP="00AB6734">
      <w:pPr>
        <w:tabs>
          <w:tab w:val="left" w:pos="1701"/>
        </w:tabs>
      </w:pPr>
      <w:r>
        <w:rPr>
          <w:b/>
          <w:bCs/>
        </w:rPr>
        <w:t>Referencias:</w:t>
      </w:r>
      <w:r w:rsidR="00120CBC">
        <w:rPr>
          <w:b/>
          <w:bCs/>
        </w:rPr>
        <w:tab/>
      </w:r>
      <w:proofErr w:type="gramStart"/>
      <w:r>
        <w:t>COM(</w:t>
      </w:r>
      <w:proofErr w:type="gramEnd"/>
      <w:r>
        <w:t>2017) 713 - final</w:t>
      </w:r>
    </w:p>
    <w:p w:rsidR="00F2269F" w:rsidRPr="00FF5BF0" w:rsidRDefault="00F2269F" w:rsidP="00AB6734">
      <w:pPr>
        <w:tabs>
          <w:tab w:val="left" w:pos="1701"/>
        </w:tabs>
      </w:pPr>
      <w:r>
        <w:tab/>
        <w:t>EESC-2018-00162-00-00-AC-TRA</w:t>
      </w:r>
    </w:p>
    <w:p w:rsidR="00F2269F" w:rsidRPr="00FF5BF0" w:rsidRDefault="00F2269F" w:rsidP="00AB6734">
      <w:pPr>
        <w:rPr>
          <w:bCs/>
          <w:iCs/>
        </w:rPr>
      </w:pPr>
      <w:r>
        <w:rPr>
          <w:b/>
        </w:rPr>
        <w:t>Puntos clave:</w:t>
      </w:r>
    </w:p>
    <w:p w:rsidR="00C37F29" w:rsidRPr="00FF5BF0" w:rsidRDefault="00C37F29" w:rsidP="00AB6734"/>
    <w:p w:rsidR="00F2269F" w:rsidRPr="00FF5BF0" w:rsidRDefault="00F2269F" w:rsidP="0090399E">
      <w:pPr>
        <w:pStyle w:val="ListParagraph"/>
        <w:numPr>
          <w:ilvl w:val="0"/>
          <w:numId w:val="25"/>
        </w:numPr>
        <w:ind w:left="357" w:hanging="357"/>
      </w:pPr>
      <w:r>
        <w:t>La futura PAC debe cumplir los objetivos iniciales establecidos en el Tratado de Roma, así como los nuevos objetivos en materia de medio ambiente, cambio climático y biodiversidad, velando al mismo tiempo por mantener el modelo de agricultura europea y que siga siendo viable y competitivo, para responder a las necesidades de los ciudadanos europeos. La nueva PAC debe, además, incorporar y cumplir los Objetivos de Desarrollo Sostenible de las Naciones Unidas y los establecidos en la COP21.</w:t>
      </w:r>
    </w:p>
    <w:p w:rsidR="00F2269F" w:rsidRPr="00FF5BF0" w:rsidRDefault="00F2269F" w:rsidP="0090399E">
      <w:pPr>
        <w:pStyle w:val="ListParagraph"/>
        <w:numPr>
          <w:ilvl w:val="0"/>
          <w:numId w:val="25"/>
        </w:numPr>
        <w:ind w:left="357" w:hanging="357"/>
      </w:pPr>
      <w:r>
        <w:t>El CESE acoge con satisfacción la orientación de las reformas y las nuevas propuestas sobre la subsidiariedad y el nuevo modelo de aplicación, y subraya la necesidad de garantizar que se apliquen de manera que se proteja la política común y el mercado único y que sean acordes con los compromisos sobre una simplificación. Sin embargo, el CESE considera que la Comunicación podría haber sido más precisa. El Comité confiaba en que la Comisión tuviera en cuenta el punto de vista de la sociedad civil recogido en este dictamen en sus próximas propuestas legislativas. El calendario del Dictamen del CESE y de las propuestas legislativas de la Comisión Europea era demasiado ajustado.</w:t>
      </w:r>
    </w:p>
    <w:p w:rsidR="00F2269F" w:rsidRPr="00FF5BF0" w:rsidRDefault="00F2269F" w:rsidP="0090399E">
      <w:pPr>
        <w:pStyle w:val="ListParagraph"/>
        <w:numPr>
          <w:ilvl w:val="0"/>
          <w:numId w:val="25"/>
        </w:numPr>
        <w:ind w:left="357" w:hanging="357"/>
      </w:pPr>
      <w:r>
        <w:t>El CESE apoya el modelo de la PAC basado en dos pilares, generando el primer pilar pagos directos, que deben reorientarse y deben garantizar unos ingresos justos a los agricultores como incentivo para el suministro de bienes públicos, así como el apoyo a los mercados, y ayudando el segundo pilar a zonas y regiones vulnerables y a luchar contra la despoblación en consonancia con la Declaración de Cork 2.0. El CESE se opone a la cofinanciación del primer pilar. Aboga por un nivel de cofinanciación razonable del segundo pilar para todos los Estados miembros. El CESE está convencido de que los pagos directos deberían beneficiar solo a agricultores activos sobre la base de criterios objetivos referidos a actividades agrícolas y el suministro de bienes públicos.</w:t>
      </w:r>
    </w:p>
    <w:p w:rsidR="00F2269F" w:rsidRPr="00FF5BF0" w:rsidRDefault="00F2269F" w:rsidP="0090399E">
      <w:pPr>
        <w:pStyle w:val="ListParagraph"/>
        <w:numPr>
          <w:ilvl w:val="0"/>
          <w:numId w:val="25"/>
        </w:numPr>
        <w:ind w:left="357" w:hanging="357"/>
      </w:pPr>
      <w:r>
        <w:t xml:space="preserve">El CESE respalda una PAC fuerte y financiada adecuadamente, así como un aumento del presupuesto de la UE hasta alcanzar el 1,3 % de la RNB en consonancia con el crecimiento de la economía de la UE. Debe otorgarse una financiación adecuada a la PAC para abordar las bajas rentas de los agricultores y trabajadores agrícolas, la inflación y cualquier restricción derivada del </w:t>
      </w:r>
      <w:proofErr w:type="spellStart"/>
      <w:r>
        <w:rPr>
          <w:i/>
        </w:rPr>
        <w:t>Brexit</w:t>
      </w:r>
      <w:proofErr w:type="spellEnd"/>
      <w:r>
        <w:t>, hacer frente a los requisitos adicionales en materia de medio ambiente y cambio climático y lograr la necesaria aproximación de los pagos directos entre los Estados miembros, teniendo en cuenta las diferentes circunstancias.</w:t>
      </w:r>
    </w:p>
    <w:p w:rsidR="00F2269F" w:rsidRPr="00FF5BF0" w:rsidRDefault="00F2269F" w:rsidP="0090399E">
      <w:pPr>
        <w:pStyle w:val="ListParagraph"/>
        <w:numPr>
          <w:ilvl w:val="0"/>
          <w:numId w:val="25"/>
        </w:numPr>
        <w:ind w:left="357" w:hanging="357"/>
      </w:pPr>
      <w:r>
        <w:t>El CESE considera que la PAC debe apoyar a los agricultores, independientemente de que sean pequeños o grandes, jóvenes o de más edad, nuevos o asentados, agricultores por cuenta propia y sus empleados, mujeres u hombres, de un modo que haga la vida en las zonas rurales viable para aquellos agricultores activos que participen en la producción agrícola, generen bienes públicos, cuiden el medio ambiente y contribuyan a la creación de empleo.</w:t>
      </w:r>
    </w:p>
    <w:p w:rsidR="00F2269F" w:rsidRPr="00FF5BF0" w:rsidRDefault="00F2269F" w:rsidP="00AB6734">
      <w:pPr>
        <w:ind w:left="-567"/>
      </w:pPr>
    </w:p>
    <w:p w:rsidR="00F2269F" w:rsidRPr="00640EE5" w:rsidRDefault="00F2269F" w:rsidP="00AB6734">
      <w:pPr>
        <w:rPr>
          <w:sz w:val="16"/>
          <w:szCs w:val="16"/>
        </w:rPr>
      </w:pPr>
    </w:p>
    <w:p w:rsidR="00F2269F" w:rsidRPr="00FF5BF0" w:rsidRDefault="00F2269F" w:rsidP="000432D1">
      <w:pPr>
        <w:tabs>
          <w:tab w:val="left" w:pos="1134"/>
        </w:tabs>
        <w:rPr>
          <w:bCs/>
          <w:i/>
          <w:iCs/>
        </w:rPr>
      </w:pPr>
      <w:r>
        <w:rPr>
          <w:b/>
          <w:bCs/>
          <w:i/>
          <w:iCs/>
        </w:rPr>
        <w:t>Contacto:</w:t>
      </w:r>
      <w:r w:rsidR="00120CBC">
        <w:rPr>
          <w:b/>
          <w:bCs/>
          <w:i/>
          <w:iCs/>
        </w:rPr>
        <w:tab/>
      </w:r>
      <w:proofErr w:type="spellStart"/>
      <w:r>
        <w:rPr>
          <w:bCs/>
          <w:i/>
          <w:iCs/>
        </w:rPr>
        <w:t>Maarit</w:t>
      </w:r>
      <w:proofErr w:type="spellEnd"/>
      <w:r>
        <w:rPr>
          <w:bCs/>
          <w:i/>
          <w:iCs/>
        </w:rPr>
        <w:t xml:space="preserve"> </w:t>
      </w:r>
      <w:proofErr w:type="spellStart"/>
      <w:r>
        <w:rPr>
          <w:bCs/>
          <w:i/>
          <w:iCs/>
        </w:rPr>
        <w:t>Laurila</w:t>
      </w:r>
      <w:proofErr w:type="spellEnd"/>
    </w:p>
    <w:p w:rsidR="00F2269F" w:rsidRPr="00FF5BF0" w:rsidRDefault="0034052F" w:rsidP="000432D1">
      <w:pPr>
        <w:tabs>
          <w:tab w:val="left" w:pos="1134"/>
        </w:tabs>
        <w:rPr>
          <w:i/>
          <w:iCs/>
        </w:rPr>
      </w:pPr>
      <w:r>
        <w:rPr>
          <w:i/>
          <w:iCs/>
        </w:rPr>
        <w:tab/>
        <w:t>(Tel. 00 32 2 546 97 39 – correo electrónico:</w:t>
      </w:r>
      <w:r>
        <w:t xml:space="preserve"> </w:t>
      </w:r>
      <w:hyperlink r:id="rId25" w:history="1">
        <w:r>
          <w:rPr>
            <w:rStyle w:val="Hyperlink"/>
            <w:i/>
          </w:rPr>
          <w:t>Maarit.Laurila@eesc.europa.eu</w:t>
        </w:r>
      </w:hyperlink>
      <w:r>
        <w:rPr>
          <w:i/>
          <w:iCs/>
        </w:rPr>
        <w:t>)</w:t>
      </w:r>
    </w:p>
    <w:p w:rsidR="00396C91" w:rsidRPr="00FF5BF0" w:rsidRDefault="00396C91" w:rsidP="000432D1">
      <w:pPr>
        <w:tabs>
          <w:tab w:val="left" w:pos="1134"/>
        </w:tabs>
        <w:rPr>
          <w:i/>
          <w:iCs/>
        </w:rPr>
      </w:pPr>
      <w:r>
        <w:rPr>
          <w:i/>
          <w:iCs/>
        </w:rPr>
        <w:tab/>
      </w:r>
      <w:r>
        <w:rPr>
          <w:bCs/>
          <w:i/>
          <w:iCs/>
        </w:rPr>
        <w:t>Arturo Íñiguez</w:t>
      </w:r>
    </w:p>
    <w:p w:rsidR="00F2269F" w:rsidRPr="00FF5BF0" w:rsidRDefault="0034052F" w:rsidP="000432D1">
      <w:pPr>
        <w:tabs>
          <w:tab w:val="left" w:pos="1134"/>
        </w:tabs>
        <w:rPr>
          <w:i/>
          <w:iCs/>
        </w:rPr>
      </w:pPr>
      <w:r>
        <w:rPr>
          <w:i/>
          <w:iCs/>
        </w:rPr>
        <w:tab/>
        <w:t xml:space="preserve">(Tel. 00 32 2 546 87 68 – correo electrónico: </w:t>
      </w:r>
      <w:hyperlink r:id="rId26" w:history="1">
        <w:r>
          <w:rPr>
            <w:rStyle w:val="Hyperlink"/>
            <w:i/>
            <w:iCs/>
          </w:rPr>
          <w:t>Arturo.Iniguez@eesc.europa.eu</w:t>
        </w:r>
      </w:hyperlink>
      <w:r>
        <w:rPr>
          <w:i/>
          <w:iCs/>
        </w:rPr>
        <w:t>)</w:t>
      </w:r>
    </w:p>
    <w:p w:rsidR="00F2269F" w:rsidRPr="00640EE5" w:rsidRDefault="00F2269F" w:rsidP="00AB6734">
      <w:pPr>
        <w:rPr>
          <w:iCs/>
          <w:sz w:val="16"/>
          <w:szCs w:val="16"/>
        </w:rPr>
      </w:pPr>
    </w:p>
    <w:p w:rsidR="00F2269F" w:rsidRPr="00FF5BF0" w:rsidRDefault="00F2269F" w:rsidP="00AB6734">
      <w:pPr>
        <w:pStyle w:val="ListParagraph"/>
        <w:numPr>
          <w:ilvl w:val="0"/>
          <w:numId w:val="26"/>
        </w:numPr>
        <w:rPr>
          <w:b/>
          <w:bCs/>
          <w:i/>
          <w:iCs/>
          <w:sz w:val="28"/>
          <w:szCs w:val="28"/>
        </w:rPr>
      </w:pPr>
      <w:r>
        <w:rPr>
          <w:b/>
          <w:bCs/>
          <w:i/>
          <w:iCs/>
          <w:sz w:val="28"/>
          <w:szCs w:val="28"/>
        </w:rPr>
        <w:t>Acciones de la UE para mejorar el cumplimiento y la gobernanza medioambiental</w:t>
      </w:r>
    </w:p>
    <w:p w:rsidR="00F2269F" w:rsidRPr="009465A9" w:rsidRDefault="00F2269F" w:rsidP="00AB6734">
      <w:pPr>
        <w:rPr>
          <w:b/>
          <w:bCs/>
          <w:i/>
          <w:iCs/>
          <w:sz w:val="16"/>
          <w:szCs w:val="16"/>
        </w:rPr>
      </w:pPr>
    </w:p>
    <w:p w:rsidR="00F2269F" w:rsidRPr="00FF5BF0" w:rsidRDefault="00F2269F" w:rsidP="000432D1">
      <w:pPr>
        <w:tabs>
          <w:tab w:val="left" w:pos="1418"/>
        </w:tabs>
      </w:pPr>
      <w:r>
        <w:rPr>
          <w:b/>
        </w:rPr>
        <w:t>Ponente:</w:t>
      </w:r>
      <w:r>
        <w:tab/>
      </w:r>
      <w:proofErr w:type="spellStart"/>
      <w:r>
        <w:t>Arnaud</w:t>
      </w:r>
      <w:proofErr w:type="spellEnd"/>
      <w:r>
        <w:t xml:space="preserve"> SCHWARTZ (Diversidad Europa – FR)</w:t>
      </w:r>
    </w:p>
    <w:p w:rsidR="00F2269F" w:rsidRPr="009465A9" w:rsidRDefault="00F2269F" w:rsidP="00AB6734">
      <w:pPr>
        <w:tabs>
          <w:tab w:val="left" w:pos="1701"/>
        </w:tabs>
        <w:rPr>
          <w:sz w:val="16"/>
          <w:szCs w:val="16"/>
        </w:rPr>
      </w:pPr>
    </w:p>
    <w:p w:rsidR="00F2269F" w:rsidRPr="00FF5BF0" w:rsidRDefault="00F2269F" w:rsidP="000432D1">
      <w:pPr>
        <w:tabs>
          <w:tab w:val="left" w:pos="1418"/>
        </w:tabs>
      </w:pPr>
      <w:r>
        <w:rPr>
          <w:b/>
          <w:bCs/>
        </w:rPr>
        <w:t>Referencias:</w:t>
      </w:r>
      <w:r w:rsidR="009465A9">
        <w:rPr>
          <w:b/>
          <w:bCs/>
        </w:rPr>
        <w:tab/>
      </w:r>
      <w:proofErr w:type="gramStart"/>
      <w:r>
        <w:t>COM(</w:t>
      </w:r>
      <w:proofErr w:type="gramEnd"/>
      <w:r>
        <w:t>2018) 10 final</w:t>
      </w:r>
    </w:p>
    <w:p w:rsidR="00F2269F" w:rsidRDefault="00F2269F" w:rsidP="000432D1">
      <w:pPr>
        <w:tabs>
          <w:tab w:val="left" w:pos="1418"/>
        </w:tabs>
      </w:pPr>
      <w:r>
        <w:tab/>
        <w:t>EESC-2018-00505-00-00-AC-TRA</w:t>
      </w:r>
    </w:p>
    <w:p w:rsidR="009465A9" w:rsidRPr="009465A9" w:rsidRDefault="009465A9" w:rsidP="000432D1">
      <w:pPr>
        <w:tabs>
          <w:tab w:val="left" w:pos="1418"/>
        </w:tabs>
        <w:rPr>
          <w:sz w:val="16"/>
          <w:szCs w:val="16"/>
        </w:rPr>
      </w:pPr>
    </w:p>
    <w:p w:rsidR="00F2269F" w:rsidRPr="00FF5BF0" w:rsidRDefault="00F2269F" w:rsidP="00AB6734">
      <w:pPr>
        <w:rPr>
          <w:bCs/>
          <w:iCs/>
        </w:rPr>
      </w:pPr>
      <w:r>
        <w:rPr>
          <w:b/>
        </w:rPr>
        <w:t>Puntos clave:</w:t>
      </w:r>
    </w:p>
    <w:p w:rsidR="00BC1694" w:rsidRPr="009465A9" w:rsidRDefault="00BC1694" w:rsidP="00AB6734">
      <w:pPr>
        <w:rPr>
          <w:sz w:val="20"/>
          <w:szCs w:val="20"/>
        </w:rPr>
      </w:pPr>
    </w:p>
    <w:p w:rsidR="00F2269F" w:rsidRPr="00FF5BF0" w:rsidRDefault="00F2269F" w:rsidP="0090399E">
      <w:pPr>
        <w:pStyle w:val="Heading2"/>
        <w:numPr>
          <w:ilvl w:val="0"/>
          <w:numId w:val="27"/>
        </w:numPr>
        <w:ind w:left="357" w:hanging="357"/>
        <w:contextualSpacing/>
        <w:rPr>
          <w:color w:val="000000"/>
        </w:rPr>
      </w:pPr>
      <w:r>
        <w:rPr>
          <w:color w:val="000000"/>
        </w:rPr>
        <w:t xml:space="preserve">El CESE acoge con reservas la Comunicación sometida a examen. Considera que el correspondiente Plan de Acción de la Comisión Europea, destinado a mejorar el cumplimiento de la legislación y la gobernanza medioambiental, adolece de una considerable falta de ambición y </w:t>
      </w:r>
      <w:proofErr w:type="gramStart"/>
      <w:r>
        <w:rPr>
          <w:color w:val="000000"/>
        </w:rPr>
        <w:t>medios habida cuenta</w:t>
      </w:r>
      <w:proofErr w:type="gramEnd"/>
      <w:r>
        <w:rPr>
          <w:color w:val="000000"/>
        </w:rPr>
        <w:t xml:space="preserve"> del nivel de degradación actual de nuestro medio ambiente.</w:t>
      </w:r>
    </w:p>
    <w:p w:rsidR="00F2269F" w:rsidRPr="00FF5BF0" w:rsidRDefault="00F2269F" w:rsidP="0090399E">
      <w:pPr>
        <w:pStyle w:val="Heading2"/>
        <w:numPr>
          <w:ilvl w:val="0"/>
          <w:numId w:val="27"/>
        </w:numPr>
        <w:ind w:left="357" w:hanging="357"/>
        <w:contextualSpacing/>
        <w:rPr>
          <w:color w:val="000000"/>
        </w:rPr>
      </w:pPr>
      <w:r>
        <w:rPr>
          <w:color w:val="000000"/>
        </w:rPr>
        <w:t>El CESE se muestra tanto más prudente cuanto que, al igual que la Comisión, reconoce que el cumplimiento insuficiente de los mecanismos que garantizan la aplicación de la legislación y la gobernanza en materia de medio ambiente es un factor lamentable de competencia desleal y de perjuicio económico.</w:t>
      </w:r>
    </w:p>
    <w:p w:rsidR="00F2269F" w:rsidRPr="00FF5BF0" w:rsidRDefault="00F2269F" w:rsidP="0090399E">
      <w:pPr>
        <w:pStyle w:val="Heading2"/>
        <w:numPr>
          <w:ilvl w:val="0"/>
          <w:numId w:val="27"/>
        </w:numPr>
        <w:ind w:left="357" w:hanging="357"/>
        <w:contextualSpacing/>
      </w:pPr>
      <w:r>
        <w:rPr>
          <w:color w:val="000000"/>
        </w:rPr>
        <w:t>El CESE se hace eco del énfasis que pone la Comisión en las deficiencias actuales, que minan la confianza de los ciudadanos en la eficacia de la legislación de la UE, y pide a los Estados miembros y a la Comisión que movilicen recursos financieros importantes para contratar personal adicional, a fin de supervisar la aplicación de la gobernanza y la legislación en materia de medio ambiente.</w:t>
      </w:r>
    </w:p>
    <w:p w:rsidR="00F2269F" w:rsidRPr="00FF5BF0" w:rsidRDefault="00F2269F" w:rsidP="0090399E">
      <w:pPr>
        <w:pStyle w:val="Heading2"/>
        <w:numPr>
          <w:ilvl w:val="0"/>
          <w:numId w:val="27"/>
        </w:numPr>
        <w:ind w:left="357" w:hanging="357"/>
        <w:contextualSpacing/>
        <w:rPr>
          <w:color w:val="000000"/>
        </w:rPr>
      </w:pPr>
      <w:r>
        <w:rPr>
          <w:color w:val="000000"/>
        </w:rPr>
        <w:t>Como se afirma en la Comunicación «Mejores resultados gracias a una mejor aplicación»</w:t>
      </w:r>
      <w:r w:rsidRPr="00FF5BF0">
        <w:rPr>
          <w:rStyle w:val="FootnoteReference"/>
        </w:rPr>
        <w:footnoteReference w:id="2"/>
      </w:r>
      <w:r>
        <w:rPr>
          <w:color w:val="000000"/>
        </w:rPr>
        <w:t>, las «infracciones del Derecho de la UE no son cuestiones menores» y no deben ser tratadas como tales. El CESE considera que es necesario abordar el incumplimiento del Derecho de la UE a un nivel suficientemente elevado y sin demora, lo que no es el caso en la actual Comunicación</w:t>
      </w:r>
      <w:r w:rsidRPr="00FF5BF0">
        <w:rPr>
          <w:rStyle w:val="FootnoteReference"/>
        </w:rPr>
        <w:footnoteReference w:id="3"/>
      </w:r>
      <w:r>
        <w:rPr>
          <w:color w:val="000000"/>
        </w:rPr>
        <w:t>.</w:t>
      </w:r>
    </w:p>
    <w:p w:rsidR="00F2269F" w:rsidRPr="00FF5BF0" w:rsidRDefault="00F2269F" w:rsidP="0090399E">
      <w:pPr>
        <w:pStyle w:val="Heading2"/>
        <w:numPr>
          <w:ilvl w:val="0"/>
          <w:numId w:val="27"/>
        </w:numPr>
        <w:ind w:left="357" w:hanging="357"/>
        <w:contextualSpacing/>
        <w:rPr>
          <w:color w:val="000000"/>
        </w:rPr>
      </w:pPr>
      <w:r>
        <w:rPr>
          <w:color w:val="000000"/>
        </w:rPr>
        <w:t>La Comunicación aborda únicamente el desarrollo de capacidades y el apoyo a escala de los Estados miembros. Ninguna de las medidas trata del seguimiento o el control de la aplicación a nivel de la UE por parte de la Comisión Europea en su calidad de «guardiana de los Tratados». El Plan de Acción pasa por alto los factores de incumplimiento que no están relacionados con la confusión o la falta de capacidad, como el oportunismo o la falta de voluntad política. Si bien es necesario apoyar a los Estados miembros, las medidas no vinculantes del Plan de Acción no pueden ser la única estrategia para mejorar el cumplimiento de la legislación medioambiental.</w:t>
      </w:r>
    </w:p>
    <w:p w:rsidR="00F2269F" w:rsidRPr="009465A9" w:rsidRDefault="00F2269F" w:rsidP="00AB6734">
      <w:pPr>
        <w:rPr>
          <w:sz w:val="16"/>
          <w:szCs w:val="16"/>
        </w:rPr>
      </w:pPr>
    </w:p>
    <w:p w:rsidR="00F2269F" w:rsidRPr="00FF5BF0" w:rsidRDefault="00F2269F" w:rsidP="000432D1">
      <w:pPr>
        <w:tabs>
          <w:tab w:val="left" w:pos="1134"/>
        </w:tabs>
        <w:rPr>
          <w:i/>
          <w:iCs/>
        </w:rPr>
      </w:pPr>
      <w:r>
        <w:rPr>
          <w:b/>
          <w:bCs/>
          <w:i/>
          <w:iCs/>
        </w:rPr>
        <w:t>Contacto:</w:t>
      </w:r>
      <w:r w:rsidR="00E66D85">
        <w:rPr>
          <w:b/>
          <w:bCs/>
          <w:i/>
          <w:iCs/>
        </w:rPr>
        <w:tab/>
      </w:r>
      <w:proofErr w:type="spellStart"/>
      <w:r>
        <w:rPr>
          <w:bCs/>
          <w:i/>
          <w:iCs/>
        </w:rPr>
        <w:t>Conrad</w:t>
      </w:r>
      <w:proofErr w:type="spellEnd"/>
      <w:r>
        <w:rPr>
          <w:bCs/>
          <w:i/>
          <w:iCs/>
        </w:rPr>
        <w:t xml:space="preserve"> </w:t>
      </w:r>
      <w:proofErr w:type="spellStart"/>
      <w:r>
        <w:rPr>
          <w:bCs/>
          <w:i/>
          <w:iCs/>
        </w:rPr>
        <w:t>Ganslandt</w:t>
      </w:r>
      <w:proofErr w:type="spellEnd"/>
    </w:p>
    <w:p w:rsidR="00F2269F" w:rsidRPr="00FF5BF0" w:rsidRDefault="005100BB" w:rsidP="000432D1">
      <w:pPr>
        <w:tabs>
          <w:tab w:val="left" w:pos="1134"/>
        </w:tabs>
        <w:rPr>
          <w:i/>
          <w:iCs/>
        </w:rPr>
      </w:pPr>
      <w:r>
        <w:rPr>
          <w:i/>
          <w:iCs/>
        </w:rPr>
        <w:tab/>
        <w:t xml:space="preserve">(Tel. 00 32 2 546 82 75 – correo electrónico: </w:t>
      </w:r>
      <w:hyperlink r:id="rId27" w:history="1">
        <w:r>
          <w:rPr>
            <w:rStyle w:val="Hyperlink"/>
            <w:i/>
            <w:iCs/>
          </w:rPr>
          <w:t>Conrad.Ganslandt</w:t>
        </w:r>
        <w:r>
          <w:rPr>
            <w:rStyle w:val="Hyperlink"/>
          </w:rPr>
          <w:t>@eesc.europa.eu</w:t>
        </w:r>
      </w:hyperlink>
      <w:r>
        <w:rPr>
          <w:i/>
          <w:iCs/>
        </w:rPr>
        <w:t>)</w:t>
      </w:r>
    </w:p>
    <w:p w:rsidR="00BC1694" w:rsidRPr="00FF5BF0" w:rsidRDefault="00BC1694" w:rsidP="00AB6734">
      <w:pPr>
        <w:rPr>
          <w:iCs/>
        </w:rPr>
      </w:pPr>
    </w:p>
    <w:p w:rsidR="00F2269F" w:rsidRPr="00FF5BF0" w:rsidRDefault="00F2269F" w:rsidP="00AB6734">
      <w:pPr>
        <w:pStyle w:val="ListParagraph"/>
        <w:numPr>
          <w:ilvl w:val="0"/>
          <w:numId w:val="12"/>
        </w:numPr>
        <w:rPr>
          <w:b/>
          <w:bCs/>
          <w:i/>
          <w:iCs/>
          <w:sz w:val="28"/>
          <w:szCs w:val="28"/>
        </w:rPr>
      </w:pPr>
      <w:r>
        <w:rPr>
          <w:b/>
          <w:bCs/>
          <w:i/>
          <w:iCs/>
          <w:sz w:val="28"/>
          <w:szCs w:val="28"/>
        </w:rPr>
        <w:t xml:space="preserve">Disposiciones aplicables a la pesca en la zona del </w:t>
      </w:r>
      <w:r w:rsidR="009465A9">
        <w:rPr>
          <w:b/>
          <w:bCs/>
          <w:i/>
          <w:iCs/>
          <w:sz w:val="28"/>
          <w:szCs w:val="28"/>
        </w:rPr>
        <w:t xml:space="preserve">Acuerdo CGPM </w:t>
      </w:r>
      <w:r>
        <w:rPr>
          <w:b/>
          <w:bCs/>
          <w:i/>
          <w:iCs/>
          <w:sz w:val="28"/>
          <w:szCs w:val="28"/>
        </w:rPr>
        <w:t>(Comisión General de Pesca del Mediterráneo)</w:t>
      </w:r>
    </w:p>
    <w:p w:rsidR="00F2269F" w:rsidRPr="00FF5BF0" w:rsidRDefault="00F2269F" w:rsidP="00AB6734"/>
    <w:p w:rsidR="005100BB" w:rsidRPr="00FF5BF0" w:rsidRDefault="00F2269F" w:rsidP="000432D1">
      <w:pPr>
        <w:tabs>
          <w:tab w:val="left" w:pos="1418"/>
        </w:tabs>
        <w:ind w:left="-5"/>
        <w:rPr>
          <w:bCs/>
        </w:rPr>
      </w:pPr>
      <w:r>
        <w:rPr>
          <w:b/>
          <w:bCs/>
        </w:rPr>
        <w:t>Referencias:</w:t>
      </w:r>
      <w:r w:rsidR="009465A9">
        <w:rPr>
          <w:b/>
          <w:bCs/>
        </w:rPr>
        <w:tab/>
      </w:r>
      <w:r>
        <w:t>Dictamen de categoría C</w:t>
      </w:r>
    </w:p>
    <w:p w:rsidR="00F2269F" w:rsidRPr="00FF5BF0" w:rsidRDefault="005100BB" w:rsidP="000432D1">
      <w:pPr>
        <w:tabs>
          <w:tab w:val="left" w:pos="1418"/>
        </w:tabs>
        <w:ind w:left="-5"/>
      </w:pPr>
      <w:r>
        <w:tab/>
      </w:r>
      <w:proofErr w:type="gramStart"/>
      <w:r>
        <w:t>COM(</w:t>
      </w:r>
      <w:proofErr w:type="gramEnd"/>
      <w:r>
        <w:t>2018) 143 final - 2018/0069(COD)</w:t>
      </w:r>
    </w:p>
    <w:p w:rsidR="00F2269F" w:rsidRPr="00FF5BF0" w:rsidRDefault="00F2269F" w:rsidP="000432D1">
      <w:pPr>
        <w:tabs>
          <w:tab w:val="left" w:pos="1418"/>
        </w:tabs>
        <w:ind w:left="-5"/>
      </w:pPr>
      <w:r>
        <w:tab/>
        <w:t>EESC-2018-02319-00-00-AC-TRA</w:t>
      </w:r>
    </w:p>
    <w:p w:rsidR="00F2269F" w:rsidRPr="00FF5BF0" w:rsidRDefault="00F2269F" w:rsidP="00AB6734">
      <w:pPr>
        <w:rPr>
          <w:iCs/>
          <w:highlight w:val="yellow"/>
        </w:rPr>
      </w:pPr>
    </w:p>
    <w:p w:rsidR="00F2269F" w:rsidRPr="00FF5BF0" w:rsidRDefault="00F2269F" w:rsidP="00396C91">
      <w:r>
        <w:t>Considerando que el contenido de la propuesta de la Comisión es satisfactorio y no es objeto de ninguna observación por su parte, el Comité decidió emitir un dictamen favorable sobre la propuesta.</w:t>
      </w:r>
    </w:p>
    <w:p w:rsidR="00F2269F" w:rsidRPr="00FF5BF0" w:rsidRDefault="00F2269F" w:rsidP="00AB6734">
      <w:pPr>
        <w:tabs>
          <w:tab w:val="left" w:pos="1418"/>
        </w:tabs>
        <w:rPr>
          <w:iCs/>
          <w:highlight w:val="yellow"/>
        </w:rPr>
      </w:pPr>
    </w:p>
    <w:p w:rsidR="00F2269F" w:rsidRPr="00FF5BF0" w:rsidRDefault="00F2269F" w:rsidP="00AB6734">
      <w:pPr>
        <w:tabs>
          <w:tab w:val="left" w:pos="1418"/>
        </w:tabs>
        <w:rPr>
          <w:i/>
          <w:iCs/>
        </w:rPr>
      </w:pPr>
      <w:r>
        <w:rPr>
          <w:b/>
          <w:bCs/>
          <w:i/>
          <w:iCs/>
        </w:rPr>
        <w:t>Contacto:</w:t>
      </w:r>
      <w:r w:rsidR="009B59FB">
        <w:rPr>
          <w:b/>
          <w:bCs/>
          <w:i/>
          <w:iCs/>
        </w:rPr>
        <w:tab/>
      </w:r>
      <w:r>
        <w:rPr>
          <w:i/>
        </w:rPr>
        <w:t>Arturo Íñiguez</w:t>
      </w:r>
    </w:p>
    <w:p w:rsidR="00F2269F" w:rsidRPr="00FF5BF0" w:rsidRDefault="005100BB" w:rsidP="00AB6734">
      <w:pPr>
        <w:tabs>
          <w:tab w:val="left" w:pos="1418"/>
        </w:tabs>
        <w:rPr>
          <w:b/>
          <w:iCs/>
          <w:highlight w:val="yellow"/>
          <w:u w:val="single"/>
        </w:rPr>
      </w:pPr>
      <w:r>
        <w:rPr>
          <w:i/>
          <w:iCs/>
        </w:rPr>
        <w:tab/>
        <w:t>(Tel. 00 32 2 546 87 68 – correo electrónico:</w:t>
      </w:r>
      <w:r>
        <w:rPr>
          <w:i/>
          <w:iCs/>
          <w:color w:val="0000FF"/>
          <w:u w:val="single"/>
        </w:rPr>
        <w:t xml:space="preserve"> </w:t>
      </w:r>
      <w:hyperlink r:id="rId28" w:history="1">
        <w:r>
          <w:rPr>
            <w:rStyle w:val="Hyperlink"/>
            <w:i/>
            <w:iCs/>
          </w:rPr>
          <w:t>Arturo.Iniguez@eesc.europa.eu</w:t>
        </w:r>
      </w:hyperlink>
      <w:r>
        <w:rPr>
          <w:i/>
          <w:iCs/>
        </w:rPr>
        <w:t>)</w:t>
      </w:r>
    </w:p>
    <w:p w:rsidR="00F2269F" w:rsidRPr="00FF5BF0" w:rsidRDefault="00F2269F" w:rsidP="00AB6734"/>
    <w:p w:rsidR="005100BB" w:rsidRPr="00FF5BF0" w:rsidRDefault="005100BB" w:rsidP="00FF5BF0">
      <w:r>
        <w:br w:type="page"/>
      </w:r>
    </w:p>
    <w:p w:rsidR="00387229" w:rsidRPr="00FF5BF0" w:rsidRDefault="00387229" w:rsidP="00BC1694">
      <w:pPr>
        <w:pStyle w:val="Heading1"/>
        <w:rPr>
          <w:b/>
          <w:bCs/>
          <w:iCs/>
          <w:caps/>
          <w:szCs w:val="28"/>
        </w:rPr>
      </w:pPr>
      <w:bookmarkStart w:id="834" w:name="_Toc514234507"/>
      <w:bookmarkStart w:id="835" w:name="_Toc514234754"/>
      <w:bookmarkStart w:id="836" w:name="_Toc514235001"/>
      <w:bookmarkStart w:id="837" w:name="_Toc514235125"/>
      <w:bookmarkStart w:id="838" w:name="_Toc514235248"/>
      <w:bookmarkStart w:id="839" w:name="_Toc514235368"/>
      <w:bookmarkStart w:id="840" w:name="_Toc514235486"/>
      <w:bookmarkStart w:id="841" w:name="_Toc514235604"/>
      <w:bookmarkStart w:id="842" w:name="_Toc514235720"/>
      <w:bookmarkStart w:id="843" w:name="_Toc514234508"/>
      <w:bookmarkStart w:id="844" w:name="_Toc514234755"/>
      <w:bookmarkStart w:id="845" w:name="_Toc514235002"/>
      <w:bookmarkStart w:id="846" w:name="_Toc514235126"/>
      <w:bookmarkStart w:id="847" w:name="_Toc514235249"/>
      <w:bookmarkStart w:id="848" w:name="_Toc514235369"/>
      <w:bookmarkStart w:id="849" w:name="_Toc514235487"/>
      <w:bookmarkStart w:id="850" w:name="_Toc514235605"/>
      <w:bookmarkStart w:id="851" w:name="_Toc514235721"/>
      <w:bookmarkStart w:id="852" w:name="_Toc514234509"/>
      <w:bookmarkStart w:id="853" w:name="_Toc514234756"/>
      <w:bookmarkStart w:id="854" w:name="_Toc514235003"/>
      <w:bookmarkStart w:id="855" w:name="_Toc514235127"/>
      <w:bookmarkStart w:id="856" w:name="_Toc514235250"/>
      <w:bookmarkStart w:id="857" w:name="_Toc514235370"/>
      <w:bookmarkStart w:id="858" w:name="_Toc514235488"/>
      <w:bookmarkStart w:id="859" w:name="_Toc514235606"/>
      <w:bookmarkStart w:id="860" w:name="_Toc514235722"/>
      <w:bookmarkStart w:id="861" w:name="_Toc514234510"/>
      <w:bookmarkStart w:id="862" w:name="_Toc514234757"/>
      <w:bookmarkStart w:id="863" w:name="_Toc514235004"/>
      <w:bookmarkStart w:id="864" w:name="_Toc514235128"/>
      <w:bookmarkStart w:id="865" w:name="_Toc514235251"/>
      <w:bookmarkStart w:id="866" w:name="_Toc514235371"/>
      <w:bookmarkStart w:id="867" w:name="_Toc514235489"/>
      <w:bookmarkStart w:id="868" w:name="_Toc514235607"/>
      <w:bookmarkStart w:id="869" w:name="_Toc514235723"/>
      <w:bookmarkStart w:id="870" w:name="_Toc514234511"/>
      <w:bookmarkStart w:id="871" w:name="_Toc514234758"/>
      <w:bookmarkStart w:id="872" w:name="_Toc514235005"/>
      <w:bookmarkStart w:id="873" w:name="_Toc514235129"/>
      <w:bookmarkStart w:id="874" w:name="_Toc514235252"/>
      <w:bookmarkStart w:id="875" w:name="_Toc514235372"/>
      <w:bookmarkStart w:id="876" w:name="_Toc514235490"/>
      <w:bookmarkStart w:id="877" w:name="_Toc514235608"/>
      <w:bookmarkStart w:id="878" w:name="_Toc514235724"/>
      <w:bookmarkStart w:id="879" w:name="_Toc514234512"/>
      <w:bookmarkStart w:id="880" w:name="_Toc514234759"/>
      <w:bookmarkStart w:id="881" w:name="_Toc514235006"/>
      <w:bookmarkStart w:id="882" w:name="_Toc514235130"/>
      <w:bookmarkStart w:id="883" w:name="_Toc514235253"/>
      <w:bookmarkStart w:id="884" w:name="_Toc514235373"/>
      <w:bookmarkStart w:id="885" w:name="_Toc514235491"/>
      <w:bookmarkStart w:id="886" w:name="_Toc514235609"/>
      <w:bookmarkStart w:id="887" w:name="_Toc514235725"/>
      <w:bookmarkStart w:id="888" w:name="_Toc514234513"/>
      <w:bookmarkStart w:id="889" w:name="_Toc514234760"/>
      <w:bookmarkStart w:id="890" w:name="_Toc514235007"/>
      <w:bookmarkStart w:id="891" w:name="_Toc514235131"/>
      <w:bookmarkStart w:id="892" w:name="_Toc514235254"/>
      <w:bookmarkStart w:id="893" w:name="_Toc514235374"/>
      <w:bookmarkStart w:id="894" w:name="_Toc514235492"/>
      <w:bookmarkStart w:id="895" w:name="_Toc514235610"/>
      <w:bookmarkStart w:id="896" w:name="_Toc514235726"/>
      <w:bookmarkStart w:id="897" w:name="_Toc514234514"/>
      <w:bookmarkStart w:id="898" w:name="_Toc514234761"/>
      <w:bookmarkStart w:id="899" w:name="_Toc514235008"/>
      <w:bookmarkStart w:id="900" w:name="_Toc514235132"/>
      <w:bookmarkStart w:id="901" w:name="_Toc514235255"/>
      <w:bookmarkStart w:id="902" w:name="_Toc514235375"/>
      <w:bookmarkStart w:id="903" w:name="_Toc514235493"/>
      <w:bookmarkStart w:id="904" w:name="_Toc514235611"/>
      <w:bookmarkStart w:id="905" w:name="_Toc514235727"/>
      <w:bookmarkStart w:id="906" w:name="_Toc514234515"/>
      <w:bookmarkStart w:id="907" w:name="_Toc514234762"/>
      <w:bookmarkStart w:id="908" w:name="_Toc514235009"/>
      <w:bookmarkStart w:id="909" w:name="_Toc514235133"/>
      <w:bookmarkStart w:id="910" w:name="_Toc514235256"/>
      <w:bookmarkStart w:id="911" w:name="_Toc514235376"/>
      <w:bookmarkStart w:id="912" w:name="_Toc514235494"/>
      <w:bookmarkStart w:id="913" w:name="_Toc514235612"/>
      <w:bookmarkStart w:id="914" w:name="_Toc514235728"/>
      <w:bookmarkStart w:id="915" w:name="_Toc514234516"/>
      <w:bookmarkStart w:id="916" w:name="_Toc514234763"/>
      <w:bookmarkStart w:id="917" w:name="_Toc514235010"/>
      <w:bookmarkStart w:id="918" w:name="_Toc514235134"/>
      <w:bookmarkStart w:id="919" w:name="_Toc514235257"/>
      <w:bookmarkStart w:id="920" w:name="_Toc514235377"/>
      <w:bookmarkStart w:id="921" w:name="_Toc514235495"/>
      <w:bookmarkStart w:id="922" w:name="_Toc514235613"/>
      <w:bookmarkStart w:id="923" w:name="_Toc514235729"/>
      <w:bookmarkStart w:id="924" w:name="_Toc514234517"/>
      <w:bookmarkStart w:id="925" w:name="_Toc514234764"/>
      <w:bookmarkStart w:id="926" w:name="_Toc514235011"/>
      <w:bookmarkStart w:id="927" w:name="_Toc514235135"/>
      <w:bookmarkStart w:id="928" w:name="_Toc514235258"/>
      <w:bookmarkStart w:id="929" w:name="_Toc514235378"/>
      <w:bookmarkStart w:id="930" w:name="_Toc514235496"/>
      <w:bookmarkStart w:id="931" w:name="_Toc514235614"/>
      <w:bookmarkStart w:id="932" w:name="_Toc514235730"/>
      <w:bookmarkStart w:id="933" w:name="_Toc514234518"/>
      <w:bookmarkStart w:id="934" w:name="_Toc514234765"/>
      <w:bookmarkStart w:id="935" w:name="_Toc514235012"/>
      <w:bookmarkStart w:id="936" w:name="_Toc514235136"/>
      <w:bookmarkStart w:id="937" w:name="_Toc514235259"/>
      <w:bookmarkStart w:id="938" w:name="_Toc514235379"/>
      <w:bookmarkStart w:id="939" w:name="_Toc514235497"/>
      <w:bookmarkStart w:id="940" w:name="_Toc514235615"/>
      <w:bookmarkStart w:id="941" w:name="_Toc514235731"/>
      <w:bookmarkStart w:id="942" w:name="_Toc514234519"/>
      <w:bookmarkStart w:id="943" w:name="_Toc514234766"/>
      <w:bookmarkStart w:id="944" w:name="_Toc514235013"/>
      <w:bookmarkStart w:id="945" w:name="_Toc514235137"/>
      <w:bookmarkStart w:id="946" w:name="_Toc514235260"/>
      <w:bookmarkStart w:id="947" w:name="_Toc514235380"/>
      <w:bookmarkStart w:id="948" w:name="_Toc514235498"/>
      <w:bookmarkStart w:id="949" w:name="_Toc514235616"/>
      <w:bookmarkStart w:id="950" w:name="_Toc514235732"/>
      <w:bookmarkStart w:id="951" w:name="_Toc514234520"/>
      <w:bookmarkStart w:id="952" w:name="_Toc514234767"/>
      <w:bookmarkStart w:id="953" w:name="_Toc514235014"/>
      <w:bookmarkStart w:id="954" w:name="_Toc514235138"/>
      <w:bookmarkStart w:id="955" w:name="_Toc514235261"/>
      <w:bookmarkStart w:id="956" w:name="_Toc514235381"/>
      <w:bookmarkStart w:id="957" w:name="_Toc514235499"/>
      <w:bookmarkStart w:id="958" w:name="_Toc514235617"/>
      <w:bookmarkStart w:id="959" w:name="_Toc514235733"/>
      <w:bookmarkStart w:id="960" w:name="_Toc514234521"/>
      <w:bookmarkStart w:id="961" w:name="_Toc514234768"/>
      <w:bookmarkStart w:id="962" w:name="_Toc514235015"/>
      <w:bookmarkStart w:id="963" w:name="_Toc514235139"/>
      <w:bookmarkStart w:id="964" w:name="_Toc514235262"/>
      <w:bookmarkStart w:id="965" w:name="_Toc514235382"/>
      <w:bookmarkStart w:id="966" w:name="_Toc514235500"/>
      <w:bookmarkStart w:id="967" w:name="_Toc514235618"/>
      <w:bookmarkStart w:id="968" w:name="_Toc514235734"/>
      <w:bookmarkStart w:id="969" w:name="_Toc514234522"/>
      <w:bookmarkStart w:id="970" w:name="_Toc514234769"/>
      <w:bookmarkStart w:id="971" w:name="_Toc514235016"/>
      <w:bookmarkStart w:id="972" w:name="_Toc514235140"/>
      <w:bookmarkStart w:id="973" w:name="_Toc514235263"/>
      <w:bookmarkStart w:id="974" w:name="_Toc514235383"/>
      <w:bookmarkStart w:id="975" w:name="_Toc514235501"/>
      <w:bookmarkStart w:id="976" w:name="_Toc514235619"/>
      <w:bookmarkStart w:id="977" w:name="_Toc514235735"/>
      <w:bookmarkStart w:id="978" w:name="_Toc514234523"/>
      <w:bookmarkStart w:id="979" w:name="_Toc514234770"/>
      <w:bookmarkStart w:id="980" w:name="_Toc514235017"/>
      <w:bookmarkStart w:id="981" w:name="_Toc514235141"/>
      <w:bookmarkStart w:id="982" w:name="_Toc514235264"/>
      <w:bookmarkStart w:id="983" w:name="_Toc514235384"/>
      <w:bookmarkStart w:id="984" w:name="_Toc514235502"/>
      <w:bookmarkStart w:id="985" w:name="_Toc514235620"/>
      <w:bookmarkStart w:id="986" w:name="_Toc514235736"/>
      <w:bookmarkStart w:id="987" w:name="_Toc514234524"/>
      <w:bookmarkStart w:id="988" w:name="_Toc514234771"/>
      <w:bookmarkStart w:id="989" w:name="_Toc514235018"/>
      <w:bookmarkStart w:id="990" w:name="_Toc514235142"/>
      <w:bookmarkStart w:id="991" w:name="_Toc514235265"/>
      <w:bookmarkStart w:id="992" w:name="_Toc514235385"/>
      <w:bookmarkStart w:id="993" w:name="_Toc514235503"/>
      <w:bookmarkStart w:id="994" w:name="_Toc514235621"/>
      <w:bookmarkStart w:id="995" w:name="_Toc514235737"/>
      <w:bookmarkStart w:id="996" w:name="_Toc517094450"/>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r>
        <w:rPr>
          <w:b/>
          <w:bCs/>
          <w:iCs/>
          <w:caps/>
          <w:szCs w:val="28"/>
        </w:rPr>
        <w:t>Empleo, Asuntos Sociales y Ciudadanía</w:t>
      </w:r>
      <w:bookmarkEnd w:id="996"/>
    </w:p>
    <w:p w:rsidR="00BC1694" w:rsidRPr="00FF5BF0" w:rsidRDefault="00BC1694" w:rsidP="00AB6734">
      <w:pPr>
        <w:rPr>
          <w:caps/>
        </w:rPr>
      </w:pPr>
    </w:p>
    <w:p w:rsidR="005661DF" w:rsidRPr="00FF5BF0" w:rsidRDefault="00145167" w:rsidP="00AB6734">
      <w:pPr>
        <w:pStyle w:val="ListParagraph"/>
        <w:numPr>
          <w:ilvl w:val="0"/>
          <w:numId w:val="17"/>
        </w:numPr>
        <w:rPr>
          <w:b/>
          <w:i/>
          <w:sz w:val="28"/>
          <w:szCs w:val="28"/>
        </w:rPr>
      </w:pPr>
      <w:r>
        <w:rPr>
          <w:b/>
          <w:i/>
          <w:sz w:val="28"/>
          <w:szCs w:val="28"/>
        </w:rPr>
        <w:t>Directiva sobre condiciones laborales transparentes y previsibles</w:t>
      </w:r>
    </w:p>
    <w:p w:rsidR="005661DF" w:rsidRPr="00FF5BF0" w:rsidRDefault="005661DF" w:rsidP="00AB6734"/>
    <w:p w:rsidR="005661DF" w:rsidRPr="00FF5BF0" w:rsidRDefault="005661DF" w:rsidP="00AB6734">
      <w:pPr>
        <w:tabs>
          <w:tab w:val="left" w:pos="1701"/>
        </w:tabs>
        <w:overflowPunct w:val="0"/>
        <w:autoSpaceDE w:val="0"/>
        <w:autoSpaceDN w:val="0"/>
        <w:adjustRightInd w:val="0"/>
        <w:textAlignment w:val="baseline"/>
        <w:rPr>
          <w:szCs w:val="20"/>
        </w:rPr>
      </w:pPr>
      <w:r>
        <w:rPr>
          <w:b/>
          <w:szCs w:val="20"/>
        </w:rPr>
        <w:t>Ponente:</w:t>
      </w:r>
      <w:r>
        <w:tab/>
        <w:t>Christian BÄUMLER (Trabajadores – DE)</w:t>
      </w:r>
    </w:p>
    <w:p w:rsidR="005661DF" w:rsidRPr="00FF5BF0" w:rsidRDefault="005661DF" w:rsidP="00AB6734">
      <w:pPr>
        <w:tabs>
          <w:tab w:val="left" w:pos="1701"/>
        </w:tabs>
        <w:overflowPunct w:val="0"/>
        <w:autoSpaceDE w:val="0"/>
        <w:autoSpaceDN w:val="0"/>
        <w:adjustRightInd w:val="0"/>
        <w:textAlignment w:val="baseline"/>
        <w:rPr>
          <w:b/>
          <w:szCs w:val="20"/>
        </w:rPr>
      </w:pPr>
      <w:proofErr w:type="spellStart"/>
      <w:r>
        <w:rPr>
          <w:b/>
          <w:szCs w:val="20"/>
        </w:rPr>
        <w:t>Coponente</w:t>
      </w:r>
      <w:proofErr w:type="spellEnd"/>
      <w:r>
        <w:rPr>
          <w:b/>
          <w:szCs w:val="20"/>
        </w:rPr>
        <w:t>:</w:t>
      </w:r>
      <w:r>
        <w:tab/>
      </w:r>
      <w:proofErr w:type="spellStart"/>
      <w:r>
        <w:t>Vladimíra</w:t>
      </w:r>
      <w:proofErr w:type="spellEnd"/>
      <w:r>
        <w:t xml:space="preserve"> DRBALOVÁ (Empresarios – CZ)</w:t>
      </w:r>
    </w:p>
    <w:p w:rsidR="00973A8E" w:rsidRPr="00FF5BF0" w:rsidRDefault="00973A8E" w:rsidP="00AB6734">
      <w:pPr>
        <w:overflowPunct w:val="0"/>
        <w:autoSpaceDE w:val="0"/>
        <w:autoSpaceDN w:val="0"/>
        <w:adjustRightInd w:val="0"/>
        <w:textAlignment w:val="baseline"/>
        <w:rPr>
          <w:b/>
          <w:color w:val="000000"/>
        </w:rPr>
      </w:pPr>
    </w:p>
    <w:p w:rsidR="005661DF" w:rsidRPr="00FF5BF0" w:rsidRDefault="005661DF" w:rsidP="00AB6734">
      <w:pPr>
        <w:tabs>
          <w:tab w:val="left" w:pos="1701"/>
        </w:tabs>
        <w:overflowPunct w:val="0"/>
        <w:autoSpaceDE w:val="0"/>
        <w:autoSpaceDN w:val="0"/>
        <w:adjustRightInd w:val="0"/>
        <w:textAlignment w:val="baseline"/>
        <w:rPr>
          <w:b/>
          <w:szCs w:val="20"/>
        </w:rPr>
      </w:pPr>
      <w:r>
        <w:rPr>
          <w:b/>
          <w:szCs w:val="20"/>
        </w:rPr>
        <w:t>Referencia:</w:t>
      </w:r>
      <w:r w:rsidR="004D57B5">
        <w:rPr>
          <w:b/>
          <w:szCs w:val="20"/>
        </w:rPr>
        <w:tab/>
      </w:r>
      <w:r>
        <w:t>EESC-2018-00300-00-00-AC-TRA</w:t>
      </w:r>
    </w:p>
    <w:p w:rsidR="005661DF" w:rsidRPr="00FF5BF0" w:rsidRDefault="0061195A" w:rsidP="00DA7F15">
      <w:pPr>
        <w:tabs>
          <w:tab w:val="left" w:pos="1701"/>
        </w:tabs>
        <w:rPr>
          <w:i/>
          <w:iCs/>
        </w:rPr>
      </w:pPr>
      <w:r>
        <w:tab/>
      </w:r>
      <w:proofErr w:type="gramStart"/>
      <w:r>
        <w:t>COM(</w:t>
      </w:r>
      <w:proofErr w:type="gramEnd"/>
      <w:r>
        <w:t>2017) 797 final – 2017/0355 (COD)</w:t>
      </w:r>
    </w:p>
    <w:p w:rsidR="00396C91" w:rsidRPr="00FF5BF0" w:rsidRDefault="00396C91" w:rsidP="00396C91">
      <w:pPr>
        <w:rPr>
          <w:bCs/>
          <w:iCs/>
        </w:rPr>
      </w:pPr>
      <w:r>
        <w:rPr>
          <w:b/>
        </w:rPr>
        <w:t>Puntos clave:</w:t>
      </w:r>
    </w:p>
    <w:p w:rsidR="00396C91" w:rsidRPr="00FF5BF0" w:rsidRDefault="00396C91" w:rsidP="00AB6734">
      <w:pPr>
        <w:rPr>
          <w:i/>
          <w:iCs/>
        </w:rPr>
      </w:pPr>
    </w:p>
    <w:p w:rsidR="005661DF" w:rsidRPr="00FF5BF0" w:rsidRDefault="005661DF" w:rsidP="0090399E">
      <w:pPr>
        <w:pStyle w:val="ListParagraph"/>
        <w:numPr>
          <w:ilvl w:val="0"/>
          <w:numId w:val="29"/>
        </w:numPr>
        <w:ind w:left="357" w:hanging="357"/>
        <w:rPr>
          <w:iCs/>
        </w:rPr>
      </w:pPr>
      <w:r>
        <w:t>El CESE apoya los esfuerzos emprendidos por la Comisión para hacer más transparentes y previsibles las condiciones laborales de todos los trabajadores, en particular los que desempeñan empleos atípicos, como un paso concreto hacia la aplicación del pilar europeo de derechos sociales.</w:t>
      </w:r>
    </w:p>
    <w:p w:rsidR="005661DF" w:rsidRPr="00FF5BF0" w:rsidRDefault="005661DF" w:rsidP="00AB6734">
      <w:pPr>
        <w:rPr>
          <w:iCs/>
        </w:rPr>
      </w:pPr>
    </w:p>
    <w:p w:rsidR="005661DF" w:rsidRPr="00FF5BF0" w:rsidRDefault="005661DF" w:rsidP="0090399E">
      <w:pPr>
        <w:pStyle w:val="ListParagraph"/>
        <w:numPr>
          <w:ilvl w:val="0"/>
          <w:numId w:val="29"/>
        </w:numPr>
        <w:ind w:left="357" w:hanging="357"/>
        <w:rPr>
          <w:iCs/>
        </w:rPr>
      </w:pPr>
      <w:r>
        <w:t>Los interlocutores sociales desempeñan una función específica en la regulación transparente y previsible de las condiciones laborales a través del diálogo social y la negociación colectiva, respetando la diversidad inherente a los Estados miembros y las prácticas nacionales. Algunos Estados miembros han destacado los retos del empleo atípico mediante acuerdos colectivos, diálogo social o legislación.</w:t>
      </w:r>
    </w:p>
    <w:p w:rsidR="005661DF" w:rsidRPr="00FF5BF0" w:rsidRDefault="005661DF" w:rsidP="00AB6734">
      <w:pPr>
        <w:rPr>
          <w:iCs/>
        </w:rPr>
      </w:pPr>
    </w:p>
    <w:p w:rsidR="005661DF" w:rsidRPr="00FF5BF0" w:rsidRDefault="005661DF" w:rsidP="0090399E">
      <w:pPr>
        <w:pStyle w:val="ListParagraph"/>
        <w:numPr>
          <w:ilvl w:val="0"/>
          <w:numId w:val="29"/>
        </w:numPr>
        <w:ind w:left="357" w:hanging="357"/>
        <w:rPr>
          <w:iCs/>
        </w:rPr>
      </w:pPr>
      <w:r>
        <w:t>El CESE reconoce la situación particular de las personas físicas que actúan como empleadores, así como de las microempresas y las pequeñas empresas, y recomienda proporcionar la asistencia pertinente a dichas entidades.</w:t>
      </w:r>
    </w:p>
    <w:p w:rsidR="005661DF" w:rsidRPr="00FF5BF0" w:rsidRDefault="005661DF" w:rsidP="00AB6734">
      <w:pPr>
        <w:rPr>
          <w:iCs/>
        </w:rPr>
      </w:pPr>
    </w:p>
    <w:p w:rsidR="005661DF" w:rsidRPr="00FF5BF0" w:rsidRDefault="005661DF" w:rsidP="0090399E">
      <w:pPr>
        <w:pStyle w:val="ListParagraph"/>
        <w:numPr>
          <w:ilvl w:val="0"/>
          <w:numId w:val="29"/>
        </w:numPr>
        <w:ind w:left="357" w:hanging="357"/>
        <w:rPr>
          <w:iCs/>
        </w:rPr>
      </w:pPr>
      <w:r>
        <w:t>Los Estados miembros deben poder determinar, en el marco del diálogo social, a quién se aplica el concepto de «trabajador», aunque ello debe interpretarse a la luz de la finalidad de la Directiva. Por lo tanto, recomienda una mayor claridad para que las plataformas en línea puedan también acogerse a la protección de la Directiva. Sin embargo, los trabajadores que utilicen las plataformas y sean verdaderamente autónomos e independientes deberían quedar excluidos. El ámbito de aplicación personal de la Directiva con respecto a la definición de empleador debe aclararse también.</w:t>
      </w:r>
    </w:p>
    <w:p w:rsidR="005661DF" w:rsidRPr="00FF5BF0" w:rsidRDefault="005661DF" w:rsidP="00AB6734">
      <w:pPr>
        <w:rPr>
          <w:iCs/>
        </w:rPr>
      </w:pPr>
    </w:p>
    <w:p w:rsidR="005661DF" w:rsidRPr="00FF5BF0" w:rsidRDefault="005661DF" w:rsidP="0090399E">
      <w:pPr>
        <w:pStyle w:val="ListParagraph"/>
        <w:numPr>
          <w:ilvl w:val="0"/>
          <w:numId w:val="29"/>
        </w:numPr>
        <w:ind w:left="357" w:hanging="357"/>
        <w:rPr>
          <w:iCs/>
        </w:rPr>
      </w:pPr>
      <w:r>
        <w:t>El CESE considera que el trabajo según demanda no puede mantenerse como forma de empleo salvo que se establezca un periodo de referencia adecuado y se informe debidamente por adelantado. El CESE recomienda que los contratos laborales que prevean trabajo según demanda garanticen la prestación de un determinado número de horas o el pago correspondiente.</w:t>
      </w:r>
    </w:p>
    <w:p w:rsidR="005661DF" w:rsidRPr="00FF5BF0" w:rsidRDefault="005661DF" w:rsidP="00AB6734">
      <w:pPr>
        <w:rPr>
          <w:iCs/>
        </w:rPr>
      </w:pPr>
    </w:p>
    <w:p w:rsidR="005661DF" w:rsidRPr="00FF5BF0" w:rsidRDefault="005661DF" w:rsidP="0090399E">
      <w:pPr>
        <w:pStyle w:val="ListParagraph"/>
        <w:numPr>
          <w:ilvl w:val="0"/>
          <w:numId w:val="29"/>
        </w:numPr>
        <w:ind w:left="357" w:hanging="357"/>
        <w:rPr>
          <w:iCs/>
        </w:rPr>
      </w:pPr>
      <w:r>
        <w:t>El CESE respalda las disposiciones relativas a los requisitos mínimos relativos a las condiciones laborales, especialmente en lo que se refiere a la duración del período de prueba, las restricciones a la prohibición del empleo en paralelo, la previsibilidad mínima del trabajo, la transición a otra forma de empleo si está disponible y la dispensación de la formación gratuita necesaria para que el trabajador realice sus tareas. Sin embargo, el CESE recomienda aclarar determinados aspectos y aconseja que se mantenga la responsabilidad en la esfera nacional con arreglo a las prácticas nacionales tanto jurídicas como de diálogo social.</w:t>
      </w:r>
    </w:p>
    <w:p w:rsidR="005661DF" w:rsidRPr="00FF5BF0" w:rsidRDefault="005661DF" w:rsidP="00AB6734">
      <w:pPr>
        <w:rPr>
          <w:iCs/>
        </w:rPr>
      </w:pPr>
    </w:p>
    <w:p w:rsidR="005661DF" w:rsidRPr="00FF5BF0" w:rsidRDefault="005661DF" w:rsidP="0090399E">
      <w:pPr>
        <w:pStyle w:val="ListParagraph"/>
        <w:numPr>
          <w:ilvl w:val="0"/>
          <w:numId w:val="29"/>
        </w:numPr>
        <w:ind w:left="357" w:hanging="357"/>
        <w:rPr>
          <w:iCs/>
        </w:rPr>
      </w:pPr>
      <w:r>
        <w:t>El CESE considera que para la aplicación efectiva de la Directiva conviene proteger los derechos de los trabajadores contra el despido. Las sanciones, en caso de que estén justificadas, deben ser equivalentes al nivel del perjuicio sufrido por el trabajador. El CESE acoge favorablemente lo dispuesto en el artículo 14, apartado 1, que concede al empleador quince días para suministrar la información que falta.</w:t>
      </w:r>
    </w:p>
    <w:p w:rsidR="005661DF" w:rsidRPr="00FF5BF0" w:rsidRDefault="005661DF" w:rsidP="00AB6734">
      <w:pPr>
        <w:rPr>
          <w:iCs/>
        </w:rPr>
      </w:pPr>
    </w:p>
    <w:p w:rsidR="005661DF" w:rsidRPr="00FF5BF0" w:rsidRDefault="005661DF" w:rsidP="0090399E">
      <w:pPr>
        <w:pStyle w:val="ListParagraph"/>
        <w:numPr>
          <w:ilvl w:val="0"/>
          <w:numId w:val="29"/>
        </w:numPr>
        <w:ind w:left="357" w:hanging="357"/>
        <w:rPr>
          <w:iCs/>
        </w:rPr>
      </w:pPr>
      <w:r>
        <w:t>La propuesta establece unas normas mínimas para la convergencia y es importante que los trabajadores que actualmente gozan de mejores derechos materiales no se vean expuestos a un deterioro de dichos derechos cuando se aplique la Directiva.</w:t>
      </w:r>
    </w:p>
    <w:p w:rsidR="005661DF" w:rsidRPr="00FF5BF0" w:rsidRDefault="005661DF" w:rsidP="00AB6734">
      <w:pPr>
        <w:rPr>
          <w:iCs/>
        </w:rPr>
      </w:pPr>
    </w:p>
    <w:p w:rsidR="005661DF" w:rsidRPr="00FF5BF0" w:rsidRDefault="005661DF" w:rsidP="000432D1">
      <w:pPr>
        <w:tabs>
          <w:tab w:val="left" w:pos="1134"/>
        </w:tabs>
        <w:overflowPunct w:val="0"/>
        <w:autoSpaceDE w:val="0"/>
        <w:autoSpaceDN w:val="0"/>
        <w:adjustRightInd w:val="0"/>
        <w:textAlignment w:val="baseline"/>
        <w:rPr>
          <w:i/>
          <w:szCs w:val="20"/>
        </w:rPr>
      </w:pPr>
      <w:r>
        <w:rPr>
          <w:b/>
          <w:i/>
          <w:szCs w:val="20"/>
        </w:rPr>
        <w:t>Contacto</w:t>
      </w:r>
      <w:r>
        <w:t>:</w:t>
      </w:r>
      <w:r>
        <w:tab/>
      </w:r>
      <w:r>
        <w:rPr>
          <w:i/>
          <w:szCs w:val="20"/>
        </w:rPr>
        <w:t xml:space="preserve">June </w:t>
      </w:r>
      <w:proofErr w:type="spellStart"/>
      <w:r>
        <w:rPr>
          <w:i/>
          <w:szCs w:val="20"/>
        </w:rPr>
        <w:t>Bedaton</w:t>
      </w:r>
      <w:proofErr w:type="spellEnd"/>
    </w:p>
    <w:p w:rsidR="005661DF" w:rsidRPr="00FF5BF0" w:rsidRDefault="005100BB" w:rsidP="000432D1">
      <w:pPr>
        <w:tabs>
          <w:tab w:val="left" w:pos="1134"/>
        </w:tabs>
        <w:overflowPunct w:val="0"/>
        <w:autoSpaceDE w:val="0"/>
        <w:autoSpaceDN w:val="0"/>
        <w:adjustRightInd w:val="0"/>
        <w:textAlignment w:val="baseline"/>
        <w:rPr>
          <w:szCs w:val="20"/>
        </w:rPr>
      </w:pPr>
      <w:r>
        <w:rPr>
          <w:i/>
          <w:szCs w:val="20"/>
        </w:rPr>
        <w:tab/>
        <w:t xml:space="preserve">(Tel. 00 32 2 546 81 34 – correo electrónico: </w:t>
      </w:r>
      <w:hyperlink r:id="rId29" w:history="1">
        <w:r>
          <w:rPr>
            <w:rStyle w:val="Hyperlink"/>
            <w:i/>
          </w:rPr>
          <w:t>june.bedaton@eesc.europa.eu</w:t>
        </w:r>
      </w:hyperlink>
      <w:r>
        <w:t xml:space="preserve"> </w:t>
      </w:r>
      <w:r>
        <w:rPr>
          <w:i/>
          <w:szCs w:val="20"/>
        </w:rPr>
        <w:t>)</w:t>
      </w:r>
    </w:p>
    <w:p w:rsidR="005661DF" w:rsidRPr="00FF5BF0" w:rsidRDefault="005661DF" w:rsidP="00AB6734">
      <w:pPr>
        <w:rPr>
          <w:caps/>
        </w:rPr>
      </w:pPr>
    </w:p>
    <w:p w:rsidR="005661DF" w:rsidRPr="00FF5BF0" w:rsidRDefault="005661DF" w:rsidP="00AB6734">
      <w:pPr>
        <w:rPr>
          <w:caps/>
        </w:rPr>
      </w:pPr>
    </w:p>
    <w:p w:rsidR="005661DF" w:rsidRPr="00FF5BF0" w:rsidRDefault="005661DF" w:rsidP="00AB6734">
      <w:pPr>
        <w:pStyle w:val="ListParagraph"/>
        <w:numPr>
          <w:ilvl w:val="0"/>
          <w:numId w:val="3"/>
        </w:numPr>
        <w:overflowPunct w:val="0"/>
        <w:autoSpaceDE w:val="0"/>
        <w:autoSpaceDN w:val="0"/>
        <w:adjustRightInd w:val="0"/>
        <w:textAlignment w:val="baseline"/>
        <w:rPr>
          <w:b/>
          <w:i/>
          <w:sz w:val="28"/>
        </w:rPr>
      </w:pPr>
      <w:r>
        <w:rPr>
          <w:b/>
          <w:i/>
          <w:sz w:val="28"/>
          <w:szCs w:val="28"/>
        </w:rPr>
        <w:t>Marco para la interoperabilidad de los sistemas de información de la UE (fronteras, visados, cooperación policial y judicial, asilo y migración)</w:t>
      </w:r>
    </w:p>
    <w:p w:rsidR="00BC1694" w:rsidRPr="00FF5BF0" w:rsidRDefault="00BC1694" w:rsidP="00AB6734"/>
    <w:p w:rsidR="005661DF" w:rsidRPr="00FF5BF0" w:rsidRDefault="005661DF" w:rsidP="000432D1">
      <w:pPr>
        <w:tabs>
          <w:tab w:val="left" w:pos="1418"/>
        </w:tabs>
      </w:pPr>
      <w:r>
        <w:rPr>
          <w:b/>
        </w:rPr>
        <w:t>Ponente:</w:t>
      </w:r>
      <w:r>
        <w:tab/>
      </w:r>
      <w:proofErr w:type="spellStart"/>
      <w:r>
        <w:t>Laure</w:t>
      </w:r>
      <w:proofErr w:type="spellEnd"/>
      <w:r>
        <w:t xml:space="preserve"> BATUT (Trabajadores - FR)</w:t>
      </w:r>
    </w:p>
    <w:p w:rsidR="005661DF" w:rsidRPr="00FF5BF0" w:rsidRDefault="005661DF" w:rsidP="00AB6734">
      <w:pPr>
        <w:tabs>
          <w:tab w:val="left" w:pos="1701"/>
        </w:tabs>
      </w:pPr>
    </w:p>
    <w:p w:rsidR="005661DF" w:rsidRPr="00FF5BF0" w:rsidRDefault="005661DF" w:rsidP="00753427">
      <w:pPr>
        <w:tabs>
          <w:tab w:val="left" w:pos="1418"/>
        </w:tabs>
      </w:pPr>
      <w:r>
        <w:rPr>
          <w:b/>
        </w:rPr>
        <w:t>Referencia:</w:t>
      </w:r>
      <w:r>
        <w:tab/>
        <w:t>EESC-2018-00446-00-00-AC-TRA</w:t>
      </w:r>
    </w:p>
    <w:p w:rsidR="005661DF" w:rsidRPr="00FF5BF0" w:rsidRDefault="00753427" w:rsidP="00753427">
      <w:pPr>
        <w:tabs>
          <w:tab w:val="left" w:pos="1418"/>
        </w:tabs>
      </w:pPr>
      <w:r>
        <w:tab/>
      </w:r>
      <w:proofErr w:type="gramStart"/>
      <w:r>
        <w:t>COM(</w:t>
      </w:r>
      <w:proofErr w:type="gramEnd"/>
      <w:r>
        <w:t>2017) 793 final – 2017/0351 (COD)]</w:t>
      </w:r>
    </w:p>
    <w:p w:rsidR="00753427" w:rsidRDefault="00753427" w:rsidP="00753427">
      <w:pPr>
        <w:tabs>
          <w:tab w:val="left" w:pos="1418"/>
        </w:tabs>
      </w:pPr>
      <w:r>
        <w:tab/>
      </w:r>
      <w:proofErr w:type="gramStart"/>
      <w:r>
        <w:t>COM(</w:t>
      </w:r>
      <w:proofErr w:type="gramEnd"/>
      <w:r>
        <w:t>2017) 794 final – 2017/0352 (COD)</w:t>
      </w:r>
    </w:p>
    <w:p w:rsidR="009465A9" w:rsidRPr="00FF5BF0" w:rsidRDefault="009465A9" w:rsidP="00753427">
      <w:pPr>
        <w:tabs>
          <w:tab w:val="left" w:pos="1418"/>
        </w:tabs>
        <w:rPr>
          <w:b/>
        </w:rPr>
      </w:pPr>
    </w:p>
    <w:p w:rsidR="005661DF" w:rsidRPr="00FF5BF0" w:rsidRDefault="005661DF" w:rsidP="00AB6734">
      <w:pPr>
        <w:rPr>
          <w:b/>
          <w:highlight w:val="yellow"/>
        </w:rPr>
      </w:pPr>
      <w:r>
        <w:rPr>
          <w:b/>
        </w:rPr>
        <w:t>Puntos clave:</w:t>
      </w:r>
    </w:p>
    <w:p w:rsidR="00BC1694" w:rsidRPr="00FF5BF0" w:rsidRDefault="00BC1694" w:rsidP="00BC1694">
      <w:pPr>
        <w:rPr>
          <w:highlight w:val="yellow"/>
        </w:rPr>
      </w:pPr>
    </w:p>
    <w:p w:rsidR="005661DF" w:rsidRDefault="005661DF" w:rsidP="00AB6734">
      <w:r>
        <w:t>El CESE:</w:t>
      </w:r>
    </w:p>
    <w:p w:rsidR="009465A9" w:rsidRPr="00FF5BF0" w:rsidRDefault="009465A9" w:rsidP="00AB6734"/>
    <w:p w:rsidR="005661DF" w:rsidRPr="00FF5BF0" w:rsidRDefault="005661DF" w:rsidP="0090399E">
      <w:pPr>
        <w:pStyle w:val="ListParagraph"/>
        <w:numPr>
          <w:ilvl w:val="0"/>
          <w:numId w:val="29"/>
        </w:numPr>
        <w:ind w:left="357" w:hanging="357"/>
      </w:pPr>
      <w:r>
        <w:t>considera útil y positiva la propuesta de la Comisión Europea de mejorar la interoperabilidad de los sistemas de información de la UE sobre fronteras y visados, así como de cooperación policial y judicial, asilo y migración;</w:t>
      </w:r>
    </w:p>
    <w:p w:rsidR="005661DF" w:rsidRPr="00FF5BF0" w:rsidRDefault="005661DF" w:rsidP="0090399E">
      <w:pPr>
        <w:pStyle w:val="ListParagraph"/>
        <w:numPr>
          <w:ilvl w:val="0"/>
          <w:numId w:val="29"/>
        </w:numPr>
        <w:ind w:left="357" w:hanging="357"/>
      </w:pPr>
      <w:r>
        <w:t>estima que esta interoperabilidad debe ser un objetivo estratégico de la UE para que la UE siga siendo un espacio abierto, garante de los derechos fundamentales y de la movilidad. La UE y los Estados miembros tienen la obligación de proteger la vida y la seguridad de todos los seres humanos;</w:t>
      </w:r>
    </w:p>
    <w:p w:rsidR="005661DF" w:rsidRPr="00FF5BF0" w:rsidRDefault="005661DF" w:rsidP="0090399E">
      <w:pPr>
        <w:pStyle w:val="ListParagraph"/>
        <w:numPr>
          <w:ilvl w:val="0"/>
          <w:numId w:val="29"/>
        </w:numPr>
        <w:ind w:left="357" w:hanging="357"/>
      </w:pPr>
      <w:r>
        <w:t>opina que las medidas dirigidas a la interoperabilidad se comprenderán mejor si garantizan un equilibrio entre libertad y seguridad, en el respeto de la separación de poderes, garantizan a las personas afectadas sus derechos fundamentales, reafirman la exigencia de integrar los principios de la protección de datos desde la fase de diseño y no crean nuevos obstáculos al tráfico normal de pasajeros y mercancías;</w:t>
      </w:r>
    </w:p>
    <w:p w:rsidR="005661DF" w:rsidRPr="00FF5BF0" w:rsidRDefault="005661DF" w:rsidP="0090399E">
      <w:pPr>
        <w:pStyle w:val="ListParagraph"/>
        <w:numPr>
          <w:ilvl w:val="0"/>
          <w:numId w:val="29"/>
        </w:numPr>
        <w:ind w:left="357" w:hanging="357"/>
      </w:pPr>
      <w:r>
        <w:t>aboga por unos procedimientos y garantías respecto de la utilización de los datos para fines policiales a fin de aplicar el Reglamento general de protección de datos;</w:t>
      </w:r>
    </w:p>
    <w:p w:rsidR="005661DF" w:rsidRPr="00FF5BF0" w:rsidRDefault="005661DF" w:rsidP="0090399E">
      <w:pPr>
        <w:pStyle w:val="ListParagraph"/>
        <w:numPr>
          <w:ilvl w:val="0"/>
          <w:numId w:val="29"/>
        </w:numPr>
        <w:ind w:left="357" w:hanging="357"/>
      </w:pPr>
      <w:r>
        <w:t>exige a los responsables que informen anualmente a las autoridades responsables de la toma de decisiones y a la Comisión sobre la seguridad de los componentes de interoperabilidad, y con carácter bienal respecto de las repercusiones de las medidas sobre los derechos fundamentales;</w:t>
      </w:r>
    </w:p>
    <w:p w:rsidR="005661DF" w:rsidRPr="00FF5BF0" w:rsidRDefault="005661DF" w:rsidP="0090399E">
      <w:pPr>
        <w:pStyle w:val="ListParagraph"/>
        <w:numPr>
          <w:ilvl w:val="0"/>
          <w:numId w:val="29"/>
        </w:numPr>
        <w:ind w:left="357" w:hanging="357"/>
      </w:pPr>
      <w:r>
        <w:t xml:space="preserve">recomienda programas sólidos de formación para las autoridades interesadas y los agentes de </w:t>
      </w:r>
      <w:proofErr w:type="spellStart"/>
      <w:r>
        <w:t>eu</w:t>
      </w:r>
      <w:proofErr w:type="spellEnd"/>
      <w:r>
        <w:t>-LISA, así como un control estricto de las competencias de los agentes y candidatos para dicha agencia;</w:t>
      </w:r>
    </w:p>
    <w:p w:rsidR="005661DF" w:rsidRPr="00FF5BF0" w:rsidRDefault="005661DF" w:rsidP="0090399E">
      <w:pPr>
        <w:pStyle w:val="ListParagraph"/>
        <w:numPr>
          <w:ilvl w:val="0"/>
          <w:numId w:val="29"/>
        </w:numPr>
        <w:ind w:left="357" w:hanging="357"/>
      </w:pPr>
      <w:r>
        <w:t>expresa su preocupación respecto de la financiación del nuevo sistema. El seguimiento de la planificación será fundamental para evitar desviaciones en los presupuestos y culminar el proyecto, hasta 2029;</w:t>
      </w:r>
    </w:p>
    <w:p w:rsidR="005661DF" w:rsidRPr="00FF5BF0" w:rsidRDefault="005661DF" w:rsidP="0090399E">
      <w:pPr>
        <w:pStyle w:val="ListParagraph"/>
        <w:numPr>
          <w:ilvl w:val="0"/>
          <w:numId w:val="29"/>
        </w:numPr>
        <w:ind w:left="357" w:hanging="357"/>
      </w:pPr>
      <w:r>
        <w:t>recomienda que los ciudadanos sean informados de los avances del proyecto hasta su finalización;</w:t>
      </w:r>
    </w:p>
    <w:p w:rsidR="005661DF" w:rsidRPr="00FF5BF0" w:rsidRDefault="005661DF" w:rsidP="0090399E">
      <w:pPr>
        <w:pStyle w:val="ListParagraph"/>
        <w:numPr>
          <w:ilvl w:val="0"/>
          <w:numId w:val="29"/>
        </w:numPr>
        <w:ind w:left="357" w:hanging="357"/>
      </w:pPr>
      <w:r>
        <w:t>considera que debe preverse la posibilidad de detener el proyecto en su conjunto en caso de que la libertad y los derechos fundamentales se vean amenazados por un funcionamiento abusivo del sistema.</w:t>
      </w:r>
    </w:p>
    <w:p w:rsidR="005661DF" w:rsidRPr="00FF5BF0" w:rsidRDefault="005661DF" w:rsidP="00AB6734">
      <w:pPr>
        <w:tabs>
          <w:tab w:val="left" w:pos="1418"/>
        </w:tabs>
        <w:ind w:left="-567"/>
        <w:rPr>
          <w:highlight w:val="yellow"/>
        </w:rPr>
      </w:pPr>
    </w:p>
    <w:p w:rsidR="005661DF" w:rsidRPr="00FF5BF0" w:rsidRDefault="005661DF" w:rsidP="000432D1">
      <w:pPr>
        <w:tabs>
          <w:tab w:val="left" w:pos="1134"/>
        </w:tabs>
        <w:rPr>
          <w:i/>
        </w:rPr>
      </w:pPr>
      <w:r>
        <w:rPr>
          <w:b/>
          <w:i/>
        </w:rPr>
        <w:t>Contacto:</w:t>
      </w:r>
      <w:r w:rsidR="009465A9">
        <w:rPr>
          <w:b/>
          <w:i/>
        </w:rPr>
        <w:tab/>
      </w:r>
      <w:proofErr w:type="spellStart"/>
      <w:r>
        <w:rPr>
          <w:i/>
        </w:rPr>
        <w:t>Triin</w:t>
      </w:r>
      <w:proofErr w:type="spellEnd"/>
      <w:r>
        <w:rPr>
          <w:i/>
        </w:rPr>
        <w:t xml:space="preserve"> </w:t>
      </w:r>
      <w:proofErr w:type="spellStart"/>
      <w:r>
        <w:rPr>
          <w:i/>
        </w:rPr>
        <w:t>Aasmaa</w:t>
      </w:r>
      <w:proofErr w:type="spellEnd"/>
    </w:p>
    <w:p w:rsidR="005661DF" w:rsidRPr="00FF5BF0" w:rsidRDefault="005661DF" w:rsidP="000432D1">
      <w:pPr>
        <w:tabs>
          <w:tab w:val="left" w:pos="1134"/>
        </w:tabs>
      </w:pPr>
      <w:r>
        <w:tab/>
      </w:r>
      <w:r>
        <w:rPr>
          <w:i/>
        </w:rPr>
        <w:t xml:space="preserve">(Tel. 00 32 2 546 9524 – correo electrónico: </w:t>
      </w:r>
      <w:hyperlink r:id="rId30" w:history="1">
        <w:r>
          <w:rPr>
            <w:rStyle w:val="Hyperlink"/>
            <w:i/>
          </w:rPr>
          <w:t>triin.aasmaa@eesc.europa.eu</w:t>
        </w:r>
      </w:hyperlink>
      <w:r>
        <w:rPr>
          <w:i/>
        </w:rPr>
        <w:t>)</w:t>
      </w:r>
    </w:p>
    <w:p w:rsidR="005661DF" w:rsidRPr="00FF5BF0" w:rsidRDefault="005661DF" w:rsidP="00AB6734">
      <w:pPr>
        <w:rPr>
          <w:caps/>
        </w:rPr>
      </w:pPr>
    </w:p>
    <w:p w:rsidR="000571C2" w:rsidRPr="00FF5BF0" w:rsidRDefault="000571C2" w:rsidP="00AB6734">
      <w:pPr>
        <w:rPr>
          <w:caps/>
        </w:rPr>
      </w:pPr>
    </w:p>
    <w:p w:rsidR="000571C2" w:rsidRPr="00FF5BF0" w:rsidRDefault="000571C2" w:rsidP="00DA7F15">
      <w:pPr>
        <w:jc w:val="center"/>
        <w:rPr>
          <w:caps/>
        </w:rPr>
      </w:pPr>
      <w:r>
        <w:rPr>
          <w:caps/>
        </w:rPr>
        <w:t>________________</w:t>
      </w:r>
    </w:p>
    <w:sectPr w:rsidR="000571C2" w:rsidRPr="00FF5BF0" w:rsidSect="00FF5BF0">
      <w:headerReference w:type="even" r:id="rId31"/>
      <w:headerReference w:type="default" r:id="rId32"/>
      <w:footerReference w:type="even" r:id="rId33"/>
      <w:footerReference w:type="default" r:id="rId34"/>
      <w:headerReference w:type="first" r:id="rId35"/>
      <w:footerReference w:type="first" r:id="rId36"/>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28BC" w:rsidRDefault="001628BC" w:rsidP="003B283B">
      <w:pPr>
        <w:spacing w:line="240" w:lineRule="auto"/>
      </w:pPr>
      <w:r>
        <w:separator/>
      </w:r>
    </w:p>
  </w:endnote>
  <w:endnote w:type="continuationSeparator" w:id="0">
    <w:p w:rsidR="001628BC" w:rsidRDefault="001628BC" w:rsidP="003B283B">
      <w:pPr>
        <w:spacing w:line="240" w:lineRule="auto"/>
      </w:pPr>
      <w:r>
        <w:continuationSeparator/>
      </w:r>
    </w:p>
  </w:endnote>
  <w:endnote w:type="continuationNotice" w:id="1">
    <w:p w:rsidR="001628BC" w:rsidRDefault="001628B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0BB" w:rsidRPr="00FF5BF0" w:rsidRDefault="00FF5BF0" w:rsidP="00FF5BF0">
    <w:pPr>
      <w:pStyle w:val="Footer"/>
    </w:pPr>
    <w:r>
      <w:t xml:space="preserve">EESC-2018-02039-00-01-TCD-TRA (FR/EN) </w:t>
    </w:r>
    <w:r>
      <w:fldChar w:fldCharType="begin"/>
    </w:r>
    <w:r>
      <w:instrText xml:space="preserve"> PAGE  \* Arabic  \* MERGEFORMAT </w:instrText>
    </w:r>
    <w:r>
      <w:fldChar w:fldCharType="separate"/>
    </w:r>
    <w:r w:rsidR="00B65FE6">
      <w:rPr>
        <w:noProof/>
      </w:rPr>
      <w:t>1</w:t>
    </w:r>
    <w:r>
      <w:fldChar w:fldCharType="end"/>
    </w:r>
    <w:r>
      <w:t>/</w:t>
    </w:r>
    <w:r>
      <w:fldChar w:fldCharType="begin"/>
    </w:r>
    <w:r>
      <w:instrText xml:space="preserve"> = </w:instrText>
    </w:r>
    <w:r w:rsidR="00B65FE6">
      <w:fldChar w:fldCharType="begin"/>
    </w:r>
    <w:r w:rsidR="00B65FE6">
      <w:instrText xml:space="preserve"> NUMPAGES </w:instrText>
    </w:r>
    <w:r w:rsidR="00B65FE6">
      <w:fldChar w:fldCharType="separate"/>
    </w:r>
    <w:r w:rsidR="00B65FE6">
      <w:rPr>
        <w:noProof/>
      </w:rPr>
      <w:instrText>17</w:instrText>
    </w:r>
    <w:r w:rsidR="00B65FE6">
      <w:rPr>
        <w:noProof/>
      </w:rPr>
      <w:fldChar w:fldCharType="end"/>
    </w:r>
    <w:r>
      <w:instrText xml:space="preserve"> -0 </w:instrText>
    </w:r>
    <w:r>
      <w:fldChar w:fldCharType="separate"/>
    </w:r>
    <w:r w:rsidR="00B65FE6">
      <w:rPr>
        <w:noProof/>
      </w:rPr>
      <w:t>17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0BB" w:rsidRPr="00FF5BF0" w:rsidRDefault="005100BB" w:rsidP="00FF5BF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0BB" w:rsidRPr="00FF5BF0" w:rsidRDefault="00FF5BF0" w:rsidP="00FF5BF0">
    <w:pPr>
      <w:pStyle w:val="Footer"/>
    </w:pPr>
    <w:r>
      <w:t xml:space="preserve">EESC-2018-02039-00-01-TCD-TRA (FR/EN) </w:t>
    </w:r>
    <w:r>
      <w:fldChar w:fldCharType="begin"/>
    </w:r>
    <w:r>
      <w:instrText xml:space="preserve"> PAGE  \* Arabic  \* MERGEFORMAT </w:instrText>
    </w:r>
    <w:r>
      <w:fldChar w:fldCharType="separate"/>
    </w:r>
    <w:r w:rsidR="00B65FE6">
      <w:rPr>
        <w:noProof/>
      </w:rPr>
      <w:t>2</w:t>
    </w:r>
    <w:r>
      <w:fldChar w:fldCharType="end"/>
    </w:r>
    <w:r>
      <w:t>/</w:t>
    </w:r>
    <w:r>
      <w:fldChar w:fldCharType="begin"/>
    </w:r>
    <w:r>
      <w:instrText xml:space="preserve"> = </w:instrText>
    </w:r>
    <w:r w:rsidR="00B65FE6">
      <w:fldChar w:fldCharType="begin"/>
    </w:r>
    <w:r w:rsidR="00B65FE6">
      <w:instrText xml:space="preserve"> NUMPAGES </w:instrText>
    </w:r>
    <w:r w:rsidR="00B65FE6">
      <w:fldChar w:fldCharType="separate"/>
    </w:r>
    <w:r w:rsidR="00B65FE6">
      <w:rPr>
        <w:noProof/>
      </w:rPr>
      <w:instrText>17</w:instrText>
    </w:r>
    <w:r w:rsidR="00B65FE6">
      <w:rPr>
        <w:noProof/>
      </w:rPr>
      <w:fldChar w:fldCharType="end"/>
    </w:r>
    <w:r>
      <w:instrText xml:space="preserve"> -0 </w:instrText>
    </w:r>
    <w:r>
      <w:fldChar w:fldCharType="separate"/>
    </w:r>
    <w:r w:rsidR="00B65FE6">
      <w:rPr>
        <w:noProof/>
      </w:rPr>
      <w:t>17</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0BB" w:rsidRPr="00FF5BF0" w:rsidRDefault="005100BB" w:rsidP="00FF5B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28BC" w:rsidRDefault="001628BC" w:rsidP="003B283B">
      <w:pPr>
        <w:spacing w:line="240" w:lineRule="auto"/>
      </w:pPr>
      <w:r>
        <w:separator/>
      </w:r>
    </w:p>
  </w:footnote>
  <w:footnote w:type="continuationSeparator" w:id="0">
    <w:p w:rsidR="001628BC" w:rsidRDefault="001628BC" w:rsidP="003B283B">
      <w:pPr>
        <w:spacing w:line="240" w:lineRule="auto"/>
      </w:pPr>
      <w:r>
        <w:continuationSeparator/>
      </w:r>
    </w:p>
  </w:footnote>
  <w:footnote w:type="continuationNotice" w:id="1">
    <w:p w:rsidR="001628BC" w:rsidRPr="00377A77" w:rsidRDefault="001628BC">
      <w:pPr>
        <w:spacing w:line="240" w:lineRule="auto"/>
        <w:rPr>
          <w:sz w:val="2"/>
          <w:szCs w:val="2"/>
        </w:rPr>
      </w:pPr>
    </w:p>
  </w:footnote>
  <w:footnote w:id="2">
    <w:p w:rsidR="005100BB" w:rsidRPr="00FF5BF0" w:rsidRDefault="005100BB" w:rsidP="00F2269F">
      <w:pPr>
        <w:pStyle w:val="FootnoteText"/>
      </w:pPr>
      <w:r w:rsidRPr="00FF5BF0">
        <w:rPr>
          <w:rStyle w:val="FootnoteReference"/>
        </w:rPr>
        <w:footnoteRef/>
      </w:r>
      <w:r>
        <w:tab/>
        <w:t>2017/C 18/02.</w:t>
      </w:r>
    </w:p>
  </w:footnote>
  <w:footnote w:id="3">
    <w:p w:rsidR="005100BB" w:rsidRPr="00FF5BF0" w:rsidRDefault="005100BB" w:rsidP="00F2269F">
      <w:pPr>
        <w:pStyle w:val="FootnoteText"/>
      </w:pPr>
      <w:r w:rsidRPr="00FF5BF0">
        <w:rPr>
          <w:rStyle w:val="FootnoteReference"/>
        </w:rPr>
        <w:footnoteRef/>
      </w:r>
      <w:r>
        <w:tab/>
      </w:r>
      <w:proofErr w:type="gramStart"/>
      <w:r>
        <w:t>COM(</w:t>
      </w:r>
      <w:proofErr w:type="gramEnd"/>
      <w:r>
        <w:t>2018) 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0BB" w:rsidRPr="00FF5BF0" w:rsidRDefault="005100BB" w:rsidP="00FF5B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0BB" w:rsidRPr="00FF5BF0" w:rsidRDefault="005100BB" w:rsidP="00FF5BF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0BB" w:rsidRPr="00FF5BF0" w:rsidRDefault="005100BB" w:rsidP="00FF5B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FFFFFFFE"/>
    <w:multiLevelType w:val="singleLevel"/>
    <w:tmpl w:val="ACD4CDB0"/>
    <w:lvl w:ilvl="0">
      <w:numFmt w:val="decimal"/>
      <w:lvlText w:val="*"/>
      <w:lvlJc w:val="left"/>
      <w:rPr>
        <w:rFonts w:cs="Times New Roman"/>
      </w:rPr>
    </w:lvl>
  </w:abstractNum>
  <w:abstractNum w:abstractNumId="2">
    <w:nsid w:val="003F2C0C"/>
    <w:multiLevelType w:val="hybridMultilevel"/>
    <w:tmpl w:val="11D2EE1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0376763F"/>
    <w:multiLevelType w:val="hybridMultilevel"/>
    <w:tmpl w:val="34A2877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05B82429"/>
    <w:multiLevelType w:val="hybridMultilevel"/>
    <w:tmpl w:val="EEEC580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07FF72FD"/>
    <w:multiLevelType w:val="hybridMultilevel"/>
    <w:tmpl w:val="3E6C108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0B92013A"/>
    <w:multiLevelType w:val="hybridMultilevel"/>
    <w:tmpl w:val="56623F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0ED35776"/>
    <w:multiLevelType w:val="hybridMultilevel"/>
    <w:tmpl w:val="FEB2A34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15F050C2"/>
    <w:multiLevelType w:val="hybridMultilevel"/>
    <w:tmpl w:val="B4662E0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231B6CFE"/>
    <w:multiLevelType w:val="hybridMultilevel"/>
    <w:tmpl w:val="534CDD5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23746354"/>
    <w:multiLevelType w:val="hybridMultilevel"/>
    <w:tmpl w:val="CC66D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A8217C"/>
    <w:multiLevelType w:val="hybridMultilevel"/>
    <w:tmpl w:val="B1FA36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2202109"/>
    <w:multiLevelType w:val="hybridMultilevel"/>
    <w:tmpl w:val="FFB8E7D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38F97854"/>
    <w:multiLevelType w:val="hybridMultilevel"/>
    <w:tmpl w:val="171AAEF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nsid w:val="3CCB7640"/>
    <w:multiLevelType w:val="hybridMultilevel"/>
    <w:tmpl w:val="B2F63EE0"/>
    <w:lvl w:ilvl="0" w:tplc="0809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nsid w:val="45B279FC"/>
    <w:multiLevelType w:val="hybridMultilevel"/>
    <w:tmpl w:val="F6E659BC"/>
    <w:lvl w:ilvl="0" w:tplc="A992E7A6">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nsid w:val="49FD36BE"/>
    <w:multiLevelType w:val="hybridMultilevel"/>
    <w:tmpl w:val="BDC6D0F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4A0B3C40"/>
    <w:multiLevelType w:val="hybridMultilevel"/>
    <w:tmpl w:val="62B08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3D26C97"/>
    <w:multiLevelType w:val="hybridMultilevel"/>
    <w:tmpl w:val="7794CD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4593082"/>
    <w:multiLevelType w:val="singleLevel"/>
    <w:tmpl w:val="EDE069AC"/>
    <w:name w:val="Bullet 0"/>
    <w:lvl w:ilvl="0">
      <w:start w:val="1"/>
      <w:numFmt w:val="bullet"/>
      <w:lvlRestart w:val="0"/>
      <w:lvlText w:val=""/>
      <w:lvlJc w:val="left"/>
      <w:pPr>
        <w:tabs>
          <w:tab w:val="num" w:pos="850"/>
        </w:tabs>
        <w:ind w:left="850" w:hanging="850"/>
      </w:pPr>
      <w:rPr>
        <w:rFonts w:ascii="Symbol" w:hAnsi="Symbol" w:hint="default"/>
      </w:rPr>
    </w:lvl>
  </w:abstractNum>
  <w:abstractNum w:abstractNumId="20">
    <w:nsid w:val="59376402"/>
    <w:multiLevelType w:val="hybridMultilevel"/>
    <w:tmpl w:val="E858360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nsid w:val="5A6B084B"/>
    <w:multiLevelType w:val="hybridMultilevel"/>
    <w:tmpl w:val="9996861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nsid w:val="5D361CA7"/>
    <w:multiLevelType w:val="hybridMultilevel"/>
    <w:tmpl w:val="C4FA671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nsid w:val="60724ED4"/>
    <w:multiLevelType w:val="singleLevel"/>
    <w:tmpl w:val="080C0001"/>
    <w:lvl w:ilvl="0">
      <w:start w:val="1"/>
      <w:numFmt w:val="bullet"/>
      <w:lvlText w:val=""/>
      <w:lvlJc w:val="left"/>
      <w:pPr>
        <w:ind w:left="720" w:hanging="360"/>
      </w:pPr>
      <w:rPr>
        <w:rFonts w:ascii="Symbol" w:hAnsi="Symbol" w:hint="default"/>
      </w:rPr>
    </w:lvl>
  </w:abstractNum>
  <w:abstractNum w:abstractNumId="24">
    <w:nsid w:val="67AC7EB4"/>
    <w:multiLevelType w:val="hybridMultilevel"/>
    <w:tmpl w:val="1AAA3DE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nsid w:val="70CA3440"/>
    <w:multiLevelType w:val="hybridMultilevel"/>
    <w:tmpl w:val="4D288BF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nsid w:val="75AB0543"/>
    <w:multiLevelType w:val="hybridMultilevel"/>
    <w:tmpl w:val="5D1EC8D6"/>
    <w:lvl w:ilvl="0" w:tplc="04090001">
      <w:start w:val="1"/>
      <w:numFmt w:val="bullet"/>
      <w:lvlText w:val=""/>
      <w:lvlJc w:val="left"/>
      <w:pPr>
        <w:ind w:left="1440" w:hanging="720"/>
      </w:pPr>
      <w:rPr>
        <w:rFonts w:ascii="Symbol" w:hAnsi="Symbol" w:hint="default"/>
      </w:rPr>
    </w:lvl>
    <w:lvl w:ilvl="1" w:tplc="A992E7A6">
      <w:numFmt w:val="bullet"/>
      <w:lvlText w:val="-"/>
      <w:lvlJc w:val="left"/>
      <w:pPr>
        <w:ind w:left="2160" w:hanging="720"/>
      </w:pPr>
      <w:rPr>
        <w:rFonts w:ascii="Times New Roman" w:eastAsia="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76CE030C"/>
    <w:multiLevelType w:val="hybridMultilevel"/>
    <w:tmpl w:val="2AEE4D0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nsid w:val="77B11B2B"/>
    <w:multiLevelType w:val="hybridMultilevel"/>
    <w:tmpl w:val="DEAAD25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nsid w:val="7C644AB0"/>
    <w:multiLevelType w:val="hybridMultilevel"/>
    <w:tmpl w:val="FAECB92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nsid w:val="7EFC6185"/>
    <w:multiLevelType w:val="hybridMultilevel"/>
    <w:tmpl w:val="D260635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23"/>
  </w:num>
  <w:num w:numId="3">
    <w:abstractNumId w:val="10"/>
  </w:num>
  <w:num w:numId="4">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5">
    <w:abstractNumId w:val="8"/>
  </w:num>
  <w:num w:numId="6">
    <w:abstractNumId w:val="24"/>
  </w:num>
  <w:num w:numId="7">
    <w:abstractNumId w:val="17"/>
  </w:num>
  <w:num w:numId="8">
    <w:abstractNumId w:val="16"/>
  </w:num>
  <w:num w:numId="9">
    <w:abstractNumId w:val="26"/>
  </w:num>
  <w:num w:numId="10">
    <w:abstractNumId w:val="14"/>
  </w:num>
  <w:num w:numId="11">
    <w:abstractNumId w:val="11"/>
  </w:num>
  <w:num w:numId="12">
    <w:abstractNumId w:val="18"/>
  </w:num>
  <w:num w:numId="13">
    <w:abstractNumId w:val="13"/>
  </w:num>
  <w:num w:numId="14">
    <w:abstractNumId w:val="21"/>
  </w:num>
  <w:num w:numId="15">
    <w:abstractNumId w:val="12"/>
  </w:num>
  <w:num w:numId="16">
    <w:abstractNumId w:val="6"/>
  </w:num>
  <w:num w:numId="17">
    <w:abstractNumId w:val="28"/>
  </w:num>
  <w:num w:numId="18">
    <w:abstractNumId w:val="30"/>
  </w:num>
  <w:num w:numId="19">
    <w:abstractNumId w:val="25"/>
  </w:num>
  <w:num w:numId="20">
    <w:abstractNumId w:val="15"/>
  </w:num>
  <w:num w:numId="21">
    <w:abstractNumId w:val="20"/>
  </w:num>
  <w:num w:numId="22">
    <w:abstractNumId w:val="22"/>
  </w:num>
  <w:num w:numId="23">
    <w:abstractNumId w:val="3"/>
  </w:num>
  <w:num w:numId="24">
    <w:abstractNumId w:val="5"/>
  </w:num>
  <w:num w:numId="25">
    <w:abstractNumId w:val="9"/>
  </w:num>
  <w:num w:numId="26">
    <w:abstractNumId w:val="7"/>
  </w:num>
  <w:num w:numId="27">
    <w:abstractNumId w:val="27"/>
  </w:num>
  <w:num w:numId="28">
    <w:abstractNumId w:val="29"/>
  </w:num>
  <w:num w:numId="29">
    <w:abstractNumId w:val="4"/>
  </w:num>
  <w:num w:numId="30">
    <w:abstractNumId w:val="2"/>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nic">
    <w15:presenceInfo w15:providerId="None" w15:userId="hni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hideSpellingErrors/>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hyphenationZone w:val="425"/>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STYLES"/>
  </w:docVars>
  <w:rsids>
    <w:rsidRoot w:val="003B283B"/>
    <w:rsid w:val="00000CE8"/>
    <w:rsid w:val="000017DC"/>
    <w:rsid w:val="00002E4F"/>
    <w:rsid w:val="00004D0F"/>
    <w:rsid w:val="00005B0A"/>
    <w:rsid w:val="00007B94"/>
    <w:rsid w:val="000104CB"/>
    <w:rsid w:val="000115A9"/>
    <w:rsid w:val="00012B39"/>
    <w:rsid w:val="00013610"/>
    <w:rsid w:val="000138A1"/>
    <w:rsid w:val="0001686B"/>
    <w:rsid w:val="00017703"/>
    <w:rsid w:val="00020A28"/>
    <w:rsid w:val="000215A9"/>
    <w:rsid w:val="00022B6C"/>
    <w:rsid w:val="000240FE"/>
    <w:rsid w:val="000244F9"/>
    <w:rsid w:val="00024FEF"/>
    <w:rsid w:val="00026BD2"/>
    <w:rsid w:val="00030B04"/>
    <w:rsid w:val="0003128F"/>
    <w:rsid w:val="000316FF"/>
    <w:rsid w:val="00031C70"/>
    <w:rsid w:val="00032E3A"/>
    <w:rsid w:val="000338E8"/>
    <w:rsid w:val="00033C6E"/>
    <w:rsid w:val="00033DA8"/>
    <w:rsid w:val="00034832"/>
    <w:rsid w:val="000349EE"/>
    <w:rsid w:val="00034A75"/>
    <w:rsid w:val="00035B58"/>
    <w:rsid w:val="00035EF4"/>
    <w:rsid w:val="00036976"/>
    <w:rsid w:val="000378CC"/>
    <w:rsid w:val="00037B11"/>
    <w:rsid w:val="0004006B"/>
    <w:rsid w:val="0004042B"/>
    <w:rsid w:val="00041C6C"/>
    <w:rsid w:val="00041EB7"/>
    <w:rsid w:val="00042751"/>
    <w:rsid w:val="000432D1"/>
    <w:rsid w:val="00044DCB"/>
    <w:rsid w:val="00045054"/>
    <w:rsid w:val="000451B3"/>
    <w:rsid w:val="0005077B"/>
    <w:rsid w:val="00051C81"/>
    <w:rsid w:val="0005250A"/>
    <w:rsid w:val="000529F2"/>
    <w:rsid w:val="00054BA6"/>
    <w:rsid w:val="00054E26"/>
    <w:rsid w:val="00055735"/>
    <w:rsid w:val="000559BE"/>
    <w:rsid w:val="000562AF"/>
    <w:rsid w:val="000571C2"/>
    <w:rsid w:val="00060853"/>
    <w:rsid w:val="00060E5C"/>
    <w:rsid w:val="00061952"/>
    <w:rsid w:val="00065751"/>
    <w:rsid w:val="00066490"/>
    <w:rsid w:val="00067189"/>
    <w:rsid w:val="00067BC4"/>
    <w:rsid w:val="0007026C"/>
    <w:rsid w:val="00070C28"/>
    <w:rsid w:val="00070DC9"/>
    <w:rsid w:val="000714D6"/>
    <w:rsid w:val="00071E53"/>
    <w:rsid w:val="0007365D"/>
    <w:rsid w:val="00073A46"/>
    <w:rsid w:val="000747E4"/>
    <w:rsid w:val="00074A88"/>
    <w:rsid w:val="00074CD8"/>
    <w:rsid w:val="00076AD3"/>
    <w:rsid w:val="000807B6"/>
    <w:rsid w:val="000814F6"/>
    <w:rsid w:val="00081813"/>
    <w:rsid w:val="000818D4"/>
    <w:rsid w:val="000821ED"/>
    <w:rsid w:val="00082546"/>
    <w:rsid w:val="000836FE"/>
    <w:rsid w:val="00083F57"/>
    <w:rsid w:val="000868DE"/>
    <w:rsid w:val="00086D04"/>
    <w:rsid w:val="00086E67"/>
    <w:rsid w:val="00087AE9"/>
    <w:rsid w:val="00087F38"/>
    <w:rsid w:val="00093786"/>
    <w:rsid w:val="00094645"/>
    <w:rsid w:val="000967CA"/>
    <w:rsid w:val="00096999"/>
    <w:rsid w:val="00097F0D"/>
    <w:rsid w:val="000A2809"/>
    <w:rsid w:val="000A4202"/>
    <w:rsid w:val="000A62E2"/>
    <w:rsid w:val="000B1EEE"/>
    <w:rsid w:val="000C07F0"/>
    <w:rsid w:val="000C0946"/>
    <w:rsid w:val="000C0AA0"/>
    <w:rsid w:val="000C139C"/>
    <w:rsid w:val="000C2679"/>
    <w:rsid w:val="000C37E9"/>
    <w:rsid w:val="000C3BFD"/>
    <w:rsid w:val="000C3DF6"/>
    <w:rsid w:val="000C469F"/>
    <w:rsid w:val="000C491C"/>
    <w:rsid w:val="000C56D4"/>
    <w:rsid w:val="000C6808"/>
    <w:rsid w:val="000C6F0E"/>
    <w:rsid w:val="000D007F"/>
    <w:rsid w:val="000D28F0"/>
    <w:rsid w:val="000D3F88"/>
    <w:rsid w:val="000D50A8"/>
    <w:rsid w:val="000D59D3"/>
    <w:rsid w:val="000D77C2"/>
    <w:rsid w:val="000D7E59"/>
    <w:rsid w:val="000D7F5A"/>
    <w:rsid w:val="000E26A2"/>
    <w:rsid w:val="000E4C16"/>
    <w:rsid w:val="000E6466"/>
    <w:rsid w:val="000E6F41"/>
    <w:rsid w:val="000F0112"/>
    <w:rsid w:val="000F035E"/>
    <w:rsid w:val="000F0AFF"/>
    <w:rsid w:val="000F16CE"/>
    <w:rsid w:val="000F181E"/>
    <w:rsid w:val="000F42C4"/>
    <w:rsid w:val="000F4A9A"/>
    <w:rsid w:val="000F558D"/>
    <w:rsid w:val="000F55B5"/>
    <w:rsid w:val="000F77C3"/>
    <w:rsid w:val="000F7B4B"/>
    <w:rsid w:val="0010339F"/>
    <w:rsid w:val="001036E0"/>
    <w:rsid w:val="0010391E"/>
    <w:rsid w:val="00103CC0"/>
    <w:rsid w:val="00104975"/>
    <w:rsid w:val="001052AF"/>
    <w:rsid w:val="001053BA"/>
    <w:rsid w:val="001055E6"/>
    <w:rsid w:val="001063E3"/>
    <w:rsid w:val="0010786D"/>
    <w:rsid w:val="00110344"/>
    <w:rsid w:val="001126F6"/>
    <w:rsid w:val="001127C6"/>
    <w:rsid w:val="00113882"/>
    <w:rsid w:val="001138B0"/>
    <w:rsid w:val="00114E69"/>
    <w:rsid w:val="001158DF"/>
    <w:rsid w:val="00116CFB"/>
    <w:rsid w:val="00120CBC"/>
    <w:rsid w:val="00125DFA"/>
    <w:rsid w:val="0012647C"/>
    <w:rsid w:val="00126A7F"/>
    <w:rsid w:val="00127660"/>
    <w:rsid w:val="00130B18"/>
    <w:rsid w:val="00131042"/>
    <w:rsid w:val="0013146D"/>
    <w:rsid w:val="00132AD0"/>
    <w:rsid w:val="00134B0D"/>
    <w:rsid w:val="00135E41"/>
    <w:rsid w:val="00136F53"/>
    <w:rsid w:val="00136FA8"/>
    <w:rsid w:val="001376AC"/>
    <w:rsid w:val="001400DB"/>
    <w:rsid w:val="0014104C"/>
    <w:rsid w:val="00142A4E"/>
    <w:rsid w:val="0014464E"/>
    <w:rsid w:val="00144A1D"/>
    <w:rsid w:val="00144DCE"/>
    <w:rsid w:val="00145081"/>
    <w:rsid w:val="00145167"/>
    <w:rsid w:val="00146F91"/>
    <w:rsid w:val="001509A7"/>
    <w:rsid w:val="00153199"/>
    <w:rsid w:val="001540D3"/>
    <w:rsid w:val="001545B6"/>
    <w:rsid w:val="00154B90"/>
    <w:rsid w:val="00155138"/>
    <w:rsid w:val="00155FD0"/>
    <w:rsid w:val="00156950"/>
    <w:rsid w:val="00157649"/>
    <w:rsid w:val="00160DCC"/>
    <w:rsid w:val="001628BC"/>
    <w:rsid w:val="001657F4"/>
    <w:rsid w:val="00166FCB"/>
    <w:rsid w:val="0017241F"/>
    <w:rsid w:val="001737B7"/>
    <w:rsid w:val="0017469D"/>
    <w:rsid w:val="00175D41"/>
    <w:rsid w:val="001764F7"/>
    <w:rsid w:val="001768E2"/>
    <w:rsid w:val="0018061D"/>
    <w:rsid w:val="00180A82"/>
    <w:rsid w:val="001811FF"/>
    <w:rsid w:val="00182B42"/>
    <w:rsid w:val="00182D03"/>
    <w:rsid w:val="00184AE4"/>
    <w:rsid w:val="00184C46"/>
    <w:rsid w:val="00186D96"/>
    <w:rsid w:val="00191C0B"/>
    <w:rsid w:val="00192F9E"/>
    <w:rsid w:val="001940FA"/>
    <w:rsid w:val="00194447"/>
    <w:rsid w:val="00194CF8"/>
    <w:rsid w:val="0019516A"/>
    <w:rsid w:val="00195479"/>
    <w:rsid w:val="001970B2"/>
    <w:rsid w:val="001979F8"/>
    <w:rsid w:val="001A1064"/>
    <w:rsid w:val="001A141E"/>
    <w:rsid w:val="001A3D0C"/>
    <w:rsid w:val="001A56E8"/>
    <w:rsid w:val="001B01AC"/>
    <w:rsid w:val="001B0D26"/>
    <w:rsid w:val="001B1504"/>
    <w:rsid w:val="001B15BB"/>
    <w:rsid w:val="001B18C2"/>
    <w:rsid w:val="001B232C"/>
    <w:rsid w:val="001B28BC"/>
    <w:rsid w:val="001B424E"/>
    <w:rsid w:val="001B4CC9"/>
    <w:rsid w:val="001B5DF7"/>
    <w:rsid w:val="001B65A1"/>
    <w:rsid w:val="001B6A12"/>
    <w:rsid w:val="001C0535"/>
    <w:rsid w:val="001C05B2"/>
    <w:rsid w:val="001C07DD"/>
    <w:rsid w:val="001C0B67"/>
    <w:rsid w:val="001C12BE"/>
    <w:rsid w:val="001C17BE"/>
    <w:rsid w:val="001C365D"/>
    <w:rsid w:val="001C39EC"/>
    <w:rsid w:val="001C4264"/>
    <w:rsid w:val="001C52C8"/>
    <w:rsid w:val="001C6C93"/>
    <w:rsid w:val="001C76BE"/>
    <w:rsid w:val="001C782A"/>
    <w:rsid w:val="001D00DF"/>
    <w:rsid w:val="001D013F"/>
    <w:rsid w:val="001D078A"/>
    <w:rsid w:val="001D4E3C"/>
    <w:rsid w:val="001D52CB"/>
    <w:rsid w:val="001D69DD"/>
    <w:rsid w:val="001D6C48"/>
    <w:rsid w:val="001D74DC"/>
    <w:rsid w:val="001E0E97"/>
    <w:rsid w:val="001E2338"/>
    <w:rsid w:val="001E558F"/>
    <w:rsid w:val="001E5961"/>
    <w:rsid w:val="001E717B"/>
    <w:rsid w:val="001E74A2"/>
    <w:rsid w:val="001E76FC"/>
    <w:rsid w:val="001F0BC4"/>
    <w:rsid w:val="001F1D17"/>
    <w:rsid w:val="001F1F3D"/>
    <w:rsid w:val="001F4D66"/>
    <w:rsid w:val="001F59A5"/>
    <w:rsid w:val="001F689E"/>
    <w:rsid w:val="00200F03"/>
    <w:rsid w:val="002013C3"/>
    <w:rsid w:val="002022AD"/>
    <w:rsid w:val="00202634"/>
    <w:rsid w:val="00203A8F"/>
    <w:rsid w:val="00203D01"/>
    <w:rsid w:val="00204864"/>
    <w:rsid w:val="002052D8"/>
    <w:rsid w:val="00205EFC"/>
    <w:rsid w:val="00211393"/>
    <w:rsid w:val="00211FAE"/>
    <w:rsid w:val="00211FF4"/>
    <w:rsid w:val="00212787"/>
    <w:rsid w:val="002138A9"/>
    <w:rsid w:val="00214451"/>
    <w:rsid w:val="002156FD"/>
    <w:rsid w:val="0021639E"/>
    <w:rsid w:val="00221123"/>
    <w:rsid w:val="00223339"/>
    <w:rsid w:val="002236A6"/>
    <w:rsid w:val="00224DE6"/>
    <w:rsid w:val="00224E75"/>
    <w:rsid w:val="002259C0"/>
    <w:rsid w:val="00226823"/>
    <w:rsid w:val="002276DD"/>
    <w:rsid w:val="0023002B"/>
    <w:rsid w:val="002327D5"/>
    <w:rsid w:val="002327E9"/>
    <w:rsid w:val="00233285"/>
    <w:rsid w:val="00233CAC"/>
    <w:rsid w:val="00234CD4"/>
    <w:rsid w:val="0023548F"/>
    <w:rsid w:val="002358E8"/>
    <w:rsid w:val="00236FB9"/>
    <w:rsid w:val="002407AA"/>
    <w:rsid w:val="002411E0"/>
    <w:rsid w:val="00241C29"/>
    <w:rsid w:val="00242408"/>
    <w:rsid w:val="00242759"/>
    <w:rsid w:val="00242890"/>
    <w:rsid w:val="00242B03"/>
    <w:rsid w:val="00243514"/>
    <w:rsid w:val="002469F7"/>
    <w:rsid w:val="00247F50"/>
    <w:rsid w:val="002532B5"/>
    <w:rsid w:val="002539A1"/>
    <w:rsid w:val="00253B72"/>
    <w:rsid w:val="002542CC"/>
    <w:rsid w:val="002559A2"/>
    <w:rsid w:val="002563ED"/>
    <w:rsid w:val="00256406"/>
    <w:rsid w:val="0026049D"/>
    <w:rsid w:val="00260E92"/>
    <w:rsid w:val="00263B55"/>
    <w:rsid w:val="002653BB"/>
    <w:rsid w:val="00266729"/>
    <w:rsid w:val="00266BC6"/>
    <w:rsid w:val="00266F4F"/>
    <w:rsid w:val="00267947"/>
    <w:rsid w:val="00267AB2"/>
    <w:rsid w:val="0027137C"/>
    <w:rsid w:val="0027413E"/>
    <w:rsid w:val="00274585"/>
    <w:rsid w:val="00274E55"/>
    <w:rsid w:val="002751DD"/>
    <w:rsid w:val="00276777"/>
    <w:rsid w:val="00276ED9"/>
    <w:rsid w:val="00281365"/>
    <w:rsid w:val="0028188E"/>
    <w:rsid w:val="002831ED"/>
    <w:rsid w:val="002843D9"/>
    <w:rsid w:val="002874D7"/>
    <w:rsid w:val="002903CB"/>
    <w:rsid w:val="00291252"/>
    <w:rsid w:val="002915A8"/>
    <w:rsid w:val="00291981"/>
    <w:rsid w:val="00291F64"/>
    <w:rsid w:val="00293159"/>
    <w:rsid w:val="0029435D"/>
    <w:rsid w:val="002A0707"/>
    <w:rsid w:val="002A17C4"/>
    <w:rsid w:val="002A2B5D"/>
    <w:rsid w:val="002A349B"/>
    <w:rsid w:val="002A3665"/>
    <w:rsid w:val="002A3BAB"/>
    <w:rsid w:val="002A4A76"/>
    <w:rsid w:val="002A5E72"/>
    <w:rsid w:val="002A5F58"/>
    <w:rsid w:val="002B10EE"/>
    <w:rsid w:val="002B2798"/>
    <w:rsid w:val="002B4372"/>
    <w:rsid w:val="002B445D"/>
    <w:rsid w:val="002B5973"/>
    <w:rsid w:val="002C0F1F"/>
    <w:rsid w:val="002C1811"/>
    <w:rsid w:val="002C1999"/>
    <w:rsid w:val="002C3DCC"/>
    <w:rsid w:val="002C41FF"/>
    <w:rsid w:val="002C43DB"/>
    <w:rsid w:val="002C5D72"/>
    <w:rsid w:val="002C78B6"/>
    <w:rsid w:val="002C7ECD"/>
    <w:rsid w:val="002D09CC"/>
    <w:rsid w:val="002D0F32"/>
    <w:rsid w:val="002D1B76"/>
    <w:rsid w:val="002D2A79"/>
    <w:rsid w:val="002D41B7"/>
    <w:rsid w:val="002D6E86"/>
    <w:rsid w:val="002D73EF"/>
    <w:rsid w:val="002D750B"/>
    <w:rsid w:val="002E5A78"/>
    <w:rsid w:val="002E64CB"/>
    <w:rsid w:val="002E7DDB"/>
    <w:rsid w:val="002F0044"/>
    <w:rsid w:val="002F0199"/>
    <w:rsid w:val="002F0388"/>
    <w:rsid w:val="002F2C18"/>
    <w:rsid w:val="002F352C"/>
    <w:rsid w:val="002F3776"/>
    <w:rsid w:val="002F3FAF"/>
    <w:rsid w:val="002F7D23"/>
    <w:rsid w:val="003002D3"/>
    <w:rsid w:val="003029D8"/>
    <w:rsid w:val="00302FF6"/>
    <w:rsid w:val="00303C59"/>
    <w:rsid w:val="00304E98"/>
    <w:rsid w:val="003058FB"/>
    <w:rsid w:val="00306501"/>
    <w:rsid w:val="003075E1"/>
    <w:rsid w:val="003079A2"/>
    <w:rsid w:val="00307A61"/>
    <w:rsid w:val="00310FF8"/>
    <w:rsid w:val="00311036"/>
    <w:rsid w:val="00311101"/>
    <w:rsid w:val="003111F0"/>
    <w:rsid w:val="0031261A"/>
    <w:rsid w:val="00313641"/>
    <w:rsid w:val="00313967"/>
    <w:rsid w:val="00314C5F"/>
    <w:rsid w:val="00314E4E"/>
    <w:rsid w:val="00314E67"/>
    <w:rsid w:val="003154F6"/>
    <w:rsid w:val="003160F4"/>
    <w:rsid w:val="003179EF"/>
    <w:rsid w:val="00322BCE"/>
    <w:rsid w:val="00325A3E"/>
    <w:rsid w:val="0032640E"/>
    <w:rsid w:val="00326AA5"/>
    <w:rsid w:val="00326F48"/>
    <w:rsid w:val="0032747F"/>
    <w:rsid w:val="00327A6E"/>
    <w:rsid w:val="00327A80"/>
    <w:rsid w:val="00330A73"/>
    <w:rsid w:val="00331316"/>
    <w:rsid w:val="00331403"/>
    <w:rsid w:val="00332F52"/>
    <w:rsid w:val="00333F18"/>
    <w:rsid w:val="00335367"/>
    <w:rsid w:val="003353E8"/>
    <w:rsid w:val="00336DB2"/>
    <w:rsid w:val="00337799"/>
    <w:rsid w:val="0034052F"/>
    <w:rsid w:val="003415D2"/>
    <w:rsid w:val="00342579"/>
    <w:rsid w:val="00342715"/>
    <w:rsid w:val="003439F8"/>
    <w:rsid w:val="003445DE"/>
    <w:rsid w:val="003448C7"/>
    <w:rsid w:val="00345197"/>
    <w:rsid w:val="0034601A"/>
    <w:rsid w:val="0034657E"/>
    <w:rsid w:val="00346C63"/>
    <w:rsid w:val="00350470"/>
    <w:rsid w:val="00351081"/>
    <w:rsid w:val="00353680"/>
    <w:rsid w:val="003542D4"/>
    <w:rsid w:val="003543F0"/>
    <w:rsid w:val="003552B8"/>
    <w:rsid w:val="003555A1"/>
    <w:rsid w:val="0035631F"/>
    <w:rsid w:val="00357667"/>
    <w:rsid w:val="00360D02"/>
    <w:rsid w:val="00361CF3"/>
    <w:rsid w:val="003627DD"/>
    <w:rsid w:val="00362B7F"/>
    <w:rsid w:val="00363EFA"/>
    <w:rsid w:val="00364BAB"/>
    <w:rsid w:val="00364D74"/>
    <w:rsid w:val="00364D95"/>
    <w:rsid w:val="00365049"/>
    <w:rsid w:val="0036522E"/>
    <w:rsid w:val="00367133"/>
    <w:rsid w:val="00367A90"/>
    <w:rsid w:val="00371671"/>
    <w:rsid w:val="0037202C"/>
    <w:rsid w:val="00372D96"/>
    <w:rsid w:val="003759AE"/>
    <w:rsid w:val="00377A77"/>
    <w:rsid w:val="003803A1"/>
    <w:rsid w:val="00380A9A"/>
    <w:rsid w:val="0038274D"/>
    <w:rsid w:val="003833E4"/>
    <w:rsid w:val="00383700"/>
    <w:rsid w:val="00383AB0"/>
    <w:rsid w:val="0038496B"/>
    <w:rsid w:val="00387229"/>
    <w:rsid w:val="0038799C"/>
    <w:rsid w:val="00387CFB"/>
    <w:rsid w:val="003909E1"/>
    <w:rsid w:val="003911A9"/>
    <w:rsid w:val="0039178A"/>
    <w:rsid w:val="00391A85"/>
    <w:rsid w:val="00392559"/>
    <w:rsid w:val="003931A5"/>
    <w:rsid w:val="003939EE"/>
    <w:rsid w:val="00393A41"/>
    <w:rsid w:val="00394196"/>
    <w:rsid w:val="0039485C"/>
    <w:rsid w:val="00394D69"/>
    <w:rsid w:val="00395564"/>
    <w:rsid w:val="0039620F"/>
    <w:rsid w:val="00396C91"/>
    <w:rsid w:val="00396F6E"/>
    <w:rsid w:val="00397835"/>
    <w:rsid w:val="003979EC"/>
    <w:rsid w:val="00397A66"/>
    <w:rsid w:val="00397C0A"/>
    <w:rsid w:val="003A2297"/>
    <w:rsid w:val="003A63B9"/>
    <w:rsid w:val="003A667F"/>
    <w:rsid w:val="003A7683"/>
    <w:rsid w:val="003B0F39"/>
    <w:rsid w:val="003B1165"/>
    <w:rsid w:val="003B1E45"/>
    <w:rsid w:val="003B20F1"/>
    <w:rsid w:val="003B283B"/>
    <w:rsid w:val="003B2AB5"/>
    <w:rsid w:val="003B2BA2"/>
    <w:rsid w:val="003B38AA"/>
    <w:rsid w:val="003B4824"/>
    <w:rsid w:val="003B48BF"/>
    <w:rsid w:val="003B5313"/>
    <w:rsid w:val="003B5456"/>
    <w:rsid w:val="003B5A54"/>
    <w:rsid w:val="003C1187"/>
    <w:rsid w:val="003C195A"/>
    <w:rsid w:val="003C2DB1"/>
    <w:rsid w:val="003C4AF5"/>
    <w:rsid w:val="003C4EF8"/>
    <w:rsid w:val="003C5357"/>
    <w:rsid w:val="003D05FE"/>
    <w:rsid w:val="003D35EF"/>
    <w:rsid w:val="003D3B49"/>
    <w:rsid w:val="003D3D9E"/>
    <w:rsid w:val="003D5DE9"/>
    <w:rsid w:val="003D5F81"/>
    <w:rsid w:val="003D7FAF"/>
    <w:rsid w:val="003E0B8C"/>
    <w:rsid w:val="003E24BB"/>
    <w:rsid w:val="003E387D"/>
    <w:rsid w:val="003E44F6"/>
    <w:rsid w:val="003E5833"/>
    <w:rsid w:val="003E6010"/>
    <w:rsid w:val="003E693F"/>
    <w:rsid w:val="003E75FE"/>
    <w:rsid w:val="003F0686"/>
    <w:rsid w:val="003F1815"/>
    <w:rsid w:val="003F1D4E"/>
    <w:rsid w:val="003F2CD5"/>
    <w:rsid w:val="003F2F97"/>
    <w:rsid w:val="003F4FF6"/>
    <w:rsid w:val="003F59AD"/>
    <w:rsid w:val="003F65E2"/>
    <w:rsid w:val="00400FC6"/>
    <w:rsid w:val="00402CA2"/>
    <w:rsid w:val="004079A9"/>
    <w:rsid w:val="00407AA7"/>
    <w:rsid w:val="004107E8"/>
    <w:rsid w:val="00411755"/>
    <w:rsid w:val="0041385B"/>
    <w:rsid w:val="00413CA9"/>
    <w:rsid w:val="00413EED"/>
    <w:rsid w:val="00414A4C"/>
    <w:rsid w:val="00415AAD"/>
    <w:rsid w:val="0041728F"/>
    <w:rsid w:val="00421682"/>
    <w:rsid w:val="004221CC"/>
    <w:rsid w:val="004235E7"/>
    <w:rsid w:val="004242B7"/>
    <w:rsid w:val="00425526"/>
    <w:rsid w:val="004258F9"/>
    <w:rsid w:val="00426306"/>
    <w:rsid w:val="00427C97"/>
    <w:rsid w:val="00430418"/>
    <w:rsid w:val="0043072E"/>
    <w:rsid w:val="00430FC6"/>
    <w:rsid w:val="004310BF"/>
    <w:rsid w:val="004331FF"/>
    <w:rsid w:val="00434AB9"/>
    <w:rsid w:val="00434C77"/>
    <w:rsid w:val="00440808"/>
    <w:rsid w:val="00443153"/>
    <w:rsid w:val="00443771"/>
    <w:rsid w:val="0044401F"/>
    <w:rsid w:val="00444C4C"/>
    <w:rsid w:val="00444D44"/>
    <w:rsid w:val="004452E3"/>
    <w:rsid w:val="004460B4"/>
    <w:rsid w:val="00446146"/>
    <w:rsid w:val="004504F1"/>
    <w:rsid w:val="00450993"/>
    <w:rsid w:val="00450BD7"/>
    <w:rsid w:val="004513D7"/>
    <w:rsid w:val="004520DF"/>
    <w:rsid w:val="0045436B"/>
    <w:rsid w:val="00456257"/>
    <w:rsid w:val="00460A6B"/>
    <w:rsid w:val="00460CCB"/>
    <w:rsid w:val="00460D3F"/>
    <w:rsid w:val="00461E3E"/>
    <w:rsid w:val="004639B7"/>
    <w:rsid w:val="004641D6"/>
    <w:rsid w:val="004647DD"/>
    <w:rsid w:val="00464A26"/>
    <w:rsid w:val="00464B19"/>
    <w:rsid w:val="00464C86"/>
    <w:rsid w:val="00464F6D"/>
    <w:rsid w:val="00464F78"/>
    <w:rsid w:val="00466AC6"/>
    <w:rsid w:val="00466E21"/>
    <w:rsid w:val="00467B6A"/>
    <w:rsid w:val="0047016B"/>
    <w:rsid w:val="00470409"/>
    <w:rsid w:val="00471A72"/>
    <w:rsid w:val="0047306F"/>
    <w:rsid w:val="0047355F"/>
    <w:rsid w:val="0047417A"/>
    <w:rsid w:val="004764CC"/>
    <w:rsid w:val="00477B4B"/>
    <w:rsid w:val="00477C1C"/>
    <w:rsid w:val="0048090F"/>
    <w:rsid w:val="00480C50"/>
    <w:rsid w:val="00486144"/>
    <w:rsid w:val="00486C20"/>
    <w:rsid w:val="00486F07"/>
    <w:rsid w:val="0049079F"/>
    <w:rsid w:val="00491D54"/>
    <w:rsid w:val="004929C8"/>
    <w:rsid w:val="00492EDB"/>
    <w:rsid w:val="00495606"/>
    <w:rsid w:val="00496EBA"/>
    <w:rsid w:val="004A1166"/>
    <w:rsid w:val="004A58D1"/>
    <w:rsid w:val="004A58E6"/>
    <w:rsid w:val="004A7356"/>
    <w:rsid w:val="004A737C"/>
    <w:rsid w:val="004A7AEE"/>
    <w:rsid w:val="004A7C3A"/>
    <w:rsid w:val="004A7E85"/>
    <w:rsid w:val="004B03FA"/>
    <w:rsid w:val="004B0633"/>
    <w:rsid w:val="004B14C0"/>
    <w:rsid w:val="004B41EE"/>
    <w:rsid w:val="004B6415"/>
    <w:rsid w:val="004B6441"/>
    <w:rsid w:val="004B7790"/>
    <w:rsid w:val="004C05A5"/>
    <w:rsid w:val="004C0FE5"/>
    <w:rsid w:val="004C2DBC"/>
    <w:rsid w:val="004C339E"/>
    <w:rsid w:val="004C340A"/>
    <w:rsid w:val="004C4138"/>
    <w:rsid w:val="004C4D7B"/>
    <w:rsid w:val="004C56A4"/>
    <w:rsid w:val="004C6E55"/>
    <w:rsid w:val="004C745C"/>
    <w:rsid w:val="004C7B95"/>
    <w:rsid w:val="004D1F3E"/>
    <w:rsid w:val="004D5272"/>
    <w:rsid w:val="004D57B5"/>
    <w:rsid w:val="004D6D5B"/>
    <w:rsid w:val="004E0268"/>
    <w:rsid w:val="004E0985"/>
    <w:rsid w:val="004E1536"/>
    <w:rsid w:val="004E16EC"/>
    <w:rsid w:val="004E21A8"/>
    <w:rsid w:val="004E2B3E"/>
    <w:rsid w:val="004E3528"/>
    <w:rsid w:val="004E3A5B"/>
    <w:rsid w:val="004E46A8"/>
    <w:rsid w:val="004E4A42"/>
    <w:rsid w:val="004E7950"/>
    <w:rsid w:val="004F0B26"/>
    <w:rsid w:val="004F196E"/>
    <w:rsid w:val="004F1B3E"/>
    <w:rsid w:val="004F2819"/>
    <w:rsid w:val="004F3783"/>
    <w:rsid w:val="004F4E76"/>
    <w:rsid w:val="004F694B"/>
    <w:rsid w:val="004F70F9"/>
    <w:rsid w:val="004F7A13"/>
    <w:rsid w:val="005021B6"/>
    <w:rsid w:val="005024F6"/>
    <w:rsid w:val="005029EB"/>
    <w:rsid w:val="00503FE7"/>
    <w:rsid w:val="00504096"/>
    <w:rsid w:val="00504A01"/>
    <w:rsid w:val="00505516"/>
    <w:rsid w:val="00505DD7"/>
    <w:rsid w:val="00506054"/>
    <w:rsid w:val="00507398"/>
    <w:rsid w:val="005073C6"/>
    <w:rsid w:val="00507B8C"/>
    <w:rsid w:val="005100BB"/>
    <w:rsid w:val="00511B8D"/>
    <w:rsid w:val="00511C40"/>
    <w:rsid w:val="0051243D"/>
    <w:rsid w:val="00512710"/>
    <w:rsid w:val="00514A9A"/>
    <w:rsid w:val="00515BC0"/>
    <w:rsid w:val="00516F22"/>
    <w:rsid w:val="005207E3"/>
    <w:rsid w:val="00520A82"/>
    <w:rsid w:val="00522152"/>
    <w:rsid w:val="00523686"/>
    <w:rsid w:val="00523996"/>
    <w:rsid w:val="00525911"/>
    <w:rsid w:val="00531900"/>
    <w:rsid w:val="005329D4"/>
    <w:rsid w:val="00534CC2"/>
    <w:rsid w:val="00535FFB"/>
    <w:rsid w:val="00537288"/>
    <w:rsid w:val="0054017F"/>
    <w:rsid w:val="0054168C"/>
    <w:rsid w:val="005434EE"/>
    <w:rsid w:val="00543DD5"/>
    <w:rsid w:val="0054508A"/>
    <w:rsid w:val="00546C60"/>
    <w:rsid w:val="005508F5"/>
    <w:rsid w:val="0055113A"/>
    <w:rsid w:val="005515D5"/>
    <w:rsid w:val="00551720"/>
    <w:rsid w:val="00552629"/>
    <w:rsid w:val="005533A1"/>
    <w:rsid w:val="00553E31"/>
    <w:rsid w:val="00554364"/>
    <w:rsid w:val="00554B37"/>
    <w:rsid w:val="00556040"/>
    <w:rsid w:val="005563AF"/>
    <w:rsid w:val="005564A3"/>
    <w:rsid w:val="00557587"/>
    <w:rsid w:val="00557A1C"/>
    <w:rsid w:val="00560546"/>
    <w:rsid w:val="00560AD6"/>
    <w:rsid w:val="00561C94"/>
    <w:rsid w:val="00561E5A"/>
    <w:rsid w:val="005632D7"/>
    <w:rsid w:val="0056359E"/>
    <w:rsid w:val="00565200"/>
    <w:rsid w:val="005661DF"/>
    <w:rsid w:val="00566858"/>
    <w:rsid w:val="005676DC"/>
    <w:rsid w:val="00567739"/>
    <w:rsid w:val="00567A1B"/>
    <w:rsid w:val="0057117C"/>
    <w:rsid w:val="0057239E"/>
    <w:rsid w:val="005724ED"/>
    <w:rsid w:val="00575896"/>
    <w:rsid w:val="00575EED"/>
    <w:rsid w:val="0057764D"/>
    <w:rsid w:val="00577829"/>
    <w:rsid w:val="005805C8"/>
    <w:rsid w:val="0058068C"/>
    <w:rsid w:val="00581104"/>
    <w:rsid w:val="005828CD"/>
    <w:rsid w:val="00584D4C"/>
    <w:rsid w:val="00585A11"/>
    <w:rsid w:val="00586CCC"/>
    <w:rsid w:val="005876F8"/>
    <w:rsid w:val="00590A97"/>
    <w:rsid w:val="005918AB"/>
    <w:rsid w:val="00592C99"/>
    <w:rsid w:val="00592EE3"/>
    <w:rsid w:val="00593D2E"/>
    <w:rsid w:val="00595399"/>
    <w:rsid w:val="0059550E"/>
    <w:rsid w:val="00595E30"/>
    <w:rsid w:val="005966FE"/>
    <w:rsid w:val="00596BE7"/>
    <w:rsid w:val="00596CDE"/>
    <w:rsid w:val="00597449"/>
    <w:rsid w:val="005A07EF"/>
    <w:rsid w:val="005A196D"/>
    <w:rsid w:val="005A22B5"/>
    <w:rsid w:val="005A2AD2"/>
    <w:rsid w:val="005A68CF"/>
    <w:rsid w:val="005A71E9"/>
    <w:rsid w:val="005B04CB"/>
    <w:rsid w:val="005B0683"/>
    <w:rsid w:val="005B0D29"/>
    <w:rsid w:val="005B1315"/>
    <w:rsid w:val="005B36E1"/>
    <w:rsid w:val="005B4236"/>
    <w:rsid w:val="005B46EE"/>
    <w:rsid w:val="005B4883"/>
    <w:rsid w:val="005B50A3"/>
    <w:rsid w:val="005B5D2D"/>
    <w:rsid w:val="005B6FAD"/>
    <w:rsid w:val="005B70E6"/>
    <w:rsid w:val="005B7EAD"/>
    <w:rsid w:val="005C0D2A"/>
    <w:rsid w:val="005C119A"/>
    <w:rsid w:val="005C1435"/>
    <w:rsid w:val="005C2810"/>
    <w:rsid w:val="005C2BCF"/>
    <w:rsid w:val="005C4EEA"/>
    <w:rsid w:val="005C5CD7"/>
    <w:rsid w:val="005C6AF2"/>
    <w:rsid w:val="005C6C52"/>
    <w:rsid w:val="005C6CC7"/>
    <w:rsid w:val="005C6FD3"/>
    <w:rsid w:val="005C7155"/>
    <w:rsid w:val="005D060D"/>
    <w:rsid w:val="005D2896"/>
    <w:rsid w:val="005D40E1"/>
    <w:rsid w:val="005D460E"/>
    <w:rsid w:val="005D4846"/>
    <w:rsid w:val="005D4877"/>
    <w:rsid w:val="005D6008"/>
    <w:rsid w:val="005D6252"/>
    <w:rsid w:val="005D652A"/>
    <w:rsid w:val="005D6D67"/>
    <w:rsid w:val="005E26CF"/>
    <w:rsid w:val="005E27A6"/>
    <w:rsid w:val="005E32A3"/>
    <w:rsid w:val="005E3865"/>
    <w:rsid w:val="005E531B"/>
    <w:rsid w:val="005E74AE"/>
    <w:rsid w:val="005E7516"/>
    <w:rsid w:val="005E75FA"/>
    <w:rsid w:val="005F0470"/>
    <w:rsid w:val="005F3AFA"/>
    <w:rsid w:val="005F3E11"/>
    <w:rsid w:val="005F54A5"/>
    <w:rsid w:val="005F5722"/>
    <w:rsid w:val="005F5D74"/>
    <w:rsid w:val="005F7907"/>
    <w:rsid w:val="005F7FD3"/>
    <w:rsid w:val="00600B60"/>
    <w:rsid w:val="006028AC"/>
    <w:rsid w:val="006043AA"/>
    <w:rsid w:val="00606054"/>
    <w:rsid w:val="00610CDE"/>
    <w:rsid w:val="0061195A"/>
    <w:rsid w:val="006139AA"/>
    <w:rsid w:val="006140BB"/>
    <w:rsid w:val="0061565F"/>
    <w:rsid w:val="006168EB"/>
    <w:rsid w:val="00616E48"/>
    <w:rsid w:val="006210CA"/>
    <w:rsid w:val="00622A2D"/>
    <w:rsid w:val="00623026"/>
    <w:rsid w:val="0062302E"/>
    <w:rsid w:val="00623940"/>
    <w:rsid w:val="00626B1D"/>
    <w:rsid w:val="00630BE1"/>
    <w:rsid w:val="00630FCB"/>
    <w:rsid w:val="00632738"/>
    <w:rsid w:val="00633E90"/>
    <w:rsid w:val="0063400F"/>
    <w:rsid w:val="00635D71"/>
    <w:rsid w:val="00637052"/>
    <w:rsid w:val="00637DD7"/>
    <w:rsid w:val="00640A24"/>
    <w:rsid w:val="00640EE5"/>
    <w:rsid w:val="0064336B"/>
    <w:rsid w:val="00643E56"/>
    <w:rsid w:val="00643EFF"/>
    <w:rsid w:val="0064421A"/>
    <w:rsid w:val="006452AC"/>
    <w:rsid w:val="00646338"/>
    <w:rsid w:val="00646EEC"/>
    <w:rsid w:val="00647030"/>
    <w:rsid w:val="00647038"/>
    <w:rsid w:val="006472A6"/>
    <w:rsid w:val="006501DC"/>
    <w:rsid w:val="00653919"/>
    <w:rsid w:val="0065504C"/>
    <w:rsid w:val="006552FD"/>
    <w:rsid w:val="0065609C"/>
    <w:rsid w:val="006579F9"/>
    <w:rsid w:val="00657F8D"/>
    <w:rsid w:val="006600DC"/>
    <w:rsid w:val="00661E13"/>
    <w:rsid w:val="00662B40"/>
    <w:rsid w:val="0066437E"/>
    <w:rsid w:val="00664675"/>
    <w:rsid w:val="00664CC5"/>
    <w:rsid w:val="00664E83"/>
    <w:rsid w:val="00666847"/>
    <w:rsid w:val="006703C8"/>
    <w:rsid w:val="006705FA"/>
    <w:rsid w:val="00671031"/>
    <w:rsid w:val="006716F2"/>
    <w:rsid w:val="00673A39"/>
    <w:rsid w:val="006763EC"/>
    <w:rsid w:val="0067717C"/>
    <w:rsid w:val="0068003C"/>
    <w:rsid w:val="00680159"/>
    <w:rsid w:val="006808D7"/>
    <w:rsid w:val="006811D6"/>
    <w:rsid w:val="0068174F"/>
    <w:rsid w:val="00681787"/>
    <w:rsid w:val="006819C8"/>
    <w:rsid w:val="00683BD1"/>
    <w:rsid w:val="00683FED"/>
    <w:rsid w:val="00690AFD"/>
    <w:rsid w:val="0069185E"/>
    <w:rsid w:val="006927FA"/>
    <w:rsid w:val="00692AC9"/>
    <w:rsid w:val="00693333"/>
    <w:rsid w:val="00693C6A"/>
    <w:rsid w:val="00694CCC"/>
    <w:rsid w:val="00694CE4"/>
    <w:rsid w:val="0069600A"/>
    <w:rsid w:val="00696261"/>
    <w:rsid w:val="00697392"/>
    <w:rsid w:val="00697507"/>
    <w:rsid w:val="0069782A"/>
    <w:rsid w:val="006A08D5"/>
    <w:rsid w:val="006A091D"/>
    <w:rsid w:val="006A2764"/>
    <w:rsid w:val="006A31EB"/>
    <w:rsid w:val="006A416D"/>
    <w:rsid w:val="006A41F5"/>
    <w:rsid w:val="006A4EAA"/>
    <w:rsid w:val="006A5BE8"/>
    <w:rsid w:val="006A6090"/>
    <w:rsid w:val="006A645E"/>
    <w:rsid w:val="006A7210"/>
    <w:rsid w:val="006B02D0"/>
    <w:rsid w:val="006B15C0"/>
    <w:rsid w:val="006B1950"/>
    <w:rsid w:val="006B1DFC"/>
    <w:rsid w:val="006B1EE7"/>
    <w:rsid w:val="006B4FD1"/>
    <w:rsid w:val="006B5013"/>
    <w:rsid w:val="006B6362"/>
    <w:rsid w:val="006B65B3"/>
    <w:rsid w:val="006B7240"/>
    <w:rsid w:val="006B7B1B"/>
    <w:rsid w:val="006C15CE"/>
    <w:rsid w:val="006C1861"/>
    <w:rsid w:val="006C29F2"/>
    <w:rsid w:val="006C4809"/>
    <w:rsid w:val="006D03D8"/>
    <w:rsid w:val="006D1BB9"/>
    <w:rsid w:val="006D2114"/>
    <w:rsid w:val="006D2D8D"/>
    <w:rsid w:val="006D30A4"/>
    <w:rsid w:val="006D311D"/>
    <w:rsid w:val="006D3206"/>
    <w:rsid w:val="006D4380"/>
    <w:rsid w:val="006D4815"/>
    <w:rsid w:val="006D698D"/>
    <w:rsid w:val="006D78FF"/>
    <w:rsid w:val="006D7E2A"/>
    <w:rsid w:val="006E058E"/>
    <w:rsid w:val="006E07C3"/>
    <w:rsid w:val="006E1620"/>
    <w:rsid w:val="006E28A4"/>
    <w:rsid w:val="006E3C3D"/>
    <w:rsid w:val="006E4A32"/>
    <w:rsid w:val="006E4C0E"/>
    <w:rsid w:val="006E6132"/>
    <w:rsid w:val="006E77C1"/>
    <w:rsid w:val="006F0D9E"/>
    <w:rsid w:val="006F170C"/>
    <w:rsid w:val="006F289E"/>
    <w:rsid w:val="006F2CA5"/>
    <w:rsid w:val="006F396D"/>
    <w:rsid w:val="006F5B7B"/>
    <w:rsid w:val="006F6558"/>
    <w:rsid w:val="0070007A"/>
    <w:rsid w:val="007008B5"/>
    <w:rsid w:val="00701383"/>
    <w:rsid w:val="00701551"/>
    <w:rsid w:val="00701FE4"/>
    <w:rsid w:val="00704BB2"/>
    <w:rsid w:val="007056EF"/>
    <w:rsid w:val="007074EA"/>
    <w:rsid w:val="007078F0"/>
    <w:rsid w:val="0071116B"/>
    <w:rsid w:val="007112FB"/>
    <w:rsid w:val="00712E5C"/>
    <w:rsid w:val="007149F9"/>
    <w:rsid w:val="0071714D"/>
    <w:rsid w:val="007200A7"/>
    <w:rsid w:val="00720A63"/>
    <w:rsid w:val="00721659"/>
    <w:rsid w:val="00722923"/>
    <w:rsid w:val="0072400C"/>
    <w:rsid w:val="0072636A"/>
    <w:rsid w:val="007272E6"/>
    <w:rsid w:val="007274A7"/>
    <w:rsid w:val="00730B8E"/>
    <w:rsid w:val="00731308"/>
    <w:rsid w:val="00731C77"/>
    <w:rsid w:val="00732A09"/>
    <w:rsid w:val="00736415"/>
    <w:rsid w:val="00736AD9"/>
    <w:rsid w:val="0073735F"/>
    <w:rsid w:val="007402B1"/>
    <w:rsid w:val="00740EA8"/>
    <w:rsid w:val="00741C6B"/>
    <w:rsid w:val="00742468"/>
    <w:rsid w:val="007424AC"/>
    <w:rsid w:val="00742995"/>
    <w:rsid w:val="0074489D"/>
    <w:rsid w:val="0074514B"/>
    <w:rsid w:val="007456DC"/>
    <w:rsid w:val="00745F83"/>
    <w:rsid w:val="007460DB"/>
    <w:rsid w:val="00746BC1"/>
    <w:rsid w:val="0074791C"/>
    <w:rsid w:val="0075085B"/>
    <w:rsid w:val="00750AF6"/>
    <w:rsid w:val="0075179F"/>
    <w:rsid w:val="00752D36"/>
    <w:rsid w:val="00753427"/>
    <w:rsid w:val="00754261"/>
    <w:rsid w:val="00754C10"/>
    <w:rsid w:val="007551F4"/>
    <w:rsid w:val="007562AD"/>
    <w:rsid w:val="00757CF0"/>
    <w:rsid w:val="007605C0"/>
    <w:rsid w:val="00760E25"/>
    <w:rsid w:val="00761F77"/>
    <w:rsid w:val="00763B53"/>
    <w:rsid w:val="007647C3"/>
    <w:rsid w:val="00765C42"/>
    <w:rsid w:val="00765F1B"/>
    <w:rsid w:val="00766201"/>
    <w:rsid w:val="0076772E"/>
    <w:rsid w:val="007700AF"/>
    <w:rsid w:val="0077094B"/>
    <w:rsid w:val="00770D5C"/>
    <w:rsid w:val="00771B7B"/>
    <w:rsid w:val="007720EE"/>
    <w:rsid w:val="00772D4D"/>
    <w:rsid w:val="007738AC"/>
    <w:rsid w:val="00773CCB"/>
    <w:rsid w:val="00774A10"/>
    <w:rsid w:val="00774ED8"/>
    <w:rsid w:val="00780E20"/>
    <w:rsid w:val="0078178B"/>
    <w:rsid w:val="0078187B"/>
    <w:rsid w:val="007818AB"/>
    <w:rsid w:val="00781CA3"/>
    <w:rsid w:val="00782FDA"/>
    <w:rsid w:val="00785399"/>
    <w:rsid w:val="00785B79"/>
    <w:rsid w:val="00786406"/>
    <w:rsid w:val="00791C99"/>
    <w:rsid w:val="00792440"/>
    <w:rsid w:val="00793CC7"/>
    <w:rsid w:val="0079472F"/>
    <w:rsid w:val="007949E3"/>
    <w:rsid w:val="00794B5D"/>
    <w:rsid w:val="00794E1C"/>
    <w:rsid w:val="00795A2F"/>
    <w:rsid w:val="00795DA3"/>
    <w:rsid w:val="00796D74"/>
    <w:rsid w:val="00797036"/>
    <w:rsid w:val="00797F04"/>
    <w:rsid w:val="007A3904"/>
    <w:rsid w:val="007A57F4"/>
    <w:rsid w:val="007B31B6"/>
    <w:rsid w:val="007B3529"/>
    <w:rsid w:val="007B5211"/>
    <w:rsid w:val="007C07C5"/>
    <w:rsid w:val="007C2D6B"/>
    <w:rsid w:val="007C3321"/>
    <w:rsid w:val="007C3593"/>
    <w:rsid w:val="007C4447"/>
    <w:rsid w:val="007D03DC"/>
    <w:rsid w:val="007D0DD1"/>
    <w:rsid w:val="007D114B"/>
    <w:rsid w:val="007D135C"/>
    <w:rsid w:val="007D2AA2"/>
    <w:rsid w:val="007D31F4"/>
    <w:rsid w:val="007D4275"/>
    <w:rsid w:val="007D4396"/>
    <w:rsid w:val="007D4B5F"/>
    <w:rsid w:val="007D64BB"/>
    <w:rsid w:val="007D78A9"/>
    <w:rsid w:val="007E06C0"/>
    <w:rsid w:val="007E0816"/>
    <w:rsid w:val="007E0BBB"/>
    <w:rsid w:val="007E134F"/>
    <w:rsid w:val="007E170F"/>
    <w:rsid w:val="007E2573"/>
    <w:rsid w:val="007E3168"/>
    <w:rsid w:val="007E3E7F"/>
    <w:rsid w:val="007E6BCE"/>
    <w:rsid w:val="007E6DF2"/>
    <w:rsid w:val="007F00D3"/>
    <w:rsid w:val="007F0D28"/>
    <w:rsid w:val="007F0D84"/>
    <w:rsid w:val="007F15F7"/>
    <w:rsid w:val="007F16A2"/>
    <w:rsid w:val="007F2174"/>
    <w:rsid w:val="007F2384"/>
    <w:rsid w:val="007F2A89"/>
    <w:rsid w:val="007F2E18"/>
    <w:rsid w:val="007F556F"/>
    <w:rsid w:val="007F76AD"/>
    <w:rsid w:val="007F7E76"/>
    <w:rsid w:val="00800AE3"/>
    <w:rsid w:val="00801B7A"/>
    <w:rsid w:val="00802367"/>
    <w:rsid w:val="0080274C"/>
    <w:rsid w:val="00802AF7"/>
    <w:rsid w:val="008031D6"/>
    <w:rsid w:val="008038C5"/>
    <w:rsid w:val="00805F7C"/>
    <w:rsid w:val="00806324"/>
    <w:rsid w:val="00806DD0"/>
    <w:rsid w:val="00807BBA"/>
    <w:rsid w:val="00810910"/>
    <w:rsid w:val="00810E69"/>
    <w:rsid w:val="0081158D"/>
    <w:rsid w:val="00811B34"/>
    <w:rsid w:val="00811B49"/>
    <w:rsid w:val="00811CDA"/>
    <w:rsid w:val="00814D3F"/>
    <w:rsid w:val="008157C9"/>
    <w:rsid w:val="008169EC"/>
    <w:rsid w:val="0082010F"/>
    <w:rsid w:val="008212B0"/>
    <w:rsid w:val="00821A37"/>
    <w:rsid w:val="00821C94"/>
    <w:rsid w:val="00822E71"/>
    <w:rsid w:val="00822F86"/>
    <w:rsid w:val="00824BEE"/>
    <w:rsid w:val="00826076"/>
    <w:rsid w:val="00826273"/>
    <w:rsid w:val="00826FD1"/>
    <w:rsid w:val="008275E5"/>
    <w:rsid w:val="00827D46"/>
    <w:rsid w:val="0083066E"/>
    <w:rsid w:val="00830E2A"/>
    <w:rsid w:val="008314D7"/>
    <w:rsid w:val="00831C5E"/>
    <w:rsid w:val="00832685"/>
    <w:rsid w:val="008331AD"/>
    <w:rsid w:val="008350EE"/>
    <w:rsid w:val="0083618B"/>
    <w:rsid w:val="008367AC"/>
    <w:rsid w:val="008405A0"/>
    <w:rsid w:val="008429E8"/>
    <w:rsid w:val="00843DF6"/>
    <w:rsid w:val="00845BBE"/>
    <w:rsid w:val="00847AAF"/>
    <w:rsid w:val="00850E12"/>
    <w:rsid w:val="00851487"/>
    <w:rsid w:val="008524D0"/>
    <w:rsid w:val="00852878"/>
    <w:rsid w:val="00853046"/>
    <w:rsid w:val="008535EF"/>
    <w:rsid w:val="008549CE"/>
    <w:rsid w:val="0085624B"/>
    <w:rsid w:val="0085647C"/>
    <w:rsid w:val="00860B63"/>
    <w:rsid w:val="008615C4"/>
    <w:rsid w:val="008620C5"/>
    <w:rsid w:val="008634DC"/>
    <w:rsid w:val="00863940"/>
    <w:rsid w:val="00864DC6"/>
    <w:rsid w:val="008655DD"/>
    <w:rsid w:val="00867B02"/>
    <w:rsid w:val="00870187"/>
    <w:rsid w:val="008731E1"/>
    <w:rsid w:val="008736DF"/>
    <w:rsid w:val="008741DB"/>
    <w:rsid w:val="00874B7D"/>
    <w:rsid w:val="00875E52"/>
    <w:rsid w:val="00875F60"/>
    <w:rsid w:val="00876D7B"/>
    <w:rsid w:val="0087711E"/>
    <w:rsid w:val="00880B4D"/>
    <w:rsid w:val="0088128E"/>
    <w:rsid w:val="008813F4"/>
    <w:rsid w:val="00881E5F"/>
    <w:rsid w:val="008829A4"/>
    <w:rsid w:val="008836DC"/>
    <w:rsid w:val="00883D5B"/>
    <w:rsid w:val="00883FCB"/>
    <w:rsid w:val="0088450B"/>
    <w:rsid w:val="008860BD"/>
    <w:rsid w:val="00886F6C"/>
    <w:rsid w:val="008874F5"/>
    <w:rsid w:val="00887B21"/>
    <w:rsid w:val="00891B74"/>
    <w:rsid w:val="00892DE9"/>
    <w:rsid w:val="00893E28"/>
    <w:rsid w:val="00894DA5"/>
    <w:rsid w:val="0089503E"/>
    <w:rsid w:val="00895093"/>
    <w:rsid w:val="008959B9"/>
    <w:rsid w:val="00896BB6"/>
    <w:rsid w:val="008A0BF5"/>
    <w:rsid w:val="008A198C"/>
    <w:rsid w:val="008A2046"/>
    <w:rsid w:val="008A2455"/>
    <w:rsid w:val="008A2A2F"/>
    <w:rsid w:val="008A3652"/>
    <w:rsid w:val="008A6D95"/>
    <w:rsid w:val="008A6EC0"/>
    <w:rsid w:val="008B1171"/>
    <w:rsid w:val="008B48E2"/>
    <w:rsid w:val="008B5152"/>
    <w:rsid w:val="008B5EA0"/>
    <w:rsid w:val="008B6EE1"/>
    <w:rsid w:val="008B7356"/>
    <w:rsid w:val="008B7E27"/>
    <w:rsid w:val="008C0796"/>
    <w:rsid w:val="008C0AEC"/>
    <w:rsid w:val="008C0CA5"/>
    <w:rsid w:val="008C0CB4"/>
    <w:rsid w:val="008C11BE"/>
    <w:rsid w:val="008C12A2"/>
    <w:rsid w:val="008C18C1"/>
    <w:rsid w:val="008C1CF5"/>
    <w:rsid w:val="008C3CE8"/>
    <w:rsid w:val="008C3DC9"/>
    <w:rsid w:val="008C4B38"/>
    <w:rsid w:val="008C4DA0"/>
    <w:rsid w:val="008C6470"/>
    <w:rsid w:val="008C670E"/>
    <w:rsid w:val="008C7465"/>
    <w:rsid w:val="008D00A6"/>
    <w:rsid w:val="008D10DE"/>
    <w:rsid w:val="008D3DE9"/>
    <w:rsid w:val="008D54FE"/>
    <w:rsid w:val="008D639A"/>
    <w:rsid w:val="008D6B9D"/>
    <w:rsid w:val="008D7826"/>
    <w:rsid w:val="008E0AC9"/>
    <w:rsid w:val="008E1227"/>
    <w:rsid w:val="008E212A"/>
    <w:rsid w:val="008E23C2"/>
    <w:rsid w:val="008E2A16"/>
    <w:rsid w:val="008E3205"/>
    <w:rsid w:val="008E328D"/>
    <w:rsid w:val="008E383F"/>
    <w:rsid w:val="008E4FE2"/>
    <w:rsid w:val="008E5190"/>
    <w:rsid w:val="008E5F8B"/>
    <w:rsid w:val="008E79DB"/>
    <w:rsid w:val="008F1975"/>
    <w:rsid w:val="008F199D"/>
    <w:rsid w:val="008F1CB0"/>
    <w:rsid w:val="008F1D0A"/>
    <w:rsid w:val="008F1EF7"/>
    <w:rsid w:val="008F25E8"/>
    <w:rsid w:val="008F3933"/>
    <w:rsid w:val="008F405E"/>
    <w:rsid w:val="008F663E"/>
    <w:rsid w:val="008F6AB1"/>
    <w:rsid w:val="008F7791"/>
    <w:rsid w:val="00900EA0"/>
    <w:rsid w:val="00901B7F"/>
    <w:rsid w:val="009022ED"/>
    <w:rsid w:val="00902891"/>
    <w:rsid w:val="009031A2"/>
    <w:rsid w:val="0090367E"/>
    <w:rsid w:val="0090399E"/>
    <w:rsid w:val="00903E49"/>
    <w:rsid w:val="00903EBB"/>
    <w:rsid w:val="00904EB4"/>
    <w:rsid w:val="00904EBC"/>
    <w:rsid w:val="0090578F"/>
    <w:rsid w:val="00906027"/>
    <w:rsid w:val="009066D0"/>
    <w:rsid w:val="00906AFE"/>
    <w:rsid w:val="009110F8"/>
    <w:rsid w:val="009114AF"/>
    <w:rsid w:val="00911883"/>
    <w:rsid w:val="0091399B"/>
    <w:rsid w:val="00915485"/>
    <w:rsid w:val="00915C4E"/>
    <w:rsid w:val="00915EB8"/>
    <w:rsid w:val="00916A2C"/>
    <w:rsid w:val="00916ADD"/>
    <w:rsid w:val="009177C9"/>
    <w:rsid w:val="00917932"/>
    <w:rsid w:val="009207D3"/>
    <w:rsid w:val="00921023"/>
    <w:rsid w:val="00921C9B"/>
    <w:rsid w:val="00921E9F"/>
    <w:rsid w:val="0092229A"/>
    <w:rsid w:val="00923DCD"/>
    <w:rsid w:val="009249E5"/>
    <w:rsid w:val="00924DDF"/>
    <w:rsid w:val="00925D18"/>
    <w:rsid w:val="00927AA9"/>
    <w:rsid w:val="00927B5B"/>
    <w:rsid w:val="00930D55"/>
    <w:rsid w:val="00932F5A"/>
    <w:rsid w:val="00933610"/>
    <w:rsid w:val="00933B07"/>
    <w:rsid w:val="00934561"/>
    <w:rsid w:val="00941C63"/>
    <w:rsid w:val="00944F28"/>
    <w:rsid w:val="009465A9"/>
    <w:rsid w:val="00946CC3"/>
    <w:rsid w:val="00947A7A"/>
    <w:rsid w:val="009523E9"/>
    <w:rsid w:val="00953BD4"/>
    <w:rsid w:val="00953DE1"/>
    <w:rsid w:val="00954C4D"/>
    <w:rsid w:val="00955259"/>
    <w:rsid w:val="00955D18"/>
    <w:rsid w:val="00960E94"/>
    <w:rsid w:val="009619CC"/>
    <w:rsid w:val="00962AB9"/>
    <w:rsid w:val="00963089"/>
    <w:rsid w:val="0096362C"/>
    <w:rsid w:val="00963FE9"/>
    <w:rsid w:val="009650BD"/>
    <w:rsid w:val="00966084"/>
    <w:rsid w:val="009661A6"/>
    <w:rsid w:val="00966E9D"/>
    <w:rsid w:val="00967A30"/>
    <w:rsid w:val="00967E69"/>
    <w:rsid w:val="00973A8E"/>
    <w:rsid w:val="00974757"/>
    <w:rsid w:val="00974AD2"/>
    <w:rsid w:val="00974EA5"/>
    <w:rsid w:val="00974ED0"/>
    <w:rsid w:val="00975DEF"/>
    <w:rsid w:val="00976875"/>
    <w:rsid w:val="00976928"/>
    <w:rsid w:val="00977579"/>
    <w:rsid w:val="00977961"/>
    <w:rsid w:val="00977C46"/>
    <w:rsid w:val="009804DC"/>
    <w:rsid w:val="009814EC"/>
    <w:rsid w:val="0098230F"/>
    <w:rsid w:val="00982EDD"/>
    <w:rsid w:val="00983AF9"/>
    <w:rsid w:val="00983C32"/>
    <w:rsid w:val="0098597A"/>
    <w:rsid w:val="009860AD"/>
    <w:rsid w:val="009867C1"/>
    <w:rsid w:val="009871E1"/>
    <w:rsid w:val="00987EAE"/>
    <w:rsid w:val="0099016F"/>
    <w:rsid w:val="00991B1C"/>
    <w:rsid w:val="00992591"/>
    <w:rsid w:val="00992739"/>
    <w:rsid w:val="0099413E"/>
    <w:rsid w:val="0099424C"/>
    <w:rsid w:val="00994BA0"/>
    <w:rsid w:val="009952BF"/>
    <w:rsid w:val="0099587F"/>
    <w:rsid w:val="009967CB"/>
    <w:rsid w:val="009A0DEA"/>
    <w:rsid w:val="009A1A95"/>
    <w:rsid w:val="009A1F1D"/>
    <w:rsid w:val="009A24AD"/>
    <w:rsid w:val="009A253D"/>
    <w:rsid w:val="009A26C1"/>
    <w:rsid w:val="009A495E"/>
    <w:rsid w:val="009A51F0"/>
    <w:rsid w:val="009A791D"/>
    <w:rsid w:val="009A7FA8"/>
    <w:rsid w:val="009B0BC4"/>
    <w:rsid w:val="009B0BC8"/>
    <w:rsid w:val="009B10FF"/>
    <w:rsid w:val="009B3504"/>
    <w:rsid w:val="009B4402"/>
    <w:rsid w:val="009B5536"/>
    <w:rsid w:val="009B59FB"/>
    <w:rsid w:val="009B5A72"/>
    <w:rsid w:val="009C1289"/>
    <w:rsid w:val="009C4B4E"/>
    <w:rsid w:val="009C6421"/>
    <w:rsid w:val="009C6F8B"/>
    <w:rsid w:val="009C7881"/>
    <w:rsid w:val="009D0DE4"/>
    <w:rsid w:val="009D19BB"/>
    <w:rsid w:val="009D383A"/>
    <w:rsid w:val="009D3AE0"/>
    <w:rsid w:val="009D5BAA"/>
    <w:rsid w:val="009D6AF9"/>
    <w:rsid w:val="009D77ED"/>
    <w:rsid w:val="009E0B58"/>
    <w:rsid w:val="009E15A0"/>
    <w:rsid w:val="009E1A1C"/>
    <w:rsid w:val="009E1DC8"/>
    <w:rsid w:val="009E3FEB"/>
    <w:rsid w:val="009E46E9"/>
    <w:rsid w:val="009E5563"/>
    <w:rsid w:val="009E5586"/>
    <w:rsid w:val="009E5C1F"/>
    <w:rsid w:val="009E6BE9"/>
    <w:rsid w:val="009F01E3"/>
    <w:rsid w:val="009F02EC"/>
    <w:rsid w:val="009F05CF"/>
    <w:rsid w:val="009F09F1"/>
    <w:rsid w:val="009F40D9"/>
    <w:rsid w:val="009F4267"/>
    <w:rsid w:val="009F475D"/>
    <w:rsid w:val="009F4BE9"/>
    <w:rsid w:val="009F58A3"/>
    <w:rsid w:val="009F7736"/>
    <w:rsid w:val="00A0080F"/>
    <w:rsid w:val="00A0181D"/>
    <w:rsid w:val="00A02081"/>
    <w:rsid w:val="00A02258"/>
    <w:rsid w:val="00A02AB3"/>
    <w:rsid w:val="00A04281"/>
    <w:rsid w:val="00A0447D"/>
    <w:rsid w:val="00A04E10"/>
    <w:rsid w:val="00A05234"/>
    <w:rsid w:val="00A05870"/>
    <w:rsid w:val="00A0670F"/>
    <w:rsid w:val="00A07E52"/>
    <w:rsid w:val="00A1002A"/>
    <w:rsid w:val="00A100FF"/>
    <w:rsid w:val="00A108CC"/>
    <w:rsid w:val="00A11345"/>
    <w:rsid w:val="00A11D42"/>
    <w:rsid w:val="00A12A28"/>
    <w:rsid w:val="00A134D8"/>
    <w:rsid w:val="00A14950"/>
    <w:rsid w:val="00A16EE4"/>
    <w:rsid w:val="00A1766C"/>
    <w:rsid w:val="00A17F1A"/>
    <w:rsid w:val="00A219E7"/>
    <w:rsid w:val="00A22001"/>
    <w:rsid w:val="00A222A7"/>
    <w:rsid w:val="00A24AFA"/>
    <w:rsid w:val="00A25130"/>
    <w:rsid w:val="00A25446"/>
    <w:rsid w:val="00A25D87"/>
    <w:rsid w:val="00A26386"/>
    <w:rsid w:val="00A31462"/>
    <w:rsid w:val="00A31921"/>
    <w:rsid w:val="00A32152"/>
    <w:rsid w:val="00A34ED8"/>
    <w:rsid w:val="00A353BC"/>
    <w:rsid w:val="00A355C7"/>
    <w:rsid w:val="00A36171"/>
    <w:rsid w:val="00A36716"/>
    <w:rsid w:val="00A36A65"/>
    <w:rsid w:val="00A36BDD"/>
    <w:rsid w:val="00A372EE"/>
    <w:rsid w:val="00A4018D"/>
    <w:rsid w:val="00A429DA"/>
    <w:rsid w:val="00A43163"/>
    <w:rsid w:val="00A43397"/>
    <w:rsid w:val="00A4405B"/>
    <w:rsid w:val="00A44AE9"/>
    <w:rsid w:val="00A45CD8"/>
    <w:rsid w:val="00A45EE9"/>
    <w:rsid w:val="00A51CAA"/>
    <w:rsid w:val="00A54ACB"/>
    <w:rsid w:val="00A55ABB"/>
    <w:rsid w:val="00A56055"/>
    <w:rsid w:val="00A56B6D"/>
    <w:rsid w:val="00A57F27"/>
    <w:rsid w:val="00A60027"/>
    <w:rsid w:val="00A61E8F"/>
    <w:rsid w:val="00A6266F"/>
    <w:rsid w:val="00A63F16"/>
    <w:rsid w:val="00A65DD2"/>
    <w:rsid w:val="00A66866"/>
    <w:rsid w:val="00A679BC"/>
    <w:rsid w:val="00A70063"/>
    <w:rsid w:val="00A7009D"/>
    <w:rsid w:val="00A7080D"/>
    <w:rsid w:val="00A71703"/>
    <w:rsid w:val="00A71A8D"/>
    <w:rsid w:val="00A71EF4"/>
    <w:rsid w:val="00A72D7A"/>
    <w:rsid w:val="00A72E3F"/>
    <w:rsid w:val="00A74327"/>
    <w:rsid w:val="00A7436E"/>
    <w:rsid w:val="00A76812"/>
    <w:rsid w:val="00A76B23"/>
    <w:rsid w:val="00A80AAC"/>
    <w:rsid w:val="00A81584"/>
    <w:rsid w:val="00A81894"/>
    <w:rsid w:val="00A86A1B"/>
    <w:rsid w:val="00A86D47"/>
    <w:rsid w:val="00A91E1F"/>
    <w:rsid w:val="00A9340A"/>
    <w:rsid w:val="00A944F3"/>
    <w:rsid w:val="00A96E05"/>
    <w:rsid w:val="00A97896"/>
    <w:rsid w:val="00A97E15"/>
    <w:rsid w:val="00AA0BA5"/>
    <w:rsid w:val="00AA179C"/>
    <w:rsid w:val="00AA18AE"/>
    <w:rsid w:val="00AA2776"/>
    <w:rsid w:val="00AA4125"/>
    <w:rsid w:val="00AA4AA6"/>
    <w:rsid w:val="00AA5DB4"/>
    <w:rsid w:val="00AB16BF"/>
    <w:rsid w:val="00AB1FBE"/>
    <w:rsid w:val="00AB24C8"/>
    <w:rsid w:val="00AB4252"/>
    <w:rsid w:val="00AB508B"/>
    <w:rsid w:val="00AB6734"/>
    <w:rsid w:val="00AC00CE"/>
    <w:rsid w:val="00AC16E1"/>
    <w:rsid w:val="00AC27AB"/>
    <w:rsid w:val="00AC5086"/>
    <w:rsid w:val="00AC5496"/>
    <w:rsid w:val="00AC6019"/>
    <w:rsid w:val="00AD12EE"/>
    <w:rsid w:val="00AD173D"/>
    <w:rsid w:val="00AD2465"/>
    <w:rsid w:val="00AD442D"/>
    <w:rsid w:val="00AD609E"/>
    <w:rsid w:val="00AD6554"/>
    <w:rsid w:val="00AD7EE7"/>
    <w:rsid w:val="00AE0A04"/>
    <w:rsid w:val="00AE14F3"/>
    <w:rsid w:val="00AE20D3"/>
    <w:rsid w:val="00AE22F2"/>
    <w:rsid w:val="00AE2392"/>
    <w:rsid w:val="00AE24DF"/>
    <w:rsid w:val="00AE3428"/>
    <w:rsid w:val="00AE5B1E"/>
    <w:rsid w:val="00AE79CA"/>
    <w:rsid w:val="00AF1968"/>
    <w:rsid w:val="00AF310D"/>
    <w:rsid w:val="00AF328F"/>
    <w:rsid w:val="00AF4582"/>
    <w:rsid w:val="00AF6B3D"/>
    <w:rsid w:val="00AF6F3E"/>
    <w:rsid w:val="00AF7639"/>
    <w:rsid w:val="00AF7B73"/>
    <w:rsid w:val="00AF7DE5"/>
    <w:rsid w:val="00B01399"/>
    <w:rsid w:val="00B03922"/>
    <w:rsid w:val="00B04ACF"/>
    <w:rsid w:val="00B053C6"/>
    <w:rsid w:val="00B05746"/>
    <w:rsid w:val="00B07386"/>
    <w:rsid w:val="00B10030"/>
    <w:rsid w:val="00B104E7"/>
    <w:rsid w:val="00B108E3"/>
    <w:rsid w:val="00B10DE9"/>
    <w:rsid w:val="00B14DAA"/>
    <w:rsid w:val="00B16E80"/>
    <w:rsid w:val="00B17D6B"/>
    <w:rsid w:val="00B234E3"/>
    <w:rsid w:val="00B23945"/>
    <w:rsid w:val="00B24A09"/>
    <w:rsid w:val="00B26A6C"/>
    <w:rsid w:val="00B274CC"/>
    <w:rsid w:val="00B32641"/>
    <w:rsid w:val="00B33A06"/>
    <w:rsid w:val="00B34AF2"/>
    <w:rsid w:val="00B35253"/>
    <w:rsid w:val="00B40107"/>
    <w:rsid w:val="00B4093A"/>
    <w:rsid w:val="00B419F8"/>
    <w:rsid w:val="00B4246E"/>
    <w:rsid w:val="00B43B74"/>
    <w:rsid w:val="00B44DE2"/>
    <w:rsid w:val="00B4742A"/>
    <w:rsid w:val="00B50DEE"/>
    <w:rsid w:val="00B50F6E"/>
    <w:rsid w:val="00B52FBD"/>
    <w:rsid w:val="00B53927"/>
    <w:rsid w:val="00B54D58"/>
    <w:rsid w:val="00B55D48"/>
    <w:rsid w:val="00B57DB2"/>
    <w:rsid w:val="00B607BF"/>
    <w:rsid w:val="00B60D9B"/>
    <w:rsid w:val="00B6122B"/>
    <w:rsid w:val="00B61251"/>
    <w:rsid w:val="00B614E6"/>
    <w:rsid w:val="00B6214E"/>
    <w:rsid w:val="00B6342A"/>
    <w:rsid w:val="00B65239"/>
    <w:rsid w:val="00B65A19"/>
    <w:rsid w:val="00B65AF4"/>
    <w:rsid w:val="00B65F77"/>
    <w:rsid w:val="00B65FE6"/>
    <w:rsid w:val="00B71A2B"/>
    <w:rsid w:val="00B72929"/>
    <w:rsid w:val="00B7390A"/>
    <w:rsid w:val="00B73F92"/>
    <w:rsid w:val="00B75A56"/>
    <w:rsid w:val="00B75A7B"/>
    <w:rsid w:val="00B77130"/>
    <w:rsid w:val="00B77B0A"/>
    <w:rsid w:val="00B77EB1"/>
    <w:rsid w:val="00B811E0"/>
    <w:rsid w:val="00B811EC"/>
    <w:rsid w:val="00B81ED2"/>
    <w:rsid w:val="00B822F3"/>
    <w:rsid w:val="00B82F3D"/>
    <w:rsid w:val="00B83530"/>
    <w:rsid w:val="00B84123"/>
    <w:rsid w:val="00B85972"/>
    <w:rsid w:val="00B87120"/>
    <w:rsid w:val="00B92979"/>
    <w:rsid w:val="00B929A5"/>
    <w:rsid w:val="00B939A6"/>
    <w:rsid w:val="00B93E80"/>
    <w:rsid w:val="00B94083"/>
    <w:rsid w:val="00B94955"/>
    <w:rsid w:val="00B97C33"/>
    <w:rsid w:val="00B97F73"/>
    <w:rsid w:val="00BA020D"/>
    <w:rsid w:val="00BA0A81"/>
    <w:rsid w:val="00BA0C8A"/>
    <w:rsid w:val="00BA1E37"/>
    <w:rsid w:val="00BA4901"/>
    <w:rsid w:val="00BA49CA"/>
    <w:rsid w:val="00BA4C14"/>
    <w:rsid w:val="00BA534E"/>
    <w:rsid w:val="00BA5F2A"/>
    <w:rsid w:val="00BA6C29"/>
    <w:rsid w:val="00BA72BD"/>
    <w:rsid w:val="00BB018A"/>
    <w:rsid w:val="00BB026F"/>
    <w:rsid w:val="00BB087C"/>
    <w:rsid w:val="00BB3FB2"/>
    <w:rsid w:val="00BB4A59"/>
    <w:rsid w:val="00BB5370"/>
    <w:rsid w:val="00BB6031"/>
    <w:rsid w:val="00BB64B0"/>
    <w:rsid w:val="00BB65C4"/>
    <w:rsid w:val="00BB7B9D"/>
    <w:rsid w:val="00BC1694"/>
    <w:rsid w:val="00BC2853"/>
    <w:rsid w:val="00BC4431"/>
    <w:rsid w:val="00BC4B7F"/>
    <w:rsid w:val="00BC5473"/>
    <w:rsid w:val="00BC6E2E"/>
    <w:rsid w:val="00BC7DE7"/>
    <w:rsid w:val="00BD097C"/>
    <w:rsid w:val="00BD2639"/>
    <w:rsid w:val="00BD37E2"/>
    <w:rsid w:val="00BD4CC9"/>
    <w:rsid w:val="00BD4EB5"/>
    <w:rsid w:val="00BD5B6F"/>
    <w:rsid w:val="00BD620F"/>
    <w:rsid w:val="00BE1AF0"/>
    <w:rsid w:val="00BE364C"/>
    <w:rsid w:val="00BE37BA"/>
    <w:rsid w:val="00BE4580"/>
    <w:rsid w:val="00BE50AC"/>
    <w:rsid w:val="00BE6F98"/>
    <w:rsid w:val="00BF15FD"/>
    <w:rsid w:val="00BF1785"/>
    <w:rsid w:val="00BF2010"/>
    <w:rsid w:val="00BF2365"/>
    <w:rsid w:val="00BF2E5D"/>
    <w:rsid w:val="00BF384C"/>
    <w:rsid w:val="00BF4496"/>
    <w:rsid w:val="00BF4BCD"/>
    <w:rsid w:val="00BF683B"/>
    <w:rsid w:val="00BF688B"/>
    <w:rsid w:val="00BF69EB"/>
    <w:rsid w:val="00C01120"/>
    <w:rsid w:val="00C01A8A"/>
    <w:rsid w:val="00C0229B"/>
    <w:rsid w:val="00C035C7"/>
    <w:rsid w:val="00C0389C"/>
    <w:rsid w:val="00C04263"/>
    <w:rsid w:val="00C04273"/>
    <w:rsid w:val="00C044F5"/>
    <w:rsid w:val="00C04732"/>
    <w:rsid w:val="00C06017"/>
    <w:rsid w:val="00C06E2C"/>
    <w:rsid w:val="00C077CE"/>
    <w:rsid w:val="00C07936"/>
    <w:rsid w:val="00C07E13"/>
    <w:rsid w:val="00C1115F"/>
    <w:rsid w:val="00C1160A"/>
    <w:rsid w:val="00C117FF"/>
    <w:rsid w:val="00C11D42"/>
    <w:rsid w:val="00C12328"/>
    <w:rsid w:val="00C12A12"/>
    <w:rsid w:val="00C12B67"/>
    <w:rsid w:val="00C13825"/>
    <w:rsid w:val="00C1391E"/>
    <w:rsid w:val="00C13A7D"/>
    <w:rsid w:val="00C141C9"/>
    <w:rsid w:val="00C144F2"/>
    <w:rsid w:val="00C152A6"/>
    <w:rsid w:val="00C15982"/>
    <w:rsid w:val="00C16E14"/>
    <w:rsid w:val="00C201CA"/>
    <w:rsid w:val="00C203E7"/>
    <w:rsid w:val="00C21EFF"/>
    <w:rsid w:val="00C22360"/>
    <w:rsid w:val="00C227AD"/>
    <w:rsid w:val="00C22825"/>
    <w:rsid w:val="00C23BA1"/>
    <w:rsid w:val="00C23DF7"/>
    <w:rsid w:val="00C253D7"/>
    <w:rsid w:val="00C25B4D"/>
    <w:rsid w:val="00C274F6"/>
    <w:rsid w:val="00C27BFD"/>
    <w:rsid w:val="00C303D0"/>
    <w:rsid w:val="00C30474"/>
    <w:rsid w:val="00C3053E"/>
    <w:rsid w:val="00C31597"/>
    <w:rsid w:val="00C373A2"/>
    <w:rsid w:val="00C37F29"/>
    <w:rsid w:val="00C4067A"/>
    <w:rsid w:val="00C41BC5"/>
    <w:rsid w:val="00C454C8"/>
    <w:rsid w:val="00C45A67"/>
    <w:rsid w:val="00C46454"/>
    <w:rsid w:val="00C47D9F"/>
    <w:rsid w:val="00C515E0"/>
    <w:rsid w:val="00C5183B"/>
    <w:rsid w:val="00C522C9"/>
    <w:rsid w:val="00C540BC"/>
    <w:rsid w:val="00C546D9"/>
    <w:rsid w:val="00C57333"/>
    <w:rsid w:val="00C57A19"/>
    <w:rsid w:val="00C61790"/>
    <w:rsid w:val="00C624F8"/>
    <w:rsid w:val="00C62955"/>
    <w:rsid w:val="00C64256"/>
    <w:rsid w:val="00C64815"/>
    <w:rsid w:val="00C64A18"/>
    <w:rsid w:val="00C64C12"/>
    <w:rsid w:val="00C64DB4"/>
    <w:rsid w:val="00C66947"/>
    <w:rsid w:val="00C703D4"/>
    <w:rsid w:val="00C7096C"/>
    <w:rsid w:val="00C70A83"/>
    <w:rsid w:val="00C725E7"/>
    <w:rsid w:val="00C726AA"/>
    <w:rsid w:val="00C72F05"/>
    <w:rsid w:val="00C732DD"/>
    <w:rsid w:val="00C73A82"/>
    <w:rsid w:val="00C73BEF"/>
    <w:rsid w:val="00C74BBA"/>
    <w:rsid w:val="00C74EB7"/>
    <w:rsid w:val="00C7512A"/>
    <w:rsid w:val="00C761B3"/>
    <w:rsid w:val="00C80F0D"/>
    <w:rsid w:val="00C8222D"/>
    <w:rsid w:val="00C82730"/>
    <w:rsid w:val="00C83322"/>
    <w:rsid w:val="00C835B2"/>
    <w:rsid w:val="00C83E94"/>
    <w:rsid w:val="00C83F1B"/>
    <w:rsid w:val="00C85AC8"/>
    <w:rsid w:val="00C87EFC"/>
    <w:rsid w:val="00C90593"/>
    <w:rsid w:val="00C90ACF"/>
    <w:rsid w:val="00C90C12"/>
    <w:rsid w:val="00C92ED9"/>
    <w:rsid w:val="00C937E3"/>
    <w:rsid w:val="00C938A2"/>
    <w:rsid w:val="00C94BED"/>
    <w:rsid w:val="00C97992"/>
    <w:rsid w:val="00C97B34"/>
    <w:rsid w:val="00CA1241"/>
    <w:rsid w:val="00CA18F8"/>
    <w:rsid w:val="00CA1941"/>
    <w:rsid w:val="00CA3753"/>
    <w:rsid w:val="00CA3D9A"/>
    <w:rsid w:val="00CB10E5"/>
    <w:rsid w:val="00CB1D32"/>
    <w:rsid w:val="00CB40EE"/>
    <w:rsid w:val="00CB4F00"/>
    <w:rsid w:val="00CB5CC4"/>
    <w:rsid w:val="00CB6A8A"/>
    <w:rsid w:val="00CC0E6A"/>
    <w:rsid w:val="00CC3E39"/>
    <w:rsid w:val="00CC4171"/>
    <w:rsid w:val="00CC4385"/>
    <w:rsid w:val="00CC49A2"/>
    <w:rsid w:val="00CC57DC"/>
    <w:rsid w:val="00CC6783"/>
    <w:rsid w:val="00CC6AD3"/>
    <w:rsid w:val="00CC734B"/>
    <w:rsid w:val="00CD1811"/>
    <w:rsid w:val="00CD2E7B"/>
    <w:rsid w:val="00CD4639"/>
    <w:rsid w:val="00CD5F76"/>
    <w:rsid w:val="00CD6411"/>
    <w:rsid w:val="00CE24C9"/>
    <w:rsid w:val="00CE27BF"/>
    <w:rsid w:val="00CE2C06"/>
    <w:rsid w:val="00CE3E7C"/>
    <w:rsid w:val="00CE4BFB"/>
    <w:rsid w:val="00CE5779"/>
    <w:rsid w:val="00CE653A"/>
    <w:rsid w:val="00CF2663"/>
    <w:rsid w:val="00CF35FC"/>
    <w:rsid w:val="00CF3BBF"/>
    <w:rsid w:val="00CF53C8"/>
    <w:rsid w:val="00CF5E85"/>
    <w:rsid w:val="00CF5F66"/>
    <w:rsid w:val="00CF635C"/>
    <w:rsid w:val="00CF63CB"/>
    <w:rsid w:val="00CF7A15"/>
    <w:rsid w:val="00D00275"/>
    <w:rsid w:val="00D00B99"/>
    <w:rsid w:val="00D0129A"/>
    <w:rsid w:val="00D033AB"/>
    <w:rsid w:val="00D0410B"/>
    <w:rsid w:val="00D0422F"/>
    <w:rsid w:val="00D046A8"/>
    <w:rsid w:val="00D05BB8"/>
    <w:rsid w:val="00D05EB9"/>
    <w:rsid w:val="00D06776"/>
    <w:rsid w:val="00D06A85"/>
    <w:rsid w:val="00D13369"/>
    <w:rsid w:val="00D13F17"/>
    <w:rsid w:val="00D14053"/>
    <w:rsid w:val="00D14D46"/>
    <w:rsid w:val="00D15180"/>
    <w:rsid w:val="00D1518A"/>
    <w:rsid w:val="00D155F5"/>
    <w:rsid w:val="00D15664"/>
    <w:rsid w:val="00D160F1"/>
    <w:rsid w:val="00D16179"/>
    <w:rsid w:val="00D16D76"/>
    <w:rsid w:val="00D17D86"/>
    <w:rsid w:val="00D215F3"/>
    <w:rsid w:val="00D2288D"/>
    <w:rsid w:val="00D229C6"/>
    <w:rsid w:val="00D23740"/>
    <w:rsid w:val="00D238B9"/>
    <w:rsid w:val="00D27CCC"/>
    <w:rsid w:val="00D32E3B"/>
    <w:rsid w:val="00D33B62"/>
    <w:rsid w:val="00D341AA"/>
    <w:rsid w:val="00D345E7"/>
    <w:rsid w:val="00D350C8"/>
    <w:rsid w:val="00D354D8"/>
    <w:rsid w:val="00D361A3"/>
    <w:rsid w:val="00D40A15"/>
    <w:rsid w:val="00D40BA4"/>
    <w:rsid w:val="00D4141E"/>
    <w:rsid w:val="00D416D2"/>
    <w:rsid w:val="00D4227C"/>
    <w:rsid w:val="00D4404D"/>
    <w:rsid w:val="00D468AB"/>
    <w:rsid w:val="00D502B8"/>
    <w:rsid w:val="00D504C3"/>
    <w:rsid w:val="00D508CE"/>
    <w:rsid w:val="00D51474"/>
    <w:rsid w:val="00D538D3"/>
    <w:rsid w:val="00D56136"/>
    <w:rsid w:val="00D56D1A"/>
    <w:rsid w:val="00D57B64"/>
    <w:rsid w:val="00D601FC"/>
    <w:rsid w:val="00D606E2"/>
    <w:rsid w:val="00D61533"/>
    <w:rsid w:val="00D62387"/>
    <w:rsid w:val="00D62A5F"/>
    <w:rsid w:val="00D64CA3"/>
    <w:rsid w:val="00D668D4"/>
    <w:rsid w:val="00D67A5D"/>
    <w:rsid w:val="00D67BBB"/>
    <w:rsid w:val="00D67C7B"/>
    <w:rsid w:val="00D71342"/>
    <w:rsid w:val="00D72920"/>
    <w:rsid w:val="00D73420"/>
    <w:rsid w:val="00D73B1E"/>
    <w:rsid w:val="00D7472A"/>
    <w:rsid w:val="00D74A5E"/>
    <w:rsid w:val="00D80E32"/>
    <w:rsid w:val="00D81307"/>
    <w:rsid w:val="00D81CB1"/>
    <w:rsid w:val="00D82C94"/>
    <w:rsid w:val="00D830A4"/>
    <w:rsid w:val="00D83969"/>
    <w:rsid w:val="00D84D1C"/>
    <w:rsid w:val="00D85439"/>
    <w:rsid w:val="00D86311"/>
    <w:rsid w:val="00D87BF1"/>
    <w:rsid w:val="00D90188"/>
    <w:rsid w:val="00D90FB6"/>
    <w:rsid w:val="00D92D5B"/>
    <w:rsid w:val="00D93206"/>
    <w:rsid w:val="00D95007"/>
    <w:rsid w:val="00D95EAB"/>
    <w:rsid w:val="00D96879"/>
    <w:rsid w:val="00D97E9B"/>
    <w:rsid w:val="00D97EA9"/>
    <w:rsid w:val="00DA0BA0"/>
    <w:rsid w:val="00DA21B4"/>
    <w:rsid w:val="00DA2918"/>
    <w:rsid w:val="00DA6571"/>
    <w:rsid w:val="00DA714E"/>
    <w:rsid w:val="00DA7F15"/>
    <w:rsid w:val="00DB0D67"/>
    <w:rsid w:val="00DB25B9"/>
    <w:rsid w:val="00DB2CC6"/>
    <w:rsid w:val="00DB4472"/>
    <w:rsid w:val="00DB4A7C"/>
    <w:rsid w:val="00DB4B5E"/>
    <w:rsid w:val="00DB564E"/>
    <w:rsid w:val="00DB69D2"/>
    <w:rsid w:val="00DB6DF3"/>
    <w:rsid w:val="00DB6F6A"/>
    <w:rsid w:val="00DB73A9"/>
    <w:rsid w:val="00DC21B2"/>
    <w:rsid w:val="00DC27C5"/>
    <w:rsid w:val="00DC543D"/>
    <w:rsid w:val="00DC7A11"/>
    <w:rsid w:val="00DC7ED7"/>
    <w:rsid w:val="00DC7FAC"/>
    <w:rsid w:val="00DD0491"/>
    <w:rsid w:val="00DD05C4"/>
    <w:rsid w:val="00DD05FE"/>
    <w:rsid w:val="00DD07C9"/>
    <w:rsid w:val="00DD0A86"/>
    <w:rsid w:val="00DD0C2E"/>
    <w:rsid w:val="00DD198E"/>
    <w:rsid w:val="00DD3CE5"/>
    <w:rsid w:val="00DD4A63"/>
    <w:rsid w:val="00DD5011"/>
    <w:rsid w:val="00DD5589"/>
    <w:rsid w:val="00DD647C"/>
    <w:rsid w:val="00DD64AF"/>
    <w:rsid w:val="00DD6AE4"/>
    <w:rsid w:val="00DD6D5D"/>
    <w:rsid w:val="00DD7879"/>
    <w:rsid w:val="00DD7D2B"/>
    <w:rsid w:val="00DE1B14"/>
    <w:rsid w:val="00DE25EF"/>
    <w:rsid w:val="00DE2903"/>
    <w:rsid w:val="00DE4C44"/>
    <w:rsid w:val="00DE4F63"/>
    <w:rsid w:val="00DE59B3"/>
    <w:rsid w:val="00DE6866"/>
    <w:rsid w:val="00DF2441"/>
    <w:rsid w:val="00DF29AB"/>
    <w:rsid w:val="00DF2ED9"/>
    <w:rsid w:val="00DF3D79"/>
    <w:rsid w:val="00DF4971"/>
    <w:rsid w:val="00DF76D7"/>
    <w:rsid w:val="00DF776E"/>
    <w:rsid w:val="00DF7C95"/>
    <w:rsid w:val="00E013C8"/>
    <w:rsid w:val="00E01B2D"/>
    <w:rsid w:val="00E03C2F"/>
    <w:rsid w:val="00E04459"/>
    <w:rsid w:val="00E0490E"/>
    <w:rsid w:val="00E06D7D"/>
    <w:rsid w:val="00E07AE2"/>
    <w:rsid w:val="00E1002C"/>
    <w:rsid w:val="00E112B9"/>
    <w:rsid w:val="00E1288A"/>
    <w:rsid w:val="00E12B0C"/>
    <w:rsid w:val="00E12CA4"/>
    <w:rsid w:val="00E165E5"/>
    <w:rsid w:val="00E16BDF"/>
    <w:rsid w:val="00E17510"/>
    <w:rsid w:val="00E17B8F"/>
    <w:rsid w:val="00E209D8"/>
    <w:rsid w:val="00E2126D"/>
    <w:rsid w:val="00E21B91"/>
    <w:rsid w:val="00E21BCC"/>
    <w:rsid w:val="00E2242A"/>
    <w:rsid w:val="00E2261E"/>
    <w:rsid w:val="00E226E9"/>
    <w:rsid w:val="00E24D04"/>
    <w:rsid w:val="00E24E8C"/>
    <w:rsid w:val="00E30A3C"/>
    <w:rsid w:val="00E30C86"/>
    <w:rsid w:val="00E32722"/>
    <w:rsid w:val="00E33B33"/>
    <w:rsid w:val="00E34658"/>
    <w:rsid w:val="00E3526B"/>
    <w:rsid w:val="00E35AA3"/>
    <w:rsid w:val="00E37047"/>
    <w:rsid w:val="00E37661"/>
    <w:rsid w:val="00E407DD"/>
    <w:rsid w:val="00E41308"/>
    <w:rsid w:val="00E41633"/>
    <w:rsid w:val="00E417E3"/>
    <w:rsid w:val="00E4347A"/>
    <w:rsid w:val="00E435F2"/>
    <w:rsid w:val="00E44AB4"/>
    <w:rsid w:val="00E44B09"/>
    <w:rsid w:val="00E44C79"/>
    <w:rsid w:val="00E45BEF"/>
    <w:rsid w:val="00E46012"/>
    <w:rsid w:val="00E50405"/>
    <w:rsid w:val="00E51A34"/>
    <w:rsid w:val="00E53230"/>
    <w:rsid w:val="00E53332"/>
    <w:rsid w:val="00E5375C"/>
    <w:rsid w:val="00E53AE5"/>
    <w:rsid w:val="00E53C6B"/>
    <w:rsid w:val="00E54FA7"/>
    <w:rsid w:val="00E55EF4"/>
    <w:rsid w:val="00E568E7"/>
    <w:rsid w:val="00E5739B"/>
    <w:rsid w:val="00E57F1B"/>
    <w:rsid w:val="00E602DF"/>
    <w:rsid w:val="00E602F0"/>
    <w:rsid w:val="00E6048D"/>
    <w:rsid w:val="00E62608"/>
    <w:rsid w:val="00E631B5"/>
    <w:rsid w:val="00E63E28"/>
    <w:rsid w:val="00E643F2"/>
    <w:rsid w:val="00E6444F"/>
    <w:rsid w:val="00E6466A"/>
    <w:rsid w:val="00E65473"/>
    <w:rsid w:val="00E655A4"/>
    <w:rsid w:val="00E6566F"/>
    <w:rsid w:val="00E66299"/>
    <w:rsid w:val="00E6694D"/>
    <w:rsid w:val="00E66BA2"/>
    <w:rsid w:val="00E66D85"/>
    <w:rsid w:val="00E67A8B"/>
    <w:rsid w:val="00E70827"/>
    <w:rsid w:val="00E70DF7"/>
    <w:rsid w:val="00E71C7E"/>
    <w:rsid w:val="00E72430"/>
    <w:rsid w:val="00E752BD"/>
    <w:rsid w:val="00E75D87"/>
    <w:rsid w:val="00E80D97"/>
    <w:rsid w:val="00E81A13"/>
    <w:rsid w:val="00E82F78"/>
    <w:rsid w:val="00E83647"/>
    <w:rsid w:val="00E83C53"/>
    <w:rsid w:val="00E83F3B"/>
    <w:rsid w:val="00E84AF3"/>
    <w:rsid w:val="00E850CE"/>
    <w:rsid w:val="00E850FE"/>
    <w:rsid w:val="00E855C2"/>
    <w:rsid w:val="00E918FA"/>
    <w:rsid w:val="00E91973"/>
    <w:rsid w:val="00E92596"/>
    <w:rsid w:val="00E94287"/>
    <w:rsid w:val="00E9483D"/>
    <w:rsid w:val="00E9527E"/>
    <w:rsid w:val="00E97693"/>
    <w:rsid w:val="00E97DE3"/>
    <w:rsid w:val="00EA005D"/>
    <w:rsid w:val="00EA0FAF"/>
    <w:rsid w:val="00EA33A4"/>
    <w:rsid w:val="00EA3B47"/>
    <w:rsid w:val="00EA45D8"/>
    <w:rsid w:val="00EA5C24"/>
    <w:rsid w:val="00EA5F81"/>
    <w:rsid w:val="00EA6E1D"/>
    <w:rsid w:val="00EA7B88"/>
    <w:rsid w:val="00EB44EE"/>
    <w:rsid w:val="00EB509D"/>
    <w:rsid w:val="00EB6E7A"/>
    <w:rsid w:val="00EC13B7"/>
    <w:rsid w:val="00EC1BD8"/>
    <w:rsid w:val="00EC2AB1"/>
    <w:rsid w:val="00EC423F"/>
    <w:rsid w:val="00EC4C43"/>
    <w:rsid w:val="00EC63E2"/>
    <w:rsid w:val="00EC69E1"/>
    <w:rsid w:val="00EC6D2D"/>
    <w:rsid w:val="00EC713A"/>
    <w:rsid w:val="00ED0F60"/>
    <w:rsid w:val="00ED2941"/>
    <w:rsid w:val="00ED65ED"/>
    <w:rsid w:val="00EE25F5"/>
    <w:rsid w:val="00EE278E"/>
    <w:rsid w:val="00EE3AEB"/>
    <w:rsid w:val="00EE4363"/>
    <w:rsid w:val="00EE5CC0"/>
    <w:rsid w:val="00EE5E88"/>
    <w:rsid w:val="00EE74E4"/>
    <w:rsid w:val="00EF0FE0"/>
    <w:rsid w:val="00EF1FF3"/>
    <w:rsid w:val="00EF2BED"/>
    <w:rsid w:val="00EF5987"/>
    <w:rsid w:val="00EF64A8"/>
    <w:rsid w:val="00EF65C5"/>
    <w:rsid w:val="00EF6BEA"/>
    <w:rsid w:val="00F00D87"/>
    <w:rsid w:val="00F01448"/>
    <w:rsid w:val="00F01EBA"/>
    <w:rsid w:val="00F024B3"/>
    <w:rsid w:val="00F03DDA"/>
    <w:rsid w:val="00F046C3"/>
    <w:rsid w:val="00F04B25"/>
    <w:rsid w:val="00F04D10"/>
    <w:rsid w:val="00F051B3"/>
    <w:rsid w:val="00F06136"/>
    <w:rsid w:val="00F06C78"/>
    <w:rsid w:val="00F07D69"/>
    <w:rsid w:val="00F1063D"/>
    <w:rsid w:val="00F11602"/>
    <w:rsid w:val="00F139A5"/>
    <w:rsid w:val="00F13AE7"/>
    <w:rsid w:val="00F153E0"/>
    <w:rsid w:val="00F1658B"/>
    <w:rsid w:val="00F215A9"/>
    <w:rsid w:val="00F21A6E"/>
    <w:rsid w:val="00F2269F"/>
    <w:rsid w:val="00F226CE"/>
    <w:rsid w:val="00F23BB1"/>
    <w:rsid w:val="00F24CCC"/>
    <w:rsid w:val="00F25C93"/>
    <w:rsid w:val="00F27DB8"/>
    <w:rsid w:val="00F3080D"/>
    <w:rsid w:val="00F31ACB"/>
    <w:rsid w:val="00F327D7"/>
    <w:rsid w:val="00F327DB"/>
    <w:rsid w:val="00F32D1A"/>
    <w:rsid w:val="00F32EE8"/>
    <w:rsid w:val="00F33BFD"/>
    <w:rsid w:val="00F36F50"/>
    <w:rsid w:val="00F400A9"/>
    <w:rsid w:val="00F410EA"/>
    <w:rsid w:val="00F413C3"/>
    <w:rsid w:val="00F42FBF"/>
    <w:rsid w:val="00F433FF"/>
    <w:rsid w:val="00F43CDE"/>
    <w:rsid w:val="00F44F7C"/>
    <w:rsid w:val="00F4567B"/>
    <w:rsid w:val="00F47577"/>
    <w:rsid w:val="00F513F7"/>
    <w:rsid w:val="00F5237A"/>
    <w:rsid w:val="00F5294A"/>
    <w:rsid w:val="00F52DC5"/>
    <w:rsid w:val="00F52F91"/>
    <w:rsid w:val="00F533AD"/>
    <w:rsid w:val="00F533C5"/>
    <w:rsid w:val="00F534B9"/>
    <w:rsid w:val="00F5728B"/>
    <w:rsid w:val="00F600F8"/>
    <w:rsid w:val="00F61B63"/>
    <w:rsid w:val="00F61E0A"/>
    <w:rsid w:val="00F62030"/>
    <w:rsid w:val="00F6430A"/>
    <w:rsid w:val="00F671B2"/>
    <w:rsid w:val="00F672FE"/>
    <w:rsid w:val="00F673C4"/>
    <w:rsid w:val="00F7022D"/>
    <w:rsid w:val="00F70FF1"/>
    <w:rsid w:val="00F70FFA"/>
    <w:rsid w:val="00F71A9C"/>
    <w:rsid w:val="00F728F6"/>
    <w:rsid w:val="00F73B1E"/>
    <w:rsid w:val="00F74BB3"/>
    <w:rsid w:val="00F75B41"/>
    <w:rsid w:val="00F75E35"/>
    <w:rsid w:val="00F76EFE"/>
    <w:rsid w:val="00F77554"/>
    <w:rsid w:val="00F77C43"/>
    <w:rsid w:val="00F8102D"/>
    <w:rsid w:val="00F81B41"/>
    <w:rsid w:val="00F82F52"/>
    <w:rsid w:val="00F83F52"/>
    <w:rsid w:val="00F84C0F"/>
    <w:rsid w:val="00F852B3"/>
    <w:rsid w:val="00F86641"/>
    <w:rsid w:val="00F86CE7"/>
    <w:rsid w:val="00F86EB4"/>
    <w:rsid w:val="00F86ED1"/>
    <w:rsid w:val="00F87711"/>
    <w:rsid w:val="00F87901"/>
    <w:rsid w:val="00F90E75"/>
    <w:rsid w:val="00F91945"/>
    <w:rsid w:val="00F91FCF"/>
    <w:rsid w:val="00F92923"/>
    <w:rsid w:val="00F93161"/>
    <w:rsid w:val="00F93A92"/>
    <w:rsid w:val="00F955CF"/>
    <w:rsid w:val="00F9673A"/>
    <w:rsid w:val="00F97A2D"/>
    <w:rsid w:val="00FA0840"/>
    <w:rsid w:val="00FA08A4"/>
    <w:rsid w:val="00FA0AD4"/>
    <w:rsid w:val="00FA27F5"/>
    <w:rsid w:val="00FA2E43"/>
    <w:rsid w:val="00FA63F1"/>
    <w:rsid w:val="00FA65B3"/>
    <w:rsid w:val="00FA681F"/>
    <w:rsid w:val="00FA773F"/>
    <w:rsid w:val="00FA799B"/>
    <w:rsid w:val="00FA7B89"/>
    <w:rsid w:val="00FB19F4"/>
    <w:rsid w:val="00FB1F36"/>
    <w:rsid w:val="00FB40C4"/>
    <w:rsid w:val="00FB4732"/>
    <w:rsid w:val="00FB5355"/>
    <w:rsid w:val="00FB5BCD"/>
    <w:rsid w:val="00FB5CC0"/>
    <w:rsid w:val="00FB5F92"/>
    <w:rsid w:val="00FB6FED"/>
    <w:rsid w:val="00FB72FC"/>
    <w:rsid w:val="00FB7E0C"/>
    <w:rsid w:val="00FB7F26"/>
    <w:rsid w:val="00FC0B2C"/>
    <w:rsid w:val="00FC3325"/>
    <w:rsid w:val="00FC4239"/>
    <w:rsid w:val="00FC45F0"/>
    <w:rsid w:val="00FC4F4E"/>
    <w:rsid w:val="00FC5610"/>
    <w:rsid w:val="00FD126B"/>
    <w:rsid w:val="00FD183E"/>
    <w:rsid w:val="00FD1A59"/>
    <w:rsid w:val="00FD1EF9"/>
    <w:rsid w:val="00FD3802"/>
    <w:rsid w:val="00FD5998"/>
    <w:rsid w:val="00FD5BD5"/>
    <w:rsid w:val="00FD6793"/>
    <w:rsid w:val="00FD7243"/>
    <w:rsid w:val="00FD75DA"/>
    <w:rsid w:val="00FD7DA4"/>
    <w:rsid w:val="00FD7E01"/>
    <w:rsid w:val="00FE16FC"/>
    <w:rsid w:val="00FE21A5"/>
    <w:rsid w:val="00FE2B7E"/>
    <w:rsid w:val="00FE33DE"/>
    <w:rsid w:val="00FE3C85"/>
    <w:rsid w:val="00FE57C9"/>
    <w:rsid w:val="00FE64BB"/>
    <w:rsid w:val="00FE7485"/>
    <w:rsid w:val="00FF0753"/>
    <w:rsid w:val="00FF15DA"/>
    <w:rsid w:val="00FF1B46"/>
    <w:rsid w:val="00FF2067"/>
    <w:rsid w:val="00FF27A9"/>
    <w:rsid w:val="00FF3A9F"/>
    <w:rsid w:val="00FF3F13"/>
    <w:rsid w:val="00FF5603"/>
    <w:rsid w:val="00FF573B"/>
    <w:rsid w:val="00FF5A93"/>
    <w:rsid w:val="00FF5BF0"/>
    <w:rsid w:val="00FF724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efaultImageDpi w14:val="96"/>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ES" w:eastAsia="fr-FR" w:bidi="fr-FR"/>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locked="1" w:qFormat="1"/>
    <w:lsdException w:name="header" w:locked="1" w:qFormat="1"/>
    <w:lsdException w:name="footer" w:locked="1" w:qFormat="1"/>
    <w:lsdException w:name="caption" w:locked="1" w:qFormat="1"/>
    <w:lsdException w:name="footnote reference"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uiPriority="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locked="1" w:semiHidden="0" w:unhideWhenUsed="0" w:qFormat="1"/>
    <w:lsdException w:name="Emphasis" w:locked="1" w:semiHidden="0" w:uiPriority="20" w:unhideWhenUsed="0" w:qFormat="1"/>
    <w:lsdException w:name="HTML Preformatted" w:uiPriority="99"/>
    <w:lsdException w:name="No List" w:uiPriority="99"/>
    <w:lsdException w:name="Balloon Text" w:uiPriority="99"/>
    <w:lsdException w:name="Table Grid" w:locked="1"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BF0"/>
    <w:pPr>
      <w:spacing w:line="288" w:lineRule="auto"/>
      <w:jc w:val="both"/>
    </w:pPr>
    <w:rPr>
      <w:rFonts w:ascii="Times New Roman" w:hAnsi="Times New Roman"/>
      <w:sz w:val="22"/>
      <w:szCs w:val="22"/>
      <w:lang w:eastAsia="en-US" w:bidi="ar-SA"/>
    </w:rPr>
  </w:style>
  <w:style w:type="paragraph" w:styleId="Heading1">
    <w:name w:val="heading 1"/>
    <w:basedOn w:val="Normal"/>
    <w:next w:val="Normal"/>
    <w:link w:val="Heading1Char"/>
    <w:qFormat/>
    <w:rsid w:val="00FF5BF0"/>
    <w:pPr>
      <w:numPr>
        <w:numId w:val="1"/>
      </w:numPr>
      <w:ind w:left="567" w:hanging="567"/>
      <w:outlineLvl w:val="0"/>
    </w:pPr>
    <w:rPr>
      <w:kern w:val="28"/>
    </w:rPr>
  </w:style>
  <w:style w:type="paragraph" w:styleId="Heading2">
    <w:name w:val="heading 2"/>
    <w:aliases w:val=" Char"/>
    <w:basedOn w:val="Normal"/>
    <w:next w:val="Normal"/>
    <w:link w:val="Heading2Char"/>
    <w:qFormat/>
    <w:rsid w:val="00FF5BF0"/>
    <w:pPr>
      <w:numPr>
        <w:ilvl w:val="1"/>
        <w:numId w:val="1"/>
      </w:numPr>
      <w:ind w:left="567" w:hanging="567"/>
      <w:outlineLvl w:val="1"/>
    </w:pPr>
  </w:style>
  <w:style w:type="paragraph" w:styleId="Heading3">
    <w:name w:val="heading 3"/>
    <w:basedOn w:val="Normal"/>
    <w:next w:val="Normal"/>
    <w:link w:val="Heading3Char"/>
    <w:qFormat/>
    <w:rsid w:val="00FF5BF0"/>
    <w:pPr>
      <w:numPr>
        <w:ilvl w:val="2"/>
        <w:numId w:val="1"/>
      </w:numPr>
      <w:ind w:left="567" w:hanging="567"/>
      <w:outlineLvl w:val="2"/>
    </w:pPr>
  </w:style>
  <w:style w:type="paragraph" w:styleId="Heading4">
    <w:name w:val="heading 4"/>
    <w:basedOn w:val="Normal"/>
    <w:next w:val="Normal"/>
    <w:link w:val="Heading4Char"/>
    <w:qFormat/>
    <w:rsid w:val="00FF5BF0"/>
    <w:pPr>
      <w:numPr>
        <w:ilvl w:val="3"/>
        <w:numId w:val="1"/>
      </w:numPr>
      <w:ind w:left="567" w:hanging="567"/>
      <w:outlineLvl w:val="3"/>
    </w:pPr>
  </w:style>
  <w:style w:type="paragraph" w:styleId="Heading5">
    <w:name w:val="heading 5"/>
    <w:basedOn w:val="Normal"/>
    <w:next w:val="Normal"/>
    <w:link w:val="Heading5Char"/>
    <w:qFormat/>
    <w:rsid w:val="00FF5BF0"/>
    <w:pPr>
      <w:numPr>
        <w:ilvl w:val="4"/>
        <w:numId w:val="1"/>
      </w:numPr>
      <w:ind w:left="567" w:hanging="567"/>
      <w:outlineLvl w:val="4"/>
    </w:pPr>
  </w:style>
  <w:style w:type="paragraph" w:styleId="Heading6">
    <w:name w:val="heading 6"/>
    <w:basedOn w:val="Normal"/>
    <w:next w:val="Normal"/>
    <w:link w:val="Heading6Char"/>
    <w:qFormat/>
    <w:rsid w:val="00FF5BF0"/>
    <w:pPr>
      <w:numPr>
        <w:ilvl w:val="5"/>
        <w:numId w:val="1"/>
      </w:numPr>
      <w:ind w:left="567" w:hanging="567"/>
      <w:outlineLvl w:val="5"/>
    </w:pPr>
  </w:style>
  <w:style w:type="paragraph" w:styleId="Heading7">
    <w:name w:val="heading 7"/>
    <w:basedOn w:val="Normal"/>
    <w:next w:val="Normal"/>
    <w:link w:val="Heading7Char"/>
    <w:qFormat/>
    <w:rsid w:val="00FF5BF0"/>
    <w:pPr>
      <w:numPr>
        <w:ilvl w:val="6"/>
        <w:numId w:val="1"/>
      </w:numPr>
      <w:ind w:left="567" w:hanging="567"/>
      <w:outlineLvl w:val="6"/>
    </w:pPr>
  </w:style>
  <w:style w:type="paragraph" w:styleId="Heading8">
    <w:name w:val="heading 8"/>
    <w:basedOn w:val="Normal"/>
    <w:next w:val="Normal"/>
    <w:link w:val="Heading8Char"/>
    <w:qFormat/>
    <w:rsid w:val="00FF5BF0"/>
    <w:pPr>
      <w:numPr>
        <w:ilvl w:val="7"/>
        <w:numId w:val="1"/>
      </w:numPr>
      <w:ind w:left="567" w:hanging="567"/>
      <w:outlineLvl w:val="7"/>
    </w:pPr>
  </w:style>
  <w:style w:type="paragraph" w:styleId="Heading9">
    <w:name w:val="heading 9"/>
    <w:basedOn w:val="Normal"/>
    <w:next w:val="Normal"/>
    <w:link w:val="Heading9Char"/>
    <w:qFormat/>
    <w:rsid w:val="00FF5BF0"/>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szCs w:val="22"/>
      <w:lang w:val="es-ES" w:eastAsia="en-US" w:bidi="ar-SA"/>
    </w:rPr>
  </w:style>
  <w:style w:type="character" w:customStyle="1" w:styleId="Heading2Char">
    <w:name w:val="Heading 2 Char"/>
    <w:aliases w:val=" Char Char"/>
    <w:basedOn w:val="DefaultParagraphFont"/>
    <w:link w:val="Heading2"/>
    <w:qFormat/>
    <w:locked/>
    <w:rsid w:val="003B283B"/>
    <w:rPr>
      <w:rFonts w:ascii="Times New Roman" w:hAnsi="Times New Roman"/>
      <w:sz w:val="22"/>
      <w:szCs w:val="22"/>
      <w:lang w:val="es-ES" w:eastAsia="en-US" w:bidi="ar-SA"/>
    </w:rPr>
  </w:style>
  <w:style w:type="character" w:customStyle="1" w:styleId="Heading3Char">
    <w:name w:val="Heading 3 Char"/>
    <w:basedOn w:val="DefaultParagraphFont"/>
    <w:link w:val="Heading3"/>
    <w:locked/>
    <w:rsid w:val="003B283B"/>
    <w:rPr>
      <w:rFonts w:ascii="Times New Roman" w:hAnsi="Times New Roman"/>
      <w:sz w:val="22"/>
      <w:szCs w:val="22"/>
      <w:lang w:val="es-ES" w:eastAsia="en-US" w:bidi="ar-SA"/>
    </w:rPr>
  </w:style>
  <w:style w:type="character" w:customStyle="1" w:styleId="Heading4Char">
    <w:name w:val="Heading 4 Char"/>
    <w:basedOn w:val="DefaultParagraphFont"/>
    <w:link w:val="Heading4"/>
    <w:locked/>
    <w:rsid w:val="003B283B"/>
    <w:rPr>
      <w:rFonts w:ascii="Times New Roman" w:hAnsi="Times New Roman"/>
      <w:sz w:val="22"/>
      <w:szCs w:val="22"/>
      <w:lang w:val="es-ES" w:eastAsia="en-US" w:bidi="ar-SA"/>
    </w:rPr>
  </w:style>
  <w:style w:type="character" w:customStyle="1" w:styleId="Heading5Char">
    <w:name w:val="Heading 5 Char"/>
    <w:basedOn w:val="DefaultParagraphFont"/>
    <w:link w:val="Heading5"/>
    <w:locked/>
    <w:rsid w:val="003B283B"/>
    <w:rPr>
      <w:rFonts w:ascii="Times New Roman" w:hAnsi="Times New Roman"/>
      <w:sz w:val="22"/>
      <w:szCs w:val="22"/>
      <w:lang w:val="es-ES" w:eastAsia="en-US" w:bidi="ar-SA"/>
    </w:rPr>
  </w:style>
  <w:style w:type="character" w:customStyle="1" w:styleId="Heading6Char">
    <w:name w:val="Heading 6 Char"/>
    <w:basedOn w:val="DefaultParagraphFont"/>
    <w:link w:val="Heading6"/>
    <w:locked/>
    <w:rsid w:val="003B283B"/>
    <w:rPr>
      <w:rFonts w:ascii="Times New Roman" w:hAnsi="Times New Roman"/>
      <w:sz w:val="22"/>
      <w:szCs w:val="22"/>
      <w:lang w:val="es-ES" w:eastAsia="en-US" w:bidi="ar-SA"/>
    </w:rPr>
  </w:style>
  <w:style w:type="character" w:customStyle="1" w:styleId="Heading7Char">
    <w:name w:val="Heading 7 Char"/>
    <w:basedOn w:val="DefaultParagraphFont"/>
    <w:link w:val="Heading7"/>
    <w:locked/>
    <w:rsid w:val="003B283B"/>
    <w:rPr>
      <w:rFonts w:ascii="Times New Roman" w:hAnsi="Times New Roman"/>
      <w:sz w:val="22"/>
      <w:szCs w:val="22"/>
      <w:lang w:val="es-ES" w:eastAsia="en-US" w:bidi="ar-SA"/>
    </w:rPr>
  </w:style>
  <w:style w:type="character" w:customStyle="1" w:styleId="Heading8Char">
    <w:name w:val="Heading 8 Char"/>
    <w:basedOn w:val="DefaultParagraphFont"/>
    <w:link w:val="Heading8"/>
    <w:locked/>
    <w:rsid w:val="003B283B"/>
    <w:rPr>
      <w:rFonts w:ascii="Times New Roman" w:hAnsi="Times New Roman"/>
      <w:sz w:val="22"/>
      <w:szCs w:val="22"/>
      <w:lang w:val="es-ES" w:eastAsia="en-US" w:bidi="ar-SA"/>
    </w:rPr>
  </w:style>
  <w:style w:type="character" w:customStyle="1" w:styleId="Heading9Char">
    <w:name w:val="Heading 9 Char"/>
    <w:basedOn w:val="DefaultParagraphFont"/>
    <w:link w:val="Heading9"/>
    <w:locked/>
    <w:rsid w:val="003B283B"/>
    <w:rPr>
      <w:rFonts w:ascii="Times New Roman" w:hAnsi="Times New Roman"/>
      <w:sz w:val="22"/>
      <w:szCs w:val="22"/>
      <w:lang w:val="es-ES" w:eastAsia="en-US" w:bidi="ar-SA"/>
    </w:rPr>
  </w:style>
  <w:style w:type="paragraph" w:styleId="FootnoteText">
    <w:name w:val="footnote text"/>
    <w:basedOn w:val="Normal"/>
    <w:link w:val="FootnoteTextChar"/>
    <w:qFormat/>
    <w:rsid w:val="00FF5BF0"/>
    <w:pPr>
      <w:keepLines/>
      <w:spacing w:after="60" w:line="240" w:lineRule="auto"/>
      <w:ind w:left="567" w:hanging="567"/>
    </w:pPr>
    <w:rPr>
      <w:sz w:val="16"/>
    </w:rPr>
  </w:style>
  <w:style w:type="character" w:customStyle="1" w:styleId="FootnoteTextChar">
    <w:name w:val="Footnote Text Char"/>
    <w:basedOn w:val="DefaultParagraphFont"/>
    <w:link w:val="FootnoteText"/>
    <w:qFormat/>
    <w:locked/>
    <w:rsid w:val="003B283B"/>
    <w:rPr>
      <w:rFonts w:ascii="Times New Roman" w:hAnsi="Times New Roman"/>
      <w:sz w:val="16"/>
      <w:szCs w:val="22"/>
      <w:lang w:val="es-ES" w:eastAsia="en-US" w:bidi="ar-SA"/>
    </w:rPr>
  </w:style>
  <w:style w:type="paragraph" w:styleId="Header">
    <w:name w:val="header"/>
    <w:basedOn w:val="Normal"/>
    <w:link w:val="HeaderChar"/>
    <w:qFormat/>
    <w:rsid w:val="00FF5BF0"/>
  </w:style>
  <w:style w:type="character" w:customStyle="1" w:styleId="HeaderChar">
    <w:name w:val="Header Char"/>
    <w:basedOn w:val="DefaultParagraphFont"/>
    <w:link w:val="Header"/>
    <w:locked/>
    <w:rsid w:val="003B283B"/>
    <w:rPr>
      <w:rFonts w:ascii="Times New Roman" w:hAnsi="Times New Roman"/>
      <w:sz w:val="22"/>
      <w:szCs w:val="22"/>
      <w:lang w:val="es-ES" w:eastAsia="en-US" w:bidi="ar-SA"/>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styleId="Footer">
    <w:name w:val="footer"/>
    <w:basedOn w:val="Normal"/>
    <w:link w:val="FooterChar"/>
    <w:qFormat/>
    <w:locked/>
    <w:rsid w:val="00FF5BF0"/>
  </w:style>
  <w:style w:type="character" w:customStyle="1" w:styleId="FooterChar">
    <w:name w:val="Footer Char"/>
    <w:basedOn w:val="DefaultParagraphFont"/>
    <w:link w:val="Footer"/>
    <w:rsid w:val="0036522E"/>
    <w:rPr>
      <w:rFonts w:ascii="Times New Roman" w:hAnsi="Times New Roman"/>
      <w:sz w:val="22"/>
      <w:szCs w:val="22"/>
      <w:lang w:val="es-ES" w:eastAsia="en-US" w:bidi="ar-SA"/>
    </w:rPr>
  </w:style>
  <w:style w:type="character" w:styleId="FootnoteReference">
    <w:name w:val="footnote reference"/>
    <w:aliases w:val="SUPERS,Footnote reference number,Footnote symbol,note TESI,-E Fußnotenzeichen,number,Footnote Reference Superscript,Times 10 Point,Exposant 3 Point"/>
    <w:basedOn w:val="DefaultParagraphFont"/>
    <w:unhideWhenUsed/>
    <w:qFormat/>
    <w:locked/>
    <w:rsid w:val="00FF5BF0"/>
    <w:rPr>
      <w:sz w:val="24"/>
      <w:vertAlign w:val="superscript"/>
    </w:rPr>
  </w:style>
  <w:style w:type="paragraph" w:styleId="TOC1">
    <w:name w:val="toc 1"/>
    <w:basedOn w:val="Normal"/>
    <w:next w:val="Normal"/>
    <w:autoRedefine/>
    <w:uiPriority w:val="39"/>
    <w:locked/>
    <w:rsid w:val="00CF635C"/>
    <w:pPr>
      <w:tabs>
        <w:tab w:val="right" w:leader="dot" w:pos="9063"/>
      </w:tabs>
      <w:spacing w:after="100"/>
      <w:ind w:left="567" w:hanging="567"/>
    </w:pPr>
  </w:style>
  <w:style w:type="paragraph" w:styleId="ListParagraph">
    <w:name w:val="List Paragraph"/>
    <w:aliases w:val="Number list"/>
    <w:basedOn w:val="Normal"/>
    <w:uiPriority w:val="34"/>
    <w:qFormat/>
    <w:rsid w:val="008959B9"/>
    <w:pPr>
      <w:ind w:left="720"/>
      <w:contextualSpacing/>
    </w:pPr>
  </w:style>
  <w:style w:type="paragraph" w:customStyle="1" w:styleId="quotes">
    <w:name w:val="quotes"/>
    <w:basedOn w:val="Normal"/>
    <w:next w:val="Normal"/>
    <w:rsid w:val="00FF5BF0"/>
    <w:pPr>
      <w:ind w:left="720"/>
    </w:pPr>
    <w:rPr>
      <w:i/>
    </w:rPr>
  </w:style>
  <w:style w:type="paragraph" w:styleId="BalloonText">
    <w:name w:val="Balloon Text"/>
    <w:basedOn w:val="Normal"/>
    <w:link w:val="BalloonTextChar"/>
    <w:uiPriority w:val="99"/>
    <w:semiHidden/>
    <w:unhideWhenUsed/>
    <w:rsid w:val="00DA7F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F15"/>
    <w:rPr>
      <w:rFonts w:ascii="Tahoma" w:hAnsi="Tahoma" w:cs="Tahoma"/>
      <w:sz w:val="16"/>
      <w:szCs w:val="16"/>
      <w:lang w:val="es-E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ES" w:eastAsia="fr-FR" w:bidi="fr-FR"/>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locked="1" w:qFormat="1"/>
    <w:lsdException w:name="header" w:locked="1" w:qFormat="1"/>
    <w:lsdException w:name="footer" w:locked="1" w:qFormat="1"/>
    <w:lsdException w:name="caption" w:locked="1" w:qFormat="1"/>
    <w:lsdException w:name="footnote reference"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uiPriority="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locked="1" w:semiHidden="0" w:unhideWhenUsed="0" w:qFormat="1"/>
    <w:lsdException w:name="Emphasis" w:locked="1" w:semiHidden="0" w:uiPriority="20" w:unhideWhenUsed="0" w:qFormat="1"/>
    <w:lsdException w:name="HTML Preformatted" w:uiPriority="99"/>
    <w:lsdException w:name="No List" w:uiPriority="99"/>
    <w:lsdException w:name="Balloon Text" w:uiPriority="99"/>
    <w:lsdException w:name="Table Grid" w:locked="1"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BF0"/>
    <w:pPr>
      <w:spacing w:line="288" w:lineRule="auto"/>
      <w:jc w:val="both"/>
    </w:pPr>
    <w:rPr>
      <w:rFonts w:ascii="Times New Roman" w:hAnsi="Times New Roman"/>
      <w:sz w:val="22"/>
      <w:szCs w:val="22"/>
      <w:lang w:eastAsia="en-US" w:bidi="ar-SA"/>
    </w:rPr>
  </w:style>
  <w:style w:type="paragraph" w:styleId="Heading1">
    <w:name w:val="heading 1"/>
    <w:basedOn w:val="Normal"/>
    <w:next w:val="Normal"/>
    <w:link w:val="Heading1Char"/>
    <w:qFormat/>
    <w:rsid w:val="00FF5BF0"/>
    <w:pPr>
      <w:numPr>
        <w:numId w:val="1"/>
      </w:numPr>
      <w:ind w:left="567" w:hanging="567"/>
      <w:outlineLvl w:val="0"/>
    </w:pPr>
    <w:rPr>
      <w:kern w:val="28"/>
    </w:rPr>
  </w:style>
  <w:style w:type="paragraph" w:styleId="Heading2">
    <w:name w:val="heading 2"/>
    <w:aliases w:val=" Char"/>
    <w:basedOn w:val="Normal"/>
    <w:next w:val="Normal"/>
    <w:link w:val="Heading2Char"/>
    <w:qFormat/>
    <w:rsid w:val="00FF5BF0"/>
    <w:pPr>
      <w:numPr>
        <w:ilvl w:val="1"/>
        <w:numId w:val="1"/>
      </w:numPr>
      <w:ind w:left="567" w:hanging="567"/>
      <w:outlineLvl w:val="1"/>
    </w:pPr>
  </w:style>
  <w:style w:type="paragraph" w:styleId="Heading3">
    <w:name w:val="heading 3"/>
    <w:basedOn w:val="Normal"/>
    <w:next w:val="Normal"/>
    <w:link w:val="Heading3Char"/>
    <w:qFormat/>
    <w:rsid w:val="00FF5BF0"/>
    <w:pPr>
      <w:numPr>
        <w:ilvl w:val="2"/>
        <w:numId w:val="1"/>
      </w:numPr>
      <w:ind w:left="567" w:hanging="567"/>
      <w:outlineLvl w:val="2"/>
    </w:pPr>
  </w:style>
  <w:style w:type="paragraph" w:styleId="Heading4">
    <w:name w:val="heading 4"/>
    <w:basedOn w:val="Normal"/>
    <w:next w:val="Normal"/>
    <w:link w:val="Heading4Char"/>
    <w:qFormat/>
    <w:rsid w:val="00FF5BF0"/>
    <w:pPr>
      <w:numPr>
        <w:ilvl w:val="3"/>
        <w:numId w:val="1"/>
      </w:numPr>
      <w:ind w:left="567" w:hanging="567"/>
      <w:outlineLvl w:val="3"/>
    </w:pPr>
  </w:style>
  <w:style w:type="paragraph" w:styleId="Heading5">
    <w:name w:val="heading 5"/>
    <w:basedOn w:val="Normal"/>
    <w:next w:val="Normal"/>
    <w:link w:val="Heading5Char"/>
    <w:qFormat/>
    <w:rsid w:val="00FF5BF0"/>
    <w:pPr>
      <w:numPr>
        <w:ilvl w:val="4"/>
        <w:numId w:val="1"/>
      </w:numPr>
      <w:ind w:left="567" w:hanging="567"/>
      <w:outlineLvl w:val="4"/>
    </w:pPr>
  </w:style>
  <w:style w:type="paragraph" w:styleId="Heading6">
    <w:name w:val="heading 6"/>
    <w:basedOn w:val="Normal"/>
    <w:next w:val="Normal"/>
    <w:link w:val="Heading6Char"/>
    <w:qFormat/>
    <w:rsid w:val="00FF5BF0"/>
    <w:pPr>
      <w:numPr>
        <w:ilvl w:val="5"/>
        <w:numId w:val="1"/>
      </w:numPr>
      <w:ind w:left="567" w:hanging="567"/>
      <w:outlineLvl w:val="5"/>
    </w:pPr>
  </w:style>
  <w:style w:type="paragraph" w:styleId="Heading7">
    <w:name w:val="heading 7"/>
    <w:basedOn w:val="Normal"/>
    <w:next w:val="Normal"/>
    <w:link w:val="Heading7Char"/>
    <w:qFormat/>
    <w:rsid w:val="00FF5BF0"/>
    <w:pPr>
      <w:numPr>
        <w:ilvl w:val="6"/>
        <w:numId w:val="1"/>
      </w:numPr>
      <w:ind w:left="567" w:hanging="567"/>
      <w:outlineLvl w:val="6"/>
    </w:pPr>
  </w:style>
  <w:style w:type="paragraph" w:styleId="Heading8">
    <w:name w:val="heading 8"/>
    <w:basedOn w:val="Normal"/>
    <w:next w:val="Normal"/>
    <w:link w:val="Heading8Char"/>
    <w:qFormat/>
    <w:rsid w:val="00FF5BF0"/>
    <w:pPr>
      <w:numPr>
        <w:ilvl w:val="7"/>
        <w:numId w:val="1"/>
      </w:numPr>
      <w:ind w:left="567" w:hanging="567"/>
      <w:outlineLvl w:val="7"/>
    </w:pPr>
  </w:style>
  <w:style w:type="paragraph" w:styleId="Heading9">
    <w:name w:val="heading 9"/>
    <w:basedOn w:val="Normal"/>
    <w:next w:val="Normal"/>
    <w:link w:val="Heading9Char"/>
    <w:qFormat/>
    <w:rsid w:val="00FF5BF0"/>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szCs w:val="22"/>
      <w:lang w:val="es-ES" w:eastAsia="en-US" w:bidi="ar-SA"/>
    </w:rPr>
  </w:style>
  <w:style w:type="character" w:customStyle="1" w:styleId="Heading2Char">
    <w:name w:val="Heading 2 Char"/>
    <w:aliases w:val=" Char Char"/>
    <w:basedOn w:val="DefaultParagraphFont"/>
    <w:link w:val="Heading2"/>
    <w:qFormat/>
    <w:locked/>
    <w:rsid w:val="003B283B"/>
    <w:rPr>
      <w:rFonts w:ascii="Times New Roman" w:hAnsi="Times New Roman"/>
      <w:sz w:val="22"/>
      <w:szCs w:val="22"/>
      <w:lang w:val="es-ES" w:eastAsia="en-US" w:bidi="ar-SA"/>
    </w:rPr>
  </w:style>
  <w:style w:type="character" w:customStyle="1" w:styleId="Heading3Char">
    <w:name w:val="Heading 3 Char"/>
    <w:basedOn w:val="DefaultParagraphFont"/>
    <w:link w:val="Heading3"/>
    <w:locked/>
    <w:rsid w:val="003B283B"/>
    <w:rPr>
      <w:rFonts w:ascii="Times New Roman" w:hAnsi="Times New Roman"/>
      <w:sz w:val="22"/>
      <w:szCs w:val="22"/>
      <w:lang w:val="es-ES" w:eastAsia="en-US" w:bidi="ar-SA"/>
    </w:rPr>
  </w:style>
  <w:style w:type="character" w:customStyle="1" w:styleId="Heading4Char">
    <w:name w:val="Heading 4 Char"/>
    <w:basedOn w:val="DefaultParagraphFont"/>
    <w:link w:val="Heading4"/>
    <w:locked/>
    <w:rsid w:val="003B283B"/>
    <w:rPr>
      <w:rFonts w:ascii="Times New Roman" w:hAnsi="Times New Roman"/>
      <w:sz w:val="22"/>
      <w:szCs w:val="22"/>
      <w:lang w:val="es-ES" w:eastAsia="en-US" w:bidi="ar-SA"/>
    </w:rPr>
  </w:style>
  <w:style w:type="character" w:customStyle="1" w:styleId="Heading5Char">
    <w:name w:val="Heading 5 Char"/>
    <w:basedOn w:val="DefaultParagraphFont"/>
    <w:link w:val="Heading5"/>
    <w:locked/>
    <w:rsid w:val="003B283B"/>
    <w:rPr>
      <w:rFonts w:ascii="Times New Roman" w:hAnsi="Times New Roman"/>
      <w:sz w:val="22"/>
      <w:szCs w:val="22"/>
      <w:lang w:val="es-ES" w:eastAsia="en-US" w:bidi="ar-SA"/>
    </w:rPr>
  </w:style>
  <w:style w:type="character" w:customStyle="1" w:styleId="Heading6Char">
    <w:name w:val="Heading 6 Char"/>
    <w:basedOn w:val="DefaultParagraphFont"/>
    <w:link w:val="Heading6"/>
    <w:locked/>
    <w:rsid w:val="003B283B"/>
    <w:rPr>
      <w:rFonts w:ascii="Times New Roman" w:hAnsi="Times New Roman"/>
      <w:sz w:val="22"/>
      <w:szCs w:val="22"/>
      <w:lang w:val="es-ES" w:eastAsia="en-US" w:bidi="ar-SA"/>
    </w:rPr>
  </w:style>
  <w:style w:type="character" w:customStyle="1" w:styleId="Heading7Char">
    <w:name w:val="Heading 7 Char"/>
    <w:basedOn w:val="DefaultParagraphFont"/>
    <w:link w:val="Heading7"/>
    <w:locked/>
    <w:rsid w:val="003B283B"/>
    <w:rPr>
      <w:rFonts w:ascii="Times New Roman" w:hAnsi="Times New Roman"/>
      <w:sz w:val="22"/>
      <w:szCs w:val="22"/>
      <w:lang w:val="es-ES" w:eastAsia="en-US" w:bidi="ar-SA"/>
    </w:rPr>
  </w:style>
  <w:style w:type="character" w:customStyle="1" w:styleId="Heading8Char">
    <w:name w:val="Heading 8 Char"/>
    <w:basedOn w:val="DefaultParagraphFont"/>
    <w:link w:val="Heading8"/>
    <w:locked/>
    <w:rsid w:val="003B283B"/>
    <w:rPr>
      <w:rFonts w:ascii="Times New Roman" w:hAnsi="Times New Roman"/>
      <w:sz w:val="22"/>
      <w:szCs w:val="22"/>
      <w:lang w:val="es-ES" w:eastAsia="en-US" w:bidi="ar-SA"/>
    </w:rPr>
  </w:style>
  <w:style w:type="character" w:customStyle="1" w:styleId="Heading9Char">
    <w:name w:val="Heading 9 Char"/>
    <w:basedOn w:val="DefaultParagraphFont"/>
    <w:link w:val="Heading9"/>
    <w:locked/>
    <w:rsid w:val="003B283B"/>
    <w:rPr>
      <w:rFonts w:ascii="Times New Roman" w:hAnsi="Times New Roman"/>
      <w:sz w:val="22"/>
      <w:szCs w:val="22"/>
      <w:lang w:val="es-ES" w:eastAsia="en-US" w:bidi="ar-SA"/>
    </w:rPr>
  </w:style>
  <w:style w:type="paragraph" w:styleId="FootnoteText">
    <w:name w:val="footnote text"/>
    <w:basedOn w:val="Normal"/>
    <w:link w:val="FootnoteTextChar"/>
    <w:qFormat/>
    <w:rsid w:val="00FF5BF0"/>
    <w:pPr>
      <w:keepLines/>
      <w:spacing w:after="60" w:line="240" w:lineRule="auto"/>
      <w:ind w:left="567" w:hanging="567"/>
    </w:pPr>
    <w:rPr>
      <w:sz w:val="16"/>
    </w:rPr>
  </w:style>
  <w:style w:type="character" w:customStyle="1" w:styleId="FootnoteTextChar">
    <w:name w:val="Footnote Text Char"/>
    <w:basedOn w:val="DefaultParagraphFont"/>
    <w:link w:val="FootnoteText"/>
    <w:qFormat/>
    <w:locked/>
    <w:rsid w:val="003B283B"/>
    <w:rPr>
      <w:rFonts w:ascii="Times New Roman" w:hAnsi="Times New Roman"/>
      <w:sz w:val="16"/>
      <w:szCs w:val="22"/>
      <w:lang w:val="es-ES" w:eastAsia="en-US" w:bidi="ar-SA"/>
    </w:rPr>
  </w:style>
  <w:style w:type="paragraph" w:styleId="Header">
    <w:name w:val="header"/>
    <w:basedOn w:val="Normal"/>
    <w:link w:val="HeaderChar"/>
    <w:qFormat/>
    <w:rsid w:val="00FF5BF0"/>
  </w:style>
  <w:style w:type="character" w:customStyle="1" w:styleId="HeaderChar">
    <w:name w:val="Header Char"/>
    <w:basedOn w:val="DefaultParagraphFont"/>
    <w:link w:val="Header"/>
    <w:locked/>
    <w:rsid w:val="003B283B"/>
    <w:rPr>
      <w:rFonts w:ascii="Times New Roman" w:hAnsi="Times New Roman"/>
      <w:sz w:val="22"/>
      <w:szCs w:val="22"/>
      <w:lang w:val="es-ES" w:eastAsia="en-US" w:bidi="ar-SA"/>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styleId="Footer">
    <w:name w:val="footer"/>
    <w:basedOn w:val="Normal"/>
    <w:link w:val="FooterChar"/>
    <w:qFormat/>
    <w:locked/>
    <w:rsid w:val="00FF5BF0"/>
  </w:style>
  <w:style w:type="character" w:customStyle="1" w:styleId="FooterChar">
    <w:name w:val="Footer Char"/>
    <w:basedOn w:val="DefaultParagraphFont"/>
    <w:link w:val="Footer"/>
    <w:rsid w:val="0036522E"/>
    <w:rPr>
      <w:rFonts w:ascii="Times New Roman" w:hAnsi="Times New Roman"/>
      <w:sz w:val="22"/>
      <w:szCs w:val="22"/>
      <w:lang w:val="es-ES" w:eastAsia="en-US" w:bidi="ar-SA"/>
    </w:rPr>
  </w:style>
  <w:style w:type="character" w:styleId="FootnoteReference">
    <w:name w:val="footnote reference"/>
    <w:aliases w:val="SUPERS,Footnote reference number,Footnote symbol,note TESI,-E Fußnotenzeichen,number,Footnote Reference Superscript,Times 10 Point,Exposant 3 Point"/>
    <w:basedOn w:val="DefaultParagraphFont"/>
    <w:unhideWhenUsed/>
    <w:qFormat/>
    <w:locked/>
    <w:rsid w:val="00FF5BF0"/>
    <w:rPr>
      <w:sz w:val="24"/>
      <w:vertAlign w:val="superscript"/>
    </w:rPr>
  </w:style>
  <w:style w:type="paragraph" w:styleId="TOC1">
    <w:name w:val="toc 1"/>
    <w:basedOn w:val="Normal"/>
    <w:next w:val="Normal"/>
    <w:autoRedefine/>
    <w:uiPriority w:val="39"/>
    <w:locked/>
    <w:rsid w:val="00CF635C"/>
    <w:pPr>
      <w:tabs>
        <w:tab w:val="right" w:leader="dot" w:pos="9063"/>
      </w:tabs>
      <w:spacing w:after="100"/>
      <w:ind w:left="567" w:hanging="567"/>
    </w:pPr>
  </w:style>
  <w:style w:type="paragraph" w:styleId="ListParagraph">
    <w:name w:val="List Paragraph"/>
    <w:aliases w:val="Number list"/>
    <w:basedOn w:val="Normal"/>
    <w:uiPriority w:val="34"/>
    <w:qFormat/>
    <w:rsid w:val="008959B9"/>
    <w:pPr>
      <w:ind w:left="720"/>
      <w:contextualSpacing/>
    </w:pPr>
  </w:style>
  <w:style w:type="paragraph" w:customStyle="1" w:styleId="quotes">
    <w:name w:val="quotes"/>
    <w:basedOn w:val="Normal"/>
    <w:next w:val="Normal"/>
    <w:rsid w:val="00FF5BF0"/>
    <w:pPr>
      <w:ind w:left="720"/>
    </w:pPr>
    <w:rPr>
      <w:i/>
    </w:rPr>
  </w:style>
  <w:style w:type="paragraph" w:styleId="BalloonText">
    <w:name w:val="Balloon Text"/>
    <w:basedOn w:val="Normal"/>
    <w:link w:val="BalloonTextChar"/>
    <w:uiPriority w:val="99"/>
    <w:semiHidden/>
    <w:unhideWhenUsed/>
    <w:rsid w:val="00DA7F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F15"/>
    <w:rPr>
      <w:rFonts w:ascii="Tahoma" w:hAnsi="Tahoma" w:cs="Tahoma"/>
      <w:sz w:val="16"/>
      <w:szCs w:val="16"/>
      <w:lang w:val="es-E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12963">
      <w:bodyDiv w:val="1"/>
      <w:marLeft w:val="0"/>
      <w:marRight w:val="0"/>
      <w:marTop w:val="0"/>
      <w:marBottom w:val="0"/>
      <w:divBdr>
        <w:top w:val="none" w:sz="0" w:space="0" w:color="auto"/>
        <w:left w:val="none" w:sz="0" w:space="0" w:color="auto"/>
        <w:bottom w:val="none" w:sz="0" w:space="0" w:color="auto"/>
        <w:right w:val="none" w:sz="0" w:space="0" w:color="auto"/>
      </w:divBdr>
    </w:div>
    <w:div w:id="71120705">
      <w:bodyDiv w:val="1"/>
      <w:marLeft w:val="0"/>
      <w:marRight w:val="0"/>
      <w:marTop w:val="0"/>
      <w:marBottom w:val="0"/>
      <w:divBdr>
        <w:top w:val="none" w:sz="0" w:space="0" w:color="auto"/>
        <w:left w:val="none" w:sz="0" w:space="0" w:color="auto"/>
        <w:bottom w:val="none" w:sz="0" w:space="0" w:color="auto"/>
        <w:right w:val="none" w:sz="0" w:space="0" w:color="auto"/>
      </w:divBdr>
    </w:div>
    <w:div w:id="92558469">
      <w:bodyDiv w:val="1"/>
      <w:marLeft w:val="0"/>
      <w:marRight w:val="0"/>
      <w:marTop w:val="0"/>
      <w:marBottom w:val="0"/>
      <w:divBdr>
        <w:top w:val="none" w:sz="0" w:space="0" w:color="auto"/>
        <w:left w:val="none" w:sz="0" w:space="0" w:color="auto"/>
        <w:bottom w:val="none" w:sz="0" w:space="0" w:color="auto"/>
        <w:right w:val="none" w:sz="0" w:space="0" w:color="auto"/>
      </w:divBdr>
    </w:div>
    <w:div w:id="174736797">
      <w:bodyDiv w:val="1"/>
      <w:marLeft w:val="0"/>
      <w:marRight w:val="0"/>
      <w:marTop w:val="0"/>
      <w:marBottom w:val="0"/>
      <w:divBdr>
        <w:top w:val="none" w:sz="0" w:space="0" w:color="auto"/>
        <w:left w:val="none" w:sz="0" w:space="0" w:color="auto"/>
        <w:bottom w:val="none" w:sz="0" w:space="0" w:color="auto"/>
        <w:right w:val="none" w:sz="0" w:space="0" w:color="auto"/>
      </w:divBdr>
    </w:div>
    <w:div w:id="206069837">
      <w:bodyDiv w:val="1"/>
      <w:marLeft w:val="0"/>
      <w:marRight w:val="0"/>
      <w:marTop w:val="0"/>
      <w:marBottom w:val="0"/>
      <w:divBdr>
        <w:top w:val="none" w:sz="0" w:space="0" w:color="auto"/>
        <w:left w:val="none" w:sz="0" w:space="0" w:color="auto"/>
        <w:bottom w:val="none" w:sz="0" w:space="0" w:color="auto"/>
        <w:right w:val="none" w:sz="0" w:space="0" w:color="auto"/>
      </w:divBdr>
    </w:div>
    <w:div w:id="234125496">
      <w:bodyDiv w:val="1"/>
      <w:marLeft w:val="0"/>
      <w:marRight w:val="0"/>
      <w:marTop w:val="0"/>
      <w:marBottom w:val="0"/>
      <w:divBdr>
        <w:top w:val="none" w:sz="0" w:space="0" w:color="auto"/>
        <w:left w:val="none" w:sz="0" w:space="0" w:color="auto"/>
        <w:bottom w:val="none" w:sz="0" w:space="0" w:color="auto"/>
        <w:right w:val="none" w:sz="0" w:space="0" w:color="auto"/>
      </w:divBdr>
    </w:div>
    <w:div w:id="268201061">
      <w:bodyDiv w:val="1"/>
      <w:marLeft w:val="0"/>
      <w:marRight w:val="0"/>
      <w:marTop w:val="0"/>
      <w:marBottom w:val="0"/>
      <w:divBdr>
        <w:top w:val="none" w:sz="0" w:space="0" w:color="auto"/>
        <w:left w:val="none" w:sz="0" w:space="0" w:color="auto"/>
        <w:bottom w:val="none" w:sz="0" w:space="0" w:color="auto"/>
        <w:right w:val="none" w:sz="0" w:space="0" w:color="auto"/>
      </w:divBdr>
    </w:div>
    <w:div w:id="323554389">
      <w:bodyDiv w:val="1"/>
      <w:marLeft w:val="0"/>
      <w:marRight w:val="0"/>
      <w:marTop w:val="0"/>
      <w:marBottom w:val="0"/>
      <w:divBdr>
        <w:top w:val="none" w:sz="0" w:space="0" w:color="auto"/>
        <w:left w:val="none" w:sz="0" w:space="0" w:color="auto"/>
        <w:bottom w:val="none" w:sz="0" w:space="0" w:color="auto"/>
        <w:right w:val="none" w:sz="0" w:space="0" w:color="auto"/>
      </w:divBdr>
    </w:div>
    <w:div w:id="476997402">
      <w:bodyDiv w:val="1"/>
      <w:marLeft w:val="0"/>
      <w:marRight w:val="0"/>
      <w:marTop w:val="0"/>
      <w:marBottom w:val="0"/>
      <w:divBdr>
        <w:top w:val="none" w:sz="0" w:space="0" w:color="auto"/>
        <w:left w:val="none" w:sz="0" w:space="0" w:color="auto"/>
        <w:bottom w:val="none" w:sz="0" w:space="0" w:color="auto"/>
        <w:right w:val="none" w:sz="0" w:space="0" w:color="auto"/>
      </w:divBdr>
    </w:div>
    <w:div w:id="491719827">
      <w:bodyDiv w:val="1"/>
      <w:marLeft w:val="0"/>
      <w:marRight w:val="0"/>
      <w:marTop w:val="0"/>
      <w:marBottom w:val="0"/>
      <w:divBdr>
        <w:top w:val="none" w:sz="0" w:space="0" w:color="auto"/>
        <w:left w:val="none" w:sz="0" w:space="0" w:color="auto"/>
        <w:bottom w:val="none" w:sz="0" w:space="0" w:color="auto"/>
        <w:right w:val="none" w:sz="0" w:space="0" w:color="auto"/>
      </w:divBdr>
    </w:div>
    <w:div w:id="567959750">
      <w:bodyDiv w:val="1"/>
      <w:marLeft w:val="0"/>
      <w:marRight w:val="0"/>
      <w:marTop w:val="0"/>
      <w:marBottom w:val="0"/>
      <w:divBdr>
        <w:top w:val="none" w:sz="0" w:space="0" w:color="auto"/>
        <w:left w:val="none" w:sz="0" w:space="0" w:color="auto"/>
        <w:bottom w:val="none" w:sz="0" w:space="0" w:color="auto"/>
        <w:right w:val="none" w:sz="0" w:space="0" w:color="auto"/>
      </w:divBdr>
    </w:div>
    <w:div w:id="579632782">
      <w:bodyDiv w:val="1"/>
      <w:marLeft w:val="0"/>
      <w:marRight w:val="0"/>
      <w:marTop w:val="0"/>
      <w:marBottom w:val="0"/>
      <w:divBdr>
        <w:top w:val="none" w:sz="0" w:space="0" w:color="auto"/>
        <w:left w:val="none" w:sz="0" w:space="0" w:color="auto"/>
        <w:bottom w:val="none" w:sz="0" w:space="0" w:color="auto"/>
        <w:right w:val="none" w:sz="0" w:space="0" w:color="auto"/>
      </w:divBdr>
    </w:div>
    <w:div w:id="582841016">
      <w:bodyDiv w:val="1"/>
      <w:marLeft w:val="0"/>
      <w:marRight w:val="0"/>
      <w:marTop w:val="0"/>
      <w:marBottom w:val="0"/>
      <w:divBdr>
        <w:top w:val="none" w:sz="0" w:space="0" w:color="auto"/>
        <w:left w:val="none" w:sz="0" w:space="0" w:color="auto"/>
        <w:bottom w:val="none" w:sz="0" w:space="0" w:color="auto"/>
        <w:right w:val="none" w:sz="0" w:space="0" w:color="auto"/>
      </w:divBdr>
    </w:div>
    <w:div w:id="598416545">
      <w:bodyDiv w:val="1"/>
      <w:marLeft w:val="0"/>
      <w:marRight w:val="0"/>
      <w:marTop w:val="0"/>
      <w:marBottom w:val="0"/>
      <w:divBdr>
        <w:top w:val="none" w:sz="0" w:space="0" w:color="auto"/>
        <w:left w:val="none" w:sz="0" w:space="0" w:color="auto"/>
        <w:bottom w:val="none" w:sz="0" w:space="0" w:color="auto"/>
        <w:right w:val="none" w:sz="0" w:space="0" w:color="auto"/>
      </w:divBdr>
    </w:div>
    <w:div w:id="602686058">
      <w:bodyDiv w:val="1"/>
      <w:marLeft w:val="0"/>
      <w:marRight w:val="0"/>
      <w:marTop w:val="0"/>
      <w:marBottom w:val="0"/>
      <w:divBdr>
        <w:top w:val="none" w:sz="0" w:space="0" w:color="auto"/>
        <w:left w:val="none" w:sz="0" w:space="0" w:color="auto"/>
        <w:bottom w:val="none" w:sz="0" w:space="0" w:color="auto"/>
        <w:right w:val="none" w:sz="0" w:space="0" w:color="auto"/>
      </w:divBdr>
    </w:div>
    <w:div w:id="782652097">
      <w:bodyDiv w:val="1"/>
      <w:marLeft w:val="0"/>
      <w:marRight w:val="0"/>
      <w:marTop w:val="0"/>
      <w:marBottom w:val="0"/>
      <w:divBdr>
        <w:top w:val="none" w:sz="0" w:space="0" w:color="auto"/>
        <w:left w:val="none" w:sz="0" w:space="0" w:color="auto"/>
        <w:bottom w:val="none" w:sz="0" w:space="0" w:color="auto"/>
        <w:right w:val="none" w:sz="0" w:space="0" w:color="auto"/>
      </w:divBdr>
    </w:div>
    <w:div w:id="801388730">
      <w:bodyDiv w:val="1"/>
      <w:marLeft w:val="0"/>
      <w:marRight w:val="0"/>
      <w:marTop w:val="0"/>
      <w:marBottom w:val="0"/>
      <w:divBdr>
        <w:top w:val="none" w:sz="0" w:space="0" w:color="auto"/>
        <w:left w:val="none" w:sz="0" w:space="0" w:color="auto"/>
        <w:bottom w:val="none" w:sz="0" w:space="0" w:color="auto"/>
        <w:right w:val="none" w:sz="0" w:space="0" w:color="auto"/>
      </w:divBdr>
    </w:div>
    <w:div w:id="802962855">
      <w:bodyDiv w:val="1"/>
      <w:marLeft w:val="0"/>
      <w:marRight w:val="0"/>
      <w:marTop w:val="0"/>
      <w:marBottom w:val="0"/>
      <w:divBdr>
        <w:top w:val="none" w:sz="0" w:space="0" w:color="auto"/>
        <w:left w:val="none" w:sz="0" w:space="0" w:color="auto"/>
        <w:bottom w:val="none" w:sz="0" w:space="0" w:color="auto"/>
        <w:right w:val="none" w:sz="0" w:space="0" w:color="auto"/>
      </w:divBdr>
    </w:div>
    <w:div w:id="844828239">
      <w:marLeft w:val="0"/>
      <w:marRight w:val="0"/>
      <w:marTop w:val="0"/>
      <w:marBottom w:val="0"/>
      <w:divBdr>
        <w:top w:val="none" w:sz="0" w:space="0" w:color="auto"/>
        <w:left w:val="none" w:sz="0" w:space="0" w:color="auto"/>
        <w:bottom w:val="none" w:sz="0" w:space="0" w:color="auto"/>
        <w:right w:val="none" w:sz="0" w:space="0" w:color="auto"/>
      </w:divBdr>
    </w:div>
    <w:div w:id="844828240">
      <w:marLeft w:val="0"/>
      <w:marRight w:val="0"/>
      <w:marTop w:val="0"/>
      <w:marBottom w:val="0"/>
      <w:divBdr>
        <w:top w:val="none" w:sz="0" w:space="0" w:color="auto"/>
        <w:left w:val="none" w:sz="0" w:space="0" w:color="auto"/>
        <w:bottom w:val="none" w:sz="0" w:space="0" w:color="auto"/>
        <w:right w:val="none" w:sz="0" w:space="0" w:color="auto"/>
      </w:divBdr>
    </w:div>
    <w:div w:id="844828241">
      <w:marLeft w:val="0"/>
      <w:marRight w:val="0"/>
      <w:marTop w:val="0"/>
      <w:marBottom w:val="0"/>
      <w:divBdr>
        <w:top w:val="none" w:sz="0" w:space="0" w:color="auto"/>
        <w:left w:val="none" w:sz="0" w:space="0" w:color="auto"/>
        <w:bottom w:val="none" w:sz="0" w:space="0" w:color="auto"/>
        <w:right w:val="none" w:sz="0" w:space="0" w:color="auto"/>
      </w:divBdr>
    </w:div>
    <w:div w:id="844828242">
      <w:marLeft w:val="0"/>
      <w:marRight w:val="0"/>
      <w:marTop w:val="0"/>
      <w:marBottom w:val="0"/>
      <w:divBdr>
        <w:top w:val="none" w:sz="0" w:space="0" w:color="auto"/>
        <w:left w:val="none" w:sz="0" w:space="0" w:color="auto"/>
        <w:bottom w:val="none" w:sz="0" w:space="0" w:color="auto"/>
        <w:right w:val="none" w:sz="0" w:space="0" w:color="auto"/>
      </w:divBdr>
    </w:div>
    <w:div w:id="844828243">
      <w:marLeft w:val="0"/>
      <w:marRight w:val="0"/>
      <w:marTop w:val="0"/>
      <w:marBottom w:val="0"/>
      <w:divBdr>
        <w:top w:val="none" w:sz="0" w:space="0" w:color="auto"/>
        <w:left w:val="none" w:sz="0" w:space="0" w:color="auto"/>
        <w:bottom w:val="none" w:sz="0" w:space="0" w:color="auto"/>
        <w:right w:val="none" w:sz="0" w:space="0" w:color="auto"/>
      </w:divBdr>
    </w:div>
    <w:div w:id="844828244">
      <w:marLeft w:val="0"/>
      <w:marRight w:val="0"/>
      <w:marTop w:val="0"/>
      <w:marBottom w:val="0"/>
      <w:divBdr>
        <w:top w:val="none" w:sz="0" w:space="0" w:color="auto"/>
        <w:left w:val="none" w:sz="0" w:space="0" w:color="auto"/>
        <w:bottom w:val="none" w:sz="0" w:space="0" w:color="auto"/>
        <w:right w:val="none" w:sz="0" w:space="0" w:color="auto"/>
      </w:divBdr>
    </w:div>
    <w:div w:id="844828245">
      <w:marLeft w:val="0"/>
      <w:marRight w:val="0"/>
      <w:marTop w:val="0"/>
      <w:marBottom w:val="0"/>
      <w:divBdr>
        <w:top w:val="none" w:sz="0" w:space="0" w:color="auto"/>
        <w:left w:val="none" w:sz="0" w:space="0" w:color="auto"/>
        <w:bottom w:val="none" w:sz="0" w:space="0" w:color="auto"/>
        <w:right w:val="none" w:sz="0" w:space="0" w:color="auto"/>
      </w:divBdr>
    </w:div>
    <w:div w:id="844828246">
      <w:marLeft w:val="0"/>
      <w:marRight w:val="0"/>
      <w:marTop w:val="0"/>
      <w:marBottom w:val="0"/>
      <w:divBdr>
        <w:top w:val="none" w:sz="0" w:space="0" w:color="auto"/>
        <w:left w:val="none" w:sz="0" w:space="0" w:color="auto"/>
        <w:bottom w:val="none" w:sz="0" w:space="0" w:color="auto"/>
        <w:right w:val="none" w:sz="0" w:space="0" w:color="auto"/>
      </w:divBdr>
    </w:div>
    <w:div w:id="844828247">
      <w:marLeft w:val="0"/>
      <w:marRight w:val="0"/>
      <w:marTop w:val="0"/>
      <w:marBottom w:val="0"/>
      <w:divBdr>
        <w:top w:val="none" w:sz="0" w:space="0" w:color="auto"/>
        <w:left w:val="none" w:sz="0" w:space="0" w:color="auto"/>
        <w:bottom w:val="none" w:sz="0" w:space="0" w:color="auto"/>
        <w:right w:val="none" w:sz="0" w:space="0" w:color="auto"/>
      </w:divBdr>
    </w:div>
    <w:div w:id="844828248">
      <w:marLeft w:val="0"/>
      <w:marRight w:val="0"/>
      <w:marTop w:val="0"/>
      <w:marBottom w:val="0"/>
      <w:divBdr>
        <w:top w:val="none" w:sz="0" w:space="0" w:color="auto"/>
        <w:left w:val="none" w:sz="0" w:space="0" w:color="auto"/>
        <w:bottom w:val="none" w:sz="0" w:space="0" w:color="auto"/>
        <w:right w:val="none" w:sz="0" w:space="0" w:color="auto"/>
      </w:divBdr>
    </w:div>
    <w:div w:id="844828249">
      <w:marLeft w:val="0"/>
      <w:marRight w:val="0"/>
      <w:marTop w:val="0"/>
      <w:marBottom w:val="0"/>
      <w:divBdr>
        <w:top w:val="none" w:sz="0" w:space="0" w:color="auto"/>
        <w:left w:val="none" w:sz="0" w:space="0" w:color="auto"/>
        <w:bottom w:val="none" w:sz="0" w:space="0" w:color="auto"/>
        <w:right w:val="none" w:sz="0" w:space="0" w:color="auto"/>
      </w:divBdr>
    </w:div>
    <w:div w:id="844828250">
      <w:marLeft w:val="0"/>
      <w:marRight w:val="0"/>
      <w:marTop w:val="0"/>
      <w:marBottom w:val="0"/>
      <w:divBdr>
        <w:top w:val="none" w:sz="0" w:space="0" w:color="auto"/>
        <w:left w:val="none" w:sz="0" w:space="0" w:color="auto"/>
        <w:bottom w:val="none" w:sz="0" w:space="0" w:color="auto"/>
        <w:right w:val="none" w:sz="0" w:space="0" w:color="auto"/>
      </w:divBdr>
    </w:div>
    <w:div w:id="844828251">
      <w:marLeft w:val="0"/>
      <w:marRight w:val="0"/>
      <w:marTop w:val="0"/>
      <w:marBottom w:val="0"/>
      <w:divBdr>
        <w:top w:val="none" w:sz="0" w:space="0" w:color="auto"/>
        <w:left w:val="none" w:sz="0" w:space="0" w:color="auto"/>
        <w:bottom w:val="none" w:sz="0" w:space="0" w:color="auto"/>
        <w:right w:val="none" w:sz="0" w:space="0" w:color="auto"/>
      </w:divBdr>
    </w:div>
    <w:div w:id="844828252">
      <w:marLeft w:val="0"/>
      <w:marRight w:val="0"/>
      <w:marTop w:val="0"/>
      <w:marBottom w:val="0"/>
      <w:divBdr>
        <w:top w:val="none" w:sz="0" w:space="0" w:color="auto"/>
        <w:left w:val="none" w:sz="0" w:space="0" w:color="auto"/>
        <w:bottom w:val="none" w:sz="0" w:space="0" w:color="auto"/>
        <w:right w:val="none" w:sz="0" w:space="0" w:color="auto"/>
      </w:divBdr>
    </w:div>
    <w:div w:id="844828253">
      <w:marLeft w:val="0"/>
      <w:marRight w:val="0"/>
      <w:marTop w:val="0"/>
      <w:marBottom w:val="0"/>
      <w:divBdr>
        <w:top w:val="none" w:sz="0" w:space="0" w:color="auto"/>
        <w:left w:val="none" w:sz="0" w:space="0" w:color="auto"/>
        <w:bottom w:val="none" w:sz="0" w:space="0" w:color="auto"/>
        <w:right w:val="none" w:sz="0" w:space="0" w:color="auto"/>
      </w:divBdr>
    </w:div>
    <w:div w:id="855071845">
      <w:bodyDiv w:val="1"/>
      <w:marLeft w:val="0"/>
      <w:marRight w:val="0"/>
      <w:marTop w:val="0"/>
      <w:marBottom w:val="0"/>
      <w:divBdr>
        <w:top w:val="none" w:sz="0" w:space="0" w:color="auto"/>
        <w:left w:val="none" w:sz="0" w:space="0" w:color="auto"/>
        <w:bottom w:val="none" w:sz="0" w:space="0" w:color="auto"/>
        <w:right w:val="none" w:sz="0" w:space="0" w:color="auto"/>
      </w:divBdr>
    </w:div>
    <w:div w:id="868680758">
      <w:bodyDiv w:val="1"/>
      <w:marLeft w:val="0"/>
      <w:marRight w:val="0"/>
      <w:marTop w:val="0"/>
      <w:marBottom w:val="0"/>
      <w:divBdr>
        <w:top w:val="none" w:sz="0" w:space="0" w:color="auto"/>
        <w:left w:val="none" w:sz="0" w:space="0" w:color="auto"/>
        <w:bottom w:val="none" w:sz="0" w:space="0" w:color="auto"/>
        <w:right w:val="none" w:sz="0" w:space="0" w:color="auto"/>
      </w:divBdr>
    </w:div>
    <w:div w:id="900559922">
      <w:bodyDiv w:val="1"/>
      <w:marLeft w:val="0"/>
      <w:marRight w:val="0"/>
      <w:marTop w:val="0"/>
      <w:marBottom w:val="0"/>
      <w:divBdr>
        <w:top w:val="none" w:sz="0" w:space="0" w:color="auto"/>
        <w:left w:val="none" w:sz="0" w:space="0" w:color="auto"/>
        <w:bottom w:val="none" w:sz="0" w:space="0" w:color="auto"/>
        <w:right w:val="none" w:sz="0" w:space="0" w:color="auto"/>
      </w:divBdr>
    </w:div>
    <w:div w:id="931360035">
      <w:bodyDiv w:val="1"/>
      <w:marLeft w:val="0"/>
      <w:marRight w:val="0"/>
      <w:marTop w:val="0"/>
      <w:marBottom w:val="0"/>
      <w:divBdr>
        <w:top w:val="none" w:sz="0" w:space="0" w:color="auto"/>
        <w:left w:val="none" w:sz="0" w:space="0" w:color="auto"/>
        <w:bottom w:val="none" w:sz="0" w:space="0" w:color="auto"/>
        <w:right w:val="none" w:sz="0" w:space="0" w:color="auto"/>
      </w:divBdr>
    </w:div>
    <w:div w:id="981347556">
      <w:bodyDiv w:val="1"/>
      <w:marLeft w:val="0"/>
      <w:marRight w:val="0"/>
      <w:marTop w:val="0"/>
      <w:marBottom w:val="0"/>
      <w:divBdr>
        <w:top w:val="none" w:sz="0" w:space="0" w:color="auto"/>
        <w:left w:val="none" w:sz="0" w:space="0" w:color="auto"/>
        <w:bottom w:val="none" w:sz="0" w:space="0" w:color="auto"/>
        <w:right w:val="none" w:sz="0" w:space="0" w:color="auto"/>
      </w:divBdr>
    </w:div>
    <w:div w:id="1074090004">
      <w:bodyDiv w:val="1"/>
      <w:marLeft w:val="0"/>
      <w:marRight w:val="0"/>
      <w:marTop w:val="0"/>
      <w:marBottom w:val="0"/>
      <w:divBdr>
        <w:top w:val="none" w:sz="0" w:space="0" w:color="auto"/>
        <w:left w:val="none" w:sz="0" w:space="0" w:color="auto"/>
        <w:bottom w:val="none" w:sz="0" w:space="0" w:color="auto"/>
        <w:right w:val="none" w:sz="0" w:space="0" w:color="auto"/>
      </w:divBdr>
    </w:div>
    <w:div w:id="1128860722">
      <w:bodyDiv w:val="1"/>
      <w:marLeft w:val="0"/>
      <w:marRight w:val="0"/>
      <w:marTop w:val="0"/>
      <w:marBottom w:val="0"/>
      <w:divBdr>
        <w:top w:val="none" w:sz="0" w:space="0" w:color="auto"/>
        <w:left w:val="none" w:sz="0" w:space="0" w:color="auto"/>
        <w:bottom w:val="none" w:sz="0" w:space="0" w:color="auto"/>
        <w:right w:val="none" w:sz="0" w:space="0" w:color="auto"/>
      </w:divBdr>
    </w:div>
    <w:div w:id="1247960626">
      <w:bodyDiv w:val="1"/>
      <w:marLeft w:val="0"/>
      <w:marRight w:val="0"/>
      <w:marTop w:val="0"/>
      <w:marBottom w:val="0"/>
      <w:divBdr>
        <w:top w:val="none" w:sz="0" w:space="0" w:color="auto"/>
        <w:left w:val="none" w:sz="0" w:space="0" w:color="auto"/>
        <w:bottom w:val="none" w:sz="0" w:space="0" w:color="auto"/>
        <w:right w:val="none" w:sz="0" w:space="0" w:color="auto"/>
      </w:divBdr>
    </w:div>
    <w:div w:id="1352533531">
      <w:bodyDiv w:val="1"/>
      <w:marLeft w:val="0"/>
      <w:marRight w:val="0"/>
      <w:marTop w:val="0"/>
      <w:marBottom w:val="0"/>
      <w:divBdr>
        <w:top w:val="none" w:sz="0" w:space="0" w:color="auto"/>
        <w:left w:val="none" w:sz="0" w:space="0" w:color="auto"/>
        <w:bottom w:val="none" w:sz="0" w:space="0" w:color="auto"/>
        <w:right w:val="none" w:sz="0" w:space="0" w:color="auto"/>
      </w:divBdr>
    </w:div>
    <w:div w:id="1367869328">
      <w:bodyDiv w:val="1"/>
      <w:marLeft w:val="0"/>
      <w:marRight w:val="0"/>
      <w:marTop w:val="0"/>
      <w:marBottom w:val="0"/>
      <w:divBdr>
        <w:top w:val="none" w:sz="0" w:space="0" w:color="auto"/>
        <w:left w:val="none" w:sz="0" w:space="0" w:color="auto"/>
        <w:bottom w:val="none" w:sz="0" w:space="0" w:color="auto"/>
        <w:right w:val="none" w:sz="0" w:space="0" w:color="auto"/>
      </w:divBdr>
    </w:div>
    <w:div w:id="1422137887">
      <w:bodyDiv w:val="1"/>
      <w:marLeft w:val="0"/>
      <w:marRight w:val="0"/>
      <w:marTop w:val="0"/>
      <w:marBottom w:val="0"/>
      <w:divBdr>
        <w:top w:val="none" w:sz="0" w:space="0" w:color="auto"/>
        <w:left w:val="none" w:sz="0" w:space="0" w:color="auto"/>
        <w:bottom w:val="none" w:sz="0" w:space="0" w:color="auto"/>
        <w:right w:val="none" w:sz="0" w:space="0" w:color="auto"/>
      </w:divBdr>
    </w:div>
    <w:div w:id="1436712485">
      <w:bodyDiv w:val="1"/>
      <w:marLeft w:val="0"/>
      <w:marRight w:val="0"/>
      <w:marTop w:val="0"/>
      <w:marBottom w:val="0"/>
      <w:divBdr>
        <w:top w:val="none" w:sz="0" w:space="0" w:color="auto"/>
        <w:left w:val="none" w:sz="0" w:space="0" w:color="auto"/>
        <w:bottom w:val="none" w:sz="0" w:space="0" w:color="auto"/>
        <w:right w:val="none" w:sz="0" w:space="0" w:color="auto"/>
      </w:divBdr>
    </w:div>
    <w:div w:id="1495146971">
      <w:bodyDiv w:val="1"/>
      <w:marLeft w:val="0"/>
      <w:marRight w:val="0"/>
      <w:marTop w:val="0"/>
      <w:marBottom w:val="0"/>
      <w:divBdr>
        <w:top w:val="none" w:sz="0" w:space="0" w:color="auto"/>
        <w:left w:val="none" w:sz="0" w:space="0" w:color="auto"/>
        <w:bottom w:val="none" w:sz="0" w:space="0" w:color="auto"/>
        <w:right w:val="none" w:sz="0" w:space="0" w:color="auto"/>
      </w:divBdr>
    </w:div>
    <w:div w:id="1577787232">
      <w:bodyDiv w:val="1"/>
      <w:marLeft w:val="0"/>
      <w:marRight w:val="0"/>
      <w:marTop w:val="0"/>
      <w:marBottom w:val="0"/>
      <w:divBdr>
        <w:top w:val="none" w:sz="0" w:space="0" w:color="auto"/>
        <w:left w:val="none" w:sz="0" w:space="0" w:color="auto"/>
        <w:bottom w:val="none" w:sz="0" w:space="0" w:color="auto"/>
        <w:right w:val="none" w:sz="0" w:space="0" w:color="auto"/>
      </w:divBdr>
    </w:div>
    <w:div w:id="1585187559">
      <w:bodyDiv w:val="1"/>
      <w:marLeft w:val="0"/>
      <w:marRight w:val="0"/>
      <w:marTop w:val="0"/>
      <w:marBottom w:val="0"/>
      <w:divBdr>
        <w:top w:val="none" w:sz="0" w:space="0" w:color="auto"/>
        <w:left w:val="none" w:sz="0" w:space="0" w:color="auto"/>
        <w:bottom w:val="none" w:sz="0" w:space="0" w:color="auto"/>
        <w:right w:val="none" w:sz="0" w:space="0" w:color="auto"/>
      </w:divBdr>
    </w:div>
    <w:div w:id="1585724549">
      <w:bodyDiv w:val="1"/>
      <w:marLeft w:val="0"/>
      <w:marRight w:val="0"/>
      <w:marTop w:val="0"/>
      <w:marBottom w:val="0"/>
      <w:divBdr>
        <w:top w:val="none" w:sz="0" w:space="0" w:color="auto"/>
        <w:left w:val="none" w:sz="0" w:space="0" w:color="auto"/>
        <w:bottom w:val="none" w:sz="0" w:space="0" w:color="auto"/>
        <w:right w:val="none" w:sz="0" w:space="0" w:color="auto"/>
      </w:divBdr>
    </w:div>
    <w:div w:id="1675648784">
      <w:bodyDiv w:val="1"/>
      <w:marLeft w:val="0"/>
      <w:marRight w:val="0"/>
      <w:marTop w:val="0"/>
      <w:marBottom w:val="0"/>
      <w:divBdr>
        <w:top w:val="none" w:sz="0" w:space="0" w:color="auto"/>
        <w:left w:val="none" w:sz="0" w:space="0" w:color="auto"/>
        <w:bottom w:val="none" w:sz="0" w:space="0" w:color="auto"/>
        <w:right w:val="none" w:sz="0" w:space="0" w:color="auto"/>
      </w:divBdr>
    </w:div>
    <w:div w:id="1766804511">
      <w:bodyDiv w:val="1"/>
      <w:marLeft w:val="0"/>
      <w:marRight w:val="0"/>
      <w:marTop w:val="0"/>
      <w:marBottom w:val="0"/>
      <w:divBdr>
        <w:top w:val="none" w:sz="0" w:space="0" w:color="auto"/>
        <w:left w:val="none" w:sz="0" w:space="0" w:color="auto"/>
        <w:bottom w:val="none" w:sz="0" w:space="0" w:color="auto"/>
        <w:right w:val="none" w:sz="0" w:space="0" w:color="auto"/>
      </w:divBdr>
    </w:div>
    <w:div w:id="1809938129">
      <w:bodyDiv w:val="1"/>
      <w:marLeft w:val="0"/>
      <w:marRight w:val="0"/>
      <w:marTop w:val="0"/>
      <w:marBottom w:val="0"/>
      <w:divBdr>
        <w:top w:val="none" w:sz="0" w:space="0" w:color="auto"/>
        <w:left w:val="none" w:sz="0" w:space="0" w:color="auto"/>
        <w:bottom w:val="none" w:sz="0" w:space="0" w:color="auto"/>
        <w:right w:val="none" w:sz="0" w:space="0" w:color="auto"/>
      </w:divBdr>
    </w:div>
    <w:div w:id="1923055312">
      <w:bodyDiv w:val="1"/>
      <w:marLeft w:val="0"/>
      <w:marRight w:val="0"/>
      <w:marTop w:val="0"/>
      <w:marBottom w:val="0"/>
      <w:divBdr>
        <w:top w:val="none" w:sz="0" w:space="0" w:color="auto"/>
        <w:left w:val="none" w:sz="0" w:space="0" w:color="auto"/>
        <w:bottom w:val="none" w:sz="0" w:space="0" w:color="auto"/>
        <w:right w:val="none" w:sz="0" w:space="0" w:color="auto"/>
      </w:divBdr>
    </w:div>
    <w:div w:id="1979072043">
      <w:bodyDiv w:val="1"/>
      <w:marLeft w:val="0"/>
      <w:marRight w:val="0"/>
      <w:marTop w:val="0"/>
      <w:marBottom w:val="0"/>
      <w:divBdr>
        <w:top w:val="none" w:sz="0" w:space="0" w:color="auto"/>
        <w:left w:val="none" w:sz="0" w:space="0" w:color="auto"/>
        <w:bottom w:val="none" w:sz="0" w:space="0" w:color="auto"/>
        <w:right w:val="none" w:sz="0" w:space="0" w:color="auto"/>
      </w:divBdr>
    </w:div>
    <w:div w:id="2015763464">
      <w:bodyDiv w:val="1"/>
      <w:marLeft w:val="0"/>
      <w:marRight w:val="0"/>
      <w:marTop w:val="0"/>
      <w:marBottom w:val="0"/>
      <w:divBdr>
        <w:top w:val="none" w:sz="0" w:space="0" w:color="auto"/>
        <w:left w:val="none" w:sz="0" w:space="0" w:color="auto"/>
        <w:bottom w:val="none" w:sz="0" w:space="0" w:color="auto"/>
        <w:right w:val="none" w:sz="0" w:space="0" w:color="auto"/>
      </w:divBdr>
    </w:div>
    <w:div w:id="2054500417">
      <w:bodyDiv w:val="1"/>
      <w:marLeft w:val="0"/>
      <w:marRight w:val="0"/>
      <w:marTop w:val="0"/>
      <w:marBottom w:val="0"/>
      <w:divBdr>
        <w:top w:val="none" w:sz="0" w:space="0" w:color="auto"/>
        <w:left w:val="none" w:sz="0" w:space="0" w:color="auto"/>
        <w:bottom w:val="none" w:sz="0" w:space="0" w:color="auto"/>
        <w:right w:val="none" w:sz="0" w:space="0" w:color="auto"/>
      </w:divBdr>
    </w:div>
    <w:div w:id="2068449427">
      <w:bodyDiv w:val="1"/>
      <w:marLeft w:val="0"/>
      <w:marRight w:val="0"/>
      <w:marTop w:val="0"/>
      <w:marBottom w:val="0"/>
      <w:divBdr>
        <w:top w:val="none" w:sz="0" w:space="0" w:color="auto"/>
        <w:left w:val="none" w:sz="0" w:space="0" w:color="auto"/>
        <w:bottom w:val="none" w:sz="0" w:space="0" w:color="auto"/>
        <w:right w:val="none" w:sz="0" w:space="0" w:color="auto"/>
      </w:divBdr>
    </w:div>
    <w:div w:id="211717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yperlink" Target="mailto:marie-laurence.drillon@eesc.europa.eu" TargetMode="External"/><Relationship Id="rId26" Type="http://schemas.openxmlformats.org/officeDocument/2006/relationships/hyperlink" Target="mailto:Arturo.Iniguez@eesc.europa.eu" TargetMode="External"/><Relationship Id="rId3" Type="http://schemas.openxmlformats.org/officeDocument/2006/relationships/customXml" Target="../customXml/item3.xml"/><Relationship Id="rId21" Type="http://schemas.openxmlformats.org/officeDocument/2006/relationships/hyperlink" Target="mailto:Maja.Radman@eesc.europa.eu" TargetMode="External"/><Relationship Id="rId34" Type="http://schemas.openxmlformats.org/officeDocument/2006/relationships/footer" Target="footer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mailto:juri.soosaar@eesc.europa.eu" TargetMode="External"/><Relationship Id="rId25" Type="http://schemas.openxmlformats.org/officeDocument/2006/relationships/hyperlink" Target="mailto:Maarit.Laurila@eesc.europa.eu" TargetMode="External"/><Relationship Id="rId33" Type="http://schemas.openxmlformats.org/officeDocument/2006/relationships/footer" Target="footer2.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jana.valant@eesc.europa.eu" TargetMode="External"/><Relationship Id="rId29" Type="http://schemas.openxmlformats.org/officeDocument/2006/relationships/hyperlink" Target="mailto:june.bedaton@eesc.europa.e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mailto:Monica.Guarinoni@eesc.europa.eu"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dm.eesc.europa.eu/EESCDocumentSearch/Pages/opinionssearch.aspx" TargetMode="External"/><Relationship Id="rId23" Type="http://schemas.openxmlformats.org/officeDocument/2006/relationships/hyperlink" Target="mailto:Conrad.Ganslandt@eesc.europa.eu" TargetMode="External"/><Relationship Id="rId28" Type="http://schemas.openxmlformats.org/officeDocument/2006/relationships/hyperlink" Target="mailto:Arturo.Iniguez@eesc.europa.eu" TargetMode="External"/><Relationship Id="rId36" Type="http://schemas.openxmlformats.org/officeDocument/2006/relationships/footer" Target="footer4.xml"/><Relationship Id="rId10" Type="http://schemas.openxmlformats.org/officeDocument/2006/relationships/webSettings" Target="webSettings.xml"/><Relationship Id="rId19" Type="http://schemas.openxmlformats.org/officeDocument/2006/relationships/hyperlink" Target="mailto:jana.valant@eesc.europa.eu" TargetMode="External"/><Relationship Id="rId31" Type="http://schemas.openxmlformats.org/officeDocument/2006/relationships/header" Target="header1.xml"/><Relationship Id="rId44"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esc.europa.eu/en/our-work/opinions-information-reports/plenary-session-summaries" TargetMode="External"/><Relationship Id="rId22" Type="http://schemas.openxmlformats.org/officeDocument/2006/relationships/hyperlink" Target="mailto:Lucia.MendezDelRioCabra@eesc.europa.eu" TargetMode="External"/><Relationship Id="rId27" Type="http://schemas.openxmlformats.org/officeDocument/2006/relationships/hyperlink" Target="mailto:Conrad.Ganslandt@eesc.europa.eu" TargetMode="External"/><Relationship Id="rId30" Type="http://schemas.openxmlformats.org/officeDocument/2006/relationships/hyperlink" Target="mailto:triin.aasmaa@eesc.europa.eu" TargetMode="External"/><Relationship Id="rId35" Type="http://schemas.openxmlformats.org/officeDocument/2006/relationships/header" Target="header3.xml"/></Relationships>
</file>

<file path=word/_rels/settings.xml.rels>&#65279;<?xml version="1.0" encoding="utf-8"?><Relationships xmlns="http://schemas.openxmlformats.org/package/2006/relationships"><Relationship Type="http://schemas.openxmlformats.org/officeDocument/2006/relationships/attachedTemplate" Target="file:///Y:\word2010\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8975caae-a2e4-4a1b-856a-87d8a7cad937">RCSZ5D2JPTA3-5-5654</_dlc_DocId>
    <_dlc_DocIdUrl xmlns="8975caae-a2e4-4a1b-856a-87d8a7cad937">
      <Url>http://dm/EESC/2018/_layouts/DocIdRedir.aspx?ID=RCSZ5D2JPTA3-5-5654</Url>
      <Description>RCSZ5D2JPTA3-5-5654</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MeetingNumber xmlns="b2fd9cfc-69a7-468d-842d-8645d9eed445" xsi:nil="true"/>
    <Procedure xmlns="8975caae-a2e4-4a1b-856a-87d8a7cad937"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975caae-a2e4-4a1b-856a-87d8a7cad937">2018-06-18T12:00:00+00:00</ProductionDate>
    <DocumentNumber xmlns="b2fd9cfc-69a7-468d-842d-8645d9eed445">2039</DocumentNumber>
    <FicheYear xmlns="8975caae-a2e4-4a1b-856a-87d8a7cad937">2018</FicheYear>
    <DocumentVersion xmlns="8975caae-a2e4-4a1b-856a-87d8a7cad937">1</DocumentVersion>
    <DossierNumber xmlns="8975caae-a2e4-4a1b-856a-87d8a7cad937"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975caae-a2e4-4a1b-856a-87d8a7cad937" xsi:nil="true"/>
    <TaxCatchAll xmlns="8975caae-a2e4-4a1b-856a-87d8a7cad937">
      <Value>41</Value>
      <Value>40</Value>
      <Value>39</Value>
      <Value>38</Value>
      <Value>37</Value>
      <Value>33</Value>
      <Value>31</Value>
      <Value>28</Value>
      <Value>27</Value>
      <Value>25</Value>
      <Value>24</Value>
      <Value>23</Value>
      <Value>22</Value>
      <Value>21</Value>
      <Value>20</Value>
      <Value>19</Value>
      <Value>18</Value>
      <Value>16</Value>
      <Value>14</Value>
      <Value>13</Value>
      <Value>8</Value>
      <Value>7</Value>
      <Value>6</Value>
      <Value>5</Value>
      <Value>4</Value>
      <Value>1</Value>
      <Value>47</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ES</TermName>
          <TermId xmlns="http://schemas.microsoft.com/office/infopath/2007/PartnerControls">e7a6b05b-ae16-40c8-add9-68b64b03aeba</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975caae-a2e4-4a1b-856a-87d8a7cad937" xsi:nil="true"/>
    <FicheNumber xmlns="8975caae-a2e4-4a1b-856a-87d8a7cad937">7300</FicheNumber>
    <DocumentYear xmlns="8975caae-a2e4-4a1b-856a-87d8a7cad937">2018</DocumentYear>
    <AdoptionDate xmlns="8975caae-a2e4-4a1b-856a-87d8a7cad937">2018-05-23T12:00:00+00:00</AdoptionDate>
    <DocumentPart xmlns="8975caae-a2e4-4a1b-856a-87d8a7cad937">0</DocumentPart>
    <MeetingName_0 xmlns="http://schemas.microsoft.com/sharepoint/v3/fields">
      <Terms xmlns="http://schemas.microsoft.com/office/infopath/2007/PartnerControls"/>
    </MeetingName_0>
    <RequestingService xmlns="8975caae-a2e4-4a1b-856a-87d8a7cad937">Greffe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s>
    </AvailableTranslations_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M Document" ma:contentTypeID="0x010100EA97B91038054C99906057A708A1480A00C11DA2224A10F34E86FCC8C9E81793CC" ma:contentTypeVersion="4" ma:contentTypeDescription="Defines the documents for Document Manager V2" ma:contentTypeScope="" ma:versionID="0dadef9e21ff8e8145220e901a7995e2">
  <xsd:schema xmlns:xsd="http://www.w3.org/2001/XMLSchema" xmlns:xs="http://www.w3.org/2001/XMLSchema" xmlns:p="http://schemas.microsoft.com/office/2006/metadata/properties" xmlns:ns2="8975caae-a2e4-4a1b-856a-87d8a7cad937" xmlns:ns3="http://schemas.microsoft.com/sharepoint/v3/fields" xmlns:ns4="b2fd9cfc-69a7-468d-842d-8645d9eed445" targetNamespace="http://schemas.microsoft.com/office/2006/metadata/properties" ma:root="true" ma:fieldsID="71c43a90a329af690f26b436bfba4f57" ns2:_="" ns3:_="" ns4:_="">
    <xsd:import namespace="8975caae-a2e4-4a1b-856a-87d8a7cad937"/>
    <xsd:import namespace="http://schemas.microsoft.com/sharepoint/v3/fields"/>
    <xsd:import namespace="b2fd9cfc-69a7-468d-842d-8645d9eed445"/>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75caae-a2e4-4a1b-856a-87d8a7cad93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a5648c8e-9787-4c2b-a5af-05cabe47a075}" ma:internalName="TaxCatchAll" ma:showField="CatchAllData" ma:web="8975caae-a2e4-4a1b-856a-87d8a7cad937">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a5648c8e-9787-4c2b-a5af-05cabe47a075}" ma:internalName="TaxCatchAllLabel" ma:readOnly="true" ma:showField="CatchAllDataLabel" ma:web="8975caae-a2e4-4a1b-856a-87d8a7cad937">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2fd9cfc-69a7-468d-842d-8645d9eed445"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172C6D-F210-4BCC-96B9-D59A42C1E6F5}"/>
</file>

<file path=customXml/itemProps2.xml><?xml version="1.0" encoding="utf-8"?>
<ds:datastoreItem xmlns:ds="http://schemas.openxmlformats.org/officeDocument/2006/customXml" ds:itemID="{2272B315-18A8-418C-AEDB-0DE6F18C5CA7}"/>
</file>

<file path=customXml/itemProps3.xml><?xml version="1.0" encoding="utf-8"?>
<ds:datastoreItem xmlns:ds="http://schemas.openxmlformats.org/officeDocument/2006/customXml" ds:itemID="{A0C5D112-D1CD-4F65-88E3-D66087FD0804}"/>
</file>

<file path=customXml/itemProps4.xml><?xml version="1.0" encoding="utf-8"?>
<ds:datastoreItem xmlns:ds="http://schemas.openxmlformats.org/officeDocument/2006/customXml" ds:itemID="{65C41151-A0C8-492A-9572-9867E45A8089}"/>
</file>

<file path=customXml/itemProps5.xml><?xml version="1.0" encoding="utf-8"?>
<ds:datastoreItem xmlns:ds="http://schemas.openxmlformats.org/officeDocument/2006/customXml" ds:itemID="{F192D2D7-A52E-411C-BF2C-B1C33D5BB5D0}"/>
</file>

<file path=docProps/app.xml><?xml version="1.0" encoding="utf-8"?>
<Properties xmlns="http://schemas.openxmlformats.org/officeDocument/2006/extended-properties" xmlns:vt="http://schemas.openxmlformats.org/officeDocument/2006/docPropsVTypes">
  <Template>Styles.dotm</Template>
  <TotalTime>12</TotalTime>
  <Pages>17</Pages>
  <Words>5044</Words>
  <Characters>29813</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Synthèse des avis Session Plénière de décembre 2017</vt:lpstr>
    </vt:vector>
  </TitlesOfParts>
  <Company>CESE-CdR</Company>
  <LinksUpToDate>false</LinksUpToDate>
  <CharactersWithSpaces>34788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Síntesis de los dictámenes del pleno de mayo 2018</dc:title>
  <dc:subject>Trabajos consultivos/varios</dc:subject>
  <dc:creator>Marcos Jaime Tornin</dc:creator>
  <cp:keywords>EESC-2018-02039-00-01-TCD-TRA-FR</cp:keywords>
  <dc:description>Rapporteur:  - Original language: FR, EN - Date of document: 18/06/2018 - Date of meeting:  - External documents:  - Administrator: MME Tamasauskiene Julija</dc:description>
  <cp:lastModifiedBy>Maria Fernandez De Retana</cp:lastModifiedBy>
  <cp:revision>12</cp:revision>
  <cp:lastPrinted>2018-05-17T13:05:00Z</cp:lastPrinted>
  <dcterms:created xsi:type="dcterms:W3CDTF">2018-06-14T13:45:00Z</dcterms:created>
  <dcterms:modified xsi:type="dcterms:W3CDTF">2018-06-18T12:13:00Z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14/06/2018, 23/05/2018, 13/03/2018, 26/02/2018, 14/02/2018, 24/01/2018, 16/01/2018, 19/12/2017, 01/12/2017, 16/11/2017, 15/11/2017, 17/10/2017, 13/09/2017, 03/07/2017, 12/06/2017, 02/06/2017, 24/04/2017, 23/03/2017, 13/12/2016, 15/09/2016, 14/09/2016, 14/</vt:lpwstr>
  </property>
  <property fmtid="{D5CDD505-2E9C-101B-9397-08002B2CF9AE}" pid="4" name="Pref_Time">
    <vt:lpwstr>15:01:52, 09:50:08, 13:54:15, 10:33:11, 11:57:02, 15:31:00, 09:45:52, 11:53:01, 15:00:14, 15:49:39, 15:47:16, 10:48:52, 11:23:50, 09:51:12, 14:43:57, 12:54:34, 12:22:33, 12:08:44, 12:23:59, 18:12:41, 09:48:43, 08:36:59, 11:43:50, 09:30:52, 17:35:55, 17:02</vt:lpwstr>
  </property>
  <property fmtid="{D5CDD505-2E9C-101B-9397-08002B2CF9AE}" pid="5" name="Pref_User">
    <vt:lpwstr>hnic, hnic, mreg, jhvi, mkop, hnic, mkop, amett, jhvi, amett, tvoc, tvoc, tvoc, amett, hnic, mreg, mreg, enied, mreg, jhvi, tvoc, htoo, mreg, tvoc, hnic, mreg, hnic, amett, nmcg, amett, enied, nmcg, amett, enied, ymur, tvoc, nmcg, vvos, ssex, vvos, vvos, </vt:lpwstr>
  </property>
  <property fmtid="{D5CDD505-2E9C-101B-9397-08002B2CF9AE}" pid="6" name="Pref_FileName">
    <vt:lpwstr>EESC-2018-02039-00-01-TCD-TRA-EN-CRR.docx, EESC-2018-02039-00-00-TCD-ORI.docx, EESC-2018-00950-00-00-TCD-ORI.docx, EESC-2018-00366-00-01-TCD-ORI.docx, EESC-2018-00366-00-00-TCD-ORI.docx, EESC-2017-05949-00-01-TCD-ORI.docx, EESC-2017-05949-00-00-TCD-ORI.do</vt:lpwstr>
  </property>
  <property fmtid="{D5CDD505-2E9C-101B-9397-08002B2CF9AE}" pid="7" name="ContentTypeId">
    <vt:lpwstr>0x010100EA97B91038054C99906057A708A1480A00C11DA2224A10F34E86FCC8C9E81793CC</vt:lpwstr>
  </property>
  <property fmtid="{D5CDD505-2E9C-101B-9397-08002B2CF9AE}" pid="8" name="_dlc_DocIdItemGuid">
    <vt:lpwstr>d4995e6d-c2af-4f12-af9a-5c6c3e358589</vt:lpwstr>
  </property>
  <property fmtid="{D5CDD505-2E9C-101B-9397-08002B2CF9AE}" pid="9" name="DocumentType_0">
    <vt:lpwstr>TCD|cd9d6eb6-3f4f-424a-b2d1-57c9d450eaaf</vt:lpwstr>
  </property>
  <property fmtid="{D5CDD505-2E9C-101B-9397-08002B2CF9AE}" pid="10" name="AvailableTranslations">
    <vt:lpwstr>38;#IT|0774613c-01ed-4e5d-a25d-11d2388de825;#22;#FI|87606a43-d45f-42d6-b8c9-e1a3457db5b7;#37;#LT|a7ff5ce7-6123-4f68-865a-a57c31810414;#39;#LV|46f7e311-5d9f-4663-b433-18aeccb7ace7;#19;#SL|98a412ae-eb01-49e9-ae3d-585a81724cfc;#40;#HR|2f555653-ed1a-4fe6-8362-9082d95989e5;#13;#DA|5d49c027-8956-412b-aa16-e85a0f96ad0e;#8;#FR|d2afafd3-4c81-4f60-8f52-ee33f2f54ff3;#4;#EN|f2175f21-25d7-44a3-96da-d6a61b075e1b;#18;#ES|e7a6b05b-ae16-40c8-add9-68b64b03aeba;#47;#ET|ff6c3f4c-b02c-4c3c-ab07-2c37995a7a0a;#41;#SV|c2ed69e7-a339-43d7-8f22-d93680a92aa0;#16;#HU|6b229040-c589-4408-b4c1-4285663d20a8;#33;#EL|6d4f4d51-af9b-4650-94b4-4276bee85c91;#14;#NL|55c6556c-b4f4-441d-9acf-c498d4f838bd;#21;#CS|72f9705b-0217-4fd3-bea2-cbc7ed80e26e;#23;#SK|46d9fce0-ef79-4f71-b89b-cd6aa82426b8;#24;#PT|50ccc04a-eadd-42ae-a0cb-acaf45f812ba;#27;#DE|f6b31e5a-26fa-4935-b661-318e46daf27e;#31;#RO|feb747a2-64cd-4299-af12-4833ddc30497;#28;#BG|1a1b3951-7821-4e6a-85f5-5673fc08bd2c;#20;#PL|1e03da61-4678-4e07-b136-b5024ca9197b</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FicheYear">
    <vt:i4>2018</vt:i4>
  </property>
  <property fmtid="{D5CDD505-2E9C-101B-9397-08002B2CF9AE}" pid="14" name="DocumentNumber">
    <vt:i4>2039</vt:i4>
  </property>
  <property fmtid="{D5CDD505-2E9C-101B-9397-08002B2CF9AE}" pid="15" name="DocumentVersion">
    <vt:i4>1</vt:i4>
  </property>
  <property fmtid="{D5CDD505-2E9C-101B-9397-08002B2CF9AE}" pid="16" name="DocumentSource">
    <vt:lpwstr>1;#EESC|422833ec-8d7e-4e65-8e4e-8bed07ffb729</vt:lpwstr>
  </property>
  <property fmtid="{D5CDD505-2E9C-101B-9397-08002B2CF9AE}" pid="17" name="AdoptionDate">
    <vt:filetime>2018-05-23T12:00:00Z</vt:filetime>
  </property>
  <property fmtid="{D5CDD505-2E9C-101B-9397-08002B2CF9AE}" pid="18" name="DocumentType">
    <vt:lpwstr>25;#TCD|cd9d6eb6-3f4f-424a-b2d1-57c9d450eaaf</vt:lpwstr>
  </property>
  <property fmtid="{D5CDD505-2E9C-101B-9397-08002B2CF9AE}" pid="19" name="DocumentStatus">
    <vt:lpwstr>7;#TRA|150d2a88-1431-44e6-a8ca-0bb753ab8672</vt:lpwstr>
  </property>
  <property fmtid="{D5CDD505-2E9C-101B-9397-08002B2CF9AE}" pid="20" name="DossierName">
    <vt:lpwstr/>
  </property>
  <property fmtid="{D5CDD505-2E9C-101B-9397-08002B2CF9AE}" pid="21" name="DocumentPart">
    <vt:i4>0</vt:i4>
  </property>
  <property fmtid="{D5CDD505-2E9C-101B-9397-08002B2CF9AE}" pid="22" name="RequestingService">
    <vt:lpwstr>Greffe</vt:lpwstr>
  </property>
  <property fmtid="{D5CDD505-2E9C-101B-9397-08002B2CF9AE}" pid="23" name="Confidentiality">
    <vt:lpwstr>5;#Unrestricted|826e22d7-d029-4ec0-a450-0c28ff673572</vt:lpwstr>
  </property>
  <property fmtid="{D5CDD505-2E9C-101B-9397-08002B2CF9AE}" pid="24" name="Confidentiality_0">
    <vt:lpwstr>Unrestricted|826e22d7-d029-4ec0-a450-0c28ff673572</vt:lpwstr>
  </property>
  <property fmtid="{D5CDD505-2E9C-101B-9397-08002B2CF9AE}" pid="25" name="MeetingName_0">
    <vt:lpwstr/>
  </property>
  <property fmtid="{D5CDD505-2E9C-101B-9397-08002B2CF9AE}" pid="26" name="OriginalLanguage">
    <vt:lpwstr>8;#FR|d2afafd3-4c81-4f60-8f52-ee33f2f54ff3;#4;#EN|f2175f21-25d7-44a3-96da-d6a61b075e1b</vt:lpwstr>
  </property>
  <property fmtid="{D5CDD505-2E9C-101B-9397-08002B2CF9AE}" pid="27" name="MeetingName">
    <vt:lpwstr/>
  </property>
  <property fmtid="{D5CDD505-2E9C-101B-9397-08002B2CF9AE}" pid="28" name="DocumentStatus_0">
    <vt:lpwstr>TRA|150d2a88-1431-44e6-a8ca-0bb753ab8672</vt:lpwstr>
  </property>
  <property fmtid="{D5CDD505-2E9C-101B-9397-08002B2CF9AE}" pid="29" name="OriginalLanguage_0">
    <vt:lpwstr>FR|d2afafd3-4c81-4f60-8f52-ee33f2f54ff3;EN|f2175f21-25d7-44a3-96da-d6a61b075e1b</vt:lpwstr>
  </property>
  <property fmtid="{D5CDD505-2E9C-101B-9397-08002B2CF9AE}" pid="31" name="TaxCatchAll">
    <vt:lpwstr>41;#SV|c2ed69e7-a339-43d7-8f22-d93680a92aa0;#40;#HR|2f555653-ed1a-4fe6-8362-9082d95989e5;#39;#LV|46f7e311-5d9f-4663-b433-18aeccb7ace7;#38;#IT|0774613c-01ed-4e5d-a25d-11d2388de825;#37;#LT|a7ff5ce7-6123-4f68-865a-a57c31810414;#33;#EL|6d4f4d51-af9b-4650-94b4-4276bee85c91;#28;#BG|1a1b3951-7821-4e6a-85f5-5673fc08bd2c;#27;#DE|f6b31e5a-26fa-4935-b661-318e46daf27e;#25;#TCD|cd9d6eb6-3f4f-424a-b2d1-57c9d450eaaf;#24;#PT|50ccc04a-eadd-42ae-a0cb-acaf45f812ba;#23;#SK|46d9fce0-ef79-4f71-b89b-cd6aa82426b8;#22;#FI|87606a43-d45f-42d6-b8c9-e1a3457db5b7;#21;#CS|72f9705b-0217-4fd3-bea2-cbc7ed80e26e;#20;#PL|1e03da61-4678-4e07-b136-b5024ca9197b;#19;#SL|98a412ae-eb01-49e9-ae3d-585a81724cfc;#16;#HU|6b229040-c589-4408-b4c1-4285663d20a8;#14;#NL|55c6556c-b4f4-441d-9acf-c498d4f838bd;#13;#DA|5d49c027-8956-412b-aa16-e85a0f96ad0e;#8;#FR|d2afafd3-4c81-4f60-8f52-ee33f2f54ff3;#7;#TRA|150d2a88-1431-44e6-a8ca-0bb753ab8672;#6;#Final|ea5e6674-7b27-4bac-b091-73adbb394efe;#5;#Unrestricted|826e22d7-d029-4ec0-a450-0c28ff673572;#4;#EN|f2175f21-25d7-44a3-96da-d6a61b075e1b;#1;#EESC|422833ec-8d7e-4e65-8e4e-8bed07ffb729</vt:lpwstr>
  </property>
  <property fmtid="{D5CDD505-2E9C-101B-9397-08002B2CF9AE}" pid="32" name="AvailableTranslations_0">
    <vt:lpwstr>IT|0774613c-01ed-4e5d-a25d-11d2388de825;FI|87606a43-d45f-42d6-b8c9-e1a3457db5b7;LT|a7ff5ce7-6123-4f68-865a-a57c31810414;LV|46f7e311-5d9f-4663-b433-18aeccb7ace7;SL|98a412ae-eb01-49e9-ae3d-585a81724cfc;HR|2f555653-ed1a-4fe6-8362-9082d95989e5;DA|5d49c027-8956-412b-aa16-e85a0f96ad0e;EN|f2175f21-25d7-44a3-96da-d6a61b075e1b;SV|c2ed69e7-a339-43d7-8f22-d93680a92aa0;HU|6b229040-c589-4408-b4c1-4285663d20a8;EL|6d4f4d51-af9b-4650-94b4-4276bee85c91;NL|55c6556c-b4f4-441d-9acf-c498d4f838bd;CS|72f9705b-0217-4fd3-bea2-cbc7ed80e26e;SK|46d9fce0-ef79-4f71-b89b-cd6aa82426b8;PT|50ccc04a-eadd-42ae-a0cb-acaf45f812ba;DE|f6b31e5a-26fa-4935-b661-318e46daf27e;BG|1a1b3951-7821-4e6a-85f5-5673fc08bd2c;PL|1e03da61-4678-4e07-b136-b5024ca9197b</vt:lpwstr>
  </property>
  <property fmtid="{D5CDD505-2E9C-101B-9397-08002B2CF9AE}" pid="33" name="VersionStatus">
    <vt:lpwstr>6;#Final|ea5e6674-7b27-4bac-b091-73adbb394efe</vt:lpwstr>
  </property>
  <property fmtid="{D5CDD505-2E9C-101B-9397-08002B2CF9AE}" pid="34" name="VersionStatus_0">
    <vt:lpwstr>Final|ea5e6674-7b27-4bac-b091-73adbb394efe</vt:lpwstr>
  </property>
  <property fmtid="{D5CDD505-2E9C-101B-9397-08002B2CF9AE}" pid="35" name="FicheNumber">
    <vt:i4>7300</vt:i4>
  </property>
  <property fmtid="{D5CDD505-2E9C-101B-9397-08002B2CF9AE}" pid="36" name="DocumentYear">
    <vt:i4>2018</vt:i4>
  </property>
  <property fmtid="{D5CDD505-2E9C-101B-9397-08002B2CF9AE}" pid="37" name="DocumentLanguage">
    <vt:lpwstr>18;#ES|e7a6b05b-ae16-40c8-add9-68b64b03aeba</vt:lpwstr>
  </property>
</Properties>
</file>