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90" w:rsidRPr="00F21F42" w:rsidRDefault="00F21F42" w:rsidP="002F0199">
      <w:pPr>
        <w:snapToGrid w:val="0"/>
        <w:jc w:val="center"/>
      </w:pPr>
      <w:r w:rsidRPr="00F21F42">
        <w:rPr>
          <w:lang w:eastAsia="fr-BE"/>
        </w:rPr>
        <mc:AlternateContent>
          <mc:Choice Requires="wps">
            <w:drawing>
              <wp:anchor distT="0" distB="0" distL="114300" distR="114300" simplePos="0" relativeHeight="251659264" behindDoc="1" locked="0" layoutInCell="0" allowOverlap="1" wp14:anchorId="441A1D67" wp14:editId="38E6E1FE">
                <wp:simplePos x="0" y="0"/>
                <wp:positionH relativeFrom="page">
                  <wp:posOffset>6767830</wp:posOffset>
                </wp:positionH>
                <wp:positionV relativeFrom="page">
                  <wp:posOffset>10079990</wp:posOffset>
                </wp:positionV>
                <wp:extent cx="647700"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F42" w:rsidRPr="00F21F42" w:rsidRDefault="00F21F42" w:rsidP="00F21F42">
                            <w:pPr>
                              <w:jc w:val="center"/>
                              <w:rPr>
                                <w:rFonts w:ascii="Arial" w:hAnsi="Arial" w:cs="Arial"/>
                                <w:b/>
                                <w:sz w:val="48"/>
                              </w:rPr>
                            </w:pPr>
                            <w:r w:rsidRPr="00F21F42">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D/IEqmtQIA&#10;ALoFAAAOAAAAAAAAAAAAAAAAAC4CAABkcnMvZTJvRG9jLnhtbFBLAQItABQABgAIAAAAIQCBA6l8&#10;4QAAAA8BAAAPAAAAAAAAAAAAAAAAAA8FAABkcnMvZG93bnJldi54bWxQSwUGAAAAAAQABADzAAAA&#10;HQYAAAAA&#10;" o:allowincell="f" filled="f" stroked="f">
                <v:textbox>
                  <w:txbxContent>
                    <w:p w:rsidR="00F21F42" w:rsidRPr="00F21F42" w:rsidRDefault="00F21F42" w:rsidP="00F21F42">
                      <w:pPr>
                        <w:jc w:val="center"/>
                        <w:rPr>
                          <w:rFonts w:ascii="Arial" w:hAnsi="Arial" w:cs="Arial"/>
                          <w:b/>
                          <w:sz w:val="48"/>
                        </w:rPr>
                      </w:pPr>
                      <w:r w:rsidRPr="00F21F42">
                        <w:rPr>
                          <w:rFonts w:ascii="Arial" w:hAnsi="Arial"/>
                          <w:b/>
                          <w:sz w:val="48"/>
                        </w:rPr>
                        <w:t>FR</w:t>
                      </w:r>
                    </w:p>
                  </w:txbxContent>
                </v:textbox>
                <w10:wrap anchorx="page" anchory="page"/>
              </v:shape>
            </w:pict>
          </mc:Fallback>
        </mc:AlternateContent>
      </w:r>
    </w:p>
    <w:p w:rsidR="008405A0" w:rsidRPr="00F21F42" w:rsidRDefault="006A08D5" w:rsidP="002F0199">
      <w:pPr>
        <w:snapToGrid w:val="0"/>
        <w:jc w:val="center"/>
      </w:pPr>
      <w:r w:rsidRPr="00F21F42">
        <w:fldChar w:fldCharType="begin"/>
      </w:r>
      <w:r w:rsidRPr="00F21F42">
        <w:instrText xml:space="preserve">  </w:instrText>
      </w:r>
      <w:r w:rsidRPr="00F21F42">
        <w:fldChar w:fldCharType="end"/>
      </w:r>
      <w:r w:rsidRPr="00F21F42">
        <w:rPr>
          <w:lang w:eastAsia="fr-BE"/>
        </w:rPr>
        <w:drawing>
          <wp:inline distT="0" distB="0" distL="0" distR="0" wp14:anchorId="0C78A47E" wp14:editId="0B4B39BD">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F21F42" w:rsidRDefault="00876D7B" w:rsidP="002F0199">
      <w:pPr>
        <w:snapToGrid w:val="0"/>
        <w:jc w:val="center"/>
        <w:rPr>
          <w:rFonts w:ascii="Arial" w:eastAsia="MS Mincho" w:hAnsi="Arial" w:cs="Arial"/>
          <w:b/>
          <w:i/>
          <w:sz w:val="20"/>
        </w:rPr>
      </w:pPr>
      <w:r w:rsidRPr="00F21F42">
        <w:rPr>
          <w:rFonts w:ascii="Arial" w:hAnsi="Arial"/>
          <w:b/>
          <w:i/>
          <w:sz w:val="20"/>
        </w:rPr>
        <w:t>Comité économique et social européen</w:t>
      </w:r>
    </w:p>
    <w:p w:rsidR="008405A0" w:rsidRPr="00F21F42" w:rsidRDefault="008405A0" w:rsidP="002F0199">
      <w:pPr>
        <w:snapToGrid w:val="0"/>
      </w:pPr>
    </w:p>
    <w:p w:rsidR="008405A0" w:rsidRPr="00F21F42" w:rsidRDefault="008405A0" w:rsidP="002F0199">
      <w:pPr>
        <w:snapToGrid w:val="0"/>
      </w:pPr>
    </w:p>
    <w:p w:rsidR="008405A0" w:rsidRPr="00F21F42" w:rsidRDefault="00BC61A9" w:rsidP="002F0199">
      <w:pPr>
        <w:snapToGrid w:val="0"/>
        <w:jc w:val="right"/>
        <w:rPr>
          <w:rFonts w:eastAsia="MS Mincho"/>
        </w:rPr>
      </w:pPr>
      <w:r w:rsidRPr="00F21F42">
        <w:t>Bruxelles, le 16 </w:t>
      </w:r>
      <w:r w:rsidR="00FC0B2C" w:rsidRPr="00F21F42">
        <w:t>février 2018</w:t>
      </w:r>
    </w:p>
    <w:p w:rsidR="008405A0" w:rsidRPr="00F21F42" w:rsidRDefault="008405A0" w:rsidP="002F0199">
      <w:pPr>
        <w:snapToGrid w:val="0"/>
      </w:pPr>
    </w:p>
    <w:p w:rsidR="008405A0" w:rsidRPr="00F21F42" w:rsidRDefault="008405A0" w:rsidP="002F0199">
      <w:pPr>
        <w:snapToGrid w:val="0"/>
      </w:pPr>
    </w:p>
    <w:p w:rsidR="00AF6F3E" w:rsidRPr="00F21F42" w:rsidRDefault="00AF6F3E" w:rsidP="002F0199">
      <w:pPr>
        <w:snapToGrid w:val="0"/>
      </w:pPr>
    </w:p>
    <w:p w:rsidR="006819C8" w:rsidRPr="00F21F42" w:rsidRDefault="006819C8" w:rsidP="002F0199">
      <w:pPr>
        <w:snapToGrid w:val="0"/>
      </w:pPr>
    </w:p>
    <w:tbl>
      <w:tblPr>
        <w:tblW w:w="0" w:type="auto"/>
        <w:tblLayout w:type="fixed"/>
        <w:tblLook w:val="0000" w:firstRow="0" w:lastRow="0" w:firstColumn="0" w:lastColumn="0" w:noHBand="0" w:noVBand="0"/>
      </w:tblPr>
      <w:tblGrid>
        <w:gridCol w:w="9289"/>
      </w:tblGrid>
      <w:tr w:rsidR="008405A0" w:rsidRPr="00F21F42" w:rsidTr="00A72D7A">
        <w:tc>
          <w:tcPr>
            <w:tcW w:w="9289" w:type="dxa"/>
            <w:tcBorders>
              <w:top w:val="nil"/>
              <w:left w:val="nil"/>
              <w:bottom w:val="double" w:sz="4" w:space="0" w:color="auto"/>
              <w:right w:val="nil"/>
            </w:tcBorders>
          </w:tcPr>
          <w:p w:rsidR="008405A0" w:rsidRPr="00F21F42" w:rsidRDefault="00FC0B2C" w:rsidP="002F0199">
            <w:pPr>
              <w:snapToGrid w:val="0"/>
              <w:jc w:val="center"/>
              <w:rPr>
                <w:rFonts w:eastAsia="MS Mincho"/>
                <w:b/>
                <w:sz w:val="32"/>
              </w:rPr>
            </w:pPr>
            <w:r w:rsidRPr="00F21F42">
              <w:rPr>
                <w:b/>
                <w:sz w:val="32"/>
              </w:rPr>
              <w:t>SESSION PLÉNIÈRE</w:t>
            </w:r>
            <w:r w:rsidR="000D3931" w:rsidRPr="00F21F42">
              <w:rPr>
                <w:b/>
                <w:sz w:val="32"/>
              </w:rPr>
              <w:t xml:space="preserve"> </w:t>
            </w:r>
            <w:r w:rsidRPr="00F21F42">
              <w:rPr>
                <w:b/>
                <w:sz w:val="32"/>
              </w:rPr>
              <w:br/>
              <w:t xml:space="preserve"> </w:t>
            </w:r>
            <w:r w:rsidRPr="00F21F42">
              <w:rPr>
                <w:b/>
                <w:sz w:val="32"/>
              </w:rPr>
              <w:br/>
              <w:t>DES 14 ET 15 FÉVRIER 2018</w:t>
            </w:r>
            <w:r w:rsidR="000D3931" w:rsidRPr="00F21F42">
              <w:rPr>
                <w:b/>
                <w:sz w:val="32"/>
              </w:rPr>
              <w:t xml:space="preserve"> </w:t>
            </w:r>
            <w:r w:rsidRPr="00F21F42">
              <w:rPr>
                <w:b/>
                <w:sz w:val="32"/>
              </w:rPr>
              <w:br/>
              <w:t xml:space="preserve"> </w:t>
            </w:r>
            <w:r w:rsidRPr="00F21F42">
              <w:rPr>
                <w:b/>
                <w:sz w:val="32"/>
              </w:rPr>
              <w:br/>
              <w:t>SYNTHÈSE DES AVIS ADOPTÉS</w:t>
            </w:r>
          </w:p>
          <w:p w:rsidR="008405A0" w:rsidRPr="00F21F42" w:rsidRDefault="008405A0" w:rsidP="002F0199"/>
          <w:p w:rsidR="008405A0" w:rsidRPr="00F21F42" w:rsidRDefault="008405A0" w:rsidP="002F0199"/>
        </w:tc>
      </w:tr>
      <w:tr w:rsidR="008405A0" w:rsidRPr="00F21F42" w:rsidTr="00A72D7A">
        <w:tc>
          <w:tcPr>
            <w:tcW w:w="9289" w:type="dxa"/>
            <w:tcBorders>
              <w:top w:val="double" w:sz="4" w:space="0" w:color="auto"/>
              <w:left w:val="double" w:sz="4" w:space="0" w:color="auto"/>
              <w:bottom w:val="double" w:sz="4" w:space="0" w:color="auto"/>
              <w:right w:val="double" w:sz="4" w:space="0" w:color="auto"/>
            </w:tcBorders>
          </w:tcPr>
          <w:p w:rsidR="00FF15DA" w:rsidRPr="00F21F42" w:rsidRDefault="00FF15DA" w:rsidP="002F0199">
            <w:pPr>
              <w:snapToGrid w:val="0"/>
              <w:jc w:val="center"/>
              <w:rPr>
                <w:b/>
              </w:rPr>
            </w:pPr>
          </w:p>
          <w:p w:rsidR="00FC0B2C" w:rsidRPr="00F21F42" w:rsidRDefault="00FC0B2C" w:rsidP="002F0199">
            <w:pPr>
              <w:snapToGrid w:val="0"/>
              <w:jc w:val="center"/>
              <w:rPr>
                <w:rFonts w:eastAsia="MS Mincho"/>
                <w:b/>
              </w:rPr>
            </w:pPr>
            <w:r w:rsidRPr="00F21F42">
              <w:rPr>
                <w:b/>
              </w:rPr>
              <w:t>Ce document est accessible dans toutes les langues officielles sur le site internet du Comité à l’adresse suivante:</w:t>
            </w:r>
          </w:p>
          <w:p w:rsidR="00FC0B2C" w:rsidRPr="00F21F42" w:rsidRDefault="00FC0B2C" w:rsidP="002F0199">
            <w:pPr>
              <w:snapToGrid w:val="0"/>
              <w:jc w:val="center"/>
              <w:rPr>
                <w:b/>
              </w:rPr>
            </w:pPr>
          </w:p>
          <w:p w:rsidR="00FC0B2C" w:rsidRDefault="00BF3E48" w:rsidP="002F0199">
            <w:pPr>
              <w:jc w:val="center"/>
            </w:pPr>
            <w:hyperlink r:id="rId14" w:history="1">
              <w:r w:rsidRPr="001209D3">
                <w:rPr>
                  <w:rStyle w:val="Hyperlink"/>
                </w:rPr>
                <w:t>https://www.eesc.europa.eu/fr/our-work/opinions-information-reports/</w:t>
              </w:r>
              <w:r w:rsidRPr="001209D3">
                <w:rPr>
                  <w:rStyle w:val="Hyperlink"/>
                </w:rPr>
                <w:t>p</w:t>
              </w:r>
              <w:r w:rsidRPr="001209D3">
                <w:rPr>
                  <w:rStyle w:val="Hyperlink"/>
                </w:rPr>
                <w:t>lenary-session-summaries</w:t>
              </w:r>
            </w:hyperlink>
          </w:p>
          <w:p w:rsidR="00FC0B2C" w:rsidRPr="00F21F42" w:rsidRDefault="00FC0B2C" w:rsidP="002F0199">
            <w:pPr>
              <w:snapToGrid w:val="0"/>
              <w:jc w:val="center"/>
              <w:rPr>
                <w:b/>
              </w:rPr>
            </w:pPr>
          </w:p>
          <w:p w:rsidR="00FC0B2C" w:rsidRPr="00F21F42" w:rsidRDefault="00FC0B2C" w:rsidP="002F0199">
            <w:pPr>
              <w:snapToGrid w:val="0"/>
              <w:jc w:val="center"/>
              <w:rPr>
                <w:rFonts w:eastAsia="SimSun"/>
                <w:b/>
              </w:rPr>
            </w:pPr>
          </w:p>
          <w:p w:rsidR="00FC0B2C" w:rsidRPr="00F21F42" w:rsidRDefault="00FC0B2C" w:rsidP="002F0199">
            <w:pPr>
              <w:snapToGrid w:val="0"/>
              <w:jc w:val="center"/>
              <w:rPr>
                <w:rFonts w:eastAsia="MS Mincho"/>
                <w:b/>
              </w:rPr>
            </w:pPr>
            <w:r w:rsidRPr="00F21F42">
              <w:rPr>
                <w:b/>
              </w:rPr>
              <w:t>Les avis mentionnés peuvent être consultés en ligne à partir du moteur de recherche du Comité:</w:t>
            </w:r>
          </w:p>
          <w:p w:rsidR="00FC0B2C" w:rsidRPr="00F21F42" w:rsidRDefault="00FC0B2C" w:rsidP="002F0199">
            <w:pPr>
              <w:snapToGrid w:val="0"/>
              <w:jc w:val="center"/>
              <w:rPr>
                <w:b/>
              </w:rPr>
            </w:pPr>
          </w:p>
          <w:p w:rsidR="00FC0B2C" w:rsidRPr="00F21F42" w:rsidRDefault="00F21F42" w:rsidP="002F0199">
            <w:pPr>
              <w:jc w:val="center"/>
              <w:rPr>
                <w:rStyle w:val="Hyperlink"/>
                <w:b/>
              </w:rPr>
            </w:pPr>
            <w:hyperlink r:id="rId15">
              <w:r w:rsidR="00C532C0" w:rsidRPr="00F21F42">
                <w:rPr>
                  <w:rStyle w:val="Hyperlink"/>
                </w:rPr>
                <w:t>http://dm.eesc.europa.eu/EESCDocumentSearch/Pages/opinionssearch.aspx</w:t>
              </w:r>
            </w:hyperlink>
          </w:p>
          <w:p w:rsidR="008405A0" w:rsidRPr="00F21F42" w:rsidRDefault="008405A0" w:rsidP="002F0199">
            <w:pPr>
              <w:snapToGrid w:val="0"/>
              <w:jc w:val="center"/>
              <w:rPr>
                <w:b/>
                <w:bCs/>
              </w:rPr>
            </w:pPr>
          </w:p>
        </w:tc>
      </w:tr>
    </w:tbl>
    <w:p w:rsidR="008F7791" w:rsidRPr="00F21F42" w:rsidRDefault="008F7791" w:rsidP="002F0199">
      <w:pPr>
        <w:rPr>
          <w:rFonts w:eastAsia="SimSun"/>
        </w:rPr>
      </w:pPr>
    </w:p>
    <w:p w:rsidR="00A9340A" w:rsidRPr="00F21F42" w:rsidRDefault="00A9340A" w:rsidP="002F0199">
      <w:pPr>
        <w:rPr>
          <w:rFonts w:eastAsia="SimSun"/>
        </w:rPr>
        <w:sectPr w:rsidR="00A9340A" w:rsidRPr="00F21F42" w:rsidSect="00F21F42">
          <w:headerReference w:type="even" r:id="rId16"/>
          <w:headerReference w:type="default" r:id="rId17"/>
          <w:footerReference w:type="even" r:id="rId18"/>
          <w:footerReference w:type="default" r:id="rId19"/>
          <w:headerReference w:type="first" r:id="rId20"/>
          <w:footerReference w:type="first" r:id="rId21"/>
          <w:type w:val="continuous"/>
          <w:pgSz w:w="11907" w:h="16839"/>
          <w:pgMar w:top="1417" w:right="1417" w:bottom="1417" w:left="1417" w:header="709" w:footer="709" w:gutter="0"/>
          <w:pgNumType w:start="1"/>
          <w:cols w:space="708"/>
          <w:docGrid w:linePitch="299"/>
        </w:sectPr>
      </w:pPr>
    </w:p>
    <w:p w:rsidR="008405A0" w:rsidRPr="00F21F42" w:rsidRDefault="00876D7B" w:rsidP="002F0199">
      <w:pPr>
        <w:snapToGrid w:val="0"/>
        <w:rPr>
          <w:b/>
        </w:rPr>
      </w:pPr>
      <w:r w:rsidRPr="00F21F42">
        <w:rPr>
          <w:b/>
        </w:rPr>
        <w:lastRenderedPageBreak/>
        <w:t>Sommaire:</w:t>
      </w:r>
    </w:p>
    <w:p w:rsidR="00D16D76" w:rsidRPr="00F21F42" w:rsidRDefault="00D16D76" w:rsidP="002F0199"/>
    <w:p w:rsidR="000B621F" w:rsidRPr="00F21F42" w:rsidRDefault="00F831AE" w:rsidP="00F21F42">
      <w:pPr>
        <w:pStyle w:val="TOC1"/>
        <w:spacing w:after="0"/>
        <w:rPr>
          <w:rFonts w:eastAsiaTheme="minorEastAsia"/>
          <w:noProof/>
          <w:lang w:eastAsia="fr-BE"/>
        </w:rPr>
      </w:pPr>
      <w:r w:rsidRPr="00F21F42">
        <w:fldChar w:fldCharType="begin"/>
      </w:r>
      <w:r w:rsidRPr="00F21F42">
        <w:instrText xml:space="preserve"> TOC \o "1-1" \h \z \u </w:instrText>
      </w:r>
      <w:r w:rsidRPr="00F21F42">
        <w:fldChar w:fldCharType="separate"/>
      </w:r>
      <w:r w:rsidR="000B621F" w:rsidRPr="00F21F42">
        <w:rPr>
          <w:b/>
          <w:caps/>
          <w:noProof/>
        </w:rPr>
        <w:t>1.</w:t>
      </w:r>
      <w:r w:rsidR="000B621F" w:rsidRPr="00F21F42">
        <w:rPr>
          <w:rFonts w:eastAsiaTheme="minorEastAsia"/>
          <w:noProof/>
          <w:lang w:eastAsia="fr-BE"/>
        </w:rPr>
        <w:tab/>
      </w:r>
      <w:r w:rsidR="000B621F" w:rsidRPr="00F21F42">
        <w:rPr>
          <w:b/>
          <w:caps/>
          <w:noProof/>
        </w:rPr>
        <w:t>UNION ÉCONOMIQUE ET MONÉTAIRE ET COHÉSION ÉCONOMIQUE ET SOCIALE</w:t>
      </w:r>
      <w:r w:rsidR="000B621F" w:rsidRPr="00F21F42">
        <w:rPr>
          <w:noProof/>
          <w:webHidden/>
        </w:rPr>
        <w:tab/>
      </w:r>
      <w:r w:rsidR="000B621F" w:rsidRPr="00F21F42">
        <w:rPr>
          <w:noProof/>
          <w:webHidden/>
        </w:rPr>
        <w:fldChar w:fldCharType="begin"/>
      </w:r>
      <w:r w:rsidR="000B621F" w:rsidRPr="00F21F42">
        <w:rPr>
          <w:noProof/>
          <w:webHidden/>
        </w:rPr>
        <w:instrText xml:space="preserve"> PAGEREF _Toc507410838 \h </w:instrText>
      </w:r>
      <w:r w:rsidR="000B621F" w:rsidRPr="00F21F42">
        <w:rPr>
          <w:noProof/>
          <w:webHidden/>
        </w:rPr>
      </w:r>
      <w:r w:rsidR="000B621F" w:rsidRPr="00F21F42">
        <w:rPr>
          <w:noProof/>
          <w:webHidden/>
        </w:rPr>
        <w:fldChar w:fldCharType="separate"/>
      </w:r>
      <w:r w:rsidR="00100C44">
        <w:rPr>
          <w:noProof/>
          <w:webHidden/>
        </w:rPr>
        <w:t>3</w:t>
      </w:r>
      <w:r w:rsidR="000B621F" w:rsidRPr="00F21F42">
        <w:rPr>
          <w:noProof/>
          <w:webHidden/>
        </w:rPr>
        <w:fldChar w:fldCharType="end"/>
      </w:r>
    </w:p>
    <w:p w:rsidR="000B621F" w:rsidRPr="00F21F42" w:rsidRDefault="000B621F" w:rsidP="00F21F42">
      <w:pPr>
        <w:pStyle w:val="TOC1"/>
        <w:spacing w:after="0"/>
        <w:rPr>
          <w:rFonts w:eastAsiaTheme="minorEastAsia"/>
          <w:noProof/>
          <w:lang w:eastAsia="fr-BE"/>
        </w:rPr>
      </w:pPr>
      <w:r w:rsidRPr="00F21F42">
        <w:rPr>
          <w:b/>
          <w:caps/>
          <w:noProof/>
        </w:rPr>
        <w:t>2.</w:t>
      </w:r>
      <w:r w:rsidRPr="00F21F42">
        <w:rPr>
          <w:rFonts w:eastAsiaTheme="minorEastAsia"/>
          <w:noProof/>
          <w:lang w:eastAsia="fr-BE"/>
        </w:rPr>
        <w:tab/>
      </w:r>
      <w:r w:rsidRPr="00F21F42">
        <w:rPr>
          <w:b/>
          <w:caps/>
          <w:noProof/>
        </w:rPr>
        <w:t>MARCHÉ UNIQUE, PRODUCTION ET CONSOMMATION</w:t>
      </w:r>
      <w:r w:rsidRPr="00F21F42">
        <w:rPr>
          <w:noProof/>
          <w:webHidden/>
        </w:rPr>
        <w:tab/>
      </w:r>
      <w:r w:rsidRPr="00F21F42">
        <w:rPr>
          <w:noProof/>
          <w:webHidden/>
        </w:rPr>
        <w:fldChar w:fldCharType="begin"/>
      </w:r>
      <w:r w:rsidRPr="00F21F42">
        <w:rPr>
          <w:noProof/>
          <w:webHidden/>
        </w:rPr>
        <w:instrText xml:space="preserve"> PAGEREF _Toc507410839 \h </w:instrText>
      </w:r>
      <w:r w:rsidRPr="00F21F42">
        <w:rPr>
          <w:noProof/>
          <w:webHidden/>
        </w:rPr>
      </w:r>
      <w:r w:rsidRPr="00F21F42">
        <w:rPr>
          <w:noProof/>
          <w:webHidden/>
        </w:rPr>
        <w:fldChar w:fldCharType="separate"/>
      </w:r>
      <w:r w:rsidR="00100C44">
        <w:rPr>
          <w:noProof/>
          <w:webHidden/>
        </w:rPr>
        <w:t>6</w:t>
      </w:r>
      <w:r w:rsidRPr="00F21F42">
        <w:rPr>
          <w:noProof/>
          <w:webHidden/>
        </w:rPr>
        <w:fldChar w:fldCharType="end"/>
      </w:r>
    </w:p>
    <w:p w:rsidR="000B621F" w:rsidRPr="00F21F42" w:rsidRDefault="000B621F" w:rsidP="00F21F42">
      <w:pPr>
        <w:pStyle w:val="TOC1"/>
        <w:spacing w:after="0"/>
        <w:rPr>
          <w:rFonts w:eastAsiaTheme="minorEastAsia"/>
          <w:noProof/>
          <w:lang w:eastAsia="fr-BE"/>
        </w:rPr>
      </w:pPr>
      <w:r w:rsidRPr="00F21F42">
        <w:rPr>
          <w:b/>
          <w:caps/>
          <w:noProof/>
        </w:rPr>
        <w:t>3.</w:t>
      </w:r>
      <w:r w:rsidRPr="00F21F42">
        <w:rPr>
          <w:rFonts w:eastAsiaTheme="minorEastAsia"/>
          <w:noProof/>
          <w:lang w:eastAsia="fr-BE"/>
        </w:rPr>
        <w:tab/>
      </w:r>
      <w:r w:rsidRPr="00F21F42">
        <w:rPr>
          <w:b/>
          <w:caps/>
          <w:noProof/>
        </w:rPr>
        <w:t>TRANSPORTS, ÉNERGIE, INFRASTRUCTURES ET SOCIÉTÉ DE L’INFORMATION</w:t>
      </w:r>
      <w:r w:rsidRPr="00F21F42">
        <w:rPr>
          <w:noProof/>
          <w:webHidden/>
        </w:rPr>
        <w:tab/>
      </w:r>
      <w:r w:rsidRPr="00F21F42">
        <w:rPr>
          <w:noProof/>
          <w:webHidden/>
        </w:rPr>
        <w:fldChar w:fldCharType="begin"/>
      </w:r>
      <w:r w:rsidRPr="00F21F42">
        <w:rPr>
          <w:noProof/>
          <w:webHidden/>
        </w:rPr>
        <w:instrText xml:space="preserve"> PAGEREF _Toc507410840 \h </w:instrText>
      </w:r>
      <w:r w:rsidRPr="00F21F42">
        <w:rPr>
          <w:noProof/>
          <w:webHidden/>
        </w:rPr>
      </w:r>
      <w:r w:rsidRPr="00F21F42">
        <w:rPr>
          <w:noProof/>
          <w:webHidden/>
        </w:rPr>
        <w:fldChar w:fldCharType="separate"/>
      </w:r>
      <w:r w:rsidR="00100C44">
        <w:rPr>
          <w:noProof/>
          <w:webHidden/>
        </w:rPr>
        <w:t>9</w:t>
      </w:r>
      <w:r w:rsidRPr="00F21F42">
        <w:rPr>
          <w:noProof/>
          <w:webHidden/>
        </w:rPr>
        <w:fldChar w:fldCharType="end"/>
      </w:r>
    </w:p>
    <w:p w:rsidR="000B621F" w:rsidRPr="00F21F42" w:rsidRDefault="000B621F" w:rsidP="00F21F42">
      <w:pPr>
        <w:pStyle w:val="TOC1"/>
        <w:spacing w:after="0"/>
        <w:rPr>
          <w:rFonts w:eastAsiaTheme="minorEastAsia"/>
          <w:noProof/>
          <w:lang w:eastAsia="fr-BE"/>
        </w:rPr>
      </w:pPr>
      <w:r w:rsidRPr="00F21F42">
        <w:rPr>
          <w:b/>
          <w:caps/>
          <w:noProof/>
        </w:rPr>
        <w:t>4.</w:t>
      </w:r>
      <w:r w:rsidRPr="00F21F42">
        <w:rPr>
          <w:rFonts w:eastAsiaTheme="minorEastAsia"/>
          <w:noProof/>
          <w:lang w:eastAsia="fr-BE"/>
        </w:rPr>
        <w:tab/>
      </w:r>
      <w:r w:rsidRPr="00F21F42">
        <w:rPr>
          <w:b/>
          <w:caps/>
          <w:noProof/>
        </w:rPr>
        <w:t>RELATIONS EXTÉRIEURES</w:t>
      </w:r>
      <w:r w:rsidRPr="00F21F42">
        <w:rPr>
          <w:noProof/>
          <w:webHidden/>
        </w:rPr>
        <w:tab/>
      </w:r>
      <w:r w:rsidRPr="00F21F42">
        <w:rPr>
          <w:noProof/>
          <w:webHidden/>
        </w:rPr>
        <w:fldChar w:fldCharType="begin"/>
      </w:r>
      <w:r w:rsidRPr="00F21F42">
        <w:rPr>
          <w:noProof/>
          <w:webHidden/>
        </w:rPr>
        <w:instrText xml:space="preserve"> PAGEREF _Toc507410841 \h </w:instrText>
      </w:r>
      <w:r w:rsidRPr="00F21F42">
        <w:rPr>
          <w:noProof/>
          <w:webHidden/>
        </w:rPr>
      </w:r>
      <w:r w:rsidRPr="00F21F42">
        <w:rPr>
          <w:noProof/>
          <w:webHidden/>
        </w:rPr>
        <w:fldChar w:fldCharType="separate"/>
      </w:r>
      <w:r w:rsidR="00100C44">
        <w:rPr>
          <w:noProof/>
          <w:webHidden/>
        </w:rPr>
        <w:t>12</w:t>
      </w:r>
      <w:r w:rsidRPr="00F21F42">
        <w:rPr>
          <w:noProof/>
          <w:webHidden/>
        </w:rPr>
        <w:fldChar w:fldCharType="end"/>
      </w:r>
    </w:p>
    <w:p w:rsidR="000B621F" w:rsidRPr="00F21F42" w:rsidRDefault="000B621F" w:rsidP="00F21F42">
      <w:pPr>
        <w:pStyle w:val="TOC1"/>
        <w:spacing w:after="0"/>
        <w:rPr>
          <w:rFonts w:eastAsiaTheme="minorEastAsia"/>
          <w:noProof/>
          <w:lang w:eastAsia="fr-BE"/>
        </w:rPr>
      </w:pPr>
      <w:r w:rsidRPr="00F21F42">
        <w:rPr>
          <w:b/>
          <w:caps/>
          <w:noProof/>
        </w:rPr>
        <w:t>5.</w:t>
      </w:r>
      <w:r w:rsidRPr="00F21F42">
        <w:rPr>
          <w:rFonts w:eastAsiaTheme="minorEastAsia"/>
          <w:noProof/>
          <w:lang w:eastAsia="fr-BE"/>
        </w:rPr>
        <w:tab/>
      </w:r>
      <w:r w:rsidRPr="00F21F42">
        <w:rPr>
          <w:b/>
          <w:caps/>
          <w:noProof/>
        </w:rPr>
        <w:t>AGRICULTURE, DÉVELOPPEMENT RURAL ET ENVIRONNEMENT</w:t>
      </w:r>
      <w:r w:rsidRPr="00F21F42">
        <w:rPr>
          <w:noProof/>
          <w:webHidden/>
        </w:rPr>
        <w:tab/>
      </w:r>
      <w:r w:rsidRPr="00F21F42">
        <w:rPr>
          <w:noProof/>
          <w:webHidden/>
        </w:rPr>
        <w:fldChar w:fldCharType="begin"/>
      </w:r>
      <w:r w:rsidRPr="00F21F42">
        <w:rPr>
          <w:noProof/>
          <w:webHidden/>
        </w:rPr>
        <w:instrText xml:space="preserve"> PAGEREF _Toc507410842 \h </w:instrText>
      </w:r>
      <w:r w:rsidRPr="00F21F42">
        <w:rPr>
          <w:noProof/>
          <w:webHidden/>
        </w:rPr>
      </w:r>
      <w:r w:rsidRPr="00F21F42">
        <w:rPr>
          <w:noProof/>
          <w:webHidden/>
        </w:rPr>
        <w:fldChar w:fldCharType="separate"/>
      </w:r>
      <w:r w:rsidR="00100C44">
        <w:rPr>
          <w:noProof/>
          <w:webHidden/>
        </w:rPr>
        <w:t>16</w:t>
      </w:r>
      <w:r w:rsidRPr="00F21F42">
        <w:rPr>
          <w:noProof/>
          <w:webHidden/>
        </w:rPr>
        <w:fldChar w:fldCharType="end"/>
      </w:r>
    </w:p>
    <w:p w:rsidR="000B621F" w:rsidRPr="00F21F42" w:rsidRDefault="000B621F" w:rsidP="00F21F42">
      <w:pPr>
        <w:pStyle w:val="TOC1"/>
        <w:spacing w:after="0"/>
        <w:rPr>
          <w:rFonts w:eastAsiaTheme="minorEastAsia"/>
          <w:noProof/>
          <w:lang w:eastAsia="fr-BE"/>
        </w:rPr>
      </w:pPr>
      <w:r w:rsidRPr="00F21F42">
        <w:rPr>
          <w:b/>
          <w:caps/>
          <w:noProof/>
        </w:rPr>
        <w:t>6.</w:t>
      </w:r>
      <w:r w:rsidRPr="00F21F42">
        <w:rPr>
          <w:rFonts w:eastAsiaTheme="minorEastAsia"/>
          <w:noProof/>
          <w:lang w:eastAsia="fr-BE"/>
        </w:rPr>
        <w:tab/>
      </w:r>
      <w:r w:rsidRPr="00F21F42">
        <w:rPr>
          <w:b/>
          <w:caps/>
          <w:noProof/>
        </w:rPr>
        <w:t>Mutations industrielles</w:t>
      </w:r>
      <w:r w:rsidRPr="00F21F42">
        <w:rPr>
          <w:noProof/>
          <w:webHidden/>
        </w:rPr>
        <w:tab/>
      </w:r>
      <w:r w:rsidRPr="00F21F42">
        <w:rPr>
          <w:noProof/>
          <w:webHidden/>
        </w:rPr>
        <w:fldChar w:fldCharType="begin"/>
      </w:r>
      <w:r w:rsidRPr="00F21F42">
        <w:rPr>
          <w:noProof/>
          <w:webHidden/>
        </w:rPr>
        <w:instrText xml:space="preserve"> PAGEREF _Toc507410843 \h </w:instrText>
      </w:r>
      <w:r w:rsidRPr="00F21F42">
        <w:rPr>
          <w:noProof/>
          <w:webHidden/>
        </w:rPr>
      </w:r>
      <w:r w:rsidRPr="00F21F42">
        <w:rPr>
          <w:noProof/>
          <w:webHidden/>
        </w:rPr>
        <w:fldChar w:fldCharType="separate"/>
      </w:r>
      <w:r w:rsidR="00100C44">
        <w:rPr>
          <w:noProof/>
          <w:webHidden/>
        </w:rPr>
        <w:t>19</w:t>
      </w:r>
      <w:r w:rsidRPr="00F21F42">
        <w:rPr>
          <w:noProof/>
          <w:webHidden/>
        </w:rPr>
        <w:fldChar w:fldCharType="end"/>
      </w:r>
    </w:p>
    <w:p w:rsidR="000B621F" w:rsidRPr="00F21F42" w:rsidRDefault="000B621F" w:rsidP="00F21F42">
      <w:pPr>
        <w:pStyle w:val="TOC1"/>
        <w:spacing w:after="0"/>
        <w:rPr>
          <w:rFonts w:eastAsiaTheme="minorEastAsia"/>
          <w:noProof/>
          <w:lang w:eastAsia="fr-BE"/>
        </w:rPr>
      </w:pPr>
      <w:r w:rsidRPr="00F21F42">
        <w:rPr>
          <w:b/>
          <w:caps/>
          <w:noProof/>
        </w:rPr>
        <w:t>7.</w:t>
      </w:r>
      <w:r w:rsidRPr="00F21F42">
        <w:rPr>
          <w:rFonts w:eastAsiaTheme="minorEastAsia"/>
          <w:noProof/>
          <w:lang w:eastAsia="fr-BE"/>
        </w:rPr>
        <w:tab/>
      </w:r>
      <w:r w:rsidRPr="00F21F42">
        <w:rPr>
          <w:b/>
          <w:caps/>
          <w:noProof/>
        </w:rPr>
        <w:t>Examen annuel de la croissance 2018</w:t>
      </w:r>
      <w:r w:rsidRPr="00F21F42">
        <w:rPr>
          <w:noProof/>
          <w:webHidden/>
        </w:rPr>
        <w:tab/>
      </w:r>
      <w:r w:rsidRPr="00F21F42">
        <w:rPr>
          <w:noProof/>
          <w:webHidden/>
        </w:rPr>
        <w:fldChar w:fldCharType="begin"/>
      </w:r>
      <w:r w:rsidRPr="00F21F42">
        <w:rPr>
          <w:noProof/>
          <w:webHidden/>
        </w:rPr>
        <w:instrText xml:space="preserve"> PAGEREF _Toc507410844 \h </w:instrText>
      </w:r>
      <w:r w:rsidRPr="00F21F42">
        <w:rPr>
          <w:noProof/>
          <w:webHidden/>
        </w:rPr>
      </w:r>
      <w:r w:rsidRPr="00F21F42">
        <w:rPr>
          <w:noProof/>
          <w:webHidden/>
        </w:rPr>
        <w:fldChar w:fldCharType="separate"/>
      </w:r>
      <w:r w:rsidR="00100C44">
        <w:rPr>
          <w:noProof/>
          <w:webHidden/>
        </w:rPr>
        <w:t>22</w:t>
      </w:r>
      <w:r w:rsidRPr="00F21F42">
        <w:rPr>
          <w:noProof/>
          <w:webHidden/>
        </w:rPr>
        <w:fldChar w:fldCharType="end"/>
      </w:r>
    </w:p>
    <w:p w:rsidR="00DF3D79" w:rsidRPr="00F21F42" w:rsidRDefault="00F831AE" w:rsidP="000D3931">
      <w:pPr>
        <w:pStyle w:val="TOC1"/>
        <w:spacing w:after="0"/>
        <w:rPr>
          <w:rFonts w:asciiTheme="minorHAnsi" w:eastAsiaTheme="minorEastAsia" w:hAnsiTheme="minorHAnsi" w:cstheme="minorBidi"/>
        </w:rPr>
      </w:pPr>
      <w:r w:rsidRPr="00F21F42">
        <w:rPr>
          <w:rFonts w:eastAsiaTheme="minorEastAsia"/>
        </w:rPr>
        <w:fldChar w:fldCharType="end"/>
      </w:r>
    </w:p>
    <w:p w:rsidR="008405A0" w:rsidRPr="00F21F42" w:rsidRDefault="008405A0" w:rsidP="002F0199">
      <w:r w:rsidRPr="00F21F42">
        <w:br w:type="page"/>
      </w:r>
    </w:p>
    <w:p w:rsidR="005F7907" w:rsidRPr="00F21F42" w:rsidRDefault="00AD7EE7" w:rsidP="002F0199">
      <w:r w:rsidRPr="00F21F42">
        <w:lastRenderedPageBreak/>
        <w:t xml:space="preserve">La session plénière des 14 et 15 février 2018 a été marquée par la présence de </w:t>
      </w:r>
      <w:r w:rsidRPr="00F21F42">
        <w:rPr>
          <w:b/>
        </w:rPr>
        <w:t xml:space="preserve">Nathalie </w:t>
      </w:r>
      <w:proofErr w:type="spellStart"/>
      <w:r w:rsidRPr="00F21F42">
        <w:rPr>
          <w:b/>
        </w:rPr>
        <w:t>LOISEAU</w:t>
      </w:r>
      <w:proofErr w:type="spellEnd"/>
      <w:r w:rsidRPr="00F21F42">
        <w:t xml:space="preserve">, ministre française des affaires européennes. </w:t>
      </w:r>
    </w:p>
    <w:p w:rsidR="00034832" w:rsidRPr="00F21F42" w:rsidRDefault="00034832" w:rsidP="002F0199"/>
    <w:p w:rsidR="00421682" w:rsidRPr="00F21F42" w:rsidRDefault="00AD7EE7" w:rsidP="002F0199">
      <w:r w:rsidRPr="00F21F42">
        <w:t>Les avis adoptés sont les suivants:</w:t>
      </w:r>
    </w:p>
    <w:p w:rsidR="00A43397" w:rsidRPr="00F21F42" w:rsidRDefault="00A43397" w:rsidP="000D3931"/>
    <w:p w:rsidR="00A43397" w:rsidRPr="00F21F42" w:rsidRDefault="000C491C" w:rsidP="002F0199">
      <w:pPr>
        <w:pStyle w:val="Heading1"/>
        <w:rPr>
          <w:b/>
          <w:caps/>
        </w:rPr>
      </w:pPr>
      <w:bookmarkStart w:id="0" w:name="_Toc506371469"/>
      <w:bookmarkStart w:id="1" w:name="_Toc507410838"/>
      <w:r w:rsidRPr="00F21F42">
        <w:rPr>
          <w:b/>
          <w:caps/>
          <w:color w:val="424242"/>
        </w:rPr>
        <w:t>UNION ÉCONOMIQUE ET MONÉTAIRE ET COHÉSION ÉCONOMIQUE ET SOCIALE</w:t>
      </w:r>
      <w:bookmarkEnd w:id="0"/>
      <w:bookmarkEnd w:id="1"/>
    </w:p>
    <w:p w:rsidR="00915C4E" w:rsidRPr="00F21F42" w:rsidRDefault="00915C4E" w:rsidP="002F0199">
      <w:pPr>
        <w:rPr>
          <w:b/>
          <w:iCs/>
          <w:highlight w:val="yellow"/>
          <w:u w:val="single"/>
        </w:rPr>
      </w:pPr>
    </w:p>
    <w:p w:rsidR="007A3904" w:rsidRPr="00F21F42" w:rsidRDefault="007A3904" w:rsidP="000E4B46">
      <w:pPr>
        <w:pStyle w:val="ListParagraph"/>
        <w:widowControl w:val="0"/>
        <w:numPr>
          <w:ilvl w:val="0"/>
          <w:numId w:val="7"/>
        </w:numPr>
        <w:rPr>
          <w:b/>
          <w:bCs/>
          <w:i/>
          <w:iCs/>
          <w:sz w:val="28"/>
          <w:szCs w:val="28"/>
        </w:rPr>
      </w:pPr>
      <w:r w:rsidRPr="00F21F42">
        <w:rPr>
          <w:b/>
          <w:i/>
          <w:sz w:val="28"/>
        </w:rPr>
        <w:t>Tirer les leçons du passé: éviter la rigueur des politiques d’austérité dans l’UE</w:t>
      </w:r>
    </w:p>
    <w:p w:rsidR="007A3904" w:rsidRPr="00F21F42" w:rsidRDefault="007A3904" w:rsidP="002F0199">
      <w:pPr>
        <w:tabs>
          <w:tab w:val="left" w:pos="1701"/>
        </w:tabs>
        <w:ind w:firstLine="17"/>
      </w:pPr>
    </w:p>
    <w:p w:rsidR="007A3904" w:rsidRPr="00F21F42" w:rsidRDefault="007A3904" w:rsidP="002F0199">
      <w:pPr>
        <w:tabs>
          <w:tab w:val="left" w:pos="1701"/>
        </w:tabs>
      </w:pPr>
      <w:r w:rsidRPr="00F21F42">
        <w:rPr>
          <w:b/>
        </w:rPr>
        <w:t>Rapporteur:</w:t>
      </w:r>
      <w:r w:rsidRPr="00F21F42">
        <w:tab/>
        <w:t xml:space="preserve">José </w:t>
      </w:r>
      <w:proofErr w:type="spellStart"/>
      <w:r w:rsidRPr="00F21F42">
        <w:t>Custódio</w:t>
      </w:r>
      <w:proofErr w:type="spellEnd"/>
      <w:r w:rsidRPr="00F21F42">
        <w:t xml:space="preserve"> </w:t>
      </w:r>
      <w:proofErr w:type="spellStart"/>
      <w:r w:rsidRPr="00F21F42">
        <w:t>LEIRIÃO</w:t>
      </w:r>
      <w:proofErr w:type="spellEnd"/>
      <w:r w:rsidRPr="00F21F42">
        <w:t xml:space="preserve"> (Activités diverses – PT)</w:t>
      </w:r>
    </w:p>
    <w:p w:rsidR="007A3904" w:rsidRPr="00F21F42" w:rsidRDefault="007A3904" w:rsidP="002F0199">
      <w:pPr>
        <w:tabs>
          <w:tab w:val="left" w:pos="1701"/>
        </w:tabs>
      </w:pPr>
    </w:p>
    <w:p w:rsidR="00BB018A" w:rsidRPr="00F21F42" w:rsidRDefault="007A3904" w:rsidP="002F0199">
      <w:pPr>
        <w:tabs>
          <w:tab w:val="left" w:pos="1701"/>
        </w:tabs>
        <w:ind w:left="-5"/>
      </w:pPr>
      <w:r w:rsidRPr="00F21F42">
        <w:rPr>
          <w:b/>
        </w:rPr>
        <w:t>Références:</w:t>
      </w:r>
      <w:r w:rsidRPr="00F21F42">
        <w:tab/>
        <w:t>Avis d’initiative</w:t>
      </w:r>
    </w:p>
    <w:p w:rsidR="007A3904" w:rsidRPr="00F21F42" w:rsidRDefault="007A3904" w:rsidP="008169EC">
      <w:pPr>
        <w:ind w:left="1701"/>
        <w:rPr>
          <w:iCs/>
        </w:rPr>
      </w:pPr>
      <w:r w:rsidRPr="00F21F42">
        <w:t>EESC-2017-02368-00-01-AC-TRA</w:t>
      </w:r>
    </w:p>
    <w:p w:rsidR="007A3904" w:rsidRPr="00F21F42" w:rsidRDefault="007A3904" w:rsidP="002F0199">
      <w:pPr>
        <w:ind w:left="-5"/>
        <w:rPr>
          <w:b/>
        </w:rPr>
      </w:pPr>
      <w:r w:rsidRPr="00F21F42">
        <w:tab/>
      </w:r>
    </w:p>
    <w:p w:rsidR="007A3904" w:rsidRPr="00F21F42" w:rsidRDefault="007A3904" w:rsidP="002F0199">
      <w:pPr>
        <w:ind w:left="-5"/>
        <w:rPr>
          <w:b/>
        </w:rPr>
      </w:pPr>
      <w:r w:rsidRPr="00F21F42">
        <w:rPr>
          <w:b/>
        </w:rPr>
        <w:t>Points clés:</w:t>
      </w:r>
    </w:p>
    <w:p w:rsidR="00974EA5" w:rsidRPr="00F21F42" w:rsidRDefault="00974EA5" w:rsidP="002F0199">
      <w:pPr>
        <w:keepNext/>
        <w:ind w:left="-567"/>
        <w:rPr>
          <w:color w:val="000000" w:themeColor="text1"/>
        </w:rPr>
      </w:pPr>
    </w:p>
    <w:p w:rsidR="007A3904" w:rsidRPr="00F21F42" w:rsidRDefault="007A3904" w:rsidP="000D3931">
      <w:r w:rsidRPr="00F21F42">
        <w:t xml:space="preserve">Le </w:t>
      </w:r>
      <w:proofErr w:type="spellStart"/>
      <w:r w:rsidRPr="00F21F42">
        <w:t>CESE</w:t>
      </w:r>
      <w:proofErr w:type="spellEnd"/>
      <w:r w:rsidRPr="00F21F42">
        <w:t>:</w:t>
      </w:r>
    </w:p>
    <w:p w:rsidR="007A3904" w:rsidRPr="00F21F42" w:rsidRDefault="007A3904" w:rsidP="000E4B46">
      <w:pPr>
        <w:pStyle w:val="Heading2"/>
        <w:numPr>
          <w:ilvl w:val="0"/>
          <w:numId w:val="6"/>
        </w:numPr>
        <w:autoSpaceDE w:val="0"/>
        <w:autoSpaceDN w:val="0"/>
        <w:spacing w:after="120"/>
        <w:ind w:left="709" w:hanging="284"/>
      </w:pPr>
      <w:proofErr w:type="gramStart"/>
      <w:r w:rsidRPr="00F21F42">
        <w:t>félicite</w:t>
      </w:r>
      <w:proofErr w:type="gramEnd"/>
      <w:r w:rsidRPr="00F21F42">
        <w:t xml:space="preserve"> la Commission pour son ambition de réformer l’euro de manière fondamentale en rompant avec les politiques d’austérité et en approfondissant l’Union économique et monétaire et recommande que, dans le cadre de la gestion des crises futures dans l’Union européenne, un meilleur équilibre soit trouvé entre les objectifs budgétaires et les objectifs sociaux;</w:t>
      </w:r>
    </w:p>
    <w:p w:rsidR="007A3904" w:rsidRPr="00F21F42" w:rsidRDefault="007A3904" w:rsidP="000E4B46">
      <w:pPr>
        <w:pStyle w:val="Heading2"/>
        <w:numPr>
          <w:ilvl w:val="0"/>
          <w:numId w:val="6"/>
        </w:numPr>
        <w:autoSpaceDE w:val="0"/>
        <w:autoSpaceDN w:val="0"/>
        <w:spacing w:after="120"/>
        <w:ind w:left="709" w:hanging="284"/>
      </w:pPr>
      <w:proofErr w:type="gramStart"/>
      <w:r w:rsidRPr="00F21F42">
        <w:t>recommande</w:t>
      </w:r>
      <w:proofErr w:type="gramEnd"/>
      <w:r w:rsidRPr="00F21F42">
        <w:t xml:space="preserve"> que, dans les situations de crise à venir, touchant n’importe lequel des États membres, les institutions de l’Union européenne soient seulement responsables de la conception et de la mise en œuvre des programmes d’ajustement;</w:t>
      </w:r>
    </w:p>
    <w:p w:rsidR="007A3904" w:rsidRPr="00F21F42" w:rsidRDefault="007A3904" w:rsidP="000E4B46">
      <w:pPr>
        <w:pStyle w:val="Heading2"/>
        <w:numPr>
          <w:ilvl w:val="0"/>
          <w:numId w:val="6"/>
        </w:numPr>
        <w:autoSpaceDE w:val="0"/>
        <w:autoSpaceDN w:val="0"/>
        <w:spacing w:after="120"/>
        <w:ind w:left="709" w:hanging="284"/>
      </w:pPr>
      <w:proofErr w:type="gramStart"/>
      <w:r w:rsidRPr="00F21F42">
        <w:t>invite</w:t>
      </w:r>
      <w:proofErr w:type="gramEnd"/>
      <w:r w:rsidRPr="00F21F42">
        <w:t xml:space="preserve"> la Commission à concevoir des «programmes complémentaires de reprise économique et sociale», qui devraient être appliqués parallèlement ou après la fin du «programme d’ajustement»;</w:t>
      </w:r>
    </w:p>
    <w:p w:rsidR="007A3904" w:rsidRPr="00F21F42" w:rsidRDefault="007A3904" w:rsidP="000E4B46">
      <w:pPr>
        <w:pStyle w:val="Heading2"/>
        <w:numPr>
          <w:ilvl w:val="0"/>
          <w:numId w:val="6"/>
        </w:numPr>
        <w:autoSpaceDE w:val="0"/>
        <w:autoSpaceDN w:val="0"/>
        <w:spacing w:after="120"/>
        <w:ind w:left="709" w:hanging="284"/>
      </w:pPr>
      <w:proofErr w:type="gramStart"/>
      <w:r w:rsidRPr="00F21F42">
        <w:t>préconise</w:t>
      </w:r>
      <w:proofErr w:type="gramEnd"/>
      <w:r w:rsidRPr="00F21F42">
        <w:t xml:space="preserve"> également la mise en place d’un programme spécifique de restauration de la dimension sociale, applicable aux pays qui sont ou ont été tenus de mettre en œuvre des «programmes d’ajustement»;</w:t>
      </w:r>
    </w:p>
    <w:p w:rsidR="007A3904" w:rsidRPr="00F21F42" w:rsidRDefault="007A3904" w:rsidP="000E4B46">
      <w:pPr>
        <w:pStyle w:val="Heading2"/>
        <w:numPr>
          <w:ilvl w:val="0"/>
          <w:numId w:val="6"/>
        </w:numPr>
        <w:autoSpaceDE w:val="0"/>
        <w:autoSpaceDN w:val="0"/>
        <w:spacing w:after="120"/>
        <w:ind w:left="709" w:hanging="284"/>
      </w:pPr>
      <w:proofErr w:type="gramStart"/>
      <w:r w:rsidRPr="00F21F42">
        <w:t>demande</w:t>
      </w:r>
      <w:proofErr w:type="gramEnd"/>
      <w:r w:rsidRPr="00F21F42">
        <w:t xml:space="preserve"> avec insistance à la Commission d’élaborer une «stratégie européenne d’éradication de la pauvreté et d’intégration des personnes en situation de </w:t>
      </w:r>
      <w:proofErr w:type="spellStart"/>
      <w:r w:rsidRPr="00F21F42">
        <w:t>sans-abrisme</w:t>
      </w:r>
      <w:proofErr w:type="spellEnd"/>
      <w:r w:rsidRPr="00F21F42">
        <w:t>»;</w:t>
      </w:r>
    </w:p>
    <w:p w:rsidR="007A3904" w:rsidRPr="00F21F42" w:rsidRDefault="007A3904" w:rsidP="000E4B46">
      <w:pPr>
        <w:pStyle w:val="Heading2"/>
        <w:numPr>
          <w:ilvl w:val="0"/>
          <w:numId w:val="6"/>
        </w:numPr>
        <w:autoSpaceDE w:val="0"/>
        <w:autoSpaceDN w:val="0"/>
        <w:spacing w:after="120"/>
        <w:ind w:left="709" w:hanging="284"/>
      </w:pPr>
      <w:r w:rsidRPr="00F21F42">
        <w:t>recommande que le traité de Lisbonne soit réformé en vue d’affirmer la primauté des politiques de coopération, d’expansion économique et de solidarité pour qu’elles constituent de véritables solutions de remplacement aux politiques d’austérité restrictives;</w:t>
      </w:r>
    </w:p>
    <w:p w:rsidR="007A3904" w:rsidRPr="00F21F42" w:rsidRDefault="007A3904" w:rsidP="000E4B46">
      <w:pPr>
        <w:pStyle w:val="Heading2"/>
        <w:numPr>
          <w:ilvl w:val="0"/>
          <w:numId w:val="6"/>
        </w:numPr>
        <w:autoSpaceDE w:val="0"/>
        <w:autoSpaceDN w:val="0"/>
        <w:spacing w:after="120"/>
        <w:ind w:left="709" w:hanging="284"/>
      </w:pPr>
      <w:r w:rsidRPr="00F21F42">
        <w:t>recommande de réserver des fonds spécifiques afin de consacrer davantage de ressources à la création d’emplois dans les services de santé et dans les secteurs les plus touchés par l’émigration (sciences, programmation, nouvelles technologies, ingénierie et médecine) afin d’inciter les émigrants à rentrer dans leur pays d’origine;</w:t>
      </w:r>
    </w:p>
    <w:p w:rsidR="007A3904" w:rsidRPr="00F21F42" w:rsidRDefault="007A3904" w:rsidP="000E4B46">
      <w:pPr>
        <w:pStyle w:val="Heading2"/>
        <w:numPr>
          <w:ilvl w:val="0"/>
          <w:numId w:val="6"/>
        </w:numPr>
        <w:autoSpaceDE w:val="0"/>
        <w:autoSpaceDN w:val="0"/>
        <w:spacing w:after="120"/>
        <w:ind w:left="709" w:hanging="284"/>
      </w:pPr>
      <w:r w:rsidRPr="00F21F42">
        <w:t>préconise un examen plus approfondi de l’idée de création d’une «assurance chômage universelle de base à l’échelle européenne» en vue de répondre efficacement aux défis de la numérisation, de la robotisation et de l’intelligence artificielle qui sont en train de modifier en profondeur le marché du travail, et invite à mettre en place un «revenu minimal vital»;</w:t>
      </w:r>
    </w:p>
    <w:p w:rsidR="007A3904" w:rsidRPr="00F21F42" w:rsidRDefault="007A3904" w:rsidP="000E4B46">
      <w:pPr>
        <w:pStyle w:val="Heading2"/>
        <w:numPr>
          <w:ilvl w:val="0"/>
          <w:numId w:val="6"/>
        </w:numPr>
        <w:autoSpaceDE w:val="0"/>
        <w:autoSpaceDN w:val="0"/>
        <w:spacing w:after="120"/>
        <w:ind w:left="709" w:hanging="284"/>
      </w:pPr>
      <w:proofErr w:type="gramStart"/>
      <w:r w:rsidRPr="00F21F42">
        <w:lastRenderedPageBreak/>
        <w:t>souligne</w:t>
      </w:r>
      <w:proofErr w:type="gramEnd"/>
      <w:r w:rsidRPr="00F21F42">
        <w:t xml:space="preserve"> que les partenaires sociaux et les représentants de la société civile doivent faire partie du groupe de suivi et d’évaluation du programme, au même titre, entre autres, que les représentants de l’UE et de la BCE;</w:t>
      </w:r>
    </w:p>
    <w:p w:rsidR="007A3904" w:rsidRPr="00F21F42" w:rsidRDefault="007A3904" w:rsidP="000E4B46">
      <w:pPr>
        <w:pStyle w:val="Heading2"/>
        <w:numPr>
          <w:ilvl w:val="0"/>
          <w:numId w:val="6"/>
        </w:numPr>
        <w:autoSpaceDE w:val="0"/>
        <w:autoSpaceDN w:val="0"/>
        <w:spacing w:after="120"/>
        <w:ind w:left="709" w:hanging="284"/>
      </w:pPr>
      <w:proofErr w:type="gramStart"/>
      <w:r w:rsidRPr="00F21F42">
        <w:t>invite</w:t>
      </w:r>
      <w:proofErr w:type="gramEnd"/>
      <w:r w:rsidRPr="00F21F42">
        <w:t xml:space="preserve"> la Commission à donner suite aux conclusions du groupe de haut niveau sur le fonds de mutualisation de la dette et les titres de créance en eurodevises;</w:t>
      </w:r>
    </w:p>
    <w:p w:rsidR="007A3904" w:rsidRPr="00F21F42" w:rsidRDefault="007A3904" w:rsidP="000E4B46">
      <w:pPr>
        <w:pStyle w:val="Heading2"/>
        <w:numPr>
          <w:ilvl w:val="0"/>
          <w:numId w:val="6"/>
        </w:numPr>
        <w:autoSpaceDE w:val="0"/>
        <w:autoSpaceDN w:val="0"/>
        <w:spacing w:after="120"/>
        <w:ind w:left="709" w:hanging="284"/>
      </w:pPr>
      <w:proofErr w:type="gramStart"/>
      <w:r w:rsidRPr="00F21F42">
        <w:t>suggère</w:t>
      </w:r>
      <w:proofErr w:type="gramEnd"/>
      <w:r w:rsidRPr="00F21F42">
        <w:t xml:space="preserve"> à la Commission de déployer des efforts en vue de proposer la création d’un organe international indépendant qui serait chargé de l’évaluation de la crédibilité et de la pertinence des évaluations réalisées. Elle devrait également promouvoir la création d’une agence européenne de notation financière.</w:t>
      </w:r>
    </w:p>
    <w:p w:rsidR="007A3904" w:rsidRPr="00F21F42" w:rsidRDefault="007A3904" w:rsidP="002F0199">
      <w:pPr>
        <w:tabs>
          <w:tab w:val="left" w:pos="1418"/>
        </w:tabs>
        <w:rPr>
          <w:highlight w:val="yellow"/>
        </w:rPr>
      </w:pPr>
    </w:p>
    <w:p w:rsidR="007A3904" w:rsidRPr="00F21F42" w:rsidRDefault="007A3904" w:rsidP="002F0199">
      <w:pPr>
        <w:tabs>
          <w:tab w:val="left" w:pos="1418"/>
        </w:tabs>
        <w:rPr>
          <w:i/>
        </w:rPr>
      </w:pPr>
      <w:r w:rsidRPr="00F21F42">
        <w:rPr>
          <w:b/>
          <w:i/>
        </w:rPr>
        <w:t>Contact:</w:t>
      </w:r>
      <w:r w:rsidRPr="00F21F42">
        <w:rPr>
          <w:i/>
        </w:rPr>
        <w:t xml:space="preserve"> </w:t>
      </w:r>
      <w:r w:rsidRPr="00F21F42">
        <w:tab/>
      </w:r>
      <w:r w:rsidRPr="00F21F42">
        <w:rPr>
          <w:i/>
        </w:rPr>
        <w:t>Krisztina Perlaky-Tóth</w:t>
      </w:r>
    </w:p>
    <w:p w:rsidR="007A3904" w:rsidRPr="00F21F42" w:rsidRDefault="007A3904" w:rsidP="008169EC">
      <w:pPr>
        <w:ind w:left="1418"/>
        <w:rPr>
          <w:i/>
        </w:rPr>
      </w:pPr>
      <w:r w:rsidRPr="00F21F42">
        <w:rPr>
          <w:i/>
        </w:rPr>
        <w:t xml:space="preserve">(Tél. 00 32 2 546 9740 – courriel: </w:t>
      </w:r>
      <w:hyperlink r:id="rId22" w:history="1">
        <w:r w:rsidR="002B40F5" w:rsidRPr="00AC4D8A">
          <w:rPr>
            <w:rStyle w:val="Hyperlink"/>
            <w:i/>
            <w:lang w:val="en-GB"/>
          </w:rPr>
          <w:t>Krisztina.PerlakyToth@eesc.europa.eu</w:t>
        </w:r>
      </w:hyperlink>
      <w:r w:rsidRPr="00F21F42">
        <w:rPr>
          <w:i/>
        </w:rPr>
        <w:t>)</w:t>
      </w:r>
    </w:p>
    <w:p w:rsidR="00915C4E" w:rsidRPr="00F21F42" w:rsidRDefault="00915C4E" w:rsidP="002F0199">
      <w:pPr>
        <w:rPr>
          <w:b/>
          <w:iCs/>
          <w:highlight w:val="yellow"/>
          <w:u w:val="single"/>
        </w:rPr>
      </w:pPr>
    </w:p>
    <w:p w:rsidR="007A3904" w:rsidRPr="00F21F42" w:rsidRDefault="007A3904" w:rsidP="000E4B46">
      <w:pPr>
        <w:pStyle w:val="ListParagraph"/>
        <w:widowControl w:val="0"/>
        <w:numPr>
          <w:ilvl w:val="0"/>
          <w:numId w:val="8"/>
        </w:numPr>
        <w:rPr>
          <w:b/>
          <w:bCs/>
          <w:i/>
          <w:iCs/>
          <w:sz w:val="28"/>
          <w:szCs w:val="28"/>
        </w:rPr>
      </w:pPr>
      <w:r w:rsidRPr="00F21F42">
        <w:rPr>
          <w:b/>
          <w:i/>
          <w:sz w:val="28"/>
        </w:rPr>
        <w:t>Système européen de surveillance financière (</w:t>
      </w:r>
      <w:proofErr w:type="spellStart"/>
      <w:r w:rsidRPr="00F21F42">
        <w:rPr>
          <w:b/>
          <w:i/>
          <w:sz w:val="28"/>
        </w:rPr>
        <w:t>SESF</w:t>
      </w:r>
      <w:proofErr w:type="spellEnd"/>
      <w:r w:rsidRPr="00F21F42">
        <w:rPr>
          <w:b/>
          <w:i/>
          <w:sz w:val="28"/>
        </w:rPr>
        <w:t>) – Réformes</w:t>
      </w:r>
    </w:p>
    <w:p w:rsidR="007A3904" w:rsidRPr="00F21F42" w:rsidRDefault="007A3904" w:rsidP="002F0199">
      <w:pPr>
        <w:ind w:firstLine="17"/>
      </w:pPr>
    </w:p>
    <w:p w:rsidR="007A3904" w:rsidRPr="00F21F42" w:rsidRDefault="007A3904" w:rsidP="002F0199">
      <w:pPr>
        <w:tabs>
          <w:tab w:val="left" w:pos="1701"/>
        </w:tabs>
      </w:pPr>
      <w:r w:rsidRPr="00F21F42">
        <w:rPr>
          <w:b/>
        </w:rPr>
        <w:t>Rapporteur:</w:t>
      </w:r>
      <w:r w:rsidRPr="00F21F42">
        <w:tab/>
        <w:t xml:space="preserve">Daniel </w:t>
      </w:r>
      <w:proofErr w:type="spellStart"/>
      <w:r w:rsidRPr="00F21F42">
        <w:t>MAREELS</w:t>
      </w:r>
      <w:proofErr w:type="spellEnd"/>
      <w:r w:rsidRPr="00F21F42">
        <w:t xml:space="preserve"> (Employeurs – BE)</w:t>
      </w:r>
    </w:p>
    <w:p w:rsidR="007A3904" w:rsidRPr="00F21F42" w:rsidRDefault="007A3904" w:rsidP="002F0199">
      <w:pPr>
        <w:tabs>
          <w:tab w:val="left" w:pos="1701"/>
        </w:tabs>
      </w:pPr>
    </w:p>
    <w:p w:rsidR="002D4BA9" w:rsidRPr="00AC4D8A" w:rsidRDefault="007A3904" w:rsidP="002D4BA9">
      <w:pPr>
        <w:tabs>
          <w:tab w:val="center" w:pos="0"/>
          <w:tab w:val="left" w:pos="1701"/>
        </w:tabs>
        <w:rPr>
          <w:lang w:val="en-GB"/>
        </w:rPr>
      </w:pPr>
      <w:r w:rsidRPr="00F21F42">
        <w:rPr>
          <w:b/>
        </w:rPr>
        <w:t>Références:</w:t>
      </w:r>
      <w:r w:rsidRPr="00F21F42">
        <w:tab/>
      </w:r>
      <w:r w:rsidR="002D4BA9" w:rsidRPr="00AC4D8A">
        <w:rPr>
          <w:lang w:val="en-GB"/>
        </w:rPr>
        <w:t>COM(2017) 536 final – 2017/0230 (COD)</w:t>
      </w:r>
    </w:p>
    <w:p w:rsidR="002D4BA9" w:rsidRPr="00AC4D8A" w:rsidRDefault="002D4BA9" w:rsidP="002D4BA9">
      <w:pPr>
        <w:ind w:left="1701"/>
        <w:rPr>
          <w:lang w:val="en-GB"/>
        </w:rPr>
      </w:pPr>
      <w:proofErr w:type="gramStart"/>
      <w:r w:rsidRPr="00AC4D8A">
        <w:rPr>
          <w:lang w:val="en-GB"/>
        </w:rPr>
        <w:t>COM(</w:t>
      </w:r>
      <w:proofErr w:type="gramEnd"/>
      <w:r w:rsidRPr="00AC4D8A">
        <w:rPr>
          <w:lang w:val="en-GB"/>
        </w:rPr>
        <w:t>2017) 537 final – 2017/0231 (COD)</w:t>
      </w:r>
    </w:p>
    <w:p w:rsidR="002D4BA9" w:rsidRPr="00AC4D8A" w:rsidRDefault="002D4BA9" w:rsidP="002D4BA9">
      <w:pPr>
        <w:ind w:left="1701"/>
        <w:rPr>
          <w:lang w:val="en-GB"/>
        </w:rPr>
      </w:pPr>
      <w:proofErr w:type="gramStart"/>
      <w:r w:rsidRPr="00AC4D8A">
        <w:rPr>
          <w:lang w:val="en-GB"/>
        </w:rPr>
        <w:t>COM(</w:t>
      </w:r>
      <w:proofErr w:type="gramEnd"/>
      <w:r w:rsidRPr="00AC4D8A">
        <w:rPr>
          <w:lang w:val="en-GB"/>
        </w:rPr>
        <w:t>2017) 538 final – 2017/0232 (COD)</w:t>
      </w:r>
    </w:p>
    <w:p w:rsidR="007A3904" w:rsidRPr="00F21F42" w:rsidRDefault="002D4BA9" w:rsidP="002D4BA9">
      <w:pPr>
        <w:tabs>
          <w:tab w:val="center" w:pos="0"/>
          <w:tab w:val="left" w:pos="1701"/>
        </w:tabs>
        <w:rPr>
          <w:b/>
        </w:rPr>
      </w:pPr>
      <w:r>
        <w:rPr>
          <w:lang w:val="en-GB"/>
        </w:rPr>
        <w:tab/>
      </w:r>
      <w:r w:rsidRPr="00AC4D8A">
        <w:rPr>
          <w:lang w:val="en-GB"/>
        </w:rPr>
        <w:t>EESC-2017-05295-00-00-AC-TRA</w:t>
      </w:r>
    </w:p>
    <w:p w:rsidR="007A3904" w:rsidRPr="00F21F42" w:rsidRDefault="007A3904" w:rsidP="002F0199">
      <w:pPr>
        <w:keepNext/>
        <w:keepLines/>
        <w:tabs>
          <w:tab w:val="center" w:pos="284"/>
        </w:tabs>
        <w:ind w:left="266" w:hanging="266"/>
        <w:rPr>
          <w:b/>
        </w:rPr>
      </w:pPr>
    </w:p>
    <w:p w:rsidR="007A3904" w:rsidRPr="00F21F42" w:rsidRDefault="007A3904" w:rsidP="002F0199">
      <w:pPr>
        <w:keepNext/>
        <w:keepLines/>
        <w:tabs>
          <w:tab w:val="center" w:pos="284"/>
        </w:tabs>
        <w:ind w:left="266" w:hanging="266"/>
        <w:rPr>
          <w:b/>
        </w:rPr>
      </w:pPr>
      <w:r w:rsidRPr="00F21F42">
        <w:rPr>
          <w:b/>
        </w:rPr>
        <w:t>Points clés:</w:t>
      </w:r>
    </w:p>
    <w:p w:rsidR="00974EA5" w:rsidRPr="00F21F42" w:rsidRDefault="00974EA5" w:rsidP="002F0199">
      <w:pPr>
        <w:keepNext/>
        <w:ind w:left="-567"/>
        <w:rPr>
          <w:color w:val="000000" w:themeColor="text1"/>
        </w:rPr>
      </w:pPr>
    </w:p>
    <w:p w:rsidR="007A3904" w:rsidRPr="00F21F42" w:rsidRDefault="007A3904"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accueille favorablement les propositions de la Commission, qui constituent une nouvelle étape importante dans les efforts visant à parvenir à une plus grande intégration et à une plus grande convergence en renforçant la surveillance intégrée et à fournir de nouveaux éléments pour la réalisation de l’union des marchés des capitaux (</w:t>
      </w:r>
      <w:proofErr w:type="spellStart"/>
      <w:r w:rsidRPr="00F21F42">
        <w:t>UMC</w:t>
      </w:r>
      <w:proofErr w:type="spellEnd"/>
      <w:r w:rsidRPr="00F21F42">
        <w:t>) dans l’Union européenne.</w:t>
      </w:r>
    </w:p>
    <w:p w:rsidR="007A3904" w:rsidRPr="00F21F42" w:rsidRDefault="007A3904" w:rsidP="000E4B46">
      <w:pPr>
        <w:pStyle w:val="Heading2"/>
        <w:numPr>
          <w:ilvl w:val="0"/>
          <w:numId w:val="6"/>
        </w:numPr>
        <w:autoSpaceDE w:val="0"/>
        <w:autoSpaceDN w:val="0"/>
        <w:spacing w:after="120"/>
        <w:ind w:left="709" w:hanging="284"/>
      </w:pPr>
      <w:r w:rsidRPr="00F21F42">
        <w:t>L’intérêt d’un bon fonctionnement de l’</w:t>
      </w:r>
      <w:proofErr w:type="spellStart"/>
      <w:r w:rsidRPr="00F21F42">
        <w:t>UMC</w:t>
      </w:r>
      <w:proofErr w:type="spellEnd"/>
      <w:r w:rsidRPr="00F21F42">
        <w:t xml:space="preserve"> ne doit pas être sous-estimé étant donné que cette dernière peut jouer un rôle important en matière de partage transfrontière des risques par le secteur privé.</w:t>
      </w:r>
    </w:p>
    <w:p w:rsidR="007A3904" w:rsidRPr="00F21F42" w:rsidRDefault="007A3904" w:rsidP="000E4B46">
      <w:pPr>
        <w:pStyle w:val="Heading2"/>
        <w:numPr>
          <w:ilvl w:val="0"/>
          <w:numId w:val="6"/>
        </w:numPr>
        <w:autoSpaceDE w:val="0"/>
        <w:autoSpaceDN w:val="0"/>
        <w:spacing w:after="120"/>
        <w:ind w:left="709" w:hanging="284"/>
      </w:pPr>
      <w:r w:rsidRPr="00F21F42">
        <w:t>Il est dès lors très important et prioritaire de continuer à préparer le terrain pour pouvoir effectuer davantage d’opérations transfrontières sur le marché. Les entreprises doivent pouvoir exploiter plus efficacement et plus facilement les possibilités de financement en bénéficiant d’une réduction des coûts et des charges administratives auxquels elles sont confrontées. De leur côté, les consommateurs et les investisseurs doivent disposer d’un choix plus vaste et de meilleure qualité ainsi que d’une plus grande protection.</w:t>
      </w:r>
    </w:p>
    <w:p w:rsidR="007A3904" w:rsidRPr="00F21F42" w:rsidRDefault="007A3904" w:rsidP="000E4B46">
      <w:pPr>
        <w:pStyle w:val="Heading2"/>
        <w:numPr>
          <w:ilvl w:val="0"/>
          <w:numId w:val="6"/>
        </w:numPr>
        <w:autoSpaceDE w:val="0"/>
        <w:autoSpaceDN w:val="0"/>
        <w:spacing w:after="120"/>
        <w:ind w:left="709" w:hanging="284"/>
      </w:pPr>
      <w:r w:rsidRPr="00F21F42">
        <w:t>Le nouvel environnement en matière de surveillance doit être caractérisé par la recherche permanente d’un maximum de clarté et de sécurité juridique pour tous. Le défi consiste à trouver le juste équilibre entre les compétences des autorités nationales et européennes de surveillance et, dans la mesure du possible, à appliquer les principes de subsidiarité et de proportionnalité. Il convient de lutter contre les imprécisions, les chevauchements et autres situations dans le domaine de la surveillance qui empêchent ou contrarient sérieusement la réalisation de l’</w:t>
      </w:r>
      <w:proofErr w:type="spellStart"/>
      <w:r w:rsidRPr="00F21F42">
        <w:t>UMC</w:t>
      </w:r>
      <w:proofErr w:type="spellEnd"/>
      <w:r w:rsidRPr="00F21F42">
        <w:t>.</w:t>
      </w:r>
    </w:p>
    <w:p w:rsidR="007A3904" w:rsidRPr="00F21F42" w:rsidRDefault="007A3904" w:rsidP="000E4B46">
      <w:pPr>
        <w:pStyle w:val="Heading2"/>
        <w:numPr>
          <w:ilvl w:val="0"/>
          <w:numId w:val="6"/>
        </w:numPr>
        <w:autoSpaceDE w:val="0"/>
        <w:autoSpaceDN w:val="0"/>
        <w:spacing w:after="120"/>
        <w:ind w:left="709" w:hanging="284"/>
      </w:pPr>
      <w:r w:rsidRPr="00F21F42">
        <w:lastRenderedPageBreak/>
        <w:t>À l’avenir, il y aura lieu de tenir compte dans le système de surveillance des nouvelles évolutions et des technologies modernes telles que les technologies financières, ainsi que des modes de financement plus durables, conformément aux activités et aux accords internationaux.</w:t>
      </w:r>
    </w:p>
    <w:p w:rsidR="007A3904" w:rsidRPr="00F21F42" w:rsidRDefault="007A3904" w:rsidP="000E4B46">
      <w:pPr>
        <w:pStyle w:val="Heading2"/>
        <w:numPr>
          <w:ilvl w:val="0"/>
          <w:numId w:val="6"/>
        </w:numPr>
        <w:autoSpaceDE w:val="0"/>
        <w:autoSpaceDN w:val="0"/>
        <w:spacing w:after="120"/>
        <w:ind w:left="709" w:hanging="284"/>
      </w:pPr>
      <w:r w:rsidRPr="00F21F42">
        <w:t>Il y a lieu d’accorder une grande attention à la question des coûts. Lorsqu’une partie des coûts est mise directement à la charge du secteur privé, il y a lieu de veiller à la discipline budgétaire et d’éviter les doubles prélèvements. Les éventuels changements doivent se faire de manière transparente et un contrôle adéquat sur les ressources globales est en tout cas recommandé. Il y a lieu d’y associer le secteur de manière appropriée.</w:t>
      </w:r>
    </w:p>
    <w:p w:rsidR="007A3904" w:rsidRPr="00F21F42" w:rsidRDefault="007A3904" w:rsidP="000E4B46">
      <w:pPr>
        <w:pStyle w:val="Heading2"/>
        <w:numPr>
          <w:ilvl w:val="0"/>
          <w:numId w:val="6"/>
        </w:numPr>
        <w:autoSpaceDE w:val="0"/>
        <w:autoSpaceDN w:val="0"/>
        <w:spacing w:after="120"/>
        <w:ind w:left="709" w:hanging="284"/>
      </w:pPr>
      <w:r w:rsidRPr="00F21F42">
        <w:t>Les avancées futures devront, comme par le passé, s’appuyer sur le dialogue et la concertation avec toutes les instances et parties concernées, ainsi que sur des consultations publiques ouvertes à tous les acteurs intéressés.</w:t>
      </w:r>
    </w:p>
    <w:p w:rsidR="007A3904" w:rsidRPr="00F21F42" w:rsidRDefault="007A3904" w:rsidP="000E4B46">
      <w:pPr>
        <w:pStyle w:val="Heading2"/>
        <w:numPr>
          <w:ilvl w:val="0"/>
          <w:numId w:val="6"/>
        </w:numPr>
        <w:autoSpaceDE w:val="0"/>
        <w:autoSpaceDN w:val="0"/>
        <w:spacing w:after="120"/>
        <w:ind w:left="709" w:hanging="284"/>
      </w:pPr>
      <w:r w:rsidRPr="00F21F42">
        <w:t xml:space="preserve">Les propositions législatives actuelles constituent une étape importante, mais pas le point final. Pour le </w:t>
      </w:r>
      <w:proofErr w:type="spellStart"/>
      <w:r w:rsidRPr="00F21F42">
        <w:t>CESE</w:t>
      </w:r>
      <w:proofErr w:type="spellEnd"/>
      <w:r w:rsidRPr="00F21F42">
        <w:t>, il convient de continuer d’œuvrer à la réalisation de l’objectif ultime que constitue une autorité commune européenne de surveillance des marchés de capitaux, telle qu’évoquée dans le «rapport des cinq présidents».</w:t>
      </w:r>
    </w:p>
    <w:p w:rsidR="007A3904" w:rsidRPr="00F21F42" w:rsidRDefault="007A3904" w:rsidP="002F0199"/>
    <w:p w:rsidR="007A3904" w:rsidRPr="00F21F42" w:rsidRDefault="007A3904" w:rsidP="002F0199">
      <w:pPr>
        <w:tabs>
          <w:tab w:val="left" w:pos="1418"/>
        </w:tabs>
        <w:rPr>
          <w:i/>
        </w:rPr>
      </w:pPr>
      <w:r w:rsidRPr="00F21F42">
        <w:rPr>
          <w:b/>
          <w:i/>
        </w:rPr>
        <w:t>Contact:</w:t>
      </w:r>
      <w:r w:rsidRPr="00F21F42">
        <w:rPr>
          <w:i/>
        </w:rPr>
        <w:t xml:space="preserve"> </w:t>
      </w:r>
      <w:r w:rsidRPr="00F21F42">
        <w:tab/>
      </w:r>
      <w:r w:rsidRPr="00F21F42">
        <w:rPr>
          <w:i/>
        </w:rPr>
        <w:t xml:space="preserve">Gerald </w:t>
      </w:r>
      <w:proofErr w:type="spellStart"/>
      <w:r w:rsidRPr="00F21F42">
        <w:rPr>
          <w:i/>
        </w:rPr>
        <w:t>Klec</w:t>
      </w:r>
      <w:proofErr w:type="spellEnd"/>
    </w:p>
    <w:p w:rsidR="002831ED" w:rsidRPr="00F21F42" w:rsidRDefault="007A3904" w:rsidP="008169EC">
      <w:pPr>
        <w:ind w:left="1418"/>
        <w:rPr>
          <w:i/>
        </w:rPr>
      </w:pPr>
      <w:r w:rsidRPr="00F21F42">
        <w:rPr>
          <w:i/>
        </w:rPr>
        <w:t xml:space="preserve">(Tél. 00 32 2 546 9909 – courriel: </w:t>
      </w:r>
      <w:hyperlink r:id="rId23" w:history="1">
        <w:r w:rsidR="007A6394" w:rsidRPr="00AC4D8A">
          <w:rPr>
            <w:rStyle w:val="Hyperlink"/>
            <w:i/>
            <w:lang w:val="en-GB"/>
          </w:rPr>
          <w:t>Gerald.Klec@eesc.europa.eu</w:t>
        </w:r>
      </w:hyperlink>
      <w:r w:rsidRPr="00F21F42">
        <w:rPr>
          <w:i/>
        </w:rPr>
        <w:t>)</w:t>
      </w:r>
    </w:p>
    <w:p w:rsidR="002831ED" w:rsidRPr="00F21F42" w:rsidRDefault="002831ED" w:rsidP="000D3931">
      <w:pPr>
        <w:rPr>
          <w:i/>
        </w:rPr>
      </w:pPr>
      <w:r w:rsidRPr="00F21F42">
        <w:br w:type="page"/>
      </w:r>
    </w:p>
    <w:p w:rsidR="00A43397" w:rsidRPr="00F21F42" w:rsidRDefault="000C491C" w:rsidP="00FD5829">
      <w:pPr>
        <w:pStyle w:val="Heading1"/>
        <w:keepNext/>
        <w:rPr>
          <w:b/>
          <w:caps/>
        </w:rPr>
      </w:pPr>
      <w:bookmarkStart w:id="2" w:name="_Toc506371470"/>
      <w:bookmarkStart w:id="3" w:name="_Toc507410839"/>
      <w:bookmarkStart w:id="4" w:name="_GoBack"/>
      <w:r w:rsidRPr="00F21F42">
        <w:rPr>
          <w:b/>
          <w:caps/>
          <w:color w:val="424242"/>
        </w:rPr>
        <w:lastRenderedPageBreak/>
        <w:t>MARCHÉ UNIQUE, PRODUCTION ET CONSOMMATION</w:t>
      </w:r>
      <w:bookmarkEnd w:id="2"/>
      <w:bookmarkEnd w:id="3"/>
    </w:p>
    <w:p w:rsidR="00915C4E" w:rsidRPr="00F21F42" w:rsidRDefault="00915C4E" w:rsidP="00FD5829">
      <w:pPr>
        <w:keepNext/>
        <w:rPr>
          <w:i/>
          <w:iCs/>
          <w:u w:val="single"/>
        </w:rPr>
      </w:pPr>
    </w:p>
    <w:p w:rsidR="002831ED" w:rsidRPr="00F21F42" w:rsidRDefault="007C3321" w:rsidP="00FD5829">
      <w:pPr>
        <w:pStyle w:val="ListParagraph"/>
        <w:keepNext/>
        <w:widowControl w:val="0"/>
        <w:numPr>
          <w:ilvl w:val="0"/>
          <w:numId w:val="9"/>
        </w:numPr>
        <w:rPr>
          <w:i/>
          <w:sz w:val="28"/>
          <w:szCs w:val="28"/>
        </w:rPr>
      </w:pPr>
      <w:r w:rsidRPr="00F21F42">
        <w:rPr>
          <w:rFonts w:eastAsiaTheme="minorEastAsia"/>
          <w:b/>
          <w:i/>
          <w:sz w:val="28"/>
        </w:rPr>
        <w:t>Paquet marchés publics</w:t>
      </w:r>
    </w:p>
    <w:p w:rsidR="002831ED" w:rsidRPr="00F21F42" w:rsidRDefault="002831ED" w:rsidP="00FD5829">
      <w:pPr>
        <w:keepNext/>
        <w:tabs>
          <w:tab w:val="center" w:pos="284"/>
        </w:tabs>
        <w:ind w:left="266" w:hanging="266"/>
        <w:rPr>
          <w:b/>
        </w:rPr>
      </w:pPr>
    </w:p>
    <w:bookmarkEnd w:id="4"/>
    <w:p w:rsidR="002831ED" w:rsidRPr="00F21F42" w:rsidRDefault="002831ED" w:rsidP="002F0199">
      <w:pPr>
        <w:tabs>
          <w:tab w:val="center" w:pos="0"/>
          <w:tab w:val="left" w:pos="1701"/>
        </w:tabs>
      </w:pPr>
      <w:r w:rsidRPr="00F21F42">
        <w:rPr>
          <w:b/>
        </w:rPr>
        <w:t>Rapporteur:</w:t>
      </w:r>
      <w:r w:rsidRPr="00F21F42">
        <w:tab/>
        <w:t xml:space="preserve">Antonello </w:t>
      </w:r>
      <w:proofErr w:type="spellStart"/>
      <w:r w:rsidRPr="00F21F42">
        <w:t>PEZZINI</w:t>
      </w:r>
      <w:proofErr w:type="spellEnd"/>
      <w:r w:rsidRPr="00F21F42">
        <w:t xml:space="preserve"> (Employeurs – IT) </w:t>
      </w:r>
    </w:p>
    <w:p w:rsidR="002831ED" w:rsidRPr="00F21F42" w:rsidRDefault="002831ED" w:rsidP="002F0199">
      <w:pPr>
        <w:tabs>
          <w:tab w:val="center" w:pos="0"/>
          <w:tab w:val="left" w:pos="1701"/>
        </w:tabs>
        <w:rPr>
          <w:b/>
        </w:rPr>
      </w:pPr>
    </w:p>
    <w:p w:rsidR="002831ED" w:rsidRPr="00F21F42" w:rsidRDefault="002831ED" w:rsidP="002F0199">
      <w:pPr>
        <w:tabs>
          <w:tab w:val="center" w:pos="0"/>
          <w:tab w:val="left" w:pos="1701"/>
        </w:tabs>
      </w:pPr>
      <w:r w:rsidRPr="00F21F42">
        <w:rPr>
          <w:b/>
        </w:rPr>
        <w:t>Références:</w:t>
      </w:r>
      <w:r w:rsidRPr="00F21F42">
        <w:tab/>
        <w:t xml:space="preserve">COM(2017) 572 </w:t>
      </w:r>
      <w:proofErr w:type="gramStart"/>
      <w:r w:rsidRPr="00F21F42">
        <w:t>final</w:t>
      </w:r>
      <w:proofErr w:type="gramEnd"/>
    </w:p>
    <w:p w:rsidR="002831ED" w:rsidRPr="00F21F42" w:rsidRDefault="002831ED" w:rsidP="008169EC">
      <w:pPr>
        <w:ind w:left="1701"/>
      </w:pPr>
      <w:r w:rsidRPr="00F21F42">
        <w:t xml:space="preserve">COM(2017) 573 </w:t>
      </w:r>
      <w:proofErr w:type="gramStart"/>
      <w:r w:rsidRPr="00F21F42">
        <w:t>final</w:t>
      </w:r>
      <w:proofErr w:type="gramEnd"/>
    </w:p>
    <w:p w:rsidR="002831ED" w:rsidRPr="00F21F42" w:rsidRDefault="002831ED" w:rsidP="008169EC">
      <w:pPr>
        <w:ind w:left="1701"/>
      </w:pPr>
      <w:r w:rsidRPr="00F21F42">
        <w:t xml:space="preserve">C(2017) 6654 final - </w:t>
      </w:r>
      <w:proofErr w:type="spellStart"/>
      <w:r w:rsidRPr="00F21F42">
        <w:t>SWD</w:t>
      </w:r>
      <w:proofErr w:type="spellEnd"/>
      <w:r w:rsidRPr="00F21F42">
        <w:t>(2017) 327 final</w:t>
      </w:r>
    </w:p>
    <w:p w:rsidR="002831ED" w:rsidRPr="00F21F42" w:rsidRDefault="002831ED" w:rsidP="008169EC">
      <w:pPr>
        <w:ind w:left="1701"/>
      </w:pPr>
      <w:r w:rsidRPr="00F21F42">
        <w:t>EESC-2017-05294-00-00-AC-TRA</w:t>
      </w:r>
    </w:p>
    <w:p w:rsidR="002831ED" w:rsidRPr="00F21F42" w:rsidRDefault="002831ED" w:rsidP="002F0199">
      <w:pPr>
        <w:tabs>
          <w:tab w:val="center" w:pos="284"/>
        </w:tabs>
        <w:ind w:left="266" w:hanging="266"/>
      </w:pPr>
    </w:p>
    <w:p w:rsidR="002831ED" w:rsidRPr="00F21F42" w:rsidRDefault="007C3321" w:rsidP="002F0199">
      <w:pPr>
        <w:tabs>
          <w:tab w:val="center" w:pos="284"/>
        </w:tabs>
        <w:ind w:left="266" w:hanging="266"/>
        <w:rPr>
          <w:b/>
        </w:rPr>
      </w:pPr>
      <w:r w:rsidRPr="00F21F42">
        <w:rPr>
          <w:b/>
        </w:rPr>
        <w:t>Points clés:</w:t>
      </w:r>
    </w:p>
    <w:p w:rsidR="00974EA5" w:rsidRPr="00F21F42" w:rsidRDefault="00974EA5" w:rsidP="002F0199">
      <w:pPr>
        <w:ind w:left="-567"/>
      </w:pPr>
    </w:p>
    <w:p w:rsidR="002831ED" w:rsidRPr="00F21F42" w:rsidRDefault="002831ED" w:rsidP="002F0199">
      <w:r w:rsidRPr="00F21F42">
        <w:t xml:space="preserve">Le </w:t>
      </w:r>
      <w:proofErr w:type="spellStart"/>
      <w:r w:rsidRPr="00F21F42">
        <w:t>CESE</w:t>
      </w:r>
      <w:proofErr w:type="spellEnd"/>
      <w:r w:rsidRPr="00F21F42">
        <w:t>:</w:t>
      </w:r>
    </w:p>
    <w:p w:rsidR="00DB2CC6" w:rsidRPr="00F21F42" w:rsidRDefault="00DB2CC6" w:rsidP="002F0199"/>
    <w:p w:rsidR="00124C17" w:rsidRPr="00EA31C9" w:rsidRDefault="00124C17" w:rsidP="000E4B46">
      <w:pPr>
        <w:pStyle w:val="Heading2"/>
        <w:numPr>
          <w:ilvl w:val="0"/>
          <w:numId w:val="6"/>
        </w:numPr>
        <w:autoSpaceDE w:val="0"/>
        <w:autoSpaceDN w:val="0"/>
        <w:spacing w:after="120"/>
        <w:ind w:left="709" w:hanging="284"/>
      </w:pPr>
      <w:proofErr w:type="gramStart"/>
      <w:r w:rsidRPr="00AC4D8A">
        <w:t>accueille</w:t>
      </w:r>
      <w:proofErr w:type="gramEnd"/>
      <w:r w:rsidRPr="00AC4D8A">
        <w:t xml:space="preserve"> favorablement le nouveau train de mesures sur les marchés publics</w:t>
      </w:r>
      <w:r w:rsidRPr="00EA31C9">
        <w:t>;</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recommande</w:t>
      </w:r>
      <w:proofErr w:type="gramEnd"/>
      <w:r w:rsidRPr="00F21F42">
        <w:t xml:space="preserve"> de promouvoir l’utilisation de l’«offre économiquement la plus avantageuse», en tant que critère de sélection des offres;</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est</w:t>
      </w:r>
      <w:proofErr w:type="gramEnd"/>
      <w:r w:rsidRPr="00F21F42">
        <w:t xml:space="preserve"> favorable à une plus grande professionnalisation de toutes les parties concernées et à une participation accrue des entreprises sociales, en vue de lutter contre la fraude et la corruption en renforçant la transformation numérique des marchés;</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salue</w:t>
      </w:r>
      <w:proofErr w:type="gramEnd"/>
      <w:r w:rsidRPr="00F21F42">
        <w:t xml:space="preserve"> les efforts visant à améliorer l’accès des PME et des entreprises de l’économie sociale aux marchés publics et souligne qu’il existe encore de nombreux obstacles à leur pleine participation;</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recommande</w:t>
      </w:r>
      <w:proofErr w:type="gramEnd"/>
      <w:r w:rsidRPr="00F21F42">
        <w:t xml:space="preserve"> l’inclusion de contenus spécifiques en matière sociale et environnementale dans tous les programmes de formation nationaux et de l’UE;</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estime</w:t>
      </w:r>
      <w:proofErr w:type="gramEnd"/>
      <w:r w:rsidRPr="00F21F42">
        <w:t xml:space="preserve"> qu’il eût été préférable qu’en lieu et place d’une recommandation, la Commission adopte une directive, afin d’assurer un cadre efficace et cohérent pour la professionnalisation des marchés publics.</w:t>
      </w:r>
    </w:p>
    <w:p w:rsidR="002831ED" w:rsidRPr="00F21F42" w:rsidRDefault="002831ED" w:rsidP="002F0199">
      <w:pPr>
        <w:rPr>
          <w:szCs w:val="24"/>
        </w:rPr>
      </w:pPr>
    </w:p>
    <w:p w:rsidR="002831ED" w:rsidRPr="00F21F42" w:rsidRDefault="002831ED" w:rsidP="002F0199">
      <w:pPr>
        <w:tabs>
          <w:tab w:val="left" w:pos="1418"/>
        </w:tabs>
        <w:rPr>
          <w:i/>
        </w:rPr>
      </w:pPr>
      <w:r w:rsidRPr="00F21F42">
        <w:rPr>
          <w:b/>
          <w:i/>
        </w:rPr>
        <w:t>Contact:</w:t>
      </w:r>
      <w:r w:rsidRPr="00F21F42">
        <w:tab/>
      </w:r>
      <w:r w:rsidRPr="00F21F42">
        <w:rPr>
          <w:i/>
        </w:rPr>
        <w:t xml:space="preserve">Alice </w:t>
      </w:r>
      <w:proofErr w:type="spellStart"/>
      <w:r w:rsidRPr="00F21F42">
        <w:rPr>
          <w:i/>
        </w:rPr>
        <w:t>Tétu</w:t>
      </w:r>
      <w:proofErr w:type="spellEnd"/>
    </w:p>
    <w:p w:rsidR="002831ED" w:rsidRPr="00F21F42" w:rsidRDefault="002831ED" w:rsidP="008169EC">
      <w:pPr>
        <w:ind w:left="1418"/>
        <w:rPr>
          <w:i/>
        </w:rPr>
      </w:pPr>
      <w:r w:rsidRPr="00F21F42">
        <w:rPr>
          <w:i/>
        </w:rPr>
        <w:t xml:space="preserve">(Tél. 00 32 2 546 82 86 – courriel: </w:t>
      </w:r>
      <w:hyperlink r:id="rId24" w:history="1">
        <w:r w:rsidRPr="00F21F42">
          <w:rPr>
            <w:rStyle w:val="Hyperlink"/>
            <w:i/>
          </w:rPr>
          <w:t>Alice.Tetu@eesc.europa.eu</w:t>
        </w:r>
      </w:hyperlink>
      <w:r w:rsidRPr="00F21F42">
        <w:rPr>
          <w:i/>
        </w:rPr>
        <w:t>)</w:t>
      </w:r>
    </w:p>
    <w:p w:rsidR="008C670E" w:rsidRPr="00F21F42" w:rsidRDefault="008C670E" w:rsidP="000D3931"/>
    <w:p w:rsidR="00915C4E" w:rsidRPr="00F21F42" w:rsidRDefault="00915C4E" w:rsidP="002F0199">
      <w:pPr>
        <w:ind w:left="-567" w:hanging="284"/>
        <w:rPr>
          <w:b/>
          <w:highlight w:val="yellow"/>
          <w:u w:val="single"/>
        </w:rPr>
      </w:pPr>
    </w:p>
    <w:p w:rsidR="002831ED" w:rsidRPr="00F21F42" w:rsidRDefault="00CA18F8" w:rsidP="000E4B46">
      <w:pPr>
        <w:pStyle w:val="ListParagraph"/>
        <w:widowControl w:val="0"/>
        <w:numPr>
          <w:ilvl w:val="0"/>
          <w:numId w:val="10"/>
        </w:numPr>
        <w:rPr>
          <w:i/>
          <w:sz w:val="28"/>
          <w:szCs w:val="28"/>
        </w:rPr>
      </w:pPr>
      <w:r w:rsidRPr="00F21F42">
        <w:rPr>
          <w:b/>
          <w:i/>
          <w:sz w:val="28"/>
        </w:rPr>
        <w:t>Émissions de CO</w:t>
      </w:r>
      <w:r w:rsidRPr="00F21F42">
        <w:rPr>
          <w:b/>
          <w:i/>
          <w:sz w:val="28"/>
          <w:vertAlign w:val="subscript"/>
        </w:rPr>
        <w:t>2</w:t>
      </w:r>
      <w:r w:rsidRPr="00F21F42">
        <w:rPr>
          <w:b/>
          <w:i/>
          <w:sz w:val="28"/>
        </w:rPr>
        <w:t xml:space="preserve"> des voitures particulières et véhicules utilitaires</w:t>
      </w:r>
    </w:p>
    <w:p w:rsidR="002831ED" w:rsidRPr="00F21F42" w:rsidRDefault="002831ED" w:rsidP="002F0199">
      <w:pPr>
        <w:tabs>
          <w:tab w:val="center" w:pos="284"/>
        </w:tabs>
        <w:ind w:left="266" w:hanging="266"/>
        <w:rPr>
          <w:b/>
        </w:rPr>
      </w:pPr>
    </w:p>
    <w:p w:rsidR="002831ED" w:rsidRPr="00F21F42" w:rsidRDefault="002831ED" w:rsidP="002F0199">
      <w:pPr>
        <w:tabs>
          <w:tab w:val="center" w:pos="0"/>
          <w:tab w:val="left" w:pos="1701"/>
        </w:tabs>
      </w:pPr>
      <w:r w:rsidRPr="00F21F42">
        <w:rPr>
          <w:b/>
        </w:rPr>
        <w:t>Rapporteur:</w:t>
      </w:r>
      <w:r w:rsidRPr="00F21F42">
        <w:tab/>
        <w:t>Dirk </w:t>
      </w:r>
      <w:proofErr w:type="spellStart"/>
      <w:r w:rsidRPr="00F21F42">
        <w:t>BERGRATH</w:t>
      </w:r>
      <w:proofErr w:type="spellEnd"/>
      <w:r w:rsidRPr="00F21F42">
        <w:t xml:space="preserve"> (Travailleurs – DE)</w:t>
      </w:r>
    </w:p>
    <w:p w:rsidR="002831ED" w:rsidRPr="00F21F42" w:rsidRDefault="002831ED" w:rsidP="002F0199">
      <w:pPr>
        <w:tabs>
          <w:tab w:val="center" w:pos="0"/>
          <w:tab w:val="left" w:pos="1701"/>
        </w:tabs>
        <w:rPr>
          <w:b/>
        </w:rPr>
      </w:pPr>
    </w:p>
    <w:p w:rsidR="002831ED" w:rsidRPr="00F21F42" w:rsidRDefault="002831ED" w:rsidP="002F0199">
      <w:pPr>
        <w:tabs>
          <w:tab w:val="center" w:pos="0"/>
          <w:tab w:val="left" w:pos="1701"/>
        </w:tabs>
      </w:pPr>
      <w:r w:rsidRPr="00F21F42">
        <w:rPr>
          <w:b/>
        </w:rPr>
        <w:t>Références:</w:t>
      </w:r>
      <w:r w:rsidRPr="00F21F42">
        <w:tab/>
        <w:t>COM(2017) 676 final – 2017/0293 (COD)</w:t>
      </w:r>
    </w:p>
    <w:p w:rsidR="002831ED" w:rsidRPr="00F21F42" w:rsidRDefault="002831ED" w:rsidP="008169EC">
      <w:pPr>
        <w:ind w:left="1701"/>
      </w:pPr>
      <w:r w:rsidRPr="00F21F42">
        <w:t>EESC-2017-05269-00-00-AC-TRA</w:t>
      </w:r>
    </w:p>
    <w:p w:rsidR="002831ED" w:rsidRPr="00F21F42" w:rsidRDefault="002831ED" w:rsidP="002F0199">
      <w:pPr>
        <w:tabs>
          <w:tab w:val="center" w:pos="284"/>
        </w:tabs>
        <w:ind w:left="266" w:hanging="266"/>
      </w:pPr>
    </w:p>
    <w:p w:rsidR="002831ED" w:rsidRPr="00F21F42" w:rsidRDefault="008C670E" w:rsidP="004F0286">
      <w:pPr>
        <w:keepNext/>
        <w:tabs>
          <w:tab w:val="center" w:pos="284"/>
        </w:tabs>
        <w:ind w:left="266" w:hanging="266"/>
        <w:rPr>
          <w:b/>
        </w:rPr>
      </w:pPr>
      <w:r w:rsidRPr="00F21F42">
        <w:rPr>
          <w:b/>
        </w:rPr>
        <w:lastRenderedPageBreak/>
        <w:t>Points clés:</w:t>
      </w:r>
    </w:p>
    <w:p w:rsidR="00974EA5" w:rsidRPr="00F21F42" w:rsidRDefault="00974EA5" w:rsidP="004F0286">
      <w:pPr>
        <w:keepNext/>
        <w:ind w:left="-567"/>
        <w:rPr>
          <w:b/>
        </w:rPr>
      </w:pPr>
    </w:p>
    <w:p w:rsidR="002831ED" w:rsidRPr="00F21F42" w:rsidRDefault="002831ED" w:rsidP="004F0286">
      <w:pPr>
        <w:keepNext/>
      </w:pPr>
      <w:r w:rsidRPr="00F21F42">
        <w:t xml:space="preserve">Le </w:t>
      </w:r>
      <w:proofErr w:type="spellStart"/>
      <w:r w:rsidRPr="00F21F42">
        <w:t>CESE</w:t>
      </w:r>
      <w:proofErr w:type="spellEnd"/>
    </w:p>
    <w:p w:rsidR="00DB2CC6" w:rsidRPr="00F21F42" w:rsidRDefault="00DB2CC6" w:rsidP="004F0286">
      <w:pPr>
        <w:keepNext/>
      </w:pPr>
    </w:p>
    <w:p w:rsidR="002831ED" w:rsidRPr="00F21F42" w:rsidRDefault="002831ED" w:rsidP="000E4B46">
      <w:pPr>
        <w:pStyle w:val="Heading2"/>
        <w:numPr>
          <w:ilvl w:val="0"/>
          <w:numId w:val="6"/>
        </w:numPr>
        <w:autoSpaceDE w:val="0"/>
        <w:autoSpaceDN w:val="0"/>
        <w:spacing w:after="120"/>
        <w:ind w:left="709" w:hanging="284"/>
      </w:pPr>
      <w:r w:rsidRPr="00F21F42">
        <w:t>approuve les propositions de la Commission dans la recherche d’un compromis équilibré entre les objectifs en matière de climat, d’innovation et d’emploi, et accueille favorablement l’évolution du marché vers des véhicules à émissions nulles et des véhicules à faible taux d’émissions ou hybrides;</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juge</w:t>
      </w:r>
      <w:proofErr w:type="gramEnd"/>
      <w:r w:rsidRPr="00F21F42">
        <w:t xml:space="preserve"> notamment très ambitieux l’objectif intermédiaire pour 2025, étant donné que les modifications à apporter aux moteurs à combustion interne se situent aux limites de la technologie;</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demande</w:t>
      </w:r>
      <w:proofErr w:type="gramEnd"/>
      <w:r w:rsidRPr="00F21F42">
        <w:t xml:space="preserve"> à la Commission un suivi permanent des réceptions de véhicules neufs; </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demande</w:t>
      </w:r>
      <w:proofErr w:type="gramEnd"/>
      <w:r w:rsidRPr="00F21F42">
        <w:t xml:space="preserve"> à la Commission de veiller à ce que cette transition structurelle s’accompagne de mesures de politique industrielle étant donné l’absence d’une évaluation globale d’impact social et économique;</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propose</w:t>
      </w:r>
      <w:proofErr w:type="gramEnd"/>
      <w:r w:rsidRPr="00F21F42">
        <w:t xml:space="preserve"> que l’on examine, dans le cadre de l’évaluation intermédiaire prévue pour 2024, dans quelle mesure les objectifs en matière de climat, d’innovation et d’emploi ont été atteints;</w:t>
      </w:r>
    </w:p>
    <w:p w:rsidR="002831ED" w:rsidRPr="00F21F42" w:rsidRDefault="002831ED" w:rsidP="000E4B46">
      <w:pPr>
        <w:pStyle w:val="Heading2"/>
        <w:numPr>
          <w:ilvl w:val="0"/>
          <w:numId w:val="6"/>
        </w:numPr>
        <w:autoSpaceDE w:val="0"/>
        <w:autoSpaceDN w:val="0"/>
        <w:spacing w:after="120"/>
        <w:ind w:left="709" w:hanging="284"/>
      </w:pPr>
      <w:r w:rsidRPr="00F21F42">
        <w:t>demande une évaluation intermédiaire de l’état d’avancement des travaux en matière de qualification, de recyclage et de formation du personnel, ainsi qu’une analyse actualisée des domaines dans lesquels il convient d’agir;</w:t>
      </w:r>
    </w:p>
    <w:p w:rsidR="002831ED" w:rsidRPr="00F21F42" w:rsidRDefault="002831ED" w:rsidP="000E4B46">
      <w:pPr>
        <w:pStyle w:val="Heading2"/>
        <w:numPr>
          <w:ilvl w:val="0"/>
          <w:numId w:val="6"/>
        </w:numPr>
        <w:autoSpaceDE w:val="0"/>
        <w:autoSpaceDN w:val="0"/>
        <w:spacing w:after="120"/>
        <w:ind w:left="709" w:hanging="284"/>
      </w:pPr>
      <w:proofErr w:type="gramStart"/>
      <w:r w:rsidRPr="00F21F42">
        <w:t>est</w:t>
      </w:r>
      <w:proofErr w:type="gramEnd"/>
      <w:r w:rsidRPr="00F21F42">
        <w:t xml:space="preserve"> d’avis que les astreintes, tant celles qui sont déjà en place que celles découlant du règlement issu de la refonte, devraient être utilisées pour soutenir le secteur et ses travailleurs dans leur transition vers des produits à faible intensité de carbone.</w:t>
      </w:r>
    </w:p>
    <w:p w:rsidR="002831ED" w:rsidRPr="00F21F42" w:rsidRDefault="002831ED" w:rsidP="002F0199">
      <w:pPr>
        <w:rPr>
          <w:b/>
        </w:rPr>
      </w:pPr>
    </w:p>
    <w:p w:rsidR="002831ED" w:rsidRPr="00F21F42" w:rsidRDefault="002831ED" w:rsidP="002F0199">
      <w:pPr>
        <w:tabs>
          <w:tab w:val="left" w:pos="1418"/>
        </w:tabs>
        <w:rPr>
          <w:i/>
        </w:rPr>
      </w:pPr>
      <w:r w:rsidRPr="00F21F42">
        <w:rPr>
          <w:b/>
          <w:i/>
        </w:rPr>
        <w:t>Contact:</w:t>
      </w:r>
      <w:r w:rsidRPr="00F21F42">
        <w:tab/>
      </w:r>
      <w:r w:rsidRPr="00F21F42">
        <w:rPr>
          <w:i/>
        </w:rPr>
        <w:t xml:space="preserve">Claudia </w:t>
      </w:r>
      <w:proofErr w:type="spellStart"/>
      <w:r w:rsidRPr="00F21F42">
        <w:rPr>
          <w:i/>
        </w:rPr>
        <w:t>Drewes-Wran</w:t>
      </w:r>
      <w:proofErr w:type="spellEnd"/>
    </w:p>
    <w:p w:rsidR="005B4883" w:rsidRPr="00F21F42" w:rsidRDefault="002831ED" w:rsidP="008169EC">
      <w:pPr>
        <w:ind w:left="1418"/>
        <w:rPr>
          <w:i/>
        </w:rPr>
      </w:pPr>
      <w:r w:rsidRPr="00F21F42">
        <w:rPr>
          <w:i/>
        </w:rPr>
        <w:t xml:space="preserve">(Tél. 00 32 2 546 80 67 – courriel: </w:t>
      </w:r>
      <w:hyperlink r:id="rId25" w:history="1">
        <w:r w:rsidRPr="00F21F42">
          <w:rPr>
            <w:rStyle w:val="Hyperlink"/>
            <w:i/>
          </w:rPr>
          <w:t>Claudia.Drewes-Wran@eesc.europa.eu</w:t>
        </w:r>
      </w:hyperlink>
      <w:r w:rsidRPr="00F21F42">
        <w:rPr>
          <w:i/>
        </w:rPr>
        <w:t>)</w:t>
      </w:r>
    </w:p>
    <w:p w:rsidR="00124C17" w:rsidRDefault="00124C17" w:rsidP="002F0199">
      <w:pPr>
        <w:rPr>
          <w:i/>
          <w:iCs/>
          <w:u w:val="single"/>
        </w:rPr>
      </w:pPr>
      <w:r>
        <w:rPr>
          <w:i/>
          <w:iCs/>
          <w:u w:val="single"/>
        </w:rPr>
        <w:br w:type="page"/>
      </w:r>
    </w:p>
    <w:p w:rsidR="00915C4E" w:rsidRPr="00F21F42" w:rsidRDefault="00915C4E" w:rsidP="002F0199">
      <w:pPr>
        <w:rPr>
          <w:i/>
          <w:iCs/>
          <w:u w:val="single"/>
        </w:rPr>
      </w:pPr>
    </w:p>
    <w:p w:rsidR="0088128E" w:rsidRPr="00F21F42" w:rsidRDefault="00543DD5" w:rsidP="000E4B46">
      <w:pPr>
        <w:pStyle w:val="ListParagraph"/>
        <w:widowControl w:val="0"/>
        <w:numPr>
          <w:ilvl w:val="0"/>
          <w:numId w:val="17"/>
        </w:numPr>
        <w:rPr>
          <w:i/>
          <w:sz w:val="28"/>
          <w:szCs w:val="28"/>
        </w:rPr>
      </w:pPr>
      <w:r w:rsidRPr="00F21F42">
        <w:rPr>
          <w:rFonts w:eastAsiaTheme="minorEastAsia"/>
          <w:b/>
          <w:i/>
          <w:sz w:val="28"/>
        </w:rPr>
        <w:t>Contrats de vente de biens (modification)</w:t>
      </w:r>
    </w:p>
    <w:p w:rsidR="0088128E" w:rsidRPr="00F21F42" w:rsidRDefault="0088128E" w:rsidP="002F0199">
      <w:pPr>
        <w:tabs>
          <w:tab w:val="center" w:pos="284"/>
        </w:tabs>
        <w:ind w:left="266" w:hanging="266"/>
        <w:rPr>
          <w:b/>
        </w:rPr>
      </w:pPr>
    </w:p>
    <w:p w:rsidR="0088128E" w:rsidRPr="00F21F42" w:rsidRDefault="00731308" w:rsidP="00C532C0">
      <w:pPr>
        <w:tabs>
          <w:tab w:val="left" w:pos="2268"/>
        </w:tabs>
        <w:ind w:left="266" w:hanging="266"/>
      </w:pPr>
      <w:r w:rsidRPr="00F21F42">
        <w:rPr>
          <w:b/>
        </w:rPr>
        <w:t>Rapporteurs généraux:</w:t>
      </w:r>
      <w:r w:rsidRPr="00F21F42">
        <w:tab/>
        <w:t>Christophe LEFÈVRE (Travailleurs – FR)</w:t>
      </w:r>
    </w:p>
    <w:p w:rsidR="0088128E" w:rsidRPr="00F21F42" w:rsidRDefault="007E3168" w:rsidP="00C532C0">
      <w:pPr>
        <w:tabs>
          <w:tab w:val="left" w:pos="2268"/>
        </w:tabs>
      </w:pPr>
      <w:r w:rsidRPr="00F21F42">
        <w:tab/>
        <w:t xml:space="preserve">Jorge </w:t>
      </w:r>
      <w:proofErr w:type="spellStart"/>
      <w:r w:rsidRPr="00F21F42">
        <w:t>PEGADO</w:t>
      </w:r>
      <w:proofErr w:type="spellEnd"/>
      <w:r w:rsidRPr="00F21F42">
        <w:t xml:space="preserve"> LIZ (Activités diverses – PT)</w:t>
      </w:r>
    </w:p>
    <w:p w:rsidR="007E3168" w:rsidRPr="00F21F42" w:rsidRDefault="007E3168" w:rsidP="00C532C0">
      <w:pPr>
        <w:tabs>
          <w:tab w:val="left" w:pos="2268"/>
        </w:tabs>
      </w:pPr>
      <w:r w:rsidRPr="00F21F42">
        <w:tab/>
        <w:t xml:space="preserve">Lech </w:t>
      </w:r>
      <w:proofErr w:type="spellStart"/>
      <w:r w:rsidRPr="00F21F42">
        <w:t>PILAWSKI</w:t>
      </w:r>
      <w:proofErr w:type="spellEnd"/>
      <w:r w:rsidRPr="00F21F42">
        <w:t xml:space="preserve"> (</w:t>
      </w:r>
      <w:r w:rsidR="00124C17">
        <w:t>Employ</w:t>
      </w:r>
      <w:r w:rsidRPr="00F21F42">
        <w:t>eurs – PL)</w:t>
      </w:r>
    </w:p>
    <w:p w:rsidR="007E3168" w:rsidRPr="00F21F42" w:rsidRDefault="007E3168" w:rsidP="002F0199">
      <w:pPr>
        <w:tabs>
          <w:tab w:val="center" w:pos="284"/>
          <w:tab w:val="left" w:pos="2268"/>
        </w:tabs>
        <w:ind w:left="266" w:hanging="266"/>
        <w:rPr>
          <w:b/>
        </w:rPr>
      </w:pPr>
    </w:p>
    <w:p w:rsidR="0088128E" w:rsidRPr="00F21F42" w:rsidRDefault="0088128E" w:rsidP="008169EC">
      <w:pPr>
        <w:tabs>
          <w:tab w:val="center" w:pos="284"/>
          <w:tab w:val="left" w:pos="1701"/>
        </w:tabs>
        <w:ind w:left="266" w:hanging="266"/>
      </w:pPr>
      <w:r w:rsidRPr="00F21F42">
        <w:rPr>
          <w:b/>
        </w:rPr>
        <w:t>Références:</w:t>
      </w:r>
      <w:r w:rsidRPr="00F21F42">
        <w:tab/>
        <w:t>COM(2017) 637 final – 2015/0288 (COD)</w:t>
      </w:r>
    </w:p>
    <w:p w:rsidR="0088128E" w:rsidRPr="00F21F42" w:rsidRDefault="0088128E" w:rsidP="008169EC">
      <w:pPr>
        <w:ind w:left="1701"/>
      </w:pPr>
      <w:r w:rsidRPr="00F21F42">
        <w:t>EESC-2017-06235-00-01-AC-TRA</w:t>
      </w:r>
    </w:p>
    <w:p w:rsidR="0088128E" w:rsidRPr="00F21F42" w:rsidRDefault="0088128E" w:rsidP="002F0199">
      <w:pPr>
        <w:tabs>
          <w:tab w:val="center" w:pos="284"/>
        </w:tabs>
        <w:ind w:left="266" w:hanging="266"/>
      </w:pPr>
    </w:p>
    <w:p w:rsidR="0088128E" w:rsidRPr="00F21F42" w:rsidRDefault="005D40E1" w:rsidP="002F0199">
      <w:pPr>
        <w:tabs>
          <w:tab w:val="center" w:pos="284"/>
        </w:tabs>
        <w:ind w:left="266" w:hanging="266"/>
        <w:rPr>
          <w:b/>
        </w:rPr>
      </w:pPr>
      <w:r w:rsidRPr="00F21F42">
        <w:rPr>
          <w:b/>
        </w:rPr>
        <w:t>Points clés:</w:t>
      </w:r>
    </w:p>
    <w:p w:rsidR="00974EA5" w:rsidRPr="00F21F42" w:rsidRDefault="00974EA5" w:rsidP="002F0199">
      <w:pPr>
        <w:tabs>
          <w:tab w:val="center" w:pos="284"/>
        </w:tabs>
        <w:ind w:left="-567" w:hanging="266"/>
      </w:pPr>
    </w:p>
    <w:p w:rsidR="0088128E" w:rsidRPr="00F21F42" w:rsidRDefault="0088128E" w:rsidP="002F0199">
      <w:pPr>
        <w:tabs>
          <w:tab w:val="center" w:pos="284"/>
        </w:tabs>
        <w:ind w:left="266" w:hanging="266"/>
        <w:rPr>
          <w:b/>
        </w:rPr>
      </w:pPr>
      <w:r w:rsidRPr="00F21F42">
        <w:rPr>
          <w:b/>
        </w:rPr>
        <w:t xml:space="preserve">Le </w:t>
      </w:r>
      <w:proofErr w:type="spellStart"/>
      <w:r w:rsidRPr="00F21F42">
        <w:rPr>
          <w:b/>
        </w:rPr>
        <w:t>CESE</w:t>
      </w:r>
      <w:proofErr w:type="spellEnd"/>
      <w:r w:rsidRPr="00F21F42">
        <w:rPr>
          <w:b/>
        </w:rPr>
        <w:t>:</w:t>
      </w:r>
    </w:p>
    <w:p w:rsidR="00DB2CC6" w:rsidRPr="00F21F42" w:rsidRDefault="00DB2CC6" w:rsidP="002F0199">
      <w:pPr>
        <w:tabs>
          <w:tab w:val="center" w:pos="284"/>
        </w:tabs>
        <w:ind w:left="266" w:hanging="266"/>
        <w:rPr>
          <w:b/>
        </w:rPr>
      </w:pPr>
    </w:p>
    <w:p w:rsidR="0088128E" w:rsidRPr="00F21F42" w:rsidRDefault="0088128E" w:rsidP="000E4B46">
      <w:pPr>
        <w:pStyle w:val="Heading2"/>
        <w:numPr>
          <w:ilvl w:val="0"/>
          <w:numId w:val="6"/>
        </w:numPr>
        <w:autoSpaceDE w:val="0"/>
        <w:autoSpaceDN w:val="0"/>
        <w:spacing w:after="120"/>
        <w:ind w:left="709" w:hanging="284"/>
      </w:pPr>
      <w:proofErr w:type="gramStart"/>
      <w:r w:rsidRPr="00F21F42">
        <w:t>réitère</w:t>
      </w:r>
      <w:proofErr w:type="gramEnd"/>
      <w:r w:rsidRPr="00F21F42">
        <w:t xml:space="preserve"> pour l</w:t>
      </w:r>
      <w:r w:rsidR="000D3931" w:rsidRPr="00F21F42">
        <w:t>’</w:t>
      </w:r>
      <w:r w:rsidRPr="00F21F42">
        <w:t>essentiel les positions qu</w:t>
      </w:r>
      <w:r w:rsidR="000D3931" w:rsidRPr="00F21F42">
        <w:t>’</w:t>
      </w:r>
      <w:r w:rsidRPr="00F21F42">
        <w:t>il a exprimées dans son avis sur les propositions présentées par la Commission en 2015, selon lesquelles les règles applicables à la vente de biens devraient être les mêmes quel que soit le canal de vente;</w:t>
      </w:r>
    </w:p>
    <w:p w:rsidR="0088128E" w:rsidRPr="00F21F42" w:rsidRDefault="0088128E" w:rsidP="000E4B46">
      <w:pPr>
        <w:pStyle w:val="Heading2"/>
        <w:numPr>
          <w:ilvl w:val="0"/>
          <w:numId w:val="6"/>
        </w:numPr>
        <w:autoSpaceDE w:val="0"/>
        <w:autoSpaceDN w:val="0"/>
        <w:spacing w:after="120"/>
        <w:ind w:left="709" w:hanging="284"/>
      </w:pPr>
      <w:proofErr w:type="gramStart"/>
      <w:r w:rsidRPr="00F21F42">
        <w:lastRenderedPageBreak/>
        <w:t>se</w:t>
      </w:r>
      <w:proofErr w:type="gramEnd"/>
      <w:r w:rsidRPr="00F21F42">
        <w:t xml:space="preserve"> félicite que la proposition modifiée de directive à l’examen élargisse aux ventes de biens en face à face le champ d’application de la proposition de directive concernant certains aspects des contrats de ventes en ligne;</w:t>
      </w:r>
    </w:p>
    <w:p w:rsidR="0088128E" w:rsidRPr="00124C17" w:rsidRDefault="0088128E" w:rsidP="000E4B46">
      <w:pPr>
        <w:pStyle w:val="Heading2"/>
        <w:numPr>
          <w:ilvl w:val="0"/>
          <w:numId w:val="6"/>
        </w:numPr>
        <w:autoSpaceDE w:val="0"/>
        <w:autoSpaceDN w:val="0"/>
        <w:spacing w:after="120"/>
        <w:ind w:left="709" w:hanging="284"/>
      </w:pPr>
      <w:proofErr w:type="gramStart"/>
      <w:r w:rsidRPr="00F21F42">
        <w:t>invite</w:t>
      </w:r>
      <w:proofErr w:type="gramEnd"/>
      <w:r w:rsidRPr="00F21F42">
        <w:t xml:space="preserve"> la Commission à prendre en compte, dans sa proposition, un certain nombre de recommandations contenues dans son avis.</w:t>
      </w:r>
    </w:p>
    <w:p w:rsidR="0088128E" w:rsidRPr="00F21F42" w:rsidRDefault="0088128E" w:rsidP="002F0199">
      <w:pPr>
        <w:tabs>
          <w:tab w:val="center" w:pos="284"/>
        </w:tabs>
        <w:ind w:left="266" w:hanging="266"/>
        <w:rPr>
          <w:b/>
        </w:rPr>
      </w:pPr>
    </w:p>
    <w:p w:rsidR="0088128E" w:rsidRPr="00F21F42" w:rsidRDefault="0088128E" w:rsidP="002F0199">
      <w:pPr>
        <w:tabs>
          <w:tab w:val="left" w:pos="1418"/>
        </w:tabs>
        <w:rPr>
          <w:i/>
        </w:rPr>
      </w:pPr>
      <w:r w:rsidRPr="00F21F42">
        <w:rPr>
          <w:b/>
          <w:i/>
        </w:rPr>
        <w:t>Contact</w:t>
      </w:r>
      <w:r w:rsidRPr="00F21F42">
        <w:t>:</w:t>
      </w:r>
      <w:r w:rsidRPr="00F21F42">
        <w:tab/>
      </w:r>
      <w:r w:rsidRPr="00F21F42">
        <w:rPr>
          <w:i/>
        </w:rPr>
        <w:t>Janine Borg</w:t>
      </w:r>
    </w:p>
    <w:p w:rsidR="0088128E" w:rsidRPr="00F21F42" w:rsidRDefault="0088128E" w:rsidP="008169EC">
      <w:pPr>
        <w:ind w:left="1418"/>
        <w:rPr>
          <w:i/>
        </w:rPr>
      </w:pPr>
      <w:r w:rsidRPr="00F21F42">
        <w:rPr>
          <w:i/>
        </w:rPr>
        <w:t xml:space="preserve">(Tél. 00 32 2 546 88 79 – courriel: </w:t>
      </w:r>
      <w:hyperlink r:id="rId26" w:history="1">
        <w:r w:rsidRPr="00F21F42">
          <w:rPr>
            <w:rStyle w:val="Hyperlink"/>
            <w:i/>
          </w:rPr>
          <w:t>Janine.Borg@eesc.europa.eu</w:t>
        </w:r>
      </w:hyperlink>
    </w:p>
    <w:p w:rsidR="0088128E" w:rsidRPr="00F21F42" w:rsidRDefault="0088128E" w:rsidP="002F0199">
      <w:pPr>
        <w:tabs>
          <w:tab w:val="left" w:pos="1418"/>
        </w:tabs>
        <w:rPr>
          <w:i/>
          <w:iCs/>
          <w:u w:val="single"/>
        </w:rPr>
      </w:pPr>
    </w:p>
    <w:p w:rsidR="002831ED" w:rsidRPr="00F21F42" w:rsidRDefault="002831ED" w:rsidP="000D3931">
      <w:pPr>
        <w:rPr>
          <w:caps/>
        </w:rPr>
      </w:pPr>
      <w:r w:rsidRPr="00F21F42">
        <w:br w:type="page"/>
      </w:r>
    </w:p>
    <w:p w:rsidR="00A43397" w:rsidRPr="00F21F42" w:rsidRDefault="000C491C" w:rsidP="00FD5829">
      <w:pPr>
        <w:pStyle w:val="Heading1"/>
        <w:keepNext/>
        <w:rPr>
          <w:b/>
          <w:caps/>
        </w:rPr>
      </w:pPr>
      <w:bookmarkStart w:id="5" w:name="_Toc506371471"/>
      <w:bookmarkStart w:id="6" w:name="_Toc507410840"/>
      <w:r w:rsidRPr="00F21F42">
        <w:rPr>
          <w:b/>
          <w:caps/>
          <w:color w:val="424242"/>
        </w:rPr>
        <w:lastRenderedPageBreak/>
        <w:t>TRANSPORTS, ÉNERGIE, INFRASTRUCTURES ET SOCIÉTÉ DE L’INFORMATION</w:t>
      </w:r>
      <w:bookmarkEnd w:id="5"/>
      <w:bookmarkEnd w:id="6"/>
    </w:p>
    <w:p w:rsidR="00915C4E" w:rsidRPr="00F21F42" w:rsidRDefault="00915C4E" w:rsidP="00FD5829">
      <w:pPr>
        <w:keepNext/>
        <w:widowControl w:val="0"/>
        <w:ind w:left="-567"/>
      </w:pPr>
    </w:p>
    <w:p w:rsidR="002831ED" w:rsidRPr="00F21F42" w:rsidRDefault="002831ED" w:rsidP="00FD5829">
      <w:pPr>
        <w:keepNext/>
        <w:widowControl w:val="0"/>
        <w:numPr>
          <w:ilvl w:val="0"/>
          <w:numId w:val="2"/>
        </w:numPr>
        <w:rPr>
          <w:bCs/>
          <w:i/>
        </w:rPr>
      </w:pPr>
      <w:r w:rsidRPr="00F21F42">
        <w:rPr>
          <w:b/>
          <w:i/>
          <w:sz w:val="28"/>
        </w:rPr>
        <w:t>Libre circulation des données à caractère non personnel dans l’UE</w:t>
      </w:r>
    </w:p>
    <w:p w:rsidR="002831ED" w:rsidRPr="00F21F42" w:rsidRDefault="002831ED" w:rsidP="00FD5829">
      <w:pPr>
        <w:keepNext/>
        <w:widowControl w:val="0"/>
        <w:rPr>
          <w:bCs/>
          <w:highlight w:val="green"/>
        </w:rPr>
      </w:pPr>
    </w:p>
    <w:p w:rsidR="002831ED" w:rsidRPr="00F21F42" w:rsidRDefault="002831ED" w:rsidP="002F0199">
      <w:pPr>
        <w:tabs>
          <w:tab w:val="left" w:pos="1701"/>
        </w:tabs>
      </w:pPr>
      <w:r w:rsidRPr="00F21F42">
        <w:rPr>
          <w:b/>
        </w:rPr>
        <w:t>Rapporteur:</w:t>
      </w:r>
      <w:r w:rsidRPr="00F21F42">
        <w:tab/>
        <w:t xml:space="preserve">Jorge </w:t>
      </w:r>
      <w:proofErr w:type="spellStart"/>
      <w:r w:rsidRPr="00F21F42">
        <w:t>PEGADO</w:t>
      </w:r>
      <w:proofErr w:type="spellEnd"/>
      <w:r w:rsidRPr="00F21F42">
        <w:t xml:space="preserve"> LIZ (Activités diverses – PT)</w:t>
      </w:r>
    </w:p>
    <w:p w:rsidR="00CA18F8" w:rsidRPr="00F21F42" w:rsidRDefault="00CA18F8" w:rsidP="002F0199">
      <w:pPr>
        <w:tabs>
          <w:tab w:val="left" w:pos="1701"/>
        </w:tabs>
      </w:pPr>
    </w:p>
    <w:p w:rsidR="00CA18F8" w:rsidRPr="00F21F42" w:rsidRDefault="002831ED" w:rsidP="002F0199">
      <w:pPr>
        <w:tabs>
          <w:tab w:val="left" w:pos="1701"/>
        </w:tabs>
      </w:pPr>
      <w:r w:rsidRPr="00F21F42">
        <w:rPr>
          <w:b/>
        </w:rPr>
        <w:t>Références:</w:t>
      </w:r>
      <w:r w:rsidR="00D3020E">
        <w:tab/>
        <w:t>COM</w:t>
      </w:r>
      <w:r w:rsidRPr="00F21F42">
        <w:t>(2017) 495 final – 2017/0228 (COD)</w:t>
      </w:r>
    </w:p>
    <w:p w:rsidR="002831ED" w:rsidRPr="00F21F42" w:rsidRDefault="002831ED" w:rsidP="008169EC">
      <w:pPr>
        <w:ind w:left="1701"/>
      </w:pPr>
      <w:r w:rsidRPr="00F21F42">
        <w:t>EESC-2017-04820-00-00-AC-TRA</w:t>
      </w:r>
    </w:p>
    <w:p w:rsidR="002831ED" w:rsidRPr="00F21F42" w:rsidRDefault="002831ED" w:rsidP="002F0199">
      <w:pPr>
        <w:tabs>
          <w:tab w:val="num" w:pos="550"/>
        </w:tabs>
        <w:rPr>
          <w:b/>
          <w:highlight w:val="green"/>
        </w:rPr>
      </w:pPr>
    </w:p>
    <w:p w:rsidR="00DB2CC6" w:rsidRPr="00F21F42" w:rsidRDefault="002831ED" w:rsidP="002F0199">
      <w:pPr>
        <w:rPr>
          <w:b/>
        </w:rPr>
      </w:pPr>
      <w:r w:rsidRPr="00F21F42">
        <w:rPr>
          <w:b/>
        </w:rPr>
        <w:t>Points clés:</w:t>
      </w:r>
    </w:p>
    <w:p w:rsidR="00974EA5" w:rsidRPr="00F21F42" w:rsidRDefault="00974EA5" w:rsidP="002F0199">
      <w:pPr>
        <w:ind w:left="-567"/>
      </w:pPr>
    </w:p>
    <w:p w:rsidR="002831ED" w:rsidRPr="00124C17" w:rsidRDefault="002831ED" w:rsidP="000E4B46">
      <w:pPr>
        <w:pStyle w:val="Heading2"/>
        <w:numPr>
          <w:ilvl w:val="0"/>
          <w:numId w:val="6"/>
        </w:numPr>
        <w:autoSpaceDE w:val="0"/>
        <w:autoSpaceDN w:val="0"/>
        <w:spacing w:after="120"/>
        <w:ind w:left="709" w:hanging="284"/>
      </w:pPr>
      <w:r w:rsidRPr="00124C17">
        <w:t>Le Comité a déjà souligné, dans plusieurs de ses avis antérieurs, la nécessité d’une initiative législative en matière de libre circulation des données à caractère non personnel, estimant qu’il s’agit d’un passage obligé qui est essentiel pour atteindre les objectifs de la stratégie numérique et mettre en œuvre le marché unique numérique. La proposition de la Commission relative à la libre circulation de données à caractère non personnel dans l’Union européenne représente l’un des principaux volets juridiques de l’avenir de la politique européenne en faveur du développement de l’économie des données et de ses effets sur la croissance économique, la recherche scientifique,, l’industrie et les services en général, dont les services publics en particulier.</w:t>
      </w:r>
    </w:p>
    <w:p w:rsidR="00974EA5" w:rsidRPr="00124C17" w:rsidRDefault="00974EA5" w:rsidP="00124C17">
      <w:pPr>
        <w:pStyle w:val="Heading2"/>
        <w:numPr>
          <w:ilvl w:val="0"/>
          <w:numId w:val="0"/>
        </w:numPr>
        <w:autoSpaceDE w:val="0"/>
        <w:autoSpaceDN w:val="0"/>
        <w:spacing w:after="120"/>
        <w:ind w:left="425"/>
      </w:pPr>
    </w:p>
    <w:p w:rsidR="002831ED" w:rsidRPr="00124C17" w:rsidRDefault="002831ED" w:rsidP="000E4B46">
      <w:pPr>
        <w:pStyle w:val="Heading2"/>
        <w:numPr>
          <w:ilvl w:val="0"/>
          <w:numId w:val="6"/>
        </w:numPr>
        <w:autoSpaceDE w:val="0"/>
        <w:autoSpaceDN w:val="0"/>
        <w:spacing w:after="120"/>
        <w:ind w:left="709" w:hanging="284"/>
      </w:pPr>
      <w:r w:rsidRPr="00124C17">
        <w:t xml:space="preserve">Le </w:t>
      </w:r>
      <w:proofErr w:type="spellStart"/>
      <w:r w:rsidRPr="00124C17">
        <w:t>CESE</w:t>
      </w:r>
      <w:proofErr w:type="spellEnd"/>
      <w:r w:rsidRPr="00124C17">
        <w:t xml:space="preserve"> considère cependant que cette proposition intervient assez tardivement et qu’en outre, son champ d’application trop étriqué, le flou et le manque d’assertivité des mécanismes annoncés et surtout le manque d’ambition, de volonté et de détermination politiques sont de nature à compromettre ses objectifs. </w:t>
      </w:r>
    </w:p>
    <w:p w:rsidR="00974EA5" w:rsidRPr="00124C17" w:rsidRDefault="00974EA5" w:rsidP="00124C17">
      <w:pPr>
        <w:pStyle w:val="Heading2"/>
        <w:numPr>
          <w:ilvl w:val="0"/>
          <w:numId w:val="0"/>
        </w:numPr>
        <w:autoSpaceDE w:val="0"/>
        <w:autoSpaceDN w:val="0"/>
        <w:spacing w:after="120"/>
        <w:ind w:left="425"/>
      </w:pPr>
    </w:p>
    <w:p w:rsidR="002831ED" w:rsidRPr="00124C17" w:rsidRDefault="002831ED" w:rsidP="000E4B46">
      <w:pPr>
        <w:pStyle w:val="Heading2"/>
        <w:numPr>
          <w:ilvl w:val="0"/>
          <w:numId w:val="6"/>
        </w:numPr>
        <w:autoSpaceDE w:val="0"/>
        <w:autoSpaceDN w:val="0"/>
        <w:spacing w:after="120"/>
        <w:ind w:left="709" w:hanging="284"/>
      </w:pPr>
      <w:r w:rsidRPr="00124C17">
        <w:t xml:space="preserve">Le </w:t>
      </w:r>
      <w:proofErr w:type="spellStart"/>
      <w:r w:rsidRPr="00124C17">
        <w:t>CESE</w:t>
      </w:r>
      <w:proofErr w:type="spellEnd"/>
      <w:r w:rsidRPr="00124C17">
        <w:t xml:space="preserve"> ne peut donner son aval au document dans sa version actuelle. Il n’est disposé à souscrire à la proposition à l’examen que si et seulement si elle est modifiée conformément aux suggestions énumérées dans le présent document et qu’elle est clairement envisagée comme le plus grand dénominateur commun qui soit acceptable, pour les États membres comme pour les parties intéressées, mais en se plaçant, en tout état de cause, dans la perspective qu’il s’agit d’un premier pas qui évoluera vers des formes plus ambitieuses mettant en œuvre une véritable libre circulation des données à caractère non personnel au sein du marché numérique de l’Union européenne. Une autre condition indispensable est qu</w:t>
      </w:r>
      <w:r w:rsidR="000D3931" w:rsidRPr="00124C17">
        <w:t>’</w:t>
      </w:r>
      <w:r w:rsidRPr="00124C17">
        <w:t>il soit dûment tenu compte lors de cet exercice des aspects internationaux d’une économie mondiale dans laquelle cette initiative doit nécessairement s’inscrire.</w:t>
      </w:r>
    </w:p>
    <w:p w:rsidR="002831ED" w:rsidRPr="00124C17" w:rsidRDefault="002831ED" w:rsidP="00124C17">
      <w:pPr>
        <w:pStyle w:val="Heading2"/>
        <w:numPr>
          <w:ilvl w:val="0"/>
          <w:numId w:val="0"/>
        </w:numPr>
        <w:autoSpaceDE w:val="0"/>
        <w:autoSpaceDN w:val="0"/>
        <w:spacing w:after="120"/>
        <w:ind w:left="425"/>
      </w:pPr>
    </w:p>
    <w:p w:rsidR="002831ED" w:rsidRPr="00F21F42" w:rsidRDefault="002831ED" w:rsidP="002F0199">
      <w:pPr>
        <w:tabs>
          <w:tab w:val="left" w:pos="1418"/>
        </w:tabs>
        <w:rPr>
          <w:i/>
        </w:rPr>
      </w:pPr>
      <w:r w:rsidRPr="00F21F42">
        <w:rPr>
          <w:b/>
          <w:i/>
        </w:rPr>
        <w:t>Contact:</w:t>
      </w:r>
      <w:r w:rsidRPr="00F21F42">
        <w:tab/>
      </w:r>
      <w:r w:rsidRPr="00F21F42">
        <w:rPr>
          <w:i/>
        </w:rPr>
        <w:t xml:space="preserve">Maja </w:t>
      </w:r>
      <w:proofErr w:type="spellStart"/>
      <w:r w:rsidRPr="00F21F42">
        <w:rPr>
          <w:i/>
        </w:rPr>
        <w:t>Radman</w:t>
      </w:r>
      <w:proofErr w:type="spellEnd"/>
    </w:p>
    <w:p w:rsidR="002831ED" w:rsidRPr="00F21F42" w:rsidRDefault="002831ED" w:rsidP="008169EC">
      <w:pPr>
        <w:ind w:left="1418"/>
        <w:rPr>
          <w:i/>
        </w:rPr>
      </w:pPr>
      <w:r w:rsidRPr="00F21F42">
        <w:rPr>
          <w:i/>
        </w:rPr>
        <w:t xml:space="preserve">(Tél. 00 32 2 546 9051 – courriel: </w:t>
      </w:r>
      <w:hyperlink r:id="rId27" w:history="1">
        <w:r w:rsidRPr="00F21F42">
          <w:rPr>
            <w:rStyle w:val="Hyperlink"/>
            <w:i/>
          </w:rPr>
          <w:t>Maja.Radman@eesc.europa.eu</w:t>
        </w:r>
      </w:hyperlink>
      <w:r w:rsidRPr="00F21F42">
        <w:rPr>
          <w:i/>
        </w:rPr>
        <w:t>)</w:t>
      </w:r>
    </w:p>
    <w:p w:rsidR="00915C4E" w:rsidRPr="00F21F42" w:rsidRDefault="00915C4E" w:rsidP="002F0199">
      <w:pPr>
        <w:widowControl w:val="0"/>
        <w:ind w:left="-567"/>
      </w:pPr>
    </w:p>
    <w:p w:rsidR="002831ED" w:rsidRPr="00F21F42" w:rsidRDefault="002831ED" w:rsidP="004F0286">
      <w:pPr>
        <w:keepNext/>
        <w:widowControl w:val="0"/>
        <w:numPr>
          <w:ilvl w:val="0"/>
          <w:numId w:val="2"/>
        </w:numPr>
        <w:rPr>
          <w:bCs/>
          <w:i/>
          <w:sz w:val="28"/>
          <w:szCs w:val="28"/>
        </w:rPr>
      </w:pPr>
      <w:r w:rsidRPr="00F21F42">
        <w:rPr>
          <w:b/>
          <w:i/>
          <w:sz w:val="28"/>
        </w:rPr>
        <w:lastRenderedPageBreak/>
        <w:t xml:space="preserve">Acte législatif sur la </w:t>
      </w:r>
      <w:proofErr w:type="spellStart"/>
      <w:r w:rsidRPr="00F21F42">
        <w:rPr>
          <w:b/>
          <w:i/>
          <w:sz w:val="28"/>
        </w:rPr>
        <w:t>cybersécurité</w:t>
      </w:r>
      <w:proofErr w:type="spellEnd"/>
    </w:p>
    <w:p w:rsidR="002831ED" w:rsidRPr="00F21F42" w:rsidRDefault="002831ED" w:rsidP="004F0286">
      <w:pPr>
        <w:keepNext/>
        <w:widowControl w:val="0"/>
        <w:rPr>
          <w:bCs/>
          <w:highlight w:val="green"/>
        </w:rPr>
      </w:pPr>
    </w:p>
    <w:p w:rsidR="00CA18F8" w:rsidRPr="00F21F42" w:rsidRDefault="002831ED" w:rsidP="004F0286">
      <w:pPr>
        <w:keepNext/>
        <w:tabs>
          <w:tab w:val="left" w:pos="1701"/>
        </w:tabs>
      </w:pPr>
      <w:r w:rsidRPr="00F21F42">
        <w:rPr>
          <w:b/>
        </w:rPr>
        <w:t>Rapporteur:</w:t>
      </w:r>
      <w:r w:rsidRPr="00F21F42">
        <w:tab/>
        <w:t>Alberto </w:t>
      </w:r>
      <w:proofErr w:type="spellStart"/>
      <w:r w:rsidRPr="00F21F42">
        <w:t>MAZZOLA</w:t>
      </w:r>
      <w:proofErr w:type="spellEnd"/>
      <w:r w:rsidRPr="00F21F42">
        <w:t xml:space="preserve"> (Employeurs – IT)</w:t>
      </w:r>
    </w:p>
    <w:p w:rsidR="002831ED" w:rsidRPr="00F21F42" w:rsidRDefault="004B03FA" w:rsidP="004F0286">
      <w:pPr>
        <w:keepNext/>
        <w:tabs>
          <w:tab w:val="left" w:pos="1701"/>
        </w:tabs>
      </w:pPr>
      <w:proofErr w:type="spellStart"/>
      <w:r w:rsidRPr="00F21F42">
        <w:rPr>
          <w:b/>
        </w:rPr>
        <w:t>Corapporteur</w:t>
      </w:r>
      <w:proofErr w:type="spellEnd"/>
      <w:r w:rsidRPr="00F21F42">
        <w:rPr>
          <w:b/>
        </w:rPr>
        <w:t>:</w:t>
      </w:r>
      <w:r w:rsidRPr="00F21F42">
        <w:tab/>
        <w:t>Antonio LONGO (Activités diverses – IT)</w:t>
      </w:r>
    </w:p>
    <w:p w:rsidR="00CA18F8" w:rsidRPr="00F21F42" w:rsidRDefault="00CA18F8" w:rsidP="002F0199">
      <w:pPr>
        <w:tabs>
          <w:tab w:val="left" w:pos="1701"/>
        </w:tabs>
      </w:pPr>
    </w:p>
    <w:p w:rsidR="00CA18F8" w:rsidRPr="00F21F42" w:rsidRDefault="002831ED" w:rsidP="008169EC">
      <w:pPr>
        <w:tabs>
          <w:tab w:val="left" w:pos="1701"/>
        </w:tabs>
      </w:pPr>
      <w:r w:rsidRPr="00F21F42">
        <w:rPr>
          <w:b/>
        </w:rPr>
        <w:t>Références:</w:t>
      </w:r>
      <w:r w:rsidRPr="00F21F42">
        <w:tab/>
        <w:t xml:space="preserve">COM(2017) 477 final/2 </w:t>
      </w:r>
      <w:r w:rsidR="005C4368" w:rsidRPr="00F21F42">
        <w:t>–</w:t>
      </w:r>
      <w:r w:rsidRPr="00F21F42">
        <w:t xml:space="preserve"> 2017/0225 (COD)</w:t>
      </w:r>
    </w:p>
    <w:p w:rsidR="002831ED" w:rsidRPr="00F21F42" w:rsidRDefault="002831ED" w:rsidP="008169EC">
      <w:pPr>
        <w:ind w:left="1701"/>
        <w:rPr>
          <w:highlight w:val="green"/>
        </w:rPr>
      </w:pPr>
      <w:r w:rsidRPr="00F21F42">
        <w:t>EESC-2017-04390-00-00-AC-TRA</w:t>
      </w:r>
    </w:p>
    <w:p w:rsidR="002831ED" w:rsidRPr="00F21F42" w:rsidRDefault="002831ED" w:rsidP="002F0199">
      <w:pPr>
        <w:rPr>
          <w:b/>
          <w:highlight w:val="green"/>
        </w:rPr>
      </w:pPr>
    </w:p>
    <w:p w:rsidR="002831ED" w:rsidRPr="00F21F42" w:rsidRDefault="002831ED" w:rsidP="002F0199">
      <w:pPr>
        <w:rPr>
          <w:b/>
        </w:rPr>
      </w:pPr>
      <w:r w:rsidRPr="00F21F42">
        <w:rPr>
          <w:b/>
        </w:rPr>
        <w:t xml:space="preserve">Points clés: </w:t>
      </w:r>
    </w:p>
    <w:p w:rsidR="00974EA5" w:rsidRPr="00F21F42" w:rsidRDefault="00974EA5" w:rsidP="002F0199">
      <w:pPr>
        <w:ind w:left="-567"/>
        <w:rPr>
          <w:color w:val="000000"/>
        </w:rPr>
      </w:pPr>
    </w:p>
    <w:p w:rsidR="00DB2CC6" w:rsidRPr="00124C17" w:rsidRDefault="002831ED" w:rsidP="000E4B46">
      <w:pPr>
        <w:pStyle w:val="Heading2"/>
        <w:numPr>
          <w:ilvl w:val="0"/>
          <w:numId w:val="6"/>
        </w:numPr>
        <w:autoSpaceDE w:val="0"/>
        <w:autoSpaceDN w:val="0"/>
        <w:spacing w:after="120"/>
        <w:ind w:left="709" w:hanging="284"/>
      </w:pPr>
      <w:r w:rsidRPr="00124C17">
        <w:t xml:space="preserve">Le </w:t>
      </w:r>
      <w:proofErr w:type="spellStart"/>
      <w:r w:rsidRPr="00124C17">
        <w:t>CESE</w:t>
      </w:r>
      <w:proofErr w:type="spellEnd"/>
      <w:r w:rsidRPr="00124C17">
        <w:t xml:space="preserve"> estime que le nouveau mandat permanent de l’Agence de l’Union européenne pour la </w:t>
      </w:r>
      <w:proofErr w:type="spellStart"/>
      <w:r w:rsidRPr="00124C17">
        <w:t>cybersécurité</w:t>
      </w:r>
      <w:proofErr w:type="spellEnd"/>
      <w:r w:rsidRPr="00124C17">
        <w:t xml:space="preserve"> (</w:t>
      </w:r>
      <w:proofErr w:type="spellStart"/>
      <w:r w:rsidRPr="00124C17">
        <w:t>ENISA</w:t>
      </w:r>
      <w:proofErr w:type="spellEnd"/>
      <w:r w:rsidRPr="00124C17">
        <w:t>) tel qu’il est proposé par la Commission contribuera de manière significative à renforcer la résilience des systèmes européens. Toutefois, le budget prévisionnel et les ressources qu’il est prévu d’affecter à l’</w:t>
      </w:r>
      <w:proofErr w:type="spellStart"/>
      <w:r w:rsidRPr="00124C17">
        <w:t>ENISA</w:t>
      </w:r>
      <w:proofErr w:type="spellEnd"/>
      <w:r w:rsidRPr="00124C17">
        <w:t xml:space="preserve"> ne seront pas suffisants pour permettre à l’agence de s’acquitter de sa mission. Le </w:t>
      </w:r>
      <w:proofErr w:type="spellStart"/>
      <w:r w:rsidRPr="00124C17">
        <w:t>CESE</w:t>
      </w:r>
      <w:proofErr w:type="spellEnd"/>
      <w:r w:rsidRPr="00124C17">
        <w:t xml:space="preserve"> recommande que tous les États membres mettent en place une instance clairement définie qui soit un équivalent de l’</w:t>
      </w:r>
      <w:proofErr w:type="spellStart"/>
      <w:r w:rsidRPr="00124C17">
        <w:t>ENISA</w:t>
      </w:r>
      <w:proofErr w:type="spellEnd"/>
      <w:r w:rsidRPr="00124C17">
        <w:t xml:space="preserve"> au niveau national, la plupart d’entre eux ne l’ayant pas encore fait. Le </w:t>
      </w:r>
      <w:proofErr w:type="spellStart"/>
      <w:r w:rsidRPr="00124C17">
        <w:t>CESE</w:t>
      </w:r>
      <w:proofErr w:type="spellEnd"/>
      <w:r w:rsidRPr="00124C17">
        <w:t xml:space="preserve"> estime par ailleurs que l’</w:t>
      </w:r>
      <w:proofErr w:type="spellStart"/>
      <w:r w:rsidRPr="00124C17">
        <w:t>ENISA</w:t>
      </w:r>
      <w:proofErr w:type="spellEnd"/>
      <w:r w:rsidRPr="00124C17">
        <w:t xml:space="preserve"> devrait accorder la priorité aux actions visant à soutenir l’administration en ligne, fournir des rapports réguliers au sujet de la préparation des États membres en matière de </w:t>
      </w:r>
      <w:proofErr w:type="spellStart"/>
      <w:r w:rsidRPr="00124C17">
        <w:t>cybermenaces</w:t>
      </w:r>
      <w:proofErr w:type="spellEnd"/>
      <w:r w:rsidRPr="00124C17">
        <w:t xml:space="preserve">, en se concentrant essentiellement sur les secteurs recensés à l’annexe II de la directive SRI et contrôler les résultats et la prise de décision des autorités nationales de contrôle de la certification. Le </w:t>
      </w:r>
      <w:proofErr w:type="spellStart"/>
      <w:r w:rsidRPr="00124C17">
        <w:t>CESE</w:t>
      </w:r>
      <w:proofErr w:type="spellEnd"/>
      <w:r w:rsidRPr="00124C17">
        <w:t xml:space="preserve"> soutient la proposition visant à créer un réseau de compétences en </w:t>
      </w:r>
      <w:proofErr w:type="spellStart"/>
      <w:r w:rsidRPr="00124C17">
        <w:t>cybersécurité</w:t>
      </w:r>
      <w:proofErr w:type="spellEnd"/>
      <w:r w:rsidRPr="00124C17">
        <w:t xml:space="preserve">. Ce réseau serait épaulé par un centre européen de recherche et de compétences en </w:t>
      </w:r>
      <w:proofErr w:type="spellStart"/>
      <w:r w:rsidRPr="00124C17">
        <w:t>cybersécurité</w:t>
      </w:r>
      <w:proofErr w:type="spellEnd"/>
      <w:r w:rsidRPr="00124C17">
        <w:t>.</w:t>
      </w:r>
    </w:p>
    <w:p w:rsidR="002831ED" w:rsidRPr="00124C17" w:rsidRDefault="002831ED" w:rsidP="000E4B46">
      <w:pPr>
        <w:pStyle w:val="Heading2"/>
        <w:numPr>
          <w:ilvl w:val="0"/>
          <w:numId w:val="6"/>
        </w:numPr>
        <w:autoSpaceDE w:val="0"/>
        <w:autoSpaceDN w:val="0"/>
        <w:spacing w:after="120"/>
        <w:ind w:left="709" w:hanging="284"/>
      </w:pPr>
      <w:r w:rsidRPr="00124C17">
        <w:t xml:space="preserve">Le </w:t>
      </w:r>
      <w:proofErr w:type="spellStart"/>
      <w:r w:rsidRPr="00124C17">
        <w:t>CESE</w:t>
      </w:r>
      <w:proofErr w:type="spellEnd"/>
      <w:r w:rsidRPr="00124C17">
        <w:t xml:space="preserve"> rappelle que le facteur humain est l’une des principales causes des accidents de </w:t>
      </w:r>
      <w:proofErr w:type="spellStart"/>
      <w:r w:rsidRPr="00124C17">
        <w:t>cybersécurité</w:t>
      </w:r>
      <w:proofErr w:type="spellEnd"/>
      <w:r w:rsidRPr="00124C17">
        <w:t xml:space="preserve">. Il est nécessaire d’établir une solide base de cyber-compétences et d’améliorer la cyber-hygiène et la sensibilisation auprès des particuliers et des entreprises. Le </w:t>
      </w:r>
      <w:proofErr w:type="spellStart"/>
      <w:r w:rsidRPr="00124C17">
        <w:t>CESE</w:t>
      </w:r>
      <w:proofErr w:type="spellEnd"/>
      <w:r w:rsidRPr="00124C17">
        <w:t xml:space="preserve"> est favorable à la mise en place d’un programme de formation certifié par l’UE à l’intention des établissements du second degré et des professionnels.</w:t>
      </w:r>
    </w:p>
    <w:p w:rsidR="002831ED" w:rsidRPr="00124C17" w:rsidRDefault="002831ED" w:rsidP="000E4B46">
      <w:pPr>
        <w:pStyle w:val="Heading2"/>
        <w:numPr>
          <w:ilvl w:val="0"/>
          <w:numId w:val="6"/>
        </w:numPr>
        <w:autoSpaceDE w:val="0"/>
        <w:autoSpaceDN w:val="0"/>
        <w:spacing w:after="120"/>
        <w:ind w:left="709" w:hanging="284"/>
      </w:pPr>
      <w:r w:rsidRPr="00124C17">
        <w:t xml:space="preserve">Le </w:t>
      </w:r>
      <w:proofErr w:type="spellStart"/>
      <w:r w:rsidRPr="00124C17">
        <w:t>CESE</w:t>
      </w:r>
      <w:proofErr w:type="spellEnd"/>
      <w:r w:rsidRPr="00124C17">
        <w:t xml:space="preserve"> estime qu’un marché unique numérique européen a besoin d’une interprétation uniforme des règles en matière de </w:t>
      </w:r>
      <w:proofErr w:type="spellStart"/>
      <w:r w:rsidRPr="00124C17">
        <w:t>cybersécurité</w:t>
      </w:r>
      <w:proofErr w:type="spellEnd"/>
      <w:r w:rsidRPr="00124C17">
        <w:t xml:space="preserve"> et qu’un cadre ainsi que des systèmes de certification pour les différents secteurs seraient à même de fournir une base commune. Les divers secteurs nécessitant des approches différentes, le </w:t>
      </w:r>
      <w:proofErr w:type="spellStart"/>
      <w:r w:rsidRPr="00124C17">
        <w:t>CESE</w:t>
      </w:r>
      <w:proofErr w:type="spellEnd"/>
      <w:r w:rsidRPr="00124C17">
        <w:t xml:space="preserve"> estime que les agences sectorielles de l’UE (l’</w:t>
      </w:r>
      <w:proofErr w:type="spellStart"/>
      <w:r w:rsidRPr="00124C17">
        <w:t>AESA</w:t>
      </w:r>
      <w:proofErr w:type="spellEnd"/>
      <w:r w:rsidRPr="00124C17">
        <w:t>, l’</w:t>
      </w:r>
      <w:proofErr w:type="spellStart"/>
      <w:r w:rsidRPr="00124C17">
        <w:t>AFE</w:t>
      </w:r>
      <w:proofErr w:type="spellEnd"/>
      <w:r w:rsidRPr="00124C17">
        <w:t>, l’</w:t>
      </w:r>
      <w:proofErr w:type="spellStart"/>
      <w:r w:rsidRPr="00124C17">
        <w:t>EMA</w:t>
      </w:r>
      <w:proofErr w:type="spellEnd"/>
      <w:r w:rsidRPr="00124C17">
        <w:t xml:space="preserve">, etc.) devraient être associées au processus et, dans certains cas, chargées de concevoir des systèmes de </w:t>
      </w:r>
      <w:proofErr w:type="spellStart"/>
      <w:r w:rsidRPr="00124C17">
        <w:t>cybersécurité</w:t>
      </w:r>
      <w:proofErr w:type="spellEnd"/>
      <w:r w:rsidRPr="00124C17">
        <w:t xml:space="preserve">. Des normes européennes minimales en matière de sécurité informatique devraient être arrêtées en coopération avec le CEN, le </w:t>
      </w:r>
      <w:proofErr w:type="spellStart"/>
      <w:r w:rsidRPr="00124C17">
        <w:t>CENELEC</w:t>
      </w:r>
      <w:proofErr w:type="spellEnd"/>
      <w:r w:rsidRPr="00124C17">
        <w:t xml:space="preserve"> et l’ETSI. Le Groupe européen de certification de </w:t>
      </w:r>
      <w:proofErr w:type="spellStart"/>
      <w:r w:rsidRPr="00124C17">
        <w:t>cybersécurité</w:t>
      </w:r>
      <w:proofErr w:type="spellEnd"/>
      <w:r w:rsidRPr="00124C17">
        <w:t xml:space="preserve"> soutenu par l’</w:t>
      </w:r>
      <w:proofErr w:type="spellStart"/>
      <w:r w:rsidRPr="00124C17">
        <w:t>ENISA</w:t>
      </w:r>
      <w:proofErr w:type="spellEnd"/>
      <w:r w:rsidRPr="00124C17">
        <w:t xml:space="preserve"> qu’il est envisagé de créer devrait être composé d’autorités nationales de contrôle de la certification, d’acteurs du secteur privé, de scientifiques et d’acteurs de la société civile. Le </w:t>
      </w:r>
      <w:proofErr w:type="spellStart"/>
      <w:r w:rsidRPr="00124C17">
        <w:t>CESE</w:t>
      </w:r>
      <w:proofErr w:type="spellEnd"/>
      <w:r w:rsidRPr="00124C17">
        <w:t xml:space="preserve"> est d’avis que l’activité de certification doit forcément passer par un système d’étiquetage adapté, qui sera également appliqué aux produits importés, afin de renforcer la confiance des consommateurs. Concernant les financements, l’Europe doit accroître les investissements en faisant converger les différents Fonds européens, les financements nationaux et les investissements du secteur privé vers des objectifs stratégiques </w:t>
      </w:r>
      <w:r w:rsidRPr="00124C17">
        <w:lastRenderedPageBreak/>
        <w:t xml:space="preserve">dans le cadre d’une coopération public-privé solide, notamment grâce à la création, au titre du programme-cadre de recherche actuel et futur, d’un Fonds européen pour l’innovation et la </w:t>
      </w:r>
      <w:proofErr w:type="spellStart"/>
      <w:r w:rsidRPr="00124C17">
        <w:t>R&amp;D</w:t>
      </w:r>
      <w:proofErr w:type="spellEnd"/>
      <w:r w:rsidRPr="00124C17">
        <w:t xml:space="preserve"> en matière de </w:t>
      </w:r>
      <w:proofErr w:type="spellStart"/>
      <w:r w:rsidRPr="00124C17">
        <w:t>cybersécurité</w:t>
      </w:r>
      <w:proofErr w:type="spellEnd"/>
      <w:r w:rsidRPr="00124C17">
        <w:t xml:space="preserve">. En outre, l’Europe devrait créer un fonds pour le déploiement de la </w:t>
      </w:r>
      <w:proofErr w:type="spellStart"/>
      <w:r w:rsidRPr="00124C17">
        <w:t>cybersécurité</w:t>
      </w:r>
      <w:proofErr w:type="spellEnd"/>
      <w:r w:rsidRPr="00124C17">
        <w:t xml:space="preserve">, ce qui ouvrirait de nouvelles perspectives dans la configuration actuelle et future du mécanisme pour l’interconnexion en Europe ainsi que pour le futur </w:t>
      </w:r>
      <w:proofErr w:type="spellStart"/>
      <w:r w:rsidRPr="00124C17">
        <w:t>EFSI</w:t>
      </w:r>
      <w:proofErr w:type="spellEnd"/>
      <w:r w:rsidRPr="00124C17">
        <w:t> 3.0.</w:t>
      </w:r>
    </w:p>
    <w:p w:rsidR="002831ED" w:rsidRPr="00124C17" w:rsidRDefault="002831ED" w:rsidP="000E4B46">
      <w:pPr>
        <w:pStyle w:val="Heading2"/>
        <w:numPr>
          <w:ilvl w:val="0"/>
          <w:numId w:val="6"/>
        </w:numPr>
        <w:autoSpaceDE w:val="0"/>
        <w:autoSpaceDN w:val="0"/>
        <w:spacing w:after="120"/>
        <w:ind w:left="709" w:hanging="284"/>
      </w:pPr>
      <w:r w:rsidRPr="00124C17">
        <w:t xml:space="preserve">Enfin, le </w:t>
      </w:r>
      <w:proofErr w:type="spellStart"/>
      <w:r w:rsidRPr="00124C17">
        <w:t>CESE</w:t>
      </w:r>
      <w:proofErr w:type="spellEnd"/>
      <w:r w:rsidRPr="00124C17">
        <w:t xml:space="preserve"> estime nécessaire d’adopter un niveau de sécurité minimum pour gérer les dispositifs «ordinaires» de l’«internet des personnes». Dans ce cas, la certification est une méthode indispensable pour garantir un niveau plus élevé de sécurité. La sécurité de l’internet des objets devrait être une priorité.</w:t>
      </w:r>
    </w:p>
    <w:p w:rsidR="002831ED" w:rsidRPr="00F21F42" w:rsidRDefault="002831ED" w:rsidP="002F0199">
      <w:pPr>
        <w:keepNext/>
        <w:ind w:left="-567"/>
        <w:rPr>
          <w:color w:val="000000"/>
        </w:rPr>
      </w:pPr>
    </w:p>
    <w:p w:rsidR="002831ED" w:rsidRPr="00F21F42" w:rsidRDefault="002831ED" w:rsidP="002F0199">
      <w:pPr>
        <w:tabs>
          <w:tab w:val="left" w:pos="1418"/>
        </w:tabs>
        <w:rPr>
          <w:i/>
          <w:iCs/>
        </w:rPr>
      </w:pPr>
      <w:r w:rsidRPr="00F21F42">
        <w:rPr>
          <w:b/>
          <w:i/>
        </w:rPr>
        <w:t>Contact:</w:t>
      </w:r>
      <w:r w:rsidRPr="00F21F42">
        <w:tab/>
      </w:r>
      <w:r w:rsidRPr="00F21F42">
        <w:rPr>
          <w:i/>
        </w:rPr>
        <w:t>Cédric Cabanne</w:t>
      </w:r>
    </w:p>
    <w:p w:rsidR="002831ED" w:rsidRPr="00F21F42" w:rsidRDefault="002831ED" w:rsidP="008169EC">
      <w:pPr>
        <w:ind w:left="1418"/>
        <w:rPr>
          <w:i/>
          <w:iCs/>
        </w:rPr>
      </w:pPr>
      <w:r w:rsidRPr="00F21F42">
        <w:rPr>
          <w:i/>
        </w:rPr>
        <w:t xml:space="preserve">(Tél. 00 32 2 546 9355 – courriel: </w:t>
      </w:r>
      <w:hyperlink r:id="rId28" w:history="1">
        <w:r w:rsidRPr="00F21F42">
          <w:rPr>
            <w:rStyle w:val="Hyperlink"/>
            <w:i/>
          </w:rPr>
          <w:t>Cedric.Cabanne@eesc.europa.eu</w:t>
        </w:r>
      </w:hyperlink>
      <w:r w:rsidRPr="00F21F42">
        <w:rPr>
          <w:i/>
        </w:rPr>
        <w:t>)</w:t>
      </w:r>
    </w:p>
    <w:p w:rsidR="00915C4E" w:rsidRPr="00F21F42" w:rsidRDefault="00915C4E" w:rsidP="002F0199">
      <w:pPr>
        <w:rPr>
          <w:bCs/>
          <w:iCs/>
          <w:szCs w:val="28"/>
        </w:rPr>
      </w:pPr>
    </w:p>
    <w:p w:rsidR="005E27A6" w:rsidRPr="00F21F42" w:rsidRDefault="005E27A6" w:rsidP="000E4B46">
      <w:pPr>
        <w:pStyle w:val="ListParagraph"/>
        <w:numPr>
          <w:ilvl w:val="0"/>
          <w:numId w:val="16"/>
        </w:numPr>
        <w:rPr>
          <w:b/>
          <w:bCs/>
          <w:i/>
          <w:iCs/>
          <w:sz w:val="28"/>
          <w:szCs w:val="28"/>
        </w:rPr>
      </w:pPr>
      <w:r w:rsidRPr="00F21F42">
        <w:rPr>
          <w:b/>
          <w:i/>
          <w:sz w:val="28"/>
        </w:rPr>
        <w:t>Communication des projets d’investissement relatifs à des infrastructures énergétiques dans l’Union européenne</w:t>
      </w:r>
    </w:p>
    <w:p w:rsidR="005E27A6" w:rsidRPr="00F21F42" w:rsidRDefault="005E27A6" w:rsidP="002F0199">
      <w:pPr>
        <w:tabs>
          <w:tab w:val="left" w:pos="1701"/>
        </w:tabs>
      </w:pPr>
    </w:p>
    <w:p w:rsidR="005E27A6" w:rsidRPr="00F21F42" w:rsidRDefault="005E27A6" w:rsidP="002F0199">
      <w:pPr>
        <w:tabs>
          <w:tab w:val="left" w:pos="1701"/>
        </w:tabs>
      </w:pPr>
      <w:r w:rsidRPr="00F21F42">
        <w:rPr>
          <w:b/>
        </w:rPr>
        <w:t>Références:</w:t>
      </w:r>
      <w:r w:rsidRPr="00F21F42">
        <w:tab/>
        <w:t>COM(2017) 769 final – 2017/347 (COD)</w:t>
      </w:r>
    </w:p>
    <w:p w:rsidR="005E27A6" w:rsidRPr="00F21F42" w:rsidRDefault="005E27A6" w:rsidP="008169EC">
      <w:pPr>
        <w:ind w:left="1701"/>
      </w:pPr>
      <w:r w:rsidRPr="00F21F42">
        <w:t>EESC-2018-00344-AC-TRA</w:t>
      </w:r>
    </w:p>
    <w:p w:rsidR="005E27A6" w:rsidRPr="00F21F42" w:rsidRDefault="005E27A6" w:rsidP="002F0199">
      <w:pPr>
        <w:rPr>
          <w:highlight w:val="yellow"/>
        </w:rPr>
      </w:pPr>
    </w:p>
    <w:p w:rsidR="005E27A6" w:rsidRPr="00F21F42" w:rsidRDefault="005E27A6" w:rsidP="002F0199">
      <w:pPr>
        <w:pStyle w:val="Heading2"/>
        <w:numPr>
          <w:ilvl w:val="0"/>
          <w:numId w:val="0"/>
        </w:numPr>
      </w:pPr>
      <w:r w:rsidRPr="00F21F42">
        <w:t>Ayant estimé que le contenu de la proposition de la Commission est satisfaisant et n’appelle aucun commentaire de sa part, le Comité a décidé de rendre un avis favorable au texte proposé.</w:t>
      </w:r>
    </w:p>
    <w:p w:rsidR="005E27A6" w:rsidRPr="00F21F42" w:rsidRDefault="005E27A6" w:rsidP="002F0199">
      <w:pPr>
        <w:rPr>
          <w:rFonts w:eastAsia="Calibri"/>
          <w:highlight w:val="yellow"/>
        </w:rPr>
      </w:pPr>
    </w:p>
    <w:p w:rsidR="005E27A6" w:rsidRPr="00F21F42" w:rsidRDefault="005E27A6" w:rsidP="002F0199">
      <w:pPr>
        <w:tabs>
          <w:tab w:val="left" w:pos="1418"/>
        </w:tabs>
        <w:rPr>
          <w:i/>
        </w:rPr>
      </w:pPr>
      <w:r w:rsidRPr="00F21F42">
        <w:rPr>
          <w:b/>
          <w:i/>
        </w:rPr>
        <w:t>Contact:</w:t>
      </w:r>
      <w:r w:rsidRPr="00F21F42">
        <w:tab/>
      </w:r>
      <w:r w:rsidRPr="00F21F42">
        <w:rPr>
          <w:i/>
        </w:rPr>
        <w:t>Kristian Krieger</w:t>
      </w:r>
    </w:p>
    <w:p w:rsidR="005E27A6" w:rsidRPr="00F21F42" w:rsidRDefault="005E27A6" w:rsidP="008169EC">
      <w:pPr>
        <w:ind w:left="1418"/>
        <w:rPr>
          <w:b/>
          <w:i/>
        </w:rPr>
      </w:pPr>
      <w:r w:rsidRPr="00F21F42">
        <w:rPr>
          <w:i/>
        </w:rPr>
        <w:t xml:space="preserve">(Tél. 00 32 2 546 8921 – courriel </w:t>
      </w:r>
      <w:hyperlink r:id="rId29" w:history="1">
        <w:r w:rsidRPr="00F21F42">
          <w:rPr>
            <w:rStyle w:val="Hyperlink"/>
            <w:i/>
          </w:rPr>
          <w:t>Kristian.Krieger@eesc.europa.eu</w:t>
        </w:r>
      </w:hyperlink>
      <w:r w:rsidRPr="00F21F42">
        <w:rPr>
          <w:i/>
        </w:rPr>
        <w:t>)</w:t>
      </w:r>
    </w:p>
    <w:p w:rsidR="005E27A6" w:rsidRPr="00F21F42" w:rsidRDefault="005E27A6" w:rsidP="002F0199">
      <w:pPr>
        <w:rPr>
          <w:color w:val="1F497D"/>
        </w:rPr>
      </w:pPr>
    </w:p>
    <w:p w:rsidR="005E27A6" w:rsidRPr="00F21F42" w:rsidRDefault="005E27A6" w:rsidP="002F0199">
      <w:pPr>
        <w:tabs>
          <w:tab w:val="left" w:pos="1418"/>
        </w:tabs>
      </w:pPr>
    </w:p>
    <w:p w:rsidR="002831ED" w:rsidRPr="00F21F42" w:rsidRDefault="002831ED" w:rsidP="000D3931">
      <w:r w:rsidRPr="00F21F42">
        <w:br w:type="page"/>
      </w:r>
    </w:p>
    <w:p w:rsidR="0099413E" w:rsidRPr="00F21F42" w:rsidRDefault="00AF1968" w:rsidP="00FD5829">
      <w:pPr>
        <w:pStyle w:val="Heading1"/>
        <w:keepNext/>
        <w:rPr>
          <w:b/>
          <w:caps/>
        </w:rPr>
      </w:pPr>
      <w:bookmarkStart w:id="7" w:name="_Toc506371472"/>
      <w:bookmarkStart w:id="8" w:name="_Toc507410841"/>
      <w:r w:rsidRPr="00F21F42">
        <w:rPr>
          <w:b/>
          <w:caps/>
        </w:rPr>
        <w:lastRenderedPageBreak/>
        <w:t>RELATIONS EXTÉRIEURES</w:t>
      </w:r>
      <w:bookmarkEnd w:id="7"/>
      <w:bookmarkEnd w:id="8"/>
    </w:p>
    <w:p w:rsidR="009E1A1C" w:rsidRPr="00F21F42" w:rsidRDefault="009E1A1C" w:rsidP="00FD5829">
      <w:pPr>
        <w:keepNext/>
      </w:pPr>
    </w:p>
    <w:p w:rsidR="002831ED" w:rsidRPr="00F21F42" w:rsidRDefault="002831ED" w:rsidP="00FD5829">
      <w:pPr>
        <w:pStyle w:val="ListParagraph"/>
        <w:keepNext/>
        <w:widowControl w:val="0"/>
        <w:numPr>
          <w:ilvl w:val="0"/>
          <w:numId w:val="11"/>
        </w:numPr>
        <w:rPr>
          <w:b/>
          <w:i/>
          <w:spacing w:val="-2"/>
          <w:sz w:val="28"/>
          <w:szCs w:val="28"/>
        </w:rPr>
      </w:pPr>
      <w:r w:rsidRPr="00F21F42">
        <w:rPr>
          <w:b/>
          <w:i/>
          <w:spacing w:val="-2"/>
          <w:sz w:val="28"/>
        </w:rPr>
        <w:t>Le rôle de la Turquie dans la crise des réfugiés</w:t>
      </w:r>
    </w:p>
    <w:p w:rsidR="002831ED" w:rsidRPr="00F21F42" w:rsidRDefault="002831ED" w:rsidP="00FD5829">
      <w:pPr>
        <w:keepNext/>
        <w:widowControl w:val="0"/>
      </w:pPr>
    </w:p>
    <w:p w:rsidR="002831ED" w:rsidRPr="00F21F42" w:rsidRDefault="002831ED" w:rsidP="002F0199">
      <w:pPr>
        <w:tabs>
          <w:tab w:val="left" w:pos="1701"/>
        </w:tabs>
        <w:rPr>
          <w:b/>
          <w:i/>
          <w:highlight w:val="yellow"/>
        </w:rPr>
      </w:pPr>
      <w:r w:rsidRPr="00F21F42">
        <w:rPr>
          <w:b/>
        </w:rPr>
        <w:t>Rapporteur:</w:t>
      </w:r>
      <w:r w:rsidRPr="00F21F42">
        <w:tab/>
      </w:r>
      <w:proofErr w:type="spellStart"/>
      <w:r w:rsidRPr="00F21F42">
        <w:t>Dimitris</w:t>
      </w:r>
      <w:proofErr w:type="spellEnd"/>
      <w:r w:rsidRPr="00F21F42">
        <w:t> </w:t>
      </w:r>
      <w:proofErr w:type="spellStart"/>
      <w:r w:rsidRPr="00F21F42">
        <w:t>DIMITRIADIS</w:t>
      </w:r>
      <w:proofErr w:type="spellEnd"/>
      <w:r w:rsidRPr="00F21F42">
        <w:t xml:space="preserve"> (Employeurs – EL)</w:t>
      </w:r>
    </w:p>
    <w:p w:rsidR="002831ED" w:rsidRPr="00F21F42" w:rsidRDefault="002831ED" w:rsidP="000D3931">
      <w:pPr>
        <w:tabs>
          <w:tab w:val="left" w:pos="1701"/>
        </w:tabs>
      </w:pPr>
    </w:p>
    <w:p w:rsidR="009E1A1C" w:rsidRPr="00F21F42" w:rsidRDefault="009E1A1C" w:rsidP="000D3931">
      <w:pPr>
        <w:tabs>
          <w:tab w:val="left" w:pos="1701"/>
        </w:tabs>
      </w:pPr>
      <w:r w:rsidRPr="00F21F42">
        <w:rPr>
          <w:b/>
        </w:rPr>
        <w:t>Références:</w:t>
      </w:r>
      <w:r w:rsidRPr="00F21F42">
        <w:tab/>
        <w:t>EESC-2016-06237-00-00-AC-TRA</w:t>
      </w:r>
    </w:p>
    <w:p w:rsidR="00E35AA3" w:rsidRPr="00F21F42" w:rsidRDefault="006D30A4" w:rsidP="000D3931">
      <w:pPr>
        <w:ind w:left="1701"/>
        <w:rPr>
          <w:rFonts w:eastAsiaTheme="minorEastAsia"/>
        </w:rPr>
      </w:pPr>
      <w:r w:rsidRPr="00F21F42">
        <w:t>Avis d’initiative</w:t>
      </w:r>
    </w:p>
    <w:p w:rsidR="00E35AA3" w:rsidRPr="00F21F42" w:rsidRDefault="00E35AA3" w:rsidP="000D3931"/>
    <w:p w:rsidR="002831ED" w:rsidRPr="00F21F42" w:rsidRDefault="002831ED" w:rsidP="002F0199">
      <w:r w:rsidRPr="00F21F42">
        <w:rPr>
          <w:b/>
        </w:rPr>
        <w:t xml:space="preserve">Points clés: </w:t>
      </w:r>
    </w:p>
    <w:p w:rsidR="002831ED" w:rsidRPr="00F21F42" w:rsidRDefault="002831ED" w:rsidP="002F0199">
      <w:pPr>
        <w:widowControl w:val="0"/>
      </w:pPr>
    </w:p>
    <w:p w:rsidR="002831ED" w:rsidRPr="00F21F42" w:rsidRDefault="002831ED"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reconnaît que la Turquie joue un rôle crucial et décisif pour gérer la dénommée crise dite «des réfugiés» dans la zone moyen-orientale et méditerranéenne et qu’elle a déployé des efforts pour y faire face avec les moyens dont elle dispose, mais également avec le concours de l’UE et de la communauté internationale.</w:t>
      </w:r>
    </w:p>
    <w:p w:rsidR="002831ED" w:rsidRPr="00F21F42" w:rsidRDefault="002831ED"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est d’avis qu’alors même que cette crise dite «des réfugiés» revêt un caractère explosif, l’UE n’a toujours pas réussi à ce jour à élaborer ni une politique européenne commune en matière migratoire qui soit convaincante et efficace, ni un régime européen commun d’asile. Il appelle le Conseil et la Commission à œuvrer de manière plus opérante dans ce domaine et à obliger les États membres qui ne respectent pas leurs engagements à s’y conformer immédiatement.</w:t>
      </w:r>
    </w:p>
    <w:p w:rsidR="002831ED" w:rsidRPr="00F21F42" w:rsidRDefault="002831ED"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condamne sans ambages l’attitude xénophobe que certains États membres affichent face à la crise migratoire et estime qu’elle est en contradiction avec les valeurs fondamentales de l’UE.</w:t>
      </w:r>
    </w:p>
    <w:p w:rsidR="00A51CAA" w:rsidRPr="00F21F42" w:rsidRDefault="002831ED"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estime nécessaire que la Turquie élabore et adopte un régime unique concernant l’octroi de la protection internationale en faveur des demandeurs d’asile qui soit conforme aux normes internationales et européennes, qui n’établisse pas de discrimination entre les demandeurs de protection internationale en fonction du pays dont ils sont originaires et qui leur apporte à tous une protection uniforme. Il est notamment suggéré de supprimer la restriction géographique frappant les demandeurs d’asile non européens, ainsi que la distinction entre demandeurs d’asile syriens et non syriens. De même, il convient de garantir le principe de non-refoulement.</w:t>
      </w:r>
    </w:p>
    <w:p w:rsidR="002831ED" w:rsidRPr="00F21F42" w:rsidRDefault="002831ED"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convient qu’il est nécessaire d’améliorer les conditions d’hébergement des réfugiés en Turquie, ainsi que l’intégration socio-économique de ceux qui sont reconnus comme tels, en particulier pour ce qui est de l’accès à l’emploi, aux soins de santé, à l’enseignement et à la fourniture de logement. Il y a lieu d’accorder une attention plus particulière à la protection des mineurs non accompagnés et des enfants, s’agissant en particulier de leur donner accès à l’enseignement et de les préserver du travail forcé et de la conclusion de mariages contraints.</w:t>
      </w:r>
    </w:p>
    <w:p w:rsidR="002831ED" w:rsidRPr="00F21F42" w:rsidRDefault="002831ED"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réclame la constitution d’un mécanisme, rigoureux et indépendant, qui assure le contrôle et le suivi de la déclaration de l’UE et de la Turquie sur la crise des réfugiés, afin que soit réalisé, en coopération avec les pouvoirs publics turcs, les ONG internationales et les organisations humanitaires spécialisées, un suivi de la manière dont les accords conclus sont appliqués et respectés, par l’une et l’autre partie, conformément au droit international et à celui de l’Union.</w:t>
      </w:r>
    </w:p>
    <w:p w:rsidR="002831ED" w:rsidRPr="00F21F42" w:rsidRDefault="002831ED" w:rsidP="000E4B46">
      <w:pPr>
        <w:pStyle w:val="Heading2"/>
        <w:numPr>
          <w:ilvl w:val="0"/>
          <w:numId w:val="6"/>
        </w:numPr>
        <w:autoSpaceDE w:val="0"/>
        <w:autoSpaceDN w:val="0"/>
        <w:spacing w:after="120"/>
        <w:ind w:left="709" w:hanging="284"/>
      </w:pPr>
      <w:r w:rsidRPr="00F21F42">
        <w:lastRenderedPageBreak/>
        <w:t xml:space="preserve">Le </w:t>
      </w:r>
      <w:proofErr w:type="spellStart"/>
      <w:r w:rsidRPr="00F21F42">
        <w:t>CESE</w:t>
      </w:r>
      <w:proofErr w:type="spellEnd"/>
      <w:r w:rsidRPr="00F21F42">
        <w:t xml:space="preserve"> juge qu’il est indispensable de renforcer le rôle de l’Agence européenne de garde-frontières et de garde-côtes, afin de démanteler les réseaux d’immigration irrégulière et de lutter contre la traite des êtres humains, conformément au droit international.</w:t>
      </w:r>
    </w:p>
    <w:p w:rsidR="002831ED" w:rsidRPr="00F21F42" w:rsidRDefault="002831ED"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réclame que les États membres de l’UE qui, jusqu’à présent, n’ont pas pris part aux procédures de relocalisation et de réinstallation s’y conforment pleinement et que les programmes afférents soient accélérés.</w:t>
      </w:r>
    </w:p>
    <w:p w:rsidR="002831ED" w:rsidRPr="00F21F42" w:rsidRDefault="002831ED"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se déclare très préoccupé par la situation générale des droits de l’homme en Turquie. Il se déclare plus particulièrement préoccupé en ce qui concerne la continuité dans le fonctionnement des organisations qui font partie de la société civile en Turquie, en particulier à la suite de l’imposition de l’état d’urgence, et il estime qu’elles assument une mission déterminante en ce qui concerne la situation humanitaire des réfugiés, mais aussi pour concevoir, ainsi qu’exécuter, des programmes visant à les intégrer dans les communautés locales. Le </w:t>
      </w:r>
      <w:proofErr w:type="spellStart"/>
      <w:r w:rsidRPr="00F21F42">
        <w:t>CESE</w:t>
      </w:r>
      <w:proofErr w:type="spellEnd"/>
      <w:r w:rsidRPr="00F21F42">
        <w:t xml:space="preserve"> considère qu’en Turquie, les partenaires sociaux peuvent et doivent jouer un rôle décisif dans la prise en charge de la crise des réfugiés.</w:t>
      </w:r>
    </w:p>
    <w:p w:rsidR="002831ED" w:rsidRPr="00F21F42" w:rsidRDefault="002831ED" w:rsidP="000D3931"/>
    <w:p w:rsidR="002831ED" w:rsidRPr="00F21F42" w:rsidRDefault="002831ED" w:rsidP="002F0199">
      <w:pPr>
        <w:tabs>
          <w:tab w:val="left" w:pos="1418"/>
        </w:tabs>
        <w:rPr>
          <w:i/>
        </w:rPr>
      </w:pPr>
      <w:r w:rsidRPr="00F21F42">
        <w:rPr>
          <w:b/>
          <w:i/>
        </w:rPr>
        <w:t>Contact:</w:t>
      </w:r>
      <w:r w:rsidRPr="00F21F42">
        <w:tab/>
      </w:r>
      <w:r w:rsidRPr="00F21F42">
        <w:rPr>
          <w:i/>
        </w:rPr>
        <w:t xml:space="preserve">David </w:t>
      </w:r>
      <w:proofErr w:type="spellStart"/>
      <w:r w:rsidRPr="00F21F42">
        <w:rPr>
          <w:i/>
        </w:rPr>
        <w:t>Hoic</w:t>
      </w:r>
      <w:proofErr w:type="spellEnd"/>
    </w:p>
    <w:p w:rsidR="002831ED" w:rsidRPr="00F21F42" w:rsidRDefault="002831ED" w:rsidP="008169EC">
      <w:pPr>
        <w:ind w:left="1418"/>
        <w:rPr>
          <w:i/>
          <w:iCs/>
        </w:rPr>
      </w:pPr>
      <w:r w:rsidRPr="00F21F42">
        <w:rPr>
          <w:i/>
        </w:rPr>
        <w:t xml:space="preserve">(Tél. 00 32 2 546 9069 – courriel: </w:t>
      </w:r>
      <w:hyperlink r:id="rId30" w:history="1">
        <w:r w:rsidRPr="00F21F42">
          <w:rPr>
            <w:rStyle w:val="Hyperlink"/>
            <w:i/>
          </w:rPr>
          <w:t>David.Hoic@eesc.europa.eu</w:t>
        </w:r>
      </w:hyperlink>
      <w:r w:rsidRPr="00F21F42">
        <w:rPr>
          <w:i/>
        </w:rPr>
        <w:t>)</w:t>
      </w:r>
    </w:p>
    <w:p w:rsidR="00974EA5" w:rsidRPr="00F21F42" w:rsidRDefault="00974EA5" w:rsidP="002F0199">
      <w:pPr>
        <w:tabs>
          <w:tab w:val="left" w:pos="1418"/>
        </w:tabs>
        <w:rPr>
          <w:iCs/>
        </w:rPr>
      </w:pPr>
    </w:p>
    <w:p w:rsidR="00F327D7" w:rsidRPr="00F21F42" w:rsidRDefault="00F327D7" w:rsidP="00FD5829">
      <w:pPr>
        <w:pStyle w:val="ListParagraph"/>
        <w:keepNext/>
        <w:widowControl w:val="0"/>
        <w:numPr>
          <w:ilvl w:val="0"/>
          <w:numId w:val="18"/>
        </w:numPr>
        <w:rPr>
          <w:b/>
          <w:i/>
          <w:spacing w:val="-2"/>
          <w:sz w:val="28"/>
          <w:szCs w:val="28"/>
        </w:rPr>
      </w:pPr>
      <w:r w:rsidRPr="00F21F42">
        <w:rPr>
          <w:b/>
          <w:i/>
          <w:spacing w:val="-2"/>
          <w:sz w:val="28"/>
        </w:rPr>
        <w:t>Chapitres sur le commerce et le développement durable (CDD) dans les accords de libre-échange (ALE) conclus par l’UE</w:t>
      </w:r>
    </w:p>
    <w:p w:rsidR="00F327D7" w:rsidRPr="00F21F42" w:rsidRDefault="00F327D7" w:rsidP="00FD5829">
      <w:pPr>
        <w:keepNext/>
        <w:widowControl w:val="0"/>
      </w:pPr>
    </w:p>
    <w:p w:rsidR="00F327D7" w:rsidRPr="00F21F42" w:rsidRDefault="00F327D7" w:rsidP="00FD5829">
      <w:pPr>
        <w:keepNext/>
        <w:tabs>
          <w:tab w:val="left" w:pos="1701"/>
        </w:tabs>
      </w:pPr>
      <w:proofErr w:type="spellStart"/>
      <w:r w:rsidRPr="00F21F42">
        <w:rPr>
          <w:b/>
        </w:rPr>
        <w:t>Rapporteure</w:t>
      </w:r>
      <w:proofErr w:type="spellEnd"/>
      <w:r w:rsidRPr="00F21F42">
        <w:rPr>
          <w:b/>
        </w:rPr>
        <w:t>:</w:t>
      </w:r>
      <w:r w:rsidRPr="00F21F42">
        <w:tab/>
        <w:t xml:space="preserve">Tanja </w:t>
      </w:r>
      <w:proofErr w:type="spellStart"/>
      <w:r w:rsidRPr="00F21F42">
        <w:t>BUZEK</w:t>
      </w:r>
      <w:proofErr w:type="spellEnd"/>
      <w:r w:rsidRPr="00F21F42">
        <w:t xml:space="preserve"> (Travailleurs – DE)</w:t>
      </w:r>
    </w:p>
    <w:p w:rsidR="00786406" w:rsidRPr="00F21F42" w:rsidRDefault="00786406" w:rsidP="00FD5829">
      <w:pPr>
        <w:keepNext/>
        <w:tabs>
          <w:tab w:val="left" w:pos="1701"/>
        </w:tabs>
        <w:rPr>
          <w:b/>
        </w:rPr>
      </w:pPr>
    </w:p>
    <w:p w:rsidR="00F327D7" w:rsidRPr="00F21F42" w:rsidRDefault="00786406" w:rsidP="00FD5829">
      <w:pPr>
        <w:keepNext/>
        <w:tabs>
          <w:tab w:val="left" w:pos="1701"/>
        </w:tabs>
        <w:rPr>
          <w:rFonts w:eastAsiaTheme="minorEastAsia"/>
          <w:bCs/>
        </w:rPr>
      </w:pPr>
      <w:r w:rsidRPr="00F21F42">
        <w:rPr>
          <w:b/>
        </w:rPr>
        <w:t>Références:</w:t>
      </w:r>
      <w:r w:rsidRPr="00F21F42">
        <w:tab/>
        <w:t>EESC-2017-05323-00-00-AC-TRA</w:t>
      </w:r>
    </w:p>
    <w:p w:rsidR="00786406" w:rsidRPr="00F21F42" w:rsidRDefault="00786406" w:rsidP="00FD5829">
      <w:pPr>
        <w:keepNext/>
        <w:tabs>
          <w:tab w:val="left" w:pos="1701"/>
        </w:tabs>
        <w:rPr>
          <w:b/>
        </w:rPr>
      </w:pPr>
    </w:p>
    <w:p w:rsidR="00F327D7" w:rsidRPr="00F21F42" w:rsidRDefault="00F327D7" w:rsidP="00FD5829">
      <w:pPr>
        <w:keepNext/>
      </w:pPr>
      <w:r w:rsidRPr="00F21F42">
        <w:rPr>
          <w:b/>
        </w:rPr>
        <w:t xml:space="preserve">Points clés: </w:t>
      </w:r>
    </w:p>
    <w:p w:rsidR="00974EA5" w:rsidRPr="00F21F42" w:rsidRDefault="00974EA5" w:rsidP="00FD5829">
      <w:pPr>
        <w:keepNext/>
        <w:widowControl w:val="0"/>
        <w:ind w:left="-567"/>
      </w:pPr>
    </w:p>
    <w:p w:rsidR="00F327D7" w:rsidRPr="00F21F42" w:rsidRDefault="00F327D7"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accueille favorablement l’initiative de la Commission européenne visant à faire le point, dans un document officieux, sur la mise en œuvre des chapitres relatifs au commerce et au développement durable (CDD) dans les accords commerciaux de l’UE, et à consulter la société civile sur ce sujet.</w:t>
      </w:r>
    </w:p>
    <w:p w:rsidR="00F327D7" w:rsidRPr="00F21F42" w:rsidRDefault="00F327D7" w:rsidP="000E4B46">
      <w:pPr>
        <w:pStyle w:val="Heading2"/>
        <w:numPr>
          <w:ilvl w:val="0"/>
          <w:numId w:val="0"/>
        </w:numPr>
        <w:autoSpaceDE w:val="0"/>
        <w:autoSpaceDN w:val="0"/>
        <w:spacing w:after="120"/>
        <w:ind w:left="425"/>
      </w:pPr>
    </w:p>
    <w:p w:rsidR="00F327D7" w:rsidRPr="00F21F42" w:rsidRDefault="00F327D7"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a joué un rôle important dans la sensibilisation à la politique commerciale de l’UE au sein de la société civile, tant dans l’UE que dans les pays tiers. Il encourage la Commission à renforcer son dialogue avec la société civile en vue d’améliorer le fonctionnement des dispositions relatives au commerce et au développement durable dans les accords commerciaux actuels et futurs. Il invite aussi instamment la Commission à adopter une approche plus ambitieuse, s’agissant notamment de renforcer l’applicabilité effective des engagements pris dans les chapitres en matière de commerce et de développement durable, qui revêt pour lui une importance cruciale. Il y a lieu d’accorder le même poids aux chapitres sur le commerce et le développement durable qu’à ceux portant sur les questions commerciales, techniques et tarifaires. Le </w:t>
      </w:r>
      <w:proofErr w:type="spellStart"/>
      <w:r w:rsidRPr="00F21F42">
        <w:t>CESE</w:t>
      </w:r>
      <w:proofErr w:type="spellEnd"/>
      <w:r w:rsidRPr="00F21F42">
        <w:t xml:space="preserve"> recommande de donner mandat aux </w:t>
      </w:r>
      <w:proofErr w:type="spellStart"/>
      <w:r w:rsidRPr="00F21F42">
        <w:t>GCI</w:t>
      </w:r>
      <w:proofErr w:type="spellEnd"/>
      <w:r w:rsidRPr="00F21F42">
        <w:t xml:space="preserve"> de surveiller l’incidence de tous les chapitres des accords commerciaux sur les droits de l’homme, les droits du travailleur et les droits environnementaux, et souligne que les intérêts des consommateurs devraient également être couverts.</w:t>
      </w:r>
    </w:p>
    <w:p w:rsidR="00F327D7" w:rsidRPr="00F21F42" w:rsidRDefault="00F327D7" w:rsidP="000E4B46">
      <w:pPr>
        <w:pStyle w:val="Heading2"/>
        <w:numPr>
          <w:ilvl w:val="0"/>
          <w:numId w:val="0"/>
        </w:numPr>
        <w:autoSpaceDE w:val="0"/>
        <w:autoSpaceDN w:val="0"/>
        <w:spacing w:after="120"/>
        <w:ind w:left="425"/>
      </w:pPr>
    </w:p>
    <w:p w:rsidR="00F327D7" w:rsidRPr="00F21F42" w:rsidRDefault="00F327D7"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se réjouit de s’être vu confier le mandat de fournir une partie des membres des </w:t>
      </w:r>
      <w:proofErr w:type="spellStart"/>
      <w:r w:rsidRPr="00F21F42">
        <w:t>GCI</w:t>
      </w:r>
      <w:proofErr w:type="spellEnd"/>
      <w:r w:rsidRPr="00F21F42">
        <w:t xml:space="preserve"> et d’en assurer le secrétariat. Il souligne toutefois que le financement et les ressources des </w:t>
      </w:r>
      <w:proofErr w:type="spellStart"/>
      <w:r w:rsidRPr="00F21F42">
        <w:t>GCI</w:t>
      </w:r>
      <w:proofErr w:type="spellEnd"/>
      <w:r w:rsidRPr="00F21F42">
        <w:t xml:space="preserve"> restent une question cruciale pour leur fonctionnement actuel et futur et demande à la Commission, ainsi qu’au Conseil et au Parlement, de mettre en place d’urgence, en coopération avec le </w:t>
      </w:r>
      <w:proofErr w:type="spellStart"/>
      <w:r w:rsidRPr="00F21F42">
        <w:t>CESE</w:t>
      </w:r>
      <w:proofErr w:type="spellEnd"/>
      <w:r w:rsidRPr="00F21F42">
        <w:t xml:space="preserve">, des solutions structurelles en la matière. Parmi les lacunes constatées, citons la composition déséquilibrée des </w:t>
      </w:r>
      <w:proofErr w:type="spellStart"/>
      <w:r w:rsidRPr="00F21F42">
        <w:t>GCI</w:t>
      </w:r>
      <w:proofErr w:type="spellEnd"/>
      <w:r w:rsidRPr="00F21F42">
        <w:t xml:space="preserve"> et les retards dans leur mise en place, ainsi que l’absence d’un financement adéquat pour les </w:t>
      </w:r>
      <w:proofErr w:type="spellStart"/>
      <w:r w:rsidRPr="00F21F42">
        <w:t>GCI</w:t>
      </w:r>
      <w:proofErr w:type="spellEnd"/>
      <w:r w:rsidRPr="00F21F42">
        <w:t xml:space="preserve">, de la part de l’UE comme des pays partenaires. </w:t>
      </w:r>
    </w:p>
    <w:p w:rsidR="00F327D7" w:rsidRPr="00F21F42" w:rsidRDefault="00F327D7" w:rsidP="000E4B46">
      <w:pPr>
        <w:pStyle w:val="Heading2"/>
        <w:numPr>
          <w:ilvl w:val="0"/>
          <w:numId w:val="0"/>
        </w:numPr>
        <w:autoSpaceDE w:val="0"/>
        <w:autoSpaceDN w:val="0"/>
        <w:spacing w:after="120"/>
        <w:ind w:left="425"/>
      </w:pPr>
    </w:p>
    <w:p w:rsidR="00F327D7" w:rsidRPr="00F21F42" w:rsidRDefault="00F327D7"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invite instamment la Commission à établir un mécanisme de plainte plus transparent et rationalisé et recommande par ailleurs que les présidents des </w:t>
      </w:r>
      <w:proofErr w:type="spellStart"/>
      <w:r w:rsidRPr="00F21F42">
        <w:t>GCI</w:t>
      </w:r>
      <w:proofErr w:type="spellEnd"/>
      <w:r w:rsidRPr="00F21F42">
        <w:t xml:space="preserve"> participent aux réunions du comité «Commerce et développement durable» et que ce dernier réponde, dans un délai raisonnable, aux questions et aux recommandations formulées par les </w:t>
      </w:r>
      <w:proofErr w:type="spellStart"/>
      <w:r w:rsidRPr="00F21F42">
        <w:t>GCI</w:t>
      </w:r>
      <w:proofErr w:type="spellEnd"/>
      <w:r w:rsidRPr="00F21F42">
        <w:t xml:space="preserve">. Il préconise un dialogue régulier entre les </w:t>
      </w:r>
      <w:proofErr w:type="spellStart"/>
      <w:r w:rsidRPr="00F21F42">
        <w:t>GCI</w:t>
      </w:r>
      <w:proofErr w:type="spellEnd"/>
      <w:r w:rsidRPr="00F21F42">
        <w:t xml:space="preserve"> de l’UE, la Commission, le </w:t>
      </w:r>
      <w:proofErr w:type="spellStart"/>
      <w:r w:rsidRPr="00F21F42">
        <w:t>SEAE</w:t>
      </w:r>
      <w:proofErr w:type="spellEnd"/>
      <w:r w:rsidRPr="00F21F42">
        <w:t xml:space="preserve">, le Parlement européen et les États membres de l’UE. </w:t>
      </w:r>
    </w:p>
    <w:p w:rsidR="00F327D7" w:rsidRPr="00F21F42" w:rsidRDefault="00F327D7" w:rsidP="000E4B46">
      <w:pPr>
        <w:pStyle w:val="Heading2"/>
        <w:numPr>
          <w:ilvl w:val="0"/>
          <w:numId w:val="0"/>
        </w:numPr>
        <w:autoSpaceDE w:val="0"/>
        <w:autoSpaceDN w:val="0"/>
        <w:spacing w:after="120"/>
        <w:ind w:left="425"/>
      </w:pPr>
    </w:p>
    <w:p w:rsidR="00F327D7" w:rsidRPr="00F21F42" w:rsidRDefault="00F327D7" w:rsidP="000E4B46">
      <w:pPr>
        <w:pStyle w:val="Heading2"/>
        <w:numPr>
          <w:ilvl w:val="0"/>
          <w:numId w:val="6"/>
        </w:numPr>
        <w:autoSpaceDE w:val="0"/>
        <w:autoSpaceDN w:val="0"/>
        <w:spacing w:after="120"/>
        <w:ind w:left="709" w:hanging="284"/>
      </w:pPr>
      <w:r w:rsidRPr="00F21F42">
        <w:t>S’agissant des objectifs de développement durable (</w:t>
      </w:r>
      <w:proofErr w:type="spellStart"/>
      <w:r w:rsidRPr="00F21F42">
        <w:t>ODD</w:t>
      </w:r>
      <w:proofErr w:type="spellEnd"/>
      <w:r w:rsidRPr="00F21F42">
        <w:t xml:space="preserve">), le </w:t>
      </w:r>
      <w:proofErr w:type="spellStart"/>
      <w:r w:rsidRPr="00F21F42">
        <w:t>CESE</w:t>
      </w:r>
      <w:proofErr w:type="spellEnd"/>
      <w:r w:rsidRPr="00F21F42">
        <w:t xml:space="preserve"> recommande d’intégrer, dans tous les futurs mandats de négociation sur les chapitres «Commerce et développement durable», d’une clause spécifique visant à promouvoir les objectifs de développement durable. Concernant les dispositions en matière d’emploi, les pays partenaires veilleront à démontrer qu’ils respectent pleinement les huit conventions fondamentales du travail de l’OIT avant la conclusion d’un accord commercial. Si un pays partenaire n’a pas ratifié ou correctement mis en œuvre ces conventions, ou n’a pas démontré un niveau de protection équivalent, le </w:t>
      </w:r>
      <w:proofErr w:type="spellStart"/>
      <w:r w:rsidRPr="00F21F42">
        <w:t>CESE</w:t>
      </w:r>
      <w:proofErr w:type="spellEnd"/>
      <w:r w:rsidRPr="00F21F42">
        <w:t xml:space="preserve"> recommande de chercher à établir une feuille de route portant sur des engagements concrets, et de l’intégrer dans le chapitre sur le commerce et le développement durable pour s’assurer que ces obligations seront remplies en temps opportun;</w:t>
      </w:r>
    </w:p>
    <w:p w:rsidR="00F327D7" w:rsidRPr="00F21F42" w:rsidRDefault="00F327D7" w:rsidP="000E4B46">
      <w:pPr>
        <w:pStyle w:val="Heading2"/>
        <w:numPr>
          <w:ilvl w:val="0"/>
          <w:numId w:val="0"/>
        </w:numPr>
        <w:autoSpaceDE w:val="0"/>
        <w:autoSpaceDN w:val="0"/>
        <w:spacing w:after="120"/>
        <w:ind w:left="425"/>
      </w:pPr>
    </w:p>
    <w:p w:rsidR="00F327D7" w:rsidRPr="00F21F42" w:rsidRDefault="00F327D7" w:rsidP="000E4B46">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relève que le document officieux de la Commission aborde la question des sanctions, et encourage la Commission à étudier de manière plus approfondie les mécanismes de sanction en vigueur dans les accords commerciaux et l’usage qui en a été fait jusqu’à présent, et à tirer des leçons de leurs limites potentielles, afin d’évaluer et d’améliorer l’efficacité d’un mécanisme exécutoire de contrôle du respect des dispositions, qui pourrait être mis en place dans le cadre des chapitres sur le commerce et le développement durable. Ce faisant, la Commission devrait prendre dûment en compte le fait que des groupes de la société civile ont exprimé à la fois leur soutien et de sérieuses inquiétudes quant à leur utilisation. Le Comité est disposé à contribuer au développement de nouvelles idées pour aider la Commission à accroître l’efficacité des mécanismes indépendants de mise en œuvre dans les chapitres sur le commerce et le développement durable.</w:t>
      </w:r>
    </w:p>
    <w:p w:rsidR="00F327D7" w:rsidRPr="00F21F42" w:rsidRDefault="00F327D7" w:rsidP="000E4B46">
      <w:pPr>
        <w:pStyle w:val="Heading2"/>
        <w:numPr>
          <w:ilvl w:val="0"/>
          <w:numId w:val="0"/>
        </w:numPr>
        <w:autoSpaceDE w:val="0"/>
        <w:autoSpaceDN w:val="0"/>
        <w:spacing w:after="120"/>
        <w:ind w:left="425"/>
      </w:pPr>
    </w:p>
    <w:p w:rsidR="00F327D7" w:rsidRPr="00F21F42" w:rsidRDefault="00F327D7" w:rsidP="00946CC3">
      <w:pPr>
        <w:tabs>
          <w:tab w:val="left" w:pos="1418"/>
        </w:tabs>
        <w:rPr>
          <w:i/>
        </w:rPr>
      </w:pPr>
      <w:r w:rsidRPr="00F21F42">
        <w:rPr>
          <w:b/>
          <w:i/>
        </w:rPr>
        <w:t>Contact</w:t>
      </w:r>
      <w:r w:rsidRPr="00F21F42">
        <w:rPr>
          <w:i/>
        </w:rPr>
        <w:t>:</w:t>
      </w:r>
      <w:r w:rsidRPr="00F21F42">
        <w:tab/>
      </w:r>
      <w:proofErr w:type="spellStart"/>
      <w:r w:rsidRPr="00F21F42">
        <w:rPr>
          <w:i/>
        </w:rPr>
        <w:t>Gunilla</w:t>
      </w:r>
      <w:proofErr w:type="spellEnd"/>
      <w:r w:rsidRPr="00F21F42">
        <w:rPr>
          <w:i/>
        </w:rPr>
        <w:t xml:space="preserve"> </w:t>
      </w:r>
      <w:proofErr w:type="spellStart"/>
      <w:r w:rsidRPr="00F21F42">
        <w:rPr>
          <w:i/>
        </w:rPr>
        <w:t>Fevre-Burdy</w:t>
      </w:r>
      <w:proofErr w:type="spellEnd"/>
    </w:p>
    <w:p w:rsidR="00F327D7" w:rsidRPr="00F21F42" w:rsidRDefault="00946CC3" w:rsidP="00C532C0">
      <w:pPr>
        <w:tabs>
          <w:tab w:val="left" w:pos="1418"/>
        </w:tabs>
        <w:rPr>
          <w:i/>
          <w:iCs/>
        </w:rPr>
      </w:pPr>
      <w:r w:rsidRPr="00F21F42">
        <w:tab/>
      </w:r>
      <w:r w:rsidRPr="00F21F42">
        <w:rPr>
          <w:i/>
        </w:rPr>
        <w:t xml:space="preserve">(Tél. 00 32 2 546 9108 – </w:t>
      </w:r>
      <w:proofErr w:type="spellStart"/>
      <w:r w:rsidRPr="00F21F42">
        <w:rPr>
          <w:i/>
        </w:rPr>
        <w:t>courrie</w:t>
      </w:r>
      <w:proofErr w:type="spellEnd"/>
      <w:r w:rsidRPr="00F21F42">
        <w:rPr>
          <w:i/>
        </w:rPr>
        <w:t xml:space="preserve">: </w:t>
      </w:r>
      <w:hyperlink r:id="rId31" w:history="1">
        <w:r w:rsidRPr="00F21F42">
          <w:rPr>
            <w:rStyle w:val="Hyperlink"/>
            <w:i/>
          </w:rPr>
          <w:t>Gunilla.Sandberg@eesc.europa.eu</w:t>
        </w:r>
      </w:hyperlink>
      <w:r w:rsidRPr="00F21F42">
        <w:rPr>
          <w:i/>
        </w:rPr>
        <w:t>)</w:t>
      </w:r>
    </w:p>
    <w:p w:rsidR="00083F57" w:rsidRPr="00F21F42" w:rsidRDefault="00083F57" w:rsidP="002F0199">
      <w:pPr>
        <w:tabs>
          <w:tab w:val="left" w:pos="1418"/>
        </w:tabs>
        <w:rPr>
          <w:iCs/>
        </w:rPr>
      </w:pPr>
    </w:p>
    <w:p w:rsidR="002831ED" w:rsidRPr="00F21F42" w:rsidRDefault="002831ED" w:rsidP="000D3931">
      <w:r w:rsidRPr="00F21F42">
        <w:br w:type="page"/>
      </w:r>
    </w:p>
    <w:p w:rsidR="00AF1968" w:rsidRPr="00F21F42" w:rsidRDefault="00AF1968" w:rsidP="002F0199">
      <w:pPr>
        <w:pStyle w:val="Heading1"/>
        <w:rPr>
          <w:b/>
          <w:caps/>
        </w:rPr>
      </w:pPr>
      <w:bookmarkStart w:id="9" w:name="_Toc506371473"/>
      <w:bookmarkStart w:id="10" w:name="_Toc507410842"/>
      <w:r w:rsidRPr="00F21F42">
        <w:rPr>
          <w:b/>
          <w:caps/>
        </w:rPr>
        <w:lastRenderedPageBreak/>
        <w:t>AGRICULTURE, DÉVELOPPEMENT RURAL ET ENVIRONNEMENT</w:t>
      </w:r>
      <w:bookmarkEnd w:id="9"/>
      <w:bookmarkEnd w:id="10"/>
    </w:p>
    <w:p w:rsidR="00915C4E" w:rsidRPr="00F21F42" w:rsidRDefault="00915C4E" w:rsidP="00D3020E">
      <w:pPr>
        <w:keepNext/>
        <w:widowControl w:val="0"/>
        <w:rPr>
          <w:bCs/>
          <w:iCs/>
          <w:szCs w:val="28"/>
        </w:rPr>
      </w:pPr>
    </w:p>
    <w:p w:rsidR="004B03FA" w:rsidRPr="00F21F42" w:rsidRDefault="005C5CD7" w:rsidP="000E4B46">
      <w:pPr>
        <w:pStyle w:val="ListParagraph"/>
        <w:numPr>
          <w:ilvl w:val="0"/>
          <w:numId w:val="4"/>
        </w:numPr>
        <w:rPr>
          <w:b/>
          <w:bCs/>
          <w:i/>
          <w:iCs/>
          <w:sz w:val="28"/>
          <w:szCs w:val="28"/>
        </w:rPr>
      </w:pPr>
      <w:r w:rsidRPr="00F21F42">
        <w:rPr>
          <w:b/>
          <w:i/>
          <w:sz w:val="28"/>
        </w:rPr>
        <w:t xml:space="preserve">Promouvoir des actions en faveur du climat par des acteurs non étatiques </w:t>
      </w:r>
    </w:p>
    <w:p w:rsidR="004B03FA" w:rsidRPr="00F21F42" w:rsidRDefault="004B03FA" w:rsidP="00D3020E">
      <w:pPr>
        <w:keepNext/>
        <w:tabs>
          <w:tab w:val="left" w:pos="1701"/>
        </w:tabs>
      </w:pPr>
    </w:p>
    <w:p w:rsidR="005C5CD7" w:rsidRPr="00F21F42" w:rsidRDefault="005C5CD7" w:rsidP="002F0199">
      <w:pPr>
        <w:tabs>
          <w:tab w:val="left" w:pos="1701"/>
        </w:tabs>
      </w:pPr>
      <w:r w:rsidRPr="00F21F42">
        <w:rPr>
          <w:b/>
        </w:rPr>
        <w:t>Rapporteur:</w:t>
      </w:r>
      <w:r w:rsidRPr="00F21F42">
        <w:tab/>
      </w:r>
      <w:proofErr w:type="spellStart"/>
      <w:r w:rsidRPr="00F21F42">
        <w:t>Mindaugas</w:t>
      </w:r>
      <w:proofErr w:type="spellEnd"/>
      <w:r w:rsidRPr="00F21F42">
        <w:t xml:space="preserve"> </w:t>
      </w:r>
      <w:proofErr w:type="spellStart"/>
      <w:r w:rsidRPr="00F21F42">
        <w:t>MACIULEVIČIUS</w:t>
      </w:r>
      <w:proofErr w:type="spellEnd"/>
      <w:r w:rsidRPr="00F21F42">
        <w:t xml:space="preserve"> (Activités diverses – </w:t>
      </w:r>
      <w:proofErr w:type="spellStart"/>
      <w:r w:rsidRPr="00F21F42">
        <w:t>LT</w:t>
      </w:r>
      <w:proofErr w:type="spellEnd"/>
      <w:r w:rsidRPr="00F21F42">
        <w:t>)</w:t>
      </w:r>
    </w:p>
    <w:p w:rsidR="005C5CD7" w:rsidRPr="00F21F42" w:rsidRDefault="005C5CD7" w:rsidP="002F0199">
      <w:pPr>
        <w:tabs>
          <w:tab w:val="left" w:pos="1701"/>
        </w:tabs>
      </w:pPr>
    </w:p>
    <w:p w:rsidR="005C5CD7" w:rsidRPr="00F21F42" w:rsidRDefault="005C5CD7" w:rsidP="002F0199">
      <w:pPr>
        <w:tabs>
          <w:tab w:val="left" w:pos="1701"/>
        </w:tabs>
        <w:ind w:left="-5"/>
      </w:pPr>
      <w:r w:rsidRPr="00F21F42">
        <w:rPr>
          <w:b/>
        </w:rPr>
        <w:t xml:space="preserve">Références: </w:t>
      </w:r>
      <w:r w:rsidRPr="00F21F42">
        <w:tab/>
        <w:t>EESC-2017-04464-00-00-AC-TRA</w:t>
      </w:r>
    </w:p>
    <w:p w:rsidR="005C5CD7" w:rsidRPr="00F21F42" w:rsidRDefault="004B03FA" w:rsidP="008169EC">
      <w:pPr>
        <w:ind w:left="1701"/>
      </w:pPr>
      <w:r w:rsidRPr="00F21F42">
        <w:t>Avis exploratoire à la demande de la Commission européenne</w:t>
      </w:r>
    </w:p>
    <w:p w:rsidR="00DB2CC6" w:rsidRPr="00F21F42" w:rsidRDefault="00DB2CC6" w:rsidP="002F0199">
      <w:pPr>
        <w:rPr>
          <w:b/>
        </w:rPr>
      </w:pPr>
    </w:p>
    <w:p w:rsidR="005C5CD7" w:rsidRPr="00F21F42" w:rsidRDefault="005C5CD7" w:rsidP="002F0199">
      <w:pPr>
        <w:rPr>
          <w:b/>
          <w:iCs/>
          <w:highlight w:val="yellow"/>
          <w:u w:val="single"/>
        </w:rPr>
      </w:pPr>
      <w:r w:rsidRPr="00F21F42">
        <w:rPr>
          <w:b/>
        </w:rPr>
        <w:t>Points clés:</w:t>
      </w:r>
    </w:p>
    <w:p w:rsidR="00974EA5" w:rsidRPr="00F21F42" w:rsidRDefault="00974EA5" w:rsidP="002F0199">
      <w:pPr>
        <w:ind w:left="-567"/>
        <w:rPr>
          <w:iCs/>
          <w:highlight w:val="yellow"/>
        </w:rPr>
      </w:pPr>
    </w:p>
    <w:p w:rsidR="005C5CD7" w:rsidRPr="00F21F42" w:rsidRDefault="005C5CD7" w:rsidP="00D05C61">
      <w:pPr>
        <w:pStyle w:val="Heading2"/>
        <w:numPr>
          <w:ilvl w:val="0"/>
          <w:numId w:val="6"/>
        </w:numPr>
        <w:autoSpaceDE w:val="0"/>
        <w:autoSpaceDN w:val="0"/>
        <w:spacing w:after="120"/>
        <w:ind w:left="709" w:hanging="284"/>
      </w:pPr>
      <w:r w:rsidRPr="00F21F42">
        <w:t>La transition vers une économie sobre en carbone et résiliente face au changement climatique a été largement alimentée par les initiatives émanant du terrain conduites par les citoyens, les entreprises innovantes et diverses parties prenantes de la société civile, désignées de manière générique par le terme d’acteurs non étatiques et infranationaux. Au cours des dernières années, le nombre, la portée et l’ampleur des actions climatiques non étatiques ont connu une croissance rapide. Cependant, en raison de la persistance d’obstacles considérables, les acteurs non étatiques se heurtent à des difficultés pour engager et mettre en œuvre avec succès leurs actions climatiques.</w:t>
      </w:r>
    </w:p>
    <w:p w:rsidR="005C5CD7" w:rsidRPr="00F21F42" w:rsidRDefault="005C5CD7" w:rsidP="00D05C61">
      <w:pPr>
        <w:pStyle w:val="Heading2"/>
        <w:numPr>
          <w:ilvl w:val="0"/>
          <w:numId w:val="6"/>
        </w:numPr>
        <w:autoSpaceDE w:val="0"/>
        <w:autoSpaceDN w:val="0"/>
        <w:spacing w:after="120"/>
        <w:ind w:left="709" w:hanging="284"/>
      </w:pPr>
      <w:r w:rsidRPr="00F21F42">
        <w:t xml:space="preserve">Le </w:t>
      </w:r>
      <w:proofErr w:type="spellStart"/>
      <w:r w:rsidRPr="00F21F42">
        <w:t>CESE</w:t>
      </w:r>
      <w:proofErr w:type="spellEnd"/>
      <w:r w:rsidRPr="00F21F42">
        <w:t xml:space="preserve"> préconise un «dialogue européen de l’action non étatique pour le climat» en vue de renforcer et d’élargir la portée et l’ampleur de cette action au niveau européen. Le dialogue européen proposé devrait permettre de disposer d’une vue d’ensemble des actions de lutte contre le changement climatique au sein de l’UE et de suivre l’évolution des actions menées dans ce domaine au niveau mondial. Il devrait avoir pour tâche de recueillir en permanence des informations en retour et de s’attaquer sur le plan réglementaire aux problèmes rencontrés avec les pouvoirs publics, afin de faire émerger progressivement un environnement de gouvernance favorable aux actions climatiques émanant du terrain. L’objectif ultime du dialogue proposé est d’accélérer les actions pour le climat en les rendant attrayantes pour un large éventail d’acteurs non étatiques et d’en faire la nouvelle norme. Le dialogue ne devrait pas seulement servir à mettre en lumière et à présenter les actions, mais aussi à répondre aux besoins des acteurs non étatiques en suscitant de nouveaux partenariats entre les acteurs étatiques et non étatiques, en favorisant l’apprentissage mutuel, la formation et le partage de conseils entre les acteurs non étatiques, et en facilitant l’accès au financement.</w:t>
      </w:r>
    </w:p>
    <w:p w:rsidR="005C5CD7" w:rsidRPr="00F21F42" w:rsidRDefault="005C5CD7" w:rsidP="00D05C61">
      <w:pPr>
        <w:pStyle w:val="Heading2"/>
        <w:numPr>
          <w:ilvl w:val="0"/>
          <w:numId w:val="6"/>
        </w:numPr>
        <w:autoSpaceDE w:val="0"/>
        <w:autoSpaceDN w:val="0"/>
        <w:spacing w:after="120"/>
        <w:ind w:left="709" w:hanging="284"/>
      </w:pPr>
      <w:r w:rsidRPr="00F21F42">
        <w:t xml:space="preserve">L’organisation de ce dialogue devrait être «légère», en privilégiant l’articulation stratégique des programmes, initiatives et institutions en place, plutôt qu’en créant de nouvelles structures. Le </w:t>
      </w:r>
      <w:proofErr w:type="spellStart"/>
      <w:r w:rsidRPr="00F21F42">
        <w:t>CESE</w:t>
      </w:r>
      <w:proofErr w:type="spellEnd"/>
      <w:r w:rsidRPr="00F21F42">
        <w:t xml:space="preserve"> jouera un rôle de chef de file dans le lancement de ce dialogue et invite les autres institutions de l’UE, en particulier la Commission européenne, à se joindre à cette initiative de création d’un environnement propice à l’action non étatique pour le climat, en coopérant à la mise en place de ce dialogue et en aidant à le rendre opérationnel.</w:t>
      </w:r>
    </w:p>
    <w:p w:rsidR="005C5CD7" w:rsidRPr="00F21F42" w:rsidRDefault="005C5CD7" w:rsidP="00D05C61">
      <w:pPr>
        <w:pStyle w:val="Heading2"/>
        <w:numPr>
          <w:ilvl w:val="0"/>
          <w:numId w:val="6"/>
        </w:numPr>
        <w:autoSpaceDE w:val="0"/>
        <w:autoSpaceDN w:val="0"/>
        <w:spacing w:after="120"/>
        <w:ind w:left="709" w:hanging="284"/>
      </w:pPr>
      <w:r w:rsidRPr="00F21F42">
        <w:t xml:space="preserve">La première initiative pour le dialogue européen de l’action non étatique pour le climat devrait être l’organisation d’une manifestation au cours du premier semestre de 2018, réunissant tous les réseaux d’acteurs intéressés, ainsi que des représentants des autres institutions de l’UE et des États membres. Elle se tiendrait dans l’esprit du dialogue </w:t>
      </w:r>
      <w:proofErr w:type="spellStart"/>
      <w:r w:rsidRPr="00D05C61">
        <w:t>talanoa</w:t>
      </w:r>
      <w:proofErr w:type="spellEnd"/>
      <w:r w:rsidRPr="00F21F42">
        <w:t xml:space="preserve"> et servirait à établir un plan d’action précis pour le dialogue.</w:t>
      </w:r>
    </w:p>
    <w:p w:rsidR="005C5CD7" w:rsidRPr="00D05C61" w:rsidRDefault="005C5CD7" w:rsidP="00D05C61">
      <w:pPr>
        <w:pStyle w:val="Heading2"/>
        <w:numPr>
          <w:ilvl w:val="0"/>
          <w:numId w:val="0"/>
        </w:numPr>
        <w:autoSpaceDE w:val="0"/>
        <w:autoSpaceDN w:val="0"/>
        <w:spacing w:after="120"/>
        <w:ind w:left="425"/>
      </w:pPr>
    </w:p>
    <w:p w:rsidR="005C5CD7" w:rsidRPr="00F21F42" w:rsidRDefault="005C5CD7" w:rsidP="002F0199">
      <w:pPr>
        <w:tabs>
          <w:tab w:val="left" w:pos="1418"/>
        </w:tabs>
        <w:rPr>
          <w:i/>
          <w:iCs/>
        </w:rPr>
      </w:pPr>
      <w:r w:rsidRPr="00F21F42">
        <w:rPr>
          <w:b/>
          <w:i/>
        </w:rPr>
        <w:lastRenderedPageBreak/>
        <w:t>Contact:</w:t>
      </w:r>
      <w:r w:rsidRPr="00F21F42">
        <w:tab/>
      </w:r>
      <w:r w:rsidRPr="00F21F42">
        <w:rPr>
          <w:i/>
        </w:rPr>
        <w:t xml:space="preserve">Stella </w:t>
      </w:r>
      <w:proofErr w:type="spellStart"/>
      <w:r w:rsidRPr="00F21F42">
        <w:rPr>
          <w:i/>
        </w:rPr>
        <w:t>Brozek</w:t>
      </w:r>
      <w:proofErr w:type="spellEnd"/>
      <w:r w:rsidRPr="00F21F42">
        <w:rPr>
          <w:i/>
        </w:rPr>
        <w:t xml:space="preserve">-Everaert </w:t>
      </w:r>
    </w:p>
    <w:p w:rsidR="005C5CD7" w:rsidRPr="00F21F42" w:rsidRDefault="005C5CD7" w:rsidP="008169EC">
      <w:pPr>
        <w:ind w:left="1418"/>
        <w:rPr>
          <w:i/>
          <w:iCs/>
        </w:rPr>
      </w:pPr>
      <w:r w:rsidRPr="00F21F42">
        <w:rPr>
          <w:i/>
        </w:rPr>
        <w:t xml:space="preserve">(Tél. +32 2 546 92 02 – courriel: </w:t>
      </w:r>
      <w:hyperlink r:id="rId32" w:history="1">
        <w:r w:rsidRPr="00F21F42">
          <w:rPr>
            <w:rStyle w:val="Hyperlink"/>
            <w:i/>
          </w:rPr>
          <w:t>Stella.BrozekEveraert@eesc.europa.eu</w:t>
        </w:r>
      </w:hyperlink>
      <w:r w:rsidRPr="00F21F42">
        <w:rPr>
          <w:i/>
        </w:rPr>
        <w:t>)</w:t>
      </w:r>
    </w:p>
    <w:p w:rsidR="00915C4E" w:rsidRPr="00F21F42" w:rsidRDefault="00915C4E" w:rsidP="002F0199">
      <w:pPr>
        <w:rPr>
          <w:b/>
          <w:iCs/>
          <w:highlight w:val="yellow"/>
          <w:u w:val="single"/>
        </w:rPr>
      </w:pPr>
    </w:p>
    <w:p w:rsidR="005C5CD7" w:rsidRPr="00F21F42" w:rsidRDefault="005C5CD7" w:rsidP="00FD5829">
      <w:pPr>
        <w:pStyle w:val="ListParagraph"/>
        <w:keepNext/>
        <w:numPr>
          <w:ilvl w:val="0"/>
          <w:numId w:val="4"/>
        </w:numPr>
        <w:rPr>
          <w:b/>
          <w:bCs/>
          <w:i/>
          <w:iCs/>
          <w:sz w:val="28"/>
          <w:szCs w:val="28"/>
        </w:rPr>
      </w:pPr>
      <w:r w:rsidRPr="00F21F42">
        <w:rPr>
          <w:b/>
          <w:i/>
          <w:sz w:val="28"/>
        </w:rPr>
        <w:t>Équivalence des inspections – semences du Brésil et de la Moldavie</w:t>
      </w:r>
    </w:p>
    <w:p w:rsidR="005C5CD7" w:rsidRPr="00F21F42" w:rsidRDefault="005C5CD7" w:rsidP="00FD5829">
      <w:pPr>
        <w:keepNext/>
        <w:widowControl w:val="0"/>
        <w:rPr>
          <w:bCs/>
          <w:iCs/>
          <w:sz w:val="28"/>
          <w:szCs w:val="28"/>
        </w:rPr>
      </w:pPr>
    </w:p>
    <w:p w:rsidR="005C5CD7" w:rsidRPr="00F21F42" w:rsidRDefault="005C5CD7" w:rsidP="00FD5829">
      <w:pPr>
        <w:keepNext/>
        <w:tabs>
          <w:tab w:val="left" w:pos="1701"/>
        </w:tabs>
      </w:pPr>
      <w:r w:rsidRPr="00F21F42">
        <w:rPr>
          <w:b/>
        </w:rPr>
        <w:t>Rapporteur:</w:t>
      </w:r>
      <w:r w:rsidRPr="00F21F42">
        <w:tab/>
        <w:t>Emilio </w:t>
      </w:r>
      <w:proofErr w:type="spellStart"/>
      <w:r w:rsidRPr="00F21F42">
        <w:t>FATOVIC</w:t>
      </w:r>
      <w:proofErr w:type="spellEnd"/>
      <w:r w:rsidRPr="00F21F42">
        <w:t xml:space="preserve"> (Travailleurs – IT)</w:t>
      </w:r>
    </w:p>
    <w:p w:rsidR="005C5CD7" w:rsidRPr="00F21F42" w:rsidRDefault="005C5CD7" w:rsidP="00FD5829">
      <w:pPr>
        <w:keepNext/>
        <w:tabs>
          <w:tab w:val="left" w:pos="1701"/>
        </w:tabs>
      </w:pPr>
    </w:p>
    <w:p w:rsidR="005C5CD7" w:rsidRPr="00F21F42" w:rsidRDefault="005C5CD7" w:rsidP="00FD5829">
      <w:pPr>
        <w:keepNext/>
        <w:tabs>
          <w:tab w:val="left" w:pos="1701"/>
        </w:tabs>
      </w:pPr>
      <w:r w:rsidRPr="00F21F42">
        <w:rPr>
          <w:b/>
        </w:rPr>
        <w:t>Références:</w:t>
      </w:r>
      <w:r w:rsidRPr="00F21F42">
        <w:tab/>
        <w:t xml:space="preserve">COM(2017) 643 final </w:t>
      </w:r>
      <w:r w:rsidR="00575914" w:rsidRPr="00F21F42">
        <w:t>–</w:t>
      </w:r>
      <w:r w:rsidRPr="00F21F42">
        <w:t xml:space="preserve"> 2017/0297 (COD)</w:t>
      </w:r>
    </w:p>
    <w:p w:rsidR="005C5CD7" w:rsidRPr="00F21F42" w:rsidRDefault="005C5CD7" w:rsidP="00FD5829">
      <w:pPr>
        <w:keepNext/>
        <w:ind w:left="1701"/>
      </w:pPr>
      <w:r w:rsidRPr="00F21F42">
        <w:t>EESC-2018-00043-00-00-AC-TRA</w:t>
      </w:r>
    </w:p>
    <w:p w:rsidR="005C5CD7" w:rsidRPr="00F21F42" w:rsidRDefault="005C5CD7" w:rsidP="00FD5829">
      <w:pPr>
        <w:keepNext/>
        <w:ind w:left="-5"/>
        <w:rPr>
          <w:bCs/>
          <w:iCs/>
        </w:rPr>
      </w:pPr>
      <w:r w:rsidRPr="00F21F42">
        <w:rPr>
          <w:b/>
        </w:rPr>
        <w:t>Points clés:</w:t>
      </w:r>
    </w:p>
    <w:p w:rsidR="00974EA5" w:rsidRPr="00F21F42" w:rsidRDefault="00974EA5" w:rsidP="00FD5829">
      <w:pPr>
        <w:keepNext/>
        <w:ind w:left="-567"/>
      </w:pPr>
    </w:p>
    <w:p w:rsidR="005C5CD7" w:rsidRPr="00F21F42" w:rsidRDefault="005C5CD7" w:rsidP="002F0199">
      <w:r w:rsidRPr="00F21F42">
        <w:t xml:space="preserve">Le </w:t>
      </w:r>
      <w:proofErr w:type="spellStart"/>
      <w:r w:rsidRPr="00F21F42">
        <w:t>CESE</w:t>
      </w:r>
      <w:proofErr w:type="spellEnd"/>
      <w:r w:rsidRPr="00F21F42">
        <w:t xml:space="preserve"> approuve l’action législative à l’examen. Le </w:t>
      </w:r>
      <w:proofErr w:type="spellStart"/>
      <w:r w:rsidRPr="00F21F42">
        <w:t>CESE</w:t>
      </w:r>
      <w:proofErr w:type="spellEnd"/>
      <w:r w:rsidRPr="00F21F42">
        <w:t xml:space="preserve"> émet une seule réserve qui concerne la proposition de reconnaissance à la Moldavie de l’équivalence relative aux semences de légumes. Ces semences, relevant de la directive 2002/55/CE, sont commercialisées exclusivement en tant que semences de catégorie «standard», qui n’exigent pas de certification officielle pour être mises sur le marché, mais une </w:t>
      </w:r>
      <w:proofErr w:type="spellStart"/>
      <w:r w:rsidRPr="00F21F42">
        <w:t>autocertification</w:t>
      </w:r>
      <w:proofErr w:type="spellEnd"/>
      <w:r w:rsidRPr="00F21F42">
        <w:t xml:space="preserve"> par le producteur et, uniquement après commercialisation, une vérification éventuelle a posteriori des caractéristiques et de la qualité du produit. Ce système repose sur l’obligation de rendre des comptes qui incombe au producteur, une entité clairement identifiée et traçable ayant son siège social dans l’UE. La traçabilité et le contrôle ne seront certainement pas aisés dans le cas de productions qui ont leur origine hors de l’UE. Par conséquent, le Comité souhaite un examen plus approfondi de la part de la Commission.</w:t>
      </w:r>
    </w:p>
    <w:p w:rsidR="005C5CD7" w:rsidRPr="00F21F42" w:rsidRDefault="005C5CD7" w:rsidP="002F0199"/>
    <w:p w:rsidR="005C5CD7" w:rsidRPr="00F21F42" w:rsidRDefault="005C5CD7" w:rsidP="002F0199">
      <w:pPr>
        <w:tabs>
          <w:tab w:val="left" w:pos="1418"/>
        </w:tabs>
        <w:rPr>
          <w:i/>
          <w:iCs/>
        </w:rPr>
      </w:pPr>
      <w:r w:rsidRPr="00F21F42">
        <w:rPr>
          <w:b/>
          <w:i/>
        </w:rPr>
        <w:t>Contact:</w:t>
      </w:r>
      <w:r w:rsidRPr="00F21F42">
        <w:tab/>
      </w:r>
      <w:r w:rsidRPr="00F21F42">
        <w:rPr>
          <w:i/>
        </w:rPr>
        <w:t xml:space="preserve">Arturo Iniguez </w:t>
      </w:r>
    </w:p>
    <w:p w:rsidR="005C5CD7" w:rsidRPr="00F21F42" w:rsidRDefault="005C5CD7" w:rsidP="002F0199">
      <w:pPr>
        <w:ind w:left="1418"/>
        <w:rPr>
          <w:i/>
          <w:iCs/>
        </w:rPr>
      </w:pPr>
      <w:r w:rsidRPr="00F21F42">
        <w:rPr>
          <w:i/>
        </w:rPr>
        <w:t>(Tél. 00 32 2 546 87 68 – courriel:</w:t>
      </w:r>
      <w:r w:rsidRPr="00F21F42">
        <w:t xml:space="preserve"> </w:t>
      </w:r>
      <w:hyperlink r:id="rId33" w:history="1">
        <w:r w:rsidRPr="00F21F42">
          <w:rPr>
            <w:rStyle w:val="Hyperlink"/>
            <w:i/>
          </w:rPr>
          <w:t>Arturo.Iniguez@eesc.europa.eu</w:t>
        </w:r>
      </w:hyperlink>
      <w:r w:rsidRPr="00F21F42">
        <w:rPr>
          <w:i/>
        </w:rPr>
        <w:t>)</w:t>
      </w:r>
    </w:p>
    <w:p w:rsidR="005C5CD7" w:rsidRPr="00F21F42" w:rsidRDefault="005C5CD7" w:rsidP="002F0199">
      <w:pPr>
        <w:rPr>
          <w:i/>
          <w:iCs/>
        </w:rPr>
      </w:pPr>
    </w:p>
    <w:p w:rsidR="00915C4E" w:rsidRPr="00F21F42" w:rsidRDefault="00915C4E" w:rsidP="002F0199">
      <w:pPr>
        <w:widowControl w:val="0"/>
        <w:rPr>
          <w:bCs/>
          <w:iCs/>
          <w:szCs w:val="28"/>
        </w:rPr>
      </w:pPr>
    </w:p>
    <w:p w:rsidR="005C5CD7" w:rsidRPr="00F21F42" w:rsidRDefault="005C5CD7" w:rsidP="000E4B46">
      <w:pPr>
        <w:pStyle w:val="ListParagraph"/>
        <w:numPr>
          <w:ilvl w:val="0"/>
          <w:numId w:val="14"/>
        </w:numPr>
        <w:rPr>
          <w:b/>
          <w:bCs/>
          <w:i/>
          <w:iCs/>
          <w:sz w:val="28"/>
          <w:szCs w:val="28"/>
        </w:rPr>
      </w:pPr>
      <w:r w:rsidRPr="00F21F42">
        <w:rPr>
          <w:b/>
          <w:i/>
          <w:sz w:val="28"/>
        </w:rPr>
        <w:t>Lutte contre la maladie de Newcastle</w:t>
      </w:r>
    </w:p>
    <w:p w:rsidR="005C5CD7" w:rsidRPr="00F21F42" w:rsidRDefault="005C5CD7" w:rsidP="002F0199"/>
    <w:p w:rsidR="005C5CD7" w:rsidRPr="00F21F42" w:rsidRDefault="005C5CD7" w:rsidP="002F0199">
      <w:pPr>
        <w:tabs>
          <w:tab w:val="left" w:pos="1701"/>
        </w:tabs>
      </w:pPr>
      <w:r w:rsidRPr="00F21F42">
        <w:rPr>
          <w:b/>
        </w:rPr>
        <w:t>Références:</w:t>
      </w:r>
      <w:r w:rsidRPr="00F21F42">
        <w:tab/>
        <w:t>COM(2017) 742 final – 2017/0329 COD</w:t>
      </w:r>
    </w:p>
    <w:p w:rsidR="005C5CD7" w:rsidRPr="00F21F42" w:rsidRDefault="005C5CD7" w:rsidP="008169EC">
      <w:pPr>
        <w:ind w:left="1701"/>
      </w:pPr>
      <w:r w:rsidRPr="00F21F42">
        <w:t>EESC-2018-00197-00-00-AC-TRA</w:t>
      </w:r>
    </w:p>
    <w:p w:rsidR="005C5CD7" w:rsidRPr="00F21F42" w:rsidRDefault="005C5CD7" w:rsidP="002F0199">
      <w:pPr>
        <w:ind w:left="-5"/>
      </w:pPr>
    </w:p>
    <w:p w:rsidR="005C5CD7" w:rsidRPr="00F21F42" w:rsidRDefault="005C5CD7" w:rsidP="002F0199">
      <w:pPr>
        <w:pStyle w:val="Heading2"/>
        <w:numPr>
          <w:ilvl w:val="0"/>
          <w:numId w:val="0"/>
        </w:numPr>
      </w:pPr>
      <w:r w:rsidRPr="00F21F42">
        <w:t>Ayant estimé que le contenu de la proposition de la Commission est satisfaisant et n’appelle aucun commentaire de sa part, le Comité a décidé de rendre un avis favorable au texte proposé.</w:t>
      </w:r>
    </w:p>
    <w:p w:rsidR="005C5CD7" w:rsidRPr="00F21F42" w:rsidRDefault="005C5CD7" w:rsidP="002F0199">
      <w:pPr>
        <w:ind w:left="-567"/>
        <w:rPr>
          <w:iCs/>
          <w:highlight w:val="yellow"/>
        </w:rPr>
      </w:pPr>
    </w:p>
    <w:p w:rsidR="005C5CD7" w:rsidRPr="00F21F42" w:rsidRDefault="005C5CD7" w:rsidP="002F0199">
      <w:pPr>
        <w:tabs>
          <w:tab w:val="left" w:pos="1418"/>
        </w:tabs>
        <w:rPr>
          <w:i/>
          <w:iCs/>
        </w:rPr>
      </w:pPr>
      <w:r w:rsidRPr="00F21F42">
        <w:rPr>
          <w:b/>
          <w:i/>
        </w:rPr>
        <w:t>Contact:</w:t>
      </w:r>
      <w:r w:rsidRPr="00F21F42">
        <w:tab/>
      </w:r>
      <w:r w:rsidRPr="00F21F42">
        <w:rPr>
          <w:i/>
        </w:rPr>
        <w:t xml:space="preserve">Arturo Iniguez </w:t>
      </w:r>
    </w:p>
    <w:p w:rsidR="005C5CD7" w:rsidRPr="00F21F42" w:rsidRDefault="005C5CD7" w:rsidP="008169EC">
      <w:pPr>
        <w:ind w:left="1418"/>
        <w:rPr>
          <w:i/>
          <w:iCs/>
        </w:rPr>
      </w:pPr>
      <w:r w:rsidRPr="00F21F42">
        <w:rPr>
          <w:i/>
        </w:rPr>
        <w:t>(Tél. 00 32 2 546 87 68 – courriel:</w:t>
      </w:r>
      <w:r w:rsidRPr="00F21F42">
        <w:t xml:space="preserve"> </w:t>
      </w:r>
      <w:hyperlink r:id="rId34" w:history="1">
        <w:r w:rsidRPr="00F21F42">
          <w:rPr>
            <w:rStyle w:val="Hyperlink"/>
            <w:i/>
          </w:rPr>
          <w:t>Arturo.Iniguez@eesc.europa.eu</w:t>
        </w:r>
      </w:hyperlink>
      <w:r w:rsidRPr="00F21F42">
        <w:rPr>
          <w:i/>
        </w:rPr>
        <w:t>)</w:t>
      </w:r>
    </w:p>
    <w:p w:rsidR="004C2DBC" w:rsidRPr="00F21F42" w:rsidRDefault="004C2DBC" w:rsidP="000D3931">
      <w:r w:rsidRPr="00F21F42">
        <w:br w:type="page"/>
      </w:r>
    </w:p>
    <w:p w:rsidR="00915C4E" w:rsidRPr="00F21F42" w:rsidRDefault="00915C4E" w:rsidP="000D3931"/>
    <w:p w:rsidR="005C5CD7" w:rsidRPr="00F21F42" w:rsidRDefault="005C5CD7" w:rsidP="000E4B46">
      <w:pPr>
        <w:pStyle w:val="ListParagraph"/>
        <w:numPr>
          <w:ilvl w:val="0"/>
          <w:numId w:val="15"/>
        </w:numPr>
        <w:rPr>
          <w:b/>
          <w:bCs/>
          <w:i/>
          <w:iCs/>
          <w:sz w:val="28"/>
          <w:szCs w:val="28"/>
        </w:rPr>
      </w:pPr>
      <w:r w:rsidRPr="00F21F42">
        <w:rPr>
          <w:b/>
          <w:i/>
          <w:sz w:val="28"/>
        </w:rPr>
        <w:t>Stocks de hareng de la mer Baltique</w:t>
      </w:r>
    </w:p>
    <w:p w:rsidR="005C5CD7" w:rsidRPr="00F21F42" w:rsidRDefault="005C5CD7" w:rsidP="002F0199">
      <w:pPr>
        <w:tabs>
          <w:tab w:val="left" w:pos="1701"/>
        </w:tabs>
      </w:pPr>
    </w:p>
    <w:p w:rsidR="005C5CD7" w:rsidRPr="00F21F42" w:rsidRDefault="005C5CD7" w:rsidP="002F0199">
      <w:pPr>
        <w:tabs>
          <w:tab w:val="left" w:pos="1701"/>
        </w:tabs>
      </w:pPr>
      <w:r w:rsidRPr="00F21F42">
        <w:rPr>
          <w:b/>
        </w:rPr>
        <w:t>Références:</w:t>
      </w:r>
      <w:r w:rsidRPr="00F21F42">
        <w:tab/>
        <w:t xml:space="preserve">COM(2017) 774 final – 2017/0348 COD </w:t>
      </w:r>
    </w:p>
    <w:p w:rsidR="005C5CD7" w:rsidRPr="00F21F42" w:rsidRDefault="005C5CD7" w:rsidP="008169EC">
      <w:pPr>
        <w:ind w:left="1701"/>
      </w:pPr>
      <w:r w:rsidRPr="00F21F42">
        <w:t>EESC-2018-00210-00-00-AC-TRA</w:t>
      </w:r>
    </w:p>
    <w:p w:rsidR="005C5CD7" w:rsidRPr="00F21F42" w:rsidRDefault="005C5CD7" w:rsidP="000D3931"/>
    <w:p w:rsidR="005C5CD7" w:rsidRPr="00F21F42" w:rsidRDefault="005C5CD7" w:rsidP="002F0199">
      <w:pPr>
        <w:rPr>
          <w:b/>
        </w:rPr>
      </w:pPr>
    </w:p>
    <w:p w:rsidR="005C5CD7" w:rsidRPr="00F21F42" w:rsidRDefault="005C5CD7" w:rsidP="002F0199">
      <w:r w:rsidRPr="00F21F42">
        <w:t>Ayant estimé que le contenu de la proposition de la Commission est satisfaisant et n’appelle aucun commentaire de sa part, le Comité a décidé de rendre un avis favorable au texte proposé.</w:t>
      </w:r>
    </w:p>
    <w:p w:rsidR="005C5CD7" w:rsidRPr="00F21F42" w:rsidRDefault="005C5CD7" w:rsidP="002F0199">
      <w:pPr>
        <w:rPr>
          <w:b/>
        </w:rPr>
      </w:pPr>
    </w:p>
    <w:p w:rsidR="005C5CD7" w:rsidRPr="00F21F42" w:rsidRDefault="005C5CD7" w:rsidP="002F0199">
      <w:pPr>
        <w:tabs>
          <w:tab w:val="left" w:pos="1418"/>
        </w:tabs>
        <w:rPr>
          <w:i/>
          <w:iCs/>
        </w:rPr>
      </w:pPr>
      <w:r w:rsidRPr="00F21F42">
        <w:rPr>
          <w:b/>
          <w:i/>
        </w:rPr>
        <w:t>Contact:</w:t>
      </w:r>
      <w:r w:rsidRPr="00F21F42">
        <w:tab/>
      </w:r>
      <w:r w:rsidRPr="00F21F42">
        <w:rPr>
          <w:i/>
        </w:rPr>
        <w:t xml:space="preserve">Arturo Iniguez </w:t>
      </w:r>
    </w:p>
    <w:p w:rsidR="005C5CD7" w:rsidRPr="00F21F42" w:rsidRDefault="005C5CD7" w:rsidP="008169EC">
      <w:pPr>
        <w:ind w:left="1418"/>
        <w:rPr>
          <w:i/>
          <w:iCs/>
        </w:rPr>
      </w:pPr>
      <w:r w:rsidRPr="00F21F42">
        <w:rPr>
          <w:i/>
        </w:rPr>
        <w:t>(Tél. 00 32 2 546 87 68 – courriel:</w:t>
      </w:r>
      <w:r w:rsidRPr="00F21F42">
        <w:t xml:space="preserve"> </w:t>
      </w:r>
      <w:hyperlink r:id="rId35" w:history="1">
        <w:r w:rsidRPr="00F21F42">
          <w:rPr>
            <w:rStyle w:val="Hyperlink"/>
            <w:i/>
          </w:rPr>
          <w:t>Arturo.Iniguez@eesc.europa.eu</w:t>
        </w:r>
      </w:hyperlink>
      <w:r w:rsidRPr="00F21F42">
        <w:rPr>
          <w:i/>
        </w:rPr>
        <w:t>)</w:t>
      </w:r>
    </w:p>
    <w:p w:rsidR="005C5CD7" w:rsidRPr="00F21F42" w:rsidRDefault="005C5CD7" w:rsidP="002F0199">
      <w:pPr>
        <w:rPr>
          <w:i/>
          <w:iCs/>
        </w:rPr>
      </w:pPr>
    </w:p>
    <w:p w:rsidR="005C5CD7" w:rsidRPr="00F21F42" w:rsidRDefault="005C5CD7" w:rsidP="002F0199">
      <w:pPr>
        <w:rPr>
          <w:b/>
        </w:rPr>
      </w:pPr>
    </w:p>
    <w:p w:rsidR="002831ED" w:rsidRPr="00F21F42" w:rsidRDefault="002831ED" w:rsidP="002F0199">
      <w:pPr>
        <w:rPr>
          <w:caps/>
        </w:rPr>
      </w:pPr>
    </w:p>
    <w:p w:rsidR="002831ED" w:rsidRPr="00F21F42" w:rsidRDefault="002831ED" w:rsidP="002F0199">
      <w:pPr>
        <w:rPr>
          <w:caps/>
        </w:rPr>
      </w:pPr>
    </w:p>
    <w:p w:rsidR="002831ED" w:rsidRPr="00F21F42" w:rsidRDefault="002831ED" w:rsidP="000D3931">
      <w:pPr>
        <w:rPr>
          <w:caps/>
        </w:rPr>
      </w:pPr>
      <w:r w:rsidRPr="00F21F42">
        <w:br w:type="page"/>
      </w:r>
    </w:p>
    <w:p w:rsidR="00AF1968" w:rsidRPr="00F21F42" w:rsidRDefault="00AF1968" w:rsidP="002F0199">
      <w:pPr>
        <w:pStyle w:val="Heading1"/>
        <w:rPr>
          <w:b/>
          <w:caps/>
        </w:rPr>
      </w:pPr>
      <w:bookmarkStart w:id="11" w:name="_Toc506371474"/>
      <w:bookmarkStart w:id="12" w:name="_Toc507410843"/>
      <w:r w:rsidRPr="00F21F42">
        <w:rPr>
          <w:b/>
          <w:caps/>
        </w:rPr>
        <w:lastRenderedPageBreak/>
        <w:t>Mutations industrielles</w:t>
      </w:r>
      <w:bookmarkEnd w:id="11"/>
      <w:bookmarkEnd w:id="12"/>
    </w:p>
    <w:p w:rsidR="00915C4E" w:rsidRPr="00F21F42" w:rsidRDefault="00915C4E" w:rsidP="002F0199">
      <w:pPr>
        <w:rPr>
          <w:b/>
          <w:bCs/>
        </w:rPr>
      </w:pPr>
    </w:p>
    <w:p w:rsidR="007A3904" w:rsidRPr="00F21F42" w:rsidRDefault="007A3904" w:rsidP="002F0199">
      <w:pPr>
        <w:numPr>
          <w:ilvl w:val="0"/>
          <w:numId w:val="3"/>
        </w:numPr>
        <w:rPr>
          <w:b/>
          <w:i/>
          <w:sz w:val="28"/>
          <w:szCs w:val="28"/>
        </w:rPr>
      </w:pPr>
      <w:r w:rsidRPr="00F21F42">
        <w:rPr>
          <w:b/>
          <w:i/>
          <w:sz w:val="28"/>
        </w:rPr>
        <w:t>Les mutations industrielles dans le secteur de la santé</w:t>
      </w:r>
    </w:p>
    <w:p w:rsidR="007A3904" w:rsidRPr="00F21F42" w:rsidRDefault="007A3904" w:rsidP="002F0199">
      <w:pPr>
        <w:ind w:left="-39"/>
        <w:rPr>
          <w:b/>
          <w:i/>
          <w:sz w:val="28"/>
        </w:rPr>
      </w:pPr>
    </w:p>
    <w:p w:rsidR="007A3904" w:rsidRPr="00F21F42" w:rsidRDefault="007A3904" w:rsidP="002F0199">
      <w:pPr>
        <w:tabs>
          <w:tab w:val="left" w:pos="1701"/>
        </w:tabs>
        <w:ind w:left="-39"/>
      </w:pPr>
      <w:r w:rsidRPr="00F21F42">
        <w:rPr>
          <w:b/>
        </w:rPr>
        <w:t>Rapporteur:</w:t>
      </w:r>
      <w:r w:rsidRPr="00F21F42">
        <w:tab/>
        <w:t xml:space="preserve">Joost VAN </w:t>
      </w:r>
      <w:proofErr w:type="spellStart"/>
      <w:r w:rsidRPr="00F21F42">
        <w:t>IERSEL</w:t>
      </w:r>
      <w:proofErr w:type="spellEnd"/>
      <w:r w:rsidRPr="00F21F42">
        <w:t xml:space="preserve"> (Employeurs – </w:t>
      </w:r>
      <w:proofErr w:type="spellStart"/>
      <w:r w:rsidRPr="00F21F42">
        <w:t>NL</w:t>
      </w:r>
      <w:proofErr w:type="spellEnd"/>
      <w:r w:rsidRPr="00F21F42">
        <w:t>)</w:t>
      </w:r>
    </w:p>
    <w:p w:rsidR="007A3904" w:rsidRPr="00F21F42" w:rsidRDefault="007A3904" w:rsidP="002F0199">
      <w:pPr>
        <w:tabs>
          <w:tab w:val="left" w:pos="1701"/>
        </w:tabs>
        <w:ind w:left="-39"/>
      </w:pPr>
      <w:proofErr w:type="spellStart"/>
      <w:r w:rsidRPr="00F21F42">
        <w:rPr>
          <w:b/>
        </w:rPr>
        <w:t>Corapporteur</w:t>
      </w:r>
      <w:proofErr w:type="spellEnd"/>
      <w:r w:rsidRPr="00F21F42">
        <w:rPr>
          <w:b/>
        </w:rPr>
        <w:t>:</w:t>
      </w:r>
      <w:r w:rsidRPr="00F21F42">
        <w:tab/>
        <w:t>Enrico </w:t>
      </w:r>
      <w:proofErr w:type="spellStart"/>
      <w:r w:rsidRPr="00F21F42">
        <w:t>GIBELLIERI</w:t>
      </w:r>
      <w:proofErr w:type="spellEnd"/>
      <w:r w:rsidRPr="00F21F42">
        <w:t xml:space="preserve"> (Cat. 2 – IT)</w:t>
      </w:r>
    </w:p>
    <w:p w:rsidR="006D30A4" w:rsidRPr="00F21F42" w:rsidRDefault="006D30A4" w:rsidP="002F0199">
      <w:pPr>
        <w:tabs>
          <w:tab w:val="left" w:pos="1701"/>
        </w:tabs>
        <w:ind w:left="-39"/>
      </w:pPr>
    </w:p>
    <w:p w:rsidR="007A3904" w:rsidRPr="00F21F42" w:rsidRDefault="007A3904" w:rsidP="002F0199">
      <w:pPr>
        <w:tabs>
          <w:tab w:val="left" w:pos="1701"/>
        </w:tabs>
        <w:ind w:left="-39"/>
      </w:pPr>
      <w:r w:rsidRPr="00F21F42">
        <w:rPr>
          <w:b/>
        </w:rPr>
        <w:t>Références:</w:t>
      </w:r>
      <w:r w:rsidRPr="00F21F42">
        <w:tab/>
        <w:t>EESC-2017-02848-00-00-AC-TRA</w:t>
      </w:r>
    </w:p>
    <w:p w:rsidR="006D30A4" w:rsidRPr="00F21F42" w:rsidRDefault="006D30A4" w:rsidP="002F0199">
      <w:pPr>
        <w:ind w:left="-39"/>
      </w:pPr>
    </w:p>
    <w:p w:rsidR="007A3904" w:rsidRPr="00F21F42" w:rsidRDefault="007A3904" w:rsidP="002F0199">
      <w:pPr>
        <w:ind w:left="-39"/>
        <w:rPr>
          <w:b/>
        </w:rPr>
      </w:pPr>
      <w:r w:rsidRPr="00F21F42">
        <w:rPr>
          <w:b/>
        </w:rPr>
        <w:t>Points clés:</w:t>
      </w:r>
    </w:p>
    <w:p w:rsidR="007A3904" w:rsidRPr="00F21F42" w:rsidRDefault="007A3904" w:rsidP="002F0199">
      <w:pPr>
        <w:ind w:left="-39"/>
        <w:rPr>
          <w:b/>
        </w:rPr>
      </w:pPr>
    </w:p>
    <w:p w:rsidR="007A3904" w:rsidRPr="00F21F42" w:rsidRDefault="007A3904" w:rsidP="002F0199">
      <w:pPr>
        <w:pStyle w:val="Heading2"/>
        <w:keepNext/>
        <w:keepLines/>
        <w:numPr>
          <w:ilvl w:val="0"/>
          <w:numId w:val="0"/>
        </w:numPr>
      </w:pPr>
      <w:r w:rsidRPr="00F21F42">
        <w:t>Recommandations</w:t>
      </w:r>
    </w:p>
    <w:p w:rsidR="007A3904" w:rsidRPr="00F21F42" w:rsidRDefault="007A3904" w:rsidP="002F0199"/>
    <w:p w:rsidR="007A3904" w:rsidRPr="00F21F42" w:rsidRDefault="007A3904" w:rsidP="00270B2E">
      <w:pPr>
        <w:pStyle w:val="Heading2"/>
        <w:numPr>
          <w:ilvl w:val="0"/>
          <w:numId w:val="6"/>
        </w:numPr>
        <w:autoSpaceDE w:val="0"/>
        <w:autoSpaceDN w:val="0"/>
        <w:spacing w:after="120"/>
        <w:ind w:left="709" w:hanging="284"/>
      </w:pPr>
      <w:r w:rsidRPr="00F21F42">
        <w:t>Les institutions européennes devraient favoriser les performances économiques, l’innovation, la numérisation et l’efficacité en matière de marchés publics, tout en facilitant la coopération et les échanges transfrontières de dispositifs médicaux et de produits industriels.</w:t>
      </w:r>
    </w:p>
    <w:p w:rsidR="007A3904" w:rsidRPr="00F21F42" w:rsidRDefault="007A3904" w:rsidP="00270B2E">
      <w:pPr>
        <w:pStyle w:val="Heading2"/>
        <w:numPr>
          <w:ilvl w:val="0"/>
          <w:numId w:val="6"/>
        </w:numPr>
        <w:autoSpaceDE w:val="0"/>
        <w:autoSpaceDN w:val="0"/>
        <w:spacing w:after="120"/>
        <w:ind w:left="709" w:hanging="284"/>
      </w:pPr>
      <w:r w:rsidRPr="00F21F42">
        <w:t xml:space="preserve">La politique industrielle européenne doit être fondée sur un partage des compétences nationales et européennes dans le cadre de l’article 168 du </w:t>
      </w:r>
      <w:proofErr w:type="spellStart"/>
      <w:r w:rsidRPr="00F21F42">
        <w:t>TFUE</w:t>
      </w:r>
      <w:proofErr w:type="spellEnd"/>
      <w:r w:rsidRPr="00F21F42">
        <w:t>. Dans le même ordre d’idées, les politiques d’innovation de l’UE devraient la soutenir. Il convient de dûment coordonner les financements de l’UE, dont Horizon 2020, et de veiller à ce qu’ils soient en phase avec les programmes nationaux.</w:t>
      </w:r>
    </w:p>
    <w:p w:rsidR="007A3904" w:rsidRPr="00F21F42" w:rsidRDefault="007A3904" w:rsidP="00270B2E">
      <w:pPr>
        <w:pStyle w:val="Heading2"/>
        <w:numPr>
          <w:ilvl w:val="0"/>
          <w:numId w:val="6"/>
        </w:numPr>
        <w:autoSpaceDE w:val="0"/>
        <w:autoSpaceDN w:val="0"/>
        <w:spacing w:after="120"/>
        <w:ind w:left="709" w:hanging="284"/>
      </w:pPr>
      <w:r w:rsidRPr="00F21F42">
        <w:t>L’industrie bénéficiera considérablement de la stratégie pour un marché unique numérique. La libre circulation des (méga-</w:t>
      </w:r>
      <w:proofErr w:type="gramStart"/>
      <w:r w:rsidRPr="00F21F42">
        <w:t>)données</w:t>
      </w:r>
      <w:proofErr w:type="gramEnd"/>
      <w:r w:rsidRPr="00F21F42">
        <w:t xml:space="preserve"> dans l’ensemble de l’Union devrait être promue, dans le respect de la vie privée et de la sécurité des patients.</w:t>
      </w:r>
    </w:p>
    <w:p w:rsidR="007A3904" w:rsidRPr="00F21F42" w:rsidRDefault="007A3904" w:rsidP="00270B2E">
      <w:pPr>
        <w:pStyle w:val="Heading2"/>
        <w:numPr>
          <w:ilvl w:val="0"/>
          <w:numId w:val="6"/>
        </w:numPr>
        <w:autoSpaceDE w:val="0"/>
        <w:autoSpaceDN w:val="0"/>
        <w:spacing w:after="120"/>
        <w:ind w:left="709" w:hanging="284"/>
      </w:pPr>
      <w:r w:rsidRPr="00F21F42">
        <w:t>Les marchés publics jouent un rôle de premier plan dans le lancement des projets s’appuyant sur des technologies de pointe. La Commission devrait veiller à l’efficacité des marchés publics au sein de l’Union, conformément à la directive 2014/12.</w:t>
      </w:r>
    </w:p>
    <w:p w:rsidR="007A3904" w:rsidRPr="00F21F42" w:rsidRDefault="007A3904" w:rsidP="00270B2E">
      <w:pPr>
        <w:pStyle w:val="Heading2"/>
        <w:numPr>
          <w:ilvl w:val="0"/>
          <w:numId w:val="6"/>
        </w:numPr>
        <w:autoSpaceDE w:val="0"/>
        <w:autoSpaceDN w:val="0"/>
        <w:spacing w:after="120"/>
        <w:ind w:left="709" w:hanging="284"/>
      </w:pPr>
      <w:r w:rsidRPr="00F21F42">
        <w:t>Dans le contexte plus large des approches nationales, de nombreuses initiatives sont prises à l’échelle régionale. La Commission devrait promouvoir l’échange des expériences fructueuses. Les contacts bilatéraux entre autorités sanitaires publiques et privées doivent être encouragés.</w:t>
      </w:r>
    </w:p>
    <w:p w:rsidR="007A3904" w:rsidRPr="00F21F42" w:rsidRDefault="007A3904" w:rsidP="00270B2E">
      <w:pPr>
        <w:pStyle w:val="Heading2"/>
        <w:numPr>
          <w:ilvl w:val="0"/>
          <w:numId w:val="6"/>
        </w:numPr>
        <w:autoSpaceDE w:val="0"/>
        <w:autoSpaceDN w:val="0"/>
        <w:spacing w:after="120"/>
        <w:ind w:left="709" w:hanging="284"/>
      </w:pPr>
      <w:r w:rsidRPr="00F21F42">
        <w:t>Le Semestre européen et les recommandations par pays devraient aussi examiner les effets de l’évolution technologique sur la transformation des systèmes de santé.</w:t>
      </w:r>
    </w:p>
    <w:p w:rsidR="007A3904" w:rsidRPr="00F21F42" w:rsidRDefault="007A3904" w:rsidP="00270B2E">
      <w:pPr>
        <w:pStyle w:val="Heading2"/>
        <w:numPr>
          <w:ilvl w:val="0"/>
          <w:numId w:val="6"/>
        </w:numPr>
        <w:autoSpaceDE w:val="0"/>
        <w:autoSpaceDN w:val="0"/>
        <w:spacing w:after="120"/>
        <w:ind w:left="709" w:hanging="284"/>
      </w:pPr>
      <w:r w:rsidRPr="00F21F42">
        <w:t>La Commission doit s’efforcer de mettre en place une bonne coordination interne. Elle devrait encourager les dialogues et les plateformes réunissant les universités, les autorités locales, les partenaires sociaux et l’industrie des technologies médicales. Ils pourront servir d’exemple de coopération étroite entre les acteurs publics, tels que les ministères nationaux de la santé, des finances et de l’industrie, et le secteur privé.</w:t>
      </w:r>
    </w:p>
    <w:p w:rsidR="007A3904" w:rsidRPr="00F21F42" w:rsidRDefault="007A3904" w:rsidP="00270B2E">
      <w:pPr>
        <w:pStyle w:val="Heading2"/>
        <w:numPr>
          <w:ilvl w:val="0"/>
          <w:numId w:val="6"/>
        </w:numPr>
        <w:autoSpaceDE w:val="0"/>
        <w:autoSpaceDN w:val="0"/>
        <w:spacing w:after="120"/>
        <w:ind w:left="709" w:hanging="284"/>
      </w:pPr>
      <w:r w:rsidRPr="00F21F42">
        <w:t>Le facteur humain est déterminant. La transition vers une nouvelle conception de la santé et des soins requiert un esprit ouvert et de nouvelles formes de professionnalisme dans le secteur, à tous les niveaux, ainsi qu’une refonte des activités liées à la santé et aux soins. Le dialogue social européen dans les secteurs de la santé et des services sociaux, qui est en place depuis 2006, doit être renforcé afin de garantir des programmes d’éducation et de formation adéquats et d’améliorer la qualité des conditions et des lieux de travail.</w:t>
      </w:r>
    </w:p>
    <w:p w:rsidR="007A3904" w:rsidRPr="00F21F42" w:rsidRDefault="007A3904" w:rsidP="002F0199">
      <w:pPr>
        <w:ind w:left="-39"/>
        <w:rPr>
          <w:b/>
        </w:rPr>
      </w:pPr>
    </w:p>
    <w:p w:rsidR="007A3904" w:rsidRPr="00F21F42" w:rsidRDefault="007A3904" w:rsidP="004F0286">
      <w:pPr>
        <w:keepNext/>
        <w:tabs>
          <w:tab w:val="left" w:pos="1418"/>
        </w:tabs>
        <w:rPr>
          <w:i/>
        </w:rPr>
      </w:pPr>
      <w:r w:rsidRPr="00F21F42">
        <w:rPr>
          <w:b/>
          <w:i/>
        </w:rPr>
        <w:lastRenderedPageBreak/>
        <w:t>Contact:</w:t>
      </w:r>
      <w:r w:rsidRPr="00F21F42">
        <w:tab/>
      </w:r>
      <w:r w:rsidRPr="00F21F42">
        <w:rPr>
          <w:i/>
        </w:rPr>
        <w:t>Alain Colbach</w:t>
      </w:r>
    </w:p>
    <w:p w:rsidR="00AF1968" w:rsidRPr="00F21F42" w:rsidRDefault="007A3904" w:rsidP="008169EC">
      <w:pPr>
        <w:ind w:left="1418"/>
        <w:rPr>
          <w:i/>
        </w:rPr>
      </w:pPr>
      <w:r w:rsidRPr="00F21F42">
        <w:rPr>
          <w:i/>
        </w:rPr>
        <w:t xml:space="preserve">(Tél. 00 32 2 546 9170 – courriel: </w:t>
      </w:r>
      <w:hyperlink r:id="rId36" w:history="1">
        <w:r w:rsidRPr="00F21F42">
          <w:rPr>
            <w:rStyle w:val="Hyperlink"/>
            <w:i/>
          </w:rPr>
          <w:t>Alain.Colbach@eesc.europa.eu</w:t>
        </w:r>
      </w:hyperlink>
      <w:r w:rsidRPr="00F21F42">
        <w:rPr>
          <w:i/>
        </w:rPr>
        <w:t>)</w:t>
      </w:r>
    </w:p>
    <w:p w:rsidR="00915C4E" w:rsidRPr="00F21F42" w:rsidRDefault="00915C4E" w:rsidP="002F0199">
      <w:pPr>
        <w:rPr>
          <w:b/>
          <w:bCs/>
        </w:rPr>
      </w:pPr>
    </w:p>
    <w:p w:rsidR="007A3904" w:rsidRPr="00F21F42" w:rsidRDefault="007A3904" w:rsidP="000E4B46">
      <w:pPr>
        <w:pStyle w:val="ListParagraph"/>
        <w:numPr>
          <w:ilvl w:val="0"/>
          <w:numId w:val="13"/>
        </w:numPr>
        <w:rPr>
          <w:b/>
          <w:i/>
          <w:sz w:val="28"/>
          <w:szCs w:val="28"/>
        </w:rPr>
      </w:pPr>
      <w:r w:rsidRPr="00F21F42">
        <w:rPr>
          <w:b/>
          <w:i/>
          <w:sz w:val="28"/>
        </w:rPr>
        <w:t>Investir dans une industrie intelligente, innovante et durable</w:t>
      </w:r>
    </w:p>
    <w:p w:rsidR="007A3904" w:rsidRPr="00F21F42" w:rsidRDefault="007A3904" w:rsidP="002F0199">
      <w:pPr>
        <w:ind w:left="-39"/>
        <w:rPr>
          <w:b/>
          <w:i/>
          <w:sz w:val="28"/>
        </w:rPr>
      </w:pPr>
    </w:p>
    <w:p w:rsidR="007A3904" w:rsidRPr="00F21F42" w:rsidRDefault="007A3904" w:rsidP="002F0199">
      <w:pPr>
        <w:tabs>
          <w:tab w:val="left" w:pos="1701"/>
        </w:tabs>
        <w:ind w:left="-39"/>
      </w:pPr>
      <w:r w:rsidRPr="00F21F42">
        <w:rPr>
          <w:b/>
        </w:rPr>
        <w:t>Rapporteur:</w:t>
      </w:r>
      <w:r w:rsidRPr="00F21F42">
        <w:tab/>
      </w:r>
      <w:proofErr w:type="spellStart"/>
      <w:r w:rsidRPr="00F21F42">
        <w:t>Bojidar</w:t>
      </w:r>
      <w:proofErr w:type="spellEnd"/>
      <w:r w:rsidRPr="00F21F42">
        <w:t xml:space="preserve"> </w:t>
      </w:r>
      <w:proofErr w:type="spellStart"/>
      <w:r w:rsidRPr="00F21F42">
        <w:t>DANEV</w:t>
      </w:r>
      <w:proofErr w:type="spellEnd"/>
      <w:r w:rsidRPr="00F21F42">
        <w:t xml:space="preserve"> (Employeurs – </w:t>
      </w:r>
      <w:proofErr w:type="spellStart"/>
      <w:r w:rsidRPr="00F21F42">
        <w:t>BG</w:t>
      </w:r>
      <w:proofErr w:type="spellEnd"/>
      <w:r w:rsidRPr="00F21F42">
        <w:t>)</w:t>
      </w:r>
    </w:p>
    <w:p w:rsidR="007A3904" w:rsidRPr="00F21F42" w:rsidRDefault="007A3904" w:rsidP="002F0199">
      <w:pPr>
        <w:tabs>
          <w:tab w:val="left" w:pos="1701"/>
        </w:tabs>
        <w:ind w:left="-39"/>
      </w:pPr>
      <w:proofErr w:type="spellStart"/>
      <w:r w:rsidRPr="00F21F42">
        <w:rPr>
          <w:b/>
        </w:rPr>
        <w:t>Corapporteur</w:t>
      </w:r>
      <w:proofErr w:type="spellEnd"/>
      <w:r w:rsidRPr="00F21F42">
        <w:rPr>
          <w:b/>
        </w:rPr>
        <w:t>:</w:t>
      </w:r>
      <w:r w:rsidRPr="00F21F42">
        <w:tab/>
        <w:t xml:space="preserve">Monika </w:t>
      </w:r>
      <w:proofErr w:type="spellStart"/>
      <w:r w:rsidRPr="00F21F42">
        <w:t>SITÁROVÁ</w:t>
      </w:r>
      <w:proofErr w:type="spellEnd"/>
      <w:r w:rsidRPr="00F21F42">
        <w:t> </w:t>
      </w:r>
      <w:proofErr w:type="spellStart"/>
      <w:r w:rsidRPr="00F21F42">
        <w:t>HRUŠECKÁ</w:t>
      </w:r>
      <w:proofErr w:type="spellEnd"/>
      <w:r w:rsidRPr="00F21F42">
        <w:t xml:space="preserve"> (Cat. 2 – </w:t>
      </w:r>
      <w:proofErr w:type="spellStart"/>
      <w:r w:rsidRPr="00F21F42">
        <w:t>SK</w:t>
      </w:r>
      <w:proofErr w:type="spellEnd"/>
      <w:r w:rsidRPr="00F21F42">
        <w:t>)</w:t>
      </w:r>
    </w:p>
    <w:p w:rsidR="006D30A4" w:rsidRPr="00F21F42" w:rsidRDefault="006D30A4" w:rsidP="002F0199">
      <w:pPr>
        <w:tabs>
          <w:tab w:val="left" w:pos="1701"/>
        </w:tabs>
        <w:ind w:left="-39"/>
      </w:pPr>
    </w:p>
    <w:p w:rsidR="007A3904" w:rsidRPr="00F21F42" w:rsidRDefault="007A3904" w:rsidP="002F0199">
      <w:pPr>
        <w:tabs>
          <w:tab w:val="left" w:pos="1701"/>
        </w:tabs>
        <w:ind w:left="-39"/>
      </w:pPr>
      <w:r w:rsidRPr="00F21F42">
        <w:rPr>
          <w:b/>
        </w:rPr>
        <w:t>Références:</w:t>
      </w:r>
      <w:r w:rsidRPr="00F21F42">
        <w:tab/>
        <w:t>EESC-2017-05067-00-00-AC-TRA</w:t>
      </w:r>
    </w:p>
    <w:p w:rsidR="006D30A4" w:rsidRPr="00F21F42" w:rsidRDefault="006D30A4" w:rsidP="002F0199">
      <w:pPr>
        <w:ind w:left="-39"/>
      </w:pPr>
    </w:p>
    <w:p w:rsidR="007A3904" w:rsidRPr="00F21F42" w:rsidRDefault="007A3904" w:rsidP="002F0199">
      <w:pPr>
        <w:ind w:left="-39"/>
        <w:rPr>
          <w:b/>
        </w:rPr>
      </w:pPr>
      <w:r w:rsidRPr="00F21F42">
        <w:rPr>
          <w:b/>
        </w:rPr>
        <w:t>Points clés:</w:t>
      </w:r>
    </w:p>
    <w:p w:rsidR="007A3904" w:rsidRPr="00F21F42" w:rsidRDefault="007A3904" w:rsidP="002F0199">
      <w:pPr>
        <w:ind w:left="-39"/>
        <w:rPr>
          <w:b/>
        </w:rPr>
      </w:pPr>
    </w:p>
    <w:p w:rsidR="007A3904" w:rsidRPr="00F21F42" w:rsidRDefault="007A3904" w:rsidP="002F0199">
      <w:pPr>
        <w:keepNext/>
      </w:pPr>
      <w:r w:rsidRPr="00F21F42">
        <w:t xml:space="preserve">Le </w:t>
      </w:r>
      <w:proofErr w:type="spellStart"/>
      <w:r w:rsidRPr="00F21F42">
        <w:t>CESE</w:t>
      </w:r>
      <w:proofErr w:type="spellEnd"/>
      <w:r w:rsidRPr="00F21F42">
        <w:t xml:space="preserve"> formule les recommandations suivantes:</w:t>
      </w:r>
    </w:p>
    <w:p w:rsidR="007A3904" w:rsidRPr="00F21F42" w:rsidRDefault="007A3904" w:rsidP="002F0199">
      <w:pPr>
        <w:keepNext/>
      </w:pPr>
    </w:p>
    <w:p w:rsidR="007A3904" w:rsidRPr="00F21F42" w:rsidRDefault="007A3904" w:rsidP="00C87D85">
      <w:pPr>
        <w:pStyle w:val="Heading2"/>
        <w:numPr>
          <w:ilvl w:val="0"/>
          <w:numId w:val="6"/>
        </w:numPr>
        <w:autoSpaceDE w:val="0"/>
        <w:autoSpaceDN w:val="0"/>
        <w:spacing w:after="120"/>
        <w:ind w:left="709" w:hanging="284"/>
      </w:pPr>
      <w:r w:rsidRPr="00F21F42">
        <w:t>l’action de l’Union européenne doit avoir pour objectif général de développer davantage un éventail de politiques horizontales qui soit fonctionnel, ainsi qu’un cadre juridique prévisible afin de stimuler l’innovation, de soutenir les investissements et d’aider l’industrie à apporter des solutions aux défis sociétaux;</w:t>
      </w:r>
    </w:p>
    <w:p w:rsidR="007A3904" w:rsidRPr="00F21F42" w:rsidRDefault="007A3904" w:rsidP="00C87D85">
      <w:pPr>
        <w:pStyle w:val="Heading2"/>
        <w:numPr>
          <w:ilvl w:val="0"/>
          <w:numId w:val="6"/>
        </w:numPr>
        <w:autoSpaceDE w:val="0"/>
        <w:autoSpaceDN w:val="0"/>
        <w:spacing w:after="120"/>
        <w:ind w:left="709" w:hanging="284"/>
      </w:pPr>
      <w:proofErr w:type="gramStart"/>
      <w:r w:rsidRPr="00F21F42">
        <w:t>toutes</w:t>
      </w:r>
      <w:proofErr w:type="gramEnd"/>
      <w:r w:rsidRPr="00F21F42">
        <w:t xml:space="preserve"> les mesures nécessaires devraient être prises pour réaliser l’achèvement du marché unique, en mettant l’accent sur sa mise en œuvre par les États membres; </w:t>
      </w:r>
    </w:p>
    <w:p w:rsidR="007A3904" w:rsidRPr="00F21F42" w:rsidRDefault="007A3904" w:rsidP="00C87D85">
      <w:pPr>
        <w:pStyle w:val="Heading2"/>
        <w:numPr>
          <w:ilvl w:val="0"/>
          <w:numId w:val="6"/>
        </w:numPr>
        <w:autoSpaceDE w:val="0"/>
        <w:autoSpaceDN w:val="0"/>
        <w:spacing w:after="120"/>
        <w:ind w:left="709" w:hanging="284"/>
      </w:pPr>
      <w:proofErr w:type="gramStart"/>
      <w:r w:rsidRPr="00F21F42">
        <w:t>la</w:t>
      </w:r>
      <w:proofErr w:type="gramEnd"/>
      <w:r w:rsidRPr="00F21F42">
        <w:t xml:space="preserve"> stratégie pour un marché unique numérique doit être mise en œuvre de toute urgence, en s’accompagnant d’une politique ciblée en matière d’emploi;</w:t>
      </w:r>
    </w:p>
    <w:p w:rsidR="007A3904" w:rsidRPr="00F21F42" w:rsidRDefault="007A3904" w:rsidP="00C87D85">
      <w:pPr>
        <w:pStyle w:val="Heading2"/>
        <w:numPr>
          <w:ilvl w:val="0"/>
          <w:numId w:val="6"/>
        </w:numPr>
        <w:autoSpaceDE w:val="0"/>
        <w:autoSpaceDN w:val="0"/>
        <w:spacing w:after="120"/>
        <w:ind w:left="709" w:hanging="284"/>
      </w:pPr>
      <w:proofErr w:type="gramStart"/>
      <w:r w:rsidRPr="00F21F42">
        <w:t>il</w:t>
      </w:r>
      <w:proofErr w:type="gramEnd"/>
      <w:r w:rsidRPr="00F21F42">
        <w:t xml:space="preserve"> convient d’adopter une attitude ouverte et réaliste face aux nouveaux modèles économiques et technologies de rupture; </w:t>
      </w:r>
    </w:p>
    <w:p w:rsidR="007A3904" w:rsidRPr="00F21F42" w:rsidRDefault="007A3904" w:rsidP="00C87D85">
      <w:pPr>
        <w:pStyle w:val="Heading2"/>
        <w:numPr>
          <w:ilvl w:val="0"/>
          <w:numId w:val="6"/>
        </w:numPr>
        <w:autoSpaceDE w:val="0"/>
        <w:autoSpaceDN w:val="0"/>
        <w:spacing w:after="120"/>
        <w:ind w:left="709" w:hanging="284"/>
      </w:pPr>
      <w:proofErr w:type="gramStart"/>
      <w:r w:rsidRPr="00F21F42">
        <w:t>des</w:t>
      </w:r>
      <w:proofErr w:type="gramEnd"/>
      <w:r w:rsidRPr="00F21F42">
        <w:t xml:space="preserve"> passerelles souples doivent être créées entre les mondes du travail et de l’éducation, telles que l’apprentissage et la formation par le travail. Dans de nombreux États membres, la formation professionnelle devrait être davantage valorisée;</w:t>
      </w:r>
    </w:p>
    <w:p w:rsidR="007A3904" w:rsidRPr="00F21F42" w:rsidRDefault="007A3904" w:rsidP="00C87D85">
      <w:pPr>
        <w:pStyle w:val="Heading2"/>
        <w:numPr>
          <w:ilvl w:val="0"/>
          <w:numId w:val="6"/>
        </w:numPr>
        <w:autoSpaceDE w:val="0"/>
        <w:autoSpaceDN w:val="0"/>
        <w:spacing w:after="120"/>
        <w:ind w:left="709" w:hanging="284"/>
      </w:pPr>
      <w:proofErr w:type="gramStart"/>
      <w:r w:rsidRPr="00F21F42">
        <w:t>le</w:t>
      </w:r>
      <w:proofErr w:type="gramEnd"/>
      <w:r w:rsidRPr="00F21F42">
        <w:t xml:space="preserve"> leadership dans les économies circulaires et à faible intensité de carbone devrait bénéficier à nos économies;</w:t>
      </w:r>
    </w:p>
    <w:p w:rsidR="007A3904" w:rsidRPr="00F21F42" w:rsidRDefault="007A3904" w:rsidP="00C87D85">
      <w:pPr>
        <w:pStyle w:val="Heading2"/>
        <w:numPr>
          <w:ilvl w:val="0"/>
          <w:numId w:val="6"/>
        </w:numPr>
        <w:autoSpaceDE w:val="0"/>
        <w:autoSpaceDN w:val="0"/>
        <w:spacing w:after="120"/>
        <w:ind w:left="709" w:hanging="284"/>
      </w:pPr>
      <w:proofErr w:type="gramStart"/>
      <w:r w:rsidRPr="00F21F42">
        <w:t>il</w:t>
      </w:r>
      <w:proofErr w:type="gramEnd"/>
      <w:r w:rsidRPr="00F21F42">
        <w:t xml:space="preserve"> convient d’analyser les obstacles qui empêchent de transformer les importants excès d’épargne privés actuels en investissements productifs dans les secteurs de l’industrie et des infrastructures;</w:t>
      </w:r>
    </w:p>
    <w:p w:rsidR="007A3904" w:rsidRPr="00F21F42" w:rsidRDefault="007A3904" w:rsidP="00C87D85">
      <w:pPr>
        <w:pStyle w:val="Heading2"/>
        <w:numPr>
          <w:ilvl w:val="0"/>
          <w:numId w:val="6"/>
        </w:numPr>
        <w:autoSpaceDE w:val="0"/>
        <w:autoSpaceDN w:val="0"/>
        <w:spacing w:after="120"/>
        <w:ind w:left="709" w:hanging="284"/>
      </w:pPr>
      <w:proofErr w:type="gramStart"/>
      <w:r w:rsidRPr="00F21F42">
        <w:t>le</w:t>
      </w:r>
      <w:proofErr w:type="gramEnd"/>
      <w:r w:rsidRPr="00F21F42">
        <w:t xml:space="preserve"> soutien de l’Union devrait viser principalement à stimuler l’innovation, renforcer les PME, aider les régions en difficulté et responsabiliser les individus;</w:t>
      </w:r>
    </w:p>
    <w:p w:rsidR="007A3904" w:rsidRPr="00F21F42" w:rsidRDefault="007A3904" w:rsidP="00C87D85">
      <w:pPr>
        <w:pStyle w:val="Heading2"/>
        <w:numPr>
          <w:ilvl w:val="0"/>
          <w:numId w:val="6"/>
        </w:numPr>
        <w:autoSpaceDE w:val="0"/>
        <w:autoSpaceDN w:val="0"/>
        <w:spacing w:after="120"/>
        <w:ind w:left="709" w:hanging="284"/>
      </w:pPr>
      <w:proofErr w:type="gramStart"/>
      <w:r w:rsidRPr="00F21F42">
        <w:t>les</w:t>
      </w:r>
      <w:proofErr w:type="gramEnd"/>
      <w:r w:rsidRPr="00F21F42">
        <w:t xml:space="preserve"> politiques de </w:t>
      </w:r>
      <w:proofErr w:type="spellStart"/>
      <w:r w:rsidRPr="00F21F42">
        <w:t>R&amp;D</w:t>
      </w:r>
      <w:proofErr w:type="spellEnd"/>
      <w:r w:rsidRPr="00F21F42">
        <w:t xml:space="preserve"> et d’innovation doivent se voir garantir des ressources supplémentaires dans le nouveau cadre financier;</w:t>
      </w:r>
    </w:p>
    <w:p w:rsidR="007A3904" w:rsidRPr="00F21F42" w:rsidRDefault="007A3904" w:rsidP="00C87D85">
      <w:pPr>
        <w:pStyle w:val="Heading2"/>
        <w:numPr>
          <w:ilvl w:val="0"/>
          <w:numId w:val="6"/>
        </w:numPr>
        <w:autoSpaceDE w:val="0"/>
        <w:autoSpaceDN w:val="0"/>
        <w:spacing w:after="120"/>
        <w:ind w:left="709" w:hanging="284"/>
      </w:pPr>
      <w:proofErr w:type="gramStart"/>
      <w:r w:rsidRPr="00F21F42">
        <w:t>les</w:t>
      </w:r>
      <w:proofErr w:type="gramEnd"/>
      <w:r w:rsidRPr="00F21F42">
        <w:t xml:space="preserve"> statistiques officielles devraient mieux refléter l’évolution des caractéristiques de l’économie: la disparition progressive des frontières sectorielles et les nouvelles formes d’activité économique. Il est nécessaire de disposer d’une nouvelle méthode commune pour déterminer la valeur ajoutée de l’industrie et des services.</w:t>
      </w:r>
    </w:p>
    <w:p w:rsidR="007A3904" w:rsidRPr="00F21F42" w:rsidRDefault="007A3904" w:rsidP="002F0199">
      <w:pPr>
        <w:ind w:left="-39"/>
        <w:rPr>
          <w:b/>
        </w:rPr>
      </w:pPr>
    </w:p>
    <w:p w:rsidR="007A3904" w:rsidRPr="00F21F42" w:rsidRDefault="007A3904" w:rsidP="002F0199">
      <w:pPr>
        <w:tabs>
          <w:tab w:val="left" w:pos="1418"/>
        </w:tabs>
        <w:rPr>
          <w:i/>
        </w:rPr>
      </w:pPr>
      <w:r w:rsidRPr="00F21F42">
        <w:rPr>
          <w:b/>
          <w:i/>
        </w:rPr>
        <w:t>Contact:</w:t>
      </w:r>
      <w:r w:rsidRPr="00F21F42">
        <w:tab/>
      </w:r>
      <w:r w:rsidRPr="00F21F42">
        <w:rPr>
          <w:i/>
        </w:rPr>
        <w:t>Alain Colbach</w:t>
      </w:r>
    </w:p>
    <w:p w:rsidR="007A3904" w:rsidRPr="00F21F42" w:rsidRDefault="007A3904" w:rsidP="008169EC">
      <w:pPr>
        <w:ind w:left="1418"/>
        <w:rPr>
          <w:i/>
        </w:rPr>
      </w:pPr>
      <w:r w:rsidRPr="00F21F42">
        <w:rPr>
          <w:i/>
        </w:rPr>
        <w:t xml:space="preserve">(Tél. 00 32 2 546 9170 – courriel: </w:t>
      </w:r>
      <w:hyperlink r:id="rId37" w:history="1">
        <w:r w:rsidRPr="00F21F42">
          <w:rPr>
            <w:rStyle w:val="Hyperlink"/>
            <w:i/>
          </w:rPr>
          <w:t>Alain.Colbach@eesc.europa.eu</w:t>
        </w:r>
      </w:hyperlink>
      <w:r w:rsidRPr="00F21F42">
        <w:rPr>
          <w:i/>
        </w:rPr>
        <w:t>)</w:t>
      </w:r>
    </w:p>
    <w:p w:rsidR="007A3904" w:rsidRPr="00F21F42" w:rsidRDefault="007A3904" w:rsidP="002F0199"/>
    <w:p w:rsidR="00BE4580" w:rsidRPr="00F21F42" w:rsidRDefault="00BE4580" w:rsidP="000D3931">
      <w:r w:rsidRPr="00F21F42">
        <w:br w:type="page"/>
      </w:r>
    </w:p>
    <w:p w:rsidR="00AF1968" w:rsidRPr="00F21F42" w:rsidRDefault="001970B2" w:rsidP="002F0199">
      <w:pPr>
        <w:pStyle w:val="Heading1"/>
        <w:rPr>
          <w:b/>
          <w:caps/>
        </w:rPr>
      </w:pPr>
      <w:bookmarkStart w:id="13" w:name="_Toc506371475"/>
      <w:bookmarkStart w:id="14" w:name="_Toc507410844"/>
      <w:r w:rsidRPr="00F21F42">
        <w:rPr>
          <w:b/>
          <w:caps/>
        </w:rPr>
        <w:lastRenderedPageBreak/>
        <w:t>Examen annuel de la croissance 2018</w:t>
      </w:r>
      <w:bookmarkEnd w:id="13"/>
      <w:bookmarkEnd w:id="14"/>
    </w:p>
    <w:p w:rsidR="00915C4E" w:rsidRPr="00F21F42" w:rsidRDefault="00915C4E" w:rsidP="002F0199">
      <w:pPr>
        <w:rPr>
          <w:i/>
          <w:iCs/>
          <w:u w:val="single"/>
        </w:rPr>
      </w:pPr>
    </w:p>
    <w:p w:rsidR="00781CA3" w:rsidRPr="00F21F42" w:rsidRDefault="00781CA3" w:rsidP="000E4B46">
      <w:pPr>
        <w:widowControl w:val="0"/>
        <w:numPr>
          <w:ilvl w:val="0"/>
          <w:numId w:val="4"/>
        </w:numPr>
        <w:rPr>
          <w:i/>
          <w:sz w:val="28"/>
          <w:szCs w:val="28"/>
        </w:rPr>
      </w:pPr>
      <w:r w:rsidRPr="00F21F42">
        <w:rPr>
          <w:b/>
          <w:i/>
          <w:sz w:val="28"/>
        </w:rPr>
        <w:t>Examen annuel de la croissance 2018</w:t>
      </w:r>
    </w:p>
    <w:p w:rsidR="00781CA3" w:rsidRPr="00F21F42" w:rsidRDefault="00781CA3" w:rsidP="002F0199">
      <w:pPr>
        <w:tabs>
          <w:tab w:val="center" w:pos="284"/>
        </w:tabs>
        <w:ind w:left="266" w:hanging="266"/>
        <w:rPr>
          <w:b/>
        </w:rPr>
      </w:pPr>
    </w:p>
    <w:p w:rsidR="00781CA3" w:rsidRPr="00F21F42" w:rsidRDefault="00781CA3" w:rsidP="002F0199">
      <w:pPr>
        <w:tabs>
          <w:tab w:val="center" w:pos="284"/>
          <w:tab w:val="left" w:pos="1701"/>
        </w:tabs>
        <w:ind w:left="266" w:hanging="266"/>
      </w:pPr>
      <w:r w:rsidRPr="00F21F42">
        <w:rPr>
          <w:b/>
        </w:rPr>
        <w:t>Rapporteur:</w:t>
      </w:r>
      <w:r w:rsidRPr="00F21F42">
        <w:tab/>
      </w:r>
      <w:proofErr w:type="spellStart"/>
      <w:r w:rsidRPr="00F21F42">
        <w:t>Dimitris</w:t>
      </w:r>
      <w:proofErr w:type="spellEnd"/>
      <w:r w:rsidRPr="00F21F42">
        <w:t> </w:t>
      </w:r>
      <w:proofErr w:type="spellStart"/>
      <w:r w:rsidRPr="00F21F42">
        <w:t>DIMITRIADIS</w:t>
      </w:r>
      <w:proofErr w:type="spellEnd"/>
      <w:r w:rsidRPr="00F21F42">
        <w:t xml:space="preserve"> (Employeurs – EL) </w:t>
      </w:r>
    </w:p>
    <w:p w:rsidR="00781CA3" w:rsidRPr="00F21F42" w:rsidRDefault="00781CA3" w:rsidP="002F0199">
      <w:pPr>
        <w:tabs>
          <w:tab w:val="center" w:pos="284"/>
          <w:tab w:val="left" w:pos="1701"/>
        </w:tabs>
        <w:ind w:left="266" w:hanging="266"/>
        <w:rPr>
          <w:b/>
        </w:rPr>
      </w:pPr>
    </w:p>
    <w:p w:rsidR="00781CA3" w:rsidRPr="00F21F42" w:rsidRDefault="00781CA3" w:rsidP="002F0199">
      <w:pPr>
        <w:tabs>
          <w:tab w:val="center" w:pos="284"/>
          <w:tab w:val="left" w:pos="1701"/>
        </w:tabs>
        <w:ind w:left="266" w:hanging="266"/>
      </w:pPr>
      <w:r w:rsidRPr="00F21F42">
        <w:rPr>
          <w:b/>
        </w:rPr>
        <w:t>Références:</w:t>
      </w:r>
      <w:r w:rsidRPr="00F21F42">
        <w:tab/>
        <w:t>EESC-2017-05429-00-00-AC-TRA</w:t>
      </w:r>
    </w:p>
    <w:p w:rsidR="00781CA3" w:rsidRPr="00F21F42" w:rsidRDefault="00781CA3" w:rsidP="002F0199">
      <w:pPr>
        <w:tabs>
          <w:tab w:val="center" w:pos="284"/>
        </w:tabs>
        <w:ind w:left="266" w:hanging="266"/>
      </w:pPr>
    </w:p>
    <w:p w:rsidR="00781CA3" w:rsidRPr="00F21F42" w:rsidRDefault="00781CA3" w:rsidP="002F0199">
      <w:pPr>
        <w:rPr>
          <w:b/>
        </w:rPr>
      </w:pPr>
      <w:r w:rsidRPr="00F21F42">
        <w:rPr>
          <w:b/>
        </w:rPr>
        <w:t>Points clés:</w:t>
      </w:r>
    </w:p>
    <w:p w:rsidR="00781CA3" w:rsidRPr="00F21F42" w:rsidRDefault="00781CA3" w:rsidP="002F0199"/>
    <w:p w:rsidR="00DB2CC6" w:rsidRPr="00F21F42" w:rsidRDefault="00781CA3" w:rsidP="002F0199">
      <w:r w:rsidRPr="00F21F42">
        <w:t xml:space="preserve">Le </w:t>
      </w:r>
      <w:proofErr w:type="spellStart"/>
      <w:r w:rsidRPr="00F21F42">
        <w:t>CESE</w:t>
      </w:r>
      <w:proofErr w:type="spellEnd"/>
    </w:p>
    <w:p w:rsidR="00974EA5" w:rsidRPr="00F21F42" w:rsidRDefault="00974EA5" w:rsidP="004F0286"/>
    <w:p w:rsidR="00781CA3" w:rsidRPr="00F21F42" w:rsidRDefault="00781CA3" w:rsidP="000E4B46">
      <w:pPr>
        <w:pStyle w:val="Heading2"/>
        <w:numPr>
          <w:ilvl w:val="1"/>
          <w:numId w:val="12"/>
        </w:numPr>
        <w:ind w:left="357" w:hanging="357"/>
      </w:pPr>
      <w:proofErr w:type="gramStart"/>
      <w:r w:rsidRPr="00F21F42">
        <w:t>considère</w:t>
      </w:r>
      <w:proofErr w:type="gramEnd"/>
      <w:r w:rsidRPr="00F21F42">
        <w:t xml:space="preserve"> que le cadre du Semestre européen est d’une importance stratégique et il est déterminé à continuer à y contribuer de la manière la plus efficace possible;</w:t>
      </w:r>
    </w:p>
    <w:p w:rsidR="00974EA5" w:rsidRPr="00F21F42" w:rsidRDefault="00974EA5" w:rsidP="004F0286">
      <w:pPr>
        <w:ind w:left="357" w:hanging="357"/>
      </w:pPr>
    </w:p>
    <w:p w:rsidR="00781CA3" w:rsidRPr="00F21F42" w:rsidRDefault="00781CA3" w:rsidP="000E4B46">
      <w:pPr>
        <w:pStyle w:val="Heading2"/>
        <w:numPr>
          <w:ilvl w:val="1"/>
          <w:numId w:val="12"/>
        </w:numPr>
        <w:ind w:left="357" w:hanging="357"/>
      </w:pPr>
      <w:proofErr w:type="gramStart"/>
      <w:r w:rsidRPr="00F21F42">
        <w:t>souscrit</w:t>
      </w:r>
      <w:proofErr w:type="gramEnd"/>
      <w:r w:rsidRPr="00F21F42">
        <w:t xml:space="preserve"> aux priorités mises en avant dans l’examen annuel de la croissance 2018 de la Commission européenne;</w:t>
      </w:r>
    </w:p>
    <w:p w:rsidR="00974EA5" w:rsidRPr="00F21F42" w:rsidRDefault="00974EA5" w:rsidP="004F0286">
      <w:pPr>
        <w:ind w:left="357" w:hanging="357"/>
      </w:pPr>
    </w:p>
    <w:p w:rsidR="00781CA3" w:rsidRPr="00F21F42" w:rsidRDefault="00781CA3" w:rsidP="000E4B46">
      <w:pPr>
        <w:pStyle w:val="Heading2"/>
        <w:numPr>
          <w:ilvl w:val="1"/>
          <w:numId w:val="12"/>
        </w:numPr>
        <w:ind w:left="357" w:hanging="357"/>
      </w:pPr>
      <w:proofErr w:type="gramStart"/>
      <w:r w:rsidRPr="00F21F42">
        <w:t>réitère</w:t>
      </w:r>
      <w:proofErr w:type="gramEnd"/>
      <w:r w:rsidRPr="00F21F42">
        <w:t xml:space="preserve"> son point de vue selon lequel l’</w:t>
      </w:r>
      <w:proofErr w:type="spellStart"/>
      <w:r w:rsidRPr="00F21F42">
        <w:t>EAC</w:t>
      </w:r>
      <w:proofErr w:type="spellEnd"/>
      <w:r w:rsidRPr="00F21F42">
        <w:t xml:space="preserve"> ne couvre pas d’autres domaines d’action pertinents tels que la politique de l’environnement ou d’autres aspects importants tels que la qualité de l’emploi;</w:t>
      </w:r>
    </w:p>
    <w:p w:rsidR="00974EA5" w:rsidRPr="00F21F42" w:rsidRDefault="00974EA5" w:rsidP="004F0286">
      <w:pPr>
        <w:ind w:left="357" w:hanging="357"/>
      </w:pPr>
    </w:p>
    <w:p w:rsidR="00781CA3" w:rsidRPr="00F21F42" w:rsidRDefault="00781CA3" w:rsidP="000E4B46">
      <w:pPr>
        <w:pStyle w:val="Heading2"/>
        <w:numPr>
          <w:ilvl w:val="1"/>
          <w:numId w:val="12"/>
        </w:numPr>
        <w:ind w:left="357" w:hanging="357"/>
      </w:pPr>
      <w:proofErr w:type="gramStart"/>
      <w:r w:rsidRPr="00F21F42">
        <w:t>souscrit</w:t>
      </w:r>
      <w:proofErr w:type="gramEnd"/>
      <w:r w:rsidRPr="00F21F42">
        <w:t xml:space="preserve"> au point de vue selon lequel la clé du succès pour améliorer la croissance à long terme est l’investissement, l’innovation et la connaissance, l’éducation et l’apprentissage tout au long de la vie, notamment dans le domaine des technologies vertes et de l’économie circulaire, mais également dans les secteurs plus traditionnels;</w:t>
      </w:r>
    </w:p>
    <w:p w:rsidR="00974EA5" w:rsidRPr="00F21F42" w:rsidRDefault="00974EA5" w:rsidP="004F0286">
      <w:pPr>
        <w:ind w:left="357" w:hanging="357"/>
      </w:pPr>
    </w:p>
    <w:p w:rsidR="00781CA3" w:rsidRPr="00F21F42" w:rsidRDefault="00781CA3" w:rsidP="000E4B46">
      <w:pPr>
        <w:pStyle w:val="Heading2"/>
        <w:numPr>
          <w:ilvl w:val="1"/>
          <w:numId w:val="12"/>
        </w:numPr>
        <w:ind w:left="357" w:hanging="357"/>
      </w:pPr>
      <w:r w:rsidRPr="00F21F42">
        <w:t>partage la vision de la Commission selon laquelle il est essentiel de procéder à des réformes structurelles qui soient raisonnables et équilibrées sur le plan économique et social, sur des marchés du travail et des produits qui fonctionnent bien, pour que l’économie européenne puisse s’adapter aux mutations structurelles à long terme ainsi qu’aux chocs économiques et environnementaux éventuels;</w:t>
      </w:r>
    </w:p>
    <w:p w:rsidR="00974EA5" w:rsidRPr="00F21F42" w:rsidRDefault="00974EA5" w:rsidP="004F0286">
      <w:pPr>
        <w:ind w:left="357" w:hanging="357"/>
      </w:pPr>
    </w:p>
    <w:p w:rsidR="00781CA3" w:rsidRPr="00F21F42" w:rsidRDefault="00781CA3" w:rsidP="000E4B46">
      <w:pPr>
        <w:pStyle w:val="Heading2"/>
        <w:numPr>
          <w:ilvl w:val="1"/>
          <w:numId w:val="12"/>
        </w:numPr>
        <w:ind w:left="357" w:hanging="357"/>
      </w:pPr>
      <w:proofErr w:type="gramStart"/>
      <w:r w:rsidRPr="00F21F42">
        <w:t>estime</w:t>
      </w:r>
      <w:proofErr w:type="gramEnd"/>
      <w:r w:rsidRPr="00F21F42">
        <w:t xml:space="preserve"> que le Semestre européen devra être adapté à toute future stratégie pour l’après-2020;</w:t>
      </w:r>
    </w:p>
    <w:p w:rsidR="00974EA5" w:rsidRPr="00F21F42" w:rsidRDefault="00974EA5" w:rsidP="004F0286">
      <w:pPr>
        <w:ind w:left="357" w:hanging="357"/>
      </w:pPr>
    </w:p>
    <w:p w:rsidR="00781CA3" w:rsidRPr="00F21F42" w:rsidRDefault="00781CA3" w:rsidP="000E4B46">
      <w:pPr>
        <w:pStyle w:val="Heading2"/>
        <w:numPr>
          <w:ilvl w:val="1"/>
          <w:numId w:val="12"/>
        </w:numPr>
        <w:ind w:left="357" w:hanging="357"/>
      </w:pPr>
      <w:proofErr w:type="gramStart"/>
      <w:r w:rsidRPr="00F21F42">
        <w:t>réaffirme</w:t>
      </w:r>
      <w:proofErr w:type="gramEnd"/>
      <w:r w:rsidRPr="00F21F42">
        <w:t xml:space="preserve"> la nécessité d’accroître le rôle de la société civile organisée dans le cycle du Semestre européen et, en particulier, dans la préparation de l’</w:t>
      </w:r>
      <w:proofErr w:type="spellStart"/>
      <w:r w:rsidRPr="00F21F42">
        <w:t>EAC</w:t>
      </w:r>
      <w:proofErr w:type="spellEnd"/>
      <w:r w:rsidRPr="00F21F42">
        <w:t>.</w:t>
      </w:r>
    </w:p>
    <w:p w:rsidR="00781CA3" w:rsidRPr="00F21F42" w:rsidRDefault="00781CA3" w:rsidP="004F0286"/>
    <w:p w:rsidR="00781CA3" w:rsidRPr="00F21F42" w:rsidRDefault="00781CA3" w:rsidP="004F0286">
      <w:pPr>
        <w:tabs>
          <w:tab w:val="left" w:pos="1418"/>
        </w:tabs>
        <w:rPr>
          <w:i/>
        </w:rPr>
      </w:pPr>
      <w:r w:rsidRPr="00F21F42">
        <w:rPr>
          <w:b/>
          <w:i/>
        </w:rPr>
        <w:t>Contact:</w:t>
      </w:r>
      <w:r w:rsidRPr="00F21F42">
        <w:tab/>
      </w:r>
      <w:proofErr w:type="spellStart"/>
      <w:r w:rsidRPr="00F21F42">
        <w:rPr>
          <w:i/>
        </w:rPr>
        <w:t>Raúl</w:t>
      </w:r>
      <w:proofErr w:type="spellEnd"/>
      <w:r w:rsidRPr="00F21F42">
        <w:rPr>
          <w:i/>
        </w:rPr>
        <w:t xml:space="preserve"> Muriel </w:t>
      </w:r>
      <w:proofErr w:type="spellStart"/>
      <w:r w:rsidRPr="00F21F42">
        <w:rPr>
          <w:i/>
        </w:rPr>
        <w:t>Carrasco</w:t>
      </w:r>
      <w:proofErr w:type="spellEnd"/>
    </w:p>
    <w:p w:rsidR="00781CA3" w:rsidRPr="00F21F42" w:rsidRDefault="00781CA3" w:rsidP="008169EC">
      <w:pPr>
        <w:tabs>
          <w:tab w:val="left" w:pos="-4962"/>
        </w:tabs>
        <w:ind w:left="1418"/>
        <w:rPr>
          <w:i/>
        </w:rPr>
      </w:pPr>
      <w:r w:rsidRPr="00F21F42">
        <w:rPr>
          <w:i/>
        </w:rPr>
        <w:t xml:space="preserve">(Tél. 00 32 2 546 8270 – courriel: </w:t>
      </w:r>
      <w:hyperlink r:id="rId38" w:history="1">
        <w:r w:rsidRPr="00F21F42">
          <w:rPr>
            <w:rStyle w:val="Hyperlink"/>
            <w:i/>
          </w:rPr>
          <w:t>Raul.MurielCarrasco@eesc.europa.eu</w:t>
        </w:r>
      </w:hyperlink>
      <w:r w:rsidRPr="00F21F42">
        <w:rPr>
          <w:i/>
        </w:rPr>
        <w:t>)</w:t>
      </w:r>
    </w:p>
    <w:p w:rsidR="002831ED" w:rsidRPr="00F21F42" w:rsidRDefault="002831ED" w:rsidP="002F0199"/>
    <w:p w:rsidR="0099413E" w:rsidRPr="00F21F42" w:rsidRDefault="0099413E" w:rsidP="002F0199">
      <w:pPr>
        <w:jc w:val="center"/>
      </w:pPr>
      <w:r w:rsidRPr="00F21F42">
        <w:t>–––––––––––––</w:t>
      </w:r>
    </w:p>
    <w:sectPr w:rsidR="0099413E" w:rsidRPr="00F21F42" w:rsidSect="00F21F42">
      <w:headerReference w:type="even" r:id="rId39"/>
      <w:headerReference w:type="default" r:id="rId40"/>
      <w:footerReference w:type="even" r:id="rId41"/>
      <w:footerReference w:type="default" r:id="rId42"/>
      <w:headerReference w:type="first" r:id="rId43"/>
      <w:footerReference w:type="first" r:id="rId4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42" w:rsidRDefault="00F21F42" w:rsidP="003B283B">
      <w:pPr>
        <w:spacing w:line="240" w:lineRule="auto"/>
      </w:pPr>
      <w:r>
        <w:separator/>
      </w:r>
    </w:p>
  </w:endnote>
  <w:endnote w:type="continuationSeparator" w:id="0">
    <w:p w:rsidR="00F21F42" w:rsidRDefault="00F21F42" w:rsidP="003B283B">
      <w:pPr>
        <w:spacing w:line="240" w:lineRule="auto"/>
      </w:pPr>
      <w:r>
        <w:continuationSeparator/>
      </w:r>
    </w:p>
  </w:endnote>
  <w:endnote w:type="continuationNotice" w:id="1">
    <w:p w:rsidR="00F21F42" w:rsidRDefault="00F21F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Footer"/>
    </w:pPr>
    <w:r>
      <w:t xml:space="preserve">EESC-2018-00366-00-02-TCD-TRA (FR/EN) </w:t>
    </w:r>
    <w:r>
      <w:fldChar w:fldCharType="begin"/>
    </w:r>
    <w:r>
      <w:instrText xml:space="preserve"> PAGE  \* Arabic  \* MERGEFORMAT </w:instrText>
    </w:r>
    <w:r>
      <w:fldChar w:fldCharType="separate"/>
    </w:r>
    <w:r w:rsidR="00F91116">
      <w:rPr>
        <w:noProof/>
      </w:rPr>
      <w:t>1</w:t>
    </w:r>
    <w:r>
      <w:fldChar w:fldCharType="end"/>
    </w:r>
    <w:r>
      <w:t>/</w:t>
    </w:r>
    <w:r>
      <w:fldChar w:fldCharType="begin"/>
    </w:r>
    <w:r>
      <w:instrText xml:space="preserve"> = </w:instrText>
    </w:r>
    <w:fldSimple w:instr=" NUMPAGES ">
      <w:r w:rsidR="00F91116">
        <w:rPr>
          <w:noProof/>
        </w:rPr>
        <w:instrText>22</w:instrText>
      </w:r>
    </w:fldSimple>
    <w:r>
      <w:instrText xml:space="preserve"> -0 </w:instrText>
    </w:r>
    <w:r>
      <w:fldChar w:fldCharType="separate"/>
    </w:r>
    <w:r w:rsidR="00F91116">
      <w:rPr>
        <w:noProof/>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Footer"/>
    </w:pPr>
    <w:r>
      <w:t xml:space="preserve">EESC-2018-00366-00-02-TCD-TRA (FR/EN) </w:t>
    </w:r>
    <w:r>
      <w:fldChar w:fldCharType="begin"/>
    </w:r>
    <w:r>
      <w:instrText xml:space="preserve"> PAGE  \* Arabic  \* MERGEFORMAT </w:instrText>
    </w:r>
    <w:r>
      <w:fldChar w:fldCharType="separate"/>
    </w:r>
    <w:r w:rsidR="00FD5829">
      <w:rPr>
        <w:noProof/>
      </w:rPr>
      <w:t>2</w:t>
    </w:r>
    <w:r>
      <w:fldChar w:fldCharType="end"/>
    </w:r>
    <w:r>
      <w:t>/</w:t>
    </w:r>
    <w:r>
      <w:fldChar w:fldCharType="begin"/>
    </w:r>
    <w:r>
      <w:instrText xml:space="preserve"> = </w:instrText>
    </w:r>
    <w:fldSimple w:instr=" NUMPAGES ">
      <w:r w:rsidR="00FD5829">
        <w:rPr>
          <w:noProof/>
        </w:rPr>
        <w:instrText>22</w:instrText>
      </w:r>
    </w:fldSimple>
    <w:r>
      <w:instrText xml:space="preserve"> -0 </w:instrText>
    </w:r>
    <w:r>
      <w:fldChar w:fldCharType="separate"/>
    </w:r>
    <w:r w:rsidR="00FD5829">
      <w:rPr>
        <w:noProof/>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42" w:rsidRDefault="00F21F42" w:rsidP="003B283B">
      <w:pPr>
        <w:spacing w:line="240" w:lineRule="auto"/>
      </w:pPr>
      <w:r>
        <w:separator/>
      </w:r>
    </w:p>
  </w:footnote>
  <w:footnote w:type="continuationSeparator" w:id="0">
    <w:p w:rsidR="00F21F42" w:rsidRDefault="00F21F42" w:rsidP="003B283B">
      <w:pPr>
        <w:spacing w:line="240" w:lineRule="auto"/>
      </w:pPr>
      <w:r>
        <w:continuationSeparator/>
      </w:r>
    </w:p>
  </w:footnote>
  <w:footnote w:type="continuationNotice" w:id="1">
    <w:p w:rsidR="00F21F42" w:rsidRPr="00377A77" w:rsidRDefault="00F21F42">
      <w:pPr>
        <w:spacing w:line="240" w:lineRule="auto"/>
        <w:rPr>
          <w:sz w:val="2"/>
          <w:szCs w:val="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2" w:rsidRPr="00F21F42" w:rsidRDefault="00F21F42" w:rsidP="00F21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F0C7D4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ACD4CDB0"/>
    <w:lvl w:ilvl="0">
      <w:numFmt w:val="decimal"/>
      <w:lvlText w:val="*"/>
      <w:lvlJc w:val="left"/>
      <w:rPr>
        <w:rFonts w:cs="Times New Roman"/>
      </w:rPr>
    </w:lvl>
  </w:abstractNum>
  <w:abstractNum w:abstractNumId="2">
    <w:nsid w:val="04C652AC"/>
    <w:multiLevelType w:val="hybridMultilevel"/>
    <w:tmpl w:val="8CA2B8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941C0E"/>
    <w:multiLevelType w:val="hybridMultilevel"/>
    <w:tmpl w:val="D870EC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7CE7EA6"/>
    <w:multiLevelType w:val="hybridMultilevel"/>
    <w:tmpl w:val="D30AAE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2886B44"/>
    <w:multiLevelType w:val="hybridMultilevel"/>
    <w:tmpl w:val="DFFA3F70"/>
    <w:lvl w:ilvl="0" w:tplc="A8C2A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7561E8"/>
    <w:multiLevelType w:val="hybridMultilevel"/>
    <w:tmpl w:val="9D9E2D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EEE2C30"/>
    <w:multiLevelType w:val="hybridMultilevel"/>
    <w:tmpl w:val="E6FE4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30B5B9B"/>
    <w:multiLevelType w:val="hybridMultilevel"/>
    <w:tmpl w:val="B30E9BDA"/>
    <w:lvl w:ilvl="0" w:tplc="0409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351FF"/>
    <w:multiLevelType w:val="hybridMultilevel"/>
    <w:tmpl w:val="F46C8A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49960E2"/>
    <w:multiLevelType w:val="hybridMultilevel"/>
    <w:tmpl w:val="03FC4D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48B92032"/>
    <w:multiLevelType w:val="hybridMultilevel"/>
    <w:tmpl w:val="CBE6D1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B6B7BBA"/>
    <w:multiLevelType w:val="hybridMultilevel"/>
    <w:tmpl w:val="9E7A25A4"/>
    <w:lvl w:ilvl="0" w:tplc="0809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16">
    <w:nsid w:val="71F04359"/>
    <w:multiLevelType w:val="hybridMultilevel"/>
    <w:tmpl w:val="F58A74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76877D8E"/>
    <w:multiLevelType w:val="hybridMultilevel"/>
    <w:tmpl w:val="2B5CE8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7F4A7ED8"/>
    <w:multiLevelType w:val="hybridMultilevel"/>
    <w:tmpl w:val="EE446F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6"/>
  </w:num>
  <w:num w:numId="7">
    <w:abstractNumId w:val="16"/>
  </w:num>
  <w:num w:numId="8">
    <w:abstractNumId w:val="5"/>
  </w:num>
  <w:num w:numId="9">
    <w:abstractNumId w:val="7"/>
  </w:num>
  <w:num w:numId="10">
    <w:abstractNumId w:val="12"/>
  </w:num>
  <w:num w:numId="11">
    <w:abstractNumId w:val="17"/>
  </w:num>
  <w:num w:numId="12">
    <w:abstractNumId w:val="13"/>
  </w:num>
  <w:num w:numId="13">
    <w:abstractNumId w:val="8"/>
  </w:num>
  <w:num w:numId="14">
    <w:abstractNumId w:val="11"/>
  </w:num>
  <w:num w:numId="15">
    <w:abstractNumId w:val="2"/>
  </w:num>
  <w:num w:numId="16">
    <w:abstractNumId w:val="10"/>
  </w:num>
  <w:num w:numId="17">
    <w:abstractNumId w:val="18"/>
  </w:num>
  <w:num w:numId="18">
    <w:abstractNumId w:val="4"/>
  </w:num>
  <w:num w:numId="19">
    <w:abstractNumId w:val="0"/>
  </w:num>
  <w:num w:numId="20">
    <w:abstractNumId w:val="0"/>
  </w:num>
  <w:num w:numId="2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5B0A"/>
    <w:rsid w:val="00007B94"/>
    <w:rsid w:val="000115A9"/>
    <w:rsid w:val="00012B39"/>
    <w:rsid w:val="00013610"/>
    <w:rsid w:val="000138A1"/>
    <w:rsid w:val="0001686B"/>
    <w:rsid w:val="00017703"/>
    <w:rsid w:val="00020A28"/>
    <w:rsid w:val="000215A9"/>
    <w:rsid w:val="00022B6C"/>
    <w:rsid w:val="000240FE"/>
    <w:rsid w:val="000244F9"/>
    <w:rsid w:val="00024FEF"/>
    <w:rsid w:val="00026BD2"/>
    <w:rsid w:val="00030B04"/>
    <w:rsid w:val="0003128F"/>
    <w:rsid w:val="000316FF"/>
    <w:rsid w:val="00031C70"/>
    <w:rsid w:val="00032E3A"/>
    <w:rsid w:val="000338E8"/>
    <w:rsid w:val="00033C6E"/>
    <w:rsid w:val="00033DA8"/>
    <w:rsid w:val="00034832"/>
    <w:rsid w:val="000349EE"/>
    <w:rsid w:val="00034A75"/>
    <w:rsid w:val="00035B58"/>
    <w:rsid w:val="00035EF4"/>
    <w:rsid w:val="00036976"/>
    <w:rsid w:val="000378CC"/>
    <w:rsid w:val="00037B11"/>
    <w:rsid w:val="0004006B"/>
    <w:rsid w:val="0004042B"/>
    <w:rsid w:val="00041C6C"/>
    <w:rsid w:val="00041EB7"/>
    <w:rsid w:val="00042751"/>
    <w:rsid w:val="00044DCB"/>
    <w:rsid w:val="00045054"/>
    <w:rsid w:val="000451B3"/>
    <w:rsid w:val="0005077B"/>
    <w:rsid w:val="00051C81"/>
    <w:rsid w:val="0005250A"/>
    <w:rsid w:val="000529F2"/>
    <w:rsid w:val="000544A5"/>
    <w:rsid w:val="00054BA6"/>
    <w:rsid w:val="00054E26"/>
    <w:rsid w:val="00055735"/>
    <w:rsid w:val="000559BE"/>
    <w:rsid w:val="000562AF"/>
    <w:rsid w:val="00060853"/>
    <w:rsid w:val="00060E5C"/>
    <w:rsid w:val="00065751"/>
    <w:rsid w:val="00066490"/>
    <w:rsid w:val="00067189"/>
    <w:rsid w:val="00067BC4"/>
    <w:rsid w:val="0007026C"/>
    <w:rsid w:val="00070C28"/>
    <w:rsid w:val="00070DC9"/>
    <w:rsid w:val="000714D6"/>
    <w:rsid w:val="00071E53"/>
    <w:rsid w:val="0007365D"/>
    <w:rsid w:val="00073A46"/>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3786"/>
    <w:rsid w:val="00094645"/>
    <w:rsid w:val="000967CA"/>
    <w:rsid w:val="00096999"/>
    <w:rsid w:val="00097F0D"/>
    <w:rsid w:val="000A2809"/>
    <w:rsid w:val="000A62E2"/>
    <w:rsid w:val="000B1EEE"/>
    <w:rsid w:val="000B621F"/>
    <w:rsid w:val="000C07F0"/>
    <w:rsid w:val="000C0946"/>
    <w:rsid w:val="000C0AA0"/>
    <w:rsid w:val="000C2679"/>
    <w:rsid w:val="000C37E9"/>
    <w:rsid w:val="000C3BFD"/>
    <w:rsid w:val="000C3DF6"/>
    <w:rsid w:val="000C469F"/>
    <w:rsid w:val="000C491C"/>
    <w:rsid w:val="000C56D4"/>
    <w:rsid w:val="000C6808"/>
    <w:rsid w:val="000C6F0E"/>
    <w:rsid w:val="000D007F"/>
    <w:rsid w:val="000D28F0"/>
    <w:rsid w:val="000D3931"/>
    <w:rsid w:val="000D3F88"/>
    <w:rsid w:val="000D50A8"/>
    <w:rsid w:val="000D59D3"/>
    <w:rsid w:val="000D7F5A"/>
    <w:rsid w:val="000E26A2"/>
    <w:rsid w:val="000E4B46"/>
    <w:rsid w:val="000E4C16"/>
    <w:rsid w:val="000E6466"/>
    <w:rsid w:val="000E6EEF"/>
    <w:rsid w:val="000E6F41"/>
    <w:rsid w:val="000F035E"/>
    <w:rsid w:val="000F0AFF"/>
    <w:rsid w:val="000F16CE"/>
    <w:rsid w:val="000F181E"/>
    <w:rsid w:val="000F42C4"/>
    <w:rsid w:val="000F4A9A"/>
    <w:rsid w:val="000F558D"/>
    <w:rsid w:val="000F77C3"/>
    <w:rsid w:val="000F7B4B"/>
    <w:rsid w:val="00100C44"/>
    <w:rsid w:val="0010339F"/>
    <w:rsid w:val="001036E0"/>
    <w:rsid w:val="0010391E"/>
    <w:rsid w:val="00103CC0"/>
    <w:rsid w:val="00104975"/>
    <w:rsid w:val="001052AF"/>
    <w:rsid w:val="001053BA"/>
    <w:rsid w:val="001055E6"/>
    <w:rsid w:val="001063E3"/>
    <w:rsid w:val="0010786D"/>
    <w:rsid w:val="00110344"/>
    <w:rsid w:val="001126F6"/>
    <w:rsid w:val="001127C6"/>
    <w:rsid w:val="00113882"/>
    <w:rsid w:val="001138B0"/>
    <w:rsid w:val="001158DF"/>
    <w:rsid w:val="00116CFB"/>
    <w:rsid w:val="00124C17"/>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2A4E"/>
    <w:rsid w:val="0014464E"/>
    <w:rsid w:val="00144A1D"/>
    <w:rsid w:val="00144DCE"/>
    <w:rsid w:val="00146F91"/>
    <w:rsid w:val="001509A7"/>
    <w:rsid w:val="001509D1"/>
    <w:rsid w:val="00153199"/>
    <w:rsid w:val="001540D3"/>
    <w:rsid w:val="001545B6"/>
    <w:rsid w:val="00154B90"/>
    <w:rsid w:val="00155138"/>
    <w:rsid w:val="00156950"/>
    <w:rsid w:val="00157649"/>
    <w:rsid w:val="00160DCC"/>
    <w:rsid w:val="001657F4"/>
    <w:rsid w:val="00166FCB"/>
    <w:rsid w:val="0017241F"/>
    <w:rsid w:val="001737B7"/>
    <w:rsid w:val="0017469D"/>
    <w:rsid w:val="001764F7"/>
    <w:rsid w:val="001768E2"/>
    <w:rsid w:val="0018061D"/>
    <w:rsid w:val="00180A82"/>
    <w:rsid w:val="001811FF"/>
    <w:rsid w:val="00182D03"/>
    <w:rsid w:val="00184C46"/>
    <w:rsid w:val="00186D96"/>
    <w:rsid w:val="00191C0B"/>
    <w:rsid w:val="001940FA"/>
    <w:rsid w:val="00194447"/>
    <w:rsid w:val="0019516A"/>
    <w:rsid w:val="00195479"/>
    <w:rsid w:val="001970B2"/>
    <w:rsid w:val="001979F8"/>
    <w:rsid w:val="001A1064"/>
    <w:rsid w:val="001A141E"/>
    <w:rsid w:val="001A3D0C"/>
    <w:rsid w:val="001A56E8"/>
    <w:rsid w:val="001B01AC"/>
    <w:rsid w:val="001B0D26"/>
    <w:rsid w:val="001B1504"/>
    <w:rsid w:val="001B15BB"/>
    <w:rsid w:val="001B18C2"/>
    <w:rsid w:val="001B232C"/>
    <w:rsid w:val="001B28BC"/>
    <w:rsid w:val="001B424E"/>
    <w:rsid w:val="001B4CC9"/>
    <w:rsid w:val="001B5DF7"/>
    <w:rsid w:val="001B65A1"/>
    <w:rsid w:val="001C0535"/>
    <w:rsid w:val="001C05B2"/>
    <w:rsid w:val="001C07DD"/>
    <w:rsid w:val="001C0B67"/>
    <w:rsid w:val="001C12BE"/>
    <w:rsid w:val="001C17BE"/>
    <w:rsid w:val="001C365D"/>
    <w:rsid w:val="001C39EC"/>
    <w:rsid w:val="001C4264"/>
    <w:rsid w:val="001C52C8"/>
    <w:rsid w:val="001C6C93"/>
    <w:rsid w:val="001C76BE"/>
    <w:rsid w:val="001C782A"/>
    <w:rsid w:val="001D00DF"/>
    <w:rsid w:val="001D013F"/>
    <w:rsid w:val="001D078A"/>
    <w:rsid w:val="001D4E3C"/>
    <w:rsid w:val="001D52CB"/>
    <w:rsid w:val="001D69DD"/>
    <w:rsid w:val="001D6C48"/>
    <w:rsid w:val="001D74DC"/>
    <w:rsid w:val="001E0E97"/>
    <w:rsid w:val="001E2338"/>
    <w:rsid w:val="001E558F"/>
    <w:rsid w:val="001E5961"/>
    <w:rsid w:val="001E717B"/>
    <w:rsid w:val="001E74A2"/>
    <w:rsid w:val="001E76FC"/>
    <w:rsid w:val="001F0BC4"/>
    <w:rsid w:val="001F1D17"/>
    <w:rsid w:val="001F1F3D"/>
    <w:rsid w:val="001F4D66"/>
    <w:rsid w:val="001F59A5"/>
    <w:rsid w:val="00200F03"/>
    <w:rsid w:val="002013C3"/>
    <w:rsid w:val="00202634"/>
    <w:rsid w:val="00203A8F"/>
    <w:rsid w:val="00203D01"/>
    <w:rsid w:val="00204864"/>
    <w:rsid w:val="002052D8"/>
    <w:rsid w:val="00205EFC"/>
    <w:rsid w:val="00211393"/>
    <w:rsid w:val="00211FAE"/>
    <w:rsid w:val="00211FF4"/>
    <w:rsid w:val="00212787"/>
    <w:rsid w:val="002138A9"/>
    <w:rsid w:val="00214451"/>
    <w:rsid w:val="0021639E"/>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548F"/>
    <w:rsid w:val="002358E8"/>
    <w:rsid w:val="00236FB9"/>
    <w:rsid w:val="002407AA"/>
    <w:rsid w:val="002411E0"/>
    <w:rsid w:val="00241C29"/>
    <w:rsid w:val="00242408"/>
    <w:rsid w:val="00242759"/>
    <w:rsid w:val="00242890"/>
    <w:rsid w:val="00242B03"/>
    <w:rsid w:val="00243514"/>
    <w:rsid w:val="002469F7"/>
    <w:rsid w:val="00247F50"/>
    <w:rsid w:val="002532B5"/>
    <w:rsid w:val="002539A1"/>
    <w:rsid w:val="00253B72"/>
    <w:rsid w:val="002542CC"/>
    <w:rsid w:val="002559A2"/>
    <w:rsid w:val="002563ED"/>
    <w:rsid w:val="00256406"/>
    <w:rsid w:val="0026049D"/>
    <w:rsid w:val="00260E92"/>
    <w:rsid w:val="00263B55"/>
    <w:rsid w:val="002653BB"/>
    <w:rsid w:val="00266729"/>
    <w:rsid w:val="00266BC6"/>
    <w:rsid w:val="00266F4F"/>
    <w:rsid w:val="00267947"/>
    <w:rsid w:val="00267AB2"/>
    <w:rsid w:val="00270B2E"/>
    <w:rsid w:val="0027137C"/>
    <w:rsid w:val="00274585"/>
    <w:rsid w:val="002751DD"/>
    <w:rsid w:val="00276777"/>
    <w:rsid w:val="00276ED9"/>
    <w:rsid w:val="00281365"/>
    <w:rsid w:val="0028188E"/>
    <w:rsid w:val="002831ED"/>
    <w:rsid w:val="002843D9"/>
    <w:rsid w:val="002903CB"/>
    <w:rsid w:val="00291252"/>
    <w:rsid w:val="002915A8"/>
    <w:rsid w:val="00291981"/>
    <w:rsid w:val="00291F64"/>
    <w:rsid w:val="00293159"/>
    <w:rsid w:val="0029435D"/>
    <w:rsid w:val="002A0707"/>
    <w:rsid w:val="002A17C4"/>
    <w:rsid w:val="002A2B5D"/>
    <w:rsid w:val="002A349B"/>
    <w:rsid w:val="002A3665"/>
    <w:rsid w:val="002A3BAB"/>
    <w:rsid w:val="002A4A76"/>
    <w:rsid w:val="002A5E72"/>
    <w:rsid w:val="002A5F58"/>
    <w:rsid w:val="002B10EE"/>
    <w:rsid w:val="002B2798"/>
    <w:rsid w:val="002B40F5"/>
    <w:rsid w:val="002B4372"/>
    <w:rsid w:val="002B445D"/>
    <w:rsid w:val="002B5973"/>
    <w:rsid w:val="002C0F1F"/>
    <w:rsid w:val="002C1811"/>
    <w:rsid w:val="002C1999"/>
    <w:rsid w:val="002C3DCC"/>
    <w:rsid w:val="002C41FF"/>
    <w:rsid w:val="002C43DB"/>
    <w:rsid w:val="002C5D72"/>
    <w:rsid w:val="002C78B6"/>
    <w:rsid w:val="002C7ECD"/>
    <w:rsid w:val="002D0F32"/>
    <w:rsid w:val="002D1B76"/>
    <w:rsid w:val="002D2A79"/>
    <w:rsid w:val="002D41B7"/>
    <w:rsid w:val="002D4BA9"/>
    <w:rsid w:val="002D4FA8"/>
    <w:rsid w:val="002D6E86"/>
    <w:rsid w:val="002D73EF"/>
    <w:rsid w:val="002D750B"/>
    <w:rsid w:val="002E5A78"/>
    <w:rsid w:val="002E64CB"/>
    <w:rsid w:val="002E7DDB"/>
    <w:rsid w:val="002F0044"/>
    <w:rsid w:val="002F0199"/>
    <w:rsid w:val="002F0388"/>
    <w:rsid w:val="002F352C"/>
    <w:rsid w:val="002F3776"/>
    <w:rsid w:val="002F3FAF"/>
    <w:rsid w:val="002F7D23"/>
    <w:rsid w:val="003002D3"/>
    <w:rsid w:val="003029D8"/>
    <w:rsid w:val="00302FF6"/>
    <w:rsid w:val="00303C59"/>
    <w:rsid w:val="00304E98"/>
    <w:rsid w:val="003058FB"/>
    <w:rsid w:val="00306501"/>
    <w:rsid w:val="003075E1"/>
    <w:rsid w:val="003079A2"/>
    <w:rsid w:val="00307A61"/>
    <w:rsid w:val="00311036"/>
    <w:rsid w:val="00311101"/>
    <w:rsid w:val="003111F0"/>
    <w:rsid w:val="00313641"/>
    <w:rsid w:val="00313967"/>
    <w:rsid w:val="00314E4E"/>
    <w:rsid w:val="00314E67"/>
    <w:rsid w:val="003154F6"/>
    <w:rsid w:val="003160F4"/>
    <w:rsid w:val="003179EF"/>
    <w:rsid w:val="00322BCE"/>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6DB2"/>
    <w:rsid w:val="00337799"/>
    <w:rsid w:val="003415D2"/>
    <w:rsid w:val="00342579"/>
    <w:rsid w:val="00342715"/>
    <w:rsid w:val="003445DE"/>
    <w:rsid w:val="003448C7"/>
    <w:rsid w:val="00345197"/>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EFA"/>
    <w:rsid w:val="00364BAB"/>
    <w:rsid w:val="00364D74"/>
    <w:rsid w:val="00364D95"/>
    <w:rsid w:val="00365049"/>
    <w:rsid w:val="0036522E"/>
    <w:rsid w:val="00367133"/>
    <w:rsid w:val="00367A90"/>
    <w:rsid w:val="00371671"/>
    <w:rsid w:val="0037202C"/>
    <w:rsid w:val="00372D96"/>
    <w:rsid w:val="003759AE"/>
    <w:rsid w:val="00377A77"/>
    <w:rsid w:val="003803A1"/>
    <w:rsid w:val="00380A9A"/>
    <w:rsid w:val="0038274D"/>
    <w:rsid w:val="003833E4"/>
    <w:rsid w:val="00383700"/>
    <w:rsid w:val="00383AB0"/>
    <w:rsid w:val="0038496B"/>
    <w:rsid w:val="0038799C"/>
    <w:rsid w:val="00387CFB"/>
    <w:rsid w:val="003909E1"/>
    <w:rsid w:val="003911A9"/>
    <w:rsid w:val="0039178A"/>
    <w:rsid w:val="00391A85"/>
    <w:rsid w:val="00392559"/>
    <w:rsid w:val="003931A5"/>
    <w:rsid w:val="003939EE"/>
    <w:rsid w:val="00393A41"/>
    <w:rsid w:val="00394196"/>
    <w:rsid w:val="0039485C"/>
    <w:rsid w:val="00394D69"/>
    <w:rsid w:val="00395564"/>
    <w:rsid w:val="0039620F"/>
    <w:rsid w:val="00396F6E"/>
    <w:rsid w:val="00397835"/>
    <w:rsid w:val="003979EC"/>
    <w:rsid w:val="00397A66"/>
    <w:rsid w:val="00397C0A"/>
    <w:rsid w:val="003A2297"/>
    <w:rsid w:val="003A63B9"/>
    <w:rsid w:val="003A667F"/>
    <w:rsid w:val="003A7683"/>
    <w:rsid w:val="003B0F39"/>
    <w:rsid w:val="003B1165"/>
    <w:rsid w:val="003B20F1"/>
    <w:rsid w:val="003B283B"/>
    <w:rsid w:val="003B2AB5"/>
    <w:rsid w:val="003B2BA2"/>
    <w:rsid w:val="003B38AA"/>
    <w:rsid w:val="003B4824"/>
    <w:rsid w:val="003B48BF"/>
    <w:rsid w:val="003B5313"/>
    <w:rsid w:val="003B5456"/>
    <w:rsid w:val="003B5A54"/>
    <w:rsid w:val="003C1187"/>
    <w:rsid w:val="003C195A"/>
    <w:rsid w:val="003C2DB1"/>
    <w:rsid w:val="003C3109"/>
    <w:rsid w:val="003C4AF5"/>
    <w:rsid w:val="003C4EF8"/>
    <w:rsid w:val="003C5357"/>
    <w:rsid w:val="003D05FE"/>
    <w:rsid w:val="003D35EF"/>
    <w:rsid w:val="003D3B49"/>
    <w:rsid w:val="003D3D9E"/>
    <w:rsid w:val="003D5DE9"/>
    <w:rsid w:val="003D5F81"/>
    <w:rsid w:val="003D7FAF"/>
    <w:rsid w:val="003E0B8C"/>
    <w:rsid w:val="003E24BB"/>
    <w:rsid w:val="003E387D"/>
    <w:rsid w:val="003E44F6"/>
    <w:rsid w:val="003E5833"/>
    <w:rsid w:val="003E6010"/>
    <w:rsid w:val="003E693F"/>
    <w:rsid w:val="003E75FE"/>
    <w:rsid w:val="003F0686"/>
    <w:rsid w:val="003F1D4E"/>
    <w:rsid w:val="003F2CD5"/>
    <w:rsid w:val="003F2F97"/>
    <w:rsid w:val="003F4FF6"/>
    <w:rsid w:val="003F59AD"/>
    <w:rsid w:val="003F65E2"/>
    <w:rsid w:val="00400FC6"/>
    <w:rsid w:val="00402CA2"/>
    <w:rsid w:val="004079A9"/>
    <w:rsid w:val="00407AA7"/>
    <w:rsid w:val="004107E8"/>
    <w:rsid w:val="00411755"/>
    <w:rsid w:val="0041385B"/>
    <w:rsid w:val="00413CA9"/>
    <w:rsid w:val="00413EED"/>
    <w:rsid w:val="00414A4C"/>
    <w:rsid w:val="00415AAD"/>
    <w:rsid w:val="0041728F"/>
    <w:rsid w:val="00421682"/>
    <w:rsid w:val="004221CC"/>
    <w:rsid w:val="004235E7"/>
    <w:rsid w:val="004242B7"/>
    <w:rsid w:val="00425526"/>
    <w:rsid w:val="004258F9"/>
    <w:rsid w:val="00426306"/>
    <w:rsid w:val="00427C97"/>
    <w:rsid w:val="0043072E"/>
    <w:rsid w:val="00430FC6"/>
    <w:rsid w:val="004331FF"/>
    <w:rsid w:val="00434AB9"/>
    <w:rsid w:val="00434C77"/>
    <w:rsid w:val="00440808"/>
    <w:rsid w:val="00443153"/>
    <w:rsid w:val="00443771"/>
    <w:rsid w:val="0044401F"/>
    <w:rsid w:val="00444C4C"/>
    <w:rsid w:val="00444D44"/>
    <w:rsid w:val="004452E3"/>
    <w:rsid w:val="004460B4"/>
    <w:rsid w:val="00446146"/>
    <w:rsid w:val="00450993"/>
    <w:rsid w:val="004513D7"/>
    <w:rsid w:val="004520DF"/>
    <w:rsid w:val="0045436B"/>
    <w:rsid w:val="00456257"/>
    <w:rsid w:val="00460A6B"/>
    <w:rsid w:val="00460CCB"/>
    <w:rsid w:val="00460D3F"/>
    <w:rsid w:val="00461E3E"/>
    <w:rsid w:val="004639B7"/>
    <w:rsid w:val="004641D6"/>
    <w:rsid w:val="004647DD"/>
    <w:rsid w:val="00464A26"/>
    <w:rsid w:val="00464B19"/>
    <w:rsid w:val="00464C86"/>
    <w:rsid w:val="00464F78"/>
    <w:rsid w:val="00466AC6"/>
    <w:rsid w:val="00466E21"/>
    <w:rsid w:val="0047016B"/>
    <w:rsid w:val="00470409"/>
    <w:rsid w:val="0047306F"/>
    <w:rsid w:val="0047355F"/>
    <w:rsid w:val="0047417A"/>
    <w:rsid w:val="004764CC"/>
    <w:rsid w:val="00477B4B"/>
    <w:rsid w:val="00477C1C"/>
    <w:rsid w:val="0048090F"/>
    <w:rsid w:val="00480C50"/>
    <w:rsid w:val="00486144"/>
    <w:rsid w:val="00486C20"/>
    <w:rsid w:val="00486F07"/>
    <w:rsid w:val="00491D54"/>
    <w:rsid w:val="004929C8"/>
    <w:rsid w:val="00492EDB"/>
    <w:rsid w:val="00496EBA"/>
    <w:rsid w:val="004A58D1"/>
    <w:rsid w:val="004A7356"/>
    <w:rsid w:val="004A737C"/>
    <w:rsid w:val="004A7AEE"/>
    <w:rsid w:val="004A7C3A"/>
    <w:rsid w:val="004A7E85"/>
    <w:rsid w:val="004B03FA"/>
    <w:rsid w:val="004B0633"/>
    <w:rsid w:val="004B14C0"/>
    <w:rsid w:val="004B41EE"/>
    <w:rsid w:val="004B6415"/>
    <w:rsid w:val="004B6441"/>
    <w:rsid w:val="004B7790"/>
    <w:rsid w:val="004C05A5"/>
    <w:rsid w:val="004C0FE5"/>
    <w:rsid w:val="004C2DBC"/>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286"/>
    <w:rsid w:val="004F0B26"/>
    <w:rsid w:val="004F1B3E"/>
    <w:rsid w:val="004F2819"/>
    <w:rsid w:val="004F3783"/>
    <w:rsid w:val="004F4E76"/>
    <w:rsid w:val="004F70F9"/>
    <w:rsid w:val="004F7A13"/>
    <w:rsid w:val="005021B6"/>
    <w:rsid w:val="005024F6"/>
    <w:rsid w:val="005029EB"/>
    <w:rsid w:val="00503FE7"/>
    <w:rsid w:val="00504096"/>
    <w:rsid w:val="00504A01"/>
    <w:rsid w:val="00505516"/>
    <w:rsid w:val="00505DD7"/>
    <w:rsid w:val="00506054"/>
    <w:rsid w:val="00507398"/>
    <w:rsid w:val="005073C6"/>
    <w:rsid w:val="00507638"/>
    <w:rsid w:val="00507B8C"/>
    <w:rsid w:val="00511B8D"/>
    <w:rsid w:val="00511C40"/>
    <w:rsid w:val="0051243D"/>
    <w:rsid w:val="00512710"/>
    <w:rsid w:val="00514A9A"/>
    <w:rsid w:val="00515BC0"/>
    <w:rsid w:val="00516F22"/>
    <w:rsid w:val="005207E3"/>
    <w:rsid w:val="00522152"/>
    <w:rsid w:val="00523686"/>
    <w:rsid w:val="00523996"/>
    <w:rsid w:val="00525911"/>
    <w:rsid w:val="00531900"/>
    <w:rsid w:val="005329D4"/>
    <w:rsid w:val="00534CC2"/>
    <w:rsid w:val="00535FFB"/>
    <w:rsid w:val="0054017F"/>
    <w:rsid w:val="0054168C"/>
    <w:rsid w:val="005434EE"/>
    <w:rsid w:val="00543DD5"/>
    <w:rsid w:val="0054508A"/>
    <w:rsid w:val="00546C60"/>
    <w:rsid w:val="005508F5"/>
    <w:rsid w:val="0055113A"/>
    <w:rsid w:val="005515D5"/>
    <w:rsid w:val="00551720"/>
    <w:rsid w:val="005533A1"/>
    <w:rsid w:val="00553E31"/>
    <w:rsid w:val="00554364"/>
    <w:rsid w:val="00554B37"/>
    <w:rsid w:val="00556040"/>
    <w:rsid w:val="005563AF"/>
    <w:rsid w:val="00557587"/>
    <w:rsid w:val="00557A1C"/>
    <w:rsid w:val="00560546"/>
    <w:rsid w:val="00560AD6"/>
    <w:rsid w:val="00561C94"/>
    <w:rsid w:val="00561E5A"/>
    <w:rsid w:val="005632D7"/>
    <w:rsid w:val="0056359E"/>
    <w:rsid w:val="00565200"/>
    <w:rsid w:val="00566858"/>
    <w:rsid w:val="005676DC"/>
    <w:rsid w:val="00567739"/>
    <w:rsid w:val="00567A1B"/>
    <w:rsid w:val="0057117C"/>
    <w:rsid w:val="0057239E"/>
    <w:rsid w:val="005724ED"/>
    <w:rsid w:val="00575896"/>
    <w:rsid w:val="00575914"/>
    <w:rsid w:val="00575EED"/>
    <w:rsid w:val="0057764D"/>
    <w:rsid w:val="00577829"/>
    <w:rsid w:val="005805C8"/>
    <w:rsid w:val="0058068C"/>
    <w:rsid w:val="00581104"/>
    <w:rsid w:val="005828CD"/>
    <w:rsid w:val="00584D4C"/>
    <w:rsid w:val="00585A11"/>
    <w:rsid w:val="00586CCC"/>
    <w:rsid w:val="005876F8"/>
    <w:rsid w:val="00590A97"/>
    <w:rsid w:val="005918AB"/>
    <w:rsid w:val="00592C99"/>
    <w:rsid w:val="00593D2E"/>
    <w:rsid w:val="005948D9"/>
    <w:rsid w:val="00595399"/>
    <w:rsid w:val="0059550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4236"/>
    <w:rsid w:val="005B46EE"/>
    <w:rsid w:val="005B4883"/>
    <w:rsid w:val="005B50A3"/>
    <w:rsid w:val="005B56A5"/>
    <w:rsid w:val="005B5D2D"/>
    <w:rsid w:val="005B6FAD"/>
    <w:rsid w:val="005B70E6"/>
    <w:rsid w:val="005B7EAD"/>
    <w:rsid w:val="005C0D2A"/>
    <w:rsid w:val="005C119A"/>
    <w:rsid w:val="005C1435"/>
    <w:rsid w:val="005C2810"/>
    <w:rsid w:val="005C2BCF"/>
    <w:rsid w:val="005C4368"/>
    <w:rsid w:val="005C4EEA"/>
    <w:rsid w:val="005C5CD7"/>
    <w:rsid w:val="005C6AF2"/>
    <w:rsid w:val="005C6C52"/>
    <w:rsid w:val="005C6CC7"/>
    <w:rsid w:val="005C6FD3"/>
    <w:rsid w:val="005C7155"/>
    <w:rsid w:val="005D060D"/>
    <w:rsid w:val="005D2896"/>
    <w:rsid w:val="005D40E1"/>
    <w:rsid w:val="005D460E"/>
    <w:rsid w:val="005D4846"/>
    <w:rsid w:val="005D6008"/>
    <w:rsid w:val="005D6252"/>
    <w:rsid w:val="005D652A"/>
    <w:rsid w:val="005D6D67"/>
    <w:rsid w:val="005E26CF"/>
    <w:rsid w:val="005E27A6"/>
    <w:rsid w:val="005E32A3"/>
    <w:rsid w:val="005E3865"/>
    <w:rsid w:val="005E531B"/>
    <w:rsid w:val="005E74AE"/>
    <w:rsid w:val="005E7516"/>
    <w:rsid w:val="005E75FA"/>
    <w:rsid w:val="005F3AFA"/>
    <w:rsid w:val="005F3E11"/>
    <w:rsid w:val="005F54A5"/>
    <w:rsid w:val="005F5722"/>
    <w:rsid w:val="005F5D74"/>
    <w:rsid w:val="005F7907"/>
    <w:rsid w:val="005F7FD3"/>
    <w:rsid w:val="00600B60"/>
    <w:rsid w:val="006028AC"/>
    <w:rsid w:val="006043AA"/>
    <w:rsid w:val="00606054"/>
    <w:rsid w:val="00610CDE"/>
    <w:rsid w:val="006139AA"/>
    <w:rsid w:val="006140BB"/>
    <w:rsid w:val="0061565F"/>
    <w:rsid w:val="006168EB"/>
    <w:rsid w:val="00616E48"/>
    <w:rsid w:val="006210CA"/>
    <w:rsid w:val="00622A2D"/>
    <w:rsid w:val="00623026"/>
    <w:rsid w:val="0062302E"/>
    <w:rsid w:val="00623940"/>
    <w:rsid w:val="00626B1D"/>
    <w:rsid w:val="00630BE1"/>
    <w:rsid w:val="00630FCB"/>
    <w:rsid w:val="00632738"/>
    <w:rsid w:val="00633E90"/>
    <w:rsid w:val="0063400F"/>
    <w:rsid w:val="00637052"/>
    <w:rsid w:val="00637DD7"/>
    <w:rsid w:val="0064336B"/>
    <w:rsid w:val="00643E56"/>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675"/>
    <w:rsid w:val="00664CC5"/>
    <w:rsid w:val="00664E83"/>
    <w:rsid w:val="00666847"/>
    <w:rsid w:val="006703C8"/>
    <w:rsid w:val="006705FA"/>
    <w:rsid w:val="00671031"/>
    <w:rsid w:val="00673A39"/>
    <w:rsid w:val="006763EC"/>
    <w:rsid w:val="0067717C"/>
    <w:rsid w:val="00680159"/>
    <w:rsid w:val="006808D7"/>
    <w:rsid w:val="006811D6"/>
    <w:rsid w:val="0068174F"/>
    <w:rsid w:val="00681787"/>
    <w:rsid w:val="006819C8"/>
    <w:rsid w:val="00683BD1"/>
    <w:rsid w:val="00683FED"/>
    <w:rsid w:val="00690AFD"/>
    <w:rsid w:val="0069185E"/>
    <w:rsid w:val="006927FA"/>
    <w:rsid w:val="00692AC9"/>
    <w:rsid w:val="0069600A"/>
    <w:rsid w:val="00696261"/>
    <w:rsid w:val="00697507"/>
    <w:rsid w:val="0069782A"/>
    <w:rsid w:val="006A08D5"/>
    <w:rsid w:val="006A091D"/>
    <w:rsid w:val="006A2764"/>
    <w:rsid w:val="006A31EB"/>
    <w:rsid w:val="006A416D"/>
    <w:rsid w:val="006A41F5"/>
    <w:rsid w:val="006A4EAA"/>
    <w:rsid w:val="006A5BE8"/>
    <w:rsid w:val="006A6090"/>
    <w:rsid w:val="006A645E"/>
    <w:rsid w:val="006A7210"/>
    <w:rsid w:val="006B02D0"/>
    <w:rsid w:val="006B15C0"/>
    <w:rsid w:val="006B1950"/>
    <w:rsid w:val="006B1EE7"/>
    <w:rsid w:val="006B4FD1"/>
    <w:rsid w:val="006B5013"/>
    <w:rsid w:val="006B6362"/>
    <w:rsid w:val="006B65B3"/>
    <w:rsid w:val="006B7240"/>
    <w:rsid w:val="006B7B1B"/>
    <w:rsid w:val="006C15CE"/>
    <w:rsid w:val="006C1861"/>
    <w:rsid w:val="006C29F2"/>
    <w:rsid w:val="006C4809"/>
    <w:rsid w:val="006D03D8"/>
    <w:rsid w:val="006D1BB9"/>
    <w:rsid w:val="006D2114"/>
    <w:rsid w:val="006D2D8D"/>
    <w:rsid w:val="006D30A4"/>
    <w:rsid w:val="006D311D"/>
    <w:rsid w:val="006D3206"/>
    <w:rsid w:val="006D4380"/>
    <w:rsid w:val="006D4815"/>
    <w:rsid w:val="006D698D"/>
    <w:rsid w:val="006D78FF"/>
    <w:rsid w:val="006D7E2A"/>
    <w:rsid w:val="006E058E"/>
    <w:rsid w:val="006E07C3"/>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5945"/>
    <w:rsid w:val="007074EA"/>
    <w:rsid w:val="007078F0"/>
    <w:rsid w:val="0071116B"/>
    <w:rsid w:val="007112FB"/>
    <w:rsid w:val="00712E5C"/>
    <w:rsid w:val="007149F9"/>
    <w:rsid w:val="0071714D"/>
    <w:rsid w:val="007200A7"/>
    <w:rsid w:val="00720A63"/>
    <w:rsid w:val="00721659"/>
    <w:rsid w:val="00722923"/>
    <w:rsid w:val="0072400C"/>
    <w:rsid w:val="0072636A"/>
    <w:rsid w:val="007272E6"/>
    <w:rsid w:val="007274A7"/>
    <w:rsid w:val="00730B8E"/>
    <w:rsid w:val="00731308"/>
    <w:rsid w:val="00732A09"/>
    <w:rsid w:val="00736415"/>
    <w:rsid w:val="0073735F"/>
    <w:rsid w:val="007402B1"/>
    <w:rsid w:val="00740EA8"/>
    <w:rsid w:val="00741C6B"/>
    <w:rsid w:val="00742468"/>
    <w:rsid w:val="007424AC"/>
    <w:rsid w:val="00742995"/>
    <w:rsid w:val="0074489D"/>
    <w:rsid w:val="0074514B"/>
    <w:rsid w:val="007456DC"/>
    <w:rsid w:val="00745F83"/>
    <w:rsid w:val="007460DB"/>
    <w:rsid w:val="00746BC1"/>
    <w:rsid w:val="0074791C"/>
    <w:rsid w:val="0075085B"/>
    <w:rsid w:val="00750AF6"/>
    <w:rsid w:val="0075179F"/>
    <w:rsid w:val="00752D36"/>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D5C"/>
    <w:rsid w:val="00771B7B"/>
    <w:rsid w:val="007720EE"/>
    <w:rsid w:val="00772D4D"/>
    <w:rsid w:val="007738AC"/>
    <w:rsid w:val="00773CCB"/>
    <w:rsid w:val="00774A10"/>
    <w:rsid w:val="00774ED8"/>
    <w:rsid w:val="00780E20"/>
    <w:rsid w:val="0078178B"/>
    <w:rsid w:val="0078187B"/>
    <w:rsid w:val="007818AB"/>
    <w:rsid w:val="00781CA3"/>
    <w:rsid w:val="00782FDA"/>
    <w:rsid w:val="00785399"/>
    <w:rsid w:val="00785B79"/>
    <w:rsid w:val="00786406"/>
    <w:rsid w:val="00791C99"/>
    <w:rsid w:val="00792440"/>
    <w:rsid w:val="00793CC7"/>
    <w:rsid w:val="0079472F"/>
    <w:rsid w:val="007949E3"/>
    <w:rsid w:val="00794E1C"/>
    <w:rsid w:val="00795A2F"/>
    <w:rsid w:val="00795DA3"/>
    <w:rsid w:val="00796D74"/>
    <w:rsid w:val="00797036"/>
    <w:rsid w:val="00797F04"/>
    <w:rsid w:val="007A3904"/>
    <w:rsid w:val="007A57F4"/>
    <w:rsid w:val="007A6394"/>
    <w:rsid w:val="007B31B6"/>
    <w:rsid w:val="007B3529"/>
    <w:rsid w:val="007B5211"/>
    <w:rsid w:val="007C07C5"/>
    <w:rsid w:val="007C2D6B"/>
    <w:rsid w:val="007C3321"/>
    <w:rsid w:val="007C3593"/>
    <w:rsid w:val="007C4447"/>
    <w:rsid w:val="007D03DC"/>
    <w:rsid w:val="007D0DD1"/>
    <w:rsid w:val="007D114B"/>
    <w:rsid w:val="007D135C"/>
    <w:rsid w:val="007D2AA2"/>
    <w:rsid w:val="007D31F4"/>
    <w:rsid w:val="007D4275"/>
    <w:rsid w:val="007D4B5F"/>
    <w:rsid w:val="007D4F2F"/>
    <w:rsid w:val="007D64BB"/>
    <w:rsid w:val="007E06C0"/>
    <w:rsid w:val="007E0816"/>
    <w:rsid w:val="007E0BBB"/>
    <w:rsid w:val="007E134F"/>
    <w:rsid w:val="007E170F"/>
    <w:rsid w:val="007E2573"/>
    <w:rsid w:val="007E3168"/>
    <w:rsid w:val="007E3E7F"/>
    <w:rsid w:val="007E6BCE"/>
    <w:rsid w:val="007E6DF2"/>
    <w:rsid w:val="007F00D3"/>
    <w:rsid w:val="007F0D28"/>
    <w:rsid w:val="007F0D84"/>
    <w:rsid w:val="007F15F7"/>
    <w:rsid w:val="007F16A2"/>
    <w:rsid w:val="007F2174"/>
    <w:rsid w:val="007F2384"/>
    <w:rsid w:val="007F2A89"/>
    <w:rsid w:val="007F2E18"/>
    <w:rsid w:val="007F556F"/>
    <w:rsid w:val="007F76AD"/>
    <w:rsid w:val="007F7E76"/>
    <w:rsid w:val="00800AE3"/>
    <w:rsid w:val="00801B7A"/>
    <w:rsid w:val="00802367"/>
    <w:rsid w:val="0080274C"/>
    <w:rsid w:val="00802AF7"/>
    <w:rsid w:val="008031D6"/>
    <w:rsid w:val="008038C5"/>
    <w:rsid w:val="00805F7C"/>
    <w:rsid w:val="00806324"/>
    <w:rsid w:val="00806DD0"/>
    <w:rsid w:val="00810910"/>
    <w:rsid w:val="0081158D"/>
    <w:rsid w:val="008117A2"/>
    <w:rsid w:val="00811B34"/>
    <w:rsid w:val="00811B49"/>
    <w:rsid w:val="00811CDA"/>
    <w:rsid w:val="00814D3F"/>
    <w:rsid w:val="008157C9"/>
    <w:rsid w:val="008169EC"/>
    <w:rsid w:val="008212B0"/>
    <w:rsid w:val="00821A37"/>
    <w:rsid w:val="00821C94"/>
    <w:rsid w:val="00822E71"/>
    <w:rsid w:val="00822F86"/>
    <w:rsid w:val="00824BEE"/>
    <w:rsid w:val="00826076"/>
    <w:rsid w:val="00826273"/>
    <w:rsid w:val="00826FD1"/>
    <w:rsid w:val="008275E5"/>
    <w:rsid w:val="00827D46"/>
    <w:rsid w:val="0083066E"/>
    <w:rsid w:val="00830E2A"/>
    <w:rsid w:val="008314D7"/>
    <w:rsid w:val="00831C5E"/>
    <w:rsid w:val="00832685"/>
    <w:rsid w:val="008331AD"/>
    <w:rsid w:val="008350EE"/>
    <w:rsid w:val="0083618B"/>
    <w:rsid w:val="008367AC"/>
    <w:rsid w:val="008405A0"/>
    <w:rsid w:val="008429E8"/>
    <w:rsid w:val="00843DF6"/>
    <w:rsid w:val="00845BBE"/>
    <w:rsid w:val="00847AAF"/>
    <w:rsid w:val="00850E12"/>
    <w:rsid w:val="00851487"/>
    <w:rsid w:val="008524D0"/>
    <w:rsid w:val="00852878"/>
    <w:rsid w:val="00853046"/>
    <w:rsid w:val="008535EF"/>
    <w:rsid w:val="008549CE"/>
    <w:rsid w:val="0085624B"/>
    <w:rsid w:val="0085647C"/>
    <w:rsid w:val="00860B63"/>
    <w:rsid w:val="008615C4"/>
    <w:rsid w:val="008620C5"/>
    <w:rsid w:val="008634DC"/>
    <w:rsid w:val="00863940"/>
    <w:rsid w:val="00864DC6"/>
    <w:rsid w:val="008655DD"/>
    <w:rsid w:val="00867B02"/>
    <w:rsid w:val="00870187"/>
    <w:rsid w:val="008731E1"/>
    <w:rsid w:val="008736DF"/>
    <w:rsid w:val="008741DB"/>
    <w:rsid w:val="00874B7D"/>
    <w:rsid w:val="00875E52"/>
    <w:rsid w:val="00875F60"/>
    <w:rsid w:val="00876D7B"/>
    <w:rsid w:val="00880B4D"/>
    <w:rsid w:val="0088128E"/>
    <w:rsid w:val="008813F4"/>
    <w:rsid w:val="00881E5F"/>
    <w:rsid w:val="008829A4"/>
    <w:rsid w:val="008836DC"/>
    <w:rsid w:val="00883FCB"/>
    <w:rsid w:val="0088450B"/>
    <w:rsid w:val="008860BD"/>
    <w:rsid w:val="00886F6C"/>
    <w:rsid w:val="008874F5"/>
    <w:rsid w:val="00887B21"/>
    <w:rsid w:val="00891B74"/>
    <w:rsid w:val="00892DE9"/>
    <w:rsid w:val="00893E28"/>
    <w:rsid w:val="00894DA5"/>
    <w:rsid w:val="0089503E"/>
    <w:rsid w:val="00895093"/>
    <w:rsid w:val="008959B9"/>
    <w:rsid w:val="00896BB6"/>
    <w:rsid w:val="008A0BF5"/>
    <w:rsid w:val="008A2046"/>
    <w:rsid w:val="008A2455"/>
    <w:rsid w:val="008A2A2F"/>
    <w:rsid w:val="008A3652"/>
    <w:rsid w:val="008A6D95"/>
    <w:rsid w:val="008A6EC0"/>
    <w:rsid w:val="008B1171"/>
    <w:rsid w:val="008B48E2"/>
    <w:rsid w:val="008B5152"/>
    <w:rsid w:val="008B5EA0"/>
    <w:rsid w:val="008B6EE1"/>
    <w:rsid w:val="008B7356"/>
    <w:rsid w:val="008B7E27"/>
    <w:rsid w:val="008C0AEC"/>
    <w:rsid w:val="008C0CA5"/>
    <w:rsid w:val="008C0CB4"/>
    <w:rsid w:val="008C11BE"/>
    <w:rsid w:val="008C12A2"/>
    <w:rsid w:val="008C18C1"/>
    <w:rsid w:val="008C1CF5"/>
    <w:rsid w:val="008C3CE8"/>
    <w:rsid w:val="008C3DC9"/>
    <w:rsid w:val="008C4B38"/>
    <w:rsid w:val="008C6470"/>
    <w:rsid w:val="008C670E"/>
    <w:rsid w:val="008C7465"/>
    <w:rsid w:val="008D00A6"/>
    <w:rsid w:val="008D10DE"/>
    <w:rsid w:val="008D3DE9"/>
    <w:rsid w:val="008D54FE"/>
    <w:rsid w:val="008D639A"/>
    <w:rsid w:val="008D6B9D"/>
    <w:rsid w:val="008D7826"/>
    <w:rsid w:val="008E0AC9"/>
    <w:rsid w:val="008E1227"/>
    <w:rsid w:val="008E212A"/>
    <w:rsid w:val="008E23C2"/>
    <w:rsid w:val="008E2A16"/>
    <w:rsid w:val="008E3205"/>
    <w:rsid w:val="008E328D"/>
    <w:rsid w:val="008E383F"/>
    <w:rsid w:val="008E4FE2"/>
    <w:rsid w:val="008E5190"/>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A2"/>
    <w:rsid w:val="0090367E"/>
    <w:rsid w:val="00903E49"/>
    <w:rsid w:val="00903EBB"/>
    <w:rsid w:val="00904EB4"/>
    <w:rsid w:val="00904EBC"/>
    <w:rsid w:val="0090578F"/>
    <w:rsid w:val="00906027"/>
    <w:rsid w:val="009066D0"/>
    <w:rsid w:val="009110F8"/>
    <w:rsid w:val="009114AF"/>
    <w:rsid w:val="00911883"/>
    <w:rsid w:val="0091399B"/>
    <w:rsid w:val="00915485"/>
    <w:rsid w:val="00915C4E"/>
    <w:rsid w:val="00915EB8"/>
    <w:rsid w:val="00916A2C"/>
    <w:rsid w:val="00916ADD"/>
    <w:rsid w:val="009177C9"/>
    <w:rsid w:val="00917932"/>
    <w:rsid w:val="009207D3"/>
    <w:rsid w:val="00921023"/>
    <w:rsid w:val="00921C9B"/>
    <w:rsid w:val="00921E9F"/>
    <w:rsid w:val="0092229A"/>
    <w:rsid w:val="00923DCD"/>
    <w:rsid w:val="009249E5"/>
    <w:rsid w:val="00924DDF"/>
    <w:rsid w:val="00925D18"/>
    <w:rsid w:val="00927AA9"/>
    <w:rsid w:val="00927B5B"/>
    <w:rsid w:val="00930D55"/>
    <w:rsid w:val="00932F5A"/>
    <w:rsid w:val="00933610"/>
    <w:rsid w:val="00933B07"/>
    <w:rsid w:val="00934561"/>
    <w:rsid w:val="00944F28"/>
    <w:rsid w:val="00946CC3"/>
    <w:rsid w:val="00947A7A"/>
    <w:rsid w:val="009523E9"/>
    <w:rsid w:val="00953BD4"/>
    <w:rsid w:val="00953DE1"/>
    <w:rsid w:val="00954C4D"/>
    <w:rsid w:val="00955259"/>
    <w:rsid w:val="00955D18"/>
    <w:rsid w:val="00960E94"/>
    <w:rsid w:val="009619CC"/>
    <w:rsid w:val="00963089"/>
    <w:rsid w:val="0096362C"/>
    <w:rsid w:val="00963FE9"/>
    <w:rsid w:val="009650BD"/>
    <w:rsid w:val="00966084"/>
    <w:rsid w:val="009661A6"/>
    <w:rsid w:val="00966E9D"/>
    <w:rsid w:val="00967A30"/>
    <w:rsid w:val="00967E69"/>
    <w:rsid w:val="00974757"/>
    <w:rsid w:val="00974AD2"/>
    <w:rsid w:val="00974EA5"/>
    <w:rsid w:val="00974ED0"/>
    <w:rsid w:val="00975DEF"/>
    <w:rsid w:val="00976875"/>
    <w:rsid w:val="00977579"/>
    <w:rsid w:val="00977961"/>
    <w:rsid w:val="00977C46"/>
    <w:rsid w:val="009804DC"/>
    <w:rsid w:val="009814EC"/>
    <w:rsid w:val="0098230F"/>
    <w:rsid w:val="00982EDD"/>
    <w:rsid w:val="00983AF9"/>
    <w:rsid w:val="00983C32"/>
    <w:rsid w:val="0098597A"/>
    <w:rsid w:val="009860AD"/>
    <w:rsid w:val="009867C1"/>
    <w:rsid w:val="009871E1"/>
    <w:rsid w:val="00987EAE"/>
    <w:rsid w:val="0099016F"/>
    <w:rsid w:val="00991B1C"/>
    <w:rsid w:val="00992591"/>
    <w:rsid w:val="00992739"/>
    <w:rsid w:val="0099413E"/>
    <w:rsid w:val="0099424C"/>
    <w:rsid w:val="00994BA0"/>
    <w:rsid w:val="0099587F"/>
    <w:rsid w:val="009967CB"/>
    <w:rsid w:val="009A0DEA"/>
    <w:rsid w:val="009A1A95"/>
    <w:rsid w:val="009A1F1D"/>
    <w:rsid w:val="009A24AD"/>
    <w:rsid w:val="009A253D"/>
    <w:rsid w:val="009A26C1"/>
    <w:rsid w:val="009A495E"/>
    <w:rsid w:val="009A51F0"/>
    <w:rsid w:val="009A791D"/>
    <w:rsid w:val="009A7FA8"/>
    <w:rsid w:val="009B0BC4"/>
    <w:rsid w:val="009B0BC8"/>
    <w:rsid w:val="009B10FF"/>
    <w:rsid w:val="009B3504"/>
    <w:rsid w:val="009B4402"/>
    <w:rsid w:val="009B5536"/>
    <w:rsid w:val="009B5A72"/>
    <w:rsid w:val="009C1289"/>
    <w:rsid w:val="009C4B4E"/>
    <w:rsid w:val="009C6421"/>
    <w:rsid w:val="009C7881"/>
    <w:rsid w:val="009D0DE4"/>
    <w:rsid w:val="009D383A"/>
    <w:rsid w:val="009D3AE0"/>
    <w:rsid w:val="009D5BAA"/>
    <w:rsid w:val="009D6AF9"/>
    <w:rsid w:val="009D77ED"/>
    <w:rsid w:val="009E15A0"/>
    <w:rsid w:val="009E1A1C"/>
    <w:rsid w:val="009E1DC8"/>
    <w:rsid w:val="009E5563"/>
    <w:rsid w:val="009E5586"/>
    <w:rsid w:val="009E5C1F"/>
    <w:rsid w:val="009E6BE9"/>
    <w:rsid w:val="009F01E3"/>
    <w:rsid w:val="009F02EC"/>
    <w:rsid w:val="009F05CF"/>
    <w:rsid w:val="009F09F1"/>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1345"/>
    <w:rsid w:val="00A11D42"/>
    <w:rsid w:val="00A12A28"/>
    <w:rsid w:val="00A134D8"/>
    <w:rsid w:val="00A14950"/>
    <w:rsid w:val="00A16EE4"/>
    <w:rsid w:val="00A1766C"/>
    <w:rsid w:val="00A17F1A"/>
    <w:rsid w:val="00A219E7"/>
    <w:rsid w:val="00A22001"/>
    <w:rsid w:val="00A222A7"/>
    <w:rsid w:val="00A24AFA"/>
    <w:rsid w:val="00A25446"/>
    <w:rsid w:val="00A25D87"/>
    <w:rsid w:val="00A26386"/>
    <w:rsid w:val="00A31462"/>
    <w:rsid w:val="00A31921"/>
    <w:rsid w:val="00A34ED8"/>
    <w:rsid w:val="00A353BC"/>
    <w:rsid w:val="00A355C7"/>
    <w:rsid w:val="00A36171"/>
    <w:rsid w:val="00A36716"/>
    <w:rsid w:val="00A36A65"/>
    <w:rsid w:val="00A36BDD"/>
    <w:rsid w:val="00A372EE"/>
    <w:rsid w:val="00A429DA"/>
    <w:rsid w:val="00A43163"/>
    <w:rsid w:val="00A43397"/>
    <w:rsid w:val="00A4405B"/>
    <w:rsid w:val="00A44AE9"/>
    <w:rsid w:val="00A45CD8"/>
    <w:rsid w:val="00A45EE9"/>
    <w:rsid w:val="00A51CAA"/>
    <w:rsid w:val="00A54ACB"/>
    <w:rsid w:val="00A55ABB"/>
    <w:rsid w:val="00A56055"/>
    <w:rsid w:val="00A56B6D"/>
    <w:rsid w:val="00A57F27"/>
    <w:rsid w:val="00A60027"/>
    <w:rsid w:val="00A61E8F"/>
    <w:rsid w:val="00A6266F"/>
    <w:rsid w:val="00A63F16"/>
    <w:rsid w:val="00A65DD2"/>
    <w:rsid w:val="00A679BC"/>
    <w:rsid w:val="00A70063"/>
    <w:rsid w:val="00A7009D"/>
    <w:rsid w:val="00A7080D"/>
    <w:rsid w:val="00A71A8D"/>
    <w:rsid w:val="00A71EF4"/>
    <w:rsid w:val="00A72D7A"/>
    <w:rsid w:val="00A72E3F"/>
    <w:rsid w:val="00A74327"/>
    <w:rsid w:val="00A7436E"/>
    <w:rsid w:val="00A76812"/>
    <w:rsid w:val="00A76B23"/>
    <w:rsid w:val="00A80AAC"/>
    <w:rsid w:val="00A81584"/>
    <w:rsid w:val="00A86A1B"/>
    <w:rsid w:val="00A86D47"/>
    <w:rsid w:val="00A91E1F"/>
    <w:rsid w:val="00A9340A"/>
    <w:rsid w:val="00A944F3"/>
    <w:rsid w:val="00A96E05"/>
    <w:rsid w:val="00A97896"/>
    <w:rsid w:val="00A97E15"/>
    <w:rsid w:val="00AA179C"/>
    <w:rsid w:val="00AA18AE"/>
    <w:rsid w:val="00AA2776"/>
    <w:rsid w:val="00AA4125"/>
    <w:rsid w:val="00AA4AA6"/>
    <w:rsid w:val="00AA5DB4"/>
    <w:rsid w:val="00AA5FB7"/>
    <w:rsid w:val="00AB16BF"/>
    <w:rsid w:val="00AB1FBE"/>
    <w:rsid w:val="00AB24C8"/>
    <w:rsid w:val="00AB4252"/>
    <w:rsid w:val="00AB508B"/>
    <w:rsid w:val="00AC00CE"/>
    <w:rsid w:val="00AC16E1"/>
    <w:rsid w:val="00AC27AB"/>
    <w:rsid w:val="00AC5086"/>
    <w:rsid w:val="00AC5496"/>
    <w:rsid w:val="00AD12EE"/>
    <w:rsid w:val="00AD173D"/>
    <w:rsid w:val="00AD2465"/>
    <w:rsid w:val="00AD442D"/>
    <w:rsid w:val="00AD6554"/>
    <w:rsid w:val="00AD7EE7"/>
    <w:rsid w:val="00AE0A04"/>
    <w:rsid w:val="00AE14F3"/>
    <w:rsid w:val="00AE20D3"/>
    <w:rsid w:val="00AE22F2"/>
    <w:rsid w:val="00AE2392"/>
    <w:rsid w:val="00AE24DF"/>
    <w:rsid w:val="00AE3428"/>
    <w:rsid w:val="00AE5B1E"/>
    <w:rsid w:val="00AE79CA"/>
    <w:rsid w:val="00AF1968"/>
    <w:rsid w:val="00AF310D"/>
    <w:rsid w:val="00AF328F"/>
    <w:rsid w:val="00AF4582"/>
    <w:rsid w:val="00AF6B3D"/>
    <w:rsid w:val="00AF6F3E"/>
    <w:rsid w:val="00AF7639"/>
    <w:rsid w:val="00AF7B73"/>
    <w:rsid w:val="00B01399"/>
    <w:rsid w:val="00B03922"/>
    <w:rsid w:val="00B04ACF"/>
    <w:rsid w:val="00B053C6"/>
    <w:rsid w:val="00B05746"/>
    <w:rsid w:val="00B07386"/>
    <w:rsid w:val="00B10030"/>
    <w:rsid w:val="00B104E7"/>
    <w:rsid w:val="00B108E3"/>
    <w:rsid w:val="00B10DE9"/>
    <w:rsid w:val="00B14DAA"/>
    <w:rsid w:val="00B16E80"/>
    <w:rsid w:val="00B17D6B"/>
    <w:rsid w:val="00B234E3"/>
    <w:rsid w:val="00B23945"/>
    <w:rsid w:val="00B24A09"/>
    <w:rsid w:val="00B274CC"/>
    <w:rsid w:val="00B32641"/>
    <w:rsid w:val="00B33A06"/>
    <w:rsid w:val="00B34AF2"/>
    <w:rsid w:val="00B35253"/>
    <w:rsid w:val="00B40107"/>
    <w:rsid w:val="00B4093A"/>
    <w:rsid w:val="00B419F8"/>
    <w:rsid w:val="00B4246E"/>
    <w:rsid w:val="00B43B74"/>
    <w:rsid w:val="00B44DE2"/>
    <w:rsid w:val="00B4742A"/>
    <w:rsid w:val="00B50DEE"/>
    <w:rsid w:val="00B50F6E"/>
    <w:rsid w:val="00B5211C"/>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390A"/>
    <w:rsid w:val="00B73F92"/>
    <w:rsid w:val="00B75A56"/>
    <w:rsid w:val="00B75A7B"/>
    <w:rsid w:val="00B77130"/>
    <w:rsid w:val="00B77B0A"/>
    <w:rsid w:val="00B77EB1"/>
    <w:rsid w:val="00B811E0"/>
    <w:rsid w:val="00B811EC"/>
    <w:rsid w:val="00B81ED2"/>
    <w:rsid w:val="00B822F3"/>
    <w:rsid w:val="00B82F3D"/>
    <w:rsid w:val="00B83530"/>
    <w:rsid w:val="00B84123"/>
    <w:rsid w:val="00B85972"/>
    <w:rsid w:val="00B87120"/>
    <w:rsid w:val="00B92979"/>
    <w:rsid w:val="00B929A5"/>
    <w:rsid w:val="00B939A6"/>
    <w:rsid w:val="00B93E80"/>
    <w:rsid w:val="00B94955"/>
    <w:rsid w:val="00B97C33"/>
    <w:rsid w:val="00B97F73"/>
    <w:rsid w:val="00BA020D"/>
    <w:rsid w:val="00BA0A81"/>
    <w:rsid w:val="00BA0C8A"/>
    <w:rsid w:val="00BA1E37"/>
    <w:rsid w:val="00BA23CF"/>
    <w:rsid w:val="00BA4901"/>
    <w:rsid w:val="00BA49CA"/>
    <w:rsid w:val="00BA4C14"/>
    <w:rsid w:val="00BA534E"/>
    <w:rsid w:val="00BA5F2A"/>
    <w:rsid w:val="00BA6C29"/>
    <w:rsid w:val="00BA72BD"/>
    <w:rsid w:val="00BB018A"/>
    <w:rsid w:val="00BB026F"/>
    <w:rsid w:val="00BB087C"/>
    <w:rsid w:val="00BB3FB2"/>
    <w:rsid w:val="00BB5370"/>
    <w:rsid w:val="00BB6031"/>
    <w:rsid w:val="00BB64B0"/>
    <w:rsid w:val="00BB65C4"/>
    <w:rsid w:val="00BB7B9D"/>
    <w:rsid w:val="00BC2853"/>
    <w:rsid w:val="00BC4431"/>
    <w:rsid w:val="00BC4B7F"/>
    <w:rsid w:val="00BC5473"/>
    <w:rsid w:val="00BC61A9"/>
    <w:rsid w:val="00BC6E2E"/>
    <w:rsid w:val="00BC7A76"/>
    <w:rsid w:val="00BC7DE7"/>
    <w:rsid w:val="00BD097C"/>
    <w:rsid w:val="00BD2639"/>
    <w:rsid w:val="00BD37E2"/>
    <w:rsid w:val="00BD4CC9"/>
    <w:rsid w:val="00BD4EB5"/>
    <w:rsid w:val="00BD5B6F"/>
    <w:rsid w:val="00BD620F"/>
    <w:rsid w:val="00BE364C"/>
    <w:rsid w:val="00BE37BA"/>
    <w:rsid w:val="00BE4580"/>
    <w:rsid w:val="00BE50AC"/>
    <w:rsid w:val="00BF15FD"/>
    <w:rsid w:val="00BF1785"/>
    <w:rsid w:val="00BF2010"/>
    <w:rsid w:val="00BF2365"/>
    <w:rsid w:val="00BF2E5D"/>
    <w:rsid w:val="00BF384C"/>
    <w:rsid w:val="00BF3E48"/>
    <w:rsid w:val="00BF4496"/>
    <w:rsid w:val="00BF4BCD"/>
    <w:rsid w:val="00BF683B"/>
    <w:rsid w:val="00BF688B"/>
    <w:rsid w:val="00C01120"/>
    <w:rsid w:val="00C01A8A"/>
    <w:rsid w:val="00C0229B"/>
    <w:rsid w:val="00C035C7"/>
    <w:rsid w:val="00C0389C"/>
    <w:rsid w:val="00C04263"/>
    <w:rsid w:val="00C04273"/>
    <w:rsid w:val="00C044F5"/>
    <w:rsid w:val="00C04732"/>
    <w:rsid w:val="00C06017"/>
    <w:rsid w:val="00C06E2C"/>
    <w:rsid w:val="00C07936"/>
    <w:rsid w:val="00C07E13"/>
    <w:rsid w:val="00C1115F"/>
    <w:rsid w:val="00C1160A"/>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4067A"/>
    <w:rsid w:val="00C41BC5"/>
    <w:rsid w:val="00C454C8"/>
    <w:rsid w:val="00C45A67"/>
    <w:rsid w:val="00C46454"/>
    <w:rsid w:val="00C47D9F"/>
    <w:rsid w:val="00C515E0"/>
    <w:rsid w:val="00C5183B"/>
    <w:rsid w:val="00C522C9"/>
    <w:rsid w:val="00C532C0"/>
    <w:rsid w:val="00C540BC"/>
    <w:rsid w:val="00C57333"/>
    <w:rsid w:val="00C57A19"/>
    <w:rsid w:val="00C61790"/>
    <w:rsid w:val="00C62955"/>
    <w:rsid w:val="00C64256"/>
    <w:rsid w:val="00C64815"/>
    <w:rsid w:val="00C64A18"/>
    <w:rsid w:val="00C64C12"/>
    <w:rsid w:val="00C64DB4"/>
    <w:rsid w:val="00C66947"/>
    <w:rsid w:val="00C703D4"/>
    <w:rsid w:val="00C7096C"/>
    <w:rsid w:val="00C70A83"/>
    <w:rsid w:val="00C725E7"/>
    <w:rsid w:val="00C726AA"/>
    <w:rsid w:val="00C72F05"/>
    <w:rsid w:val="00C732DD"/>
    <w:rsid w:val="00C73BEF"/>
    <w:rsid w:val="00C74BBA"/>
    <w:rsid w:val="00C74EB7"/>
    <w:rsid w:val="00C7512A"/>
    <w:rsid w:val="00C761B3"/>
    <w:rsid w:val="00C80F0D"/>
    <w:rsid w:val="00C8222D"/>
    <w:rsid w:val="00C83322"/>
    <w:rsid w:val="00C835B2"/>
    <w:rsid w:val="00C83E94"/>
    <w:rsid w:val="00C85AC8"/>
    <w:rsid w:val="00C87D85"/>
    <w:rsid w:val="00C87EFC"/>
    <w:rsid w:val="00C90593"/>
    <w:rsid w:val="00C90ACF"/>
    <w:rsid w:val="00C90C12"/>
    <w:rsid w:val="00C92ED9"/>
    <w:rsid w:val="00C9350F"/>
    <w:rsid w:val="00C937E3"/>
    <w:rsid w:val="00C938A2"/>
    <w:rsid w:val="00C94BED"/>
    <w:rsid w:val="00C97992"/>
    <w:rsid w:val="00C97B34"/>
    <w:rsid w:val="00CA1241"/>
    <w:rsid w:val="00CA18F8"/>
    <w:rsid w:val="00CA1941"/>
    <w:rsid w:val="00CA3753"/>
    <w:rsid w:val="00CA3D9A"/>
    <w:rsid w:val="00CB10E5"/>
    <w:rsid w:val="00CB1D32"/>
    <w:rsid w:val="00CB40EE"/>
    <w:rsid w:val="00CB4F00"/>
    <w:rsid w:val="00CB5CC4"/>
    <w:rsid w:val="00CC0E6A"/>
    <w:rsid w:val="00CC3E39"/>
    <w:rsid w:val="00CC4171"/>
    <w:rsid w:val="00CC4385"/>
    <w:rsid w:val="00CC49A2"/>
    <w:rsid w:val="00CC57DC"/>
    <w:rsid w:val="00CC6783"/>
    <w:rsid w:val="00CC6AD3"/>
    <w:rsid w:val="00CC734B"/>
    <w:rsid w:val="00CD1811"/>
    <w:rsid w:val="00CD2E7B"/>
    <w:rsid w:val="00CD4639"/>
    <w:rsid w:val="00CD5F76"/>
    <w:rsid w:val="00CD6411"/>
    <w:rsid w:val="00CE24C9"/>
    <w:rsid w:val="00CE27BF"/>
    <w:rsid w:val="00CE2C06"/>
    <w:rsid w:val="00CE3E7C"/>
    <w:rsid w:val="00CE5779"/>
    <w:rsid w:val="00CE653A"/>
    <w:rsid w:val="00CF2663"/>
    <w:rsid w:val="00CF35FC"/>
    <w:rsid w:val="00CF53C8"/>
    <w:rsid w:val="00CF5F66"/>
    <w:rsid w:val="00CF635C"/>
    <w:rsid w:val="00CF63CB"/>
    <w:rsid w:val="00CF7A15"/>
    <w:rsid w:val="00D00275"/>
    <w:rsid w:val="00D00B99"/>
    <w:rsid w:val="00D0129A"/>
    <w:rsid w:val="00D033AB"/>
    <w:rsid w:val="00D0410B"/>
    <w:rsid w:val="00D0422F"/>
    <w:rsid w:val="00D046A8"/>
    <w:rsid w:val="00D05BB8"/>
    <w:rsid w:val="00D05C61"/>
    <w:rsid w:val="00D06776"/>
    <w:rsid w:val="00D06A85"/>
    <w:rsid w:val="00D13369"/>
    <w:rsid w:val="00D13F17"/>
    <w:rsid w:val="00D14053"/>
    <w:rsid w:val="00D14D46"/>
    <w:rsid w:val="00D15180"/>
    <w:rsid w:val="00D1518A"/>
    <w:rsid w:val="00D155F5"/>
    <w:rsid w:val="00D15664"/>
    <w:rsid w:val="00D160F1"/>
    <w:rsid w:val="00D16179"/>
    <w:rsid w:val="00D16D76"/>
    <w:rsid w:val="00D17D86"/>
    <w:rsid w:val="00D215F3"/>
    <w:rsid w:val="00D2288D"/>
    <w:rsid w:val="00D229C6"/>
    <w:rsid w:val="00D23740"/>
    <w:rsid w:val="00D238B9"/>
    <w:rsid w:val="00D27CCC"/>
    <w:rsid w:val="00D3020E"/>
    <w:rsid w:val="00D32E3B"/>
    <w:rsid w:val="00D33B62"/>
    <w:rsid w:val="00D341AA"/>
    <w:rsid w:val="00D345E7"/>
    <w:rsid w:val="00D350C8"/>
    <w:rsid w:val="00D354D8"/>
    <w:rsid w:val="00D40A15"/>
    <w:rsid w:val="00D40BA4"/>
    <w:rsid w:val="00D4141E"/>
    <w:rsid w:val="00D416D2"/>
    <w:rsid w:val="00D4227C"/>
    <w:rsid w:val="00D4404D"/>
    <w:rsid w:val="00D468AB"/>
    <w:rsid w:val="00D502B8"/>
    <w:rsid w:val="00D504C3"/>
    <w:rsid w:val="00D508CE"/>
    <w:rsid w:val="00D51474"/>
    <w:rsid w:val="00D538D3"/>
    <w:rsid w:val="00D56136"/>
    <w:rsid w:val="00D56D1A"/>
    <w:rsid w:val="00D601FC"/>
    <w:rsid w:val="00D606E2"/>
    <w:rsid w:val="00D61533"/>
    <w:rsid w:val="00D62387"/>
    <w:rsid w:val="00D62A5F"/>
    <w:rsid w:val="00D64CA3"/>
    <w:rsid w:val="00D668D4"/>
    <w:rsid w:val="00D67A5D"/>
    <w:rsid w:val="00D67BBB"/>
    <w:rsid w:val="00D67C7B"/>
    <w:rsid w:val="00D71342"/>
    <w:rsid w:val="00D72920"/>
    <w:rsid w:val="00D73B1E"/>
    <w:rsid w:val="00D7472A"/>
    <w:rsid w:val="00D74A5E"/>
    <w:rsid w:val="00D80E32"/>
    <w:rsid w:val="00D81307"/>
    <w:rsid w:val="00D81CB1"/>
    <w:rsid w:val="00D82C94"/>
    <w:rsid w:val="00D830A4"/>
    <w:rsid w:val="00D83969"/>
    <w:rsid w:val="00D84D1C"/>
    <w:rsid w:val="00D86311"/>
    <w:rsid w:val="00D87BF1"/>
    <w:rsid w:val="00D90188"/>
    <w:rsid w:val="00D90FB6"/>
    <w:rsid w:val="00D92D5B"/>
    <w:rsid w:val="00D93206"/>
    <w:rsid w:val="00D95007"/>
    <w:rsid w:val="00D95EAB"/>
    <w:rsid w:val="00D96879"/>
    <w:rsid w:val="00D97E9B"/>
    <w:rsid w:val="00D97EA9"/>
    <w:rsid w:val="00DA0BA0"/>
    <w:rsid w:val="00DA21B4"/>
    <w:rsid w:val="00DA6571"/>
    <w:rsid w:val="00DB0D67"/>
    <w:rsid w:val="00DB2CC6"/>
    <w:rsid w:val="00DB4472"/>
    <w:rsid w:val="00DB4A7C"/>
    <w:rsid w:val="00DB4B5E"/>
    <w:rsid w:val="00DB564E"/>
    <w:rsid w:val="00DB69D2"/>
    <w:rsid w:val="00DB6DF3"/>
    <w:rsid w:val="00DB73A9"/>
    <w:rsid w:val="00DC21B2"/>
    <w:rsid w:val="00DC27C5"/>
    <w:rsid w:val="00DC5081"/>
    <w:rsid w:val="00DC543D"/>
    <w:rsid w:val="00DC7A11"/>
    <w:rsid w:val="00DC7ED7"/>
    <w:rsid w:val="00DC7FAC"/>
    <w:rsid w:val="00DD0491"/>
    <w:rsid w:val="00DD05C4"/>
    <w:rsid w:val="00DD05FE"/>
    <w:rsid w:val="00DD07C9"/>
    <w:rsid w:val="00DD0A86"/>
    <w:rsid w:val="00DD0C2E"/>
    <w:rsid w:val="00DD198E"/>
    <w:rsid w:val="00DD3CE5"/>
    <w:rsid w:val="00DD4A63"/>
    <w:rsid w:val="00DD5011"/>
    <w:rsid w:val="00DD64AF"/>
    <w:rsid w:val="00DD6AE4"/>
    <w:rsid w:val="00DD6D5D"/>
    <w:rsid w:val="00DD7879"/>
    <w:rsid w:val="00DD7D2B"/>
    <w:rsid w:val="00DE1B14"/>
    <w:rsid w:val="00DE25EF"/>
    <w:rsid w:val="00DE4C44"/>
    <w:rsid w:val="00DE4F63"/>
    <w:rsid w:val="00DE59B3"/>
    <w:rsid w:val="00DE6866"/>
    <w:rsid w:val="00DF2441"/>
    <w:rsid w:val="00DF29AB"/>
    <w:rsid w:val="00DF2ED9"/>
    <w:rsid w:val="00DF3D79"/>
    <w:rsid w:val="00DF4971"/>
    <w:rsid w:val="00DF76D7"/>
    <w:rsid w:val="00DF776E"/>
    <w:rsid w:val="00DF7C95"/>
    <w:rsid w:val="00E01B2D"/>
    <w:rsid w:val="00E03C2F"/>
    <w:rsid w:val="00E04459"/>
    <w:rsid w:val="00E0490E"/>
    <w:rsid w:val="00E06D7D"/>
    <w:rsid w:val="00E07AE2"/>
    <w:rsid w:val="00E1002C"/>
    <w:rsid w:val="00E112B9"/>
    <w:rsid w:val="00E1288A"/>
    <w:rsid w:val="00E12B0C"/>
    <w:rsid w:val="00E12CA4"/>
    <w:rsid w:val="00E165E5"/>
    <w:rsid w:val="00E16BDF"/>
    <w:rsid w:val="00E17510"/>
    <w:rsid w:val="00E17B8F"/>
    <w:rsid w:val="00E209D8"/>
    <w:rsid w:val="00E2126D"/>
    <w:rsid w:val="00E21B91"/>
    <w:rsid w:val="00E21BCC"/>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7A"/>
    <w:rsid w:val="00E435F2"/>
    <w:rsid w:val="00E44AB4"/>
    <w:rsid w:val="00E44B09"/>
    <w:rsid w:val="00E44C79"/>
    <w:rsid w:val="00E45BEF"/>
    <w:rsid w:val="00E46012"/>
    <w:rsid w:val="00E50405"/>
    <w:rsid w:val="00E51A34"/>
    <w:rsid w:val="00E53230"/>
    <w:rsid w:val="00E53332"/>
    <w:rsid w:val="00E5375C"/>
    <w:rsid w:val="00E53AE5"/>
    <w:rsid w:val="00E54FA7"/>
    <w:rsid w:val="00E55EF4"/>
    <w:rsid w:val="00E568E7"/>
    <w:rsid w:val="00E56BD5"/>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827"/>
    <w:rsid w:val="00E70DF7"/>
    <w:rsid w:val="00E71C7E"/>
    <w:rsid w:val="00E752BD"/>
    <w:rsid w:val="00E75D87"/>
    <w:rsid w:val="00E80D97"/>
    <w:rsid w:val="00E81A13"/>
    <w:rsid w:val="00E82F78"/>
    <w:rsid w:val="00E83647"/>
    <w:rsid w:val="00E83C53"/>
    <w:rsid w:val="00E83F3B"/>
    <w:rsid w:val="00E84AF3"/>
    <w:rsid w:val="00E850CE"/>
    <w:rsid w:val="00E850FE"/>
    <w:rsid w:val="00E855C2"/>
    <w:rsid w:val="00E918FA"/>
    <w:rsid w:val="00E94287"/>
    <w:rsid w:val="00E9483D"/>
    <w:rsid w:val="00E9527E"/>
    <w:rsid w:val="00E97693"/>
    <w:rsid w:val="00E97DE3"/>
    <w:rsid w:val="00EA005D"/>
    <w:rsid w:val="00EA0FAF"/>
    <w:rsid w:val="00EA33A4"/>
    <w:rsid w:val="00EA3B47"/>
    <w:rsid w:val="00EA45D8"/>
    <w:rsid w:val="00EA5C24"/>
    <w:rsid w:val="00EA5F81"/>
    <w:rsid w:val="00EA6E1D"/>
    <w:rsid w:val="00EA7B88"/>
    <w:rsid w:val="00EB44EE"/>
    <w:rsid w:val="00EB509D"/>
    <w:rsid w:val="00EB6E7A"/>
    <w:rsid w:val="00EC13B7"/>
    <w:rsid w:val="00EC1BD8"/>
    <w:rsid w:val="00EC2AB1"/>
    <w:rsid w:val="00EC423F"/>
    <w:rsid w:val="00EC63E2"/>
    <w:rsid w:val="00EC69E1"/>
    <w:rsid w:val="00EC6D2D"/>
    <w:rsid w:val="00EC713A"/>
    <w:rsid w:val="00ED0F60"/>
    <w:rsid w:val="00ED2941"/>
    <w:rsid w:val="00ED65ED"/>
    <w:rsid w:val="00EE25F5"/>
    <w:rsid w:val="00EE278E"/>
    <w:rsid w:val="00EE3AEB"/>
    <w:rsid w:val="00EE4363"/>
    <w:rsid w:val="00EE5CC0"/>
    <w:rsid w:val="00EE5E88"/>
    <w:rsid w:val="00EE74E4"/>
    <w:rsid w:val="00EF0FE0"/>
    <w:rsid w:val="00EF1FF3"/>
    <w:rsid w:val="00EF2BED"/>
    <w:rsid w:val="00EF5987"/>
    <w:rsid w:val="00EF64A8"/>
    <w:rsid w:val="00EF65C5"/>
    <w:rsid w:val="00F01448"/>
    <w:rsid w:val="00F01EBA"/>
    <w:rsid w:val="00F024B3"/>
    <w:rsid w:val="00F046C3"/>
    <w:rsid w:val="00F04B25"/>
    <w:rsid w:val="00F04D10"/>
    <w:rsid w:val="00F051B3"/>
    <w:rsid w:val="00F06136"/>
    <w:rsid w:val="00F06C78"/>
    <w:rsid w:val="00F1063D"/>
    <w:rsid w:val="00F11602"/>
    <w:rsid w:val="00F139A5"/>
    <w:rsid w:val="00F13AE7"/>
    <w:rsid w:val="00F1658B"/>
    <w:rsid w:val="00F215A9"/>
    <w:rsid w:val="00F21A6E"/>
    <w:rsid w:val="00F21F42"/>
    <w:rsid w:val="00F226CE"/>
    <w:rsid w:val="00F23BB1"/>
    <w:rsid w:val="00F24CCC"/>
    <w:rsid w:val="00F25C93"/>
    <w:rsid w:val="00F27DB8"/>
    <w:rsid w:val="00F3080D"/>
    <w:rsid w:val="00F31ACB"/>
    <w:rsid w:val="00F327D7"/>
    <w:rsid w:val="00F327DB"/>
    <w:rsid w:val="00F32D1A"/>
    <w:rsid w:val="00F32EE8"/>
    <w:rsid w:val="00F33BFD"/>
    <w:rsid w:val="00F36F50"/>
    <w:rsid w:val="00F400A9"/>
    <w:rsid w:val="00F410EA"/>
    <w:rsid w:val="00F413C3"/>
    <w:rsid w:val="00F42FBF"/>
    <w:rsid w:val="00F43CDE"/>
    <w:rsid w:val="00F44F7C"/>
    <w:rsid w:val="00F4567B"/>
    <w:rsid w:val="00F47577"/>
    <w:rsid w:val="00F513F7"/>
    <w:rsid w:val="00F5237A"/>
    <w:rsid w:val="00F5294A"/>
    <w:rsid w:val="00F52DC5"/>
    <w:rsid w:val="00F533AD"/>
    <w:rsid w:val="00F533C5"/>
    <w:rsid w:val="00F534B9"/>
    <w:rsid w:val="00F5728B"/>
    <w:rsid w:val="00F600F8"/>
    <w:rsid w:val="00F61B63"/>
    <w:rsid w:val="00F61E0A"/>
    <w:rsid w:val="00F62030"/>
    <w:rsid w:val="00F6430A"/>
    <w:rsid w:val="00F671B2"/>
    <w:rsid w:val="00F672FE"/>
    <w:rsid w:val="00F673C4"/>
    <w:rsid w:val="00F7022D"/>
    <w:rsid w:val="00F70B79"/>
    <w:rsid w:val="00F70FF1"/>
    <w:rsid w:val="00F70FFA"/>
    <w:rsid w:val="00F71A9C"/>
    <w:rsid w:val="00F728F6"/>
    <w:rsid w:val="00F73B1E"/>
    <w:rsid w:val="00F74BB3"/>
    <w:rsid w:val="00F75B41"/>
    <w:rsid w:val="00F75E35"/>
    <w:rsid w:val="00F76EFE"/>
    <w:rsid w:val="00F77554"/>
    <w:rsid w:val="00F8102D"/>
    <w:rsid w:val="00F81B41"/>
    <w:rsid w:val="00F82F52"/>
    <w:rsid w:val="00F831AE"/>
    <w:rsid w:val="00F83F52"/>
    <w:rsid w:val="00F84C0F"/>
    <w:rsid w:val="00F852B3"/>
    <w:rsid w:val="00F86641"/>
    <w:rsid w:val="00F86CE7"/>
    <w:rsid w:val="00F86EB4"/>
    <w:rsid w:val="00F86ED1"/>
    <w:rsid w:val="00F87711"/>
    <w:rsid w:val="00F87901"/>
    <w:rsid w:val="00F90E75"/>
    <w:rsid w:val="00F91116"/>
    <w:rsid w:val="00F91945"/>
    <w:rsid w:val="00F91FCF"/>
    <w:rsid w:val="00F92923"/>
    <w:rsid w:val="00F93161"/>
    <w:rsid w:val="00F93A92"/>
    <w:rsid w:val="00F955CF"/>
    <w:rsid w:val="00F9673A"/>
    <w:rsid w:val="00F97A2D"/>
    <w:rsid w:val="00FA0840"/>
    <w:rsid w:val="00FA08A4"/>
    <w:rsid w:val="00FA0AD4"/>
    <w:rsid w:val="00FA27F5"/>
    <w:rsid w:val="00FA2E43"/>
    <w:rsid w:val="00FA63F1"/>
    <w:rsid w:val="00FA65B3"/>
    <w:rsid w:val="00FA681F"/>
    <w:rsid w:val="00FA773F"/>
    <w:rsid w:val="00FA799B"/>
    <w:rsid w:val="00FA7B89"/>
    <w:rsid w:val="00FB19F4"/>
    <w:rsid w:val="00FB1F36"/>
    <w:rsid w:val="00FB4732"/>
    <w:rsid w:val="00FB5355"/>
    <w:rsid w:val="00FB5CC0"/>
    <w:rsid w:val="00FB6FED"/>
    <w:rsid w:val="00FB72FC"/>
    <w:rsid w:val="00FB7F26"/>
    <w:rsid w:val="00FC0B2C"/>
    <w:rsid w:val="00FC3325"/>
    <w:rsid w:val="00FC4239"/>
    <w:rsid w:val="00FC45F0"/>
    <w:rsid w:val="00FC4F4E"/>
    <w:rsid w:val="00FC5610"/>
    <w:rsid w:val="00FD126B"/>
    <w:rsid w:val="00FD183E"/>
    <w:rsid w:val="00FD1A59"/>
    <w:rsid w:val="00FD1EF9"/>
    <w:rsid w:val="00FD3802"/>
    <w:rsid w:val="00FD5829"/>
    <w:rsid w:val="00FD5998"/>
    <w:rsid w:val="00FD5BD5"/>
    <w:rsid w:val="00FD6793"/>
    <w:rsid w:val="00FD7243"/>
    <w:rsid w:val="00FD75DA"/>
    <w:rsid w:val="00FD7DA4"/>
    <w:rsid w:val="00FD7E01"/>
    <w:rsid w:val="00FE16FC"/>
    <w:rsid w:val="00FE21A5"/>
    <w:rsid w:val="00FE2B7E"/>
    <w:rsid w:val="00FE33DE"/>
    <w:rsid w:val="00FE57C9"/>
    <w:rsid w:val="00FE64BB"/>
    <w:rsid w:val="00FE7485"/>
    <w:rsid w:val="00FF0753"/>
    <w:rsid w:val="00FF15DA"/>
    <w:rsid w:val="00FF1B46"/>
    <w:rsid w:val="00FF2067"/>
    <w:rsid w:val="00FF27A9"/>
    <w:rsid w:val="00FF3A9F"/>
    <w:rsid w:val="00FF3F13"/>
    <w:rsid w:val="00FF5603"/>
    <w:rsid w:val="00FF573B"/>
    <w:rsid w:val="00FF5A93"/>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efaultImageDpi w14:val="9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fr-FR"/>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semiHidden="1" w:unhideWhenUsed="1" w:qFormat="1"/>
    <w:lsdException w:name="footnote reference" w:locked="1" w:qFormat="1"/>
    <w:lsdException w:name="Title" w:locked="1" w:qFormat="1"/>
    <w:lsdException w:name="Default Paragraph Font" w:locked="1" w:uiPriority="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1F42"/>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F21F42"/>
    <w:pPr>
      <w:numPr>
        <w:numId w:val="1"/>
      </w:numPr>
      <w:ind w:left="567" w:hanging="567"/>
      <w:outlineLvl w:val="0"/>
    </w:pPr>
    <w:rPr>
      <w:kern w:val="28"/>
    </w:rPr>
  </w:style>
  <w:style w:type="paragraph" w:styleId="Heading2">
    <w:name w:val="heading 2"/>
    <w:aliases w:val=" Char"/>
    <w:basedOn w:val="Normal"/>
    <w:next w:val="Normal"/>
    <w:link w:val="Heading2Char"/>
    <w:qFormat/>
    <w:rsid w:val="00F21F42"/>
    <w:pPr>
      <w:numPr>
        <w:ilvl w:val="1"/>
        <w:numId w:val="1"/>
      </w:numPr>
      <w:outlineLvl w:val="1"/>
    </w:pPr>
  </w:style>
  <w:style w:type="paragraph" w:styleId="Heading3">
    <w:name w:val="heading 3"/>
    <w:basedOn w:val="Normal"/>
    <w:next w:val="Normal"/>
    <w:link w:val="Heading3Char"/>
    <w:qFormat/>
    <w:rsid w:val="00F21F42"/>
    <w:pPr>
      <w:numPr>
        <w:ilvl w:val="2"/>
        <w:numId w:val="1"/>
      </w:numPr>
      <w:ind w:left="567" w:hanging="567"/>
      <w:outlineLvl w:val="2"/>
    </w:pPr>
  </w:style>
  <w:style w:type="paragraph" w:styleId="Heading4">
    <w:name w:val="heading 4"/>
    <w:basedOn w:val="Normal"/>
    <w:next w:val="Normal"/>
    <w:link w:val="Heading4Char"/>
    <w:qFormat/>
    <w:rsid w:val="00F21F42"/>
    <w:pPr>
      <w:numPr>
        <w:ilvl w:val="3"/>
        <w:numId w:val="1"/>
      </w:numPr>
      <w:ind w:left="567" w:hanging="567"/>
      <w:outlineLvl w:val="3"/>
    </w:pPr>
  </w:style>
  <w:style w:type="paragraph" w:styleId="Heading5">
    <w:name w:val="heading 5"/>
    <w:basedOn w:val="Normal"/>
    <w:next w:val="Normal"/>
    <w:link w:val="Heading5Char"/>
    <w:qFormat/>
    <w:rsid w:val="00F21F42"/>
    <w:pPr>
      <w:numPr>
        <w:ilvl w:val="4"/>
        <w:numId w:val="1"/>
      </w:numPr>
      <w:ind w:left="567" w:hanging="567"/>
      <w:outlineLvl w:val="4"/>
    </w:pPr>
  </w:style>
  <w:style w:type="paragraph" w:styleId="Heading6">
    <w:name w:val="heading 6"/>
    <w:basedOn w:val="Normal"/>
    <w:next w:val="Normal"/>
    <w:link w:val="Heading6Char"/>
    <w:qFormat/>
    <w:rsid w:val="00F21F42"/>
    <w:pPr>
      <w:numPr>
        <w:ilvl w:val="5"/>
        <w:numId w:val="1"/>
      </w:numPr>
      <w:ind w:left="567" w:hanging="567"/>
      <w:outlineLvl w:val="5"/>
    </w:pPr>
  </w:style>
  <w:style w:type="paragraph" w:styleId="Heading7">
    <w:name w:val="heading 7"/>
    <w:basedOn w:val="Normal"/>
    <w:next w:val="Normal"/>
    <w:link w:val="Heading7Char"/>
    <w:qFormat/>
    <w:rsid w:val="00F21F42"/>
    <w:pPr>
      <w:numPr>
        <w:ilvl w:val="6"/>
        <w:numId w:val="1"/>
      </w:numPr>
      <w:ind w:left="567" w:hanging="567"/>
      <w:outlineLvl w:val="6"/>
    </w:pPr>
  </w:style>
  <w:style w:type="paragraph" w:styleId="Heading8">
    <w:name w:val="heading 8"/>
    <w:basedOn w:val="Normal"/>
    <w:next w:val="Normal"/>
    <w:link w:val="Heading8Char"/>
    <w:qFormat/>
    <w:rsid w:val="00F21F42"/>
    <w:pPr>
      <w:numPr>
        <w:ilvl w:val="7"/>
        <w:numId w:val="1"/>
      </w:numPr>
      <w:ind w:left="567" w:hanging="567"/>
      <w:outlineLvl w:val="7"/>
    </w:pPr>
  </w:style>
  <w:style w:type="paragraph" w:styleId="Heading9">
    <w:name w:val="heading 9"/>
    <w:basedOn w:val="Normal"/>
    <w:next w:val="Normal"/>
    <w:link w:val="Heading9Char"/>
    <w:qFormat/>
    <w:rsid w:val="00F21F42"/>
    <w:pPr>
      <w:numPr>
        <w:ilvl w:val="8"/>
        <w:numId w:val="1"/>
      </w:numPr>
      <w:ind w:left="567" w:hanging="567"/>
      <w:outlineLvl w:val="8"/>
    </w:pPr>
  </w:style>
  <w:style w:type="character" w:default="1" w:styleId="DefaultParagraphFont">
    <w:name w:val="Default Paragraph Font"/>
    <w:uiPriority w:val="1"/>
    <w:semiHidden/>
    <w:unhideWhenUsed/>
    <w:rsid w:val="00F21F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1F42"/>
  </w:style>
  <w:style w:type="character" w:customStyle="1" w:styleId="Heading1Char">
    <w:name w:val="Heading 1 Char"/>
    <w:basedOn w:val="DefaultParagraphFont"/>
    <w:link w:val="Heading1"/>
    <w:locked/>
    <w:rsid w:val="003B283B"/>
    <w:rPr>
      <w:rFonts w:ascii="Times New Roman" w:hAnsi="Times New Roman"/>
      <w:kern w:val="28"/>
      <w:sz w:val="22"/>
      <w:szCs w:val="22"/>
      <w:lang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eastAsia="en-US" w:bidi="ar-SA"/>
    </w:rPr>
  </w:style>
  <w:style w:type="paragraph" w:styleId="FootnoteText">
    <w:name w:val="footnote text"/>
    <w:basedOn w:val="Normal"/>
    <w:link w:val="FootnoteTextChar"/>
    <w:qFormat/>
    <w:rsid w:val="00F21F42"/>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en-US" w:eastAsia="en-US" w:bidi="ar-SA"/>
    </w:rPr>
  </w:style>
  <w:style w:type="paragraph" w:styleId="Header">
    <w:name w:val="header"/>
    <w:basedOn w:val="Normal"/>
    <w:link w:val="HeaderChar"/>
    <w:qFormat/>
    <w:rsid w:val="00F21F42"/>
  </w:style>
  <w:style w:type="character" w:customStyle="1" w:styleId="HeaderChar">
    <w:name w:val="Header Char"/>
    <w:basedOn w:val="DefaultParagraphFont"/>
    <w:link w:val="Header"/>
    <w:locked/>
    <w:rsid w:val="003B283B"/>
    <w:rPr>
      <w:rFonts w:ascii="Times New Roman" w:hAnsi="Times New Roman"/>
      <w:sz w:val="22"/>
      <w:szCs w:val="22"/>
      <w:lang w:val="en-US"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15D2"/>
    <w:rPr>
      <w:rFonts w:ascii="Tahoma" w:hAnsi="Tahoma" w:cs="Tahoma"/>
      <w:sz w:val="16"/>
      <w:szCs w:val="16"/>
      <w:lang w:val="fr-FR" w:eastAsia="fr-FR" w:bidi="fr-FR"/>
    </w:rPr>
  </w:style>
  <w:style w:type="paragraph" w:styleId="Footer">
    <w:name w:val="footer"/>
    <w:basedOn w:val="Normal"/>
    <w:link w:val="FooterChar"/>
    <w:qFormat/>
    <w:locked/>
    <w:rsid w:val="00F21F42"/>
  </w:style>
  <w:style w:type="character" w:customStyle="1" w:styleId="FooterChar">
    <w:name w:val="Footer Char"/>
    <w:basedOn w:val="DefaultParagraphFont"/>
    <w:link w:val="Footer"/>
    <w:rsid w:val="0036522E"/>
    <w:rPr>
      <w:rFonts w:ascii="Times New Roman" w:hAnsi="Times New Roman"/>
      <w:sz w:val="22"/>
      <w:szCs w:val="22"/>
      <w:lang w:val="en-US"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F21F42"/>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ind w:left="720"/>
      <w:contextualSpacing/>
    </w:pPr>
  </w:style>
  <w:style w:type="paragraph" w:customStyle="1" w:styleId="Bullet0">
    <w:name w:val="Bullet 0"/>
    <w:basedOn w:val="Normal"/>
    <w:rsid w:val="00BA72BD"/>
    <w:pPr>
      <w:tabs>
        <w:tab w:val="num" w:pos="850"/>
      </w:tabs>
      <w:spacing w:before="120" w:after="120" w:line="240" w:lineRule="auto"/>
      <w:ind w:left="850" w:hanging="850"/>
    </w:pPr>
    <w:rPr>
      <w:snapToGrid w:val="0"/>
      <w:sz w:val="24"/>
      <w:szCs w:val="24"/>
    </w:rPr>
  </w:style>
  <w:style w:type="paragraph" w:customStyle="1" w:styleId="ListHeader">
    <w:name w:val="List Header"/>
    <w:uiPriority w:val="99"/>
    <w:rsid w:val="00DD0A86"/>
    <w:pPr>
      <w:widowControl w:val="0"/>
      <w:autoSpaceDE w:val="0"/>
      <w:autoSpaceDN w:val="0"/>
      <w:adjustRightInd w:val="0"/>
    </w:pPr>
    <w:rPr>
      <w:rFonts w:ascii="Arial" w:eastAsiaTheme="minorEastAsia" w:hAnsi="Arial" w:cs="Arial"/>
      <w:b/>
      <w:bCs/>
      <w:color w:val="404040"/>
    </w:rPr>
  </w:style>
  <w:style w:type="paragraph" w:customStyle="1" w:styleId="ListData">
    <w:name w:val="List Data"/>
    <w:uiPriority w:val="99"/>
    <w:rsid w:val="00DD0A86"/>
    <w:pPr>
      <w:widowControl w:val="0"/>
      <w:autoSpaceDE w:val="0"/>
      <w:autoSpaceDN w:val="0"/>
      <w:adjustRightInd w:val="0"/>
    </w:pPr>
    <w:rPr>
      <w:rFonts w:ascii="Arial" w:eastAsiaTheme="minorEastAsia" w:hAnsi="Arial" w:cs="Arial"/>
      <w:color w:val="000000"/>
      <w:sz w:val="18"/>
      <w:szCs w:val="18"/>
    </w:rPr>
  </w:style>
  <w:style w:type="paragraph" w:customStyle="1" w:styleId="ListParagraph1">
    <w:name w:val="List Paragraph1"/>
    <w:basedOn w:val="Normal"/>
    <w:uiPriority w:val="34"/>
    <w:qFormat/>
    <w:rsid w:val="00234CD4"/>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F21F42"/>
    <w:pPr>
      <w:ind w:left="72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fr-FR"/>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semiHidden="1" w:unhideWhenUsed="1" w:qFormat="1"/>
    <w:lsdException w:name="footnote reference" w:locked="1" w:qFormat="1"/>
    <w:lsdException w:name="Title" w:locked="1" w:qFormat="1"/>
    <w:lsdException w:name="Default Paragraph Font" w:locked="1" w:uiPriority="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1F42"/>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F21F42"/>
    <w:pPr>
      <w:numPr>
        <w:numId w:val="1"/>
      </w:numPr>
      <w:ind w:left="567" w:hanging="567"/>
      <w:outlineLvl w:val="0"/>
    </w:pPr>
    <w:rPr>
      <w:kern w:val="28"/>
    </w:rPr>
  </w:style>
  <w:style w:type="paragraph" w:styleId="Heading2">
    <w:name w:val="heading 2"/>
    <w:aliases w:val=" Char"/>
    <w:basedOn w:val="Normal"/>
    <w:next w:val="Normal"/>
    <w:link w:val="Heading2Char"/>
    <w:qFormat/>
    <w:rsid w:val="00F21F42"/>
    <w:pPr>
      <w:numPr>
        <w:ilvl w:val="1"/>
        <w:numId w:val="1"/>
      </w:numPr>
      <w:outlineLvl w:val="1"/>
    </w:pPr>
  </w:style>
  <w:style w:type="paragraph" w:styleId="Heading3">
    <w:name w:val="heading 3"/>
    <w:basedOn w:val="Normal"/>
    <w:next w:val="Normal"/>
    <w:link w:val="Heading3Char"/>
    <w:qFormat/>
    <w:rsid w:val="00F21F42"/>
    <w:pPr>
      <w:numPr>
        <w:ilvl w:val="2"/>
        <w:numId w:val="1"/>
      </w:numPr>
      <w:ind w:left="567" w:hanging="567"/>
      <w:outlineLvl w:val="2"/>
    </w:pPr>
  </w:style>
  <w:style w:type="paragraph" w:styleId="Heading4">
    <w:name w:val="heading 4"/>
    <w:basedOn w:val="Normal"/>
    <w:next w:val="Normal"/>
    <w:link w:val="Heading4Char"/>
    <w:qFormat/>
    <w:rsid w:val="00F21F42"/>
    <w:pPr>
      <w:numPr>
        <w:ilvl w:val="3"/>
        <w:numId w:val="1"/>
      </w:numPr>
      <w:ind w:left="567" w:hanging="567"/>
      <w:outlineLvl w:val="3"/>
    </w:pPr>
  </w:style>
  <w:style w:type="paragraph" w:styleId="Heading5">
    <w:name w:val="heading 5"/>
    <w:basedOn w:val="Normal"/>
    <w:next w:val="Normal"/>
    <w:link w:val="Heading5Char"/>
    <w:qFormat/>
    <w:rsid w:val="00F21F42"/>
    <w:pPr>
      <w:numPr>
        <w:ilvl w:val="4"/>
        <w:numId w:val="1"/>
      </w:numPr>
      <w:ind w:left="567" w:hanging="567"/>
      <w:outlineLvl w:val="4"/>
    </w:pPr>
  </w:style>
  <w:style w:type="paragraph" w:styleId="Heading6">
    <w:name w:val="heading 6"/>
    <w:basedOn w:val="Normal"/>
    <w:next w:val="Normal"/>
    <w:link w:val="Heading6Char"/>
    <w:qFormat/>
    <w:rsid w:val="00F21F42"/>
    <w:pPr>
      <w:numPr>
        <w:ilvl w:val="5"/>
        <w:numId w:val="1"/>
      </w:numPr>
      <w:ind w:left="567" w:hanging="567"/>
      <w:outlineLvl w:val="5"/>
    </w:pPr>
  </w:style>
  <w:style w:type="paragraph" w:styleId="Heading7">
    <w:name w:val="heading 7"/>
    <w:basedOn w:val="Normal"/>
    <w:next w:val="Normal"/>
    <w:link w:val="Heading7Char"/>
    <w:qFormat/>
    <w:rsid w:val="00F21F42"/>
    <w:pPr>
      <w:numPr>
        <w:ilvl w:val="6"/>
        <w:numId w:val="1"/>
      </w:numPr>
      <w:ind w:left="567" w:hanging="567"/>
      <w:outlineLvl w:val="6"/>
    </w:pPr>
  </w:style>
  <w:style w:type="paragraph" w:styleId="Heading8">
    <w:name w:val="heading 8"/>
    <w:basedOn w:val="Normal"/>
    <w:next w:val="Normal"/>
    <w:link w:val="Heading8Char"/>
    <w:qFormat/>
    <w:rsid w:val="00F21F42"/>
    <w:pPr>
      <w:numPr>
        <w:ilvl w:val="7"/>
        <w:numId w:val="1"/>
      </w:numPr>
      <w:ind w:left="567" w:hanging="567"/>
      <w:outlineLvl w:val="7"/>
    </w:pPr>
  </w:style>
  <w:style w:type="paragraph" w:styleId="Heading9">
    <w:name w:val="heading 9"/>
    <w:basedOn w:val="Normal"/>
    <w:next w:val="Normal"/>
    <w:link w:val="Heading9Char"/>
    <w:qFormat/>
    <w:rsid w:val="00F21F42"/>
    <w:pPr>
      <w:numPr>
        <w:ilvl w:val="8"/>
        <w:numId w:val="1"/>
      </w:numPr>
      <w:ind w:left="567" w:hanging="567"/>
      <w:outlineLvl w:val="8"/>
    </w:pPr>
  </w:style>
  <w:style w:type="character" w:default="1" w:styleId="DefaultParagraphFont">
    <w:name w:val="Default Paragraph Font"/>
    <w:uiPriority w:val="1"/>
    <w:semiHidden/>
    <w:unhideWhenUsed/>
    <w:rsid w:val="00F21F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1F42"/>
  </w:style>
  <w:style w:type="character" w:customStyle="1" w:styleId="Heading1Char">
    <w:name w:val="Heading 1 Char"/>
    <w:basedOn w:val="DefaultParagraphFont"/>
    <w:link w:val="Heading1"/>
    <w:locked/>
    <w:rsid w:val="003B283B"/>
    <w:rPr>
      <w:rFonts w:ascii="Times New Roman" w:hAnsi="Times New Roman"/>
      <w:kern w:val="28"/>
      <w:sz w:val="22"/>
      <w:szCs w:val="22"/>
      <w:lang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eastAsia="en-US" w:bidi="ar-SA"/>
    </w:rPr>
  </w:style>
  <w:style w:type="paragraph" w:styleId="FootnoteText">
    <w:name w:val="footnote text"/>
    <w:basedOn w:val="Normal"/>
    <w:link w:val="FootnoteTextChar"/>
    <w:qFormat/>
    <w:rsid w:val="00F21F42"/>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en-US" w:eastAsia="en-US" w:bidi="ar-SA"/>
    </w:rPr>
  </w:style>
  <w:style w:type="paragraph" w:styleId="Header">
    <w:name w:val="header"/>
    <w:basedOn w:val="Normal"/>
    <w:link w:val="HeaderChar"/>
    <w:qFormat/>
    <w:rsid w:val="00F21F42"/>
  </w:style>
  <w:style w:type="character" w:customStyle="1" w:styleId="HeaderChar">
    <w:name w:val="Header Char"/>
    <w:basedOn w:val="DefaultParagraphFont"/>
    <w:link w:val="Header"/>
    <w:locked/>
    <w:rsid w:val="003B283B"/>
    <w:rPr>
      <w:rFonts w:ascii="Times New Roman" w:hAnsi="Times New Roman"/>
      <w:sz w:val="22"/>
      <w:szCs w:val="22"/>
      <w:lang w:val="en-US"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15D2"/>
    <w:rPr>
      <w:rFonts w:ascii="Tahoma" w:hAnsi="Tahoma" w:cs="Tahoma"/>
      <w:sz w:val="16"/>
      <w:szCs w:val="16"/>
      <w:lang w:val="fr-FR" w:eastAsia="fr-FR" w:bidi="fr-FR"/>
    </w:rPr>
  </w:style>
  <w:style w:type="paragraph" w:styleId="Footer">
    <w:name w:val="footer"/>
    <w:basedOn w:val="Normal"/>
    <w:link w:val="FooterChar"/>
    <w:qFormat/>
    <w:locked/>
    <w:rsid w:val="00F21F42"/>
  </w:style>
  <w:style w:type="character" w:customStyle="1" w:styleId="FooterChar">
    <w:name w:val="Footer Char"/>
    <w:basedOn w:val="DefaultParagraphFont"/>
    <w:link w:val="Footer"/>
    <w:rsid w:val="0036522E"/>
    <w:rPr>
      <w:rFonts w:ascii="Times New Roman" w:hAnsi="Times New Roman"/>
      <w:sz w:val="22"/>
      <w:szCs w:val="22"/>
      <w:lang w:val="en-US"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F21F42"/>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
    <w:basedOn w:val="Normal"/>
    <w:uiPriority w:val="34"/>
    <w:qFormat/>
    <w:rsid w:val="008959B9"/>
    <w:pPr>
      <w:ind w:left="720"/>
      <w:contextualSpacing/>
    </w:pPr>
  </w:style>
  <w:style w:type="paragraph" w:customStyle="1" w:styleId="Bullet0">
    <w:name w:val="Bullet 0"/>
    <w:basedOn w:val="Normal"/>
    <w:rsid w:val="00BA72BD"/>
    <w:pPr>
      <w:tabs>
        <w:tab w:val="num" w:pos="850"/>
      </w:tabs>
      <w:spacing w:before="120" w:after="120" w:line="240" w:lineRule="auto"/>
      <w:ind w:left="850" w:hanging="850"/>
    </w:pPr>
    <w:rPr>
      <w:snapToGrid w:val="0"/>
      <w:sz w:val="24"/>
      <w:szCs w:val="24"/>
    </w:rPr>
  </w:style>
  <w:style w:type="paragraph" w:customStyle="1" w:styleId="ListHeader">
    <w:name w:val="List Header"/>
    <w:uiPriority w:val="99"/>
    <w:rsid w:val="00DD0A86"/>
    <w:pPr>
      <w:widowControl w:val="0"/>
      <w:autoSpaceDE w:val="0"/>
      <w:autoSpaceDN w:val="0"/>
      <w:adjustRightInd w:val="0"/>
    </w:pPr>
    <w:rPr>
      <w:rFonts w:ascii="Arial" w:eastAsiaTheme="minorEastAsia" w:hAnsi="Arial" w:cs="Arial"/>
      <w:b/>
      <w:bCs/>
      <w:color w:val="404040"/>
    </w:rPr>
  </w:style>
  <w:style w:type="paragraph" w:customStyle="1" w:styleId="ListData">
    <w:name w:val="List Data"/>
    <w:uiPriority w:val="99"/>
    <w:rsid w:val="00DD0A86"/>
    <w:pPr>
      <w:widowControl w:val="0"/>
      <w:autoSpaceDE w:val="0"/>
      <w:autoSpaceDN w:val="0"/>
      <w:adjustRightInd w:val="0"/>
    </w:pPr>
    <w:rPr>
      <w:rFonts w:ascii="Arial" w:eastAsiaTheme="minorEastAsia" w:hAnsi="Arial" w:cs="Arial"/>
      <w:color w:val="000000"/>
      <w:sz w:val="18"/>
      <w:szCs w:val="18"/>
    </w:rPr>
  </w:style>
  <w:style w:type="paragraph" w:customStyle="1" w:styleId="ListParagraph1">
    <w:name w:val="List Paragraph1"/>
    <w:basedOn w:val="Normal"/>
    <w:uiPriority w:val="34"/>
    <w:qFormat/>
    <w:rsid w:val="00234CD4"/>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F21F42"/>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mailto:Janine.Borg@eesc.europa.eu"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Arturo.Iniguez@eesc.europa.eu" TargetMode="External"/><Relationship Id="rId42"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Claudia.Drewes-Wran@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mailto:Raul.MurielCarrasco@eesc.europa.e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Kristian.Krieger@eesc.europa.e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Alice.Tetu@eesc.europa.eu" TargetMode="External"/><Relationship Id="rId32" Type="http://schemas.openxmlformats.org/officeDocument/2006/relationships/hyperlink" Target="mailto:Stella.BrozekEveraert@eesc.europa.eu" TargetMode="External"/><Relationship Id="rId37" Type="http://schemas.openxmlformats.org/officeDocument/2006/relationships/hyperlink" Target="mailto:Alain.Colbach@eesc.europa.eu"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dm.eesc.europa.eu/EESCDocumentSearch/Pages/opinionssearch.aspx" TargetMode="External"/><Relationship Id="rId23" Type="http://schemas.openxmlformats.org/officeDocument/2006/relationships/hyperlink" Target="mailto:Gerald.Klec@eesc.europa.eu" TargetMode="External"/><Relationship Id="rId28" Type="http://schemas.openxmlformats.org/officeDocument/2006/relationships/hyperlink" Target="mailto:Cedric.Cabanne@eesc.europa.eu" TargetMode="External"/><Relationship Id="rId36" Type="http://schemas.openxmlformats.org/officeDocument/2006/relationships/hyperlink" Target="mailto:Alain.Colbach@eesc.europa.eu"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Gunilla.Sandberg@eesc.europa.eu"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esc.europa.eu/fr/our-work/opinions-information-reports/plenary-session-summaries" TargetMode="External"/><Relationship Id="rId22" Type="http://schemas.openxmlformats.org/officeDocument/2006/relationships/hyperlink" Target="mailto:Krisztina.PerlakyToth@eesc.europa.eu" TargetMode="External"/><Relationship Id="rId27" Type="http://schemas.openxmlformats.org/officeDocument/2006/relationships/hyperlink" Target="mailto:Maja.Radman@eesc.europa.eu" TargetMode="External"/><Relationship Id="rId30" Type="http://schemas.openxmlformats.org/officeDocument/2006/relationships/hyperlink" Target="mailto:David.Hoic@eesc.europa.eu" TargetMode="External"/><Relationship Id="rId35" Type="http://schemas.openxmlformats.org/officeDocument/2006/relationships/hyperlink" Target="mailto:Arturo.Iniguez@eesc.europa.eu" TargetMode="External"/><Relationship Id="rId43" Type="http://schemas.openxmlformats.org/officeDocument/2006/relationships/header" Target="header6.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D7978538184D9429716F02E4D6AC582" ma:contentTypeVersion="4" ma:contentTypeDescription="Defines the documents for Document Manager V2" ma:contentTypeScope="" ma:versionID="2923e22fafd0ef7148a534cf09a9c05a">
  <xsd:schema xmlns:xsd="http://www.w3.org/2001/XMLSchema" xmlns:xs="http://www.w3.org/2001/XMLSchema" xmlns:p="http://schemas.microsoft.com/office/2006/metadata/properties" xmlns:ns2="8975caae-a2e4-4a1b-856a-87d8a7cad937" xmlns:ns3="http://schemas.microsoft.com/sharepoint/v3/fields" xmlns:ns4="376bce90-1865-4c52-835d-f12adf988efb" targetNamespace="http://schemas.microsoft.com/office/2006/metadata/properties" ma:root="true" ma:fieldsID="08369203d95e7a478c393e9a7a85c8fc" ns2:_="" ns3:_="" ns4:_="">
    <xsd:import namespace="8975caae-a2e4-4a1b-856a-87d8a7cad937"/>
    <xsd:import namespace="http://schemas.microsoft.com/sharepoint/v3/fields"/>
    <xsd:import namespace="376bce90-1865-4c52-835d-f12adf988ef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6bce90-1865-4c52-835d-f12adf988efb"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RCSZ5D2JPTA3-3-4403</_dlc_DocId>
    <_dlc_DocIdUrl xmlns="8975caae-a2e4-4a1b-856a-87d8a7cad937">
      <Url>http://dm/EESC/2018/_layouts/DocIdRedir.aspx?ID=RCSZ5D2JPTA3-3-4403</Url>
      <Description>RCSZ5D2JPTA3-3-4403</Description>
    </_dlc_DocIdUrl>
    <MeetingNumber xmlns="376bce90-1865-4c52-835d-f12adf988efb">532</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2018-02-28T12:00:00+00:00</ProductionDate>
    <DocumentNumber xmlns="376bce90-1865-4c52-835d-f12adf988efb">366</DocumentNumber>
    <FicheYear xmlns="8975caae-a2e4-4a1b-856a-87d8a7cad937">2018</FicheYear>
    <DocumentVersion xmlns="8975caae-a2e4-4a1b-856a-87d8a7cad937">2</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2018-02-14T12:00:00+00:00</MeetingDate>
    <TaxCatchAll xmlns="8975caae-a2e4-4a1b-856a-87d8a7cad937">
      <Value>45</Value>
      <Value>41</Value>
      <Value>40</Value>
      <Value>39</Value>
      <Value>38</Value>
      <Value>37</Value>
      <Value>33</Value>
      <Value>31</Value>
      <Value>28</Value>
      <Value>27</Value>
      <Value>25</Value>
      <Value>24</Value>
      <Value>23</Value>
      <Value>22</Value>
      <Value>21</Value>
      <Value>20</Value>
      <Value>19</Value>
      <Value>18</Value>
      <Value>16</Value>
      <Value>14</Value>
      <Value>13</Value>
      <Value>11</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2527</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B315-18A8-418C-AEDB-0DE6F18C5CA7}"/>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E87F452C-98F7-4314-B596-A31A64EAB056}"/>
</file>

<file path=customXml/itemProps4.xml><?xml version="1.0" encoding="utf-8"?>
<ds:datastoreItem xmlns:ds="http://schemas.openxmlformats.org/officeDocument/2006/customXml" ds:itemID="{27172C6D-F210-4BCC-96B9-D59A42C1E6F5}"/>
</file>

<file path=customXml/itemProps5.xml><?xml version="1.0" encoding="utf-8"?>
<ds:datastoreItem xmlns:ds="http://schemas.openxmlformats.org/officeDocument/2006/customXml" ds:itemID="{0D5A3B22-3886-4A0F-8A33-31E85583320C}"/>
</file>

<file path=docProps/app.xml><?xml version="1.0" encoding="utf-8"?>
<Properties xmlns="http://schemas.openxmlformats.org/officeDocument/2006/extended-properties" xmlns:vt="http://schemas.openxmlformats.org/officeDocument/2006/docPropsVTypes">
  <Template>Styles.dotm</Template>
  <TotalTime>26</TotalTime>
  <Pages>22</Pages>
  <Words>5799</Words>
  <Characters>35422</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41139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session plénière de février 2018</dc:title>
  <dc:subject>Travaux consultatifs, divers</dc:subject>
  <dc:creator>Marcos Jaime Tornin</dc:creator>
  <cp:keywords>EESC-2018-00366-00-02-TCD-TRA-FR</cp:keywords>
  <dc:description>Rapporteur:  - Original language: FR, EN - Date of document: 28/02/2018 - Date of meeting: 14/02/2018 - External documents:  - Administrator: MME Tamasauskiene Julija</dc:description>
  <cp:lastModifiedBy>Catherine Cade</cp:lastModifiedBy>
  <cp:revision>31</cp:revision>
  <cp:lastPrinted>2018-02-22T09:22:00Z</cp:lastPrinted>
  <dcterms:created xsi:type="dcterms:W3CDTF">2018-02-28T08:43:00Z</dcterms:created>
  <dcterms:modified xsi:type="dcterms:W3CDTF">2018-02-28T09:35:00Z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26/02/2018, 14/02/2018, 24/01/2018, 16/01/2018, 19/12/2017, 01/12/2017, 16/11/2017, 15/11/2017, 17/10/2017, 13/09/2017, 03/07/2017, 12/06/2017, 02/06/2017, 24/04/2017, 23/03/2017, 13/12/2016, 15/09/2016, 14/09/2016, 14/09/2016, 12/07/2016, 30/06/2016, 29/</vt:lpwstr>
  </property>
  <property fmtid="{D5CDD505-2E9C-101B-9397-08002B2CF9AE}" pid="4" name="Pref_Time">
    <vt:lpwstr>10:33:11, 11:57:02, 15:31:00, 09:45:52, 11:53:01, 15:00:14, 15:49:39, 15:47:16, 10:48:52, 11:23:50, 09:51:12, 14:43:57, 12:54:34, 12:22:33, 12:08:44, 12:23:59, 18:12:41, 09:48:43, 08:36:59, 11:43:50, 09:30:52, 17:35:55, 17:02:49, 16:30:20, 11:28:20, 09:54</vt:lpwstr>
  </property>
  <property fmtid="{D5CDD505-2E9C-101B-9397-08002B2CF9AE}" pid="5" name="Pref_User">
    <vt:lpwstr>jhvi, mkop, hnic, mkop, amett, jhvi, amett, tvoc, tvoc, tvoc, amett, hnic, mreg, mreg, enied, mreg, jhvi, tvoc, htoo, mreg, tvoc, hnic, mreg, hnic, amett, nmcg, amett, enied, nmcg, amett, enied, ymur, tvoc, nmcg, vvos, ssex, vvos, vvos, mkop, nmcg, amett,</vt:lpwstr>
  </property>
  <property fmtid="{D5CDD505-2E9C-101B-9397-08002B2CF9AE}" pid="6" name="Pref_FileName">
    <vt:lpwstr>EESC-2018-00366-00-01-TCD-ORI.docx, EESC-2018-00366-00-00-TCD-ORI.docx, EESC-2017-05949-00-01-TCD-ORI.docx, EESC-2017-05949-00-00-TCD-ORI.docx, EESC-2017-05092-00-01-TCD-ORI.docx, EESC-2017-05092-00-00-TCD-ORI.docx, EESC-2017-04270-00-02-TCD-ORI.docx, EES</vt:lpwstr>
  </property>
  <property fmtid="{D5CDD505-2E9C-101B-9397-08002B2CF9AE}" pid="7" name="ContentTypeId">
    <vt:lpwstr>0x010100EA97B91038054C99906057A708A1480A00FD7978538184D9429716F02E4D6AC582</vt:lpwstr>
  </property>
  <property fmtid="{D5CDD505-2E9C-101B-9397-08002B2CF9AE}" pid="8" name="_dlc_DocIdItemGuid">
    <vt:lpwstr>ca16696e-9fe0-4149-8be6-c5726a95d9ee</vt:lpwstr>
  </property>
  <property fmtid="{D5CDD505-2E9C-101B-9397-08002B2CF9AE}" pid="9" name="MeetingNumber">
    <vt:i4>532</vt:i4>
  </property>
  <property fmtid="{D5CDD505-2E9C-101B-9397-08002B2CF9AE}" pid="10" name="DocumentType_0">
    <vt:lpwstr>TCD|cd9d6eb6-3f4f-424a-b2d1-57c9d450eaaf</vt:lpwstr>
  </property>
  <property fmtid="{D5CDD505-2E9C-101B-9397-08002B2CF9AE}" pid="11" name="AvailableTranslations">
    <vt:lpwstr>27;#DE|f6b31e5a-26fa-4935-b661-318e46daf27e;#20;#PL|1e03da61-4678-4e07-b136-b5024ca9197b;#28;#BG|1a1b3951-7821-4e6a-85f5-5673fc08bd2c;#14;#NL|55c6556c-b4f4-441d-9acf-c498d4f838bd;#33;#EL|6d4f4d51-af9b-4650-94b4-4276bee85c91;#4;#EN|f2175f21-25d7-44a3-96da-d6a61b075e1b;#38;#IT|0774613c-01ed-4e5d-a25d-11d2388de825;#31;#RO|feb747a2-64cd-4299-af12-4833ddc30497;#39;#LV|46f7e311-5d9f-4663-b433-18aeccb7ace7;#45;#MT|7df99101-6854-4a26-b53a-b88c0da02c26;#16;#HU|6b229040-c589-4408-b4c1-4285663d20a8;#47;#ET|ff6c3f4c-b02c-4c3c-ab07-2c37995a7a0a;#40;#HR|2f555653-ed1a-4fe6-8362-9082d95989e5;#22;#FI|87606a43-d45f-42d6-b8c9-e1a3457db5b7;#13;#DA|5d49c027-8956-412b-aa16-e85a0f96ad0e;#8;#FR|d2afafd3-4c81-4f60-8f52-ee33f2f54ff3;#19;#SL|98a412ae-eb01-49e9-ae3d-585a81724cfc;#18;#ES|e7a6b05b-ae16-40c8-add9-68b64b03aeba;#24;#PT|50ccc04a-eadd-42ae-a0cb-acaf45f812ba;#37;#LT|a7ff5ce7-6123-4f68-865a-a57c31810414;#41;#SV|c2ed69e7-a339-43d7-8f22-d93680a92aa0;#21;#CS|72f9705b-0217-4fd3-bea2-cbc7ed80e26e;#23;#SK|46d9fce0-ef79-4f71-b89b-cd6aa82426b8</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366</vt:i4>
  </property>
  <property fmtid="{D5CDD505-2E9C-101B-9397-08002B2CF9AE}" pid="16" name="DocumentVersion">
    <vt:i4>2</vt:i4>
  </property>
  <property fmtid="{D5CDD505-2E9C-101B-9397-08002B2CF9AE}" pid="17" name="DocumentSource">
    <vt:lpwstr>1;#EESC|422833ec-8d7e-4e65-8e4e-8bed07ffb729</vt:lpwstr>
  </property>
  <property fmtid="{D5CDD505-2E9C-101B-9397-08002B2CF9AE}" pid="19" name="DocumentType">
    <vt:lpwstr>25;#TCD|cd9d6eb6-3f4f-424a-b2d1-57c9d450eaaf</vt:lpwstr>
  </property>
  <property fmtid="{D5CDD505-2E9C-101B-9397-08002B2CF9AE}" pid="20" name="DocumentStatus">
    <vt:lpwstr>7;#TRA|150d2a88-1431-44e6-a8ca-0bb753ab8672</vt:lpwstr>
  </property>
  <property fmtid="{D5CDD505-2E9C-101B-9397-08002B2CF9AE}" pid="21" name="DossierName">
    <vt:lpwstr/>
  </property>
  <property fmtid="{D5CDD505-2E9C-101B-9397-08002B2CF9AE}" pid="22" name="DocumentPart">
    <vt:i4>0</vt:i4>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8;#FR|d2afafd3-4c81-4f60-8f52-ee33f2f54ff3;#4;#EN|f2175f21-25d7-44a3-96da-d6a61b075e1b</vt:lpwstr>
  </property>
  <property fmtid="{D5CDD505-2E9C-101B-9397-08002B2CF9AE}" pid="28" name="MeetingName">
    <vt:lpwstr>11;#SPL-CES|32d8cb1f-c9ec-4365-95c7-8385a18618ac</vt:lpwstr>
  </property>
  <property fmtid="{D5CDD505-2E9C-101B-9397-08002B2CF9AE}" pid="29" name="DocumentStatus_0">
    <vt:lpwstr>TRA|150d2a88-1431-44e6-a8ca-0bb753ab8672</vt:lpwstr>
  </property>
  <property fmtid="{D5CDD505-2E9C-101B-9397-08002B2CF9AE}" pid="30" name="OriginalLanguage_0">
    <vt:lpwstr>FR|d2afafd3-4c81-4f60-8f52-ee33f2f54ff3;EN|f2175f21-25d7-44a3-96da-d6a61b075e1b</vt:lpwstr>
  </property>
  <property fmtid="{D5CDD505-2E9C-101B-9397-08002B2CF9AE}" pid="31" name="MeetingDate">
    <vt:filetime>2018-02-14T12:00:00Z</vt:filetime>
  </property>
  <property fmtid="{D5CDD505-2E9C-101B-9397-08002B2CF9AE}" pid="32" name="TaxCatchAll">
    <vt:lpwstr>41;#SV|c2ed69e7-a339-43d7-8f22-d93680a92aa0;#40;#HR|2f555653-ed1a-4fe6-8362-9082d95989e5;#38;#IT|0774613c-01ed-4e5d-a25d-11d2388de825;#37;#LT|a7ff5ce7-6123-4f68-865a-a57c31810414;#33;#EL|6d4f4d51-af9b-4650-94b4-4276bee85c91;#31;#RO|feb747a2-64cd-4299-af12-4833ddc30497;#28;#BG|1a1b3951-7821-4e6a-85f5-5673fc08bd2c;#27;#DE|f6b31e5a-26fa-4935-b661-318e46daf27e;#25;#TCD|cd9d6eb6-3f4f-424a-b2d1-57c9d450eaaf;#21;#CS|72f9705b-0217-4fd3-bea2-cbc7ed80e26e;#18;#ES|e7a6b05b-ae16-40c8-add9-68b64b03aeba;#16;#HU|6b229040-c589-4408-b4c1-4285663d20a8;#14;#NL|55c6556c-b4f4-441d-9acf-c498d4f838bd;#13;#DA|5d49c027-8956-412b-aa16-e85a0f96ad0e;#11;#SPL-CES|32d8cb1f-c9ec-4365-95c7-8385a18618ac;#8;#FR|d2afafd3-4c81-4f60-8f52-ee33f2f54ff3;#7;#TRA|150d2a88-1431-44e6-a8ca-0bb753ab8672;#6;#Final|ea5e6674-7b27-4bac-b091-73adbb394efe;#5;#Unrestricted|826e22d7-d029-4ec0-a450-0c28ff673572;#4;#EN|f2175f21-25d7-44a3-96da-d6a61b075e1b;#1;#EESC|422833ec-8d7e-4e65-8e4e-8bed07ffb729</vt:lpwstr>
  </property>
  <property fmtid="{D5CDD505-2E9C-101B-9397-08002B2CF9AE}" pid="33" name="AvailableTranslations_0">
    <vt:lpwstr>DE|f6b31e5a-26fa-4935-b661-318e46daf27e;BG|1a1b3951-7821-4e6a-85f5-5673fc08bd2c;NL|55c6556c-b4f4-441d-9acf-c498d4f838bd;EL|6d4f4d51-af9b-4650-94b4-4276bee85c91;IT|0774613c-01ed-4e5d-a25d-11d2388de825;RO|feb747a2-64cd-4299-af12-4833ddc30497;HU|6b229040-c589-4408-b4c1-4285663d20a8;HR|2f555653-ed1a-4fe6-8362-9082d95989e5;DA|5d49c027-8956-412b-aa16-e85a0f96ad0e;ES|e7a6b05b-ae16-40c8-add9-68b64b03aeba;LT|a7ff5ce7-6123-4f68-865a-a57c31810414;SV|c2ed69e7-a339-43d7-8f22-d93680a92aa0;CS|72f9705b-0217-4fd3-bea2-cbc7ed80e26e</vt:lpwstr>
  </property>
  <property fmtid="{D5CDD505-2E9C-101B-9397-08002B2CF9AE}" pid="34" name="VersionStatus">
    <vt:lpwstr>6;#Final|ea5e6674-7b27-4bac-b091-73adbb394efe</vt:lpwstr>
  </property>
  <property fmtid="{D5CDD505-2E9C-101B-9397-08002B2CF9AE}" pid="35" name="VersionStatus_0">
    <vt:lpwstr>Final|ea5e6674-7b27-4bac-b091-73adbb394efe</vt:lpwstr>
  </property>
  <property fmtid="{D5CDD505-2E9C-101B-9397-08002B2CF9AE}" pid="36" name="FicheNumber">
    <vt:i4>2527</vt:i4>
  </property>
  <property fmtid="{D5CDD505-2E9C-101B-9397-08002B2CF9AE}" pid="37" name="DocumentYear">
    <vt:i4>2018</vt:i4>
  </property>
  <property fmtid="{D5CDD505-2E9C-101B-9397-08002B2CF9AE}" pid="38" name="DocumentLanguage">
    <vt:lpwstr>8;#FR|d2afafd3-4c81-4f60-8f52-ee33f2f54ff3</vt:lpwstr>
  </property>
</Properties>
</file>