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A0" w:rsidRPr="00F93161" w:rsidRDefault="006A08D5" w:rsidP="00CF635C">
      <w:pPr>
        <w:overflowPunct/>
        <w:adjustRightInd/>
        <w:snapToGrid w:val="0"/>
        <w:jc w:val="center"/>
        <w:textAlignment w:val="auto"/>
      </w:pPr>
      <w:r w:rsidRPr="00F93161">
        <w:fldChar w:fldCharType="begin"/>
      </w:r>
      <w:r w:rsidRPr="00F93161">
        <w:instrText xml:space="preserve">  </w:instrText>
      </w:r>
      <w:r w:rsidRPr="00F93161">
        <w:fldChar w:fldCharType="end"/>
      </w:r>
      <w:r>
        <w:rPr>
          <w:noProof/>
          <w:lang w:val="en-GB" w:eastAsia="en-GB" w:bidi="ar-SA"/>
        </w:rPr>
        <mc:AlternateContent>
          <mc:Choice Requires="wps">
            <w:drawing>
              <wp:anchor distT="0" distB="0" distL="114300" distR="114300" simplePos="0" relativeHeight="251659264" behindDoc="1" locked="0" layoutInCell="0" allowOverlap="1" wp14:anchorId="7D7F9FD5" wp14:editId="2423A032">
                <wp:simplePos x="0" y="0"/>
                <wp:positionH relativeFrom="page">
                  <wp:posOffset>6767830</wp:posOffset>
                </wp:positionH>
                <wp:positionV relativeFrom="page">
                  <wp:posOffset>10079990</wp:posOffset>
                </wp:positionV>
                <wp:extent cx="647700"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AD0" w:rsidRPr="003415D2" w:rsidRDefault="00132AD0" w:rsidP="003415D2">
                            <w:pPr>
                              <w:overflowPunct/>
                              <w:adjustRightInd/>
                              <w:jc w:val="center"/>
                              <w:textAlignment w:val="auto"/>
                              <w:rPr>
                                <w:rFonts w:ascii="Arial" w:hAnsi="Arial" w:cs="Arial"/>
                                <w:b/>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D/IEqmtQIA&#10;ALoFAAAOAAAAAAAAAAAAAAAAAC4CAABkcnMvZTJvRG9jLnhtbFBLAQItABQABgAIAAAAIQCBA6l8&#10;4QAAAA8BAAAPAAAAAAAAAAAAAAAAAA8FAABkcnMvZG93bnJldi54bWxQSwUGAAAAAAQABADzAAAA&#10;HQYAAAAA&#10;" o:allowincell="f" filled="f" stroked="f">
                <v:textbox>
                  <w:txbxContent>
                    <w:p w:rsidR="00132AD0" w:rsidRPr="003415D2" w:rsidRDefault="00132AD0" w:rsidP="003415D2">
                      <w:pPr>
                        <w:overflowPunct/>
                        <w:adjustRightInd/>
                        <w:jc w:val="center"/>
                        <w:textAlignment w:val="auto"/>
                        <w:rPr>
                          <w:rFonts w:ascii="Arial" w:hAnsi="Arial" w:cs="Arial"/>
                          <w:b/>
                          <w:sz w:val="48"/>
                        </w:rPr>
                      </w:pPr>
                      <w:r>
                        <w:rPr>
                          <w:rFonts w:ascii="Arial" w:hAnsi="Arial"/>
                          <w:b/>
                          <w:sz w:val="48"/>
                        </w:rPr>
                        <w:t>NL</w:t>
                      </w:r>
                    </w:p>
                  </w:txbxContent>
                </v:textbox>
                <w10:wrap anchorx="page" anchory="page"/>
              </v:shape>
            </w:pict>
          </mc:Fallback>
        </mc:AlternateContent>
      </w:r>
      <w:r>
        <w:rPr>
          <w:noProof/>
          <w:lang w:val="en-GB" w:eastAsia="en-GB" w:bidi="ar-SA"/>
        </w:rPr>
        <w:drawing>
          <wp:inline distT="0" distB="0" distL="0" distR="0" wp14:anchorId="05C574B6" wp14:editId="031B15BB">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F93161" w:rsidRDefault="00876D7B" w:rsidP="00CF635C">
      <w:pPr>
        <w:overflowPunct/>
        <w:adjustRightInd/>
        <w:snapToGrid w:val="0"/>
        <w:jc w:val="center"/>
        <w:textAlignment w:val="auto"/>
        <w:rPr>
          <w:rFonts w:ascii="Arial" w:eastAsia="MS Mincho" w:hAnsi="Arial" w:cs="Arial"/>
          <w:b/>
          <w:i/>
          <w:sz w:val="20"/>
        </w:rPr>
      </w:pPr>
      <w:r>
        <w:rPr>
          <w:rFonts w:ascii="Arial" w:hAnsi="Arial"/>
          <w:b/>
          <w:i/>
          <w:sz w:val="20"/>
        </w:rPr>
        <w:t>Europees Economisch en Sociaal Comité</w:t>
      </w:r>
    </w:p>
    <w:p w:rsidR="008405A0" w:rsidRPr="00F93161" w:rsidRDefault="008405A0" w:rsidP="00CF635C">
      <w:pPr>
        <w:overflowPunct/>
        <w:adjustRightInd/>
        <w:snapToGrid w:val="0"/>
        <w:textAlignment w:val="auto"/>
      </w:pPr>
    </w:p>
    <w:p w:rsidR="008405A0" w:rsidRPr="00F93161" w:rsidRDefault="008405A0" w:rsidP="00CF635C">
      <w:pPr>
        <w:overflowPunct/>
        <w:adjustRightInd/>
        <w:snapToGrid w:val="0"/>
        <w:textAlignment w:val="auto"/>
      </w:pPr>
    </w:p>
    <w:p w:rsidR="008405A0" w:rsidRPr="00F93161" w:rsidRDefault="00FC0B2C" w:rsidP="00CF635C">
      <w:pPr>
        <w:overflowPunct/>
        <w:adjustRightInd/>
        <w:snapToGrid w:val="0"/>
        <w:jc w:val="right"/>
        <w:textAlignment w:val="auto"/>
        <w:rPr>
          <w:rFonts w:eastAsia="MS Mincho"/>
        </w:rPr>
      </w:pPr>
      <w:r>
        <w:t>Brussel, 31 januari 2018</w:t>
      </w:r>
    </w:p>
    <w:p w:rsidR="008405A0" w:rsidRPr="00F93161" w:rsidRDefault="008405A0" w:rsidP="00CF635C">
      <w:pPr>
        <w:overflowPunct/>
        <w:adjustRightInd/>
        <w:snapToGrid w:val="0"/>
        <w:textAlignment w:val="auto"/>
      </w:pPr>
    </w:p>
    <w:p w:rsidR="008405A0" w:rsidRPr="00F93161" w:rsidRDefault="008405A0" w:rsidP="00CF635C">
      <w:pPr>
        <w:overflowPunct/>
        <w:adjustRightInd/>
        <w:snapToGrid w:val="0"/>
        <w:textAlignment w:val="auto"/>
      </w:pPr>
    </w:p>
    <w:p w:rsidR="00AF6F3E" w:rsidRPr="00F93161" w:rsidRDefault="00AF6F3E" w:rsidP="00CF635C">
      <w:pPr>
        <w:overflowPunct/>
        <w:adjustRightInd/>
        <w:snapToGrid w:val="0"/>
        <w:textAlignment w:val="auto"/>
      </w:pPr>
    </w:p>
    <w:p w:rsidR="006819C8" w:rsidRPr="00F93161" w:rsidRDefault="006819C8" w:rsidP="00CF635C">
      <w:pPr>
        <w:overflowPunct/>
        <w:adjustRightInd/>
        <w:snapToGrid w:val="0"/>
        <w:textAlignment w:val="auto"/>
      </w:pPr>
    </w:p>
    <w:tbl>
      <w:tblPr>
        <w:tblW w:w="0" w:type="auto"/>
        <w:tblLayout w:type="fixed"/>
        <w:tblLook w:val="0000" w:firstRow="0" w:lastRow="0" w:firstColumn="0" w:lastColumn="0" w:noHBand="0" w:noVBand="0"/>
      </w:tblPr>
      <w:tblGrid>
        <w:gridCol w:w="9289"/>
      </w:tblGrid>
      <w:tr w:rsidR="008405A0" w:rsidRPr="00093786" w:rsidTr="00A72D7A">
        <w:tc>
          <w:tcPr>
            <w:tcW w:w="9289" w:type="dxa"/>
            <w:tcBorders>
              <w:top w:val="nil"/>
              <w:left w:val="nil"/>
              <w:bottom w:val="double" w:sz="4" w:space="0" w:color="auto"/>
              <w:right w:val="nil"/>
            </w:tcBorders>
          </w:tcPr>
          <w:p w:rsidR="0013425E" w:rsidRDefault="00FC0B2C" w:rsidP="00CF635C">
            <w:pPr>
              <w:overflowPunct/>
              <w:adjustRightInd/>
              <w:snapToGrid w:val="0"/>
              <w:jc w:val="center"/>
              <w:textAlignment w:val="auto"/>
              <w:rPr>
                <w:b/>
                <w:sz w:val="32"/>
              </w:rPr>
            </w:pPr>
            <w:r>
              <w:rPr>
                <w:b/>
                <w:sz w:val="32"/>
              </w:rPr>
              <w:t>ZITTING</w:t>
            </w:r>
          </w:p>
          <w:p w:rsidR="0013425E" w:rsidRDefault="0013425E" w:rsidP="00CF635C">
            <w:pPr>
              <w:overflowPunct/>
              <w:adjustRightInd/>
              <w:snapToGrid w:val="0"/>
              <w:jc w:val="center"/>
              <w:textAlignment w:val="auto"/>
              <w:rPr>
                <w:b/>
                <w:sz w:val="32"/>
              </w:rPr>
            </w:pPr>
          </w:p>
          <w:p w:rsidR="0013425E" w:rsidRDefault="00FC0B2C" w:rsidP="00CF635C">
            <w:pPr>
              <w:overflowPunct/>
              <w:adjustRightInd/>
              <w:snapToGrid w:val="0"/>
              <w:jc w:val="center"/>
              <w:textAlignment w:val="auto"/>
              <w:rPr>
                <w:b/>
                <w:sz w:val="32"/>
              </w:rPr>
            </w:pPr>
            <w:r>
              <w:rPr>
                <w:b/>
                <w:sz w:val="32"/>
              </w:rPr>
              <w:t>VAN 17 EN 18 JANUARI 2018</w:t>
            </w:r>
          </w:p>
          <w:p w:rsidR="0013425E" w:rsidRDefault="0013425E" w:rsidP="00CF635C">
            <w:pPr>
              <w:overflowPunct/>
              <w:adjustRightInd/>
              <w:snapToGrid w:val="0"/>
              <w:jc w:val="center"/>
              <w:textAlignment w:val="auto"/>
              <w:rPr>
                <w:b/>
                <w:sz w:val="32"/>
              </w:rPr>
            </w:pPr>
          </w:p>
          <w:p w:rsidR="008405A0" w:rsidRPr="00F93161" w:rsidRDefault="00FC0B2C" w:rsidP="00CF635C">
            <w:pPr>
              <w:overflowPunct/>
              <w:adjustRightInd/>
              <w:snapToGrid w:val="0"/>
              <w:jc w:val="center"/>
              <w:textAlignment w:val="auto"/>
              <w:rPr>
                <w:rFonts w:eastAsia="MS Mincho"/>
                <w:b/>
                <w:sz w:val="32"/>
              </w:rPr>
            </w:pPr>
            <w:r>
              <w:rPr>
                <w:b/>
                <w:sz w:val="32"/>
              </w:rPr>
              <w:t>SAMENVATTING VAN DE GOEDGEKEURDE ADVIEZEN</w:t>
            </w:r>
          </w:p>
          <w:p w:rsidR="008405A0" w:rsidRPr="00F93161" w:rsidRDefault="008405A0" w:rsidP="00CF635C">
            <w:pPr>
              <w:overflowPunct/>
              <w:adjustRightInd/>
              <w:textAlignment w:val="auto"/>
            </w:pPr>
          </w:p>
          <w:p w:rsidR="008405A0" w:rsidRPr="00F93161" w:rsidRDefault="008405A0" w:rsidP="00CF635C">
            <w:pPr>
              <w:overflowPunct/>
              <w:adjustRightInd/>
              <w:textAlignment w:val="auto"/>
              <w:rPr>
                <w:szCs w:val="22"/>
              </w:rPr>
            </w:pPr>
          </w:p>
        </w:tc>
      </w:tr>
      <w:tr w:rsidR="008405A0" w:rsidRPr="00093786" w:rsidTr="00A72D7A">
        <w:tc>
          <w:tcPr>
            <w:tcW w:w="9289" w:type="dxa"/>
            <w:tcBorders>
              <w:top w:val="double" w:sz="4" w:space="0" w:color="auto"/>
              <w:left w:val="double" w:sz="4" w:space="0" w:color="auto"/>
              <w:bottom w:val="double" w:sz="4" w:space="0" w:color="auto"/>
              <w:right w:val="double" w:sz="4" w:space="0" w:color="auto"/>
            </w:tcBorders>
          </w:tcPr>
          <w:p w:rsidR="00FF15DA" w:rsidRPr="00F93161" w:rsidRDefault="00FF15DA" w:rsidP="00CF635C">
            <w:pPr>
              <w:overflowPunct/>
              <w:adjustRightInd/>
              <w:snapToGrid w:val="0"/>
              <w:jc w:val="center"/>
              <w:textAlignment w:val="auto"/>
              <w:rPr>
                <w:b/>
              </w:rPr>
            </w:pPr>
          </w:p>
          <w:p w:rsidR="00FC0B2C" w:rsidRPr="00F93161" w:rsidRDefault="00FC0B2C" w:rsidP="00FC0B2C">
            <w:pPr>
              <w:overflowPunct/>
              <w:adjustRightInd/>
              <w:snapToGrid w:val="0"/>
              <w:jc w:val="center"/>
              <w:textAlignment w:val="auto"/>
              <w:rPr>
                <w:rFonts w:eastAsia="MS Mincho"/>
                <w:b/>
              </w:rPr>
            </w:pPr>
            <w:r>
              <w:rPr>
                <w:b/>
              </w:rPr>
              <w:t>Dit document is in de officiële talen op te vragen op de website van het Comité:</w:t>
            </w:r>
          </w:p>
          <w:p w:rsidR="00FC0B2C" w:rsidRPr="00F93161" w:rsidRDefault="00FC0B2C" w:rsidP="00FC0B2C">
            <w:pPr>
              <w:overflowPunct/>
              <w:adjustRightInd/>
              <w:snapToGrid w:val="0"/>
              <w:jc w:val="center"/>
              <w:textAlignment w:val="auto"/>
              <w:rPr>
                <w:b/>
              </w:rPr>
            </w:pPr>
          </w:p>
          <w:p w:rsidR="00FC0B2C" w:rsidRPr="00F93161" w:rsidRDefault="0013425E" w:rsidP="00FC0B2C">
            <w:pPr>
              <w:overflowPunct/>
              <w:adjustRightInd/>
              <w:jc w:val="center"/>
              <w:textAlignment w:val="auto"/>
              <w:rPr>
                <w:rStyle w:val="Hyperlink"/>
                <w:b/>
              </w:rPr>
            </w:pPr>
            <w:hyperlink r:id="rId14">
              <w:r w:rsidR="008226B1">
                <w:rPr>
                  <w:rStyle w:val="Hyperlink"/>
                </w:rPr>
                <w:t>http://www.eesc.europa.eu/nl/our-work/opinions-information-reports/plenary-session-summaries</w:t>
              </w:r>
            </w:hyperlink>
          </w:p>
          <w:p w:rsidR="00FC0B2C" w:rsidRPr="00F93161" w:rsidRDefault="00FC0B2C" w:rsidP="00FC0B2C">
            <w:pPr>
              <w:overflowPunct/>
              <w:adjustRightInd/>
              <w:snapToGrid w:val="0"/>
              <w:jc w:val="center"/>
              <w:textAlignment w:val="auto"/>
              <w:rPr>
                <w:b/>
              </w:rPr>
            </w:pPr>
          </w:p>
          <w:p w:rsidR="00FC0B2C" w:rsidRPr="00F93161" w:rsidRDefault="00FC0B2C" w:rsidP="00FC0B2C">
            <w:pPr>
              <w:overflowPunct/>
              <w:adjustRightInd/>
              <w:snapToGrid w:val="0"/>
              <w:jc w:val="center"/>
              <w:textAlignment w:val="auto"/>
              <w:rPr>
                <w:rFonts w:eastAsia="SimSun"/>
                <w:b/>
              </w:rPr>
            </w:pPr>
          </w:p>
          <w:p w:rsidR="00FC0B2C" w:rsidRPr="00F93161" w:rsidRDefault="00FC0B2C" w:rsidP="00FC0B2C">
            <w:pPr>
              <w:overflowPunct/>
              <w:adjustRightInd/>
              <w:snapToGrid w:val="0"/>
              <w:jc w:val="center"/>
              <w:textAlignment w:val="auto"/>
              <w:rPr>
                <w:rFonts w:eastAsia="MS Mincho"/>
                <w:b/>
              </w:rPr>
            </w:pPr>
            <w:r>
              <w:rPr>
                <w:b/>
              </w:rPr>
              <w:t>De genoemde adviezen kunnen online worden geraadpleegd via de zoekmachine van het Comité:</w:t>
            </w:r>
          </w:p>
          <w:p w:rsidR="00FC0B2C" w:rsidRPr="00F93161" w:rsidRDefault="00FC0B2C" w:rsidP="00FC0B2C">
            <w:pPr>
              <w:overflowPunct/>
              <w:adjustRightInd/>
              <w:snapToGrid w:val="0"/>
              <w:jc w:val="center"/>
              <w:textAlignment w:val="auto"/>
              <w:rPr>
                <w:b/>
              </w:rPr>
            </w:pPr>
          </w:p>
          <w:p w:rsidR="00FC0B2C" w:rsidRPr="00F93161" w:rsidRDefault="0013425E" w:rsidP="00FC0B2C">
            <w:pPr>
              <w:overflowPunct/>
              <w:adjustRightInd/>
              <w:jc w:val="center"/>
              <w:textAlignment w:val="auto"/>
              <w:rPr>
                <w:rStyle w:val="Hyperlink"/>
                <w:b/>
              </w:rPr>
            </w:pPr>
            <w:hyperlink r:id="rId15">
              <w:r w:rsidR="008226B1">
                <w:rPr>
                  <w:rStyle w:val="Hyperlink"/>
                </w:rPr>
                <w:t>http://dm.eesc.europa.eu/EESCDocumentSearch/Pages/opinionssearch.aspx</w:t>
              </w:r>
            </w:hyperlink>
          </w:p>
          <w:p w:rsidR="008405A0" w:rsidRPr="00F93161" w:rsidRDefault="008405A0" w:rsidP="00CF635C">
            <w:pPr>
              <w:overflowPunct/>
              <w:adjustRightInd/>
              <w:snapToGrid w:val="0"/>
              <w:jc w:val="center"/>
              <w:textAlignment w:val="auto"/>
              <w:rPr>
                <w:b/>
                <w:bCs/>
                <w:szCs w:val="22"/>
              </w:rPr>
            </w:pPr>
          </w:p>
        </w:tc>
      </w:tr>
    </w:tbl>
    <w:p w:rsidR="008F7791" w:rsidRPr="00F93161" w:rsidRDefault="008F7791" w:rsidP="00CF635C">
      <w:pPr>
        <w:overflowPunct/>
        <w:adjustRightInd/>
        <w:textAlignment w:val="auto"/>
        <w:rPr>
          <w:rFonts w:eastAsia="SimSun"/>
        </w:rPr>
      </w:pPr>
    </w:p>
    <w:p w:rsidR="00A9340A" w:rsidRPr="00F93161" w:rsidRDefault="00A9340A" w:rsidP="00CF635C">
      <w:pPr>
        <w:overflowPunct/>
        <w:adjustRightInd/>
        <w:textAlignment w:val="auto"/>
        <w:rPr>
          <w:rFonts w:eastAsia="SimSun"/>
        </w:rPr>
        <w:sectPr w:rsidR="00A9340A" w:rsidRPr="00F93161" w:rsidSect="00A453A7">
          <w:headerReference w:type="even" r:id="rId16"/>
          <w:headerReference w:type="default" r:id="rId17"/>
          <w:footerReference w:type="even" r:id="rId18"/>
          <w:footerReference w:type="default" r:id="rId19"/>
          <w:headerReference w:type="first" r:id="rId20"/>
          <w:footerReference w:type="first" r:id="rId21"/>
          <w:type w:val="continuous"/>
          <w:pgSz w:w="11907" w:h="16839"/>
          <w:pgMar w:top="1417" w:right="1417" w:bottom="1417" w:left="1417" w:header="709" w:footer="709" w:gutter="0"/>
          <w:pgNumType w:start="1"/>
          <w:cols w:space="708"/>
          <w:docGrid w:linePitch="299"/>
        </w:sectPr>
      </w:pPr>
    </w:p>
    <w:p w:rsidR="008405A0" w:rsidRPr="00F93161" w:rsidRDefault="00876D7B" w:rsidP="00CF635C">
      <w:pPr>
        <w:overflowPunct/>
        <w:adjustRightInd/>
        <w:snapToGrid w:val="0"/>
        <w:textAlignment w:val="auto"/>
        <w:rPr>
          <w:b/>
        </w:rPr>
      </w:pPr>
      <w:r>
        <w:rPr>
          <w:b/>
        </w:rPr>
        <w:lastRenderedPageBreak/>
        <w:t>Inhoudsopgave</w:t>
      </w:r>
    </w:p>
    <w:p w:rsidR="00D16D76" w:rsidRPr="00F93161" w:rsidRDefault="00D16D76" w:rsidP="00CF635C">
      <w:pPr>
        <w:overflowPunct/>
        <w:adjustRightInd/>
        <w:textAlignment w:val="auto"/>
      </w:pPr>
    </w:p>
    <w:p w:rsidR="0013425E" w:rsidRDefault="003353E8">
      <w:pPr>
        <w:pStyle w:val="TOC1"/>
        <w:rPr>
          <w:rFonts w:asciiTheme="minorHAnsi" w:eastAsiaTheme="minorEastAsia" w:hAnsiTheme="minorHAnsi" w:cstheme="minorBidi"/>
          <w:noProof/>
          <w:szCs w:val="22"/>
          <w:lang w:val="en-GB" w:eastAsia="en-GB" w:bidi="ar-SA"/>
        </w:rPr>
      </w:pPr>
      <w:r w:rsidRPr="00F93161">
        <w:fldChar w:fldCharType="begin"/>
      </w:r>
      <w:r w:rsidRPr="00F93161">
        <w:instrText xml:space="preserve"> TOC \o "1-1" \h \z \u </w:instrText>
      </w:r>
      <w:r w:rsidRPr="00F93161">
        <w:fldChar w:fldCharType="separate"/>
      </w:r>
      <w:hyperlink w:anchor="_Toc505089861" w:history="1">
        <w:r w:rsidR="0013425E" w:rsidRPr="00391777">
          <w:rPr>
            <w:rStyle w:val="Hyperlink"/>
            <w:caps/>
            <w:noProof/>
          </w:rPr>
          <w:t>1.</w:t>
        </w:r>
        <w:r w:rsidR="0013425E">
          <w:rPr>
            <w:rFonts w:asciiTheme="minorHAnsi" w:eastAsiaTheme="minorEastAsia" w:hAnsiTheme="minorHAnsi" w:cstheme="minorBidi"/>
            <w:noProof/>
            <w:szCs w:val="22"/>
            <w:lang w:val="en-GB" w:eastAsia="en-GB" w:bidi="ar-SA"/>
          </w:rPr>
          <w:tab/>
        </w:r>
        <w:r w:rsidR="0013425E" w:rsidRPr="00391777">
          <w:rPr>
            <w:rStyle w:val="Hyperlink"/>
            <w:b/>
            <w:caps/>
            <w:noProof/>
          </w:rPr>
          <w:t>Economische en Monetaire Unie - economische en sociale samenhang</w:t>
        </w:r>
        <w:r w:rsidR="0013425E">
          <w:rPr>
            <w:noProof/>
            <w:webHidden/>
          </w:rPr>
          <w:tab/>
        </w:r>
        <w:r w:rsidR="0013425E">
          <w:rPr>
            <w:noProof/>
            <w:webHidden/>
          </w:rPr>
          <w:fldChar w:fldCharType="begin"/>
        </w:r>
        <w:r w:rsidR="0013425E">
          <w:rPr>
            <w:noProof/>
            <w:webHidden/>
          </w:rPr>
          <w:instrText xml:space="preserve"> PAGEREF _Toc505089861 \h </w:instrText>
        </w:r>
        <w:r w:rsidR="0013425E">
          <w:rPr>
            <w:noProof/>
            <w:webHidden/>
          </w:rPr>
        </w:r>
        <w:r w:rsidR="0013425E">
          <w:rPr>
            <w:noProof/>
            <w:webHidden/>
          </w:rPr>
          <w:fldChar w:fldCharType="separate"/>
        </w:r>
        <w:r w:rsidR="0013425E">
          <w:rPr>
            <w:noProof/>
            <w:webHidden/>
          </w:rPr>
          <w:t>3</w:t>
        </w:r>
        <w:r w:rsidR="0013425E">
          <w:rPr>
            <w:noProof/>
            <w:webHidden/>
          </w:rPr>
          <w:fldChar w:fldCharType="end"/>
        </w:r>
      </w:hyperlink>
    </w:p>
    <w:p w:rsidR="0013425E" w:rsidRDefault="0013425E">
      <w:pPr>
        <w:pStyle w:val="TOC1"/>
        <w:rPr>
          <w:rFonts w:asciiTheme="minorHAnsi" w:eastAsiaTheme="minorEastAsia" w:hAnsiTheme="minorHAnsi" w:cstheme="minorBidi"/>
          <w:noProof/>
          <w:szCs w:val="22"/>
          <w:lang w:val="en-GB" w:eastAsia="en-GB" w:bidi="ar-SA"/>
        </w:rPr>
      </w:pPr>
      <w:hyperlink w:anchor="_Toc505089862" w:history="1">
        <w:r w:rsidRPr="00391777">
          <w:rPr>
            <w:rStyle w:val="Hyperlink"/>
            <w:caps/>
            <w:noProof/>
          </w:rPr>
          <w:t>2.</w:t>
        </w:r>
        <w:r>
          <w:rPr>
            <w:rFonts w:asciiTheme="minorHAnsi" w:eastAsiaTheme="minorEastAsia" w:hAnsiTheme="minorHAnsi" w:cstheme="minorBidi"/>
            <w:noProof/>
            <w:szCs w:val="22"/>
            <w:lang w:val="en-GB" w:eastAsia="en-GB" w:bidi="ar-SA"/>
          </w:rPr>
          <w:tab/>
        </w:r>
        <w:r w:rsidRPr="00391777">
          <w:rPr>
            <w:rStyle w:val="Hyperlink"/>
            <w:b/>
            <w:caps/>
            <w:noProof/>
          </w:rPr>
          <w:t>Interne Markt, Productie en Consumptie</w:t>
        </w:r>
        <w:r>
          <w:rPr>
            <w:noProof/>
            <w:webHidden/>
          </w:rPr>
          <w:tab/>
        </w:r>
        <w:r>
          <w:rPr>
            <w:noProof/>
            <w:webHidden/>
          </w:rPr>
          <w:fldChar w:fldCharType="begin"/>
        </w:r>
        <w:r>
          <w:rPr>
            <w:noProof/>
            <w:webHidden/>
          </w:rPr>
          <w:instrText xml:space="preserve"> PAGEREF _Toc505089862 \h </w:instrText>
        </w:r>
        <w:r>
          <w:rPr>
            <w:noProof/>
            <w:webHidden/>
          </w:rPr>
        </w:r>
        <w:r>
          <w:rPr>
            <w:noProof/>
            <w:webHidden/>
          </w:rPr>
          <w:fldChar w:fldCharType="separate"/>
        </w:r>
        <w:r>
          <w:rPr>
            <w:noProof/>
            <w:webHidden/>
          </w:rPr>
          <w:t>7</w:t>
        </w:r>
        <w:r>
          <w:rPr>
            <w:noProof/>
            <w:webHidden/>
          </w:rPr>
          <w:fldChar w:fldCharType="end"/>
        </w:r>
      </w:hyperlink>
    </w:p>
    <w:p w:rsidR="0013425E" w:rsidRDefault="0013425E">
      <w:pPr>
        <w:pStyle w:val="TOC1"/>
        <w:rPr>
          <w:rFonts w:asciiTheme="minorHAnsi" w:eastAsiaTheme="minorEastAsia" w:hAnsiTheme="minorHAnsi" w:cstheme="minorBidi"/>
          <w:noProof/>
          <w:szCs w:val="22"/>
          <w:lang w:val="en-GB" w:eastAsia="en-GB" w:bidi="ar-SA"/>
        </w:rPr>
      </w:pPr>
      <w:hyperlink w:anchor="_Toc505089863" w:history="1">
        <w:r w:rsidRPr="00391777">
          <w:rPr>
            <w:rStyle w:val="Hyperlink"/>
            <w:caps/>
            <w:noProof/>
          </w:rPr>
          <w:t>3.</w:t>
        </w:r>
        <w:r>
          <w:rPr>
            <w:rFonts w:asciiTheme="minorHAnsi" w:eastAsiaTheme="minorEastAsia" w:hAnsiTheme="minorHAnsi" w:cstheme="minorBidi"/>
            <w:noProof/>
            <w:szCs w:val="22"/>
            <w:lang w:val="en-GB" w:eastAsia="en-GB" w:bidi="ar-SA"/>
          </w:rPr>
          <w:tab/>
        </w:r>
        <w:r w:rsidRPr="00391777">
          <w:rPr>
            <w:rStyle w:val="Hyperlink"/>
            <w:b/>
            <w:caps/>
            <w:noProof/>
          </w:rPr>
          <w:t>Vervoer, Energie, Infrastructuur en Informatiemaatschappij</w:t>
        </w:r>
        <w:r>
          <w:rPr>
            <w:noProof/>
            <w:webHidden/>
          </w:rPr>
          <w:tab/>
        </w:r>
        <w:r>
          <w:rPr>
            <w:noProof/>
            <w:webHidden/>
          </w:rPr>
          <w:fldChar w:fldCharType="begin"/>
        </w:r>
        <w:r>
          <w:rPr>
            <w:noProof/>
            <w:webHidden/>
          </w:rPr>
          <w:instrText xml:space="preserve"> PAGEREF _Toc505089863 \h </w:instrText>
        </w:r>
        <w:r>
          <w:rPr>
            <w:noProof/>
            <w:webHidden/>
          </w:rPr>
        </w:r>
        <w:r>
          <w:rPr>
            <w:noProof/>
            <w:webHidden/>
          </w:rPr>
          <w:fldChar w:fldCharType="separate"/>
        </w:r>
        <w:r>
          <w:rPr>
            <w:noProof/>
            <w:webHidden/>
          </w:rPr>
          <w:t>10</w:t>
        </w:r>
        <w:r>
          <w:rPr>
            <w:noProof/>
            <w:webHidden/>
          </w:rPr>
          <w:fldChar w:fldCharType="end"/>
        </w:r>
      </w:hyperlink>
    </w:p>
    <w:p w:rsidR="00C725E7" w:rsidRPr="00F93161" w:rsidRDefault="003353E8">
      <w:pPr>
        <w:pStyle w:val="TOC1"/>
        <w:rPr>
          <w:rFonts w:asciiTheme="minorHAnsi" w:eastAsiaTheme="minorEastAsia" w:hAnsiTheme="minorHAnsi" w:cstheme="minorBidi"/>
          <w:noProof/>
          <w:szCs w:val="22"/>
        </w:rPr>
      </w:pPr>
      <w:r w:rsidRPr="00F93161">
        <w:fldChar w:fldCharType="end"/>
      </w:r>
      <w:bookmarkStart w:id="0" w:name="_GoBack"/>
      <w:bookmarkEnd w:id="0"/>
    </w:p>
    <w:p w:rsidR="008405A0" w:rsidRPr="00F93161" w:rsidRDefault="008405A0" w:rsidP="00CF635C">
      <w:pPr>
        <w:overflowPunct/>
        <w:adjustRightInd/>
        <w:textAlignment w:val="auto"/>
      </w:pPr>
      <w:r>
        <w:br w:type="page"/>
      </w:r>
    </w:p>
    <w:p w:rsidR="005F7907" w:rsidRPr="00F93161" w:rsidRDefault="00AD7EE7" w:rsidP="00CF635C">
      <w:pPr>
        <w:overflowPunct/>
        <w:textAlignment w:val="auto"/>
      </w:pPr>
      <w:r>
        <w:lastRenderedPageBreak/>
        <w:t xml:space="preserve">De zitting van 17 en 18 januari 2018 werd bijgewoond door </w:t>
      </w:r>
      <w:r>
        <w:rPr>
          <w:b/>
        </w:rPr>
        <w:t xml:space="preserve">Miguel </w:t>
      </w:r>
      <w:proofErr w:type="spellStart"/>
      <w:r>
        <w:rPr>
          <w:b/>
        </w:rPr>
        <w:t>Arias</w:t>
      </w:r>
      <w:proofErr w:type="spellEnd"/>
      <w:r>
        <w:rPr>
          <w:b/>
        </w:rPr>
        <w:t xml:space="preserve"> </w:t>
      </w:r>
      <w:proofErr w:type="spellStart"/>
      <w:r>
        <w:rPr>
          <w:b/>
        </w:rPr>
        <w:t>Cañete</w:t>
      </w:r>
      <w:proofErr w:type="spellEnd"/>
      <w:r>
        <w:t xml:space="preserve">, Europees commissaris voor Klimaatactie en Energie, </w:t>
      </w:r>
      <w:proofErr w:type="spellStart"/>
      <w:r>
        <w:rPr>
          <w:b/>
        </w:rPr>
        <w:t>Zornitsa</w:t>
      </w:r>
      <w:proofErr w:type="spellEnd"/>
      <w:r>
        <w:rPr>
          <w:b/>
        </w:rPr>
        <w:t xml:space="preserve"> </w:t>
      </w:r>
      <w:proofErr w:type="spellStart"/>
      <w:r>
        <w:rPr>
          <w:b/>
        </w:rPr>
        <w:t>Roussinova</w:t>
      </w:r>
      <w:proofErr w:type="spellEnd"/>
      <w:r>
        <w:t xml:space="preserve">, Bulgaars viceminister van Arbeid en Sociaal Beleid, </w:t>
      </w:r>
      <w:r>
        <w:rPr>
          <w:b/>
        </w:rPr>
        <w:t xml:space="preserve">Pierre </w:t>
      </w:r>
      <w:proofErr w:type="spellStart"/>
      <w:r>
        <w:rPr>
          <w:b/>
        </w:rPr>
        <w:t>Larrouturou</w:t>
      </w:r>
      <w:proofErr w:type="spellEnd"/>
      <w:r>
        <w:t xml:space="preserve">, landbouwingenieur en econoom, en </w:t>
      </w:r>
      <w:r>
        <w:rPr>
          <w:b/>
        </w:rPr>
        <w:t xml:space="preserve">Jean </w:t>
      </w:r>
      <w:proofErr w:type="spellStart"/>
      <w:r>
        <w:rPr>
          <w:b/>
        </w:rPr>
        <w:t>Jouzel</w:t>
      </w:r>
      <w:proofErr w:type="spellEnd"/>
      <w:r>
        <w:t xml:space="preserve">, klimatoloog en lid van de Franse </w:t>
      </w:r>
      <w:proofErr w:type="spellStart"/>
      <w:r>
        <w:t>Sociaal-Economische</w:t>
      </w:r>
      <w:proofErr w:type="spellEnd"/>
      <w:r>
        <w:t xml:space="preserve"> en Milieuraad. </w:t>
      </w:r>
    </w:p>
    <w:p w:rsidR="00034832" w:rsidRPr="00F93161" w:rsidRDefault="00034832" w:rsidP="00CF635C">
      <w:pPr>
        <w:overflowPunct/>
        <w:textAlignment w:val="auto"/>
      </w:pPr>
    </w:p>
    <w:p w:rsidR="00421682" w:rsidRPr="00F93161" w:rsidRDefault="00AD7EE7" w:rsidP="00CF635C">
      <w:pPr>
        <w:overflowPunct/>
        <w:textAlignment w:val="auto"/>
      </w:pPr>
      <w:r>
        <w:t>De volgende adviezen werden goedgekeurd:</w:t>
      </w:r>
    </w:p>
    <w:p w:rsidR="00A43397" w:rsidRPr="00F93161" w:rsidRDefault="00A43397" w:rsidP="00CF635C">
      <w:pPr>
        <w:pStyle w:val="Heading1"/>
        <w:numPr>
          <w:ilvl w:val="0"/>
          <w:numId w:val="0"/>
        </w:numPr>
      </w:pPr>
    </w:p>
    <w:p w:rsidR="00A43397" w:rsidRPr="00F93161" w:rsidRDefault="000C491C" w:rsidP="00A72E3F">
      <w:pPr>
        <w:pStyle w:val="Heading1"/>
        <w:ind w:left="567" w:hanging="567"/>
        <w:rPr>
          <w:b/>
          <w:caps/>
        </w:rPr>
      </w:pPr>
      <w:bookmarkStart w:id="1" w:name="_Toc504460490"/>
      <w:bookmarkStart w:id="2" w:name="_Toc505089861"/>
      <w:r>
        <w:rPr>
          <w:b/>
          <w:caps/>
          <w:color w:val="424242"/>
        </w:rPr>
        <w:t>Economische en Monetaire Unie - economische en sociale samenhang</w:t>
      </w:r>
      <w:bookmarkEnd w:id="1"/>
      <w:bookmarkEnd w:id="2"/>
    </w:p>
    <w:p w:rsidR="00C80F0D" w:rsidRPr="00F93161" w:rsidRDefault="00C80F0D" w:rsidP="00CF635C">
      <w:pPr>
        <w:rPr>
          <w:b/>
          <w:iCs/>
          <w:caps/>
          <w:highlight w:val="yellow"/>
          <w:u w:val="single"/>
        </w:rPr>
      </w:pPr>
    </w:p>
    <w:p w:rsidR="00C80F0D" w:rsidRPr="00093786" w:rsidRDefault="00C80F0D" w:rsidP="00CF635C">
      <w:pPr>
        <w:pStyle w:val="ListParagraph"/>
        <w:widowControl w:val="0"/>
        <w:numPr>
          <w:ilvl w:val="0"/>
          <w:numId w:val="64"/>
        </w:numPr>
        <w:rPr>
          <w:b/>
          <w:bCs/>
          <w:i/>
          <w:iCs/>
          <w:sz w:val="28"/>
          <w:szCs w:val="28"/>
        </w:rPr>
      </w:pPr>
      <w:r>
        <w:rPr>
          <w:b/>
          <w:i/>
          <w:sz w:val="28"/>
        </w:rPr>
        <w:t>Ontmoediging van belastingontwijking of -ontduiking</w:t>
      </w:r>
    </w:p>
    <w:p w:rsidR="00C80F0D" w:rsidRPr="00093786" w:rsidRDefault="00C80F0D" w:rsidP="00CF635C">
      <w:pPr>
        <w:ind w:firstLine="17"/>
      </w:pPr>
    </w:p>
    <w:p w:rsidR="00C80F0D" w:rsidRPr="00093786" w:rsidRDefault="00C80F0D" w:rsidP="00CF635C">
      <w:pPr>
        <w:tabs>
          <w:tab w:val="left" w:pos="1708"/>
        </w:tabs>
      </w:pPr>
      <w:r>
        <w:rPr>
          <w:b/>
        </w:rPr>
        <w:t>Rapporteur:</w:t>
      </w:r>
      <w:r>
        <w:tab/>
        <w:t xml:space="preserve">Victor </w:t>
      </w:r>
      <w:proofErr w:type="spellStart"/>
      <w:r>
        <w:t>Alistar</w:t>
      </w:r>
      <w:proofErr w:type="spellEnd"/>
      <w:r>
        <w:t xml:space="preserve"> (diverse werkzaamheden – RO)</w:t>
      </w:r>
    </w:p>
    <w:p w:rsidR="00C80F0D" w:rsidRPr="00093786" w:rsidRDefault="00C80F0D" w:rsidP="00CF635C">
      <w:pPr>
        <w:tabs>
          <w:tab w:val="left" w:pos="1708"/>
        </w:tabs>
      </w:pPr>
      <w:proofErr w:type="spellStart"/>
      <w:r>
        <w:rPr>
          <w:b/>
        </w:rPr>
        <w:t>Corapporteur</w:t>
      </w:r>
      <w:proofErr w:type="spellEnd"/>
      <w:r>
        <w:rPr>
          <w:b/>
        </w:rPr>
        <w:t>:</w:t>
      </w:r>
      <w:r>
        <w:tab/>
      </w:r>
      <w:proofErr w:type="spellStart"/>
      <w:r>
        <w:t>Petru</w:t>
      </w:r>
      <w:proofErr w:type="spellEnd"/>
      <w:r>
        <w:t xml:space="preserve"> </w:t>
      </w:r>
      <w:proofErr w:type="spellStart"/>
      <w:r>
        <w:t>Sorin</w:t>
      </w:r>
      <w:proofErr w:type="spellEnd"/>
      <w:r>
        <w:t xml:space="preserve"> </w:t>
      </w:r>
      <w:proofErr w:type="spellStart"/>
      <w:r>
        <w:t>Dandea</w:t>
      </w:r>
      <w:proofErr w:type="spellEnd"/>
      <w:r>
        <w:t xml:space="preserve"> (werknemers – RO)</w:t>
      </w:r>
    </w:p>
    <w:p w:rsidR="00C80F0D" w:rsidRPr="00093786" w:rsidRDefault="00C80F0D" w:rsidP="00CF635C">
      <w:pPr>
        <w:tabs>
          <w:tab w:val="left" w:pos="1708"/>
        </w:tabs>
      </w:pPr>
    </w:p>
    <w:p w:rsidR="00C80F0D" w:rsidRPr="00F93161" w:rsidRDefault="00C80F0D" w:rsidP="00CF635C">
      <w:pPr>
        <w:tabs>
          <w:tab w:val="left" w:pos="1701"/>
        </w:tabs>
        <w:ind w:left="-5"/>
      </w:pPr>
      <w:r>
        <w:rPr>
          <w:b/>
        </w:rPr>
        <w:t>Referentie:</w:t>
      </w:r>
      <w:r>
        <w:tab/>
        <w:t xml:space="preserve">COM(2017) 335 </w:t>
      </w:r>
      <w:proofErr w:type="spellStart"/>
      <w:r>
        <w:t>final</w:t>
      </w:r>
      <w:proofErr w:type="spellEnd"/>
    </w:p>
    <w:p w:rsidR="00C80F0D" w:rsidRPr="00F93161" w:rsidRDefault="00C80F0D" w:rsidP="00CF635C">
      <w:pPr>
        <w:ind w:left="1701"/>
        <w:rPr>
          <w:iCs/>
        </w:rPr>
      </w:pPr>
      <w:r>
        <w:t>EESC-2017-03232-00-00-AC-TRA</w:t>
      </w:r>
    </w:p>
    <w:p w:rsidR="00C80F0D" w:rsidRPr="00093786" w:rsidRDefault="00C80F0D" w:rsidP="00CF635C">
      <w:pPr>
        <w:tabs>
          <w:tab w:val="left" w:pos="1708"/>
        </w:tabs>
        <w:ind w:left="-5"/>
      </w:pPr>
    </w:p>
    <w:p w:rsidR="00C80F0D" w:rsidRPr="00093786" w:rsidRDefault="00C80F0D" w:rsidP="00CF635C">
      <w:pPr>
        <w:ind w:left="-5"/>
        <w:rPr>
          <w:b/>
        </w:rPr>
      </w:pPr>
      <w:r>
        <w:rPr>
          <w:b/>
        </w:rPr>
        <w:t>Hoofdpunten:</w:t>
      </w:r>
    </w:p>
    <w:p w:rsidR="00C80F0D" w:rsidRPr="00F93161" w:rsidRDefault="00C80F0D" w:rsidP="00CF635C">
      <w:pPr>
        <w:keepNext/>
        <w:rPr>
          <w:color w:val="000000" w:themeColor="text1"/>
        </w:rPr>
      </w:pPr>
    </w:p>
    <w:p w:rsidR="00C80F0D" w:rsidRPr="00F93161" w:rsidRDefault="00C80F0D" w:rsidP="00CF635C">
      <w:pPr>
        <w:rPr>
          <w:color w:val="000000" w:themeColor="text1"/>
        </w:rPr>
      </w:pPr>
      <w:r>
        <w:rPr>
          <w:color w:val="000000" w:themeColor="text1"/>
        </w:rPr>
        <w:t>Standpunt van het EESC:</w:t>
      </w:r>
    </w:p>
    <w:p w:rsidR="00C80F0D" w:rsidRPr="00F93161" w:rsidRDefault="00C80F0D" w:rsidP="00CF635C">
      <w:pPr>
        <w:rPr>
          <w:color w:val="000000" w:themeColor="text1"/>
        </w:rPr>
      </w:pPr>
    </w:p>
    <w:p w:rsidR="00C80F0D" w:rsidRPr="00F93161" w:rsidRDefault="00C80F0D" w:rsidP="00CF635C">
      <w:pPr>
        <w:pStyle w:val="ListParagraph"/>
        <w:numPr>
          <w:ilvl w:val="0"/>
          <w:numId w:val="56"/>
        </w:numPr>
        <w:rPr>
          <w:color w:val="000000" w:themeColor="text1"/>
        </w:rPr>
      </w:pPr>
      <w:r>
        <w:rPr>
          <w:color w:val="000000" w:themeColor="text1"/>
        </w:rPr>
        <w:t xml:space="preserve">Het EESC staat vierkant achter het besluit van de Europese Commissie om het probleem van intermediairs die agressieve belastingplanning mogelijk maken, aan te pakken. Wanneer hun activiteiten transparant worden, door middel van de in het voorstel voor een richtlijn voorgestelde meldingsplicht, zullen intermediairs minder geneigd zijn om hun cliënten agressieve fiscale planningsregelingen aan te bieden, waardoor schadelijke uitholling van de belastinggrondslag van de lidstaten wordt tegengegaan. </w:t>
      </w:r>
    </w:p>
    <w:p w:rsidR="00C80F0D" w:rsidRPr="00F93161" w:rsidRDefault="00C80F0D" w:rsidP="00CF635C">
      <w:pPr>
        <w:rPr>
          <w:color w:val="000000" w:themeColor="text1"/>
        </w:rPr>
      </w:pPr>
    </w:p>
    <w:p w:rsidR="00C80F0D" w:rsidRPr="00F93161" w:rsidRDefault="00C80F0D" w:rsidP="00CF635C">
      <w:pPr>
        <w:pStyle w:val="ListParagraph"/>
        <w:numPr>
          <w:ilvl w:val="0"/>
          <w:numId w:val="56"/>
        </w:numPr>
        <w:rPr>
          <w:color w:val="000000" w:themeColor="text1"/>
        </w:rPr>
      </w:pPr>
      <w:r>
        <w:rPr>
          <w:color w:val="000000" w:themeColor="text1"/>
        </w:rPr>
        <w:t xml:space="preserve">Het EESC benadrukt het belang van het besluit van de Commissie om de lidstaten logistieke en technische steun te verlenen bij de invoering van het beveiligd centraal gegevensbestand waarin informatie over administratieve samenwerking wordt opgeslagen. </w:t>
      </w:r>
    </w:p>
    <w:p w:rsidR="00C80F0D" w:rsidRPr="00F93161" w:rsidRDefault="00C80F0D" w:rsidP="00CF635C">
      <w:pPr>
        <w:rPr>
          <w:color w:val="000000" w:themeColor="text1"/>
        </w:rPr>
      </w:pPr>
    </w:p>
    <w:p w:rsidR="00C80F0D" w:rsidRPr="00F93161" w:rsidRDefault="00C80F0D" w:rsidP="00CF635C">
      <w:pPr>
        <w:pStyle w:val="ListParagraph"/>
        <w:numPr>
          <w:ilvl w:val="0"/>
          <w:numId w:val="56"/>
        </w:numPr>
        <w:rPr>
          <w:color w:val="000000" w:themeColor="text1"/>
        </w:rPr>
      </w:pPr>
      <w:r>
        <w:rPr>
          <w:color w:val="000000" w:themeColor="text1"/>
        </w:rPr>
        <w:t>Het is belangrijk ervoor te zorgen dat de richtlijn ook een echt afschrikwekkend effect heeft op agressieve belastingplanning. Er moet duidelijker worden aangegeven welke transacties moeten worden gemeld om te voorkomen dat bedrijven te veel meldingen doen, wat een tijdrovende kwestie is voor zowel belastingdiensten als belastingplichtigen.</w:t>
      </w:r>
    </w:p>
    <w:p w:rsidR="00C80F0D" w:rsidRPr="00F93161" w:rsidRDefault="00C80F0D" w:rsidP="00CF635C">
      <w:pPr>
        <w:rPr>
          <w:color w:val="000000" w:themeColor="text1"/>
        </w:rPr>
      </w:pPr>
    </w:p>
    <w:p w:rsidR="00C80F0D" w:rsidRPr="00F93161" w:rsidRDefault="00C80F0D" w:rsidP="00CF635C">
      <w:pPr>
        <w:pStyle w:val="ListParagraph"/>
        <w:numPr>
          <w:ilvl w:val="0"/>
          <w:numId w:val="56"/>
        </w:numPr>
        <w:rPr>
          <w:color w:val="000000" w:themeColor="text1"/>
        </w:rPr>
      </w:pPr>
      <w:r>
        <w:rPr>
          <w:color w:val="000000" w:themeColor="text1"/>
        </w:rPr>
        <w:t>Het EESC dringt erop aan dat de Commissie en de lidstaten op passende en constructieve wijze aangeven of transacties hier al dan niet onder vallen, aangezien het vereiste om het zakelijkheidscriterium van de "</w:t>
      </w:r>
      <w:r>
        <w:rPr>
          <w:i/>
          <w:color w:val="000000" w:themeColor="text1"/>
        </w:rPr>
        <w:t xml:space="preserve">Transfer Pricing </w:t>
      </w:r>
      <w:proofErr w:type="spellStart"/>
      <w:r>
        <w:rPr>
          <w:i/>
          <w:color w:val="000000" w:themeColor="text1"/>
        </w:rPr>
        <w:t>Guidelines</w:t>
      </w:r>
      <w:proofErr w:type="spellEnd"/>
      <w:r>
        <w:rPr>
          <w:color w:val="000000" w:themeColor="text1"/>
        </w:rPr>
        <w:t xml:space="preserve">" van de OESO in acht te nemen, geen exacte wetenschap is en onvermijdelijk subjectieve interpretatie door belastingbetalers en belastingdiensten met zich meebrengt. </w:t>
      </w:r>
    </w:p>
    <w:p w:rsidR="00C80F0D" w:rsidRPr="00F93161" w:rsidRDefault="00C80F0D" w:rsidP="00CF635C">
      <w:pPr>
        <w:rPr>
          <w:color w:val="000000" w:themeColor="text1"/>
        </w:rPr>
      </w:pPr>
    </w:p>
    <w:p w:rsidR="00C80F0D" w:rsidRPr="00F93161" w:rsidRDefault="00C80F0D" w:rsidP="00CF635C">
      <w:pPr>
        <w:pStyle w:val="ListParagraph"/>
        <w:numPr>
          <w:ilvl w:val="0"/>
          <w:numId w:val="56"/>
        </w:numPr>
        <w:rPr>
          <w:color w:val="000000" w:themeColor="text1"/>
        </w:rPr>
      </w:pPr>
      <w:r>
        <w:rPr>
          <w:color w:val="000000" w:themeColor="text1"/>
        </w:rPr>
        <w:lastRenderedPageBreak/>
        <w:t>Het EESC constateert dat de belastingbetaler de ultieme verantwoordelijkheid draagt voor het naleven van de voorgestelde richtlijn. Om aan de eis van evenredigheid te voldoen, moeten de administratieve kosten voor alle bedrijven, groot en klein, zo veel mogelijk worden beperkt.</w:t>
      </w:r>
    </w:p>
    <w:p w:rsidR="00C80F0D" w:rsidRPr="00F93161" w:rsidRDefault="00C80F0D" w:rsidP="00CF635C">
      <w:pPr>
        <w:rPr>
          <w:color w:val="000000" w:themeColor="text1"/>
        </w:rPr>
      </w:pPr>
    </w:p>
    <w:p w:rsidR="00C80F0D" w:rsidRPr="00F93161" w:rsidRDefault="00C80F0D" w:rsidP="00CF635C">
      <w:pPr>
        <w:pStyle w:val="ListParagraph"/>
        <w:numPr>
          <w:ilvl w:val="0"/>
          <w:numId w:val="57"/>
        </w:numPr>
        <w:rPr>
          <w:color w:val="000000" w:themeColor="text1"/>
        </w:rPr>
      </w:pPr>
      <w:r>
        <w:rPr>
          <w:color w:val="000000" w:themeColor="text1"/>
        </w:rPr>
        <w:t xml:space="preserve">Het EESC dringt er bij de Commissie op aan om de rapportagetermijn van vijf dagen te herzien om ervoor te zorgen dat deze termijn haalbaar is voor de instanties die aan de meldingsplicht zijn onderworpen en tevens in overeenstemming is met de doelstelling van een doeltreffend rapportagebeleid. </w:t>
      </w:r>
    </w:p>
    <w:p w:rsidR="00C80F0D" w:rsidRPr="00F93161" w:rsidRDefault="00C80F0D" w:rsidP="00CF635C">
      <w:pPr>
        <w:rPr>
          <w:color w:val="000000" w:themeColor="text1"/>
        </w:rPr>
      </w:pPr>
    </w:p>
    <w:p w:rsidR="00C80F0D" w:rsidRPr="00F93161" w:rsidRDefault="00C80F0D" w:rsidP="00CF635C">
      <w:pPr>
        <w:pStyle w:val="ListParagraph"/>
        <w:numPr>
          <w:ilvl w:val="0"/>
          <w:numId w:val="57"/>
        </w:numPr>
        <w:rPr>
          <w:color w:val="000000" w:themeColor="text1"/>
        </w:rPr>
      </w:pPr>
      <w:r>
        <w:rPr>
          <w:color w:val="000000" w:themeColor="text1"/>
        </w:rPr>
        <w:t xml:space="preserve">In het voorstel voor een richtlijn blijft een aantal kwesties onopgelost, zoals de wijze waarop deze richtlijn moet worden toegepast op belastingplichtigen in de digitale economie; het is immers moeilijk om hun fysieke aanwezigheid als belastingplichtige in de rechtsgebieden van de afzonderlijke lidstaten te bepalen. </w:t>
      </w:r>
    </w:p>
    <w:p w:rsidR="00C80F0D" w:rsidRPr="00F93161" w:rsidRDefault="00C80F0D" w:rsidP="00CF635C">
      <w:pPr>
        <w:rPr>
          <w:color w:val="000000" w:themeColor="text1"/>
        </w:rPr>
      </w:pPr>
    </w:p>
    <w:p w:rsidR="00C80F0D" w:rsidRPr="00F93161" w:rsidRDefault="00C80F0D" w:rsidP="00CF635C">
      <w:pPr>
        <w:pStyle w:val="ListParagraph"/>
        <w:numPr>
          <w:ilvl w:val="0"/>
          <w:numId w:val="56"/>
        </w:numPr>
      </w:pPr>
      <w:r>
        <w:rPr>
          <w:color w:val="000000" w:themeColor="text1"/>
        </w:rPr>
        <w:t>Het EESC onderstreept dat de rapportagemechanismen niet mogen leiden tot instabiliteit van de belastingwetgeving als gevolg van frequente wijzigingen en dat rekening moet worden gehouden met het feit dat directe belastingen onder de wetgevende bevoegdheid van de lidstaten vallen.</w:t>
      </w:r>
    </w:p>
    <w:p w:rsidR="00C80F0D" w:rsidRPr="00F93161" w:rsidRDefault="00C80F0D" w:rsidP="00CF635C">
      <w:pPr>
        <w:rPr>
          <w:highlight w:val="yellow"/>
        </w:rPr>
      </w:pPr>
    </w:p>
    <w:p w:rsidR="00C80F0D" w:rsidRPr="00F93161" w:rsidRDefault="00C80F0D" w:rsidP="00CF635C">
      <w:pPr>
        <w:tabs>
          <w:tab w:val="left" w:pos="1418"/>
        </w:tabs>
        <w:rPr>
          <w:i/>
        </w:rPr>
      </w:pPr>
      <w:r>
        <w:rPr>
          <w:b/>
          <w:i/>
        </w:rPr>
        <w:t>Contact:</w:t>
      </w:r>
      <w:r>
        <w:rPr>
          <w:i/>
        </w:rPr>
        <w:t xml:space="preserve"> </w:t>
      </w:r>
      <w:r>
        <w:tab/>
      </w:r>
      <w:proofErr w:type="spellStart"/>
      <w:r>
        <w:rPr>
          <w:i/>
        </w:rPr>
        <w:t>Jüri</w:t>
      </w:r>
      <w:proofErr w:type="spellEnd"/>
      <w:r>
        <w:rPr>
          <w:i/>
        </w:rPr>
        <w:t xml:space="preserve"> </w:t>
      </w:r>
      <w:proofErr w:type="spellStart"/>
      <w:r>
        <w:rPr>
          <w:i/>
        </w:rPr>
        <w:t>Soosaar</w:t>
      </w:r>
      <w:proofErr w:type="spellEnd"/>
    </w:p>
    <w:p w:rsidR="00C80F0D" w:rsidRPr="00F93161" w:rsidRDefault="00C80F0D" w:rsidP="00CF635C">
      <w:pPr>
        <w:ind w:left="1418"/>
        <w:jc w:val="left"/>
        <w:rPr>
          <w:caps/>
        </w:rPr>
      </w:pPr>
      <w:r>
        <w:rPr>
          <w:i/>
        </w:rPr>
        <w:t xml:space="preserve">Tel.: 00 32 2 546 9628 - e-mail: </w:t>
      </w:r>
      <w:hyperlink r:id="rId22">
        <w:r>
          <w:rPr>
            <w:rStyle w:val="Hyperlink"/>
            <w:i/>
          </w:rPr>
          <w:t>juri.soosaar@eesc.europa.eu</w:t>
        </w:r>
      </w:hyperlink>
      <w:r>
        <w:rPr>
          <w:i/>
        </w:rPr>
        <w:t xml:space="preserve"> </w:t>
      </w:r>
    </w:p>
    <w:p w:rsidR="00C80F0D" w:rsidRPr="00093786" w:rsidRDefault="00C80F0D" w:rsidP="00CF635C">
      <w:pPr>
        <w:rPr>
          <w:b/>
          <w:iCs/>
          <w:highlight w:val="yellow"/>
          <w:u w:val="single"/>
        </w:rPr>
      </w:pPr>
    </w:p>
    <w:p w:rsidR="00C80F0D" w:rsidRPr="00093786" w:rsidRDefault="00C80F0D" w:rsidP="00CF635C">
      <w:pPr>
        <w:pStyle w:val="ListParagraph"/>
        <w:widowControl w:val="0"/>
        <w:numPr>
          <w:ilvl w:val="0"/>
          <w:numId w:val="65"/>
        </w:numPr>
        <w:rPr>
          <w:b/>
          <w:bCs/>
          <w:i/>
          <w:iCs/>
          <w:sz w:val="28"/>
          <w:szCs w:val="28"/>
        </w:rPr>
      </w:pPr>
      <w:r>
        <w:rPr>
          <w:b/>
          <w:i/>
          <w:sz w:val="28"/>
        </w:rPr>
        <w:t>Het economisch beleid van de eurozone 2018</w:t>
      </w:r>
    </w:p>
    <w:p w:rsidR="00C80F0D" w:rsidRPr="00C06017" w:rsidRDefault="00C80F0D" w:rsidP="00C06017">
      <w:pPr>
        <w:widowControl w:val="0"/>
        <w:rPr>
          <w:bCs/>
          <w:iCs/>
          <w:szCs w:val="28"/>
        </w:rPr>
      </w:pPr>
    </w:p>
    <w:p w:rsidR="00C80F0D" w:rsidRPr="00093786" w:rsidRDefault="00C80F0D" w:rsidP="00CF635C">
      <w:pPr>
        <w:tabs>
          <w:tab w:val="left" w:pos="1701"/>
        </w:tabs>
      </w:pPr>
      <w:r>
        <w:rPr>
          <w:b/>
        </w:rPr>
        <w:t>Afdelingsrapporteur:</w:t>
      </w:r>
      <w:r>
        <w:tab/>
        <w:t xml:space="preserve">Javier </w:t>
      </w:r>
      <w:proofErr w:type="spellStart"/>
      <w:r>
        <w:t>Doz</w:t>
      </w:r>
      <w:proofErr w:type="spellEnd"/>
      <w:r>
        <w:t xml:space="preserve"> </w:t>
      </w:r>
      <w:proofErr w:type="spellStart"/>
      <w:r>
        <w:t>Orrit</w:t>
      </w:r>
      <w:proofErr w:type="spellEnd"/>
      <w:r>
        <w:t xml:space="preserve"> (werknemers – ES)</w:t>
      </w:r>
    </w:p>
    <w:p w:rsidR="00C80F0D" w:rsidRPr="00093786" w:rsidRDefault="00C80F0D" w:rsidP="00CF635C">
      <w:pPr>
        <w:tabs>
          <w:tab w:val="left" w:pos="1701"/>
        </w:tabs>
      </w:pPr>
    </w:p>
    <w:p w:rsidR="00C80F0D" w:rsidRPr="00F93161" w:rsidRDefault="00C80F0D" w:rsidP="00CF635C">
      <w:pPr>
        <w:tabs>
          <w:tab w:val="left" w:pos="1701"/>
        </w:tabs>
        <w:ind w:left="-5"/>
      </w:pPr>
      <w:r>
        <w:rPr>
          <w:b/>
        </w:rPr>
        <w:t>Referentie:</w:t>
      </w:r>
      <w:r>
        <w:tab/>
        <w:t xml:space="preserve">COM(2017) 770 </w:t>
      </w:r>
      <w:proofErr w:type="spellStart"/>
      <w:r>
        <w:t>final</w:t>
      </w:r>
      <w:proofErr w:type="spellEnd"/>
    </w:p>
    <w:p w:rsidR="00C80F0D" w:rsidRPr="00F93161" w:rsidRDefault="00C80F0D" w:rsidP="00CF635C">
      <w:pPr>
        <w:ind w:left="1701"/>
        <w:rPr>
          <w:iCs/>
        </w:rPr>
      </w:pPr>
      <w:r>
        <w:t>EESC-2017-05444-00-00-AC-TRA</w:t>
      </w:r>
    </w:p>
    <w:p w:rsidR="00C80F0D" w:rsidRPr="00093786" w:rsidRDefault="00C80F0D" w:rsidP="00CF635C"/>
    <w:p w:rsidR="00C80F0D" w:rsidRPr="00093786" w:rsidRDefault="00C80F0D" w:rsidP="00CF635C">
      <w:pPr>
        <w:rPr>
          <w:b/>
        </w:rPr>
      </w:pPr>
      <w:r>
        <w:rPr>
          <w:b/>
        </w:rPr>
        <w:t>Hoofdpunten:</w:t>
      </w:r>
    </w:p>
    <w:p w:rsidR="00CF635C" w:rsidRPr="00093786" w:rsidRDefault="00CF635C" w:rsidP="00CF635C">
      <w:pPr>
        <w:rPr>
          <w:b/>
        </w:rPr>
      </w:pPr>
    </w:p>
    <w:p w:rsidR="00C80F0D" w:rsidRPr="00F93161" w:rsidRDefault="00C80F0D" w:rsidP="00CF635C">
      <w:r>
        <w:t>Standpunt van het EESC:</w:t>
      </w:r>
    </w:p>
    <w:p w:rsidR="00C80F0D" w:rsidRPr="00F93161" w:rsidRDefault="00C80F0D" w:rsidP="00CF635C"/>
    <w:p w:rsidR="00C80F0D" w:rsidRPr="00F93161" w:rsidRDefault="00C80F0D" w:rsidP="006703C8">
      <w:pPr>
        <w:pStyle w:val="ListParagraph"/>
        <w:numPr>
          <w:ilvl w:val="0"/>
          <w:numId w:val="59"/>
        </w:numPr>
      </w:pPr>
      <w:r>
        <w:t>Het EESC onderschrijft de nadruk op duurzame en inclusieve groei, veerkracht en convergentie als beleidsdoelstellingen voor de eurozone.</w:t>
      </w:r>
    </w:p>
    <w:p w:rsidR="00C80F0D" w:rsidRPr="00F93161" w:rsidRDefault="00C80F0D" w:rsidP="00CF635C"/>
    <w:p w:rsidR="00C80F0D" w:rsidRPr="00F93161" w:rsidRDefault="00C80F0D" w:rsidP="006703C8">
      <w:pPr>
        <w:pStyle w:val="ListParagraph"/>
        <w:numPr>
          <w:ilvl w:val="0"/>
          <w:numId w:val="59"/>
        </w:numPr>
      </w:pPr>
      <w:r>
        <w:t>Het economisch herstel in de eurozone is sinds vorig jaar weliswaar versneld, maar blijft zwak, onvolledig en atypisch, met een aanhoudende slappe arbeidsmarkt, investeringen onder het niveau van 2008 en een aanhoudend overschot op de lopende rekening van het eurogebied met de rest van de wereld.</w:t>
      </w:r>
    </w:p>
    <w:p w:rsidR="00C80F0D" w:rsidRPr="00F93161" w:rsidRDefault="00C80F0D" w:rsidP="00CF635C"/>
    <w:p w:rsidR="00C80F0D" w:rsidRPr="00F93161" w:rsidRDefault="00C80F0D" w:rsidP="006703C8">
      <w:pPr>
        <w:pStyle w:val="ListParagraph"/>
        <w:numPr>
          <w:ilvl w:val="0"/>
          <w:numId w:val="59"/>
        </w:numPr>
      </w:pPr>
      <w:r>
        <w:t>Het EESC beseft dat de hoge schuldenlast van de overheid en de particuliere sector in de eurozone de economie daar kwetsbaar maakt en ziet in dat deze moet worden teruggedrongen.</w:t>
      </w:r>
    </w:p>
    <w:p w:rsidR="00C80F0D" w:rsidRPr="00F93161" w:rsidRDefault="00C80F0D" w:rsidP="00CF635C"/>
    <w:p w:rsidR="00C80F0D" w:rsidRPr="00F93161" w:rsidRDefault="00C80F0D" w:rsidP="006703C8">
      <w:pPr>
        <w:pStyle w:val="ListParagraph"/>
        <w:numPr>
          <w:ilvl w:val="0"/>
          <w:numId w:val="59"/>
        </w:numPr>
      </w:pPr>
      <w:r>
        <w:lastRenderedPageBreak/>
        <w:t>Het EESC is het niet eens met het voorstel van de Europese Commissie voor een globaal genomen neutrale begrotingskoers en stelt in plaats daarvan een positieve begrotingskoers van ongeveer 0,5 % van het bbp voor.</w:t>
      </w:r>
    </w:p>
    <w:p w:rsidR="00C80F0D" w:rsidRPr="00F93161" w:rsidRDefault="00C80F0D" w:rsidP="00CF635C"/>
    <w:p w:rsidR="00C83322" w:rsidRPr="00F93161" w:rsidRDefault="00C80F0D" w:rsidP="00F93161">
      <w:pPr>
        <w:pStyle w:val="ListParagraph"/>
        <w:numPr>
          <w:ilvl w:val="0"/>
          <w:numId w:val="59"/>
        </w:numPr>
      </w:pPr>
      <w:r>
        <w:t>Het EESC beveelt aan dat de Commissie bij de toepassing van de begrotingsregels overheidsuitgaven voor investeringen uitsluit van het toepassingsgebied van het Stabiliteits- en groeipact.</w:t>
      </w:r>
    </w:p>
    <w:p w:rsidR="00C83322" w:rsidRPr="00F93161" w:rsidRDefault="00C83322" w:rsidP="00C83322">
      <w:pPr>
        <w:spacing w:line="240" w:lineRule="auto"/>
      </w:pPr>
    </w:p>
    <w:p w:rsidR="00C80F0D" w:rsidRPr="00F93161" w:rsidRDefault="00C80F0D" w:rsidP="006703C8">
      <w:pPr>
        <w:pStyle w:val="ListParagraph"/>
        <w:numPr>
          <w:ilvl w:val="0"/>
          <w:numId w:val="59"/>
        </w:numPr>
      </w:pPr>
      <w:r>
        <w:t>Het EESC is ingenomen met structurele hervormingen die niet alleen de productiviteit en het groeipotentieel verhogen, het ondernemingsklimaat verbeteren en investeringen ondersteunen, maar ook kwalitatief hoogwaardige banen helpen scheppen en ongelijkheid verminderen.</w:t>
      </w:r>
    </w:p>
    <w:p w:rsidR="00C80F0D" w:rsidRPr="00F93161" w:rsidRDefault="00C80F0D" w:rsidP="00CF635C"/>
    <w:p w:rsidR="00C80F0D" w:rsidRPr="00F93161" w:rsidRDefault="00C80F0D" w:rsidP="006703C8">
      <w:pPr>
        <w:pStyle w:val="ListParagraph"/>
        <w:numPr>
          <w:ilvl w:val="0"/>
          <w:numId w:val="59"/>
        </w:numPr>
      </w:pPr>
      <w:r>
        <w:t>De lidstaten zouden prioriteit moeten geven aan het nemen van doeltreffende maatregelen tegen belastingontwijking, belastingfraude, het witwassen van geld en de illegale activiteiten van belastingparadijzen.</w:t>
      </w:r>
    </w:p>
    <w:p w:rsidR="00C80F0D" w:rsidRPr="00F93161" w:rsidRDefault="00C80F0D" w:rsidP="00CF635C"/>
    <w:p w:rsidR="00C83322" w:rsidRDefault="00C80F0D" w:rsidP="00C83322">
      <w:pPr>
        <w:pStyle w:val="ListParagraph"/>
        <w:numPr>
          <w:ilvl w:val="0"/>
          <w:numId w:val="59"/>
        </w:numPr>
        <w:spacing w:line="240" w:lineRule="auto"/>
      </w:pPr>
      <w:r>
        <w:t>Het EESC steunt de maatregelen die nodig zijn om de EMU te verdiepen, waaronder een volledige en snelle realisatie van zowel de bankenunie – Europees depositoverzekeringsstelsel, de gemeenschappelijke vangnetregeling voor het Gemeenschappelijk Afwikkelingsfonds en de versterking van het Europese toezichtkader – als de kapitaalmarktenunie.</w:t>
      </w:r>
    </w:p>
    <w:p w:rsidR="00E6694D" w:rsidRPr="00F93161" w:rsidRDefault="00E6694D" w:rsidP="00F93161">
      <w:pPr>
        <w:spacing w:line="240" w:lineRule="auto"/>
      </w:pPr>
    </w:p>
    <w:p w:rsidR="00C80F0D" w:rsidRPr="00F93161" w:rsidRDefault="00C80F0D" w:rsidP="006703C8">
      <w:pPr>
        <w:pStyle w:val="ListParagraph"/>
        <w:numPr>
          <w:ilvl w:val="0"/>
          <w:numId w:val="59"/>
        </w:numPr>
      </w:pPr>
      <w:r>
        <w:t>Het EESC herhaalt zijn standpunt dat de euro de munteenheid is van de gehele EU en benadrukt het volgende:</w:t>
      </w:r>
    </w:p>
    <w:p w:rsidR="00C80F0D" w:rsidRPr="00F93161" w:rsidRDefault="00C80F0D" w:rsidP="00CF635C">
      <w:pPr>
        <w:pStyle w:val="ListParagraph"/>
        <w:numPr>
          <w:ilvl w:val="0"/>
          <w:numId w:val="58"/>
        </w:numPr>
      </w:pPr>
      <w:r>
        <w:t>de totstandbrenging van een begrotingsunie;</w:t>
      </w:r>
    </w:p>
    <w:p w:rsidR="00C80F0D" w:rsidRPr="00F93161" w:rsidRDefault="00C80F0D" w:rsidP="00CF635C">
      <w:pPr>
        <w:pStyle w:val="ListParagraph"/>
        <w:numPr>
          <w:ilvl w:val="0"/>
          <w:numId w:val="58"/>
        </w:numPr>
      </w:pPr>
      <w:r>
        <w:t>het vergroten van de verantwoordingsplicht (</w:t>
      </w:r>
      <w:proofErr w:type="spellStart"/>
      <w:r>
        <w:t>responsibility</w:t>
      </w:r>
      <w:proofErr w:type="spellEnd"/>
      <w:r>
        <w:t xml:space="preserve"> </w:t>
      </w:r>
      <w:proofErr w:type="spellStart"/>
      <w:r>
        <w:t>and</w:t>
      </w:r>
      <w:proofErr w:type="spellEnd"/>
      <w:r>
        <w:t xml:space="preserve"> </w:t>
      </w:r>
      <w:proofErr w:type="spellStart"/>
      <w:r>
        <w:t>ownership</w:t>
      </w:r>
      <w:proofErr w:type="spellEnd"/>
      <w:r>
        <w:t>) van lidstaten voor verplichtingen ten opzichte van de EMU;</w:t>
      </w:r>
    </w:p>
    <w:p w:rsidR="00C80F0D" w:rsidRPr="00F93161" w:rsidRDefault="00C80F0D" w:rsidP="00CF635C">
      <w:pPr>
        <w:pStyle w:val="ListParagraph"/>
        <w:numPr>
          <w:ilvl w:val="0"/>
          <w:numId w:val="58"/>
        </w:numPr>
      </w:pPr>
      <w:r>
        <w:t>de invoering van structurele hervormingen van het Europees semester;</w:t>
      </w:r>
    </w:p>
    <w:p w:rsidR="00C80F0D" w:rsidRPr="00F93161" w:rsidRDefault="00C80F0D" w:rsidP="00CF635C">
      <w:pPr>
        <w:pStyle w:val="ListParagraph"/>
        <w:numPr>
          <w:ilvl w:val="0"/>
          <w:numId w:val="58"/>
        </w:numPr>
      </w:pPr>
      <w:r>
        <w:t xml:space="preserve">versterking van de economische coördinatie en </w:t>
      </w:r>
      <w:proofErr w:type="spellStart"/>
      <w:r>
        <w:t>governance</w:t>
      </w:r>
      <w:proofErr w:type="spellEnd"/>
      <w:r>
        <w:t>, en de oprichting van een Europees Monetair Fonds;</w:t>
      </w:r>
    </w:p>
    <w:p w:rsidR="00C80F0D" w:rsidRPr="00F93161" w:rsidRDefault="00C80F0D" w:rsidP="00CF635C">
      <w:pPr>
        <w:pStyle w:val="ListParagraph"/>
        <w:numPr>
          <w:ilvl w:val="0"/>
          <w:numId w:val="58"/>
        </w:numPr>
      </w:pPr>
      <w:r>
        <w:t xml:space="preserve">verbetering van het stelsel van </w:t>
      </w:r>
      <w:proofErr w:type="spellStart"/>
      <w:r>
        <w:t>financiëlebemiddelingsdiensten</w:t>
      </w:r>
      <w:proofErr w:type="spellEnd"/>
      <w:r>
        <w:t>, wat leidt tot de bevordering van reële langetermijninvesteringen dankzij verbetering van de rol van de EIB, het EIF en het EFSI 2.0;</w:t>
      </w:r>
    </w:p>
    <w:p w:rsidR="00C80F0D" w:rsidRPr="00F93161" w:rsidRDefault="00C80F0D" w:rsidP="00CF635C">
      <w:pPr>
        <w:pStyle w:val="ListParagraph"/>
        <w:numPr>
          <w:ilvl w:val="0"/>
          <w:numId w:val="58"/>
        </w:numPr>
      </w:pPr>
      <w:r>
        <w:t>een veerkrachtiger EMU, zodat zij wereldwijd een grotere invloed kan uitoefenen.</w:t>
      </w:r>
    </w:p>
    <w:p w:rsidR="00C80F0D" w:rsidRPr="00F93161" w:rsidRDefault="00C80F0D" w:rsidP="00CF635C"/>
    <w:p w:rsidR="00C80F0D" w:rsidRPr="00093786" w:rsidRDefault="00C80F0D" w:rsidP="00CF635C">
      <w:pPr>
        <w:tabs>
          <w:tab w:val="left" w:pos="1418"/>
        </w:tabs>
        <w:rPr>
          <w:i/>
          <w:iCs/>
        </w:rPr>
      </w:pPr>
      <w:r>
        <w:rPr>
          <w:b/>
          <w:i/>
        </w:rPr>
        <w:t>Contact:</w:t>
      </w:r>
      <w:r>
        <w:tab/>
      </w:r>
      <w:r>
        <w:rPr>
          <w:i/>
        </w:rPr>
        <w:t xml:space="preserve">Alexander </w:t>
      </w:r>
      <w:proofErr w:type="spellStart"/>
      <w:r>
        <w:rPr>
          <w:i/>
        </w:rPr>
        <w:t>Alexandrov</w:t>
      </w:r>
      <w:proofErr w:type="spellEnd"/>
    </w:p>
    <w:p w:rsidR="00A43397" w:rsidRPr="00F93161" w:rsidRDefault="00C80F0D" w:rsidP="00CF635C">
      <w:pPr>
        <w:tabs>
          <w:tab w:val="left" w:pos="1418"/>
        </w:tabs>
        <w:ind w:left="1418"/>
        <w:rPr>
          <w:i/>
        </w:rPr>
      </w:pPr>
      <w:r>
        <w:rPr>
          <w:i/>
        </w:rPr>
        <w:t xml:space="preserve">Tel.: 00 32 2 546 98 05 - e-mail: </w:t>
      </w:r>
      <w:hyperlink r:id="rId23">
        <w:r>
          <w:rPr>
            <w:rStyle w:val="Hyperlink"/>
            <w:i/>
          </w:rPr>
          <w:t>alexander.alexandrov@eesc.europa.eu</w:t>
        </w:r>
      </w:hyperlink>
    </w:p>
    <w:p w:rsidR="0099413E" w:rsidRPr="00F93161" w:rsidRDefault="0099413E" w:rsidP="00CF635C">
      <w:pPr>
        <w:rPr>
          <w:i/>
          <w:iCs/>
          <w:u w:val="single"/>
        </w:rPr>
      </w:pPr>
    </w:p>
    <w:p w:rsidR="0099413E" w:rsidRPr="00F93161" w:rsidRDefault="0099413E" w:rsidP="00CF635C">
      <w:pPr>
        <w:pStyle w:val="ListParagraph"/>
        <w:widowControl w:val="0"/>
        <w:numPr>
          <w:ilvl w:val="0"/>
          <w:numId w:val="66"/>
        </w:numPr>
        <w:rPr>
          <w:b/>
          <w:i/>
          <w:sz w:val="28"/>
          <w:szCs w:val="28"/>
        </w:rPr>
      </w:pPr>
      <w:r>
        <w:rPr>
          <w:b/>
          <w:i/>
          <w:sz w:val="28"/>
        </w:rPr>
        <w:t>Zetel van de Europese Bankautoriteit (EBA)</w:t>
      </w:r>
    </w:p>
    <w:p w:rsidR="0099413E" w:rsidRPr="00F93161" w:rsidRDefault="0099413E" w:rsidP="00CF635C">
      <w:pPr>
        <w:tabs>
          <w:tab w:val="center" w:pos="284"/>
        </w:tabs>
        <w:ind w:left="266" w:hanging="266"/>
        <w:rPr>
          <w:b/>
        </w:rPr>
      </w:pPr>
    </w:p>
    <w:p w:rsidR="0099413E" w:rsidRPr="00F93161" w:rsidRDefault="0099413E" w:rsidP="00CF635C">
      <w:pPr>
        <w:tabs>
          <w:tab w:val="center" w:pos="284"/>
        </w:tabs>
        <w:ind w:left="266" w:hanging="266"/>
        <w:rPr>
          <w:b/>
        </w:rPr>
      </w:pPr>
      <w:r>
        <w:rPr>
          <w:b/>
        </w:rPr>
        <w:t>Categorie C-advies</w:t>
      </w:r>
    </w:p>
    <w:p w:rsidR="0099413E" w:rsidRPr="00F93161" w:rsidRDefault="0099413E" w:rsidP="00CF635C">
      <w:pPr>
        <w:tabs>
          <w:tab w:val="center" w:pos="284"/>
        </w:tabs>
        <w:ind w:left="266" w:hanging="266"/>
      </w:pPr>
    </w:p>
    <w:p w:rsidR="003029D8" w:rsidRPr="00F93161" w:rsidRDefault="0099413E" w:rsidP="00CF635C">
      <w:pPr>
        <w:tabs>
          <w:tab w:val="left" w:pos="1701"/>
        </w:tabs>
        <w:ind w:left="-5"/>
      </w:pPr>
      <w:r>
        <w:rPr>
          <w:b/>
        </w:rPr>
        <w:t>Referentie:</w:t>
      </w:r>
      <w:r>
        <w:tab/>
        <w:t xml:space="preserve">COM(2017) 734 </w:t>
      </w:r>
      <w:proofErr w:type="spellStart"/>
      <w:r>
        <w:t>final</w:t>
      </w:r>
      <w:proofErr w:type="spellEnd"/>
      <w:r>
        <w:t xml:space="preserve"> – 2017/0326 (COD)</w:t>
      </w:r>
    </w:p>
    <w:p w:rsidR="0099413E" w:rsidRPr="00F93161" w:rsidRDefault="0099413E" w:rsidP="00CF635C">
      <w:pPr>
        <w:ind w:left="1701"/>
      </w:pPr>
      <w:r>
        <w:t>EESC-2017-05890-00-00-AC-TRA</w:t>
      </w:r>
    </w:p>
    <w:p w:rsidR="0099413E" w:rsidRPr="00F93161" w:rsidRDefault="0099413E" w:rsidP="00CF635C">
      <w:pPr>
        <w:tabs>
          <w:tab w:val="center" w:pos="284"/>
        </w:tabs>
        <w:ind w:left="266" w:hanging="266"/>
      </w:pPr>
    </w:p>
    <w:p w:rsidR="0099413E" w:rsidRPr="00F93161" w:rsidRDefault="0099413E" w:rsidP="00CF635C">
      <w:pPr>
        <w:keepNext/>
        <w:keepLines/>
        <w:tabs>
          <w:tab w:val="center" w:pos="284"/>
        </w:tabs>
        <w:ind w:left="266" w:hanging="266"/>
        <w:rPr>
          <w:b/>
        </w:rPr>
      </w:pPr>
      <w:r>
        <w:rPr>
          <w:b/>
        </w:rPr>
        <w:t>Hoofdpunten:</w:t>
      </w:r>
    </w:p>
    <w:p w:rsidR="0099413E" w:rsidRPr="00F93161" w:rsidRDefault="0099413E" w:rsidP="00CF635C">
      <w:pPr>
        <w:outlineLvl w:val="1"/>
      </w:pPr>
    </w:p>
    <w:p w:rsidR="0099413E" w:rsidRPr="00F93161" w:rsidRDefault="0099413E" w:rsidP="00CF635C">
      <w:pPr>
        <w:pStyle w:val="Heading2"/>
        <w:numPr>
          <w:ilvl w:val="0"/>
          <w:numId w:val="0"/>
        </w:numPr>
      </w:pPr>
      <w:r>
        <w:lastRenderedPageBreak/>
        <w:t>Aangezien het Comité instemt met het Commissievoorstel en er geen commentaar op heeft, heeft het besloten hierover een positief advies uit te brengen.</w:t>
      </w:r>
    </w:p>
    <w:p w:rsidR="0099413E" w:rsidRPr="00F93161" w:rsidRDefault="0099413E" w:rsidP="00CF635C"/>
    <w:p w:rsidR="0099413E" w:rsidRPr="00F93161" w:rsidRDefault="0099413E" w:rsidP="00CF635C">
      <w:pPr>
        <w:rPr>
          <w:i/>
        </w:rPr>
      </w:pPr>
      <w:r>
        <w:rPr>
          <w:b/>
          <w:i/>
        </w:rPr>
        <w:t>Contact:</w:t>
      </w:r>
      <w:r>
        <w:rPr>
          <w:i/>
        </w:rPr>
        <w:t xml:space="preserve"> </w:t>
      </w:r>
      <w:r>
        <w:tab/>
      </w:r>
      <w:r>
        <w:rPr>
          <w:i/>
        </w:rPr>
        <w:t xml:space="preserve">Gerald </w:t>
      </w:r>
      <w:proofErr w:type="spellStart"/>
      <w:r>
        <w:rPr>
          <w:i/>
        </w:rPr>
        <w:t>Klec</w:t>
      </w:r>
      <w:proofErr w:type="spellEnd"/>
    </w:p>
    <w:p w:rsidR="0099413E" w:rsidRPr="00F93161" w:rsidRDefault="0099413E" w:rsidP="00CF635C">
      <w:pPr>
        <w:ind w:left="1134"/>
        <w:rPr>
          <w:i/>
        </w:rPr>
      </w:pPr>
      <w:r>
        <w:rPr>
          <w:i/>
        </w:rPr>
        <w:t xml:space="preserve">Tel.: 00 32 2 546 9909 - e-mail: </w:t>
      </w:r>
      <w:hyperlink r:id="rId24">
        <w:r>
          <w:rPr>
            <w:rStyle w:val="Hyperlink"/>
            <w:i/>
          </w:rPr>
          <w:t>gerald.klec@eesc.europa.eu</w:t>
        </w:r>
      </w:hyperlink>
      <w:r>
        <w:rPr>
          <w:i/>
        </w:rPr>
        <w:t xml:space="preserve"> </w:t>
      </w:r>
    </w:p>
    <w:p w:rsidR="0099413E" w:rsidRPr="00F93161" w:rsidRDefault="0099413E" w:rsidP="00CF635C">
      <w:pPr>
        <w:overflowPunct/>
        <w:autoSpaceDE/>
        <w:autoSpaceDN/>
        <w:adjustRightInd/>
        <w:jc w:val="left"/>
        <w:textAlignment w:val="auto"/>
        <w:rPr>
          <w:i/>
        </w:rPr>
      </w:pPr>
      <w:r>
        <w:br w:type="page"/>
      </w:r>
    </w:p>
    <w:p w:rsidR="00A43397" w:rsidRPr="00F93161" w:rsidRDefault="000C491C" w:rsidP="00A72E3F">
      <w:pPr>
        <w:pStyle w:val="Heading1"/>
        <w:ind w:left="567" w:hanging="567"/>
        <w:rPr>
          <w:b/>
          <w:caps/>
        </w:rPr>
      </w:pPr>
      <w:bookmarkStart w:id="3" w:name="_Toc504460491"/>
      <w:bookmarkStart w:id="4" w:name="_Toc505089862"/>
      <w:r>
        <w:rPr>
          <w:b/>
          <w:caps/>
          <w:color w:val="424242"/>
        </w:rPr>
        <w:lastRenderedPageBreak/>
        <w:t>Interne Markt, Productie en Consumptie</w:t>
      </w:r>
      <w:bookmarkEnd w:id="3"/>
      <w:bookmarkEnd w:id="4"/>
    </w:p>
    <w:p w:rsidR="005B4883" w:rsidRPr="00F93161" w:rsidRDefault="005B4883" w:rsidP="00CF635C">
      <w:pPr>
        <w:textAlignment w:val="auto"/>
        <w:rPr>
          <w:i/>
          <w:iCs/>
          <w:szCs w:val="22"/>
          <w:u w:val="single"/>
        </w:rPr>
      </w:pPr>
    </w:p>
    <w:p w:rsidR="005B4883" w:rsidRPr="00F93161" w:rsidRDefault="00F43CDE" w:rsidP="00CF635C">
      <w:pPr>
        <w:pStyle w:val="ListParagraph"/>
        <w:widowControl w:val="0"/>
        <w:numPr>
          <w:ilvl w:val="0"/>
          <w:numId w:val="67"/>
        </w:numPr>
        <w:rPr>
          <w:b/>
          <w:i/>
          <w:sz w:val="28"/>
          <w:szCs w:val="28"/>
        </w:rPr>
      </w:pPr>
      <w:r>
        <w:rPr>
          <w:b/>
          <w:i/>
          <w:sz w:val="28"/>
        </w:rPr>
        <w:t>Het jaarlijkse werkprogramma van de Unie voor Europese normalisatie voor 2018</w:t>
      </w:r>
    </w:p>
    <w:p w:rsidR="005B4883" w:rsidRPr="00F93161" w:rsidRDefault="005B4883" w:rsidP="00CF635C">
      <w:pPr>
        <w:tabs>
          <w:tab w:val="center" w:pos="284"/>
        </w:tabs>
        <w:ind w:left="266" w:hanging="266"/>
        <w:rPr>
          <w:b/>
        </w:rPr>
      </w:pPr>
    </w:p>
    <w:p w:rsidR="005B4883" w:rsidRPr="00F93161" w:rsidRDefault="005B4883" w:rsidP="00CF635C">
      <w:pPr>
        <w:tabs>
          <w:tab w:val="center" w:pos="284"/>
          <w:tab w:val="left" w:pos="1701"/>
        </w:tabs>
        <w:ind w:left="266" w:hanging="266"/>
      </w:pPr>
      <w:r>
        <w:rPr>
          <w:b/>
        </w:rPr>
        <w:t>Rapporteur:</w:t>
      </w:r>
      <w:r>
        <w:tab/>
        <w:t>Juan Mendoza Castro (werknemers – ES)</w:t>
      </w:r>
    </w:p>
    <w:p w:rsidR="005B4883" w:rsidRPr="00F93161" w:rsidRDefault="005B4883" w:rsidP="00CF635C">
      <w:pPr>
        <w:tabs>
          <w:tab w:val="center" w:pos="284"/>
          <w:tab w:val="left" w:pos="1701"/>
        </w:tabs>
        <w:ind w:left="266" w:hanging="266"/>
        <w:rPr>
          <w:b/>
        </w:rPr>
      </w:pPr>
    </w:p>
    <w:p w:rsidR="005B4883" w:rsidRPr="00F93161" w:rsidRDefault="00093786" w:rsidP="00CF635C">
      <w:pPr>
        <w:tabs>
          <w:tab w:val="center" w:pos="284"/>
          <w:tab w:val="left" w:pos="1701"/>
        </w:tabs>
        <w:ind w:left="266" w:hanging="266"/>
      </w:pPr>
      <w:r>
        <w:rPr>
          <w:b/>
        </w:rPr>
        <w:t>Referentie:</w:t>
      </w:r>
      <w:r>
        <w:tab/>
        <w:t xml:space="preserve">COM(2017) 453 </w:t>
      </w:r>
      <w:proofErr w:type="spellStart"/>
      <w:r>
        <w:t>final</w:t>
      </w:r>
      <w:proofErr w:type="spellEnd"/>
    </w:p>
    <w:p w:rsidR="005B4883" w:rsidRPr="00F93161" w:rsidRDefault="005B4883" w:rsidP="00CF635C">
      <w:pPr>
        <w:ind w:left="1701"/>
        <w:rPr>
          <w:szCs w:val="22"/>
        </w:rPr>
      </w:pPr>
      <w:r>
        <w:t>EESC-2017-04398-00-00-AC-TRA</w:t>
      </w:r>
    </w:p>
    <w:p w:rsidR="005B4883" w:rsidRPr="00F93161" w:rsidRDefault="005B4883" w:rsidP="00CF635C">
      <w:pPr>
        <w:tabs>
          <w:tab w:val="center" w:pos="284"/>
        </w:tabs>
        <w:ind w:left="266" w:hanging="266"/>
      </w:pPr>
    </w:p>
    <w:p w:rsidR="005B4883" w:rsidRPr="00F93161" w:rsidRDefault="0039620F" w:rsidP="00CF635C">
      <w:pPr>
        <w:keepNext/>
        <w:keepLines/>
        <w:tabs>
          <w:tab w:val="center" w:pos="284"/>
        </w:tabs>
        <w:ind w:left="266" w:hanging="266"/>
        <w:rPr>
          <w:b/>
          <w:szCs w:val="22"/>
        </w:rPr>
      </w:pPr>
      <w:r>
        <w:rPr>
          <w:b/>
        </w:rPr>
        <w:t>Hoofdpunten:</w:t>
      </w:r>
    </w:p>
    <w:p w:rsidR="005B4883" w:rsidRPr="00F93161" w:rsidRDefault="005B4883" w:rsidP="00CF635C">
      <w:pPr>
        <w:keepNext/>
        <w:keepLines/>
        <w:tabs>
          <w:tab w:val="center" w:pos="284"/>
        </w:tabs>
        <w:ind w:left="266" w:hanging="266"/>
        <w:rPr>
          <w:b/>
          <w:szCs w:val="22"/>
        </w:rPr>
      </w:pPr>
    </w:p>
    <w:p w:rsidR="005B4883" w:rsidRPr="00F93161" w:rsidRDefault="005B4883" w:rsidP="00CF635C">
      <w:pPr>
        <w:rPr>
          <w:szCs w:val="24"/>
        </w:rPr>
      </w:pPr>
      <w:r>
        <w:t>Standpunt van het EESC:</w:t>
      </w:r>
    </w:p>
    <w:p w:rsidR="005B4883" w:rsidRPr="00F93161" w:rsidRDefault="005B4883">
      <w:pPr>
        <w:pStyle w:val="ListParagraph"/>
        <w:numPr>
          <w:ilvl w:val="0"/>
          <w:numId w:val="61"/>
        </w:numPr>
      </w:pPr>
      <w:r>
        <w:t>Het EESC is ingenomen met het normalisatieprogramma voor 2018, maar beveelt aan dat in toekomstige versies een overzicht van de verwezenlijkingen van eerdere programma's wordt opgenomen.</w:t>
      </w:r>
    </w:p>
    <w:p w:rsidR="005B4883" w:rsidRPr="00F93161" w:rsidRDefault="005B4883" w:rsidP="00CF635C">
      <w:pPr>
        <w:pStyle w:val="ListParagraph"/>
        <w:numPr>
          <w:ilvl w:val="0"/>
          <w:numId w:val="61"/>
        </w:numPr>
      </w:pPr>
      <w:r>
        <w:t>Het EESC verzoekt de Commissie om voldoende begrotingsmiddelen en personeel te blijven voorzien om de doelstellingen van Verordening (EU) nr. 1025/2012 te verwezenlijken.</w:t>
      </w:r>
    </w:p>
    <w:p w:rsidR="005B4883" w:rsidRPr="00F93161" w:rsidRDefault="001A141E" w:rsidP="00CF635C">
      <w:pPr>
        <w:pStyle w:val="ListParagraph"/>
        <w:numPr>
          <w:ilvl w:val="0"/>
          <w:numId w:val="61"/>
        </w:numPr>
      </w:pPr>
      <w:r>
        <w:t>Het EESC zou een ad-</w:t>
      </w:r>
      <w:proofErr w:type="spellStart"/>
      <w:r>
        <w:t>hocforum</w:t>
      </w:r>
      <w:proofErr w:type="spellEnd"/>
      <w:r>
        <w:t xml:space="preserve"> over de </w:t>
      </w:r>
      <w:proofErr w:type="spellStart"/>
      <w:r>
        <w:t>inclusiviteit</w:t>
      </w:r>
      <w:proofErr w:type="spellEnd"/>
      <w:r>
        <w:t xml:space="preserve"> van het Europees normalisatiesysteem kunnen oprichten.</w:t>
      </w:r>
    </w:p>
    <w:p w:rsidR="005B4883" w:rsidRPr="00F93161" w:rsidRDefault="001A141E" w:rsidP="00CF635C">
      <w:pPr>
        <w:pStyle w:val="ListParagraph"/>
        <w:numPr>
          <w:ilvl w:val="0"/>
          <w:numId w:val="61"/>
        </w:numPr>
      </w:pPr>
      <w:r>
        <w:t>Het EESC maakt zich zorgen over de digitale eengemaakte markt, waar wereldwijd geldende "de facto"-normen vaak worden aangestuurd door industriële giganten van buiten de EU, met alle negatieve gevolgen van dien.</w:t>
      </w:r>
    </w:p>
    <w:p w:rsidR="005B4883" w:rsidRPr="00F93161" w:rsidRDefault="005B4883" w:rsidP="00CF635C">
      <w:pPr>
        <w:pStyle w:val="ListParagraph"/>
        <w:numPr>
          <w:ilvl w:val="0"/>
          <w:numId w:val="61"/>
        </w:numPr>
      </w:pPr>
      <w:r>
        <w:t>Het EESC pleit ervoor dat de Europese normalisatie-instellingen de procedures voor de in bijlage III bedoelde organisaties om toegang te krijgen tot het normalisatieproces vereenvoudigen, om zo de drempel voor hun effectieve deelname te verlagen.</w:t>
      </w:r>
    </w:p>
    <w:p w:rsidR="005B4883" w:rsidRPr="00F93161" w:rsidRDefault="005B4883" w:rsidP="00CF635C">
      <w:pPr>
        <w:pStyle w:val="ListParagraph"/>
        <w:numPr>
          <w:ilvl w:val="0"/>
          <w:numId w:val="61"/>
        </w:numPr>
      </w:pPr>
      <w:r>
        <w:t xml:space="preserve">Het EESC is ingenomen met de verschillende maatregelen van het gezamenlijk initiatief inzake normalisatie, maar vindt dat ook rekening moet worden houden met de indirecte gevolgen van de normalisatie-activiteiten op kwesties zoals de verplaatsing van banen, </w:t>
      </w:r>
      <w:proofErr w:type="spellStart"/>
      <w:r>
        <w:t>inclusiviteit</w:t>
      </w:r>
      <w:proofErr w:type="spellEnd"/>
      <w:r>
        <w:t xml:space="preserve"> van de samenleving, onderwijs en opleiding, enz.</w:t>
      </w:r>
    </w:p>
    <w:p w:rsidR="005B4883" w:rsidRPr="00F93161" w:rsidRDefault="005B4883" w:rsidP="00CF635C">
      <w:pPr>
        <w:rPr>
          <w:szCs w:val="24"/>
        </w:rPr>
      </w:pPr>
    </w:p>
    <w:p w:rsidR="005B4883" w:rsidRPr="00F93161" w:rsidRDefault="005B4883" w:rsidP="00CF635C">
      <w:pPr>
        <w:tabs>
          <w:tab w:val="left" w:pos="1418"/>
        </w:tabs>
        <w:textAlignment w:val="auto"/>
        <w:rPr>
          <w:i/>
        </w:rPr>
      </w:pPr>
      <w:r>
        <w:rPr>
          <w:b/>
          <w:i/>
        </w:rPr>
        <w:t>Contact:</w:t>
      </w:r>
      <w:r>
        <w:tab/>
      </w:r>
      <w:r>
        <w:rPr>
          <w:i/>
        </w:rPr>
        <w:t>Jean-Pierre Faure</w:t>
      </w:r>
    </w:p>
    <w:p w:rsidR="00233285" w:rsidRPr="00F93161" w:rsidRDefault="005B4883" w:rsidP="00CF635C">
      <w:pPr>
        <w:ind w:left="1418"/>
        <w:rPr>
          <w:i/>
        </w:rPr>
      </w:pPr>
      <w:r>
        <w:rPr>
          <w:i/>
        </w:rPr>
        <w:t xml:space="preserve">Tel.: 00 32 2 546 96 15 – e-mail: </w:t>
      </w:r>
      <w:hyperlink r:id="rId25">
        <w:r>
          <w:rPr>
            <w:i/>
            <w:color w:val="0000FF"/>
            <w:u w:val="single"/>
          </w:rPr>
          <w:t>jean-pierre.faure@eesc.europa.eu</w:t>
        </w:r>
      </w:hyperlink>
    </w:p>
    <w:p w:rsidR="00233285" w:rsidRPr="00F93161" w:rsidRDefault="00233285">
      <w:pPr>
        <w:overflowPunct/>
        <w:autoSpaceDE/>
        <w:autoSpaceDN/>
        <w:adjustRightInd/>
        <w:spacing w:line="240" w:lineRule="auto"/>
        <w:jc w:val="left"/>
        <w:textAlignment w:val="auto"/>
        <w:rPr>
          <w:i/>
        </w:rPr>
      </w:pPr>
    </w:p>
    <w:p w:rsidR="005B4883" w:rsidRPr="00F93161" w:rsidRDefault="0039620F" w:rsidP="00CF635C">
      <w:pPr>
        <w:pStyle w:val="ListParagraph"/>
        <w:widowControl w:val="0"/>
        <w:numPr>
          <w:ilvl w:val="0"/>
          <w:numId w:val="68"/>
        </w:numPr>
        <w:rPr>
          <w:b/>
          <w:i/>
          <w:sz w:val="28"/>
          <w:szCs w:val="28"/>
        </w:rPr>
      </w:pPr>
      <w:r>
        <w:rPr>
          <w:b/>
          <w:i/>
          <w:sz w:val="28"/>
        </w:rPr>
        <w:t xml:space="preserve">Bevordering van het </w:t>
      </w:r>
      <w:proofErr w:type="spellStart"/>
      <w:r>
        <w:rPr>
          <w:b/>
          <w:i/>
          <w:sz w:val="28"/>
        </w:rPr>
        <w:t>mkb</w:t>
      </w:r>
      <w:proofErr w:type="spellEnd"/>
      <w:r>
        <w:rPr>
          <w:b/>
          <w:i/>
          <w:sz w:val="28"/>
        </w:rPr>
        <w:t xml:space="preserve"> in Europa, met bijzondere aandacht voor een horizontale wetgevende benadering van het </w:t>
      </w:r>
      <w:proofErr w:type="spellStart"/>
      <w:r>
        <w:rPr>
          <w:b/>
          <w:i/>
          <w:sz w:val="28"/>
        </w:rPr>
        <w:t>mkb</w:t>
      </w:r>
      <w:proofErr w:type="spellEnd"/>
      <w:r>
        <w:rPr>
          <w:b/>
          <w:i/>
          <w:sz w:val="28"/>
        </w:rPr>
        <w:t xml:space="preserve"> en de naleving van het “denk eerst klein”-beginsel van de Small Business Act</w:t>
      </w:r>
    </w:p>
    <w:p w:rsidR="005B4883" w:rsidRPr="00F93161" w:rsidRDefault="005B4883" w:rsidP="00CF635C">
      <w:pPr>
        <w:tabs>
          <w:tab w:val="center" w:pos="284"/>
        </w:tabs>
        <w:ind w:left="266" w:hanging="266"/>
        <w:rPr>
          <w:b/>
        </w:rPr>
      </w:pPr>
    </w:p>
    <w:p w:rsidR="005B4883" w:rsidRPr="00F93161" w:rsidRDefault="005B4883" w:rsidP="00CF635C">
      <w:pPr>
        <w:tabs>
          <w:tab w:val="left" w:pos="1701"/>
        </w:tabs>
        <w:ind w:left="266" w:hanging="266"/>
      </w:pPr>
      <w:r>
        <w:rPr>
          <w:b/>
        </w:rPr>
        <w:t>Rapporteur:</w:t>
      </w:r>
      <w:r>
        <w:tab/>
        <w:t xml:space="preserve">Milena </w:t>
      </w:r>
      <w:proofErr w:type="spellStart"/>
      <w:r>
        <w:t>Angelova</w:t>
      </w:r>
      <w:proofErr w:type="spellEnd"/>
      <w:r>
        <w:t xml:space="preserve"> (werkgevers – BG)</w:t>
      </w:r>
    </w:p>
    <w:p w:rsidR="005B4883" w:rsidRPr="00F93161" w:rsidRDefault="005B4883" w:rsidP="00CF635C">
      <w:pPr>
        <w:tabs>
          <w:tab w:val="left" w:pos="1701"/>
        </w:tabs>
        <w:ind w:left="266" w:hanging="266"/>
        <w:rPr>
          <w:b/>
        </w:rPr>
      </w:pPr>
      <w:proofErr w:type="spellStart"/>
      <w:r>
        <w:rPr>
          <w:b/>
        </w:rPr>
        <w:t>Corapporteur</w:t>
      </w:r>
      <w:proofErr w:type="spellEnd"/>
      <w:r>
        <w:rPr>
          <w:b/>
        </w:rPr>
        <w:t>:</w:t>
      </w:r>
      <w:r>
        <w:tab/>
      </w:r>
      <w:proofErr w:type="spellStart"/>
      <w:r>
        <w:t>Panagiotis</w:t>
      </w:r>
      <w:proofErr w:type="spellEnd"/>
      <w:r>
        <w:t xml:space="preserve"> </w:t>
      </w:r>
      <w:proofErr w:type="spellStart"/>
      <w:r>
        <w:t>Gkofas</w:t>
      </w:r>
      <w:proofErr w:type="spellEnd"/>
      <w:r>
        <w:t xml:space="preserve"> (diverse werkzaamheden – EL)</w:t>
      </w:r>
    </w:p>
    <w:p w:rsidR="005B4883" w:rsidRPr="00F93161" w:rsidRDefault="005B4883" w:rsidP="00CF635C">
      <w:pPr>
        <w:tabs>
          <w:tab w:val="left" w:pos="1701"/>
        </w:tabs>
        <w:ind w:left="266" w:hanging="266"/>
        <w:rPr>
          <w:b/>
        </w:rPr>
      </w:pPr>
    </w:p>
    <w:p w:rsidR="005B4883" w:rsidRPr="00F93161" w:rsidRDefault="00093786" w:rsidP="00CF635C">
      <w:pPr>
        <w:tabs>
          <w:tab w:val="left" w:pos="1701"/>
        </w:tabs>
        <w:ind w:left="266" w:hanging="266"/>
      </w:pPr>
      <w:r>
        <w:rPr>
          <w:b/>
        </w:rPr>
        <w:t>Referentie:</w:t>
      </w:r>
      <w:r>
        <w:tab/>
        <w:t>Verkennend advies</w:t>
      </w:r>
    </w:p>
    <w:p w:rsidR="005B4883" w:rsidRPr="00F93161" w:rsidRDefault="005B4883" w:rsidP="00CF635C">
      <w:pPr>
        <w:ind w:left="1701"/>
      </w:pPr>
      <w:r>
        <w:t>EESC-2017-04540-00-00-AC-TRA</w:t>
      </w:r>
    </w:p>
    <w:p w:rsidR="005B4883" w:rsidRPr="00F93161" w:rsidRDefault="005B4883" w:rsidP="00CF635C">
      <w:pPr>
        <w:tabs>
          <w:tab w:val="center" w:pos="284"/>
        </w:tabs>
        <w:ind w:left="266" w:hanging="266"/>
      </w:pPr>
    </w:p>
    <w:p w:rsidR="00E6694D" w:rsidRDefault="0039620F" w:rsidP="00CF635C">
      <w:pPr>
        <w:keepNext/>
        <w:keepLines/>
        <w:tabs>
          <w:tab w:val="center" w:pos="284"/>
        </w:tabs>
        <w:ind w:left="266" w:hanging="266"/>
        <w:rPr>
          <w:b/>
          <w:szCs w:val="22"/>
        </w:rPr>
      </w:pPr>
      <w:r>
        <w:rPr>
          <w:b/>
        </w:rPr>
        <w:lastRenderedPageBreak/>
        <w:t>Hoofdpunten:</w:t>
      </w:r>
    </w:p>
    <w:p w:rsidR="005B4883" w:rsidRPr="00F93161" w:rsidRDefault="005B4883" w:rsidP="00CF635C">
      <w:pPr>
        <w:keepNext/>
        <w:keepLines/>
        <w:tabs>
          <w:tab w:val="center" w:pos="284"/>
        </w:tabs>
        <w:ind w:left="266" w:hanging="266"/>
        <w:rPr>
          <w:b/>
          <w:szCs w:val="22"/>
        </w:rPr>
      </w:pPr>
    </w:p>
    <w:p w:rsidR="005B4883" w:rsidRPr="00F93161" w:rsidRDefault="005B4883" w:rsidP="00BF15FD">
      <w:pPr>
        <w:keepNext/>
        <w:rPr>
          <w:szCs w:val="22"/>
        </w:rPr>
      </w:pPr>
      <w:r>
        <w:t>Het EESC:</w:t>
      </w:r>
    </w:p>
    <w:p w:rsidR="005B4883" w:rsidRPr="00F93161" w:rsidRDefault="005B4883" w:rsidP="00CF635C">
      <w:pPr>
        <w:pStyle w:val="ListParagraph"/>
        <w:numPr>
          <w:ilvl w:val="0"/>
          <w:numId w:val="60"/>
        </w:numPr>
        <w:overflowPunct w:val="0"/>
        <w:autoSpaceDE w:val="0"/>
        <w:autoSpaceDN w:val="0"/>
        <w:adjustRightInd w:val="0"/>
        <w:textAlignment w:val="baseline"/>
      </w:pPr>
      <w:r>
        <w:t>verzoekt de Europese Commissie om de Small Business Act (SBA) en haar beginselen juridisch bindend te maken;</w:t>
      </w:r>
    </w:p>
    <w:p w:rsidR="005B4883" w:rsidRPr="00F93161" w:rsidRDefault="005B4883" w:rsidP="00CF635C">
      <w:pPr>
        <w:pStyle w:val="ListParagraph"/>
        <w:numPr>
          <w:ilvl w:val="0"/>
          <w:numId w:val="60"/>
        </w:numPr>
        <w:overflowPunct w:val="0"/>
        <w:autoSpaceDE w:val="0"/>
        <w:autoSpaceDN w:val="0"/>
        <w:adjustRightInd w:val="0"/>
        <w:textAlignment w:val="baseline"/>
      </w:pPr>
      <w:r>
        <w:t xml:space="preserve">verzoekt de Europese Commissie en de Raad om de uitvoering van de SBA, in nauwe samenwerking met de organisaties die het </w:t>
      </w:r>
      <w:proofErr w:type="spellStart"/>
      <w:r>
        <w:t>mkb</w:t>
      </w:r>
      <w:proofErr w:type="spellEnd"/>
      <w:r>
        <w:t xml:space="preserve"> vertegenwoordigen, een permanent onderdeel te maken van het Europees Semester en de jaarlijkse groeianalyse;</w:t>
      </w:r>
    </w:p>
    <w:p w:rsidR="005B4883" w:rsidRPr="00F93161" w:rsidRDefault="005B4883" w:rsidP="00CF635C">
      <w:pPr>
        <w:pStyle w:val="ListParagraph"/>
        <w:numPr>
          <w:ilvl w:val="0"/>
          <w:numId w:val="60"/>
        </w:numPr>
        <w:overflowPunct w:val="0"/>
        <w:autoSpaceDE w:val="0"/>
        <w:autoSpaceDN w:val="0"/>
        <w:adjustRightInd w:val="0"/>
        <w:textAlignment w:val="baseline"/>
      </w:pPr>
      <w:r>
        <w:t xml:space="preserve">pleit voor een inclusief, samenhangend en doeltreffend horizontaal Europees </w:t>
      </w:r>
      <w:proofErr w:type="spellStart"/>
      <w:r>
        <w:t>mkb</w:t>
      </w:r>
      <w:proofErr w:type="spellEnd"/>
      <w:r>
        <w:t xml:space="preserve">-beleid dat ook rekening houdt met de behoeften van alle verschillende subgroepen van het </w:t>
      </w:r>
      <w:proofErr w:type="spellStart"/>
      <w:r>
        <w:t>mkb</w:t>
      </w:r>
      <w:proofErr w:type="spellEnd"/>
      <w:r>
        <w:t>, en acht het van essentieel belang dat er voor elk van hen een definitie wordt opgesteld;</w:t>
      </w:r>
    </w:p>
    <w:p w:rsidR="005B4883" w:rsidRPr="00F93161" w:rsidRDefault="005B4883" w:rsidP="00CF635C">
      <w:pPr>
        <w:pStyle w:val="ListParagraph"/>
        <w:numPr>
          <w:ilvl w:val="0"/>
          <w:numId w:val="60"/>
        </w:numPr>
        <w:overflowPunct w:val="0"/>
        <w:autoSpaceDE w:val="0"/>
        <w:autoSpaceDN w:val="0"/>
        <w:adjustRightInd w:val="0"/>
        <w:textAlignment w:val="baseline"/>
        <w:rPr>
          <w:b/>
        </w:rPr>
      </w:pPr>
      <w:r>
        <w:t xml:space="preserve">beveelt het Bulgaarse, Oostenrijkse en Roemeense roulerende voorzitterschap van de Raad van de EU aan om samen met de belangenorganisaties van het </w:t>
      </w:r>
      <w:proofErr w:type="spellStart"/>
      <w:r>
        <w:t>mkb</w:t>
      </w:r>
      <w:proofErr w:type="spellEnd"/>
      <w:r>
        <w:t xml:space="preserve"> een permanente </w:t>
      </w:r>
      <w:proofErr w:type="spellStart"/>
      <w:r>
        <w:t>interinstitutionele</w:t>
      </w:r>
      <w:proofErr w:type="spellEnd"/>
      <w:r>
        <w:t xml:space="preserve"> "adviesgroep voor het </w:t>
      </w:r>
      <w:proofErr w:type="spellStart"/>
      <w:r>
        <w:t>mkb</w:t>
      </w:r>
      <w:proofErr w:type="spellEnd"/>
      <w:r>
        <w:t>" op te richten.</w:t>
      </w:r>
    </w:p>
    <w:p w:rsidR="005B4883" w:rsidRPr="00F93161" w:rsidRDefault="005B4883" w:rsidP="00CF635C">
      <w:pPr>
        <w:rPr>
          <w:szCs w:val="24"/>
        </w:rPr>
      </w:pPr>
    </w:p>
    <w:p w:rsidR="005B4883" w:rsidRPr="00F93161" w:rsidRDefault="005B4883" w:rsidP="00CF635C">
      <w:pPr>
        <w:tabs>
          <w:tab w:val="left" w:pos="1418"/>
        </w:tabs>
        <w:textAlignment w:val="auto"/>
        <w:rPr>
          <w:i/>
        </w:rPr>
      </w:pPr>
      <w:r>
        <w:rPr>
          <w:b/>
          <w:i/>
        </w:rPr>
        <w:t>Contact:</w:t>
      </w:r>
      <w:r>
        <w:tab/>
      </w:r>
      <w:r>
        <w:rPr>
          <w:i/>
        </w:rPr>
        <w:t xml:space="preserve">Jana </w:t>
      </w:r>
      <w:proofErr w:type="spellStart"/>
      <w:r>
        <w:rPr>
          <w:i/>
        </w:rPr>
        <w:t>Valant</w:t>
      </w:r>
      <w:proofErr w:type="spellEnd"/>
    </w:p>
    <w:p w:rsidR="00C80F0D" w:rsidRPr="00F93161" w:rsidRDefault="005B4883" w:rsidP="00CF635C">
      <w:pPr>
        <w:ind w:left="1418"/>
        <w:rPr>
          <w:i/>
        </w:rPr>
      </w:pPr>
      <w:r>
        <w:rPr>
          <w:i/>
        </w:rPr>
        <w:t xml:space="preserve">Tel.: 00 32 2 546 89 24 – e-mail: </w:t>
      </w:r>
      <w:hyperlink r:id="rId26">
        <w:r>
          <w:rPr>
            <w:i/>
            <w:color w:val="0000FF"/>
            <w:u w:val="single"/>
          </w:rPr>
          <w:t>jana.valant@eesc.europa.eu</w:t>
        </w:r>
      </w:hyperlink>
    </w:p>
    <w:p w:rsidR="005B4883" w:rsidRPr="00F93161" w:rsidRDefault="005B4883" w:rsidP="00CF635C">
      <w:pPr>
        <w:textAlignment w:val="auto"/>
        <w:rPr>
          <w:i/>
          <w:iCs/>
          <w:szCs w:val="22"/>
          <w:u w:val="single"/>
        </w:rPr>
      </w:pPr>
    </w:p>
    <w:p w:rsidR="005B4883" w:rsidRPr="00F93161" w:rsidRDefault="0039620F" w:rsidP="00CF635C">
      <w:pPr>
        <w:pStyle w:val="ListParagraph"/>
        <w:widowControl w:val="0"/>
        <w:numPr>
          <w:ilvl w:val="0"/>
          <w:numId w:val="69"/>
        </w:numPr>
        <w:rPr>
          <w:b/>
          <w:i/>
          <w:sz w:val="28"/>
          <w:szCs w:val="28"/>
        </w:rPr>
      </w:pPr>
      <w:r>
        <w:rPr>
          <w:b/>
          <w:i/>
          <w:sz w:val="28"/>
        </w:rPr>
        <w:t>Een alomvattende aanpak van het industriebeleid in de EU – Verbetering van het ondernemingsklimaat en steun voor het concurrentievermogen van de Europese industrie</w:t>
      </w:r>
    </w:p>
    <w:p w:rsidR="005B4883" w:rsidRPr="00F93161" w:rsidRDefault="005B4883" w:rsidP="00CF635C">
      <w:pPr>
        <w:tabs>
          <w:tab w:val="center" w:pos="284"/>
        </w:tabs>
        <w:ind w:left="266" w:hanging="266"/>
        <w:rPr>
          <w:b/>
        </w:rPr>
      </w:pPr>
    </w:p>
    <w:p w:rsidR="005B4883" w:rsidRPr="00F93161" w:rsidRDefault="005B4883" w:rsidP="00CF635C">
      <w:pPr>
        <w:tabs>
          <w:tab w:val="center" w:pos="0"/>
          <w:tab w:val="left" w:pos="1701"/>
        </w:tabs>
      </w:pPr>
      <w:r>
        <w:rPr>
          <w:b/>
        </w:rPr>
        <w:t>Rapporteur:</w:t>
      </w:r>
      <w:r>
        <w:tab/>
      </w:r>
      <w:proofErr w:type="spellStart"/>
      <w:r>
        <w:t>Gonçalo</w:t>
      </w:r>
      <w:proofErr w:type="spellEnd"/>
      <w:r>
        <w:t xml:space="preserve"> Lobo Xavier (werkgevers – PT)</w:t>
      </w:r>
    </w:p>
    <w:p w:rsidR="005B4883" w:rsidRPr="00F93161" w:rsidRDefault="0039620F" w:rsidP="00CF635C">
      <w:pPr>
        <w:tabs>
          <w:tab w:val="center" w:pos="0"/>
          <w:tab w:val="left" w:pos="1701"/>
        </w:tabs>
        <w:rPr>
          <w:b/>
        </w:rPr>
      </w:pPr>
      <w:proofErr w:type="spellStart"/>
      <w:r>
        <w:rPr>
          <w:b/>
        </w:rPr>
        <w:t>Corapporteur</w:t>
      </w:r>
      <w:proofErr w:type="spellEnd"/>
      <w:r>
        <w:rPr>
          <w:b/>
        </w:rPr>
        <w:t>:</w:t>
      </w:r>
      <w:r>
        <w:tab/>
        <w:t xml:space="preserve">Dirk </w:t>
      </w:r>
      <w:proofErr w:type="spellStart"/>
      <w:r>
        <w:t>Bergrath</w:t>
      </w:r>
      <w:proofErr w:type="spellEnd"/>
      <w:r>
        <w:t xml:space="preserve"> (werknemers – DE</w:t>
      </w:r>
      <w:r>
        <w:rPr>
          <w:caps/>
        </w:rPr>
        <w:t>)</w:t>
      </w:r>
    </w:p>
    <w:p w:rsidR="0039620F" w:rsidRPr="00F93161" w:rsidRDefault="0039620F" w:rsidP="00CF635C">
      <w:pPr>
        <w:tabs>
          <w:tab w:val="center" w:pos="0"/>
          <w:tab w:val="left" w:pos="1701"/>
        </w:tabs>
        <w:rPr>
          <w:b/>
        </w:rPr>
      </w:pPr>
    </w:p>
    <w:p w:rsidR="005B4883" w:rsidRPr="00F93161" w:rsidRDefault="00093786" w:rsidP="00CF635C">
      <w:pPr>
        <w:tabs>
          <w:tab w:val="center" w:pos="0"/>
          <w:tab w:val="left" w:pos="1701"/>
        </w:tabs>
      </w:pPr>
      <w:r>
        <w:rPr>
          <w:b/>
        </w:rPr>
        <w:t>Referentie:</w:t>
      </w:r>
      <w:r>
        <w:tab/>
        <w:t>Verkennend advies</w:t>
      </w:r>
    </w:p>
    <w:p w:rsidR="005B4883" w:rsidRPr="00F93161" w:rsidRDefault="005B4883" w:rsidP="00CF635C">
      <w:pPr>
        <w:ind w:left="1701"/>
        <w:rPr>
          <w:szCs w:val="22"/>
        </w:rPr>
      </w:pPr>
      <w:r>
        <w:t>EESC-2017-04732-00-00-AC-TRA</w:t>
      </w:r>
    </w:p>
    <w:p w:rsidR="005B4883" w:rsidRPr="00F93161" w:rsidRDefault="005B4883" w:rsidP="00CF635C">
      <w:pPr>
        <w:tabs>
          <w:tab w:val="center" w:pos="284"/>
        </w:tabs>
        <w:ind w:left="266" w:hanging="266"/>
      </w:pPr>
    </w:p>
    <w:p w:rsidR="005B4883" w:rsidRDefault="0039620F" w:rsidP="00CF635C">
      <w:pPr>
        <w:keepNext/>
        <w:keepLines/>
        <w:tabs>
          <w:tab w:val="center" w:pos="284"/>
        </w:tabs>
        <w:ind w:left="266" w:hanging="266"/>
        <w:rPr>
          <w:b/>
          <w:szCs w:val="22"/>
        </w:rPr>
      </w:pPr>
      <w:r>
        <w:rPr>
          <w:b/>
        </w:rPr>
        <w:t>Hoofdpunten:</w:t>
      </w:r>
    </w:p>
    <w:p w:rsidR="00E6694D" w:rsidRPr="00F93161" w:rsidRDefault="00E6694D" w:rsidP="00CF635C">
      <w:pPr>
        <w:keepNext/>
        <w:keepLines/>
        <w:tabs>
          <w:tab w:val="center" w:pos="284"/>
        </w:tabs>
        <w:ind w:left="266" w:hanging="266"/>
        <w:rPr>
          <w:b/>
          <w:szCs w:val="22"/>
        </w:rPr>
      </w:pPr>
    </w:p>
    <w:p w:rsidR="005B4883" w:rsidRPr="00F93161" w:rsidRDefault="005B4883" w:rsidP="00CF635C">
      <w:r>
        <w:t>Standpunt van het EESC:</w:t>
      </w:r>
    </w:p>
    <w:p w:rsidR="005B4883" w:rsidRPr="00F93161" w:rsidRDefault="005B4883" w:rsidP="00CF635C">
      <w:pPr>
        <w:pStyle w:val="ListParagraph"/>
        <w:numPr>
          <w:ilvl w:val="0"/>
          <w:numId w:val="61"/>
        </w:numPr>
      </w:pPr>
      <w:r>
        <w:t>Het EESC dringt er bij de Commissie en de lidstaten op aan een alomvattende langetermijnstrategie vast te stellen met een algemene visie.</w:t>
      </w:r>
    </w:p>
    <w:p w:rsidR="005B4883" w:rsidRPr="00F93161" w:rsidRDefault="005B4883" w:rsidP="00CF635C">
      <w:pPr>
        <w:pStyle w:val="ListParagraph"/>
        <w:numPr>
          <w:ilvl w:val="0"/>
          <w:numId w:val="61"/>
        </w:numPr>
      </w:pPr>
      <w:r>
        <w:t>Het vindt dat er specifieke beleidswijzigingen met betrekking tot onderwijs, O&amp;O-activiteiten, publieke en particuliere investeringen en productiviteit op de agenda moeten worden gezet om het concurrentievermogen van de verschillende lidstaten beter in evenwicht te brengen.</w:t>
      </w:r>
    </w:p>
    <w:p w:rsidR="005B4883" w:rsidRPr="00F93161" w:rsidRDefault="005B4883" w:rsidP="00CF635C">
      <w:pPr>
        <w:pStyle w:val="ListParagraph"/>
        <w:numPr>
          <w:ilvl w:val="0"/>
          <w:numId w:val="61"/>
        </w:numPr>
      </w:pPr>
      <w:r>
        <w:t>Het EESC is er vast van overtuigd dat de aantrekkelijkheid van Europa een prioriteit moet zijn in elk op innovatie en concurrentievermogen gebaseerd industriebeleid.</w:t>
      </w:r>
    </w:p>
    <w:p w:rsidR="005B4883" w:rsidRPr="00F93161" w:rsidRDefault="005B4883" w:rsidP="00CF635C">
      <w:pPr>
        <w:pStyle w:val="ListParagraph"/>
        <w:numPr>
          <w:ilvl w:val="0"/>
          <w:numId w:val="61"/>
        </w:numPr>
      </w:pPr>
      <w:r>
        <w:t>Het staat volledig achter een jaarlijkse dag van de industrie als manier om de prioriteiten van de EU voor het voetlicht te brengen.</w:t>
      </w:r>
    </w:p>
    <w:p w:rsidR="005B4883" w:rsidRPr="00F93161" w:rsidRDefault="005B4883" w:rsidP="00CF635C">
      <w:pPr>
        <w:pStyle w:val="ListParagraph"/>
        <w:numPr>
          <w:ilvl w:val="0"/>
          <w:numId w:val="61"/>
        </w:numPr>
      </w:pPr>
      <w:r>
        <w:t>Het EESC vindt dat nieuwe beleidsmaatregelen op het gebied van vaardigheden moeten worden opgezet met de betrokkenheid van maatschappelijke organisaties en sociale partners, zodat onderwijs- en opleidingsstelsels sneller worden afgestemd op de banen van de toekomst.</w:t>
      </w:r>
    </w:p>
    <w:p w:rsidR="005B4883" w:rsidRPr="00F93161" w:rsidRDefault="005B4883" w:rsidP="00CF635C">
      <w:pPr>
        <w:pStyle w:val="ListParagraph"/>
        <w:numPr>
          <w:ilvl w:val="0"/>
          <w:numId w:val="61"/>
        </w:numPr>
        <w:rPr>
          <w:b/>
        </w:rPr>
      </w:pPr>
      <w:r>
        <w:lastRenderedPageBreak/>
        <w:t>Het EESC is van mening dat het voor een gelijk speelveld van cruciaal belang is dat een compromis wordt bereikt betreffende de inachtneming van eerlijke handel tussen wereldspelers.</w:t>
      </w:r>
    </w:p>
    <w:p w:rsidR="005B4883" w:rsidRPr="00F93161" w:rsidRDefault="005B4883" w:rsidP="00CF635C">
      <w:pPr>
        <w:rPr>
          <w:b/>
          <w:szCs w:val="22"/>
        </w:rPr>
      </w:pPr>
    </w:p>
    <w:p w:rsidR="005B4883" w:rsidRPr="00F93161" w:rsidRDefault="005B4883" w:rsidP="00CF635C">
      <w:pPr>
        <w:tabs>
          <w:tab w:val="left" w:pos="1418"/>
        </w:tabs>
        <w:textAlignment w:val="auto"/>
        <w:rPr>
          <w:i/>
        </w:rPr>
      </w:pPr>
      <w:r>
        <w:rPr>
          <w:b/>
          <w:i/>
        </w:rPr>
        <w:t>Contact:</w:t>
      </w:r>
      <w:r>
        <w:tab/>
      </w:r>
      <w:r>
        <w:rPr>
          <w:i/>
        </w:rPr>
        <w:t>Luís Lobo</w:t>
      </w:r>
    </w:p>
    <w:p w:rsidR="00C80F0D" w:rsidRPr="00F93161" w:rsidRDefault="005B4883" w:rsidP="00CF635C">
      <w:pPr>
        <w:tabs>
          <w:tab w:val="left" w:pos="-6946"/>
        </w:tabs>
        <w:ind w:left="1418"/>
        <w:rPr>
          <w:highlight w:val="yellow"/>
        </w:rPr>
      </w:pPr>
      <w:r>
        <w:rPr>
          <w:i/>
        </w:rPr>
        <w:t xml:space="preserve">Tel.: 00 32 2 546 97 17 – e-mail: </w:t>
      </w:r>
      <w:hyperlink r:id="rId27">
        <w:r>
          <w:rPr>
            <w:i/>
            <w:color w:val="0000FF"/>
            <w:u w:val="single"/>
          </w:rPr>
          <w:t>luis.lobo@eesc.europa.eu</w:t>
        </w:r>
      </w:hyperlink>
    </w:p>
    <w:p w:rsidR="00C80F0D" w:rsidRPr="00F93161" w:rsidRDefault="00C80F0D" w:rsidP="00CF635C">
      <w:pPr>
        <w:textAlignment w:val="auto"/>
        <w:rPr>
          <w:i/>
          <w:iCs/>
          <w:szCs w:val="22"/>
          <w:u w:val="single"/>
        </w:rPr>
      </w:pPr>
    </w:p>
    <w:p w:rsidR="00C80F0D" w:rsidRPr="00F93161" w:rsidRDefault="00F43CDE" w:rsidP="00CF635C">
      <w:pPr>
        <w:pStyle w:val="ListParagraph"/>
        <w:widowControl w:val="0"/>
        <w:numPr>
          <w:ilvl w:val="0"/>
          <w:numId w:val="63"/>
        </w:numPr>
        <w:rPr>
          <w:b/>
          <w:i/>
          <w:sz w:val="28"/>
          <w:szCs w:val="28"/>
        </w:rPr>
      </w:pPr>
      <w:r>
        <w:rPr>
          <w:b/>
          <w:i/>
          <w:sz w:val="28"/>
        </w:rPr>
        <w:t>Bestrijding van fraude met en vervalsing van niet-contante betaalmiddelen</w:t>
      </w:r>
    </w:p>
    <w:p w:rsidR="00C80F0D" w:rsidRPr="00F93161" w:rsidRDefault="00C80F0D" w:rsidP="00CF635C">
      <w:pPr>
        <w:tabs>
          <w:tab w:val="center" w:pos="284"/>
        </w:tabs>
        <w:ind w:left="266" w:hanging="266"/>
        <w:rPr>
          <w:b/>
        </w:rPr>
      </w:pPr>
    </w:p>
    <w:p w:rsidR="00C80F0D" w:rsidRPr="00F93161" w:rsidRDefault="00C80F0D" w:rsidP="00CF635C">
      <w:pPr>
        <w:tabs>
          <w:tab w:val="center" w:pos="284"/>
          <w:tab w:val="left" w:pos="1701"/>
        </w:tabs>
        <w:ind w:left="266" w:hanging="266"/>
      </w:pPr>
      <w:r>
        <w:rPr>
          <w:b/>
        </w:rPr>
        <w:t>Rapporteur:</w:t>
      </w:r>
      <w:r>
        <w:tab/>
        <w:t xml:space="preserve">Victor </w:t>
      </w:r>
      <w:proofErr w:type="spellStart"/>
      <w:r>
        <w:t>Alistar</w:t>
      </w:r>
      <w:proofErr w:type="spellEnd"/>
      <w:r>
        <w:t xml:space="preserve"> (diverse werkzaamheden – RO)</w:t>
      </w:r>
    </w:p>
    <w:p w:rsidR="00C80F0D" w:rsidRPr="00F93161" w:rsidRDefault="00C80F0D" w:rsidP="00CF635C">
      <w:pPr>
        <w:tabs>
          <w:tab w:val="center" w:pos="284"/>
        </w:tabs>
        <w:ind w:left="266" w:hanging="266"/>
        <w:rPr>
          <w:b/>
        </w:rPr>
      </w:pPr>
    </w:p>
    <w:p w:rsidR="00C80F0D" w:rsidRPr="00F93161" w:rsidRDefault="00093786" w:rsidP="00CF635C">
      <w:pPr>
        <w:tabs>
          <w:tab w:val="center" w:pos="284"/>
          <w:tab w:val="left" w:pos="1701"/>
        </w:tabs>
        <w:ind w:left="266" w:hanging="266"/>
      </w:pPr>
      <w:r>
        <w:rPr>
          <w:b/>
        </w:rPr>
        <w:t>Referentie:</w:t>
      </w:r>
      <w:r>
        <w:tab/>
        <w:t xml:space="preserve">COM(2017) 489 </w:t>
      </w:r>
      <w:proofErr w:type="spellStart"/>
      <w:r>
        <w:t>final</w:t>
      </w:r>
      <w:proofErr w:type="spellEnd"/>
      <w:r>
        <w:t xml:space="preserve"> – 2017/0226 (COD)</w:t>
      </w:r>
    </w:p>
    <w:p w:rsidR="00C80F0D" w:rsidRPr="00F93161" w:rsidRDefault="00C80F0D" w:rsidP="00CF635C">
      <w:pPr>
        <w:ind w:left="1701"/>
        <w:rPr>
          <w:szCs w:val="22"/>
        </w:rPr>
      </w:pPr>
      <w:r>
        <w:t>EESC-2017-04514-00-00-AC-TRA</w:t>
      </w:r>
    </w:p>
    <w:p w:rsidR="00C80F0D" w:rsidRPr="00F93161" w:rsidRDefault="00C80F0D" w:rsidP="00CF635C">
      <w:pPr>
        <w:tabs>
          <w:tab w:val="center" w:pos="284"/>
        </w:tabs>
        <w:ind w:left="266" w:hanging="266"/>
      </w:pPr>
    </w:p>
    <w:p w:rsidR="00E6694D" w:rsidRDefault="0039620F" w:rsidP="00CF635C">
      <w:pPr>
        <w:keepNext/>
        <w:keepLines/>
        <w:tabs>
          <w:tab w:val="center" w:pos="284"/>
        </w:tabs>
        <w:ind w:left="266" w:hanging="266"/>
        <w:rPr>
          <w:b/>
          <w:szCs w:val="22"/>
        </w:rPr>
      </w:pPr>
      <w:r>
        <w:rPr>
          <w:b/>
        </w:rPr>
        <w:t>Hoofdpunten:</w:t>
      </w:r>
    </w:p>
    <w:p w:rsidR="00C80F0D" w:rsidRPr="00F93161" w:rsidRDefault="00C80F0D" w:rsidP="00CF635C">
      <w:pPr>
        <w:keepNext/>
        <w:keepLines/>
        <w:tabs>
          <w:tab w:val="center" w:pos="284"/>
        </w:tabs>
        <w:ind w:left="266" w:hanging="266"/>
        <w:rPr>
          <w:b/>
          <w:szCs w:val="22"/>
        </w:rPr>
      </w:pPr>
    </w:p>
    <w:p w:rsidR="00C80F0D" w:rsidRPr="00F93161" w:rsidRDefault="00C80F0D" w:rsidP="00CF635C">
      <w:pPr>
        <w:keepNext/>
        <w:overflowPunct/>
        <w:adjustRightInd/>
        <w:textAlignment w:val="auto"/>
        <w:rPr>
          <w:color w:val="000000"/>
        </w:rPr>
      </w:pPr>
      <w:r>
        <w:rPr>
          <w:color w:val="000000"/>
        </w:rPr>
        <w:t>Het EESC:</w:t>
      </w:r>
    </w:p>
    <w:p w:rsidR="00C80F0D" w:rsidRPr="00F93161" w:rsidRDefault="00C80F0D" w:rsidP="00CF635C">
      <w:pPr>
        <w:pStyle w:val="ListParagraph"/>
        <w:numPr>
          <w:ilvl w:val="0"/>
          <w:numId w:val="61"/>
        </w:numPr>
      </w:pPr>
      <w:r>
        <w:t xml:space="preserve">is ingenomen met het initiatief van de Commissie om prioriteit te geven aan de bestrijding van cybercriminaliteit, omdat het burgers en bedrijven beoogt te beschermen tegen cybercriminaliteit en maatregelen omvat die het vertrouwen in het gebruik van elektronische betaalinstrumenten kunnen vergroten; </w:t>
      </w:r>
    </w:p>
    <w:p w:rsidR="00C80F0D" w:rsidRPr="00F93161" w:rsidRDefault="00C80F0D" w:rsidP="00CF635C">
      <w:pPr>
        <w:pStyle w:val="ListParagraph"/>
        <w:numPr>
          <w:ilvl w:val="0"/>
          <w:numId w:val="61"/>
        </w:numPr>
      </w:pPr>
      <w:r>
        <w:t xml:space="preserve">vindt dat de voordelen van digitalisering gepaard moeten gaan met mechanismen om het hoofd te bieden aan de uitdagingen die hierdoor ontstaan, zodat de Europese economie en de Europese burgers ten volle kunnen profiteren van de voordelen van de informatiemaatschappij; </w:t>
      </w:r>
    </w:p>
    <w:p w:rsidR="00C80F0D" w:rsidRPr="00F93161" w:rsidRDefault="00C80F0D" w:rsidP="00CF635C">
      <w:pPr>
        <w:pStyle w:val="ListParagraph"/>
        <w:numPr>
          <w:ilvl w:val="0"/>
          <w:numId w:val="61"/>
        </w:numPr>
      </w:pPr>
      <w:r>
        <w:t>is van mening dat een aantal tekortkomingen moet worden verholpen en in de artikelen 11, 12, 13 en 16 (beslechting van jurisdictiegeschillen, uitwisseling van goede praktijken, specifieke maatregelen m.b.t. tot de verplichting om informatie te verstrekken, aanscherping van artikel 16) moet worden rechtgezet;</w:t>
      </w:r>
    </w:p>
    <w:p w:rsidR="00C80F0D" w:rsidRPr="00F93161" w:rsidRDefault="00C80F0D" w:rsidP="00CF635C">
      <w:pPr>
        <w:pStyle w:val="ListParagraph"/>
        <w:numPr>
          <w:ilvl w:val="0"/>
          <w:numId w:val="61"/>
        </w:numPr>
      </w:pPr>
      <w:r>
        <w:t>acht het belangrijk dat er afschrikkingsmechanismen in het leven worden geroepen en manieren worden bedacht om het publiek te informeren over de modus operandi van criminelen door middel van bewustmakingscampagnes van de rechtshandhavingsinstanties van de lidstaten.</w:t>
      </w:r>
    </w:p>
    <w:p w:rsidR="00C80F0D" w:rsidRPr="00F93161" w:rsidRDefault="00C80F0D" w:rsidP="00CF635C">
      <w:pPr>
        <w:rPr>
          <w:b/>
          <w:szCs w:val="22"/>
        </w:rPr>
      </w:pPr>
    </w:p>
    <w:p w:rsidR="00C80F0D" w:rsidRPr="00F93161" w:rsidRDefault="00C80F0D" w:rsidP="00CF635C">
      <w:pPr>
        <w:tabs>
          <w:tab w:val="left" w:pos="1418"/>
        </w:tabs>
        <w:textAlignment w:val="auto"/>
        <w:rPr>
          <w:i/>
        </w:rPr>
      </w:pPr>
      <w:r>
        <w:rPr>
          <w:b/>
          <w:i/>
        </w:rPr>
        <w:t>Contact:</w:t>
      </w:r>
      <w:r>
        <w:tab/>
      </w:r>
      <w:r>
        <w:rPr>
          <w:i/>
        </w:rPr>
        <w:t>Claudia Drewes-</w:t>
      </w:r>
      <w:proofErr w:type="spellStart"/>
      <w:r>
        <w:rPr>
          <w:i/>
        </w:rPr>
        <w:t>Wran</w:t>
      </w:r>
      <w:proofErr w:type="spellEnd"/>
    </w:p>
    <w:p w:rsidR="00391A85" w:rsidRPr="00F93161" w:rsidRDefault="00C80F0D" w:rsidP="00CF635C">
      <w:pPr>
        <w:ind w:left="1418"/>
        <w:jc w:val="left"/>
        <w:rPr>
          <w:i/>
        </w:rPr>
      </w:pPr>
      <w:r>
        <w:rPr>
          <w:i/>
        </w:rPr>
        <w:t xml:space="preserve">Tel.: 00 32 2 546 80 67 – e-mail: </w:t>
      </w:r>
      <w:hyperlink r:id="rId28">
        <w:r>
          <w:rPr>
            <w:i/>
            <w:color w:val="0000FF"/>
            <w:u w:val="single"/>
          </w:rPr>
          <w:t>claudia.drewes-wran@eesc.europa.eu</w:t>
        </w:r>
      </w:hyperlink>
    </w:p>
    <w:p w:rsidR="00391A85" w:rsidRDefault="00391A85">
      <w:pPr>
        <w:overflowPunct/>
        <w:autoSpaceDE/>
        <w:autoSpaceDN/>
        <w:adjustRightInd/>
        <w:spacing w:line="240" w:lineRule="auto"/>
        <w:jc w:val="left"/>
        <w:textAlignment w:val="auto"/>
      </w:pPr>
    </w:p>
    <w:p w:rsidR="001A141E" w:rsidRPr="00F93161" w:rsidRDefault="00F43CDE" w:rsidP="00F93161">
      <w:pPr>
        <w:pStyle w:val="ListParagraph"/>
        <w:keepNext/>
        <w:widowControl w:val="0"/>
        <w:numPr>
          <w:ilvl w:val="0"/>
          <w:numId w:val="86"/>
        </w:numPr>
        <w:rPr>
          <w:b/>
          <w:i/>
          <w:sz w:val="28"/>
          <w:szCs w:val="28"/>
        </w:rPr>
      </w:pPr>
      <w:r>
        <w:rPr>
          <w:b/>
          <w:i/>
          <w:sz w:val="28"/>
        </w:rPr>
        <w:t>Vestigingsplaats van de zetel van het Europees Geneesmiddelenbureau</w:t>
      </w:r>
    </w:p>
    <w:p w:rsidR="001A141E" w:rsidRPr="00F93161" w:rsidRDefault="001A141E" w:rsidP="00C94BED">
      <w:pPr>
        <w:keepNext/>
        <w:tabs>
          <w:tab w:val="center" w:pos="284"/>
        </w:tabs>
        <w:ind w:left="266" w:hanging="266"/>
        <w:rPr>
          <w:b/>
        </w:rPr>
      </w:pPr>
    </w:p>
    <w:p w:rsidR="001A141E" w:rsidRPr="00F93161" w:rsidRDefault="001A141E" w:rsidP="001A141E">
      <w:pPr>
        <w:tabs>
          <w:tab w:val="center" w:pos="284"/>
        </w:tabs>
        <w:ind w:left="266" w:hanging="266"/>
      </w:pPr>
      <w:r>
        <w:rPr>
          <w:b/>
        </w:rPr>
        <w:t>Categorie C-advies</w:t>
      </w:r>
    </w:p>
    <w:p w:rsidR="001A141E" w:rsidRPr="00F93161" w:rsidRDefault="001A141E" w:rsidP="001A141E">
      <w:pPr>
        <w:tabs>
          <w:tab w:val="center" w:pos="284"/>
        </w:tabs>
        <w:ind w:left="266" w:hanging="266"/>
        <w:rPr>
          <w:b/>
        </w:rPr>
      </w:pPr>
    </w:p>
    <w:p w:rsidR="001A141E" w:rsidRPr="00F93161" w:rsidRDefault="00093786" w:rsidP="00F93161">
      <w:pPr>
        <w:tabs>
          <w:tab w:val="left" w:pos="1701"/>
        </w:tabs>
        <w:ind w:left="266" w:hanging="266"/>
      </w:pPr>
      <w:r>
        <w:rPr>
          <w:b/>
        </w:rPr>
        <w:t>Referentie:</w:t>
      </w:r>
      <w:r>
        <w:tab/>
        <w:t xml:space="preserve">COM(2017) 735 </w:t>
      </w:r>
      <w:proofErr w:type="spellStart"/>
      <w:r>
        <w:t>final</w:t>
      </w:r>
      <w:proofErr w:type="spellEnd"/>
      <w:r>
        <w:t xml:space="preserve"> – 2017/0328 (COD)</w:t>
      </w:r>
    </w:p>
    <w:p w:rsidR="001A141E" w:rsidRPr="00F93161" w:rsidRDefault="001A141E" w:rsidP="00F93161">
      <w:pPr>
        <w:tabs>
          <w:tab w:val="left" w:pos="1701"/>
        </w:tabs>
        <w:rPr>
          <w:szCs w:val="22"/>
        </w:rPr>
      </w:pPr>
      <w:r>
        <w:tab/>
        <w:t>EESC-2018-00004-00-00-AC-TRA</w:t>
      </w:r>
    </w:p>
    <w:p w:rsidR="001A141E" w:rsidRPr="00F93161" w:rsidRDefault="001A141E" w:rsidP="001A141E">
      <w:pPr>
        <w:tabs>
          <w:tab w:val="center" w:pos="284"/>
        </w:tabs>
        <w:ind w:left="266" w:hanging="266"/>
      </w:pPr>
    </w:p>
    <w:p w:rsidR="001A141E" w:rsidRPr="00F93161" w:rsidRDefault="0039620F" w:rsidP="001A141E">
      <w:pPr>
        <w:keepNext/>
        <w:keepLines/>
        <w:tabs>
          <w:tab w:val="center" w:pos="284"/>
        </w:tabs>
        <w:ind w:left="266" w:hanging="266"/>
        <w:rPr>
          <w:b/>
          <w:szCs w:val="22"/>
        </w:rPr>
      </w:pPr>
      <w:r>
        <w:rPr>
          <w:b/>
        </w:rPr>
        <w:lastRenderedPageBreak/>
        <w:t>Hoofdpunten:</w:t>
      </w:r>
    </w:p>
    <w:p w:rsidR="00E6694D" w:rsidRDefault="00E6694D" w:rsidP="00B05746">
      <w:pPr>
        <w:pStyle w:val="Heading2"/>
        <w:numPr>
          <w:ilvl w:val="0"/>
          <w:numId w:val="0"/>
        </w:numPr>
      </w:pPr>
    </w:p>
    <w:p w:rsidR="00B05746" w:rsidRPr="00F93161" w:rsidRDefault="00B05746" w:rsidP="00B05746">
      <w:pPr>
        <w:pStyle w:val="Heading2"/>
        <w:numPr>
          <w:ilvl w:val="0"/>
          <w:numId w:val="0"/>
        </w:numPr>
      </w:pPr>
      <w:r>
        <w:t>Aangezien het Comité instemt met het Commissievoorstel en er geen commentaar op heeft, heeft het besloten hierover een positief advies uit te brengen.</w:t>
      </w:r>
    </w:p>
    <w:p w:rsidR="001A141E" w:rsidRPr="00F93161" w:rsidRDefault="001A141E" w:rsidP="001A141E">
      <w:pPr>
        <w:rPr>
          <w:szCs w:val="24"/>
        </w:rPr>
      </w:pPr>
    </w:p>
    <w:p w:rsidR="001A141E" w:rsidRPr="00F93161" w:rsidRDefault="001A141E" w:rsidP="001A141E">
      <w:pPr>
        <w:tabs>
          <w:tab w:val="left" w:pos="1418"/>
        </w:tabs>
        <w:textAlignment w:val="auto"/>
        <w:rPr>
          <w:i/>
        </w:rPr>
      </w:pPr>
      <w:r>
        <w:rPr>
          <w:b/>
          <w:i/>
        </w:rPr>
        <w:t>Contact</w:t>
      </w:r>
      <w:r>
        <w:t>:</w:t>
      </w:r>
      <w:r>
        <w:tab/>
      </w:r>
      <w:r>
        <w:rPr>
          <w:i/>
        </w:rPr>
        <w:t>Luís Lobo</w:t>
      </w:r>
    </w:p>
    <w:p w:rsidR="001A141E" w:rsidRPr="00F93161" w:rsidRDefault="001A141E" w:rsidP="001A141E">
      <w:pPr>
        <w:tabs>
          <w:tab w:val="left" w:pos="1418"/>
        </w:tabs>
        <w:textAlignment w:val="auto"/>
        <w:rPr>
          <w:i/>
        </w:rPr>
      </w:pPr>
      <w:r>
        <w:tab/>
      </w:r>
      <w:r>
        <w:rPr>
          <w:i/>
        </w:rPr>
        <w:t xml:space="preserve">Tel.: 00 32 2 546 97 17 – e-mail: </w:t>
      </w:r>
      <w:hyperlink r:id="rId29">
        <w:r>
          <w:rPr>
            <w:i/>
            <w:color w:val="0000FF"/>
            <w:u w:val="single"/>
          </w:rPr>
          <w:t>luis.lobo@eesc.europa.eu</w:t>
        </w:r>
      </w:hyperlink>
    </w:p>
    <w:p w:rsidR="001A141E" w:rsidRPr="00F93161" w:rsidRDefault="001A141E" w:rsidP="001A141E"/>
    <w:p w:rsidR="00A72E3F" w:rsidRPr="00F93161" w:rsidRDefault="00A72E3F" w:rsidP="00CF635C">
      <w:pPr>
        <w:tabs>
          <w:tab w:val="left" w:pos="1418"/>
        </w:tabs>
        <w:jc w:val="left"/>
        <w:rPr>
          <w:caps/>
        </w:rPr>
      </w:pPr>
    </w:p>
    <w:p w:rsidR="00A43397" w:rsidRPr="00F93161" w:rsidRDefault="000C491C" w:rsidP="00A72E3F">
      <w:pPr>
        <w:pStyle w:val="Heading1"/>
        <w:ind w:left="567" w:hanging="567"/>
        <w:rPr>
          <w:b/>
          <w:caps/>
        </w:rPr>
      </w:pPr>
      <w:bookmarkStart w:id="5" w:name="_Toc504460492"/>
      <w:bookmarkStart w:id="6" w:name="_Toc505089863"/>
      <w:r>
        <w:rPr>
          <w:b/>
          <w:caps/>
          <w:color w:val="424242"/>
        </w:rPr>
        <w:t>Vervoer, Energie, Infrastructuur en Informatiemaatschappij</w:t>
      </w:r>
      <w:bookmarkEnd w:id="5"/>
      <w:bookmarkEnd w:id="6"/>
    </w:p>
    <w:p w:rsidR="00C80F0D" w:rsidRPr="00F93161" w:rsidRDefault="00C80F0D" w:rsidP="00CF635C"/>
    <w:p w:rsidR="00C80F0D" w:rsidRPr="00093786" w:rsidRDefault="00C80F0D" w:rsidP="00CF635C">
      <w:pPr>
        <w:pStyle w:val="ListParagraph"/>
        <w:widowControl w:val="0"/>
        <w:numPr>
          <w:ilvl w:val="0"/>
          <w:numId w:val="70"/>
        </w:numPr>
        <w:rPr>
          <w:bCs/>
          <w:i/>
        </w:rPr>
      </w:pPr>
      <w:r>
        <w:rPr>
          <w:b/>
          <w:i/>
          <w:sz w:val="28"/>
        </w:rPr>
        <w:t>Toegang tot de markt voor internationaal goederenvervoer over de weg en het beroep van wegvervoerondernemer (herziening)</w:t>
      </w:r>
    </w:p>
    <w:p w:rsidR="00C80F0D" w:rsidRPr="00093786" w:rsidRDefault="00C80F0D" w:rsidP="00CF635C">
      <w:pPr>
        <w:widowControl w:val="0"/>
        <w:rPr>
          <w:bCs/>
          <w:highlight w:val="green"/>
        </w:rPr>
      </w:pPr>
    </w:p>
    <w:p w:rsidR="00C80F0D" w:rsidRPr="00093786" w:rsidRDefault="00C80F0D" w:rsidP="00CF635C">
      <w:pPr>
        <w:tabs>
          <w:tab w:val="left" w:pos="1701"/>
        </w:tabs>
        <w:rPr>
          <w:szCs w:val="22"/>
        </w:rPr>
      </w:pPr>
      <w:r>
        <w:rPr>
          <w:b/>
        </w:rPr>
        <w:t>Rapporteurs:</w:t>
      </w:r>
      <w:r>
        <w:tab/>
        <w:t xml:space="preserve">Stefan Back (werkgevers – SE) en </w:t>
      </w:r>
      <w:proofErr w:type="spellStart"/>
      <w:r>
        <w:t>Pasi</w:t>
      </w:r>
      <w:proofErr w:type="spellEnd"/>
      <w:r>
        <w:t xml:space="preserve"> </w:t>
      </w:r>
      <w:proofErr w:type="spellStart"/>
      <w:r>
        <w:t>Moisio</w:t>
      </w:r>
      <w:proofErr w:type="spellEnd"/>
      <w:r>
        <w:t xml:space="preserve"> (diverse werkzaamheden – FI)</w:t>
      </w:r>
    </w:p>
    <w:p w:rsidR="001B65A1" w:rsidRPr="00093786" w:rsidRDefault="00C80F0D" w:rsidP="00CF635C">
      <w:pPr>
        <w:tabs>
          <w:tab w:val="num" w:pos="550"/>
          <w:tab w:val="left" w:pos="1701"/>
        </w:tabs>
      </w:pPr>
      <w:r>
        <w:rPr>
          <w:b/>
        </w:rPr>
        <w:t>Referentie:</w:t>
      </w:r>
      <w:r>
        <w:tab/>
        <w:t xml:space="preserve">COM(2017) 281 </w:t>
      </w:r>
      <w:proofErr w:type="spellStart"/>
      <w:r>
        <w:t>final</w:t>
      </w:r>
      <w:proofErr w:type="spellEnd"/>
      <w:r>
        <w:t xml:space="preserve"> – 2017/0123 (COD)</w:t>
      </w:r>
    </w:p>
    <w:p w:rsidR="00C80F0D" w:rsidRPr="00093786" w:rsidRDefault="00C80F0D" w:rsidP="00CF635C">
      <w:pPr>
        <w:ind w:left="1701"/>
      </w:pPr>
      <w:r>
        <w:t>EESC-2017-02846-00-00-AC-TRA</w:t>
      </w:r>
    </w:p>
    <w:p w:rsidR="00C80F0D" w:rsidRPr="00093786" w:rsidRDefault="00C80F0D" w:rsidP="00CF635C">
      <w:pPr>
        <w:tabs>
          <w:tab w:val="num" w:pos="550"/>
        </w:tabs>
        <w:rPr>
          <w:b/>
          <w:szCs w:val="22"/>
          <w:highlight w:val="green"/>
        </w:rPr>
      </w:pPr>
    </w:p>
    <w:p w:rsidR="00C80F0D" w:rsidRPr="00093786" w:rsidRDefault="00C80F0D" w:rsidP="00CF635C">
      <w:pPr>
        <w:rPr>
          <w:b/>
          <w:szCs w:val="22"/>
        </w:rPr>
      </w:pPr>
      <w:r>
        <w:rPr>
          <w:b/>
        </w:rPr>
        <w:t xml:space="preserve">Hoofdpunten: </w:t>
      </w:r>
    </w:p>
    <w:p w:rsidR="00CF635C" w:rsidRPr="00F93161" w:rsidRDefault="00CF635C" w:rsidP="00CF635C">
      <w:pPr>
        <w:keepNext/>
        <w:overflowPunct/>
        <w:adjustRightInd/>
        <w:textAlignment w:val="auto"/>
        <w:rPr>
          <w:color w:val="000000"/>
        </w:rPr>
      </w:pPr>
    </w:p>
    <w:p w:rsidR="00C80F0D" w:rsidRPr="00F93161" w:rsidRDefault="00C80F0D" w:rsidP="00CF635C">
      <w:pPr>
        <w:pStyle w:val="ListParagraph"/>
        <w:numPr>
          <w:ilvl w:val="0"/>
          <w:numId w:val="71"/>
        </w:numPr>
      </w:pPr>
      <w:r>
        <w:t>Het EESC spreekt nogmaals zijn steun uit voor het gehele mobiliteitspakket. Daarom is het ingenomen met het voorstel om een gelijk speelveld te creëren in een niet-gefragmenteerde markt voor internationaal wegvervoer en om buitensporige administratieve lasten voor bedrijven te voorkomen, het wettelijk kader te verduidelijken en de handhaving ervan te verbeteren en misbruik in de vorm van brievenbusmaatschappijen, obscure bedrijfsmodellen en illegale cabotage aan te pakken.</w:t>
      </w:r>
    </w:p>
    <w:p w:rsidR="00C80F0D" w:rsidRPr="00F93161" w:rsidRDefault="00C80F0D" w:rsidP="00CF635C">
      <w:pPr>
        <w:pStyle w:val="ListParagraph"/>
        <w:numPr>
          <w:ilvl w:val="0"/>
          <w:numId w:val="71"/>
        </w:numPr>
      </w:pPr>
      <w:r>
        <w:t xml:space="preserve">Het EESC steunt de doelstellingen van het voorstel om vestigingseisen in Verordening (EG) nr. 1071/2009 in te voeren die het gebruik van brievenbusmaatschappijen voorkomen voor wegvervoer en het toezicht op de naleving te versterken. Het EESC steunt tevens de verbeterde regels inzake inbreukprocedures en toezicht op sancties met betrekking tot het risico van verlies van betrouwbaarheidsstatus, die de rechtszekerheid kunnen verhogen. </w:t>
      </w:r>
    </w:p>
    <w:p w:rsidR="00C80F0D" w:rsidRPr="00F93161" w:rsidRDefault="00C80F0D" w:rsidP="00CF635C">
      <w:pPr>
        <w:pStyle w:val="ListParagraph"/>
        <w:numPr>
          <w:ilvl w:val="0"/>
          <w:numId w:val="71"/>
        </w:numPr>
      </w:pPr>
      <w:r>
        <w:t>Het is ingenomen met de verbeterde informatie in nationale registers en de invoering van termijnen voor het beantwoorden van verzoeken om informatie. Het zou graag zien dat er voor de autoriteiten in real time toegang komt tot informatie in nationale registers. Het is verder van mening dat de gegevens die moeten worden ingevoerd in de nationale elektronische registers ook informatie moeten bevatten over de bestuurders in dienst van een onderneming.</w:t>
      </w:r>
    </w:p>
    <w:p w:rsidR="00C80F0D" w:rsidRPr="00F93161" w:rsidRDefault="00C80F0D" w:rsidP="00CF635C">
      <w:pPr>
        <w:pStyle w:val="ListParagraph"/>
        <w:numPr>
          <w:ilvl w:val="0"/>
          <w:numId w:val="71"/>
        </w:numPr>
      </w:pPr>
      <w:r>
        <w:t>Het EESC schaart zich achter het hoofddoel van de voorgestelde wijzigingen van Verordening (EG) nr. 1072/2009 om de regels inzake cabotage te vereenvoudigen en te verduidelijken en het toezicht op de naleving te versterken. Het neemt nota van de mogelijkheden van de digitale tachograaf voor een efficiënte controle op de naleving en steunt spoedige installatie in bestaande voertuigen.</w:t>
      </w:r>
    </w:p>
    <w:p w:rsidR="00C80F0D" w:rsidRPr="00F93161" w:rsidRDefault="00C80F0D" w:rsidP="000F15FA">
      <w:pPr>
        <w:pStyle w:val="ListParagraph"/>
        <w:keepNext/>
        <w:keepLines/>
        <w:numPr>
          <w:ilvl w:val="0"/>
          <w:numId w:val="71"/>
        </w:numPr>
        <w:ind w:left="714" w:hanging="357"/>
      </w:pPr>
      <w:r>
        <w:lastRenderedPageBreak/>
        <w:t>Het EESC stelt echter met klem dat de voorgestelde wijzigingen inzake cabotage alleen succesvol en eerlijk zullen kunnen uitpakken als er bepalingen worden ingevoerd die duidelijk maken wanneer het verrichten van cabotagediensten ophoudt tijdelijk te zijn en er een vestigingsverplichting van kracht wordt, en indien het geheel aan regels inzake de detachering van werknemers zonder uitzondering van toepassing is op elke cabotagerit.</w:t>
      </w:r>
    </w:p>
    <w:p w:rsidR="00C80F0D" w:rsidRPr="00F93161" w:rsidRDefault="00C80F0D" w:rsidP="00CF635C">
      <w:pPr>
        <w:pStyle w:val="ListParagraph"/>
        <w:numPr>
          <w:ilvl w:val="0"/>
          <w:numId w:val="71"/>
        </w:numPr>
      </w:pPr>
      <w:r>
        <w:t xml:space="preserve">Het betreurt dat niet van de gelegenheid is gebruikgemaakt om duidelijkheid te scheppen over een aantal andere regels inzake cabotage die aanleiding hebben gegeven tot uiteenlopende interpretaties. Ook betreurt het dat Richtlijn 92/106/EEG inzake gecombineerd vervoer, die in de praktijk voorziet in een parallelle markttoegang, niet tegelijk met de Verordeningen (EG) </w:t>
      </w:r>
      <w:proofErr w:type="spellStart"/>
      <w:r>
        <w:t>nrs</w:t>
      </w:r>
      <w:proofErr w:type="spellEnd"/>
      <w:r>
        <w:t>. 1071/2009 en 1072/2009 wordt gewijzigd. Om de wetgeving doeltreffend te laten zijn, is het nodig dat cabotage in al haar vormen a</w:t>
      </w:r>
      <w:r w:rsidR="000F15FA">
        <w:t>an dezelfde regels is gebonden.</w:t>
      </w:r>
    </w:p>
    <w:p w:rsidR="00C80F0D" w:rsidRPr="00F93161" w:rsidRDefault="00C80F0D" w:rsidP="00CF635C">
      <w:pPr>
        <w:pStyle w:val="ListParagraph"/>
        <w:numPr>
          <w:ilvl w:val="0"/>
          <w:numId w:val="71"/>
        </w:numPr>
        <w:rPr>
          <w:color w:val="000000"/>
        </w:rPr>
      </w:pPr>
      <w:r>
        <w:t xml:space="preserve">Ten slotte is het Comité van mening dat lichte bedrijfsvoertuigen volledig onder de Verordeningen (EG) </w:t>
      </w:r>
      <w:proofErr w:type="spellStart"/>
      <w:r>
        <w:t>nrs</w:t>
      </w:r>
      <w:proofErr w:type="spellEnd"/>
      <w:r>
        <w:t>. 1071/2009 en 1072/2009 moeten vallen, zij het mogelijkerwijs in een afgeslankte vorm. Ten slotte steunt het EESC de oprichting van een Europees agentschap voor wegvervoer.</w:t>
      </w:r>
    </w:p>
    <w:p w:rsidR="00C80F0D" w:rsidRPr="00F93161" w:rsidRDefault="00C80F0D" w:rsidP="00BF15FD">
      <w:pPr>
        <w:rPr>
          <w:color w:val="000000"/>
        </w:rPr>
      </w:pPr>
    </w:p>
    <w:p w:rsidR="00C80F0D" w:rsidRPr="00093786" w:rsidRDefault="00C80F0D" w:rsidP="00CF635C">
      <w:pPr>
        <w:tabs>
          <w:tab w:val="left" w:pos="1418"/>
        </w:tabs>
        <w:rPr>
          <w:i/>
          <w:szCs w:val="22"/>
        </w:rPr>
      </w:pPr>
      <w:r>
        <w:rPr>
          <w:b/>
          <w:i/>
        </w:rPr>
        <w:t>Contact:</w:t>
      </w:r>
      <w:r>
        <w:tab/>
      </w:r>
      <w:r>
        <w:rPr>
          <w:i/>
        </w:rPr>
        <w:t>Erika PAULINOVA</w:t>
      </w:r>
    </w:p>
    <w:p w:rsidR="00C80F0D" w:rsidRPr="00F93161" w:rsidRDefault="00C80F0D" w:rsidP="00CF635C">
      <w:pPr>
        <w:ind w:left="1418"/>
      </w:pPr>
      <w:r>
        <w:rPr>
          <w:i/>
        </w:rPr>
        <w:t xml:space="preserve">Tel.: 00 32 2 546 8457 - e-mail: </w:t>
      </w:r>
      <w:hyperlink r:id="rId30">
        <w:r>
          <w:rPr>
            <w:rStyle w:val="Hyperlink"/>
            <w:i/>
          </w:rPr>
          <w:t>erika.paulinova@eesc.europa.eu</w:t>
        </w:r>
      </w:hyperlink>
    </w:p>
    <w:p w:rsidR="001B65A1" w:rsidRPr="00093786" w:rsidRDefault="001B65A1" w:rsidP="00CF635C">
      <w:pPr>
        <w:widowControl w:val="0"/>
        <w:ind w:left="-567"/>
        <w:rPr>
          <w:highlight w:val="yellow"/>
        </w:rPr>
      </w:pPr>
    </w:p>
    <w:p w:rsidR="00C80F0D" w:rsidRPr="00093786" w:rsidRDefault="00C80F0D" w:rsidP="00CF635C">
      <w:pPr>
        <w:pStyle w:val="ListParagraph"/>
        <w:widowControl w:val="0"/>
        <w:numPr>
          <w:ilvl w:val="0"/>
          <w:numId w:val="72"/>
        </w:numPr>
        <w:rPr>
          <w:bCs/>
          <w:i/>
          <w:sz w:val="28"/>
          <w:szCs w:val="28"/>
        </w:rPr>
      </w:pPr>
      <w:r>
        <w:rPr>
          <w:b/>
          <w:i/>
          <w:sz w:val="28"/>
        </w:rPr>
        <w:t>Rij- en rusttijden, arbeidstijd en detachering van werknemers</w:t>
      </w:r>
    </w:p>
    <w:p w:rsidR="00C80F0D" w:rsidRPr="00093786" w:rsidRDefault="00C80F0D" w:rsidP="00CF635C">
      <w:pPr>
        <w:widowControl w:val="0"/>
        <w:rPr>
          <w:bCs/>
          <w:highlight w:val="green"/>
        </w:rPr>
      </w:pPr>
    </w:p>
    <w:p w:rsidR="00C80F0D" w:rsidRPr="00093786" w:rsidRDefault="00C80F0D" w:rsidP="00CF635C">
      <w:pPr>
        <w:tabs>
          <w:tab w:val="left" w:pos="1701"/>
        </w:tabs>
        <w:rPr>
          <w:szCs w:val="22"/>
        </w:rPr>
      </w:pPr>
      <w:r>
        <w:rPr>
          <w:b/>
        </w:rPr>
        <w:t>Rapporteur:</w:t>
      </w:r>
      <w:r>
        <w:tab/>
        <w:t xml:space="preserve">Tanja </w:t>
      </w:r>
      <w:proofErr w:type="spellStart"/>
      <w:r>
        <w:t>Buzek</w:t>
      </w:r>
      <w:proofErr w:type="spellEnd"/>
      <w:r>
        <w:t xml:space="preserve"> (werknemers – DE)</w:t>
      </w:r>
    </w:p>
    <w:p w:rsidR="001B65A1" w:rsidRPr="00093786" w:rsidRDefault="00C80F0D" w:rsidP="00CF635C">
      <w:pPr>
        <w:tabs>
          <w:tab w:val="left" w:pos="1701"/>
        </w:tabs>
      </w:pPr>
      <w:r>
        <w:rPr>
          <w:b/>
        </w:rPr>
        <w:t>Referentie:</w:t>
      </w:r>
      <w:r>
        <w:tab/>
        <w:t xml:space="preserve">COM(2017) 277 </w:t>
      </w:r>
      <w:proofErr w:type="spellStart"/>
      <w:r>
        <w:t>final</w:t>
      </w:r>
      <w:proofErr w:type="spellEnd"/>
      <w:r>
        <w:t xml:space="preserve"> en COM(2017) 278 </w:t>
      </w:r>
      <w:proofErr w:type="spellStart"/>
      <w:r>
        <w:t>final</w:t>
      </w:r>
      <w:proofErr w:type="spellEnd"/>
    </w:p>
    <w:p w:rsidR="00C80F0D" w:rsidRPr="00093786" w:rsidRDefault="00C80F0D" w:rsidP="00CF635C">
      <w:pPr>
        <w:ind w:left="1701"/>
        <w:rPr>
          <w:highlight w:val="green"/>
        </w:rPr>
      </w:pPr>
      <w:r>
        <w:t>EESC-2017-02852-00-00-AC-TRA</w:t>
      </w:r>
    </w:p>
    <w:p w:rsidR="00C80F0D" w:rsidRPr="00093786" w:rsidRDefault="00C80F0D" w:rsidP="00CF635C">
      <w:pPr>
        <w:rPr>
          <w:b/>
          <w:szCs w:val="22"/>
          <w:highlight w:val="green"/>
        </w:rPr>
      </w:pPr>
    </w:p>
    <w:p w:rsidR="00C80F0D" w:rsidRDefault="00C80F0D" w:rsidP="00CF635C">
      <w:pPr>
        <w:rPr>
          <w:b/>
          <w:szCs w:val="22"/>
        </w:rPr>
      </w:pPr>
      <w:r>
        <w:rPr>
          <w:b/>
        </w:rPr>
        <w:t xml:space="preserve">Hoofdpunten: </w:t>
      </w:r>
    </w:p>
    <w:p w:rsidR="00E6694D" w:rsidRPr="00093786" w:rsidRDefault="00E6694D" w:rsidP="00CF635C"/>
    <w:p w:rsidR="00C80F0D" w:rsidRPr="00F93161" w:rsidRDefault="00C80F0D" w:rsidP="00CF635C">
      <w:pPr>
        <w:pStyle w:val="ListParagraph"/>
        <w:numPr>
          <w:ilvl w:val="0"/>
          <w:numId w:val="79"/>
        </w:numPr>
        <w:rPr>
          <w:color w:val="000000"/>
        </w:rPr>
      </w:pPr>
      <w:r>
        <w:rPr>
          <w:color w:val="000000"/>
        </w:rPr>
        <w:t>Vervoer is een belangrijke motor van de economie van de EU, en de Commissie wil er terecht voor zorgen dat de EU voorop blijft lopen als het om schone, concurrerende en geconnecteerde mobiliteit gaat.</w:t>
      </w:r>
    </w:p>
    <w:p w:rsidR="00C80F0D" w:rsidRPr="00F93161" w:rsidRDefault="00C80F0D" w:rsidP="00CF635C">
      <w:pPr>
        <w:overflowPunct/>
        <w:adjustRightInd/>
        <w:textAlignment w:val="auto"/>
        <w:rPr>
          <w:color w:val="000000"/>
        </w:rPr>
      </w:pPr>
    </w:p>
    <w:p w:rsidR="00C80F0D" w:rsidRPr="00F93161" w:rsidRDefault="00C80F0D" w:rsidP="00CF635C">
      <w:pPr>
        <w:pStyle w:val="ListParagraph"/>
        <w:numPr>
          <w:ilvl w:val="0"/>
          <w:numId w:val="80"/>
        </w:numPr>
        <w:rPr>
          <w:color w:val="000000"/>
        </w:rPr>
      </w:pPr>
      <w:r>
        <w:rPr>
          <w:color w:val="000000"/>
        </w:rPr>
        <w:t>Het EESC is ingenomen met het initiatief van de Commissie om het regelgevingskader voor wegvervoer te verduidelijken en om een betere handhaving en nauwere samenwerking met de lidstaten te garanderen.</w:t>
      </w:r>
    </w:p>
    <w:p w:rsidR="00C80F0D" w:rsidRPr="00F93161" w:rsidRDefault="00C80F0D" w:rsidP="00CF635C">
      <w:pPr>
        <w:overflowPunct/>
        <w:adjustRightInd/>
        <w:textAlignment w:val="auto"/>
        <w:rPr>
          <w:color w:val="000000"/>
        </w:rPr>
      </w:pPr>
    </w:p>
    <w:p w:rsidR="00C80F0D" w:rsidRPr="00F93161" w:rsidRDefault="00C80F0D" w:rsidP="00CF635C">
      <w:pPr>
        <w:pStyle w:val="ListParagraph"/>
        <w:numPr>
          <w:ilvl w:val="0"/>
          <w:numId w:val="81"/>
        </w:numPr>
        <w:rPr>
          <w:color w:val="000000"/>
        </w:rPr>
      </w:pPr>
      <w:r>
        <w:rPr>
          <w:color w:val="000000"/>
        </w:rPr>
        <w:t>Het EESC is echter van mening dat de voorgestelde wijzigingen in de wetgeving inzake rij- en rusttijden en detachering van bestuurders in meerdere opzichten geen efficiënte oplossing bieden voor de vastgestelde problemen in het wegvervoer. Zo maken ze de regels niet eenvoudiger, duidelijker en beter uitvoerbaar.</w:t>
      </w:r>
    </w:p>
    <w:p w:rsidR="00C80F0D" w:rsidRPr="00F93161" w:rsidRDefault="00C80F0D" w:rsidP="00CF635C">
      <w:pPr>
        <w:overflowPunct/>
        <w:adjustRightInd/>
        <w:textAlignment w:val="auto"/>
        <w:rPr>
          <w:color w:val="000000"/>
        </w:rPr>
      </w:pPr>
    </w:p>
    <w:p w:rsidR="00C80F0D" w:rsidRPr="00F93161" w:rsidRDefault="00C80F0D" w:rsidP="00CF635C">
      <w:pPr>
        <w:pStyle w:val="ListParagraph"/>
        <w:numPr>
          <w:ilvl w:val="0"/>
          <w:numId w:val="82"/>
        </w:numPr>
        <w:rPr>
          <w:color w:val="000000"/>
        </w:rPr>
      </w:pPr>
      <w:r>
        <w:rPr>
          <w:color w:val="000000"/>
        </w:rPr>
        <w:t>De enige manier om de agenda van de Commissie voor een sociaal rechtvaardige transitie naar schone, concurrerende en geconnecteerde mobiliteit voor iedereen te kunnen verwezenlijken is om sociale rechten te waarborgen, te zorgen voor zowel de handhaving als de handhaafbaarheid van regels, eerlijke mededinging te garanderen en omslachtige procedures te beperken.</w:t>
      </w:r>
    </w:p>
    <w:p w:rsidR="00C80F0D" w:rsidRPr="00F93161" w:rsidRDefault="00C80F0D" w:rsidP="00CF635C">
      <w:pPr>
        <w:overflowPunct/>
        <w:adjustRightInd/>
        <w:textAlignment w:val="auto"/>
        <w:rPr>
          <w:color w:val="000000"/>
        </w:rPr>
      </w:pPr>
    </w:p>
    <w:p w:rsidR="00C80F0D" w:rsidRPr="00F93161" w:rsidRDefault="00C80F0D" w:rsidP="00CF635C">
      <w:pPr>
        <w:pStyle w:val="ListParagraph"/>
        <w:numPr>
          <w:ilvl w:val="0"/>
          <w:numId w:val="83"/>
        </w:numPr>
        <w:rPr>
          <w:color w:val="000000"/>
        </w:rPr>
      </w:pPr>
      <w:r>
        <w:rPr>
          <w:color w:val="000000"/>
        </w:rPr>
        <w:t>Het EESC betreurt het feit dat, in het bijzonder waar het gaat om personenvervoer per autobus en touringcar, de voorgestelde wijzigingen geen grondige beoordeling omvatten van de veiligheid van passagiers, bestuurders of het verkeer. Het EESC zou daarom een algemene EU-brede studie inzake vermoeidheid bij bestuurders op prijs stellen en betreurt het dat de Commissie geen oplossingen biedt om dit probleem aan te pakken.</w:t>
      </w:r>
    </w:p>
    <w:p w:rsidR="00C80F0D" w:rsidRPr="00F93161" w:rsidRDefault="00C80F0D" w:rsidP="00CF635C">
      <w:pPr>
        <w:overflowPunct/>
        <w:adjustRightInd/>
        <w:textAlignment w:val="auto"/>
        <w:rPr>
          <w:color w:val="000000"/>
        </w:rPr>
      </w:pPr>
    </w:p>
    <w:p w:rsidR="00C80F0D" w:rsidRPr="00093786" w:rsidRDefault="00C80F0D" w:rsidP="00CF635C">
      <w:pPr>
        <w:tabs>
          <w:tab w:val="left" w:pos="1418"/>
        </w:tabs>
        <w:rPr>
          <w:i/>
          <w:szCs w:val="22"/>
        </w:rPr>
      </w:pPr>
      <w:r>
        <w:rPr>
          <w:b/>
          <w:i/>
        </w:rPr>
        <w:t>Contact:</w:t>
      </w:r>
      <w:r>
        <w:tab/>
      </w:r>
      <w:proofErr w:type="spellStart"/>
      <w:r>
        <w:rPr>
          <w:i/>
        </w:rPr>
        <w:t>Agota</w:t>
      </w:r>
      <w:proofErr w:type="spellEnd"/>
      <w:r>
        <w:rPr>
          <w:i/>
        </w:rPr>
        <w:t xml:space="preserve"> BAZSIK</w:t>
      </w:r>
    </w:p>
    <w:p w:rsidR="002F7D23" w:rsidRPr="00093786" w:rsidRDefault="00C80F0D" w:rsidP="00CF635C">
      <w:pPr>
        <w:ind w:left="1418"/>
        <w:rPr>
          <w:i/>
          <w:szCs w:val="22"/>
        </w:rPr>
      </w:pPr>
      <w:r>
        <w:rPr>
          <w:i/>
        </w:rPr>
        <w:t xml:space="preserve">Tel.: 00 32 2 546 8658 - e-mail: </w:t>
      </w:r>
      <w:hyperlink r:id="rId31">
        <w:r>
          <w:rPr>
            <w:rStyle w:val="Hyperlink"/>
            <w:i/>
          </w:rPr>
          <w:t>agota.bazsik@eesc.europa.eu</w:t>
        </w:r>
      </w:hyperlink>
    </w:p>
    <w:p w:rsidR="002F7D23" w:rsidRPr="00093786" w:rsidRDefault="002F7D23">
      <w:pPr>
        <w:overflowPunct/>
        <w:autoSpaceDE/>
        <w:autoSpaceDN/>
        <w:adjustRightInd/>
        <w:spacing w:line="240" w:lineRule="auto"/>
        <w:jc w:val="left"/>
        <w:textAlignment w:val="auto"/>
        <w:rPr>
          <w:i/>
          <w:szCs w:val="22"/>
        </w:rPr>
      </w:pPr>
    </w:p>
    <w:p w:rsidR="00C80F0D" w:rsidRPr="00093786" w:rsidRDefault="00C80F0D" w:rsidP="00BF15FD">
      <w:pPr>
        <w:pStyle w:val="ListParagraph"/>
        <w:keepNext/>
        <w:numPr>
          <w:ilvl w:val="0"/>
          <w:numId w:val="73"/>
        </w:numPr>
        <w:rPr>
          <w:bCs/>
          <w:i/>
          <w:sz w:val="28"/>
          <w:szCs w:val="28"/>
        </w:rPr>
      </w:pPr>
      <w:r>
        <w:rPr>
          <w:b/>
          <w:i/>
          <w:sz w:val="28"/>
        </w:rPr>
        <w:t>Luchtvaart: een open en geconnecteerd Europa</w:t>
      </w:r>
    </w:p>
    <w:p w:rsidR="00C80F0D" w:rsidRPr="00093786" w:rsidRDefault="00C80F0D" w:rsidP="00BF15FD">
      <w:pPr>
        <w:keepNext/>
        <w:rPr>
          <w:bCs/>
          <w:highlight w:val="green"/>
        </w:rPr>
      </w:pPr>
    </w:p>
    <w:p w:rsidR="00C80F0D" w:rsidRPr="00093786" w:rsidRDefault="00C80F0D" w:rsidP="00BF15FD">
      <w:pPr>
        <w:keepNext/>
        <w:tabs>
          <w:tab w:val="left" w:pos="1701"/>
        </w:tabs>
        <w:rPr>
          <w:szCs w:val="22"/>
        </w:rPr>
      </w:pPr>
      <w:r>
        <w:rPr>
          <w:b/>
        </w:rPr>
        <w:t>Rapporteur:</w:t>
      </w:r>
      <w:r>
        <w:tab/>
      </w:r>
      <w:proofErr w:type="spellStart"/>
      <w:r>
        <w:t>Jacek</w:t>
      </w:r>
      <w:proofErr w:type="spellEnd"/>
      <w:r>
        <w:t xml:space="preserve"> Krawczyk (werkgevers – PL)</w:t>
      </w:r>
    </w:p>
    <w:p w:rsidR="001B65A1" w:rsidRPr="00093786" w:rsidRDefault="00C80F0D" w:rsidP="00BF15FD">
      <w:pPr>
        <w:keepNext/>
        <w:tabs>
          <w:tab w:val="num" w:pos="550"/>
          <w:tab w:val="left" w:pos="1701"/>
        </w:tabs>
      </w:pPr>
      <w:r>
        <w:rPr>
          <w:b/>
        </w:rPr>
        <w:t>Referentie:</w:t>
      </w:r>
      <w:r>
        <w:tab/>
        <w:t xml:space="preserve">COM(2017) 286 </w:t>
      </w:r>
      <w:proofErr w:type="spellStart"/>
      <w:r>
        <w:t>final</w:t>
      </w:r>
      <w:proofErr w:type="spellEnd"/>
      <w:r>
        <w:t xml:space="preserve"> en COM(2017) 289 </w:t>
      </w:r>
      <w:proofErr w:type="spellStart"/>
      <w:r>
        <w:t>final</w:t>
      </w:r>
      <w:proofErr w:type="spellEnd"/>
    </w:p>
    <w:p w:rsidR="00C80F0D" w:rsidRPr="00093786" w:rsidRDefault="00C80F0D" w:rsidP="00BF15FD">
      <w:pPr>
        <w:keepNext/>
        <w:ind w:left="1701"/>
        <w:rPr>
          <w:highlight w:val="green"/>
        </w:rPr>
      </w:pPr>
      <w:r>
        <w:t>EESC-2017-03714-00-00-AC-TRA</w:t>
      </w:r>
    </w:p>
    <w:p w:rsidR="00C80F0D" w:rsidRPr="00093786" w:rsidRDefault="00C80F0D" w:rsidP="00BF15FD">
      <w:pPr>
        <w:keepNext/>
        <w:rPr>
          <w:b/>
          <w:szCs w:val="22"/>
          <w:highlight w:val="green"/>
        </w:rPr>
      </w:pPr>
    </w:p>
    <w:p w:rsidR="00C80F0D" w:rsidRDefault="00C80F0D" w:rsidP="00BF15FD">
      <w:pPr>
        <w:keepNext/>
        <w:rPr>
          <w:b/>
          <w:szCs w:val="22"/>
        </w:rPr>
      </w:pPr>
      <w:r>
        <w:rPr>
          <w:b/>
        </w:rPr>
        <w:t xml:space="preserve">Hoofdpunten: </w:t>
      </w:r>
    </w:p>
    <w:p w:rsidR="00E6694D" w:rsidRPr="00093786" w:rsidRDefault="00E6694D" w:rsidP="00BF15FD">
      <w:pPr>
        <w:keepNext/>
      </w:pPr>
    </w:p>
    <w:p w:rsidR="00C80F0D" w:rsidRDefault="00C80F0D" w:rsidP="00BF15FD">
      <w:pPr>
        <w:pStyle w:val="ListParagraph"/>
        <w:numPr>
          <w:ilvl w:val="0"/>
          <w:numId w:val="74"/>
        </w:numPr>
        <w:ind w:left="567"/>
      </w:pPr>
      <w:r>
        <w:t xml:space="preserve">In zijn advies over het pakket van de Europese Commissie “Luchtvaart: open en geconnecteerd Europa” juicht het EESC de voorstellen van de Commissie toe als een stap op weg naar de tenuitvoerlegging van de “Luchtvaartstrategie voor Europa” vanaf december 2015. Dit is van cruciaal belang gezien de vele uitdagingen waarmee de belanghebbenden in de luchtvaartsector worden geconfronteerd, zoals de ontwikkeling van markten in meerdere richtingen, toenemende druk op mensen en bedrijven, toenemende concurrentie binnen en buiten de EU, en nieuwe ontwrichtende technologieën en digitalisering. In het pakket “Luchtvaart: een open geconnecteerd Europa” - dat één wetgevingsvoorstel en drie niet-wetgevingsvoorstellen bevat - wordt een aantal </w:t>
      </w:r>
      <w:r w:rsidR="000F15FA">
        <w:t>van deze uitdagingen aangepakt.</w:t>
      </w:r>
    </w:p>
    <w:p w:rsidR="00E6694D" w:rsidRPr="00F93161" w:rsidRDefault="00E6694D" w:rsidP="00F93161"/>
    <w:p w:rsidR="00C80F0D" w:rsidRDefault="00C80F0D" w:rsidP="00C732DD">
      <w:pPr>
        <w:pStyle w:val="ListParagraph"/>
        <w:numPr>
          <w:ilvl w:val="0"/>
          <w:numId w:val="75"/>
        </w:numPr>
        <w:ind w:left="567"/>
      </w:pPr>
      <w:r>
        <w:t xml:space="preserve">Ten aanzien van het voorstel van de Commissie inzake de bescherming van de mededinging in de luchtvaart (Verordening (EG) nr. 868/2004) onderstreept het EESC dat een gelijk speelveld voor de EU en externe concurrenten in de luchtvaart alleen blijvend kan worden gewaarborgd als derde landen ook de basisbeginselen van arbeidsbescherming in acht nemen en zich inzetten voor bescherming van de consument en eerbiediging van de milieunormen. Als gevolg hiervan moet o.m. worden onderhandeld over “eerlijke concurrentieclausules” in internationale luchtvaartovereenkomsten, waaronder de totstandbrenging van een goed </w:t>
      </w:r>
      <w:r w:rsidR="000F15FA">
        <w:t>functionerende sociale dialoog.</w:t>
      </w:r>
    </w:p>
    <w:p w:rsidR="00E6694D" w:rsidRPr="00F93161" w:rsidRDefault="00E6694D" w:rsidP="00F93161"/>
    <w:p w:rsidR="00C80F0D" w:rsidRDefault="00C80F0D" w:rsidP="00C732DD">
      <w:pPr>
        <w:pStyle w:val="ListParagraph"/>
        <w:numPr>
          <w:ilvl w:val="0"/>
          <w:numId w:val="76"/>
        </w:numPr>
        <w:ind w:left="567"/>
      </w:pPr>
      <w:r>
        <w:t xml:space="preserve">Wat de voorgestelde interpretatierichtsnoeren inzake eigendom en zeggenschap betreft, beveelt het EESC aan om op basis van een aantal scenario's een effectbeoordeling op te stellen om het pad te effenen voor een op feiten gebaseerd oordeel over de kwestie van eigendom en zeggenschap. Met betrekking tot de voorgestelde interpretatierichtsnoeren voor de </w:t>
      </w:r>
      <w:proofErr w:type="spellStart"/>
      <w:r>
        <w:t>openbaredienstverplichting</w:t>
      </w:r>
      <w:proofErr w:type="spellEnd"/>
      <w:r>
        <w:t xml:space="preserve"> verzoekt het EESC de Commissie om - op basis van een diepgaand economisch en maatschappelijk onderzoek, dat wordt geschraagd door een openbare raadpleging, naar de manier waarop er betere duurzame verbindingen tot stand kunnen worden gebracht met kleine binnenlandse markten en perifere bestemmingen - Verordening (EG) </w:t>
      </w:r>
      <w:r>
        <w:lastRenderedPageBreak/>
        <w:t>nr.</w:t>
      </w:r>
      <w:r w:rsidR="000F15FA">
        <w:t> </w:t>
      </w:r>
      <w:r>
        <w:t>1008/2008 te herzien. Wat de continuïteit van het luchtverkeersbeheer betreft is het EESC van mening dat de netwerkbeheerder op EU-niveau (een directoraat van Eurocontrol) al een begin heeft gemaakt met het beperken van verstoringen van het luchtverkeersbeheer. Bovendien beschikken de sociale partners al over onderling afgesproken instrumenten om eventuele negatieve gevolgen van vakbondsacties te beperken. Het EESC herhaalt dat staken een fundamenteel arbeidsrecht is en dat het stakingsrecht buiten het toepassingsgebied van de EU-verdragen valt.</w:t>
      </w:r>
    </w:p>
    <w:p w:rsidR="00C80F0D" w:rsidRPr="00F93161" w:rsidRDefault="00C80F0D" w:rsidP="00C732DD">
      <w:pPr>
        <w:ind w:left="567"/>
      </w:pPr>
    </w:p>
    <w:p w:rsidR="00C80F0D" w:rsidRPr="00F93161" w:rsidRDefault="00C80F0D" w:rsidP="00C732DD">
      <w:pPr>
        <w:pStyle w:val="ListParagraph"/>
        <w:numPr>
          <w:ilvl w:val="0"/>
          <w:numId w:val="77"/>
        </w:numPr>
        <w:ind w:left="567"/>
      </w:pPr>
      <w:r>
        <w:t>Het EESC wijst er in het algemeen op dat het voor een efficiënte uitvoering van de EU-luchtvaartstrategie van essentieel belang is om de standpunten van het georganiseerd maatschappelijk middenveld ten aanzien van de politieke, sociale, economische en milieugevolgen van deze initiatieven een plaats te g</w:t>
      </w:r>
      <w:r w:rsidR="000F15FA">
        <w:t>even in de politieke discussie.</w:t>
      </w:r>
    </w:p>
    <w:p w:rsidR="00C80F0D" w:rsidRPr="00F93161" w:rsidRDefault="00C80F0D" w:rsidP="00C732DD">
      <w:pPr>
        <w:ind w:left="567"/>
        <w:rPr>
          <w:color w:val="000000"/>
        </w:rPr>
      </w:pPr>
    </w:p>
    <w:p w:rsidR="00C80F0D" w:rsidRPr="00093786" w:rsidRDefault="00C80F0D" w:rsidP="00C732DD">
      <w:pPr>
        <w:tabs>
          <w:tab w:val="left" w:pos="1418"/>
        </w:tabs>
        <w:ind w:left="567"/>
        <w:rPr>
          <w:i/>
          <w:szCs w:val="22"/>
        </w:rPr>
      </w:pPr>
      <w:r>
        <w:rPr>
          <w:b/>
          <w:i/>
        </w:rPr>
        <w:t>Contact:</w:t>
      </w:r>
      <w:r>
        <w:tab/>
      </w:r>
      <w:r>
        <w:rPr>
          <w:i/>
        </w:rPr>
        <w:t>Kristian KRIEGER</w:t>
      </w:r>
    </w:p>
    <w:p w:rsidR="00C80F0D" w:rsidRPr="00093786" w:rsidRDefault="00C80F0D" w:rsidP="00C732DD">
      <w:pPr>
        <w:ind w:left="567"/>
        <w:rPr>
          <w:i/>
          <w:szCs w:val="22"/>
        </w:rPr>
      </w:pPr>
      <w:r>
        <w:rPr>
          <w:i/>
        </w:rPr>
        <w:t xml:space="preserve">Tel.: 00 32 2 546 8921 - e-mail: </w:t>
      </w:r>
      <w:hyperlink r:id="rId32">
        <w:r>
          <w:rPr>
            <w:rStyle w:val="Hyperlink"/>
            <w:i/>
          </w:rPr>
          <w:t>kristian.krieger@eesc.europa.eu</w:t>
        </w:r>
      </w:hyperlink>
    </w:p>
    <w:p w:rsidR="00CF635C" w:rsidRPr="00093786" w:rsidRDefault="00CF635C" w:rsidP="00CF635C">
      <w:pPr>
        <w:rPr>
          <w:i/>
          <w:szCs w:val="22"/>
        </w:rPr>
      </w:pPr>
    </w:p>
    <w:p w:rsidR="00C80F0D" w:rsidRPr="00093786" w:rsidRDefault="00C80F0D" w:rsidP="00BF15FD">
      <w:pPr>
        <w:pStyle w:val="ListParagraph"/>
        <w:keepNext/>
        <w:numPr>
          <w:ilvl w:val="0"/>
          <w:numId w:val="78"/>
        </w:numPr>
        <w:rPr>
          <w:bCs/>
          <w:i/>
          <w:sz w:val="28"/>
          <w:szCs w:val="28"/>
        </w:rPr>
      </w:pPr>
      <w:r>
        <w:rPr>
          <w:b/>
          <w:i/>
          <w:sz w:val="28"/>
        </w:rPr>
        <w:t>Rechten en verplichtingen van reizigers in het treinverkeer</w:t>
      </w:r>
    </w:p>
    <w:p w:rsidR="00C80F0D" w:rsidRPr="00093786" w:rsidRDefault="00C80F0D" w:rsidP="00BF15FD">
      <w:pPr>
        <w:keepNext/>
        <w:rPr>
          <w:bCs/>
          <w:highlight w:val="green"/>
        </w:rPr>
      </w:pPr>
    </w:p>
    <w:p w:rsidR="00C80F0D" w:rsidRPr="00F93161" w:rsidRDefault="00C80F0D" w:rsidP="00BF15FD">
      <w:pPr>
        <w:keepNext/>
        <w:tabs>
          <w:tab w:val="left" w:pos="1701"/>
        </w:tabs>
      </w:pPr>
      <w:r>
        <w:rPr>
          <w:b/>
        </w:rPr>
        <w:t>Rapporteur:</w:t>
      </w:r>
      <w:r>
        <w:tab/>
        <w:t>Jan Simons (werkgevers – NL)</w:t>
      </w:r>
    </w:p>
    <w:p w:rsidR="003029D8" w:rsidRPr="00093786" w:rsidRDefault="00C80F0D" w:rsidP="00BF15FD">
      <w:pPr>
        <w:keepNext/>
        <w:tabs>
          <w:tab w:val="left" w:pos="1701"/>
        </w:tabs>
      </w:pPr>
      <w:r>
        <w:rPr>
          <w:b/>
        </w:rPr>
        <w:t>Referentie:</w:t>
      </w:r>
      <w:r>
        <w:tab/>
        <w:t xml:space="preserve">COM(2017) 548 </w:t>
      </w:r>
      <w:proofErr w:type="spellStart"/>
      <w:r>
        <w:t>final</w:t>
      </w:r>
      <w:proofErr w:type="spellEnd"/>
      <w:r>
        <w:t xml:space="preserve"> - 2017/0237 (COD)</w:t>
      </w:r>
    </w:p>
    <w:p w:rsidR="00C80F0D" w:rsidRPr="00093786" w:rsidRDefault="00C80F0D" w:rsidP="00BF15FD">
      <w:pPr>
        <w:keepNext/>
        <w:ind w:left="1701"/>
        <w:rPr>
          <w:highlight w:val="green"/>
        </w:rPr>
      </w:pPr>
      <w:r>
        <w:t>EESC-2017-04887-00-00-AC-TRA</w:t>
      </w:r>
    </w:p>
    <w:p w:rsidR="00C80F0D" w:rsidRPr="00093786" w:rsidRDefault="00C80F0D" w:rsidP="00CF635C">
      <w:pPr>
        <w:rPr>
          <w:b/>
          <w:szCs w:val="22"/>
          <w:highlight w:val="green"/>
        </w:rPr>
      </w:pPr>
    </w:p>
    <w:p w:rsidR="00C80F0D" w:rsidRDefault="00C80F0D" w:rsidP="00CF635C">
      <w:pPr>
        <w:rPr>
          <w:b/>
          <w:szCs w:val="22"/>
        </w:rPr>
      </w:pPr>
      <w:r>
        <w:rPr>
          <w:b/>
        </w:rPr>
        <w:t xml:space="preserve">Hoofdpunten: </w:t>
      </w:r>
    </w:p>
    <w:p w:rsidR="00E6694D" w:rsidRPr="00093786" w:rsidRDefault="00E6694D" w:rsidP="00CF635C">
      <w:pPr>
        <w:rPr>
          <w:b/>
          <w:szCs w:val="22"/>
        </w:rPr>
      </w:pPr>
    </w:p>
    <w:p w:rsidR="00C80F0D" w:rsidRDefault="00C80F0D" w:rsidP="00CF635C">
      <w:pPr>
        <w:keepNext/>
        <w:rPr>
          <w:color w:val="000000"/>
        </w:rPr>
      </w:pPr>
      <w:r>
        <w:rPr>
          <w:color w:val="000000"/>
        </w:rPr>
        <w:t>Het Comité onderschrijft de voorstellen van de Commissie, vooral die welke de huidige regels nader preciseren, een betere informatie naar de reiziger toe geven en door het opheffen van nationale uitzonderingen de eenheid van toepassing van passagiersrechten in de gehele Europese Unie bevorderen. Daarnaast is het toevoegen van een overmachtsclausule als zodanig gerechtvaardigd, gezien de gelijktrekking daardoor met de andere vervoerstakken.</w:t>
      </w:r>
    </w:p>
    <w:p w:rsidR="00E6694D" w:rsidRPr="00F93161" w:rsidRDefault="00E6694D" w:rsidP="00CF635C">
      <w:pPr>
        <w:keepNext/>
        <w:rPr>
          <w:color w:val="000000"/>
        </w:rPr>
      </w:pPr>
    </w:p>
    <w:p w:rsidR="00C80F0D" w:rsidRDefault="00C80F0D" w:rsidP="00CF635C">
      <w:pPr>
        <w:keepNext/>
        <w:rPr>
          <w:color w:val="000000"/>
        </w:rPr>
      </w:pPr>
      <w:r>
        <w:rPr>
          <w:color w:val="000000"/>
        </w:rPr>
        <w:t>Het Comité heeft nog een aantal suggesties ter aanscherping van de ontwerptekst:</w:t>
      </w:r>
    </w:p>
    <w:p w:rsidR="00B93E80" w:rsidRPr="00F93161" w:rsidRDefault="00B93E80" w:rsidP="00CF635C">
      <w:pPr>
        <w:keepNext/>
        <w:rPr>
          <w:color w:val="000000"/>
        </w:rPr>
      </w:pPr>
    </w:p>
    <w:p w:rsidR="00C80F0D" w:rsidRPr="00F93161" w:rsidRDefault="00C80F0D" w:rsidP="00CF635C">
      <w:pPr>
        <w:numPr>
          <w:ilvl w:val="0"/>
          <w:numId w:val="62"/>
        </w:numPr>
      </w:pPr>
      <w:r>
        <w:t>Voor treinpersoneel kan het soms lastig zijn om passagiers met een handicap te herkennen, temeer nu wordt voorgesteld om in de definitie van personen met beperkte mobiliteit ook geestelijke en psychologische handicaps op te nemen. Juist bij een verdenking van fraude kan dat tot kritieke situaties en praktische problemen leiden. Dit aspect zou ook bij de opleiding van personeel (art. 26) de nodige aandacht moeten krijgen.</w:t>
      </w:r>
    </w:p>
    <w:p w:rsidR="00C80F0D" w:rsidRPr="00F93161" w:rsidRDefault="00C80F0D" w:rsidP="00CF635C">
      <w:pPr>
        <w:numPr>
          <w:ilvl w:val="0"/>
          <w:numId w:val="62"/>
        </w:numPr>
      </w:pPr>
      <w:r>
        <w:t>Conform de vereiste van de huidige verordening moeten de resterende vrijstellingen van nationale langeafstandsdiensten tegen 2024 geleidelijk worden afgeschaft. Eerdere beëindiging in 2020, zoals voorgesteld door de Commissie zou binnen een enkele lidstaat nog te vroeg kunnen zijn. Indien dat zich voordoet, dient per geval een adequate oplossing gevonden te worden, zodat een soepele overgang mogelijk is.</w:t>
      </w:r>
    </w:p>
    <w:p w:rsidR="00C80F0D" w:rsidRPr="00F93161" w:rsidRDefault="00C80F0D" w:rsidP="000F15FA">
      <w:pPr>
        <w:keepNext/>
        <w:keepLines/>
        <w:numPr>
          <w:ilvl w:val="0"/>
          <w:numId w:val="62"/>
        </w:numPr>
        <w:ind w:left="714" w:hanging="357"/>
      </w:pPr>
      <w:r>
        <w:lastRenderedPageBreak/>
        <w:t>De minimumvergoedingen (art. 17, lid 1) zijn tijdsgebonden, nl. een minimum van 60 minuten vertraging. Er zijn in de huidige praktijk echter gevallen bekend van een lagere tijdsgebondenheid. Die mogelijkheid moet blijven bestaan door dit ook expliciet te gaan vermelden in het artikel.</w:t>
      </w:r>
    </w:p>
    <w:p w:rsidR="00C80F0D" w:rsidRPr="00F93161" w:rsidRDefault="00C80F0D" w:rsidP="00CF635C">
      <w:pPr>
        <w:numPr>
          <w:ilvl w:val="0"/>
          <w:numId w:val="62"/>
        </w:numPr>
      </w:pPr>
      <w:r>
        <w:t>Aan de te geven reisinformatie dient te worden toegevoegd dat, indien met aan zekerheid grenzende waarschijnlijkheid vaststaat dat de minimumtijd voor een vertragingsvergoeding gehaald wordt of overschreden is, dit de reizigers wordt medegedeeld en waar mogelijk moeten de desbetreffende aanvraagformulieren voor een vergoeding daadwerkelijk ter beschikking worden gesteld.</w:t>
      </w:r>
    </w:p>
    <w:p w:rsidR="00C80F0D" w:rsidRPr="00F93161" w:rsidRDefault="00C80F0D" w:rsidP="00CF635C">
      <w:pPr>
        <w:numPr>
          <w:ilvl w:val="0"/>
          <w:numId w:val="62"/>
        </w:numPr>
      </w:pPr>
      <w:r>
        <w:t xml:space="preserve">Artikel 22 regelt de bijstand in spoorwegstations. In lid 3 wordt voor onbemande stations een aangepaste bijstandsregeling beschreven. Het voorgestelde nieuwe lid 4 houdt daar ten onrechte geen rekening mee. Het Comité beveelt aan </w:t>
      </w:r>
      <w:proofErr w:type="spellStart"/>
      <w:r>
        <w:t>aan</w:t>
      </w:r>
      <w:proofErr w:type="spellEnd"/>
      <w:r>
        <w:t xml:space="preserve"> lid 4 achter het laatste woord “stations” toe te voegen: “, met uitzondering van de al onder lid 3 vallende onbemande stations.”</w:t>
      </w:r>
    </w:p>
    <w:p w:rsidR="00C80F0D" w:rsidRPr="00F93161" w:rsidRDefault="00C80F0D" w:rsidP="00F93161">
      <w:pPr>
        <w:ind w:left="720"/>
        <w:rPr>
          <w:color w:val="000000"/>
        </w:rPr>
      </w:pPr>
    </w:p>
    <w:p w:rsidR="00C80F0D" w:rsidRPr="00F93161" w:rsidRDefault="00C80F0D" w:rsidP="00CF635C">
      <w:pPr>
        <w:keepNext/>
        <w:rPr>
          <w:color w:val="000000"/>
        </w:rPr>
      </w:pPr>
    </w:p>
    <w:p w:rsidR="00C80F0D" w:rsidRPr="00093786" w:rsidRDefault="00C80F0D" w:rsidP="00CF635C">
      <w:pPr>
        <w:tabs>
          <w:tab w:val="left" w:pos="1418"/>
        </w:tabs>
        <w:rPr>
          <w:i/>
          <w:szCs w:val="22"/>
        </w:rPr>
      </w:pPr>
      <w:r>
        <w:rPr>
          <w:b/>
          <w:i/>
        </w:rPr>
        <w:t>Contact:</w:t>
      </w:r>
      <w:r>
        <w:tab/>
      </w:r>
      <w:proofErr w:type="spellStart"/>
      <w:r>
        <w:rPr>
          <w:i/>
        </w:rPr>
        <w:t>Agota</w:t>
      </w:r>
      <w:proofErr w:type="spellEnd"/>
      <w:r>
        <w:rPr>
          <w:i/>
        </w:rPr>
        <w:t xml:space="preserve"> BAZSIK</w:t>
      </w:r>
    </w:p>
    <w:p w:rsidR="00C80F0D" w:rsidRPr="00F93161" w:rsidRDefault="00C80F0D" w:rsidP="00CF635C">
      <w:pPr>
        <w:ind w:left="1418"/>
      </w:pPr>
      <w:r>
        <w:rPr>
          <w:i/>
        </w:rPr>
        <w:t xml:space="preserve">Tel.: 00 32 2 546 8658 - e-mail: </w:t>
      </w:r>
      <w:hyperlink r:id="rId33">
        <w:r>
          <w:rPr>
            <w:rStyle w:val="Hyperlink"/>
            <w:i/>
          </w:rPr>
          <w:t>agota.bazsik@eesc.europa.eu</w:t>
        </w:r>
      </w:hyperlink>
    </w:p>
    <w:p w:rsidR="0099413E" w:rsidRPr="00F93161" w:rsidRDefault="0099413E" w:rsidP="00CF635C"/>
    <w:p w:rsidR="0099413E" w:rsidRPr="00F93161" w:rsidRDefault="0099413E" w:rsidP="00CF635C">
      <w:pPr>
        <w:jc w:val="center"/>
      </w:pPr>
      <w:r>
        <w:t>–––––––––––––</w:t>
      </w:r>
    </w:p>
    <w:sectPr w:rsidR="0099413E" w:rsidRPr="00F93161" w:rsidSect="00A453A7">
      <w:headerReference w:type="even" r:id="rId34"/>
      <w:headerReference w:type="default" r:id="rId35"/>
      <w:footerReference w:type="even" r:id="rId36"/>
      <w:footerReference w:type="default" r:id="rId37"/>
      <w:headerReference w:type="first" r:id="rId38"/>
      <w:footerReference w:type="first" r:id="rId3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36" w:rsidRDefault="00752D36" w:rsidP="003B283B">
      <w:pPr>
        <w:spacing w:line="240" w:lineRule="auto"/>
      </w:pPr>
      <w:r>
        <w:separator/>
      </w:r>
    </w:p>
  </w:endnote>
  <w:endnote w:type="continuationSeparator" w:id="0">
    <w:p w:rsidR="00752D36" w:rsidRDefault="00752D36" w:rsidP="003B283B">
      <w:pPr>
        <w:spacing w:line="240" w:lineRule="auto"/>
      </w:pPr>
      <w:r>
        <w:continuationSeparator/>
      </w:r>
    </w:p>
  </w:endnote>
  <w:endnote w:type="continuationNotice" w:id="1">
    <w:p w:rsidR="00752D36" w:rsidRDefault="00752D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A453A7" w:rsidP="00A453A7">
    <w:pPr>
      <w:pStyle w:val="Footer"/>
    </w:pPr>
    <w:r>
      <w:t xml:space="preserve">EESC-2017-05949-00-02-TCD-TRA (EN) </w:t>
    </w:r>
    <w:r>
      <w:fldChar w:fldCharType="begin"/>
    </w:r>
    <w:r>
      <w:instrText xml:space="preserve"> PAGE  \* Arabic  \* MERGEFORMAT </w:instrText>
    </w:r>
    <w:r>
      <w:fldChar w:fldCharType="separate"/>
    </w:r>
    <w:r w:rsidR="0013425E">
      <w:rPr>
        <w:noProof/>
      </w:rPr>
      <w:t>1</w:t>
    </w:r>
    <w:r>
      <w:fldChar w:fldCharType="end"/>
    </w:r>
    <w:r>
      <w:t>/</w:t>
    </w:r>
    <w:r>
      <w:fldChar w:fldCharType="begin"/>
    </w:r>
    <w:r>
      <w:instrText xml:space="preserve"> = </w:instrText>
    </w:r>
    <w:fldSimple w:instr=" NUMPAGES ">
      <w:r w:rsidR="0013425E">
        <w:rPr>
          <w:noProof/>
        </w:rPr>
        <w:instrText>14</w:instrText>
      </w:r>
    </w:fldSimple>
    <w:r>
      <w:instrText xml:space="preserve"> </w:instrText>
    </w:r>
    <w:r>
      <w:fldChar w:fldCharType="separate"/>
    </w:r>
    <w:r w:rsidR="0013425E">
      <w:rPr>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A453A7" w:rsidP="00A453A7">
    <w:pPr>
      <w:pStyle w:val="Footer"/>
    </w:pPr>
    <w:r>
      <w:t xml:space="preserve">EESC-2017-05949-00-02-TCD-TRA (EN) </w:t>
    </w:r>
    <w:r>
      <w:fldChar w:fldCharType="begin"/>
    </w:r>
    <w:r>
      <w:instrText xml:space="preserve"> PAGE  \* Arabic  \* MERGEFORMAT </w:instrText>
    </w:r>
    <w:r>
      <w:fldChar w:fldCharType="separate"/>
    </w:r>
    <w:r w:rsidR="0013425E">
      <w:rPr>
        <w:noProof/>
      </w:rPr>
      <w:t>3</w:t>
    </w:r>
    <w:r>
      <w:fldChar w:fldCharType="end"/>
    </w:r>
    <w:r>
      <w:t>/</w:t>
    </w:r>
    <w:r>
      <w:fldChar w:fldCharType="begin"/>
    </w:r>
    <w:r>
      <w:instrText xml:space="preserve"> = </w:instrText>
    </w:r>
    <w:fldSimple w:instr=" NUMPAGES ">
      <w:r w:rsidR="0013425E">
        <w:rPr>
          <w:noProof/>
        </w:rPr>
        <w:instrText>14</w:instrText>
      </w:r>
    </w:fldSimple>
    <w:r>
      <w:instrText xml:space="preserve"> </w:instrText>
    </w:r>
    <w:r>
      <w:fldChar w:fldCharType="separate"/>
    </w:r>
    <w:r w:rsidR="0013425E">
      <w:rPr>
        <w:noProof/>
      </w:rPr>
      <w:t>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36" w:rsidRDefault="00752D36" w:rsidP="003B283B">
      <w:pPr>
        <w:spacing w:line="240" w:lineRule="auto"/>
      </w:pPr>
      <w:r>
        <w:separator/>
      </w:r>
    </w:p>
  </w:footnote>
  <w:footnote w:type="continuationSeparator" w:id="0">
    <w:p w:rsidR="00752D36" w:rsidRDefault="00752D36" w:rsidP="003B283B">
      <w:pPr>
        <w:spacing w:line="240" w:lineRule="auto"/>
      </w:pPr>
      <w:r>
        <w:continuationSeparator/>
      </w:r>
    </w:p>
  </w:footnote>
  <w:footnote w:type="continuationNotice" w:id="1">
    <w:p w:rsidR="00752D36" w:rsidRPr="00377A77" w:rsidRDefault="00752D36">
      <w:pPr>
        <w:spacing w:line="240" w:lineRule="auto"/>
        <w:rPr>
          <w:sz w:val="2"/>
          <w:szCs w:val="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222C56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ACD4CDB0"/>
    <w:lvl w:ilvl="0">
      <w:numFmt w:val="decimal"/>
      <w:lvlText w:val="*"/>
      <w:lvlJc w:val="left"/>
      <w:rPr>
        <w:rFonts w:cs="Times New Roman"/>
      </w:rPr>
    </w:lvl>
  </w:abstractNum>
  <w:abstractNum w:abstractNumId="2">
    <w:nsid w:val="03F461BD"/>
    <w:multiLevelType w:val="hybridMultilevel"/>
    <w:tmpl w:val="B20C24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C531D3"/>
    <w:multiLevelType w:val="hybridMultilevel"/>
    <w:tmpl w:val="6448A2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5570BD2"/>
    <w:multiLevelType w:val="hybridMultilevel"/>
    <w:tmpl w:val="2DCC63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5FF3CA7"/>
    <w:multiLevelType w:val="hybridMultilevel"/>
    <w:tmpl w:val="0A32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6E633A"/>
    <w:multiLevelType w:val="hybridMultilevel"/>
    <w:tmpl w:val="FC4A2F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6C270DC"/>
    <w:multiLevelType w:val="hybridMultilevel"/>
    <w:tmpl w:val="0D560E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0A4E7A1A"/>
    <w:multiLevelType w:val="hybridMultilevel"/>
    <w:tmpl w:val="EEB8AF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0DC32146"/>
    <w:multiLevelType w:val="hybridMultilevel"/>
    <w:tmpl w:val="40C4E8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0DE55B7"/>
    <w:multiLevelType w:val="hybridMultilevel"/>
    <w:tmpl w:val="B362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1E7A14"/>
    <w:multiLevelType w:val="hybridMultilevel"/>
    <w:tmpl w:val="4B4883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14344289"/>
    <w:multiLevelType w:val="hybridMultilevel"/>
    <w:tmpl w:val="87D4351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15F050C2"/>
    <w:multiLevelType w:val="hybridMultilevel"/>
    <w:tmpl w:val="B4662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16CD6F95"/>
    <w:multiLevelType w:val="hybridMultilevel"/>
    <w:tmpl w:val="C9345E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17D040C1"/>
    <w:multiLevelType w:val="hybridMultilevel"/>
    <w:tmpl w:val="D604F6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9C26CAC"/>
    <w:multiLevelType w:val="hybridMultilevel"/>
    <w:tmpl w:val="8A2059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C967FD"/>
    <w:multiLevelType w:val="hybridMultilevel"/>
    <w:tmpl w:val="2FF8BA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1ECE02CC"/>
    <w:multiLevelType w:val="hybridMultilevel"/>
    <w:tmpl w:val="6966CF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1FAC3F22"/>
    <w:multiLevelType w:val="hybridMultilevel"/>
    <w:tmpl w:val="6A6621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212D7171"/>
    <w:multiLevelType w:val="hybridMultilevel"/>
    <w:tmpl w:val="A448FE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23746354"/>
    <w:multiLevelType w:val="hybridMultilevel"/>
    <w:tmpl w:val="CC66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B916AF"/>
    <w:multiLevelType w:val="hybridMultilevel"/>
    <w:tmpl w:val="B9882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24BB5A4D"/>
    <w:multiLevelType w:val="hybridMultilevel"/>
    <w:tmpl w:val="FF027A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25143BB8"/>
    <w:multiLevelType w:val="hybridMultilevel"/>
    <w:tmpl w:val="D93C6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26B81550"/>
    <w:multiLevelType w:val="hybridMultilevel"/>
    <w:tmpl w:val="96C22F42"/>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7">
    <w:nsid w:val="26D57BFC"/>
    <w:multiLevelType w:val="hybridMultilevel"/>
    <w:tmpl w:val="A128F8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27EC487E"/>
    <w:multiLevelType w:val="hybridMultilevel"/>
    <w:tmpl w:val="A15606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284632C1"/>
    <w:multiLevelType w:val="hybridMultilevel"/>
    <w:tmpl w:val="1DE8C274"/>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28D65659"/>
    <w:multiLevelType w:val="hybridMultilevel"/>
    <w:tmpl w:val="B98E05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29FA0961"/>
    <w:multiLevelType w:val="hybridMultilevel"/>
    <w:tmpl w:val="0BC24C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2B16239A"/>
    <w:multiLevelType w:val="hybridMultilevel"/>
    <w:tmpl w:val="1EE69E7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3">
    <w:nsid w:val="2DFA179D"/>
    <w:multiLevelType w:val="hybridMultilevel"/>
    <w:tmpl w:val="0B2C0A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2EE6746A"/>
    <w:multiLevelType w:val="hybridMultilevel"/>
    <w:tmpl w:val="8CECAC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2F24433F"/>
    <w:multiLevelType w:val="hybridMultilevel"/>
    <w:tmpl w:val="25D82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2F52127E"/>
    <w:multiLevelType w:val="hybridMultilevel"/>
    <w:tmpl w:val="9A7A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0752E56"/>
    <w:multiLevelType w:val="hybridMultilevel"/>
    <w:tmpl w:val="B3D804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332833CF"/>
    <w:multiLevelType w:val="hybridMultilevel"/>
    <w:tmpl w:val="76FC3C6A"/>
    <w:lvl w:ilvl="0" w:tplc="3F6C8E8C">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9">
    <w:nsid w:val="332F573F"/>
    <w:multiLevelType w:val="hybridMultilevel"/>
    <w:tmpl w:val="9C2242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338B1910"/>
    <w:multiLevelType w:val="hybridMultilevel"/>
    <w:tmpl w:val="71007F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33917166"/>
    <w:multiLevelType w:val="hybridMultilevel"/>
    <w:tmpl w:val="637ADDF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nsid w:val="33C83E64"/>
    <w:multiLevelType w:val="hybridMultilevel"/>
    <w:tmpl w:val="A2C27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343767F5"/>
    <w:multiLevelType w:val="hybridMultilevel"/>
    <w:tmpl w:val="E49A74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nsid w:val="37817FA8"/>
    <w:multiLevelType w:val="hybridMultilevel"/>
    <w:tmpl w:val="4C1EAB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387E7608"/>
    <w:multiLevelType w:val="hybridMultilevel"/>
    <w:tmpl w:val="B366D2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3B8F27D6"/>
    <w:multiLevelType w:val="hybridMultilevel"/>
    <w:tmpl w:val="D25C99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3CC45EFE"/>
    <w:multiLevelType w:val="hybridMultilevel"/>
    <w:tmpl w:val="E0C47A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nsid w:val="3DEA69AD"/>
    <w:multiLevelType w:val="hybridMultilevel"/>
    <w:tmpl w:val="A7C257C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nsid w:val="3E2B344B"/>
    <w:multiLevelType w:val="hybridMultilevel"/>
    <w:tmpl w:val="DA14DC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nsid w:val="402476ED"/>
    <w:multiLevelType w:val="hybridMultilevel"/>
    <w:tmpl w:val="4F62BA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nsid w:val="46555EAD"/>
    <w:multiLevelType w:val="hybridMultilevel"/>
    <w:tmpl w:val="D0049E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nsid w:val="4731797F"/>
    <w:multiLevelType w:val="hybridMultilevel"/>
    <w:tmpl w:val="BFC0D4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nsid w:val="4A2527D2"/>
    <w:multiLevelType w:val="hybridMultilevel"/>
    <w:tmpl w:val="CABAE1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4">
    <w:nsid w:val="4A765DAB"/>
    <w:multiLevelType w:val="hybridMultilevel"/>
    <w:tmpl w:val="E4703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5">
    <w:nsid w:val="52F07F56"/>
    <w:multiLevelType w:val="hybridMultilevel"/>
    <w:tmpl w:val="A3A0C6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nsid w:val="54574F44"/>
    <w:multiLevelType w:val="hybridMultilevel"/>
    <w:tmpl w:val="76DA20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58">
    <w:nsid w:val="5594465B"/>
    <w:multiLevelType w:val="hybridMultilevel"/>
    <w:tmpl w:val="BCD4A5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nsid w:val="56344CC1"/>
    <w:multiLevelType w:val="hybridMultilevel"/>
    <w:tmpl w:val="87C4E88A"/>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60">
    <w:nsid w:val="57AA5558"/>
    <w:multiLevelType w:val="hybridMultilevel"/>
    <w:tmpl w:val="9830F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nsid w:val="58347DE2"/>
    <w:multiLevelType w:val="hybridMultilevel"/>
    <w:tmpl w:val="2B248D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nsid w:val="5E0A654F"/>
    <w:multiLevelType w:val="hybridMultilevel"/>
    <w:tmpl w:val="ACD028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nsid w:val="5E430C88"/>
    <w:multiLevelType w:val="hybridMultilevel"/>
    <w:tmpl w:val="C44AF2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65">
    <w:nsid w:val="61752071"/>
    <w:multiLevelType w:val="hybridMultilevel"/>
    <w:tmpl w:val="88FEF3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nsid w:val="643477AA"/>
    <w:multiLevelType w:val="hybridMultilevel"/>
    <w:tmpl w:val="EEB66F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nsid w:val="64DB5F50"/>
    <w:multiLevelType w:val="hybridMultilevel"/>
    <w:tmpl w:val="A824F7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nsid w:val="67492601"/>
    <w:multiLevelType w:val="hybridMultilevel"/>
    <w:tmpl w:val="4BEE5F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nsid w:val="67AC7EB4"/>
    <w:multiLevelType w:val="hybridMultilevel"/>
    <w:tmpl w:val="1AAA3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nsid w:val="694A0C18"/>
    <w:multiLevelType w:val="hybridMultilevel"/>
    <w:tmpl w:val="651E9D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nsid w:val="6A4535BF"/>
    <w:multiLevelType w:val="hybridMultilevel"/>
    <w:tmpl w:val="5DC6D9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nsid w:val="6AEB179E"/>
    <w:multiLevelType w:val="hybridMultilevel"/>
    <w:tmpl w:val="9752A6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nsid w:val="6C2E77B5"/>
    <w:multiLevelType w:val="hybridMultilevel"/>
    <w:tmpl w:val="75D845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nsid w:val="6FAE25A6"/>
    <w:multiLevelType w:val="hybridMultilevel"/>
    <w:tmpl w:val="2F7286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nsid w:val="6FD50305"/>
    <w:multiLevelType w:val="hybridMultilevel"/>
    <w:tmpl w:val="0854ED9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38F737D"/>
    <w:multiLevelType w:val="hybridMultilevel"/>
    <w:tmpl w:val="A61645D8"/>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78">
    <w:nsid w:val="78B922F2"/>
    <w:multiLevelType w:val="hybridMultilevel"/>
    <w:tmpl w:val="C616BF88"/>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79">
    <w:nsid w:val="7BF12615"/>
    <w:multiLevelType w:val="hybridMultilevel"/>
    <w:tmpl w:val="6E341D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0">
    <w:nsid w:val="7C482255"/>
    <w:multiLevelType w:val="hybridMultilevel"/>
    <w:tmpl w:val="B470E3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4"/>
  </w:num>
  <w:num w:numId="3">
    <w:abstractNumId w:val="7"/>
  </w:num>
  <w:num w:numId="4">
    <w:abstractNumId w:val="76"/>
  </w:num>
  <w:num w:numId="5">
    <w:abstractNumId w:val="13"/>
  </w:num>
  <w:num w:numId="6">
    <w:abstractNumId w:val="74"/>
  </w:num>
  <w:num w:numId="7">
    <w:abstractNumId w:val="0"/>
    <w:lvlOverride w:ilvl="0">
      <w:startOverride w:val="1"/>
    </w:lvlOverride>
    <w:lvlOverride w:ilvl="1">
      <w:startOverride w:val="4"/>
    </w:lvlOverride>
  </w:num>
  <w:num w:numId="8">
    <w:abstractNumId w:val="25"/>
  </w:num>
  <w:num w:numId="9">
    <w:abstractNumId w:val="79"/>
  </w:num>
  <w:num w:numId="10">
    <w:abstractNumId w:val="5"/>
  </w:num>
  <w:num w:numId="11">
    <w:abstractNumId w:val="29"/>
  </w:num>
  <w:num w:numId="12">
    <w:abstractNumId w:val="22"/>
  </w:num>
  <w:num w:numId="13">
    <w:abstractNumId w:val="54"/>
  </w:num>
  <w:num w:numId="14">
    <w:abstractNumId w:val="44"/>
  </w:num>
  <w:num w:numId="15">
    <w:abstractNumId w:val="71"/>
  </w:num>
  <w:num w:numId="16">
    <w:abstractNumId w:val="41"/>
  </w:num>
  <w:num w:numId="17">
    <w:abstractNumId w:val="48"/>
  </w:num>
  <w:num w:numId="18">
    <w:abstractNumId w:val="32"/>
  </w:num>
  <w:num w:numId="19">
    <w:abstractNumId w:val="77"/>
  </w:num>
  <w:num w:numId="20">
    <w:abstractNumId w:val="35"/>
  </w:num>
  <w:num w:numId="21">
    <w:abstractNumId w:val="49"/>
  </w:num>
  <w:num w:numId="22">
    <w:abstractNumId w:val="65"/>
  </w:num>
  <w:num w:numId="23">
    <w:abstractNumId w:val="34"/>
  </w:num>
  <w:num w:numId="24">
    <w:abstractNumId w:val="72"/>
  </w:num>
  <w:num w:numId="25">
    <w:abstractNumId w:val="66"/>
  </w:num>
  <w:num w:numId="2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1"/>
  </w:num>
  <w:num w:numId="28">
    <w:abstractNumId w:val="51"/>
  </w:num>
  <w:num w:numId="29">
    <w:abstractNumId w:val="53"/>
  </w:num>
  <w:num w:numId="30">
    <w:abstractNumId w:val="28"/>
  </w:num>
  <w:num w:numId="31">
    <w:abstractNumId w:val="36"/>
  </w:num>
  <w:num w:numId="32">
    <w:abstractNumId w:val="26"/>
  </w:num>
  <w:num w:numId="33">
    <w:abstractNumId w:val="12"/>
  </w:num>
  <w:num w:numId="34">
    <w:abstractNumId w:val="62"/>
  </w:num>
  <w:num w:numId="35">
    <w:abstractNumId w:val="59"/>
  </w:num>
  <w:num w:numId="36">
    <w:abstractNumId w:val="24"/>
  </w:num>
  <w:num w:numId="37">
    <w:abstractNumId w:val="63"/>
  </w:num>
  <w:num w:numId="38">
    <w:abstractNumId w:val="1"/>
    <w:lvlOverride w:ilvl="0">
      <w:lvl w:ilvl="0">
        <w:start w:val="1"/>
        <w:numFmt w:val="bullet"/>
        <w:lvlText w:val=""/>
        <w:lvlJc w:val="left"/>
        <w:pPr>
          <w:ind w:left="720" w:hanging="360"/>
        </w:pPr>
        <w:rPr>
          <w:rFonts w:ascii="Symbol" w:hAnsi="Symbol" w:hint="default"/>
        </w:rPr>
      </w:lvl>
    </w:lvlOverride>
  </w:num>
  <w:num w:numId="39">
    <w:abstractNumId w:val="56"/>
  </w:num>
  <w:num w:numId="40">
    <w:abstractNumId w:val="17"/>
  </w:num>
  <w:num w:numId="41">
    <w:abstractNumId w:val="27"/>
  </w:num>
  <w:num w:numId="42">
    <w:abstractNumId w:val="68"/>
  </w:num>
  <w:num w:numId="43">
    <w:abstractNumId w:val="75"/>
  </w:num>
  <w:num w:numId="44">
    <w:abstractNumId w:val="67"/>
  </w:num>
  <w:num w:numId="45">
    <w:abstractNumId w:val="23"/>
  </w:num>
  <w:num w:numId="46">
    <w:abstractNumId w:val="15"/>
  </w:num>
  <w:num w:numId="47">
    <w:abstractNumId w:val="8"/>
  </w:num>
  <w:num w:numId="48">
    <w:abstractNumId w:val="2"/>
  </w:num>
  <w:num w:numId="49">
    <w:abstractNumId w:val="33"/>
  </w:num>
  <w:num w:numId="50">
    <w:abstractNumId w:val="80"/>
  </w:num>
  <w:num w:numId="51">
    <w:abstractNumId w:val="43"/>
  </w:num>
  <w:num w:numId="52">
    <w:abstractNumId w:val="58"/>
  </w:num>
  <w:num w:numId="53">
    <w:abstractNumId w:val="55"/>
  </w:num>
  <w:num w:numId="54">
    <w:abstractNumId w:val="0"/>
  </w:num>
  <w:num w:numId="55">
    <w:abstractNumId w:val="0"/>
  </w:num>
  <w:num w:numId="56">
    <w:abstractNumId w:val="19"/>
  </w:num>
  <w:num w:numId="57">
    <w:abstractNumId w:val="21"/>
  </w:num>
  <w:num w:numId="58">
    <w:abstractNumId w:val="38"/>
  </w:num>
  <w:num w:numId="59">
    <w:abstractNumId w:val="42"/>
  </w:num>
  <w:num w:numId="60">
    <w:abstractNumId w:val="14"/>
  </w:num>
  <w:num w:numId="61">
    <w:abstractNumId w:val="69"/>
  </w:num>
  <w:num w:numId="62">
    <w:abstractNumId w:val="50"/>
  </w:num>
  <w:num w:numId="63">
    <w:abstractNumId w:val="4"/>
  </w:num>
  <w:num w:numId="64">
    <w:abstractNumId w:val="46"/>
  </w:num>
  <w:num w:numId="65">
    <w:abstractNumId w:val="16"/>
  </w:num>
  <w:num w:numId="66">
    <w:abstractNumId w:val="60"/>
  </w:num>
  <w:num w:numId="67">
    <w:abstractNumId w:val="30"/>
  </w:num>
  <w:num w:numId="68">
    <w:abstractNumId w:val="10"/>
  </w:num>
  <w:num w:numId="69">
    <w:abstractNumId w:val="52"/>
  </w:num>
  <w:num w:numId="70">
    <w:abstractNumId w:val="18"/>
  </w:num>
  <w:num w:numId="71">
    <w:abstractNumId w:val="37"/>
  </w:num>
  <w:num w:numId="72">
    <w:abstractNumId w:val="9"/>
  </w:num>
  <w:num w:numId="73">
    <w:abstractNumId w:val="40"/>
  </w:num>
  <w:num w:numId="74">
    <w:abstractNumId w:val="39"/>
  </w:num>
  <w:num w:numId="75">
    <w:abstractNumId w:val="70"/>
  </w:num>
  <w:num w:numId="76">
    <w:abstractNumId w:val="45"/>
  </w:num>
  <w:num w:numId="77">
    <w:abstractNumId w:val="3"/>
  </w:num>
  <w:num w:numId="78">
    <w:abstractNumId w:val="61"/>
  </w:num>
  <w:num w:numId="79">
    <w:abstractNumId w:val="20"/>
  </w:num>
  <w:num w:numId="80">
    <w:abstractNumId w:val="31"/>
  </w:num>
  <w:num w:numId="81">
    <w:abstractNumId w:val="78"/>
  </w:num>
  <w:num w:numId="82">
    <w:abstractNumId w:val="6"/>
  </w:num>
  <w:num w:numId="83">
    <w:abstractNumId w:val="47"/>
  </w:num>
  <w:num w:numId="84">
    <w:abstractNumId w:val="0"/>
  </w:num>
  <w:num w:numId="85">
    <w:abstractNumId w:val="0"/>
  </w:num>
  <w:num w:numId="86">
    <w:abstractNumId w:val="7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5B0A"/>
    <w:rsid w:val="00007B94"/>
    <w:rsid w:val="000115A9"/>
    <w:rsid w:val="00013610"/>
    <w:rsid w:val="000138A1"/>
    <w:rsid w:val="0001686B"/>
    <w:rsid w:val="00017703"/>
    <w:rsid w:val="00020A28"/>
    <w:rsid w:val="000215A9"/>
    <w:rsid w:val="00022B6C"/>
    <w:rsid w:val="000240FE"/>
    <w:rsid w:val="000244F9"/>
    <w:rsid w:val="00024FEF"/>
    <w:rsid w:val="00026BD2"/>
    <w:rsid w:val="00030B04"/>
    <w:rsid w:val="0003128F"/>
    <w:rsid w:val="000316FF"/>
    <w:rsid w:val="00031C70"/>
    <w:rsid w:val="00032E3A"/>
    <w:rsid w:val="000338E8"/>
    <w:rsid w:val="00033C6E"/>
    <w:rsid w:val="00033DA8"/>
    <w:rsid w:val="00034832"/>
    <w:rsid w:val="000349EE"/>
    <w:rsid w:val="00034A75"/>
    <w:rsid w:val="00035B58"/>
    <w:rsid w:val="00035EF4"/>
    <w:rsid w:val="00036976"/>
    <w:rsid w:val="000378CC"/>
    <w:rsid w:val="00037B11"/>
    <w:rsid w:val="0004006B"/>
    <w:rsid w:val="0004042B"/>
    <w:rsid w:val="00041C6C"/>
    <w:rsid w:val="00041EB7"/>
    <w:rsid w:val="00042751"/>
    <w:rsid w:val="00044DCB"/>
    <w:rsid w:val="00045054"/>
    <w:rsid w:val="000451B3"/>
    <w:rsid w:val="0005077B"/>
    <w:rsid w:val="00051C81"/>
    <w:rsid w:val="0005250A"/>
    <w:rsid w:val="000529F2"/>
    <w:rsid w:val="00054BA6"/>
    <w:rsid w:val="00054E26"/>
    <w:rsid w:val="00055735"/>
    <w:rsid w:val="000559BE"/>
    <w:rsid w:val="000562AF"/>
    <w:rsid w:val="00060853"/>
    <w:rsid w:val="00060E5C"/>
    <w:rsid w:val="00065751"/>
    <w:rsid w:val="00066490"/>
    <w:rsid w:val="00067189"/>
    <w:rsid w:val="00067BC4"/>
    <w:rsid w:val="0007026C"/>
    <w:rsid w:val="00070C28"/>
    <w:rsid w:val="00070DC9"/>
    <w:rsid w:val="000714D6"/>
    <w:rsid w:val="00071E53"/>
    <w:rsid w:val="0007365D"/>
    <w:rsid w:val="00073A46"/>
    <w:rsid w:val="000747E4"/>
    <w:rsid w:val="00074A88"/>
    <w:rsid w:val="00074CD8"/>
    <w:rsid w:val="000807B6"/>
    <w:rsid w:val="000814F6"/>
    <w:rsid w:val="00081813"/>
    <w:rsid w:val="000818D4"/>
    <w:rsid w:val="000821ED"/>
    <w:rsid w:val="00082546"/>
    <w:rsid w:val="000836FE"/>
    <w:rsid w:val="000868DE"/>
    <w:rsid w:val="00086D04"/>
    <w:rsid w:val="00086E67"/>
    <w:rsid w:val="00087AE9"/>
    <w:rsid w:val="00093786"/>
    <w:rsid w:val="00094645"/>
    <w:rsid w:val="000967CA"/>
    <w:rsid w:val="00096999"/>
    <w:rsid w:val="00097F0D"/>
    <w:rsid w:val="000A2809"/>
    <w:rsid w:val="000A62E2"/>
    <w:rsid w:val="000B1EEE"/>
    <w:rsid w:val="000C07F0"/>
    <w:rsid w:val="000C0946"/>
    <w:rsid w:val="000C0AA0"/>
    <w:rsid w:val="000C2679"/>
    <w:rsid w:val="000C37E9"/>
    <w:rsid w:val="000C3BFD"/>
    <w:rsid w:val="000C3DF6"/>
    <w:rsid w:val="000C469F"/>
    <w:rsid w:val="000C491C"/>
    <w:rsid w:val="000C56D4"/>
    <w:rsid w:val="000C6808"/>
    <w:rsid w:val="000C6F0E"/>
    <w:rsid w:val="000D007F"/>
    <w:rsid w:val="000D28F0"/>
    <w:rsid w:val="000D3F88"/>
    <w:rsid w:val="000D50A8"/>
    <w:rsid w:val="000D59D3"/>
    <w:rsid w:val="000D7F5A"/>
    <w:rsid w:val="000E26A2"/>
    <w:rsid w:val="000E4C16"/>
    <w:rsid w:val="000E6466"/>
    <w:rsid w:val="000E6F41"/>
    <w:rsid w:val="000F035E"/>
    <w:rsid w:val="000F0AFF"/>
    <w:rsid w:val="000F15FA"/>
    <w:rsid w:val="000F16CE"/>
    <w:rsid w:val="000F181E"/>
    <w:rsid w:val="000F42C4"/>
    <w:rsid w:val="000F4A9A"/>
    <w:rsid w:val="000F558D"/>
    <w:rsid w:val="000F77C3"/>
    <w:rsid w:val="0010339F"/>
    <w:rsid w:val="001036E0"/>
    <w:rsid w:val="0010391E"/>
    <w:rsid w:val="00103CC0"/>
    <w:rsid w:val="00104975"/>
    <w:rsid w:val="001052AF"/>
    <w:rsid w:val="001053BA"/>
    <w:rsid w:val="001055E6"/>
    <w:rsid w:val="001063E3"/>
    <w:rsid w:val="0010786D"/>
    <w:rsid w:val="00110344"/>
    <w:rsid w:val="001126F6"/>
    <w:rsid w:val="001127C6"/>
    <w:rsid w:val="00113882"/>
    <w:rsid w:val="001138B0"/>
    <w:rsid w:val="001158DF"/>
    <w:rsid w:val="00116CFB"/>
    <w:rsid w:val="00125DFA"/>
    <w:rsid w:val="0012647C"/>
    <w:rsid w:val="00126A7F"/>
    <w:rsid w:val="00127660"/>
    <w:rsid w:val="00130B18"/>
    <w:rsid w:val="00131042"/>
    <w:rsid w:val="0013146D"/>
    <w:rsid w:val="00132AD0"/>
    <w:rsid w:val="0013425E"/>
    <w:rsid w:val="00134B0D"/>
    <w:rsid w:val="00135E41"/>
    <w:rsid w:val="00136F53"/>
    <w:rsid w:val="00136FA8"/>
    <w:rsid w:val="001376AC"/>
    <w:rsid w:val="001400DB"/>
    <w:rsid w:val="0014104C"/>
    <w:rsid w:val="00142A4E"/>
    <w:rsid w:val="0014464E"/>
    <w:rsid w:val="00144A1D"/>
    <w:rsid w:val="00144DCE"/>
    <w:rsid w:val="00146F91"/>
    <w:rsid w:val="001509A7"/>
    <w:rsid w:val="00153199"/>
    <w:rsid w:val="001540D3"/>
    <w:rsid w:val="001545B6"/>
    <w:rsid w:val="00155138"/>
    <w:rsid w:val="00156950"/>
    <w:rsid w:val="00157649"/>
    <w:rsid w:val="00160DCC"/>
    <w:rsid w:val="001657F4"/>
    <w:rsid w:val="00166FCB"/>
    <w:rsid w:val="0017241F"/>
    <w:rsid w:val="001737B7"/>
    <w:rsid w:val="0017469D"/>
    <w:rsid w:val="001764F7"/>
    <w:rsid w:val="001768E2"/>
    <w:rsid w:val="0018061D"/>
    <w:rsid w:val="00180A82"/>
    <w:rsid w:val="001811FF"/>
    <w:rsid w:val="00182D03"/>
    <w:rsid w:val="00184C46"/>
    <w:rsid w:val="00186D96"/>
    <w:rsid w:val="00191C0B"/>
    <w:rsid w:val="00194447"/>
    <w:rsid w:val="0019516A"/>
    <w:rsid w:val="00195479"/>
    <w:rsid w:val="001979F8"/>
    <w:rsid w:val="001A1064"/>
    <w:rsid w:val="001A141E"/>
    <w:rsid w:val="001A3D0C"/>
    <w:rsid w:val="001A56E8"/>
    <w:rsid w:val="001B0D26"/>
    <w:rsid w:val="001B1504"/>
    <w:rsid w:val="001B15BB"/>
    <w:rsid w:val="001B18C2"/>
    <w:rsid w:val="001B232C"/>
    <w:rsid w:val="001B28BC"/>
    <w:rsid w:val="001B424E"/>
    <w:rsid w:val="001B4CC9"/>
    <w:rsid w:val="001B5DF7"/>
    <w:rsid w:val="001B65A1"/>
    <w:rsid w:val="001C0535"/>
    <w:rsid w:val="001C05B2"/>
    <w:rsid w:val="001C07DD"/>
    <w:rsid w:val="001C0B67"/>
    <w:rsid w:val="001C12BE"/>
    <w:rsid w:val="001C17BE"/>
    <w:rsid w:val="001C365D"/>
    <w:rsid w:val="001C39EC"/>
    <w:rsid w:val="001C4264"/>
    <w:rsid w:val="001C52C8"/>
    <w:rsid w:val="001C6C93"/>
    <w:rsid w:val="001C76BE"/>
    <w:rsid w:val="001C782A"/>
    <w:rsid w:val="001D00DF"/>
    <w:rsid w:val="001D013F"/>
    <w:rsid w:val="001D078A"/>
    <w:rsid w:val="001D4E3C"/>
    <w:rsid w:val="001D52CB"/>
    <w:rsid w:val="001D69DD"/>
    <w:rsid w:val="001D6C48"/>
    <w:rsid w:val="001D74DC"/>
    <w:rsid w:val="001E0E97"/>
    <w:rsid w:val="001E2338"/>
    <w:rsid w:val="001E558F"/>
    <w:rsid w:val="001E5961"/>
    <w:rsid w:val="001E717B"/>
    <w:rsid w:val="001E74A2"/>
    <w:rsid w:val="001E76FC"/>
    <w:rsid w:val="001F0BC4"/>
    <w:rsid w:val="001F1D17"/>
    <w:rsid w:val="001F1F3D"/>
    <w:rsid w:val="001F4D66"/>
    <w:rsid w:val="001F59A5"/>
    <w:rsid w:val="00200F03"/>
    <w:rsid w:val="002013C3"/>
    <w:rsid w:val="00202634"/>
    <w:rsid w:val="00203A8F"/>
    <w:rsid w:val="00203D01"/>
    <w:rsid w:val="00204864"/>
    <w:rsid w:val="002052D8"/>
    <w:rsid w:val="00205EFC"/>
    <w:rsid w:val="00211393"/>
    <w:rsid w:val="00211FAE"/>
    <w:rsid w:val="00211FF4"/>
    <w:rsid w:val="00212787"/>
    <w:rsid w:val="002138A9"/>
    <w:rsid w:val="00214451"/>
    <w:rsid w:val="0021639E"/>
    <w:rsid w:val="00221123"/>
    <w:rsid w:val="00223339"/>
    <w:rsid w:val="002236A6"/>
    <w:rsid w:val="00224DE6"/>
    <w:rsid w:val="00224E75"/>
    <w:rsid w:val="002259C0"/>
    <w:rsid w:val="00226823"/>
    <w:rsid w:val="002276DD"/>
    <w:rsid w:val="0023002B"/>
    <w:rsid w:val="002327D5"/>
    <w:rsid w:val="00233285"/>
    <w:rsid w:val="00233CAC"/>
    <w:rsid w:val="00234CD4"/>
    <w:rsid w:val="0023548F"/>
    <w:rsid w:val="002358E8"/>
    <w:rsid w:val="00236FB9"/>
    <w:rsid w:val="002407AA"/>
    <w:rsid w:val="002411E0"/>
    <w:rsid w:val="00241C29"/>
    <w:rsid w:val="00242408"/>
    <w:rsid w:val="00242759"/>
    <w:rsid w:val="00242890"/>
    <w:rsid w:val="00242B03"/>
    <w:rsid w:val="00243514"/>
    <w:rsid w:val="002469F7"/>
    <w:rsid w:val="00247F50"/>
    <w:rsid w:val="002532B5"/>
    <w:rsid w:val="002539A1"/>
    <w:rsid w:val="00253B72"/>
    <w:rsid w:val="002542CC"/>
    <w:rsid w:val="002559A2"/>
    <w:rsid w:val="002563ED"/>
    <w:rsid w:val="00256406"/>
    <w:rsid w:val="0026049D"/>
    <w:rsid w:val="00260E92"/>
    <w:rsid w:val="00263B55"/>
    <w:rsid w:val="002653BB"/>
    <w:rsid w:val="00266729"/>
    <w:rsid w:val="00266BC6"/>
    <w:rsid w:val="00266F4F"/>
    <w:rsid w:val="00267947"/>
    <w:rsid w:val="00267AB2"/>
    <w:rsid w:val="0027137C"/>
    <w:rsid w:val="00274585"/>
    <w:rsid w:val="002751DD"/>
    <w:rsid w:val="00276777"/>
    <w:rsid w:val="00276ED9"/>
    <w:rsid w:val="00281365"/>
    <w:rsid w:val="0028188E"/>
    <w:rsid w:val="002843D9"/>
    <w:rsid w:val="002903CB"/>
    <w:rsid w:val="00291252"/>
    <w:rsid w:val="002915A8"/>
    <w:rsid w:val="00291981"/>
    <w:rsid w:val="00291F64"/>
    <w:rsid w:val="00293159"/>
    <w:rsid w:val="0029435D"/>
    <w:rsid w:val="002A0707"/>
    <w:rsid w:val="002A17C4"/>
    <w:rsid w:val="002A2B5D"/>
    <w:rsid w:val="002A349B"/>
    <w:rsid w:val="002A3665"/>
    <w:rsid w:val="002A3BAB"/>
    <w:rsid w:val="002A4A76"/>
    <w:rsid w:val="002A5E72"/>
    <w:rsid w:val="002A5F58"/>
    <w:rsid w:val="002B10EE"/>
    <w:rsid w:val="002B2798"/>
    <w:rsid w:val="002B4372"/>
    <w:rsid w:val="002B445D"/>
    <w:rsid w:val="002B5973"/>
    <w:rsid w:val="002C0F1F"/>
    <w:rsid w:val="002C1999"/>
    <w:rsid w:val="002C3DCC"/>
    <w:rsid w:val="002C41FF"/>
    <w:rsid w:val="002C43DB"/>
    <w:rsid w:val="002C5D72"/>
    <w:rsid w:val="002C78B6"/>
    <w:rsid w:val="002C7ECD"/>
    <w:rsid w:val="002D0F32"/>
    <w:rsid w:val="002D1B76"/>
    <w:rsid w:val="002D2A79"/>
    <w:rsid w:val="002D41B7"/>
    <w:rsid w:val="002D6E86"/>
    <w:rsid w:val="002D73EF"/>
    <w:rsid w:val="002D750B"/>
    <w:rsid w:val="002E5A78"/>
    <w:rsid w:val="002E64CB"/>
    <w:rsid w:val="002E7DDB"/>
    <w:rsid w:val="002F0044"/>
    <w:rsid w:val="002F0388"/>
    <w:rsid w:val="002F352C"/>
    <w:rsid w:val="002F3776"/>
    <w:rsid w:val="002F3FAF"/>
    <w:rsid w:val="002F7D23"/>
    <w:rsid w:val="003002D3"/>
    <w:rsid w:val="003029D8"/>
    <w:rsid w:val="00302FF6"/>
    <w:rsid w:val="00303C59"/>
    <w:rsid w:val="00304E98"/>
    <w:rsid w:val="003058FB"/>
    <w:rsid w:val="00306501"/>
    <w:rsid w:val="003075E1"/>
    <w:rsid w:val="003079A2"/>
    <w:rsid w:val="00307A61"/>
    <w:rsid w:val="00311036"/>
    <w:rsid w:val="00311101"/>
    <w:rsid w:val="003111F0"/>
    <w:rsid w:val="00313641"/>
    <w:rsid w:val="00313967"/>
    <w:rsid w:val="00314E67"/>
    <w:rsid w:val="003154F6"/>
    <w:rsid w:val="003160F4"/>
    <w:rsid w:val="003179EF"/>
    <w:rsid w:val="00322BCE"/>
    <w:rsid w:val="00323792"/>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6DB2"/>
    <w:rsid w:val="00337799"/>
    <w:rsid w:val="003415D2"/>
    <w:rsid w:val="00342579"/>
    <w:rsid w:val="00342715"/>
    <w:rsid w:val="003445DE"/>
    <w:rsid w:val="003448C7"/>
    <w:rsid w:val="00345197"/>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EFA"/>
    <w:rsid w:val="00364BAB"/>
    <w:rsid w:val="00364D74"/>
    <w:rsid w:val="00364D95"/>
    <w:rsid w:val="00365049"/>
    <w:rsid w:val="0036522E"/>
    <w:rsid w:val="00367133"/>
    <w:rsid w:val="00367A90"/>
    <w:rsid w:val="00371671"/>
    <w:rsid w:val="0037202C"/>
    <w:rsid w:val="00372D96"/>
    <w:rsid w:val="003759AE"/>
    <w:rsid w:val="00377A77"/>
    <w:rsid w:val="003803A1"/>
    <w:rsid w:val="00380A9A"/>
    <w:rsid w:val="0038274D"/>
    <w:rsid w:val="003833E4"/>
    <w:rsid w:val="00383700"/>
    <w:rsid w:val="00383AB0"/>
    <w:rsid w:val="0038496B"/>
    <w:rsid w:val="0038799C"/>
    <w:rsid w:val="00387CFB"/>
    <w:rsid w:val="003909E1"/>
    <w:rsid w:val="0039178A"/>
    <w:rsid w:val="00391A85"/>
    <w:rsid w:val="00392559"/>
    <w:rsid w:val="003931A5"/>
    <w:rsid w:val="003939EE"/>
    <w:rsid w:val="00393A41"/>
    <w:rsid w:val="00394196"/>
    <w:rsid w:val="0039485C"/>
    <w:rsid w:val="00394D69"/>
    <w:rsid w:val="00395564"/>
    <w:rsid w:val="0039620F"/>
    <w:rsid w:val="00396F6E"/>
    <w:rsid w:val="00397835"/>
    <w:rsid w:val="00397A66"/>
    <w:rsid w:val="00397C0A"/>
    <w:rsid w:val="003A2297"/>
    <w:rsid w:val="003A63B9"/>
    <w:rsid w:val="003A667F"/>
    <w:rsid w:val="003A7683"/>
    <w:rsid w:val="003B0F39"/>
    <w:rsid w:val="003B1165"/>
    <w:rsid w:val="003B20F1"/>
    <w:rsid w:val="003B283B"/>
    <w:rsid w:val="003B2AB5"/>
    <w:rsid w:val="003B2BA2"/>
    <w:rsid w:val="003B38AA"/>
    <w:rsid w:val="003B4824"/>
    <w:rsid w:val="003B48BF"/>
    <w:rsid w:val="003B5313"/>
    <w:rsid w:val="003B5456"/>
    <w:rsid w:val="003C1187"/>
    <w:rsid w:val="003C195A"/>
    <w:rsid w:val="003C2DB1"/>
    <w:rsid w:val="003C4AF5"/>
    <w:rsid w:val="003C4EF8"/>
    <w:rsid w:val="003C5357"/>
    <w:rsid w:val="003D05FE"/>
    <w:rsid w:val="003D35EF"/>
    <w:rsid w:val="003D3B49"/>
    <w:rsid w:val="003D3D9E"/>
    <w:rsid w:val="003D5DE9"/>
    <w:rsid w:val="003D5F81"/>
    <w:rsid w:val="003D7FAF"/>
    <w:rsid w:val="003E0B8C"/>
    <w:rsid w:val="003E24BB"/>
    <w:rsid w:val="003E387D"/>
    <w:rsid w:val="003E44F6"/>
    <w:rsid w:val="003E5833"/>
    <w:rsid w:val="003E6010"/>
    <w:rsid w:val="003E693F"/>
    <w:rsid w:val="003E75FE"/>
    <w:rsid w:val="003F0686"/>
    <w:rsid w:val="003F1D4E"/>
    <w:rsid w:val="003F2CD5"/>
    <w:rsid w:val="003F2F97"/>
    <w:rsid w:val="003F4FF6"/>
    <w:rsid w:val="003F59AD"/>
    <w:rsid w:val="003F65E2"/>
    <w:rsid w:val="00400FC6"/>
    <w:rsid w:val="00402CA2"/>
    <w:rsid w:val="004079A9"/>
    <w:rsid w:val="00407AA7"/>
    <w:rsid w:val="004107E8"/>
    <w:rsid w:val="00411755"/>
    <w:rsid w:val="0041385B"/>
    <w:rsid w:val="00413CA9"/>
    <w:rsid w:val="00413EED"/>
    <w:rsid w:val="00414A4C"/>
    <w:rsid w:val="00415AAD"/>
    <w:rsid w:val="0041728F"/>
    <w:rsid w:val="00421682"/>
    <w:rsid w:val="004221CC"/>
    <w:rsid w:val="004235E7"/>
    <w:rsid w:val="00425526"/>
    <w:rsid w:val="004258F9"/>
    <w:rsid w:val="00426306"/>
    <w:rsid w:val="00427C97"/>
    <w:rsid w:val="0043072E"/>
    <w:rsid w:val="00430FC6"/>
    <w:rsid w:val="004331FF"/>
    <w:rsid w:val="00434AB9"/>
    <w:rsid w:val="00434C77"/>
    <w:rsid w:val="00440808"/>
    <w:rsid w:val="00443153"/>
    <w:rsid w:val="0044401F"/>
    <w:rsid w:val="00444C4C"/>
    <w:rsid w:val="00444D44"/>
    <w:rsid w:val="004452E3"/>
    <w:rsid w:val="004460B4"/>
    <w:rsid w:val="00446146"/>
    <w:rsid w:val="00450993"/>
    <w:rsid w:val="004513D7"/>
    <w:rsid w:val="004520DF"/>
    <w:rsid w:val="0045436B"/>
    <w:rsid w:val="00456257"/>
    <w:rsid w:val="00460A6B"/>
    <w:rsid w:val="00460CCB"/>
    <w:rsid w:val="00460D3F"/>
    <w:rsid w:val="00461E3E"/>
    <w:rsid w:val="004639B7"/>
    <w:rsid w:val="004647DD"/>
    <w:rsid w:val="00464A26"/>
    <w:rsid w:val="00464B19"/>
    <w:rsid w:val="00464C86"/>
    <w:rsid w:val="00464F78"/>
    <w:rsid w:val="00466AC6"/>
    <w:rsid w:val="00466E21"/>
    <w:rsid w:val="0047016B"/>
    <w:rsid w:val="00470409"/>
    <w:rsid w:val="0047306F"/>
    <w:rsid w:val="0047355F"/>
    <w:rsid w:val="0047417A"/>
    <w:rsid w:val="004764CC"/>
    <w:rsid w:val="00477B4B"/>
    <w:rsid w:val="00477C1C"/>
    <w:rsid w:val="0048090F"/>
    <w:rsid w:val="00480C50"/>
    <w:rsid w:val="00486144"/>
    <w:rsid w:val="00486C20"/>
    <w:rsid w:val="00486F07"/>
    <w:rsid w:val="00491D54"/>
    <w:rsid w:val="004929C8"/>
    <w:rsid w:val="00492EDB"/>
    <w:rsid w:val="00496EBA"/>
    <w:rsid w:val="004A58D1"/>
    <w:rsid w:val="004A7356"/>
    <w:rsid w:val="004A737C"/>
    <w:rsid w:val="004A7AEE"/>
    <w:rsid w:val="004A7C3A"/>
    <w:rsid w:val="004A7E85"/>
    <w:rsid w:val="004B0633"/>
    <w:rsid w:val="004B14C0"/>
    <w:rsid w:val="004B41EE"/>
    <w:rsid w:val="004B6415"/>
    <w:rsid w:val="004B6441"/>
    <w:rsid w:val="004B7790"/>
    <w:rsid w:val="004C05A5"/>
    <w:rsid w:val="004C0FE5"/>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B26"/>
    <w:rsid w:val="004F1B3E"/>
    <w:rsid w:val="004F2819"/>
    <w:rsid w:val="004F3783"/>
    <w:rsid w:val="004F4E76"/>
    <w:rsid w:val="004F70F9"/>
    <w:rsid w:val="004F7A13"/>
    <w:rsid w:val="005021B6"/>
    <w:rsid w:val="005024F6"/>
    <w:rsid w:val="005029EB"/>
    <w:rsid w:val="00503FE7"/>
    <w:rsid w:val="00504096"/>
    <w:rsid w:val="00504A01"/>
    <w:rsid w:val="00505516"/>
    <w:rsid w:val="00505DD7"/>
    <w:rsid w:val="00506054"/>
    <w:rsid w:val="00507398"/>
    <w:rsid w:val="005073C6"/>
    <w:rsid w:val="00507B8C"/>
    <w:rsid w:val="00511B8D"/>
    <w:rsid w:val="00511C40"/>
    <w:rsid w:val="0051243D"/>
    <w:rsid w:val="00514A9A"/>
    <w:rsid w:val="00515BC0"/>
    <w:rsid w:val="00516F22"/>
    <w:rsid w:val="005207E3"/>
    <w:rsid w:val="00522152"/>
    <w:rsid w:val="00523686"/>
    <w:rsid w:val="00523996"/>
    <w:rsid w:val="00525911"/>
    <w:rsid w:val="00531900"/>
    <w:rsid w:val="005329D4"/>
    <w:rsid w:val="00534CC2"/>
    <w:rsid w:val="00535FFB"/>
    <w:rsid w:val="0054017F"/>
    <w:rsid w:val="0054168C"/>
    <w:rsid w:val="005434EE"/>
    <w:rsid w:val="0054508A"/>
    <w:rsid w:val="00546C60"/>
    <w:rsid w:val="005508F5"/>
    <w:rsid w:val="0055113A"/>
    <w:rsid w:val="005515D5"/>
    <w:rsid w:val="00551720"/>
    <w:rsid w:val="005533A1"/>
    <w:rsid w:val="00553E31"/>
    <w:rsid w:val="00554364"/>
    <w:rsid w:val="00554B37"/>
    <w:rsid w:val="00556040"/>
    <w:rsid w:val="005563AF"/>
    <w:rsid w:val="00557587"/>
    <w:rsid w:val="00557A1C"/>
    <w:rsid w:val="00560546"/>
    <w:rsid w:val="00560AD6"/>
    <w:rsid w:val="00561C94"/>
    <w:rsid w:val="00561E5A"/>
    <w:rsid w:val="005632D7"/>
    <w:rsid w:val="0056359E"/>
    <w:rsid w:val="00565200"/>
    <w:rsid w:val="00566858"/>
    <w:rsid w:val="005676DC"/>
    <w:rsid w:val="00567739"/>
    <w:rsid w:val="00567A1B"/>
    <w:rsid w:val="0057117C"/>
    <w:rsid w:val="0057239E"/>
    <w:rsid w:val="005724ED"/>
    <w:rsid w:val="00575896"/>
    <w:rsid w:val="00575EED"/>
    <w:rsid w:val="0057764D"/>
    <w:rsid w:val="00577829"/>
    <w:rsid w:val="005805C8"/>
    <w:rsid w:val="0058068C"/>
    <w:rsid w:val="00581104"/>
    <w:rsid w:val="005828CD"/>
    <w:rsid w:val="00584D4C"/>
    <w:rsid w:val="00585A11"/>
    <w:rsid w:val="005876F8"/>
    <w:rsid w:val="00590A97"/>
    <w:rsid w:val="005918AB"/>
    <w:rsid w:val="00592C99"/>
    <w:rsid w:val="00593D2E"/>
    <w:rsid w:val="00595399"/>
    <w:rsid w:val="0059550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4236"/>
    <w:rsid w:val="005B46EE"/>
    <w:rsid w:val="005B4883"/>
    <w:rsid w:val="005B50A3"/>
    <w:rsid w:val="005B5D2D"/>
    <w:rsid w:val="005B6FAD"/>
    <w:rsid w:val="005B70E6"/>
    <w:rsid w:val="005B7EAD"/>
    <w:rsid w:val="005C0D2A"/>
    <w:rsid w:val="005C119A"/>
    <w:rsid w:val="005C1435"/>
    <w:rsid w:val="005C2810"/>
    <w:rsid w:val="005C2BCF"/>
    <w:rsid w:val="005C4EEA"/>
    <w:rsid w:val="005C6AF2"/>
    <w:rsid w:val="005C6C52"/>
    <w:rsid w:val="005C6CC7"/>
    <w:rsid w:val="005C6FD3"/>
    <w:rsid w:val="005D060D"/>
    <w:rsid w:val="005D2896"/>
    <w:rsid w:val="005D460E"/>
    <w:rsid w:val="005D4846"/>
    <w:rsid w:val="005D6008"/>
    <w:rsid w:val="005D652A"/>
    <w:rsid w:val="005D6D67"/>
    <w:rsid w:val="005E26CF"/>
    <w:rsid w:val="005E32A3"/>
    <w:rsid w:val="005E3865"/>
    <w:rsid w:val="005E531B"/>
    <w:rsid w:val="005E74AE"/>
    <w:rsid w:val="005E7516"/>
    <w:rsid w:val="005E75FA"/>
    <w:rsid w:val="005F3AFA"/>
    <w:rsid w:val="005F3E11"/>
    <w:rsid w:val="005F54A5"/>
    <w:rsid w:val="005F5722"/>
    <w:rsid w:val="005F5D74"/>
    <w:rsid w:val="005F7907"/>
    <w:rsid w:val="005F7FD3"/>
    <w:rsid w:val="00600B60"/>
    <w:rsid w:val="006028AC"/>
    <w:rsid w:val="006043AA"/>
    <w:rsid w:val="00606054"/>
    <w:rsid w:val="00610CDE"/>
    <w:rsid w:val="006139AA"/>
    <w:rsid w:val="006140BB"/>
    <w:rsid w:val="0061565F"/>
    <w:rsid w:val="006168EB"/>
    <w:rsid w:val="00616E48"/>
    <w:rsid w:val="006210CA"/>
    <w:rsid w:val="00622A2D"/>
    <w:rsid w:val="00623026"/>
    <w:rsid w:val="0062302E"/>
    <w:rsid w:val="00623940"/>
    <w:rsid w:val="00626B1D"/>
    <w:rsid w:val="00630BE1"/>
    <w:rsid w:val="00630FCB"/>
    <w:rsid w:val="00632738"/>
    <w:rsid w:val="00633E90"/>
    <w:rsid w:val="0063400F"/>
    <w:rsid w:val="00637052"/>
    <w:rsid w:val="00637DD7"/>
    <w:rsid w:val="0064336B"/>
    <w:rsid w:val="00643E56"/>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675"/>
    <w:rsid w:val="00664CC5"/>
    <w:rsid w:val="00664E83"/>
    <w:rsid w:val="00666847"/>
    <w:rsid w:val="006703C8"/>
    <w:rsid w:val="006705FA"/>
    <w:rsid w:val="00671031"/>
    <w:rsid w:val="00673A39"/>
    <w:rsid w:val="006763EC"/>
    <w:rsid w:val="0067717C"/>
    <w:rsid w:val="00680159"/>
    <w:rsid w:val="006808D7"/>
    <w:rsid w:val="0068174F"/>
    <w:rsid w:val="00681787"/>
    <w:rsid w:val="006819C8"/>
    <w:rsid w:val="00683BD1"/>
    <w:rsid w:val="00683FED"/>
    <w:rsid w:val="00690AFD"/>
    <w:rsid w:val="0069185E"/>
    <w:rsid w:val="006927FA"/>
    <w:rsid w:val="00692AC9"/>
    <w:rsid w:val="00696261"/>
    <w:rsid w:val="00697507"/>
    <w:rsid w:val="0069782A"/>
    <w:rsid w:val="006A08D5"/>
    <w:rsid w:val="006A091D"/>
    <w:rsid w:val="006A2764"/>
    <w:rsid w:val="006A31EB"/>
    <w:rsid w:val="006A416D"/>
    <w:rsid w:val="006A4EAA"/>
    <w:rsid w:val="006A5BE8"/>
    <w:rsid w:val="006A6090"/>
    <w:rsid w:val="006A645E"/>
    <w:rsid w:val="006A7210"/>
    <w:rsid w:val="006B02D0"/>
    <w:rsid w:val="006B15C0"/>
    <w:rsid w:val="006B1950"/>
    <w:rsid w:val="006B1EE7"/>
    <w:rsid w:val="006B4FD1"/>
    <w:rsid w:val="006B5013"/>
    <w:rsid w:val="006B6362"/>
    <w:rsid w:val="006B65B3"/>
    <w:rsid w:val="006B7240"/>
    <w:rsid w:val="006B7B1B"/>
    <w:rsid w:val="006C15CE"/>
    <w:rsid w:val="006C1861"/>
    <w:rsid w:val="006C29F2"/>
    <w:rsid w:val="006C4809"/>
    <w:rsid w:val="006D03D8"/>
    <w:rsid w:val="006D1BB9"/>
    <w:rsid w:val="006D2114"/>
    <w:rsid w:val="006D2D8D"/>
    <w:rsid w:val="006D311D"/>
    <w:rsid w:val="006D3206"/>
    <w:rsid w:val="006D4380"/>
    <w:rsid w:val="006D4815"/>
    <w:rsid w:val="006D698D"/>
    <w:rsid w:val="006D78FF"/>
    <w:rsid w:val="006D7E2A"/>
    <w:rsid w:val="006E058E"/>
    <w:rsid w:val="006E07C3"/>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74EA"/>
    <w:rsid w:val="007078F0"/>
    <w:rsid w:val="0071116B"/>
    <w:rsid w:val="007112FB"/>
    <w:rsid w:val="00712E5C"/>
    <w:rsid w:val="007149F9"/>
    <w:rsid w:val="0071714D"/>
    <w:rsid w:val="007200A7"/>
    <w:rsid w:val="00720A63"/>
    <w:rsid w:val="00721659"/>
    <w:rsid w:val="00722923"/>
    <w:rsid w:val="0072400C"/>
    <w:rsid w:val="0072636A"/>
    <w:rsid w:val="007272E6"/>
    <w:rsid w:val="007274A7"/>
    <w:rsid w:val="00730B8E"/>
    <w:rsid w:val="00732A09"/>
    <w:rsid w:val="00736415"/>
    <w:rsid w:val="0073735F"/>
    <w:rsid w:val="007402B1"/>
    <w:rsid w:val="00740EA8"/>
    <w:rsid w:val="00741C6B"/>
    <w:rsid w:val="00742468"/>
    <w:rsid w:val="007424AC"/>
    <w:rsid w:val="00742995"/>
    <w:rsid w:val="0074514B"/>
    <w:rsid w:val="007456DC"/>
    <w:rsid w:val="007460DB"/>
    <w:rsid w:val="00746BC1"/>
    <w:rsid w:val="0074791C"/>
    <w:rsid w:val="0075085B"/>
    <w:rsid w:val="00750AF6"/>
    <w:rsid w:val="0075179F"/>
    <w:rsid w:val="00752D36"/>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D5C"/>
    <w:rsid w:val="00771B7B"/>
    <w:rsid w:val="007720EE"/>
    <w:rsid w:val="00772D4D"/>
    <w:rsid w:val="007738AC"/>
    <w:rsid w:val="00773CCB"/>
    <w:rsid w:val="00774A10"/>
    <w:rsid w:val="00774ED8"/>
    <w:rsid w:val="00780E20"/>
    <w:rsid w:val="0078178B"/>
    <w:rsid w:val="0078187B"/>
    <w:rsid w:val="007818AB"/>
    <w:rsid w:val="00782FDA"/>
    <w:rsid w:val="00785399"/>
    <w:rsid w:val="00785B79"/>
    <w:rsid w:val="00791C99"/>
    <w:rsid w:val="00792440"/>
    <w:rsid w:val="00793CC7"/>
    <w:rsid w:val="0079472F"/>
    <w:rsid w:val="007949E3"/>
    <w:rsid w:val="00794E1C"/>
    <w:rsid w:val="00795A2F"/>
    <w:rsid w:val="00795DA3"/>
    <w:rsid w:val="00796D74"/>
    <w:rsid w:val="00797036"/>
    <w:rsid w:val="00797F04"/>
    <w:rsid w:val="007A57F4"/>
    <w:rsid w:val="007B31B6"/>
    <w:rsid w:val="007B3529"/>
    <w:rsid w:val="007B5211"/>
    <w:rsid w:val="007C07C5"/>
    <w:rsid w:val="007C2D6B"/>
    <w:rsid w:val="007C3593"/>
    <w:rsid w:val="007C4447"/>
    <w:rsid w:val="007D03DC"/>
    <w:rsid w:val="007D0DD1"/>
    <w:rsid w:val="007D114B"/>
    <w:rsid w:val="007D135C"/>
    <w:rsid w:val="007D2AA2"/>
    <w:rsid w:val="007D31F4"/>
    <w:rsid w:val="007D4275"/>
    <w:rsid w:val="007D4B5F"/>
    <w:rsid w:val="007E06C0"/>
    <w:rsid w:val="007E0816"/>
    <w:rsid w:val="007E0BBB"/>
    <w:rsid w:val="007E134F"/>
    <w:rsid w:val="007E170F"/>
    <w:rsid w:val="007E2573"/>
    <w:rsid w:val="007E3E7F"/>
    <w:rsid w:val="007E6BCE"/>
    <w:rsid w:val="007E6DF2"/>
    <w:rsid w:val="007F00D3"/>
    <w:rsid w:val="007F0D28"/>
    <w:rsid w:val="007F0D84"/>
    <w:rsid w:val="007F15F7"/>
    <w:rsid w:val="007F16A2"/>
    <w:rsid w:val="007F2174"/>
    <w:rsid w:val="007F2384"/>
    <w:rsid w:val="007F2A89"/>
    <w:rsid w:val="007F2E18"/>
    <w:rsid w:val="007F556F"/>
    <w:rsid w:val="007F76AD"/>
    <w:rsid w:val="007F7E76"/>
    <w:rsid w:val="00800AE3"/>
    <w:rsid w:val="00801B7A"/>
    <w:rsid w:val="00802367"/>
    <w:rsid w:val="0080274C"/>
    <w:rsid w:val="00802AF7"/>
    <w:rsid w:val="008031D6"/>
    <w:rsid w:val="008038C5"/>
    <w:rsid w:val="00805F7C"/>
    <w:rsid w:val="00806324"/>
    <w:rsid w:val="00806DD0"/>
    <w:rsid w:val="00810910"/>
    <w:rsid w:val="0081158D"/>
    <w:rsid w:val="00811B34"/>
    <w:rsid w:val="00811B49"/>
    <w:rsid w:val="00811CDA"/>
    <w:rsid w:val="00814D3F"/>
    <w:rsid w:val="008157C9"/>
    <w:rsid w:val="008212B0"/>
    <w:rsid w:val="00821A37"/>
    <w:rsid w:val="00821C94"/>
    <w:rsid w:val="008226B1"/>
    <w:rsid w:val="00822E71"/>
    <w:rsid w:val="00822F86"/>
    <w:rsid w:val="00824BEE"/>
    <w:rsid w:val="00826076"/>
    <w:rsid w:val="00826273"/>
    <w:rsid w:val="00826FD1"/>
    <w:rsid w:val="008275E5"/>
    <w:rsid w:val="00827D46"/>
    <w:rsid w:val="0083066E"/>
    <w:rsid w:val="00830E2A"/>
    <w:rsid w:val="008314D7"/>
    <w:rsid w:val="00831C5E"/>
    <w:rsid w:val="00832685"/>
    <w:rsid w:val="008331AD"/>
    <w:rsid w:val="008350EE"/>
    <w:rsid w:val="0083618B"/>
    <w:rsid w:val="008367AC"/>
    <w:rsid w:val="008405A0"/>
    <w:rsid w:val="008429E8"/>
    <w:rsid w:val="00843DF6"/>
    <w:rsid w:val="00845BBE"/>
    <w:rsid w:val="00847AAF"/>
    <w:rsid w:val="00850E12"/>
    <w:rsid w:val="00851487"/>
    <w:rsid w:val="008524D0"/>
    <w:rsid w:val="00852878"/>
    <w:rsid w:val="00853046"/>
    <w:rsid w:val="008535EF"/>
    <w:rsid w:val="008549CE"/>
    <w:rsid w:val="0085624B"/>
    <w:rsid w:val="0085647C"/>
    <w:rsid w:val="00860B63"/>
    <w:rsid w:val="008615C4"/>
    <w:rsid w:val="008620C5"/>
    <w:rsid w:val="008634DC"/>
    <w:rsid w:val="00863940"/>
    <w:rsid w:val="00864DC6"/>
    <w:rsid w:val="008655DD"/>
    <w:rsid w:val="00867B02"/>
    <w:rsid w:val="00870187"/>
    <w:rsid w:val="008731E1"/>
    <w:rsid w:val="008736DF"/>
    <w:rsid w:val="008741DB"/>
    <w:rsid w:val="00874B7D"/>
    <w:rsid w:val="00875E52"/>
    <w:rsid w:val="00875F60"/>
    <w:rsid w:val="00876D7B"/>
    <w:rsid w:val="00880B4D"/>
    <w:rsid w:val="008813F4"/>
    <w:rsid w:val="00881E5F"/>
    <w:rsid w:val="008829A4"/>
    <w:rsid w:val="008836DC"/>
    <w:rsid w:val="00883FCB"/>
    <w:rsid w:val="0088450B"/>
    <w:rsid w:val="008860BD"/>
    <w:rsid w:val="00886F6C"/>
    <w:rsid w:val="008874F5"/>
    <w:rsid w:val="00887B21"/>
    <w:rsid w:val="00891B74"/>
    <w:rsid w:val="00892DE9"/>
    <w:rsid w:val="00893E28"/>
    <w:rsid w:val="00894DA5"/>
    <w:rsid w:val="0089503E"/>
    <w:rsid w:val="00895093"/>
    <w:rsid w:val="008959B9"/>
    <w:rsid w:val="00896BB6"/>
    <w:rsid w:val="008A0BF5"/>
    <w:rsid w:val="008A2046"/>
    <w:rsid w:val="008A2455"/>
    <w:rsid w:val="008A2A2F"/>
    <w:rsid w:val="008A3652"/>
    <w:rsid w:val="008A6D95"/>
    <w:rsid w:val="008A6EC0"/>
    <w:rsid w:val="008B1171"/>
    <w:rsid w:val="008B48E2"/>
    <w:rsid w:val="008B5152"/>
    <w:rsid w:val="008B5EA0"/>
    <w:rsid w:val="008B6EE1"/>
    <w:rsid w:val="008B7356"/>
    <w:rsid w:val="008B7E27"/>
    <w:rsid w:val="008C0AEC"/>
    <w:rsid w:val="008C0CA5"/>
    <w:rsid w:val="008C0CB4"/>
    <w:rsid w:val="008C11BE"/>
    <w:rsid w:val="008C12A2"/>
    <w:rsid w:val="008C18C1"/>
    <w:rsid w:val="008C1CF5"/>
    <w:rsid w:val="008C3CE8"/>
    <w:rsid w:val="008C3DC9"/>
    <w:rsid w:val="008C4B38"/>
    <w:rsid w:val="008C6470"/>
    <w:rsid w:val="008C7465"/>
    <w:rsid w:val="008D00A6"/>
    <w:rsid w:val="008D10DE"/>
    <w:rsid w:val="008D3DE9"/>
    <w:rsid w:val="008D54FE"/>
    <w:rsid w:val="008D639A"/>
    <w:rsid w:val="008D6B9D"/>
    <w:rsid w:val="008D7826"/>
    <w:rsid w:val="008E0AC9"/>
    <w:rsid w:val="008E1227"/>
    <w:rsid w:val="008E212A"/>
    <w:rsid w:val="008E23C2"/>
    <w:rsid w:val="008E2A16"/>
    <w:rsid w:val="008E3205"/>
    <w:rsid w:val="008E328D"/>
    <w:rsid w:val="008E383F"/>
    <w:rsid w:val="008E4FE2"/>
    <w:rsid w:val="008E5190"/>
    <w:rsid w:val="008E5F8B"/>
    <w:rsid w:val="008E79DB"/>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A2"/>
    <w:rsid w:val="0090367E"/>
    <w:rsid w:val="00903E49"/>
    <w:rsid w:val="00903EBB"/>
    <w:rsid w:val="00904EB4"/>
    <w:rsid w:val="00904EBC"/>
    <w:rsid w:val="0090578F"/>
    <w:rsid w:val="00906027"/>
    <w:rsid w:val="009066D0"/>
    <w:rsid w:val="009110F8"/>
    <w:rsid w:val="00911883"/>
    <w:rsid w:val="0091399B"/>
    <w:rsid w:val="00915485"/>
    <w:rsid w:val="00915EB8"/>
    <w:rsid w:val="00916A2C"/>
    <w:rsid w:val="00916ADD"/>
    <w:rsid w:val="009177C9"/>
    <w:rsid w:val="00917932"/>
    <w:rsid w:val="009207D3"/>
    <w:rsid w:val="00921023"/>
    <w:rsid w:val="00921C9B"/>
    <w:rsid w:val="00921E9F"/>
    <w:rsid w:val="0092229A"/>
    <w:rsid w:val="00923DCD"/>
    <w:rsid w:val="009249E5"/>
    <w:rsid w:val="00924DDF"/>
    <w:rsid w:val="00925D18"/>
    <w:rsid w:val="00927AA9"/>
    <w:rsid w:val="00927B5B"/>
    <w:rsid w:val="00930D55"/>
    <w:rsid w:val="00932F5A"/>
    <w:rsid w:val="00933610"/>
    <w:rsid w:val="00933B07"/>
    <w:rsid w:val="00934561"/>
    <w:rsid w:val="00944F28"/>
    <w:rsid w:val="00947A7A"/>
    <w:rsid w:val="009523E9"/>
    <w:rsid w:val="00953BD4"/>
    <w:rsid w:val="00953DE1"/>
    <w:rsid w:val="00954C4D"/>
    <w:rsid w:val="00955259"/>
    <w:rsid w:val="00955D18"/>
    <w:rsid w:val="00960E94"/>
    <w:rsid w:val="009619CC"/>
    <w:rsid w:val="00963089"/>
    <w:rsid w:val="0096362C"/>
    <w:rsid w:val="00963FE9"/>
    <w:rsid w:val="009650BD"/>
    <w:rsid w:val="00966084"/>
    <w:rsid w:val="009661A6"/>
    <w:rsid w:val="00966E9D"/>
    <w:rsid w:val="00967A30"/>
    <w:rsid w:val="00967E69"/>
    <w:rsid w:val="00974757"/>
    <w:rsid w:val="00974AD2"/>
    <w:rsid w:val="00974ED0"/>
    <w:rsid w:val="00975DEF"/>
    <w:rsid w:val="00976875"/>
    <w:rsid w:val="00977579"/>
    <w:rsid w:val="00977961"/>
    <w:rsid w:val="00977C46"/>
    <w:rsid w:val="009804DC"/>
    <w:rsid w:val="009814EC"/>
    <w:rsid w:val="0098230F"/>
    <w:rsid w:val="00982EDD"/>
    <w:rsid w:val="00983AF9"/>
    <w:rsid w:val="00983C32"/>
    <w:rsid w:val="0098597A"/>
    <w:rsid w:val="009860AD"/>
    <w:rsid w:val="009867C1"/>
    <w:rsid w:val="009871E1"/>
    <w:rsid w:val="00987EAE"/>
    <w:rsid w:val="0099016F"/>
    <w:rsid w:val="00991B1C"/>
    <w:rsid w:val="00992591"/>
    <w:rsid w:val="00992739"/>
    <w:rsid w:val="0099413E"/>
    <w:rsid w:val="0099424C"/>
    <w:rsid w:val="00994BA0"/>
    <w:rsid w:val="0099587F"/>
    <w:rsid w:val="009967CB"/>
    <w:rsid w:val="009A0DEA"/>
    <w:rsid w:val="009A1A95"/>
    <w:rsid w:val="009A1F1D"/>
    <w:rsid w:val="009A24AD"/>
    <w:rsid w:val="009A253D"/>
    <w:rsid w:val="009A26C1"/>
    <w:rsid w:val="009A495E"/>
    <w:rsid w:val="009A51F0"/>
    <w:rsid w:val="009A791D"/>
    <w:rsid w:val="009A7FA8"/>
    <w:rsid w:val="009B0BC4"/>
    <w:rsid w:val="009B0BC8"/>
    <w:rsid w:val="009B10FF"/>
    <w:rsid w:val="009B3504"/>
    <w:rsid w:val="009B4402"/>
    <w:rsid w:val="009B5536"/>
    <w:rsid w:val="009B5A72"/>
    <w:rsid w:val="009C1289"/>
    <w:rsid w:val="009C4B4E"/>
    <w:rsid w:val="009C6421"/>
    <w:rsid w:val="009C7881"/>
    <w:rsid w:val="009D0DE4"/>
    <w:rsid w:val="009D383A"/>
    <w:rsid w:val="009D3AE0"/>
    <w:rsid w:val="009D5BAA"/>
    <w:rsid w:val="009D6AF9"/>
    <w:rsid w:val="009D77ED"/>
    <w:rsid w:val="009E15A0"/>
    <w:rsid w:val="009E1DC8"/>
    <w:rsid w:val="009E5563"/>
    <w:rsid w:val="009E5586"/>
    <w:rsid w:val="009E5C1F"/>
    <w:rsid w:val="009E6BE9"/>
    <w:rsid w:val="009F01E3"/>
    <w:rsid w:val="009F02EC"/>
    <w:rsid w:val="009F05CF"/>
    <w:rsid w:val="009F09F1"/>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1345"/>
    <w:rsid w:val="00A11D42"/>
    <w:rsid w:val="00A12A28"/>
    <w:rsid w:val="00A134D8"/>
    <w:rsid w:val="00A14950"/>
    <w:rsid w:val="00A16EE4"/>
    <w:rsid w:val="00A1766C"/>
    <w:rsid w:val="00A17F1A"/>
    <w:rsid w:val="00A22001"/>
    <w:rsid w:val="00A222A7"/>
    <w:rsid w:val="00A24AFA"/>
    <w:rsid w:val="00A25D87"/>
    <w:rsid w:val="00A26386"/>
    <w:rsid w:val="00A31462"/>
    <w:rsid w:val="00A31921"/>
    <w:rsid w:val="00A34ED8"/>
    <w:rsid w:val="00A353BC"/>
    <w:rsid w:val="00A355C7"/>
    <w:rsid w:val="00A36171"/>
    <w:rsid w:val="00A36716"/>
    <w:rsid w:val="00A36A65"/>
    <w:rsid w:val="00A36BDD"/>
    <w:rsid w:val="00A372EE"/>
    <w:rsid w:val="00A429DA"/>
    <w:rsid w:val="00A43163"/>
    <w:rsid w:val="00A43397"/>
    <w:rsid w:val="00A4405B"/>
    <w:rsid w:val="00A44AE9"/>
    <w:rsid w:val="00A453A7"/>
    <w:rsid w:val="00A45CD8"/>
    <w:rsid w:val="00A45EE9"/>
    <w:rsid w:val="00A54ACB"/>
    <w:rsid w:val="00A55ABB"/>
    <w:rsid w:val="00A56055"/>
    <w:rsid w:val="00A56B6D"/>
    <w:rsid w:val="00A57F27"/>
    <w:rsid w:val="00A60027"/>
    <w:rsid w:val="00A61E8F"/>
    <w:rsid w:val="00A6266F"/>
    <w:rsid w:val="00A63F16"/>
    <w:rsid w:val="00A65DD2"/>
    <w:rsid w:val="00A679BC"/>
    <w:rsid w:val="00A70063"/>
    <w:rsid w:val="00A7009D"/>
    <w:rsid w:val="00A71A8D"/>
    <w:rsid w:val="00A71EF4"/>
    <w:rsid w:val="00A72D7A"/>
    <w:rsid w:val="00A72E3F"/>
    <w:rsid w:val="00A74327"/>
    <w:rsid w:val="00A7436E"/>
    <w:rsid w:val="00A76812"/>
    <w:rsid w:val="00A76B23"/>
    <w:rsid w:val="00A80AAC"/>
    <w:rsid w:val="00A81584"/>
    <w:rsid w:val="00A86A1B"/>
    <w:rsid w:val="00A86D47"/>
    <w:rsid w:val="00A91E1F"/>
    <w:rsid w:val="00A9340A"/>
    <w:rsid w:val="00A944F3"/>
    <w:rsid w:val="00A96E05"/>
    <w:rsid w:val="00A97896"/>
    <w:rsid w:val="00A97E15"/>
    <w:rsid w:val="00AA179C"/>
    <w:rsid w:val="00AA18AE"/>
    <w:rsid w:val="00AA2776"/>
    <w:rsid w:val="00AA4125"/>
    <w:rsid w:val="00AA4AA6"/>
    <w:rsid w:val="00AA5DB4"/>
    <w:rsid w:val="00AB16BF"/>
    <w:rsid w:val="00AB1FBE"/>
    <w:rsid w:val="00AB24C8"/>
    <w:rsid w:val="00AB4252"/>
    <w:rsid w:val="00AB508B"/>
    <w:rsid w:val="00AC00CE"/>
    <w:rsid w:val="00AC16E1"/>
    <w:rsid w:val="00AC27AB"/>
    <w:rsid w:val="00AC5086"/>
    <w:rsid w:val="00AC5496"/>
    <w:rsid w:val="00AD173D"/>
    <w:rsid w:val="00AD2465"/>
    <w:rsid w:val="00AD442D"/>
    <w:rsid w:val="00AD6554"/>
    <w:rsid w:val="00AD7EE7"/>
    <w:rsid w:val="00AE0A04"/>
    <w:rsid w:val="00AE14F3"/>
    <w:rsid w:val="00AE20D3"/>
    <w:rsid w:val="00AE22F2"/>
    <w:rsid w:val="00AE2392"/>
    <w:rsid w:val="00AE24DF"/>
    <w:rsid w:val="00AE3428"/>
    <w:rsid w:val="00AE5B1E"/>
    <w:rsid w:val="00AE79CA"/>
    <w:rsid w:val="00AF310D"/>
    <w:rsid w:val="00AF328F"/>
    <w:rsid w:val="00AF4582"/>
    <w:rsid w:val="00AF6B3D"/>
    <w:rsid w:val="00AF6F3E"/>
    <w:rsid w:val="00AF7639"/>
    <w:rsid w:val="00AF7B73"/>
    <w:rsid w:val="00B01399"/>
    <w:rsid w:val="00B03922"/>
    <w:rsid w:val="00B04ACF"/>
    <w:rsid w:val="00B053C6"/>
    <w:rsid w:val="00B05746"/>
    <w:rsid w:val="00B07386"/>
    <w:rsid w:val="00B10030"/>
    <w:rsid w:val="00B104E7"/>
    <w:rsid w:val="00B108E3"/>
    <w:rsid w:val="00B14DAA"/>
    <w:rsid w:val="00B16E80"/>
    <w:rsid w:val="00B17D6B"/>
    <w:rsid w:val="00B234E3"/>
    <w:rsid w:val="00B23945"/>
    <w:rsid w:val="00B24A09"/>
    <w:rsid w:val="00B274CC"/>
    <w:rsid w:val="00B32641"/>
    <w:rsid w:val="00B33A06"/>
    <w:rsid w:val="00B34AF2"/>
    <w:rsid w:val="00B35253"/>
    <w:rsid w:val="00B40107"/>
    <w:rsid w:val="00B4093A"/>
    <w:rsid w:val="00B419F8"/>
    <w:rsid w:val="00B4246E"/>
    <w:rsid w:val="00B43B74"/>
    <w:rsid w:val="00B44DE2"/>
    <w:rsid w:val="00B4742A"/>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390A"/>
    <w:rsid w:val="00B73F92"/>
    <w:rsid w:val="00B75A56"/>
    <w:rsid w:val="00B75A7B"/>
    <w:rsid w:val="00B77EB1"/>
    <w:rsid w:val="00B811E0"/>
    <w:rsid w:val="00B811EC"/>
    <w:rsid w:val="00B81ED2"/>
    <w:rsid w:val="00B822F3"/>
    <w:rsid w:val="00B82F3D"/>
    <w:rsid w:val="00B83530"/>
    <w:rsid w:val="00B84123"/>
    <w:rsid w:val="00B85972"/>
    <w:rsid w:val="00B87120"/>
    <w:rsid w:val="00B92979"/>
    <w:rsid w:val="00B929A5"/>
    <w:rsid w:val="00B939A6"/>
    <w:rsid w:val="00B93E80"/>
    <w:rsid w:val="00B94955"/>
    <w:rsid w:val="00B97C33"/>
    <w:rsid w:val="00B97F73"/>
    <w:rsid w:val="00BA020D"/>
    <w:rsid w:val="00BA0A81"/>
    <w:rsid w:val="00BA0C8A"/>
    <w:rsid w:val="00BA1E37"/>
    <w:rsid w:val="00BA4901"/>
    <w:rsid w:val="00BA49CA"/>
    <w:rsid w:val="00BA4C14"/>
    <w:rsid w:val="00BA5F2A"/>
    <w:rsid w:val="00BA6C29"/>
    <w:rsid w:val="00BA72BD"/>
    <w:rsid w:val="00BB026F"/>
    <w:rsid w:val="00BB087C"/>
    <w:rsid w:val="00BB3FB2"/>
    <w:rsid w:val="00BB5370"/>
    <w:rsid w:val="00BB6031"/>
    <w:rsid w:val="00BB64B0"/>
    <w:rsid w:val="00BB65C4"/>
    <w:rsid w:val="00BB7B9D"/>
    <w:rsid w:val="00BC2853"/>
    <w:rsid w:val="00BC4431"/>
    <w:rsid w:val="00BC4B7F"/>
    <w:rsid w:val="00BC5473"/>
    <w:rsid w:val="00BC6E2E"/>
    <w:rsid w:val="00BC7DE7"/>
    <w:rsid w:val="00BD097C"/>
    <w:rsid w:val="00BD2639"/>
    <w:rsid w:val="00BD37E2"/>
    <w:rsid w:val="00BD4CC9"/>
    <w:rsid w:val="00BD4EB5"/>
    <w:rsid w:val="00BD5B6F"/>
    <w:rsid w:val="00BD620F"/>
    <w:rsid w:val="00BE364C"/>
    <w:rsid w:val="00BE37BA"/>
    <w:rsid w:val="00BE50AC"/>
    <w:rsid w:val="00BF15FD"/>
    <w:rsid w:val="00BF1785"/>
    <w:rsid w:val="00BF2010"/>
    <w:rsid w:val="00BF2365"/>
    <w:rsid w:val="00BF2E5D"/>
    <w:rsid w:val="00BF384C"/>
    <w:rsid w:val="00BF4496"/>
    <w:rsid w:val="00BF4BCD"/>
    <w:rsid w:val="00BF688B"/>
    <w:rsid w:val="00C01120"/>
    <w:rsid w:val="00C01A8A"/>
    <w:rsid w:val="00C0229B"/>
    <w:rsid w:val="00C0389C"/>
    <w:rsid w:val="00C04263"/>
    <w:rsid w:val="00C04273"/>
    <w:rsid w:val="00C044F5"/>
    <w:rsid w:val="00C04732"/>
    <w:rsid w:val="00C06017"/>
    <w:rsid w:val="00C06E2C"/>
    <w:rsid w:val="00C07936"/>
    <w:rsid w:val="00C07E13"/>
    <w:rsid w:val="00C1115F"/>
    <w:rsid w:val="00C1160A"/>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4067A"/>
    <w:rsid w:val="00C41BC5"/>
    <w:rsid w:val="00C454C8"/>
    <w:rsid w:val="00C45A67"/>
    <w:rsid w:val="00C46454"/>
    <w:rsid w:val="00C47D9F"/>
    <w:rsid w:val="00C515E0"/>
    <w:rsid w:val="00C5183B"/>
    <w:rsid w:val="00C522C9"/>
    <w:rsid w:val="00C540BC"/>
    <w:rsid w:val="00C57333"/>
    <w:rsid w:val="00C57A19"/>
    <w:rsid w:val="00C61790"/>
    <w:rsid w:val="00C62955"/>
    <w:rsid w:val="00C64256"/>
    <w:rsid w:val="00C64815"/>
    <w:rsid w:val="00C64A18"/>
    <w:rsid w:val="00C64C12"/>
    <w:rsid w:val="00C66947"/>
    <w:rsid w:val="00C703D4"/>
    <w:rsid w:val="00C7096C"/>
    <w:rsid w:val="00C70A83"/>
    <w:rsid w:val="00C725E7"/>
    <w:rsid w:val="00C726AA"/>
    <w:rsid w:val="00C72F05"/>
    <w:rsid w:val="00C732DD"/>
    <w:rsid w:val="00C73BEF"/>
    <w:rsid w:val="00C74BBA"/>
    <w:rsid w:val="00C74EB7"/>
    <w:rsid w:val="00C7512A"/>
    <w:rsid w:val="00C761B3"/>
    <w:rsid w:val="00C80F0D"/>
    <w:rsid w:val="00C8222D"/>
    <w:rsid w:val="00C83322"/>
    <w:rsid w:val="00C835B2"/>
    <w:rsid w:val="00C83E94"/>
    <w:rsid w:val="00C85AC8"/>
    <w:rsid w:val="00C87EFC"/>
    <w:rsid w:val="00C90593"/>
    <w:rsid w:val="00C90ACF"/>
    <w:rsid w:val="00C90C12"/>
    <w:rsid w:val="00C92ED9"/>
    <w:rsid w:val="00C937E3"/>
    <w:rsid w:val="00C938A2"/>
    <w:rsid w:val="00C94BED"/>
    <w:rsid w:val="00C97992"/>
    <w:rsid w:val="00C97B34"/>
    <w:rsid w:val="00CA1241"/>
    <w:rsid w:val="00CA1941"/>
    <w:rsid w:val="00CA3753"/>
    <w:rsid w:val="00CA3D9A"/>
    <w:rsid w:val="00CB10E5"/>
    <w:rsid w:val="00CB1D32"/>
    <w:rsid w:val="00CB40EE"/>
    <w:rsid w:val="00CB4F00"/>
    <w:rsid w:val="00CB5CC4"/>
    <w:rsid w:val="00CC0E6A"/>
    <w:rsid w:val="00CC3E39"/>
    <w:rsid w:val="00CC4171"/>
    <w:rsid w:val="00CC4385"/>
    <w:rsid w:val="00CC49A2"/>
    <w:rsid w:val="00CC57DC"/>
    <w:rsid w:val="00CC6783"/>
    <w:rsid w:val="00CC6AD3"/>
    <w:rsid w:val="00CC734B"/>
    <w:rsid w:val="00CD1811"/>
    <w:rsid w:val="00CD2E7B"/>
    <w:rsid w:val="00CD4639"/>
    <w:rsid w:val="00CD5F76"/>
    <w:rsid w:val="00CD6411"/>
    <w:rsid w:val="00CE24C9"/>
    <w:rsid w:val="00CE27BF"/>
    <w:rsid w:val="00CE2C06"/>
    <w:rsid w:val="00CE3E7C"/>
    <w:rsid w:val="00CE5779"/>
    <w:rsid w:val="00CE653A"/>
    <w:rsid w:val="00CF2663"/>
    <w:rsid w:val="00CF35FC"/>
    <w:rsid w:val="00CF53C8"/>
    <w:rsid w:val="00CF5F66"/>
    <w:rsid w:val="00CF635C"/>
    <w:rsid w:val="00CF63CB"/>
    <w:rsid w:val="00CF7A15"/>
    <w:rsid w:val="00D00275"/>
    <w:rsid w:val="00D00B99"/>
    <w:rsid w:val="00D0129A"/>
    <w:rsid w:val="00D033AB"/>
    <w:rsid w:val="00D0410B"/>
    <w:rsid w:val="00D0422F"/>
    <w:rsid w:val="00D046A8"/>
    <w:rsid w:val="00D05BB8"/>
    <w:rsid w:val="00D06776"/>
    <w:rsid w:val="00D06A85"/>
    <w:rsid w:val="00D13369"/>
    <w:rsid w:val="00D13F17"/>
    <w:rsid w:val="00D14053"/>
    <w:rsid w:val="00D14D46"/>
    <w:rsid w:val="00D15180"/>
    <w:rsid w:val="00D1518A"/>
    <w:rsid w:val="00D155F5"/>
    <w:rsid w:val="00D15664"/>
    <w:rsid w:val="00D160F1"/>
    <w:rsid w:val="00D16179"/>
    <w:rsid w:val="00D16D76"/>
    <w:rsid w:val="00D17D86"/>
    <w:rsid w:val="00D215F3"/>
    <w:rsid w:val="00D2288D"/>
    <w:rsid w:val="00D229C6"/>
    <w:rsid w:val="00D23740"/>
    <w:rsid w:val="00D238B9"/>
    <w:rsid w:val="00D27CCC"/>
    <w:rsid w:val="00D32E3B"/>
    <w:rsid w:val="00D33B62"/>
    <w:rsid w:val="00D341AA"/>
    <w:rsid w:val="00D345E7"/>
    <w:rsid w:val="00D350C8"/>
    <w:rsid w:val="00D354D8"/>
    <w:rsid w:val="00D40A15"/>
    <w:rsid w:val="00D40BA4"/>
    <w:rsid w:val="00D4141E"/>
    <w:rsid w:val="00D416D2"/>
    <w:rsid w:val="00D4227C"/>
    <w:rsid w:val="00D4404D"/>
    <w:rsid w:val="00D468AB"/>
    <w:rsid w:val="00D502B8"/>
    <w:rsid w:val="00D504C3"/>
    <w:rsid w:val="00D51474"/>
    <w:rsid w:val="00D538D3"/>
    <w:rsid w:val="00D56136"/>
    <w:rsid w:val="00D56D1A"/>
    <w:rsid w:val="00D601FC"/>
    <w:rsid w:val="00D606E2"/>
    <w:rsid w:val="00D61533"/>
    <w:rsid w:val="00D62387"/>
    <w:rsid w:val="00D62A5F"/>
    <w:rsid w:val="00D64CA3"/>
    <w:rsid w:val="00D668D4"/>
    <w:rsid w:val="00D67A5D"/>
    <w:rsid w:val="00D67BBB"/>
    <w:rsid w:val="00D67C7B"/>
    <w:rsid w:val="00D71342"/>
    <w:rsid w:val="00D73B1E"/>
    <w:rsid w:val="00D7472A"/>
    <w:rsid w:val="00D74A5E"/>
    <w:rsid w:val="00D81307"/>
    <w:rsid w:val="00D82C94"/>
    <w:rsid w:val="00D830A4"/>
    <w:rsid w:val="00D83969"/>
    <w:rsid w:val="00D84D1C"/>
    <w:rsid w:val="00D86311"/>
    <w:rsid w:val="00D87BF1"/>
    <w:rsid w:val="00D90188"/>
    <w:rsid w:val="00D90FB6"/>
    <w:rsid w:val="00D92D5B"/>
    <w:rsid w:val="00D93206"/>
    <w:rsid w:val="00D95007"/>
    <w:rsid w:val="00D96879"/>
    <w:rsid w:val="00D97E9B"/>
    <w:rsid w:val="00D97EA9"/>
    <w:rsid w:val="00DA0BA0"/>
    <w:rsid w:val="00DA21B4"/>
    <w:rsid w:val="00DA6571"/>
    <w:rsid w:val="00DB0D67"/>
    <w:rsid w:val="00DB4472"/>
    <w:rsid w:val="00DB4A7C"/>
    <w:rsid w:val="00DB4B5E"/>
    <w:rsid w:val="00DB564E"/>
    <w:rsid w:val="00DB69D2"/>
    <w:rsid w:val="00DB6DF3"/>
    <w:rsid w:val="00DB73A9"/>
    <w:rsid w:val="00DC21B2"/>
    <w:rsid w:val="00DC543D"/>
    <w:rsid w:val="00DC7A11"/>
    <w:rsid w:val="00DC7ED7"/>
    <w:rsid w:val="00DC7FAC"/>
    <w:rsid w:val="00DD0491"/>
    <w:rsid w:val="00DD05C4"/>
    <w:rsid w:val="00DD05FE"/>
    <w:rsid w:val="00DD07C9"/>
    <w:rsid w:val="00DD0A86"/>
    <w:rsid w:val="00DD0C2E"/>
    <w:rsid w:val="00DD198E"/>
    <w:rsid w:val="00DD3CE5"/>
    <w:rsid w:val="00DD4A63"/>
    <w:rsid w:val="00DD5011"/>
    <w:rsid w:val="00DD64AF"/>
    <w:rsid w:val="00DD6AE4"/>
    <w:rsid w:val="00DD6D5D"/>
    <w:rsid w:val="00DD7879"/>
    <w:rsid w:val="00DD7D2B"/>
    <w:rsid w:val="00DE1B14"/>
    <w:rsid w:val="00DE25EF"/>
    <w:rsid w:val="00DE4C44"/>
    <w:rsid w:val="00DE4F63"/>
    <w:rsid w:val="00DE52E6"/>
    <w:rsid w:val="00DE59B3"/>
    <w:rsid w:val="00DE6866"/>
    <w:rsid w:val="00DF2441"/>
    <w:rsid w:val="00DF29AB"/>
    <w:rsid w:val="00DF2ED9"/>
    <w:rsid w:val="00DF4971"/>
    <w:rsid w:val="00DF76D7"/>
    <w:rsid w:val="00DF776E"/>
    <w:rsid w:val="00DF7C95"/>
    <w:rsid w:val="00E01B2D"/>
    <w:rsid w:val="00E03C2F"/>
    <w:rsid w:val="00E04459"/>
    <w:rsid w:val="00E0490E"/>
    <w:rsid w:val="00E06D7D"/>
    <w:rsid w:val="00E07AE2"/>
    <w:rsid w:val="00E1002C"/>
    <w:rsid w:val="00E112B9"/>
    <w:rsid w:val="00E1288A"/>
    <w:rsid w:val="00E12B0C"/>
    <w:rsid w:val="00E12CA4"/>
    <w:rsid w:val="00E165E5"/>
    <w:rsid w:val="00E17510"/>
    <w:rsid w:val="00E17B8F"/>
    <w:rsid w:val="00E2126D"/>
    <w:rsid w:val="00E21B91"/>
    <w:rsid w:val="00E21BCC"/>
    <w:rsid w:val="00E2261E"/>
    <w:rsid w:val="00E226E9"/>
    <w:rsid w:val="00E24D04"/>
    <w:rsid w:val="00E24E8C"/>
    <w:rsid w:val="00E30A3C"/>
    <w:rsid w:val="00E30C86"/>
    <w:rsid w:val="00E32722"/>
    <w:rsid w:val="00E33B33"/>
    <w:rsid w:val="00E34658"/>
    <w:rsid w:val="00E3526B"/>
    <w:rsid w:val="00E37047"/>
    <w:rsid w:val="00E37661"/>
    <w:rsid w:val="00E407DD"/>
    <w:rsid w:val="00E41308"/>
    <w:rsid w:val="00E41633"/>
    <w:rsid w:val="00E417E3"/>
    <w:rsid w:val="00E4347A"/>
    <w:rsid w:val="00E435F2"/>
    <w:rsid w:val="00E44AB4"/>
    <w:rsid w:val="00E44B09"/>
    <w:rsid w:val="00E44C79"/>
    <w:rsid w:val="00E45BEF"/>
    <w:rsid w:val="00E46012"/>
    <w:rsid w:val="00E50405"/>
    <w:rsid w:val="00E51A34"/>
    <w:rsid w:val="00E53230"/>
    <w:rsid w:val="00E53332"/>
    <w:rsid w:val="00E5375C"/>
    <w:rsid w:val="00E53AE5"/>
    <w:rsid w:val="00E54FA7"/>
    <w:rsid w:val="00E55EF4"/>
    <w:rsid w:val="00E568E7"/>
    <w:rsid w:val="00E5739B"/>
    <w:rsid w:val="00E57F1B"/>
    <w:rsid w:val="00E602DF"/>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827"/>
    <w:rsid w:val="00E70DF7"/>
    <w:rsid w:val="00E71C7E"/>
    <w:rsid w:val="00E752BD"/>
    <w:rsid w:val="00E75D87"/>
    <w:rsid w:val="00E80D97"/>
    <w:rsid w:val="00E81A13"/>
    <w:rsid w:val="00E82F78"/>
    <w:rsid w:val="00E83647"/>
    <w:rsid w:val="00E83C53"/>
    <w:rsid w:val="00E83F3B"/>
    <w:rsid w:val="00E84AF3"/>
    <w:rsid w:val="00E850CE"/>
    <w:rsid w:val="00E850FE"/>
    <w:rsid w:val="00E855C2"/>
    <w:rsid w:val="00E918FA"/>
    <w:rsid w:val="00E94287"/>
    <w:rsid w:val="00E9483D"/>
    <w:rsid w:val="00E9527E"/>
    <w:rsid w:val="00E97693"/>
    <w:rsid w:val="00E97DE3"/>
    <w:rsid w:val="00EA005D"/>
    <w:rsid w:val="00EA0FAF"/>
    <w:rsid w:val="00EA33A4"/>
    <w:rsid w:val="00EA3B47"/>
    <w:rsid w:val="00EA45D8"/>
    <w:rsid w:val="00EA5C24"/>
    <w:rsid w:val="00EA5F81"/>
    <w:rsid w:val="00EA6E1D"/>
    <w:rsid w:val="00EA7B88"/>
    <w:rsid w:val="00EB44EE"/>
    <w:rsid w:val="00EB509D"/>
    <w:rsid w:val="00EB6E7A"/>
    <w:rsid w:val="00EC13B7"/>
    <w:rsid w:val="00EC1BD8"/>
    <w:rsid w:val="00EC2AB1"/>
    <w:rsid w:val="00EC423F"/>
    <w:rsid w:val="00EC63E2"/>
    <w:rsid w:val="00EC69E1"/>
    <w:rsid w:val="00EC6D2D"/>
    <w:rsid w:val="00EC713A"/>
    <w:rsid w:val="00ED0F60"/>
    <w:rsid w:val="00ED2941"/>
    <w:rsid w:val="00ED65ED"/>
    <w:rsid w:val="00EE25F5"/>
    <w:rsid w:val="00EE278E"/>
    <w:rsid w:val="00EE3AEB"/>
    <w:rsid w:val="00EE4363"/>
    <w:rsid w:val="00EE5CC0"/>
    <w:rsid w:val="00EE5E88"/>
    <w:rsid w:val="00EF0FE0"/>
    <w:rsid w:val="00EF1FF3"/>
    <w:rsid w:val="00EF2BED"/>
    <w:rsid w:val="00EF5987"/>
    <w:rsid w:val="00EF64A8"/>
    <w:rsid w:val="00F01448"/>
    <w:rsid w:val="00F01EBA"/>
    <w:rsid w:val="00F024B3"/>
    <w:rsid w:val="00F046C3"/>
    <w:rsid w:val="00F04B25"/>
    <w:rsid w:val="00F04D10"/>
    <w:rsid w:val="00F051B3"/>
    <w:rsid w:val="00F06136"/>
    <w:rsid w:val="00F1063D"/>
    <w:rsid w:val="00F11602"/>
    <w:rsid w:val="00F139A5"/>
    <w:rsid w:val="00F13AE7"/>
    <w:rsid w:val="00F1658B"/>
    <w:rsid w:val="00F215A9"/>
    <w:rsid w:val="00F21A6E"/>
    <w:rsid w:val="00F226CE"/>
    <w:rsid w:val="00F23BB1"/>
    <w:rsid w:val="00F24CCC"/>
    <w:rsid w:val="00F25C93"/>
    <w:rsid w:val="00F27DB8"/>
    <w:rsid w:val="00F3080D"/>
    <w:rsid w:val="00F31ACB"/>
    <w:rsid w:val="00F327DB"/>
    <w:rsid w:val="00F32D1A"/>
    <w:rsid w:val="00F32EE8"/>
    <w:rsid w:val="00F33BFD"/>
    <w:rsid w:val="00F36F50"/>
    <w:rsid w:val="00F400A9"/>
    <w:rsid w:val="00F410EA"/>
    <w:rsid w:val="00F413C3"/>
    <w:rsid w:val="00F42FBF"/>
    <w:rsid w:val="00F43CDE"/>
    <w:rsid w:val="00F44F7C"/>
    <w:rsid w:val="00F4567B"/>
    <w:rsid w:val="00F47577"/>
    <w:rsid w:val="00F513F7"/>
    <w:rsid w:val="00F5237A"/>
    <w:rsid w:val="00F5294A"/>
    <w:rsid w:val="00F52DC5"/>
    <w:rsid w:val="00F533AD"/>
    <w:rsid w:val="00F533C5"/>
    <w:rsid w:val="00F534B9"/>
    <w:rsid w:val="00F5728B"/>
    <w:rsid w:val="00F600F8"/>
    <w:rsid w:val="00F61B63"/>
    <w:rsid w:val="00F61E0A"/>
    <w:rsid w:val="00F6430A"/>
    <w:rsid w:val="00F671B2"/>
    <w:rsid w:val="00F672FE"/>
    <w:rsid w:val="00F673C4"/>
    <w:rsid w:val="00F7022D"/>
    <w:rsid w:val="00F704BC"/>
    <w:rsid w:val="00F70FF1"/>
    <w:rsid w:val="00F70FFA"/>
    <w:rsid w:val="00F71A9C"/>
    <w:rsid w:val="00F728F6"/>
    <w:rsid w:val="00F72E45"/>
    <w:rsid w:val="00F73B1E"/>
    <w:rsid w:val="00F74BB3"/>
    <w:rsid w:val="00F75B41"/>
    <w:rsid w:val="00F75E35"/>
    <w:rsid w:val="00F76EFE"/>
    <w:rsid w:val="00F77554"/>
    <w:rsid w:val="00F8102D"/>
    <w:rsid w:val="00F81B41"/>
    <w:rsid w:val="00F82F52"/>
    <w:rsid w:val="00F83F52"/>
    <w:rsid w:val="00F84C0F"/>
    <w:rsid w:val="00F852B3"/>
    <w:rsid w:val="00F86641"/>
    <w:rsid w:val="00F86EB4"/>
    <w:rsid w:val="00F86ED1"/>
    <w:rsid w:val="00F87711"/>
    <w:rsid w:val="00F87901"/>
    <w:rsid w:val="00F91945"/>
    <w:rsid w:val="00F91FCF"/>
    <w:rsid w:val="00F92923"/>
    <w:rsid w:val="00F93161"/>
    <w:rsid w:val="00F93A92"/>
    <w:rsid w:val="00F955CF"/>
    <w:rsid w:val="00F9673A"/>
    <w:rsid w:val="00F97A2D"/>
    <w:rsid w:val="00FA0840"/>
    <w:rsid w:val="00FA08A4"/>
    <w:rsid w:val="00FA0AD4"/>
    <w:rsid w:val="00FA27F5"/>
    <w:rsid w:val="00FA2E43"/>
    <w:rsid w:val="00FA63F1"/>
    <w:rsid w:val="00FA65B3"/>
    <w:rsid w:val="00FA681F"/>
    <w:rsid w:val="00FA773F"/>
    <w:rsid w:val="00FA799B"/>
    <w:rsid w:val="00FA7B89"/>
    <w:rsid w:val="00FB19F4"/>
    <w:rsid w:val="00FB1F36"/>
    <w:rsid w:val="00FB4732"/>
    <w:rsid w:val="00FB5355"/>
    <w:rsid w:val="00FB5CC0"/>
    <w:rsid w:val="00FB6FED"/>
    <w:rsid w:val="00FB72FC"/>
    <w:rsid w:val="00FB7F26"/>
    <w:rsid w:val="00FC0B2C"/>
    <w:rsid w:val="00FC3325"/>
    <w:rsid w:val="00FC4239"/>
    <w:rsid w:val="00FC45F0"/>
    <w:rsid w:val="00FC4F4E"/>
    <w:rsid w:val="00FC5610"/>
    <w:rsid w:val="00FD126B"/>
    <w:rsid w:val="00FD183E"/>
    <w:rsid w:val="00FD1A59"/>
    <w:rsid w:val="00FD1EF9"/>
    <w:rsid w:val="00FD3802"/>
    <w:rsid w:val="00FD5998"/>
    <w:rsid w:val="00FD5BD5"/>
    <w:rsid w:val="00FD6793"/>
    <w:rsid w:val="00FD7243"/>
    <w:rsid w:val="00FD75DA"/>
    <w:rsid w:val="00FD7DA4"/>
    <w:rsid w:val="00FD7E01"/>
    <w:rsid w:val="00FE16FC"/>
    <w:rsid w:val="00FE21A5"/>
    <w:rsid w:val="00FE2B7E"/>
    <w:rsid w:val="00FE33DE"/>
    <w:rsid w:val="00FE57C9"/>
    <w:rsid w:val="00FE64BB"/>
    <w:rsid w:val="00FE7485"/>
    <w:rsid w:val="00FF0753"/>
    <w:rsid w:val="00FF15DA"/>
    <w:rsid w:val="00FF1B46"/>
    <w:rsid w:val="00FF2067"/>
    <w:rsid w:val="00FF27A9"/>
    <w:rsid w:val="00FF3A9F"/>
    <w:rsid w:val="00FF3F13"/>
    <w:rsid w:val="00FF5603"/>
    <w:rsid w:val="00FF573B"/>
    <w:rsid w:val="00FF5A93"/>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9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nl-N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uiPriority="99" w:qFormat="1"/>
    <w:lsdException w:name="caption" w:locked="1" w:semiHidden="1" w:unhideWhenUsed="1" w:qFormat="1"/>
    <w:lsdException w:name="footnote reference" w:lock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22E"/>
    <w:pPr>
      <w:overflowPunct w:val="0"/>
      <w:autoSpaceDE w:val="0"/>
      <w:autoSpaceDN w:val="0"/>
      <w:adjustRightInd w:val="0"/>
      <w:spacing w:line="288" w:lineRule="auto"/>
      <w:jc w:val="both"/>
      <w:textAlignment w:val="baseline"/>
    </w:pPr>
    <w:rPr>
      <w:rFonts w:ascii="Times New Roman" w:hAnsi="Times New Roman"/>
      <w:sz w:val="22"/>
    </w:rPr>
  </w:style>
  <w:style w:type="paragraph" w:styleId="Heading1">
    <w:name w:val="heading 1"/>
    <w:basedOn w:val="Normal"/>
    <w:next w:val="Normal"/>
    <w:link w:val="Heading1Char"/>
    <w:qFormat/>
    <w:rsid w:val="0036522E"/>
    <w:pPr>
      <w:numPr>
        <w:numId w:val="1"/>
      </w:numPr>
      <w:outlineLvl w:val="0"/>
    </w:pPr>
    <w:rPr>
      <w:kern w:val="28"/>
    </w:rPr>
  </w:style>
  <w:style w:type="paragraph" w:styleId="Heading2">
    <w:name w:val="heading 2"/>
    <w:aliases w:val=" Char"/>
    <w:basedOn w:val="Normal"/>
    <w:next w:val="Normal"/>
    <w:link w:val="Heading2Char"/>
    <w:qFormat/>
    <w:rsid w:val="0036522E"/>
    <w:pPr>
      <w:numPr>
        <w:ilvl w:val="1"/>
        <w:numId w:val="1"/>
      </w:numPr>
      <w:outlineLvl w:val="1"/>
    </w:pPr>
  </w:style>
  <w:style w:type="paragraph" w:styleId="Heading3">
    <w:name w:val="heading 3"/>
    <w:basedOn w:val="Normal"/>
    <w:next w:val="Normal"/>
    <w:link w:val="Heading3Char"/>
    <w:qFormat/>
    <w:rsid w:val="0036522E"/>
    <w:pPr>
      <w:numPr>
        <w:ilvl w:val="2"/>
        <w:numId w:val="1"/>
      </w:numPr>
      <w:ind w:left="720" w:hanging="720"/>
      <w:outlineLvl w:val="2"/>
    </w:pPr>
  </w:style>
  <w:style w:type="paragraph" w:styleId="Heading4">
    <w:name w:val="heading 4"/>
    <w:basedOn w:val="Normal"/>
    <w:next w:val="Normal"/>
    <w:link w:val="Heading4Char"/>
    <w:qFormat/>
    <w:rsid w:val="0036522E"/>
    <w:pPr>
      <w:numPr>
        <w:ilvl w:val="3"/>
        <w:numId w:val="1"/>
      </w:numPr>
      <w:ind w:left="720" w:hanging="720"/>
      <w:outlineLvl w:val="3"/>
    </w:pPr>
  </w:style>
  <w:style w:type="paragraph" w:styleId="Heading5">
    <w:name w:val="heading 5"/>
    <w:basedOn w:val="Normal"/>
    <w:next w:val="Normal"/>
    <w:link w:val="Heading5Char"/>
    <w:qFormat/>
    <w:rsid w:val="0036522E"/>
    <w:pPr>
      <w:numPr>
        <w:ilvl w:val="4"/>
        <w:numId w:val="1"/>
      </w:numPr>
      <w:ind w:left="720" w:hanging="720"/>
      <w:outlineLvl w:val="4"/>
    </w:pPr>
  </w:style>
  <w:style w:type="paragraph" w:styleId="Heading6">
    <w:name w:val="heading 6"/>
    <w:basedOn w:val="Normal"/>
    <w:next w:val="Normal"/>
    <w:link w:val="Heading6Char"/>
    <w:qFormat/>
    <w:rsid w:val="0036522E"/>
    <w:pPr>
      <w:numPr>
        <w:ilvl w:val="5"/>
        <w:numId w:val="1"/>
      </w:numPr>
      <w:ind w:left="720" w:hanging="720"/>
      <w:outlineLvl w:val="5"/>
    </w:pPr>
  </w:style>
  <w:style w:type="paragraph" w:styleId="Heading7">
    <w:name w:val="heading 7"/>
    <w:basedOn w:val="Normal"/>
    <w:next w:val="Normal"/>
    <w:link w:val="Heading7Char"/>
    <w:qFormat/>
    <w:rsid w:val="0036522E"/>
    <w:pPr>
      <w:numPr>
        <w:ilvl w:val="6"/>
        <w:numId w:val="1"/>
      </w:numPr>
      <w:ind w:left="720" w:hanging="720"/>
      <w:outlineLvl w:val="6"/>
    </w:pPr>
  </w:style>
  <w:style w:type="paragraph" w:styleId="Heading8">
    <w:name w:val="heading 8"/>
    <w:basedOn w:val="Normal"/>
    <w:next w:val="Normal"/>
    <w:link w:val="Heading8Char"/>
    <w:qFormat/>
    <w:rsid w:val="0036522E"/>
    <w:pPr>
      <w:numPr>
        <w:ilvl w:val="7"/>
        <w:numId w:val="1"/>
      </w:numPr>
      <w:ind w:left="720" w:hanging="720"/>
      <w:outlineLvl w:val="7"/>
    </w:pPr>
  </w:style>
  <w:style w:type="paragraph" w:styleId="Heading9">
    <w:name w:val="heading 9"/>
    <w:basedOn w:val="Normal"/>
    <w:next w:val="Normal"/>
    <w:link w:val="Heading9Char"/>
    <w:qFormat/>
    <w:rsid w:val="0036522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rPr>
  </w:style>
  <w:style w:type="character" w:customStyle="1" w:styleId="Heading2Char">
    <w:name w:val="Heading 2 Char"/>
    <w:aliases w:val=" Char Char"/>
    <w:basedOn w:val="DefaultParagraphFont"/>
    <w:link w:val="Heading2"/>
    <w:qFormat/>
    <w:locked/>
    <w:rsid w:val="003B283B"/>
    <w:rPr>
      <w:rFonts w:ascii="Times New Roman" w:hAnsi="Times New Roman"/>
      <w:sz w:val="22"/>
    </w:rPr>
  </w:style>
  <w:style w:type="character" w:customStyle="1" w:styleId="Heading3Char">
    <w:name w:val="Heading 3 Char"/>
    <w:basedOn w:val="DefaultParagraphFont"/>
    <w:link w:val="Heading3"/>
    <w:locked/>
    <w:rsid w:val="003B283B"/>
    <w:rPr>
      <w:rFonts w:ascii="Times New Roman" w:hAnsi="Times New Roman"/>
      <w:sz w:val="22"/>
    </w:rPr>
  </w:style>
  <w:style w:type="character" w:customStyle="1" w:styleId="Heading4Char">
    <w:name w:val="Heading 4 Char"/>
    <w:basedOn w:val="DefaultParagraphFont"/>
    <w:link w:val="Heading4"/>
    <w:locked/>
    <w:rsid w:val="003B283B"/>
    <w:rPr>
      <w:rFonts w:ascii="Times New Roman" w:hAnsi="Times New Roman"/>
      <w:sz w:val="22"/>
    </w:rPr>
  </w:style>
  <w:style w:type="character" w:customStyle="1" w:styleId="Heading5Char">
    <w:name w:val="Heading 5 Char"/>
    <w:basedOn w:val="DefaultParagraphFont"/>
    <w:link w:val="Heading5"/>
    <w:locked/>
    <w:rsid w:val="003B283B"/>
    <w:rPr>
      <w:rFonts w:ascii="Times New Roman" w:hAnsi="Times New Roman"/>
      <w:sz w:val="22"/>
    </w:rPr>
  </w:style>
  <w:style w:type="character" w:customStyle="1" w:styleId="Heading6Char">
    <w:name w:val="Heading 6 Char"/>
    <w:basedOn w:val="DefaultParagraphFont"/>
    <w:link w:val="Heading6"/>
    <w:locked/>
    <w:rsid w:val="003B283B"/>
    <w:rPr>
      <w:rFonts w:ascii="Times New Roman" w:hAnsi="Times New Roman"/>
      <w:sz w:val="22"/>
    </w:rPr>
  </w:style>
  <w:style w:type="character" w:customStyle="1" w:styleId="Heading7Char">
    <w:name w:val="Heading 7 Char"/>
    <w:basedOn w:val="DefaultParagraphFont"/>
    <w:link w:val="Heading7"/>
    <w:locked/>
    <w:rsid w:val="003B283B"/>
    <w:rPr>
      <w:rFonts w:ascii="Times New Roman" w:hAnsi="Times New Roman"/>
      <w:sz w:val="22"/>
    </w:rPr>
  </w:style>
  <w:style w:type="character" w:customStyle="1" w:styleId="Heading8Char">
    <w:name w:val="Heading 8 Char"/>
    <w:basedOn w:val="DefaultParagraphFont"/>
    <w:link w:val="Heading8"/>
    <w:locked/>
    <w:rsid w:val="003B283B"/>
    <w:rPr>
      <w:rFonts w:ascii="Times New Roman" w:hAnsi="Times New Roman"/>
      <w:sz w:val="22"/>
    </w:rPr>
  </w:style>
  <w:style w:type="character" w:customStyle="1" w:styleId="Heading9Char">
    <w:name w:val="Heading 9 Char"/>
    <w:basedOn w:val="DefaultParagraphFont"/>
    <w:link w:val="Heading9"/>
    <w:locked/>
    <w:rsid w:val="003B283B"/>
    <w:rPr>
      <w:rFonts w:ascii="Times New Roman" w:hAnsi="Times New Roman"/>
      <w:sz w:val="22"/>
    </w:rPr>
  </w:style>
  <w:style w:type="paragraph" w:styleId="FootnoteText">
    <w:name w:val="footnote text"/>
    <w:basedOn w:val="Normal"/>
    <w:link w:val="FootnoteTextChar"/>
    <w:qFormat/>
    <w:rsid w:val="0036522E"/>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nl-NL" w:eastAsia="nl-NL" w:bidi="nl-NL"/>
    </w:rPr>
  </w:style>
  <w:style w:type="paragraph" w:styleId="Header">
    <w:name w:val="header"/>
    <w:basedOn w:val="Normal"/>
    <w:link w:val="HeaderChar"/>
    <w:qFormat/>
    <w:rsid w:val="0036522E"/>
  </w:style>
  <w:style w:type="character" w:customStyle="1" w:styleId="HeaderChar">
    <w:name w:val="Header Char"/>
    <w:basedOn w:val="DefaultParagraphFont"/>
    <w:link w:val="Header"/>
    <w:locked/>
    <w:rsid w:val="003B283B"/>
    <w:rPr>
      <w:rFonts w:ascii="Times New Roman" w:hAnsi="Times New Roman"/>
      <w:sz w:val="22"/>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15D2"/>
    <w:rPr>
      <w:rFonts w:ascii="Tahoma" w:hAnsi="Tahoma" w:cs="Tahoma"/>
      <w:sz w:val="16"/>
      <w:szCs w:val="16"/>
      <w:lang w:val="nl-NL" w:eastAsia="nl-NL" w:bidi="nl-NL"/>
    </w:rPr>
  </w:style>
  <w:style w:type="paragraph" w:styleId="Footer">
    <w:name w:val="footer"/>
    <w:basedOn w:val="Normal"/>
    <w:link w:val="FooterChar"/>
    <w:uiPriority w:val="99"/>
    <w:qFormat/>
    <w:locked/>
    <w:rsid w:val="0036522E"/>
  </w:style>
  <w:style w:type="character" w:customStyle="1" w:styleId="FooterChar">
    <w:name w:val="Footer Char"/>
    <w:basedOn w:val="DefaultParagraphFont"/>
    <w:link w:val="Footer"/>
    <w:uiPriority w:val="99"/>
    <w:rsid w:val="0036522E"/>
    <w:rPr>
      <w:rFonts w:ascii="Times New Roman" w:hAnsi="Times New Roman"/>
      <w:sz w:val="22"/>
    </w:rPr>
  </w:style>
  <w:style w:type="character" w:styleId="FootnoteReference">
    <w:name w:val="footnote reference"/>
    <w:aliases w:val="SUPERS,Footnote reference number,Footnote symbol,note TESI,-E Fußnotenzeichen,number,Footnote Reference Superscript,Times 10 Point,Exposant 3 Point"/>
    <w:basedOn w:val="DefaultParagraphFont"/>
    <w:qFormat/>
    <w:locked/>
    <w:rsid w:val="0036522E"/>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overflowPunct/>
      <w:autoSpaceDE/>
      <w:autoSpaceDN/>
      <w:adjustRightInd/>
      <w:ind w:left="720"/>
      <w:contextualSpacing/>
      <w:textAlignment w:val="auto"/>
    </w:pPr>
    <w:rPr>
      <w:szCs w:val="22"/>
    </w:rPr>
  </w:style>
  <w:style w:type="paragraph" w:customStyle="1" w:styleId="Bullet0">
    <w:name w:val="Bullet 0"/>
    <w:basedOn w:val="Normal"/>
    <w:rsid w:val="00BA72BD"/>
    <w:pPr>
      <w:tabs>
        <w:tab w:val="num" w:pos="850"/>
      </w:tabs>
      <w:overflowPunct/>
      <w:autoSpaceDE/>
      <w:autoSpaceDN/>
      <w:adjustRightInd/>
      <w:spacing w:before="120" w:after="120" w:line="240" w:lineRule="auto"/>
      <w:ind w:left="850" w:hanging="850"/>
      <w:textAlignment w:val="auto"/>
    </w:pPr>
    <w:rPr>
      <w:snapToGrid w:val="0"/>
      <w:sz w:val="24"/>
      <w:szCs w:val="24"/>
    </w:rPr>
  </w:style>
  <w:style w:type="paragraph" w:customStyle="1" w:styleId="ListHeader">
    <w:name w:val="List Header"/>
    <w:uiPriority w:val="99"/>
    <w:rsid w:val="00DD0A86"/>
    <w:pPr>
      <w:widowControl w:val="0"/>
      <w:autoSpaceDE w:val="0"/>
      <w:autoSpaceDN w:val="0"/>
      <w:adjustRightInd w:val="0"/>
    </w:pPr>
    <w:rPr>
      <w:rFonts w:ascii="Arial" w:eastAsiaTheme="minorEastAsia" w:hAnsi="Arial" w:cs="Arial"/>
      <w:b/>
      <w:bCs/>
      <w:color w:val="404040"/>
    </w:rPr>
  </w:style>
  <w:style w:type="paragraph" w:customStyle="1" w:styleId="ListData">
    <w:name w:val="List Data"/>
    <w:uiPriority w:val="99"/>
    <w:rsid w:val="00DD0A86"/>
    <w:pPr>
      <w:widowControl w:val="0"/>
      <w:autoSpaceDE w:val="0"/>
      <w:autoSpaceDN w:val="0"/>
      <w:adjustRightInd w:val="0"/>
    </w:pPr>
    <w:rPr>
      <w:rFonts w:ascii="Arial" w:eastAsiaTheme="minorEastAsia" w:hAnsi="Arial" w:cs="Arial"/>
      <w:color w:val="000000"/>
      <w:sz w:val="18"/>
      <w:szCs w:val="18"/>
    </w:rPr>
  </w:style>
  <w:style w:type="paragraph" w:customStyle="1" w:styleId="ListParagraph1">
    <w:name w:val="List Paragraph1"/>
    <w:basedOn w:val="Normal"/>
    <w:uiPriority w:val="34"/>
    <w:qFormat/>
    <w:rsid w:val="00234CD4"/>
    <w:pPr>
      <w:overflowPunct/>
      <w:autoSpaceDE/>
      <w:autoSpaceDN/>
      <w:adjustRightInd/>
      <w:ind w:left="720"/>
      <w:contextualSpacing/>
      <w:textAlignment w:val="auto"/>
    </w:pPr>
    <w:rPr>
      <w:szCs w:val="22"/>
    </w:rPr>
  </w:style>
  <w:style w:type="paragraph" w:styleId="NoSpacing">
    <w:name w:val="No Spacing"/>
    <w:uiPriority w:val="1"/>
    <w:qFormat/>
    <w:rsid w:val="00DB6DF3"/>
    <w:pPr>
      <w:jc w:val="both"/>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nl-N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uiPriority="99" w:qFormat="1"/>
    <w:lsdException w:name="caption" w:locked="1" w:semiHidden="1" w:unhideWhenUsed="1" w:qFormat="1"/>
    <w:lsdException w:name="footnote reference" w:lock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22E"/>
    <w:pPr>
      <w:overflowPunct w:val="0"/>
      <w:autoSpaceDE w:val="0"/>
      <w:autoSpaceDN w:val="0"/>
      <w:adjustRightInd w:val="0"/>
      <w:spacing w:line="288" w:lineRule="auto"/>
      <w:jc w:val="both"/>
      <w:textAlignment w:val="baseline"/>
    </w:pPr>
    <w:rPr>
      <w:rFonts w:ascii="Times New Roman" w:hAnsi="Times New Roman"/>
      <w:sz w:val="22"/>
    </w:rPr>
  </w:style>
  <w:style w:type="paragraph" w:styleId="Heading1">
    <w:name w:val="heading 1"/>
    <w:basedOn w:val="Normal"/>
    <w:next w:val="Normal"/>
    <w:link w:val="Heading1Char"/>
    <w:qFormat/>
    <w:rsid w:val="0036522E"/>
    <w:pPr>
      <w:numPr>
        <w:numId w:val="1"/>
      </w:numPr>
      <w:outlineLvl w:val="0"/>
    </w:pPr>
    <w:rPr>
      <w:kern w:val="28"/>
    </w:rPr>
  </w:style>
  <w:style w:type="paragraph" w:styleId="Heading2">
    <w:name w:val="heading 2"/>
    <w:aliases w:val=" Char"/>
    <w:basedOn w:val="Normal"/>
    <w:next w:val="Normal"/>
    <w:link w:val="Heading2Char"/>
    <w:qFormat/>
    <w:rsid w:val="0036522E"/>
    <w:pPr>
      <w:numPr>
        <w:ilvl w:val="1"/>
        <w:numId w:val="1"/>
      </w:numPr>
      <w:outlineLvl w:val="1"/>
    </w:pPr>
  </w:style>
  <w:style w:type="paragraph" w:styleId="Heading3">
    <w:name w:val="heading 3"/>
    <w:basedOn w:val="Normal"/>
    <w:next w:val="Normal"/>
    <w:link w:val="Heading3Char"/>
    <w:qFormat/>
    <w:rsid w:val="0036522E"/>
    <w:pPr>
      <w:numPr>
        <w:ilvl w:val="2"/>
        <w:numId w:val="1"/>
      </w:numPr>
      <w:ind w:left="720" w:hanging="720"/>
      <w:outlineLvl w:val="2"/>
    </w:pPr>
  </w:style>
  <w:style w:type="paragraph" w:styleId="Heading4">
    <w:name w:val="heading 4"/>
    <w:basedOn w:val="Normal"/>
    <w:next w:val="Normal"/>
    <w:link w:val="Heading4Char"/>
    <w:qFormat/>
    <w:rsid w:val="0036522E"/>
    <w:pPr>
      <w:numPr>
        <w:ilvl w:val="3"/>
        <w:numId w:val="1"/>
      </w:numPr>
      <w:ind w:left="720" w:hanging="720"/>
      <w:outlineLvl w:val="3"/>
    </w:pPr>
  </w:style>
  <w:style w:type="paragraph" w:styleId="Heading5">
    <w:name w:val="heading 5"/>
    <w:basedOn w:val="Normal"/>
    <w:next w:val="Normal"/>
    <w:link w:val="Heading5Char"/>
    <w:qFormat/>
    <w:rsid w:val="0036522E"/>
    <w:pPr>
      <w:numPr>
        <w:ilvl w:val="4"/>
        <w:numId w:val="1"/>
      </w:numPr>
      <w:ind w:left="720" w:hanging="720"/>
      <w:outlineLvl w:val="4"/>
    </w:pPr>
  </w:style>
  <w:style w:type="paragraph" w:styleId="Heading6">
    <w:name w:val="heading 6"/>
    <w:basedOn w:val="Normal"/>
    <w:next w:val="Normal"/>
    <w:link w:val="Heading6Char"/>
    <w:qFormat/>
    <w:rsid w:val="0036522E"/>
    <w:pPr>
      <w:numPr>
        <w:ilvl w:val="5"/>
        <w:numId w:val="1"/>
      </w:numPr>
      <w:ind w:left="720" w:hanging="720"/>
      <w:outlineLvl w:val="5"/>
    </w:pPr>
  </w:style>
  <w:style w:type="paragraph" w:styleId="Heading7">
    <w:name w:val="heading 7"/>
    <w:basedOn w:val="Normal"/>
    <w:next w:val="Normal"/>
    <w:link w:val="Heading7Char"/>
    <w:qFormat/>
    <w:rsid w:val="0036522E"/>
    <w:pPr>
      <w:numPr>
        <w:ilvl w:val="6"/>
        <w:numId w:val="1"/>
      </w:numPr>
      <w:ind w:left="720" w:hanging="720"/>
      <w:outlineLvl w:val="6"/>
    </w:pPr>
  </w:style>
  <w:style w:type="paragraph" w:styleId="Heading8">
    <w:name w:val="heading 8"/>
    <w:basedOn w:val="Normal"/>
    <w:next w:val="Normal"/>
    <w:link w:val="Heading8Char"/>
    <w:qFormat/>
    <w:rsid w:val="0036522E"/>
    <w:pPr>
      <w:numPr>
        <w:ilvl w:val="7"/>
        <w:numId w:val="1"/>
      </w:numPr>
      <w:ind w:left="720" w:hanging="720"/>
      <w:outlineLvl w:val="7"/>
    </w:pPr>
  </w:style>
  <w:style w:type="paragraph" w:styleId="Heading9">
    <w:name w:val="heading 9"/>
    <w:basedOn w:val="Normal"/>
    <w:next w:val="Normal"/>
    <w:link w:val="Heading9Char"/>
    <w:qFormat/>
    <w:rsid w:val="0036522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rPr>
  </w:style>
  <w:style w:type="character" w:customStyle="1" w:styleId="Heading2Char">
    <w:name w:val="Heading 2 Char"/>
    <w:aliases w:val=" Char Char"/>
    <w:basedOn w:val="DefaultParagraphFont"/>
    <w:link w:val="Heading2"/>
    <w:qFormat/>
    <w:locked/>
    <w:rsid w:val="003B283B"/>
    <w:rPr>
      <w:rFonts w:ascii="Times New Roman" w:hAnsi="Times New Roman"/>
      <w:sz w:val="22"/>
    </w:rPr>
  </w:style>
  <w:style w:type="character" w:customStyle="1" w:styleId="Heading3Char">
    <w:name w:val="Heading 3 Char"/>
    <w:basedOn w:val="DefaultParagraphFont"/>
    <w:link w:val="Heading3"/>
    <w:locked/>
    <w:rsid w:val="003B283B"/>
    <w:rPr>
      <w:rFonts w:ascii="Times New Roman" w:hAnsi="Times New Roman"/>
      <w:sz w:val="22"/>
    </w:rPr>
  </w:style>
  <w:style w:type="character" w:customStyle="1" w:styleId="Heading4Char">
    <w:name w:val="Heading 4 Char"/>
    <w:basedOn w:val="DefaultParagraphFont"/>
    <w:link w:val="Heading4"/>
    <w:locked/>
    <w:rsid w:val="003B283B"/>
    <w:rPr>
      <w:rFonts w:ascii="Times New Roman" w:hAnsi="Times New Roman"/>
      <w:sz w:val="22"/>
    </w:rPr>
  </w:style>
  <w:style w:type="character" w:customStyle="1" w:styleId="Heading5Char">
    <w:name w:val="Heading 5 Char"/>
    <w:basedOn w:val="DefaultParagraphFont"/>
    <w:link w:val="Heading5"/>
    <w:locked/>
    <w:rsid w:val="003B283B"/>
    <w:rPr>
      <w:rFonts w:ascii="Times New Roman" w:hAnsi="Times New Roman"/>
      <w:sz w:val="22"/>
    </w:rPr>
  </w:style>
  <w:style w:type="character" w:customStyle="1" w:styleId="Heading6Char">
    <w:name w:val="Heading 6 Char"/>
    <w:basedOn w:val="DefaultParagraphFont"/>
    <w:link w:val="Heading6"/>
    <w:locked/>
    <w:rsid w:val="003B283B"/>
    <w:rPr>
      <w:rFonts w:ascii="Times New Roman" w:hAnsi="Times New Roman"/>
      <w:sz w:val="22"/>
    </w:rPr>
  </w:style>
  <w:style w:type="character" w:customStyle="1" w:styleId="Heading7Char">
    <w:name w:val="Heading 7 Char"/>
    <w:basedOn w:val="DefaultParagraphFont"/>
    <w:link w:val="Heading7"/>
    <w:locked/>
    <w:rsid w:val="003B283B"/>
    <w:rPr>
      <w:rFonts w:ascii="Times New Roman" w:hAnsi="Times New Roman"/>
      <w:sz w:val="22"/>
    </w:rPr>
  </w:style>
  <w:style w:type="character" w:customStyle="1" w:styleId="Heading8Char">
    <w:name w:val="Heading 8 Char"/>
    <w:basedOn w:val="DefaultParagraphFont"/>
    <w:link w:val="Heading8"/>
    <w:locked/>
    <w:rsid w:val="003B283B"/>
    <w:rPr>
      <w:rFonts w:ascii="Times New Roman" w:hAnsi="Times New Roman"/>
      <w:sz w:val="22"/>
    </w:rPr>
  </w:style>
  <w:style w:type="character" w:customStyle="1" w:styleId="Heading9Char">
    <w:name w:val="Heading 9 Char"/>
    <w:basedOn w:val="DefaultParagraphFont"/>
    <w:link w:val="Heading9"/>
    <w:locked/>
    <w:rsid w:val="003B283B"/>
    <w:rPr>
      <w:rFonts w:ascii="Times New Roman" w:hAnsi="Times New Roman"/>
      <w:sz w:val="22"/>
    </w:rPr>
  </w:style>
  <w:style w:type="paragraph" w:styleId="FootnoteText">
    <w:name w:val="footnote text"/>
    <w:basedOn w:val="Normal"/>
    <w:link w:val="FootnoteTextChar"/>
    <w:qFormat/>
    <w:rsid w:val="0036522E"/>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nl-NL" w:eastAsia="nl-NL" w:bidi="nl-NL"/>
    </w:rPr>
  </w:style>
  <w:style w:type="paragraph" w:styleId="Header">
    <w:name w:val="header"/>
    <w:basedOn w:val="Normal"/>
    <w:link w:val="HeaderChar"/>
    <w:qFormat/>
    <w:rsid w:val="0036522E"/>
  </w:style>
  <w:style w:type="character" w:customStyle="1" w:styleId="HeaderChar">
    <w:name w:val="Header Char"/>
    <w:basedOn w:val="DefaultParagraphFont"/>
    <w:link w:val="Header"/>
    <w:locked/>
    <w:rsid w:val="003B283B"/>
    <w:rPr>
      <w:rFonts w:ascii="Times New Roman" w:hAnsi="Times New Roman"/>
      <w:sz w:val="22"/>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15D2"/>
    <w:rPr>
      <w:rFonts w:ascii="Tahoma" w:hAnsi="Tahoma" w:cs="Tahoma"/>
      <w:sz w:val="16"/>
      <w:szCs w:val="16"/>
      <w:lang w:val="nl-NL" w:eastAsia="nl-NL" w:bidi="nl-NL"/>
    </w:rPr>
  </w:style>
  <w:style w:type="paragraph" w:styleId="Footer">
    <w:name w:val="footer"/>
    <w:basedOn w:val="Normal"/>
    <w:link w:val="FooterChar"/>
    <w:uiPriority w:val="99"/>
    <w:qFormat/>
    <w:locked/>
    <w:rsid w:val="0036522E"/>
  </w:style>
  <w:style w:type="character" w:customStyle="1" w:styleId="FooterChar">
    <w:name w:val="Footer Char"/>
    <w:basedOn w:val="DefaultParagraphFont"/>
    <w:link w:val="Footer"/>
    <w:uiPriority w:val="99"/>
    <w:rsid w:val="0036522E"/>
    <w:rPr>
      <w:rFonts w:ascii="Times New Roman" w:hAnsi="Times New Roman"/>
      <w:sz w:val="22"/>
    </w:rPr>
  </w:style>
  <w:style w:type="character" w:styleId="FootnoteReference">
    <w:name w:val="footnote reference"/>
    <w:aliases w:val="SUPERS,Footnote reference number,Footnote symbol,note TESI,-E Fußnotenzeichen,number,Footnote Reference Superscript,Times 10 Point,Exposant 3 Point"/>
    <w:basedOn w:val="DefaultParagraphFont"/>
    <w:qFormat/>
    <w:locked/>
    <w:rsid w:val="0036522E"/>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overflowPunct/>
      <w:autoSpaceDE/>
      <w:autoSpaceDN/>
      <w:adjustRightInd/>
      <w:ind w:left="720"/>
      <w:contextualSpacing/>
      <w:textAlignment w:val="auto"/>
    </w:pPr>
    <w:rPr>
      <w:szCs w:val="22"/>
    </w:rPr>
  </w:style>
  <w:style w:type="paragraph" w:customStyle="1" w:styleId="Bullet0">
    <w:name w:val="Bullet 0"/>
    <w:basedOn w:val="Normal"/>
    <w:rsid w:val="00BA72BD"/>
    <w:pPr>
      <w:tabs>
        <w:tab w:val="num" w:pos="850"/>
      </w:tabs>
      <w:overflowPunct/>
      <w:autoSpaceDE/>
      <w:autoSpaceDN/>
      <w:adjustRightInd/>
      <w:spacing w:before="120" w:after="120" w:line="240" w:lineRule="auto"/>
      <w:ind w:left="850" w:hanging="850"/>
      <w:textAlignment w:val="auto"/>
    </w:pPr>
    <w:rPr>
      <w:snapToGrid w:val="0"/>
      <w:sz w:val="24"/>
      <w:szCs w:val="24"/>
    </w:rPr>
  </w:style>
  <w:style w:type="paragraph" w:customStyle="1" w:styleId="ListHeader">
    <w:name w:val="List Header"/>
    <w:uiPriority w:val="99"/>
    <w:rsid w:val="00DD0A86"/>
    <w:pPr>
      <w:widowControl w:val="0"/>
      <w:autoSpaceDE w:val="0"/>
      <w:autoSpaceDN w:val="0"/>
      <w:adjustRightInd w:val="0"/>
    </w:pPr>
    <w:rPr>
      <w:rFonts w:ascii="Arial" w:eastAsiaTheme="minorEastAsia" w:hAnsi="Arial" w:cs="Arial"/>
      <w:b/>
      <w:bCs/>
      <w:color w:val="404040"/>
    </w:rPr>
  </w:style>
  <w:style w:type="paragraph" w:customStyle="1" w:styleId="ListData">
    <w:name w:val="List Data"/>
    <w:uiPriority w:val="99"/>
    <w:rsid w:val="00DD0A86"/>
    <w:pPr>
      <w:widowControl w:val="0"/>
      <w:autoSpaceDE w:val="0"/>
      <w:autoSpaceDN w:val="0"/>
      <w:adjustRightInd w:val="0"/>
    </w:pPr>
    <w:rPr>
      <w:rFonts w:ascii="Arial" w:eastAsiaTheme="minorEastAsia" w:hAnsi="Arial" w:cs="Arial"/>
      <w:color w:val="000000"/>
      <w:sz w:val="18"/>
      <w:szCs w:val="18"/>
    </w:rPr>
  </w:style>
  <w:style w:type="paragraph" w:customStyle="1" w:styleId="ListParagraph1">
    <w:name w:val="List Paragraph1"/>
    <w:basedOn w:val="Normal"/>
    <w:uiPriority w:val="34"/>
    <w:qFormat/>
    <w:rsid w:val="00234CD4"/>
    <w:pPr>
      <w:overflowPunct/>
      <w:autoSpaceDE/>
      <w:autoSpaceDN/>
      <w:adjustRightInd/>
      <w:ind w:left="720"/>
      <w:contextualSpacing/>
      <w:textAlignment w:val="auto"/>
    </w:pPr>
    <w:rPr>
      <w:szCs w:val="22"/>
    </w:rPr>
  </w:style>
  <w:style w:type="paragraph" w:styleId="NoSpacing">
    <w:name w:val="No Spacing"/>
    <w:uiPriority w:val="1"/>
    <w:qFormat/>
    <w:rsid w:val="00DB6DF3"/>
    <w:pPr>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mailto:jana.valant@eesc.europa.eu"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jean-pierre.faure@eesc.europa.eu" TargetMode="External"/><Relationship Id="rId33" Type="http://schemas.openxmlformats.org/officeDocument/2006/relationships/hyperlink" Target="mailto:agota.bazsik@eesc.europa.eu"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luis.lobo@eesc.europa.e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gerald.klec@eesc.europa.eu" TargetMode="External"/><Relationship Id="rId32" Type="http://schemas.openxmlformats.org/officeDocument/2006/relationships/hyperlink" Target="mailto:kristian.krieger@eesc.europa.eu"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dm.eesc.europa.eu/EESCDocumentSearch/Pages/opinionssearch.aspx" TargetMode="External"/><Relationship Id="rId23" Type="http://schemas.openxmlformats.org/officeDocument/2006/relationships/hyperlink" Target="mailto:alexander.alexandrov@eesc.europa.eu" TargetMode="External"/><Relationship Id="rId28" Type="http://schemas.openxmlformats.org/officeDocument/2006/relationships/hyperlink" Target="mailto:claudia.drewes-wran@eesc.europa.e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agota.bazsik@ees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sc.europa.eu/nl/our-work/opinions-information-reports/plenary-session-summaries" TargetMode="External"/><Relationship Id="rId22" Type="http://schemas.openxmlformats.org/officeDocument/2006/relationships/hyperlink" Target="mailto:juri.soosaar@eesc.europa.eu" TargetMode="External"/><Relationship Id="rId27" Type="http://schemas.openxmlformats.org/officeDocument/2006/relationships/hyperlink" Target="mailto:luis.lobo@eesc.europa.eu" TargetMode="External"/><Relationship Id="rId30" Type="http://schemas.openxmlformats.org/officeDocument/2006/relationships/hyperlink" Target="mailto:erika.paulinova@eesc.europa.eu" TargetMode="External"/><Relationship Id="rId35" Type="http://schemas.openxmlformats.org/officeDocument/2006/relationships/header" Target="header5.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4" ma:contentTypeDescription="Defines the documents for Document Manager V2" ma:contentTypeScope="" ma:versionID="3f64119e6ef0341831616a1b03f5ae53">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d5014c4f35df7613a330b0d3999c5d2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WTPCSN73YJ26-8-7604</_dlc_DocId>
    <_dlc_DocIdUrl xmlns="8a3471f6-0f36-4ccf-b5ee-1ca67ea797ef">
      <Url>http://dm/EESC/2017/_layouts/DocIdRedir.aspx?ID=WTPCSN73YJ26-8-7604</Url>
      <Description>WTPCSN73YJ26-8-7604</Description>
    </_dlc_DocIdUrl>
    <MeetingNumber xmlns="aec2565f-fa8c-45b6-95fc-3f27706042d7">531</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8a3471f6-0f36-4ccf-b5ee-1ca67ea797ef"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2018-01-30T12:00:00+00:00</ProductionDate>
    <DocumentNumber xmlns="aec2565f-fa8c-45b6-95fc-3f27706042d7">5949</DocumentNumber>
    <FicheYear xmlns="8a3471f6-0f36-4ccf-b5ee-1ca67ea797ef">2017</FicheYear>
    <DocumentVersion xmlns="8a3471f6-0f36-4ccf-b5ee-1ca67ea797ef">2</DocumentVersion>
    <DossierNumber xmlns="8a3471f6-0f36-4ccf-b5ee-1ca67ea797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2018-01-17T12:00:00+00:00</MeetingDate>
    <TaxCatchAll xmlns="8a3471f6-0f36-4ccf-b5ee-1ca67ea797ef">
      <Value>25</Value>
      <Value>38</Value>
      <Value>37</Value>
      <Value>36</Value>
      <Value>35</Value>
      <Value>34</Value>
      <Value>33</Value>
      <Value>32</Value>
      <Value>31</Value>
      <Value>30</Value>
      <Value>29</Value>
      <Value>28</Value>
      <Value>27</Value>
      <Value>26</Value>
      <Value>72</Value>
      <Value>24</Value>
      <Value>23</Value>
      <Value>22</Value>
      <Value>18</Value>
      <Value>17</Value>
      <Value>15</Value>
      <Value>14</Value>
      <Value>12</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a3471f6-0f36-4ccf-b5ee-1ca67ea797ef" xsi:nil="true"/>
    <FicheNumber xmlns="8a3471f6-0f36-4ccf-b5ee-1ca67ea797ef">1322</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a3471f6-0f36-4ccf-b5ee-1ca67ea797ef">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Management>
</p:properties>
</file>

<file path=customXml/itemProps1.xml><?xml version="1.0" encoding="utf-8"?>
<ds:datastoreItem xmlns:ds="http://schemas.openxmlformats.org/officeDocument/2006/customXml" ds:itemID="{EA232B54-3F19-406C-A516-5232E848E6E1}"/>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6053B1A5-3550-4F02-93E9-42AAC4ECDA47}"/>
</file>

<file path=customXml/itemProps4.xml><?xml version="1.0" encoding="utf-8"?>
<ds:datastoreItem xmlns:ds="http://schemas.openxmlformats.org/officeDocument/2006/customXml" ds:itemID="{2272B315-18A8-418C-AEDB-0DE6F18C5CA7}"/>
</file>

<file path=customXml/itemProps5.xml><?xml version="1.0" encoding="utf-8"?>
<ds:datastoreItem xmlns:ds="http://schemas.openxmlformats.org/officeDocument/2006/customXml" ds:itemID="{27172C6D-F210-4BCC-96B9-D59A42C1E6F5}"/>
</file>

<file path=docProps/app.xml><?xml version="1.0" encoding="utf-8"?>
<Properties xmlns="http://schemas.openxmlformats.org/officeDocument/2006/extended-properties" xmlns:vt="http://schemas.openxmlformats.org/officeDocument/2006/docPropsVTypes">
  <Template>Styles</Template>
  <TotalTime>3</TotalTime>
  <Pages>14</Pages>
  <Words>3460</Words>
  <Characters>22729</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26137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de goedgekeurde adviezen van de zitting januari 2018</dc:title>
  <dc:subject>Advieswerkzaamheden, diversen</dc:subject>
  <dc:creator>Marcos Jaime Tornin</dc:creator>
  <cp:keywords>EESC-2017-05949-00-02-TCD-TRA-EN</cp:keywords>
  <dc:description>Rapporteur:  - Original language: EN - Date of document: 30/01/2018 - Date of meeting: 17/01/2018 - External documents:  - Administrator: MME Tamasauskiene Julija</dc:description>
  <cp:lastModifiedBy>Christel Buts</cp:lastModifiedBy>
  <cp:revision>8</cp:revision>
  <cp:lastPrinted>2018-01-15T08:01:00Z</cp:lastPrinted>
  <dcterms:created xsi:type="dcterms:W3CDTF">2018-01-30T13:35:00Z</dcterms:created>
  <dcterms:modified xsi:type="dcterms:W3CDTF">2018-01-30T14:35:00Z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30/01/2018, 24/01/2018, 16/01/2018, 19/12/2017, 01/12/2017, 16/11/2017, 15/11/2017, 17/10/2017, 13/09/2017, 03/07/2017, 12/06/2017, 02/06/2017, 24/04/2017, 23/03/2017, 13/12/2016, 15/09/2016, 14/09/2016, 14/09/2016, 12/07/2016, 30/06/2016, 29/06/2016, 23/</vt:lpwstr>
  </property>
  <property fmtid="{D5CDD505-2E9C-101B-9397-08002B2CF9AE}" pid="4" name="Pref_Time">
    <vt:lpwstr>14:31:28, 15:31:00, 09:45:52, 11:53:01, 15:00:14, 15:49:39, 15:47:16, 10:48:52, 11:23:50, 09:51:12, 14:43:57, 12:54:34, 12:22:33, 12:08:44, 12:23:59, 18:12:41, 09:48:43, 08:36:59, 11:43:50, 09:30:52, 17:35:55, 17:02:49, 16:30:20, 11:28:20, 09:54:52, 08:31</vt:lpwstr>
  </property>
  <property fmtid="{D5CDD505-2E9C-101B-9397-08002B2CF9AE}" pid="5" name="Pref_User">
    <vt:lpwstr>enied, hnic, mkop, amett, jhvi, amett, tvoc, tvoc, tvoc, amett, hnic, mreg, mreg, enied, mreg, jhvi, tvoc, htoo, mreg, tvoc, hnic, mreg, hnic, amett, nmcg, amett, enied, nmcg, amett, enied, ymur, tvoc, nmcg, vvos, ssex, vvos, vvos, mkop, nmcg, amett, htoo</vt:lpwstr>
  </property>
  <property fmtid="{D5CDD505-2E9C-101B-9397-08002B2CF9AE}" pid="6" name="Pref_FileName">
    <vt:lpwstr>EESC-2017-05949-00-02-TCD-ORI.docx, EESC-2017-05949-00-01-TCD-ORI.docx, EESC-2017-05949-00-00-TCD-ORI.docx, EESC-2017-05092-00-01-TCD-ORI.docx, EESC-2017-05092-00-00-TCD-ORI.docx, EESC-2017-04270-00-02-TCD-ORI.docx, EESC-2017-04270-00-01-TCD-ORI.docx, EES</vt:lpwstr>
  </property>
  <property fmtid="{D5CDD505-2E9C-101B-9397-08002B2CF9AE}" pid="7" name="ContentTypeId">
    <vt:lpwstr>0x010100EA97B91038054C99906057A708A1480A0098B203C585D2E54E8477D21D46703D0B</vt:lpwstr>
  </property>
  <property fmtid="{D5CDD505-2E9C-101B-9397-08002B2CF9AE}" pid="8" name="_dlc_DocIdItemGuid">
    <vt:lpwstr>184a60d2-c70e-4ca5-9519-05a1d8a799e8</vt:lpwstr>
  </property>
  <property fmtid="{D5CDD505-2E9C-101B-9397-08002B2CF9AE}" pid="9" name="MeetingNumber">
    <vt:i4>531</vt:i4>
  </property>
  <property fmtid="{D5CDD505-2E9C-101B-9397-08002B2CF9AE}" pid="10" name="DocumentType_0">
    <vt:lpwstr>TCD|cd9d6eb6-3f4f-424a-b2d1-57c9d450eaaf</vt:lpwstr>
  </property>
  <property fmtid="{D5CDD505-2E9C-101B-9397-08002B2CF9AE}" pid="11" name="AvailableTranslations">
    <vt:lpwstr>12;#NL|55c6556c-b4f4-441d-9acf-c498d4f838bd;#18;#DE|f6b31e5a-26fa-4935-b661-318e46daf27e;#22;#IT|0774613c-01ed-4e5d-a25d-11d2388de825;#36;#BG|1a1b3951-7821-4e6a-85f5-5673fc08bd2c;#34;#SK|46d9fce0-ef79-4f71-b89b-cd6aa82426b8;#26;#SV|c2ed69e7-a339-43d7-8f22-d93680a92aa0;#24;#EL|6d4f4d51-af9b-4650-94b4-4276bee85c91;#29;#HU|6b229040-c589-4408-b4c1-4285663d20a8;#31;#LT|a7ff5ce7-6123-4f68-865a-a57c31810414;#32;#MT|7df99101-6854-4a26-b53a-b88c0da02c26;#8;#FR|d2afafd3-4c81-4f60-8f52-ee33f2f54ff3;#38;#HR|2f555653-ed1a-4fe6-8362-9082d95989e5;#14;#ES|e7a6b05b-ae16-40c8-add9-68b64b03aeba;#4;#EN|f2175f21-25d7-44a3-96da-d6a61b075e1b;#15;#PT|50ccc04a-eadd-42ae-a0cb-acaf45f812ba;#35;#SL|98a412ae-eb01-49e9-ae3d-585a81724cfc;#30;#LV|46f7e311-5d9f-4663-b433-18aeccb7ace7;#37;#RO|feb747a2-64cd-4299-af12-4833ddc30497;#27;#CS|72f9705b-0217-4fd3-bea2-cbc7ed80e26e;#33;#PL|1e03da61-4678-4e07-b136-b5024ca9197b;#28;#ET|ff6c3f4c-b02c-4c3c-ab07-2c37995a7a0a;#25;#FI|87606a43-d45f-42d6-b8c9-e1a3457db5b7;#23;#DA|5d49c027-8956-412b-aa16-e85a0f96ad0e</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FicheYear">
    <vt:i4>2017</vt:i4>
  </property>
  <property fmtid="{D5CDD505-2E9C-101B-9397-08002B2CF9AE}" pid="15" name="DocumentNumber">
    <vt:i4>5949</vt:i4>
  </property>
  <property fmtid="{D5CDD505-2E9C-101B-9397-08002B2CF9AE}" pid="16" name="DocumentVersion">
    <vt:i4>2</vt:i4>
  </property>
  <property fmtid="{D5CDD505-2E9C-101B-9397-08002B2CF9AE}" pid="17" name="DocumentSource">
    <vt:lpwstr>1;#EESC|422833ec-8d7e-4e65-8e4e-8bed07ffb729</vt:lpwstr>
  </property>
  <property fmtid="{D5CDD505-2E9C-101B-9397-08002B2CF9AE}" pid="19" name="DocumentType">
    <vt:lpwstr>17;#TCD|cd9d6eb6-3f4f-424a-b2d1-57c9d450eaaf</vt:lpwstr>
  </property>
  <property fmtid="{D5CDD505-2E9C-101B-9397-08002B2CF9AE}" pid="20" name="DocumentStatus">
    <vt:lpwstr>2;#TRA|150d2a88-1431-44e6-a8ca-0bb753ab8672</vt:lpwstr>
  </property>
  <property fmtid="{D5CDD505-2E9C-101B-9397-08002B2CF9AE}" pid="21" name="DossierName">
    <vt:lpwstr/>
  </property>
  <property fmtid="{D5CDD505-2E9C-101B-9397-08002B2CF9AE}" pid="22" name="DocumentPart">
    <vt:i4>0</vt:i4>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4;#EN|f2175f21-25d7-44a3-96da-d6a61b075e1b</vt:lpwstr>
  </property>
  <property fmtid="{D5CDD505-2E9C-101B-9397-08002B2CF9AE}" pid="28" name="MeetingName">
    <vt:lpwstr>72;#SPL-CES|32d8cb1f-c9ec-4365-95c7-8385a18618ac</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MeetingDate">
    <vt:filetime>2018-01-17T12:00:00Z</vt:filetime>
  </property>
  <property fmtid="{D5CDD505-2E9C-101B-9397-08002B2CF9AE}" pid="32" name="TaxCatchAll">
    <vt:lpwstr>17;#TCD|cd9d6eb6-3f4f-424a-b2d1-57c9d450eaaf;#35;#SL|98a412ae-eb01-49e9-ae3d-585a81724cfc;#29;#HU|6b229040-c589-4408-b4c1-4285663d20a8;#24;#EL|6d4f4d51-af9b-4650-94b4-4276bee85c91;#6;#Final|ea5e6674-7b27-4bac-b091-73adbb394efe;#5;#Unrestricted|826e22d7-d029-4ec0-a450-0c28ff673572;#4;#EN|f2175f21-25d7-44a3-96da-d6a61b075e1b;#72;#SPL-CES|32d8cb1f-c9ec-4365-95c7-8385a18618ac;#2;#TRA|150d2a88-1431-44e6-a8ca-0bb753ab8672;#1;#EESC|422833ec-8d7e-4e65-8e4e-8bed07ffb729</vt:lpwstr>
  </property>
  <property fmtid="{D5CDD505-2E9C-101B-9397-08002B2CF9AE}" pid="33" name="AvailableTranslations_0">
    <vt:lpwstr>EL|6d4f4d51-af9b-4650-94b4-4276bee85c91;HU|6b229040-c589-4408-b4c1-4285663d20a8;EN|f2175f21-25d7-44a3-96da-d6a61b075e1b;SL|98a412ae-eb01-49e9-ae3d-585a81724cfc</vt:lpwstr>
  </property>
  <property fmtid="{D5CDD505-2E9C-101B-9397-08002B2CF9AE}" pid="34" name="VersionStatus">
    <vt:lpwstr>6;#Final|ea5e6674-7b27-4bac-b091-73adbb394efe</vt:lpwstr>
  </property>
  <property fmtid="{D5CDD505-2E9C-101B-9397-08002B2CF9AE}" pid="35" name="VersionStatus_0">
    <vt:lpwstr>Final|ea5e6674-7b27-4bac-b091-73adbb394efe</vt:lpwstr>
  </property>
  <property fmtid="{D5CDD505-2E9C-101B-9397-08002B2CF9AE}" pid="36" name="FicheNumber">
    <vt:i4>1322</vt:i4>
  </property>
  <property fmtid="{D5CDD505-2E9C-101B-9397-08002B2CF9AE}" pid="37" name="DocumentYear">
    <vt:i4>2017</vt:i4>
  </property>
  <property fmtid="{D5CDD505-2E9C-101B-9397-08002B2CF9AE}" pid="38" name="DocumentLanguage">
    <vt:lpwstr>12;#NL|55c6556c-b4f4-441d-9acf-c498d4f838bd</vt:lpwstr>
  </property>
</Properties>
</file>