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Pr="00F93161" w:rsidR="008405A0" w:rsidP="00CF635C" w:rsidRDefault="006A08D5">
      <w:pPr>
        <w:overflowPunct/>
        <w:adjustRightInd/>
        <w:snapToGrid w:val="0"/>
        <w:jc w:val="center"/>
        <w:textAlignment w:val="auto"/>
        <w:rPr>
          <w:lang w:val="en-GB"/>
        </w:rPr>
      </w:pPr>
      <w:r w:rsidRPr="00F93161">
        <w:rPr>
          <w:lang w:val="en-GB"/>
        </w:rPr>
        <w:fldChar w:fldCharType="begin"/>
      </w:r>
      <w:r w:rsidRPr="00F93161">
        <w:rPr>
          <w:lang w:val="en-GB"/>
        </w:rPr>
        <w:instrText xml:space="preserve">  </w:instrText>
      </w:r>
      <w:r w:rsidRPr="00F93161">
        <w:rPr>
          <w:lang w:val="en-GB"/>
        </w:rPr>
        <w:fldChar w:fldCharType="end"/>
      </w:r>
      <w:r w:rsidRPr="00876D7B">
        <w:rPr>
          <w:noProof/>
          <w:lang w:val="en-US" w:eastAsia="en-US" w:bidi="ar-SA"/>
        </w:rPr>
        <mc:AlternateContent>
          <mc:Choice Requires="wps">
            <w:drawing>
              <wp:anchor distT="0" distB="0" distL="114300" distR="114300" simplePos="0" relativeHeight="251659264" behindDoc="1" locked="0" layoutInCell="0" allowOverlap="1" wp14:editId="24D02BB0" wp14:anchorId="52EE8E2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415D2" w:rsidR="00132AD0" w:rsidP="003415D2" w:rsidRDefault="00132AD0">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v:textbox>
                  <w:txbxContent>
                    <w:p w:rsidRPr="003415D2" w:rsidR="00132AD0" w:rsidP="003415D2" w:rsidRDefault="00132AD0">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r w:rsidRPr="00876D7B">
        <w:rPr>
          <w:noProof/>
          <w:lang w:val="en-US" w:eastAsia="en-US" w:bidi="ar-SA"/>
        </w:rPr>
        <w:drawing>
          <wp:inline distT="0" distB="0" distL="0" distR="0" wp14:anchorId="6128B748" wp14:editId="720C35C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Pr="00F93161" w:rsidR="008405A0" w:rsidP="00CF635C" w:rsidRDefault="00876D7B">
      <w:pPr>
        <w:overflowPunct/>
        <w:adjustRightInd/>
        <w:snapToGrid w:val="0"/>
        <w:jc w:val="center"/>
        <w:textAlignment w:val="auto"/>
        <w:rPr>
          <w:rFonts w:ascii="Arial" w:hAnsi="Arial" w:eastAsia="MS Mincho" w:cs="Arial"/>
          <w:b/>
          <w:i/>
          <w:sz w:val="20"/>
          <w:lang w:val="en-GB"/>
        </w:rPr>
      </w:pPr>
      <w:r>
        <w:rPr>
          <w:rFonts w:ascii="Arial" w:hAnsi="Arial"/>
          <w:b/>
          <w:i/>
          <w:sz w:val="20"/>
        </w:rPr>
        <w:t>European Economic and Social Committee</w:t>
      </w:r>
    </w:p>
    <w:p w:rsidRPr="00F93161" w:rsidR="008405A0" w:rsidP="00CF635C" w:rsidRDefault="008405A0">
      <w:pPr>
        <w:overflowPunct/>
        <w:adjustRightInd/>
        <w:snapToGrid w:val="0"/>
        <w:textAlignment w:val="auto"/>
        <w:rPr>
          <w:lang w:val="en-GB"/>
        </w:rPr>
      </w:pPr>
    </w:p>
    <w:p w:rsidRPr="00F93161" w:rsidR="008405A0" w:rsidP="00CF635C" w:rsidRDefault="008405A0">
      <w:pPr>
        <w:overflowPunct/>
        <w:adjustRightInd/>
        <w:snapToGrid w:val="0"/>
        <w:textAlignment w:val="auto"/>
        <w:rPr>
          <w:lang w:val="en-GB"/>
        </w:rPr>
      </w:pPr>
    </w:p>
    <w:p w:rsidRPr="00F93161" w:rsidR="008405A0" w:rsidP="00CF635C" w:rsidRDefault="00FC0B2C">
      <w:pPr>
        <w:overflowPunct/>
        <w:adjustRightInd/>
        <w:snapToGrid w:val="0"/>
        <w:jc w:val="right"/>
        <w:textAlignment w:val="auto"/>
        <w:rPr>
          <w:rFonts w:eastAsia="MS Mincho"/>
          <w:lang w:val="en-GB"/>
        </w:rPr>
      </w:pPr>
      <w:r w:rsidRPr="00F93161">
        <w:rPr>
          <w:lang w:val="en-GB"/>
        </w:rPr>
        <w:t xml:space="preserve">Brussels, </w:t>
      </w:r>
      <w:r w:rsidR="00C06017">
        <w:rPr>
          <w:lang w:val="en-GB"/>
        </w:rPr>
        <w:t>3</w:t>
      </w:r>
      <w:r w:rsidR="00A453A7">
        <w:rPr>
          <w:lang w:val="en-GB"/>
        </w:rPr>
        <w:t>1</w:t>
      </w:r>
      <w:r w:rsidRPr="00F93161">
        <w:rPr>
          <w:lang w:val="en-GB"/>
        </w:rPr>
        <w:t xml:space="preserve"> January 2018</w:t>
      </w:r>
    </w:p>
    <w:p w:rsidRPr="00F93161" w:rsidR="008405A0" w:rsidP="00CF635C" w:rsidRDefault="008405A0">
      <w:pPr>
        <w:overflowPunct/>
        <w:adjustRightInd/>
        <w:snapToGrid w:val="0"/>
        <w:textAlignment w:val="auto"/>
        <w:rPr>
          <w:lang w:val="en-GB"/>
        </w:rPr>
      </w:pPr>
    </w:p>
    <w:p w:rsidRPr="00F93161" w:rsidR="008405A0" w:rsidP="00CF635C" w:rsidRDefault="008405A0">
      <w:pPr>
        <w:overflowPunct/>
        <w:adjustRightInd/>
        <w:snapToGrid w:val="0"/>
        <w:textAlignment w:val="auto"/>
        <w:rPr>
          <w:lang w:val="en-GB"/>
        </w:rPr>
      </w:pPr>
    </w:p>
    <w:p w:rsidRPr="00F93161" w:rsidR="00AF6F3E" w:rsidP="00CF635C" w:rsidRDefault="00AF6F3E">
      <w:pPr>
        <w:overflowPunct/>
        <w:adjustRightInd/>
        <w:snapToGrid w:val="0"/>
        <w:textAlignment w:val="auto"/>
        <w:rPr>
          <w:lang w:val="en-GB"/>
        </w:rPr>
      </w:pPr>
    </w:p>
    <w:p w:rsidRPr="00F93161" w:rsidR="006819C8" w:rsidP="00CF635C" w:rsidRDefault="006819C8">
      <w:pPr>
        <w:overflowPunct/>
        <w:adjustRightInd/>
        <w:snapToGrid w:val="0"/>
        <w:textAlignment w:val="auto"/>
        <w:rPr>
          <w:lang w:val="en-GB"/>
        </w:rPr>
      </w:pPr>
    </w:p>
    <w:tbl>
      <w:tblPr>
        <w:tblW w:w="0" w:type="auto"/>
        <w:tblLayout w:type="fixed"/>
        <w:tblLook w:val="0000" w:firstRow="0" w:lastRow="0" w:firstColumn="0" w:lastColumn="0" w:noHBand="0" w:noVBand="0"/>
      </w:tblPr>
      <w:tblGrid>
        <w:gridCol w:w="9289"/>
      </w:tblGrid>
      <w:tr w:rsidRPr="00093786" w:rsidR="008405A0" w:rsidTr="00A72D7A">
        <w:tc>
          <w:tcPr>
            <w:tcW w:w="9289" w:type="dxa"/>
            <w:tcBorders>
              <w:top w:val="nil"/>
              <w:left w:val="nil"/>
              <w:bottom w:val="double" w:color="auto" w:sz="4" w:space="0"/>
              <w:right w:val="nil"/>
            </w:tcBorders>
          </w:tcPr>
          <w:p w:rsidRPr="00F93161" w:rsidR="008405A0" w:rsidP="00CF635C" w:rsidRDefault="00FC0B2C">
            <w:pPr>
              <w:overflowPunct/>
              <w:adjustRightInd/>
              <w:snapToGrid w:val="0"/>
              <w:jc w:val="center"/>
              <w:textAlignment w:val="auto"/>
              <w:rPr>
                <w:rFonts w:eastAsia="MS Mincho"/>
                <w:b/>
                <w:sz w:val="32"/>
                <w:lang w:val="en-GB"/>
              </w:rPr>
            </w:pPr>
            <w:r w:rsidRPr="00F93161">
              <w:rPr>
                <w:b/>
                <w:sz w:val="32"/>
                <w:lang w:val="en-GB"/>
              </w:rPr>
              <w:t xml:space="preserve">PLENARY SESSION </w:t>
            </w:r>
            <w:r w:rsidRPr="00F93161">
              <w:rPr>
                <w:b/>
                <w:sz w:val="32"/>
                <w:lang w:val="en-GB"/>
              </w:rPr>
              <w:br/>
              <w:t xml:space="preserve"> </w:t>
            </w:r>
            <w:r w:rsidRPr="00F93161">
              <w:rPr>
                <w:b/>
                <w:sz w:val="32"/>
                <w:lang w:val="en-GB"/>
              </w:rPr>
              <w:br/>
              <w:t xml:space="preserve">17 AND 18 JANUARY 2018 </w:t>
            </w:r>
            <w:r w:rsidRPr="00F93161">
              <w:rPr>
                <w:b/>
                <w:sz w:val="32"/>
                <w:lang w:val="en-GB"/>
              </w:rPr>
              <w:br/>
              <w:t xml:space="preserve"> </w:t>
            </w:r>
            <w:r w:rsidRPr="00F93161">
              <w:rPr>
                <w:b/>
                <w:sz w:val="32"/>
                <w:lang w:val="en-GB"/>
              </w:rPr>
              <w:br/>
              <w:t>SUMMARY OF OPINIONS ADOPTED</w:t>
            </w:r>
          </w:p>
          <w:p w:rsidRPr="00F93161" w:rsidR="008405A0" w:rsidP="00CF635C" w:rsidRDefault="008405A0">
            <w:pPr>
              <w:overflowPunct/>
              <w:adjustRightInd/>
              <w:textAlignment w:val="auto"/>
              <w:rPr>
                <w:lang w:val="en-GB"/>
              </w:rPr>
            </w:pPr>
          </w:p>
          <w:p w:rsidRPr="00F93161" w:rsidR="008405A0" w:rsidP="00CF635C" w:rsidRDefault="008405A0">
            <w:pPr>
              <w:overflowPunct/>
              <w:adjustRightInd/>
              <w:textAlignment w:val="auto"/>
              <w:rPr>
                <w:szCs w:val="22"/>
                <w:lang w:val="en-GB"/>
              </w:rPr>
            </w:pPr>
          </w:p>
        </w:tc>
      </w:tr>
      <w:tr w:rsidRPr="00093786" w:rsidR="008405A0" w:rsidTr="00A72D7A">
        <w:tc>
          <w:tcPr>
            <w:tcW w:w="9289" w:type="dxa"/>
            <w:tcBorders>
              <w:top w:val="double" w:color="auto" w:sz="4" w:space="0"/>
              <w:left w:val="double" w:color="auto" w:sz="4" w:space="0"/>
              <w:bottom w:val="double" w:color="auto" w:sz="4" w:space="0"/>
              <w:right w:val="double" w:color="auto" w:sz="4" w:space="0"/>
            </w:tcBorders>
          </w:tcPr>
          <w:p w:rsidRPr="00F93161" w:rsidR="00FF15DA" w:rsidP="00CF635C" w:rsidRDefault="00FF15DA">
            <w:pPr>
              <w:overflowPunct/>
              <w:adjustRightInd/>
              <w:snapToGrid w:val="0"/>
              <w:jc w:val="center"/>
              <w:textAlignment w:val="auto"/>
              <w:rPr>
                <w:b/>
                <w:lang w:val="en-GB"/>
              </w:rPr>
            </w:pPr>
          </w:p>
          <w:p w:rsidRPr="00F93161" w:rsidR="00FC0B2C" w:rsidP="00FC0B2C" w:rsidRDefault="00FC0B2C">
            <w:pPr>
              <w:overflowPunct/>
              <w:adjustRightInd/>
              <w:snapToGrid w:val="0"/>
              <w:jc w:val="center"/>
              <w:textAlignment w:val="auto"/>
              <w:rPr>
                <w:rFonts w:eastAsia="MS Mincho"/>
                <w:b/>
                <w:lang w:val="en-GB"/>
              </w:rPr>
            </w:pPr>
            <w:r w:rsidRPr="00F93161">
              <w:rPr>
                <w:b/>
                <w:lang w:val="en-GB"/>
              </w:rPr>
              <w:t>This document is available in the official languages on the Committee's website at:</w:t>
            </w:r>
          </w:p>
          <w:p w:rsidRPr="00F93161" w:rsidR="00FC0B2C" w:rsidP="00FC0B2C" w:rsidRDefault="00FC0B2C">
            <w:pPr>
              <w:overflowPunct/>
              <w:adjustRightInd/>
              <w:snapToGrid w:val="0"/>
              <w:jc w:val="center"/>
              <w:textAlignment w:val="auto"/>
              <w:rPr>
                <w:b/>
                <w:lang w:val="en-GB"/>
              </w:rPr>
            </w:pPr>
          </w:p>
          <w:p w:rsidRPr="00F93161" w:rsidR="00FC0B2C" w:rsidP="00FC0B2C" w:rsidRDefault="004022B8">
            <w:pPr>
              <w:overflowPunct/>
              <w:adjustRightInd/>
              <w:jc w:val="center"/>
              <w:textAlignment w:val="auto"/>
              <w:rPr>
                <w:rStyle w:val="Hyperlink"/>
                <w:b/>
                <w:lang w:val="en-GB"/>
              </w:rPr>
            </w:pPr>
            <w:hyperlink r:id="rId14">
              <w:r w:rsidRPr="00F93161" w:rsidR="00FC0B2C">
                <w:rPr>
                  <w:rStyle w:val="Hyperlink"/>
                  <w:lang w:val="en-GB"/>
                </w:rPr>
                <w:t>http://www.eesc.europa.eu/en/our-work/opinions-information-reports/plenary-session-summaries</w:t>
              </w:r>
            </w:hyperlink>
          </w:p>
          <w:p w:rsidRPr="00F93161" w:rsidR="00FC0B2C" w:rsidP="00FC0B2C" w:rsidRDefault="00FC0B2C">
            <w:pPr>
              <w:overflowPunct/>
              <w:adjustRightInd/>
              <w:snapToGrid w:val="0"/>
              <w:jc w:val="center"/>
              <w:textAlignment w:val="auto"/>
              <w:rPr>
                <w:b/>
                <w:lang w:val="en-GB"/>
              </w:rPr>
            </w:pPr>
          </w:p>
          <w:p w:rsidRPr="00F93161" w:rsidR="00FC0B2C" w:rsidP="00FC0B2C" w:rsidRDefault="00FC0B2C">
            <w:pPr>
              <w:overflowPunct/>
              <w:adjustRightInd/>
              <w:snapToGrid w:val="0"/>
              <w:jc w:val="center"/>
              <w:textAlignment w:val="auto"/>
              <w:rPr>
                <w:rFonts w:eastAsia="SimSun"/>
                <w:b/>
                <w:lang w:val="en-GB"/>
              </w:rPr>
            </w:pPr>
          </w:p>
          <w:p w:rsidRPr="00F93161" w:rsidR="00FC0B2C" w:rsidP="00FC0B2C" w:rsidRDefault="00FC0B2C">
            <w:pPr>
              <w:overflowPunct/>
              <w:adjustRightInd/>
              <w:snapToGrid w:val="0"/>
              <w:jc w:val="center"/>
              <w:textAlignment w:val="auto"/>
              <w:rPr>
                <w:rFonts w:eastAsia="MS Mincho"/>
                <w:b/>
                <w:lang w:val="en-GB"/>
              </w:rPr>
            </w:pPr>
            <w:r w:rsidRPr="00F93161">
              <w:rPr>
                <w:b/>
                <w:lang w:val="en-GB"/>
              </w:rPr>
              <w:t>The opinions listed can be consulted online using the Committee's search engine:</w:t>
            </w:r>
          </w:p>
          <w:p w:rsidRPr="00F93161" w:rsidR="00FC0B2C" w:rsidP="00FC0B2C" w:rsidRDefault="00FC0B2C">
            <w:pPr>
              <w:overflowPunct/>
              <w:adjustRightInd/>
              <w:snapToGrid w:val="0"/>
              <w:jc w:val="center"/>
              <w:textAlignment w:val="auto"/>
              <w:rPr>
                <w:b/>
                <w:lang w:val="en-GB"/>
              </w:rPr>
            </w:pPr>
          </w:p>
          <w:p w:rsidRPr="00F93161" w:rsidR="00FC0B2C" w:rsidP="00FC0B2C" w:rsidRDefault="004022B8">
            <w:pPr>
              <w:overflowPunct/>
              <w:adjustRightInd/>
              <w:jc w:val="center"/>
              <w:textAlignment w:val="auto"/>
              <w:rPr>
                <w:rStyle w:val="Hyperlink"/>
                <w:b/>
                <w:lang w:val="en-GB"/>
              </w:rPr>
            </w:pPr>
            <w:hyperlink r:id="rId15">
              <w:r w:rsidRPr="00F93161" w:rsidR="00FC0B2C">
                <w:rPr>
                  <w:rStyle w:val="Hyperlink"/>
                  <w:lang w:val="en-GB"/>
                </w:rPr>
                <w:t>http://dm.eesc.europa.eu/EESCDocumentSearch/Pages/opinionssearch.aspx</w:t>
              </w:r>
            </w:hyperlink>
          </w:p>
          <w:p w:rsidRPr="00F93161" w:rsidR="008405A0" w:rsidP="00CF635C" w:rsidRDefault="008405A0">
            <w:pPr>
              <w:overflowPunct/>
              <w:adjustRightInd/>
              <w:snapToGrid w:val="0"/>
              <w:jc w:val="center"/>
              <w:textAlignment w:val="auto"/>
              <w:rPr>
                <w:b/>
                <w:bCs/>
                <w:szCs w:val="22"/>
                <w:lang w:val="en-GB"/>
              </w:rPr>
            </w:pPr>
          </w:p>
        </w:tc>
      </w:tr>
    </w:tbl>
    <w:p w:rsidRPr="00F93161" w:rsidR="008F7791" w:rsidP="00CF635C" w:rsidRDefault="008F7791">
      <w:pPr>
        <w:overflowPunct/>
        <w:adjustRightInd/>
        <w:textAlignment w:val="auto"/>
        <w:rPr>
          <w:rFonts w:eastAsia="SimSun"/>
          <w:lang w:val="en-GB"/>
        </w:rPr>
      </w:pPr>
    </w:p>
    <w:p w:rsidRPr="00F93161" w:rsidR="00A9340A" w:rsidP="00CF635C" w:rsidRDefault="00A9340A">
      <w:pPr>
        <w:overflowPunct/>
        <w:adjustRightInd/>
        <w:textAlignment w:val="auto"/>
        <w:rPr>
          <w:rFonts w:eastAsia="SimSun"/>
          <w:lang w:val="en-GB"/>
        </w:rPr>
        <w:sectPr w:rsidRPr="00F93161" w:rsidR="00A9340A" w:rsidSect="00A453A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Pr="00F93161" w:rsidR="008405A0" w:rsidP="00CF635C" w:rsidRDefault="00876D7B">
      <w:pPr>
        <w:overflowPunct/>
        <w:adjustRightInd/>
        <w:snapToGrid w:val="0"/>
        <w:textAlignment w:val="auto"/>
        <w:rPr>
          <w:b/>
          <w:lang w:val="en-GB"/>
        </w:rPr>
      </w:pPr>
      <w:r>
        <w:rPr>
          <w:b/>
          <w:lang w:val="en-GB"/>
        </w:rPr>
        <w:lastRenderedPageBreak/>
        <w:t>Contents</w:t>
      </w:r>
      <w:r w:rsidRPr="00F93161" w:rsidR="008405A0">
        <w:rPr>
          <w:b/>
          <w:lang w:val="en-GB"/>
        </w:rPr>
        <w:t>:</w:t>
      </w:r>
    </w:p>
    <w:p w:rsidRPr="00F93161" w:rsidR="00D16D76" w:rsidP="00CF635C" w:rsidRDefault="00D16D76">
      <w:pPr>
        <w:overflowPunct/>
        <w:adjustRightInd/>
        <w:textAlignment w:val="auto"/>
        <w:rPr>
          <w:lang w:val="en-GB"/>
        </w:rPr>
      </w:pPr>
    </w:p>
    <w:p w:rsidRPr="00F93161" w:rsidR="00C725E7" w:rsidRDefault="003353E8">
      <w:pPr>
        <w:pStyle w:val="TOC1"/>
        <w:rPr>
          <w:rFonts w:asciiTheme="minorHAnsi" w:hAnsiTheme="minorHAnsi" w:eastAsiaTheme="minorEastAsia" w:cstheme="minorBidi"/>
          <w:noProof/>
          <w:szCs w:val="22"/>
          <w:lang w:val="en-GB" w:eastAsia="fr-BE" w:bidi="ar-SA"/>
        </w:rPr>
      </w:pPr>
      <w:r w:rsidRPr="00F93161">
        <w:rPr>
          <w:lang w:val="en-GB"/>
        </w:rPr>
        <w:fldChar w:fldCharType="begin"/>
      </w:r>
      <w:r w:rsidRPr="00F93161">
        <w:rPr>
          <w:lang w:val="en-GB"/>
        </w:rPr>
        <w:instrText xml:space="preserve"> TOC \o "1-1" \h \z \u </w:instrText>
      </w:r>
      <w:r w:rsidRPr="00F93161">
        <w:rPr>
          <w:lang w:val="en-GB"/>
        </w:rPr>
        <w:fldChar w:fldCharType="separate"/>
      </w:r>
      <w:hyperlink w:history="1" w:anchor="_Toc504460490">
        <w:r w:rsidRPr="00F93161" w:rsidR="00C725E7">
          <w:rPr>
            <w:rStyle w:val="Hyperlink"/>
            <w:caps/>
            <w:noProof/>
            <w:lang w:val="en-GB"/>
          </w:rPr>
          <w:t>1.</w:t>
        </w:r>
        <w:r w:rsidRPr="00F93161" w:rsidR="00C725E7">
          <w:rPr>
            <w:rFonts w:asciiTheme="minorHAnsi" w:hAnsiTheme="minorHAnsi" w:eastAsiaTheme="minorEastAsia" w:cstheme="minorBidi"/>
            <w:noProof/>
            <w:szCs w:val="22"/>
            <w:lang w:val="en-GB" w:eastAsia="fr-BE" w:bidi="ar-SA"/>
          </w:rPr>
          <w:tab/>
        </w:r>
        <w:r w:rsidRPr="00F93161" w:rsidR="00C725E7">
          <w:rPr>
            <w:rStyle w:val="Hyperlink"/>
            <w:rFonts w:ascii="inherit" w:hAnsi="inherit" w:cs="Helvetica"/>
            <w:b/>
            <w:caps/>
            <w:noProof/>
            <w:lang w:val="en-GB"/>
          </w:rPr>
          <w:t>Economic and Monetary Union, Economic and Social Cohesion</w:t>
        </w:r>
        <w:r w:rsidRPr="00F93161" w:rsidR="00C725E7">
          <w:rPr>
            <w:noProof/>
            <w:webHidden/>
            <w:lang w:val="en-GB"/>
          </w:rPr>
          <w:tab/>
        </w:r>
        <w:r w:rsidRPr="00F93161" w:rsidR="00C725E7">
          <w:rPr>
            <w:noProof/>
            <w:webHidden/>
            <w:lang w:val="en-GB"/>
          </w:rPr>
          <w:fldChar w:fldCharType="begin"/>
        </w:r>
        <w:r w:rsidRPr="00F93161" w:rsidR="00C725E7">
          <w:rPr>
            <w:noProof/>
            <w:webHidden/>
            <w:lang w:val="en-GB"/>
          </w:rPr>
          <w:instrText xml:space="preserve"> PAGEREF _Toc504460490 \h </w:instrText>
        </w:r>
        <w:r w:rsidRPr="00F93161" w:rsidR="00C725E7">
          <w:rPr>
            <w:noProof/>
            <w:webHidden/>
            <w:lang w:val="en-GB"/>
          </w:rPr>
        </w:r>
        <w:r w:rsidRPr="00F93161" w:rsidR="00C725E7">
          <w:rPr>
            <w:noProof/>
            <w:webHidden/>
            <w:lang w:val="en-GB"/>
          </w:rPr>
          <w:fldChar w:fldCharType="separate"/>
        </w:r>
        <w:r w:rsidRPr="00F93161" w:rsidR="00C725E7">
          <w:rPr>
            <w:noProof/>
            <w:webHidden/>
            <w:lang w:val="en-GB"/>
          </w:rPr>
          <w:t>3</w:t>
        </w:r>
        <w:r w:rsidRPr="00F93161" w:rsidR="00C725E7">
          <w:rPr>
            <w:noProof/>
            <w:webHidden/>
            <w:lang w:val="en-GB"/>
          </w:rPr>
          <w:fldChar w:fldCharType="end"/>
        </w:r>
      </w:hyperlink>
    </w:p>
    <w:p w:rsidRPr="00F93161" w:rsidR="00C725E7" w:rsidRDefault="004022B8">
      <w:pPr>
        <w:pStyle w:val="TOC1"/>
        <w:rPr>
          <w:rFonts w:asciiTheme="minorHAnsi" w:hAnsiTheme="minorHAnsi" w:eastAsiaTheme="minorEastAsia" w:cstheme="minorBidi"/>
          <w:noProof/>
          <w:szCs w:val="22"/>
          <w:lang w:val="en-GB" w:eastAsia="fr-BE" w:bidi="ar-SA"/>
        </w:rPr>
      </w:pPr>
      <w:hyperlink w:history="1" w:anchor="_Toc504460491">
        <w:r w:rsidRPr="00F93161" w:rsidR="00C725E7">
          <w:rPr>
            <w:rStyle w:val="Hyperlink"/>
            <w:caps/>
            <w:noProof/>
            <w:lang w:val="en-GB"/>
          </w:rPr>
          <w:t>2.</w:t>
        </w:r>
        <w:r w:rsidRPr="00F93161" w:rsidR="00C725E7">
          <w:rPr>
            <w:rFonts w:asciiTheme="minorHAnsi" w:hAnsiTheme="minorHAnsi" w:eastAsiaTheme="minorEastAsia" w:cstheme="minorBidi"/>
            <w:noProof/>
            <w:szCs w:val="22"/>
            <w:lang w:val="en-GB" w:eastAsia="fr-BE" w:bidi="ar-SA"/>
          </w:rPr>
          <w:tab/>
        </w:r>
        <w:r w:rsidRPr="00F93161" w:rsidR="00C725E7">
          <w:rPr>
            <w:rStyle w:val="Hyperlink"/>
            <w:rFonts w:ascii="inherit" w:hAnsi="inherit" w:cs="Arial"/>
            <w:b/>
            <w:caps/>
            <w:noProof/>
            <w:lang w:val="en-GB"/>
          </w:rPr>
          <w:t>Single Market, Production and Consumption</w:t>
        </w:r>
        <w:r w:rsidRPr="00F93161" w:rsidR="00C725E7">
          <w:rPr>
            <w:noProof/>
            <w:webHidden/>
            <w:lang w:val="en-GB"/>
          </w:rPr>
          <w:tab/>
        </w:r>
        <w:r w:rsidRPr="00F93161" w:rsidR="00C725E7">
          <w:rPr>
            <w:noProof/>
            <w:webHidden/>
            <w:lang w:val="en-GB"/>
          </w:rPr>
          <w:fldChar w:fldCharType="begin"/>
        </w:r>
        <w:r w:rsidRPr="00F93161" w:rsidR="00C725E7">
          <w:rPr>
            <w:noProof/>
            <w:webHidden/>
            <w:lang w:val="en-GB"/>
          </w:rPr>
          <w:instrText xml:space="preserve"> PAGEREF _Toc504460491 \h </w:instrText>
        </w:r>
        <w:r w:rsidRPr="00F93161" w:rsidR="00C725E7">
          <w:rPr>
            <w:noProof/>
            <w:webHidden/>
            <w:lang w:val="en-GB"/>
          </w:rPr>
        </w:r>
        <w:r w:rsidRPr="00F93161" w:rsidR="00C725E7">
          <w:rPr>
            <w:noProof/>
            <w:webHidden/>
            <w:lang w:val="en-GB"/>
          </w:rPr>
          <w:fldChar w:fldCharType="separate"/>
        </w:r>
        <w:r w:rsidRPr="00F93161" w:rsidR="00C725E7">
          <w:rPr>
            <w:noProof/>
            <w:webHidden/>
            <w:lang w:val="en-GB"/>
          </w:rPr>
          <w:t>7</w:t>
        </w:r>
        <w:r w:rsidRPr="00F93161" w:rsidR="00C725E7">
          <w:rPr>
            <w:noProof/>
            <w:webHidden/>
            <w:lang w:val="en-GB"/>
          </w:rPr>
          <w:fldChar w:fldCharType="end"/>
        </w:r>
      </w:hyperlink>
    </w:p>
    <w:p w:rsidRPr="00F93161" w:rsidR="00C725E7" w:rsidRDefault="004022B8">
      <w:pPr>
        <w:pStyle w:val="TOC1"/>
        <w:rPr>
          <w:rFonts w:asciiTheme="minorHAnsi" w:hAnsiTheme="minorHAnsi" w:eastAsiaTheme="minorEastAsia" w:cstheme="minorBidi"/>
          <w:noProof/>
          <w:szCs w:val="22"/>
          <w:lang w:val="en-GB" w:eastAsia="fr-BE" w:bidi="ar-SA"/>
        </w:rPr>
      </w:pPr>
      <w:hyperlink w:history="1" w:anchor="_Toc504460492">
        <w:r w:rsidRPr="00F93161" w:rsidR="00C725E7">
          <w:rPr>
            <w:rStyle w:val="Hyperlink"/>
            <w:caps/>
            <w:noProof/>
            <w:lang w:val="en-GB"/>
          </w:rPr>
          <w:t>3.</w:t>
        </w:r>
        <w:r w:rsidRPr="00F93161" w:rsidR="00C725E7">
          <w:rPr>
            <w:rFonts w:asciiTheme="minorHAnsi" w:hAnsiTheme="minorHAnsi" w:eastAsiaTheme="minorEastAsia" w:cstheme="minorBidi"/>
            <w:noProof/>
            <w:szCs w:val="22"/>
            <w:lang w:val="en-GB" w:eastAsia="fr-BE" w:bidi="ar-SA"/>
          </w:rPr>
          <w:tab/>
        </w:r>
        <w:r w:rsidRPr="00F93161" w:rsidR="00C725E7">
          <w:rPr>
            <w:rStyle w:val="Hyperlink"/>
            <w:rFonts w:ascii="inherit" w:hAnsi="inherit" w:cs="Arial"/>
            <w:b/>
            <w:caps/>
            <w:noProof/>
            <w:lang w:val="en-GB"/>
          </w:rPr>
          <w:t>Transport, Energy, Infrastructure and the Information Society</w:t>
        </w:r>
        <w:r w:rsidRPr="00F93161" w:rsidR="00C725E7">
          <w:rPr>
            <w:noProof/>
            <w:webHidden/>
            <w:lang w:val="en-GB"/>
          </w:rPr>
          <w:tab/>
        </w:r>
        <w:r w:rsidRPr="00F93161" w:rsidR="00C725E7">
          <w:rPr>
            <w:noProof/>
            <w:webHidden/>
            <w:lang w:val="en-GB"/>
          </w:rPr>
          <w:fldChar w:fldCharType="begin"/>
        </w:r>
        <w:r w:rsidRPr="00F93161" w:rsidR="00C725E7">
          <w:rPr>
            <w:noProof/>
            <w:webHidden/>
            <w:lang w:val="en-GB"/>
          </w:rPr>
          <w:instrText xml:space="preserve"> PAGEREF _Toc504460492 \h </w:instrText>
        </w:r>
        <w:r w:rsidRPr="00F93161" w:rsidR="00C725E7">
          <w:rPr>
            <w:noProof/>
            <w:webHidden/>
            <w:lang w:val="en-GB"/>
          </w:rPr>
        </w:r>
        <w:r w:rsidRPr="00F93161" w:rsidR="00C725E7">
          <w:rPr>
            <w:noProof/>
            <w:webHidden/>
            <w:lang w:val="en-GB"/>
          </w:rPr>
          <w:fldChar w:fldCharType="separate"/>
        </w:r>
        <w:r w:rsidRPr="00F93161" w:rsidR="00C725E7">
          <w:rPr>
            <w:noProof/>
            <w:webHidden/>
            <w:lang w:val="en-GB"/>
          </w:rPr>
          <w:t>11</w:t>
        </w:r>
        <w:r w:rsidRPr="00F93161" w:rsidR="00C725E7">
          <w:rPr>
            <w:noProof/>
            <w:webHidden/>
            <w:lang w:val="en-GB"/>
          </w:rPr>
          <w:fldChar w:fldCharType="end"/>
        </w:r>
      </w:hyperlink>
    </w:p>
    <w:p w:rsidRPr="00F93161" w:rsidR="007E0BBB" w:rsidP="00CF635C" w:rsidRDefault="003353E8">
      <w:pPr>
        <w:pStyle w:val="TOC1"/>
        <w:rPr>
          <w:rFonts w:asciiTheme="minorHAnsi" w:hAnsiTheme="minorHAnsi" w:eastAsiaTheme="minorEastAsia" w:cstheme="minorBidi"/>
          <w:noProof/>
          <w:szCs w:val="22"/>
          <w:lang w:val="en-GB"/>
        </w:rPr>
      </w:pPr>
      <w:r w:rsidRPr="00F93161">
        <w:rPr>
          <w:lang w:val="en-GB"/>
        </w:rPr>
        <w:fldChar w:fldCharType="end"/>
      </w:r>
    </w:p>
    <w:p w:rsidRPr="00F93161" w:rsidR="008405A0" w:rsidP="00CF635C" w:rsidRDefault="008405A0">
      <w:pPr>
        <w:overflowPunct/>
        <w:adjustRightInd/>
        <w:textAlignment w:val="auto"/>
        <w:rPr>
          <w:lang w:val="en-GB"/>
        </w:rPr>
      </w:pPr>
      <w:r w:rsidRPr="00F93161">
        <w:rPr>
          <w:lang w:val="en-GB"/>
        </w:rPr>
        <w:br w:type="page"/>
      </w:r>
    </w:p>
    <w:p w:rsidRPr="00F93161" w:rsidR="005F7907" w:rsidP="00CF635C" w:rsidRDefault="00AD7EE7">
      <w:pPr>
        <w:overflowPunct/>
        <w:textAlignment w:val="auto"/>
        <w:rPr>
          <w:lang w:val="en-GB"/>
        </w:rPr>
      </w:pPr>
      <w:r w:rsidRPr="00F93161">
        <w:rPr>
          <w:lang w:val="en-GB"/>
        </w:rPr>
        <w:t xml:space="preserve">The plenary session </w:t>
      </w:r>
      <w:r w:rsidR="00876D7B">
        <w:rPr>
          <w:lang w:val="en-GB"/>
        </w:rPr>
        <w:t xml:space="preserve">of </w:t>
      </w:r>
      <w:r w:rsidRPr="00F93161">
        <w:rPr>
          <w:lang w:val="en-GB"/>
        </w:rPr>
        <w:t>17</w:t>
      </w:r>
      <w:r w:rsidR="00876D7B">
        <w:rPr>
          <w:lang w:val="en-GB"/>
        </w:rPr>
        <w:t xml:space="preserve"> and </w:t>
      </w:r>
      <w:r w:rsidRPr="00F93161">
        <w:rPr>
          <w:lang w:val="en-GB"/>
        </w:rPr>
        <w:t>18 January 2018 was attended by</w:t>
      </w:r>
      <w:r w:rsidRPr="00F93161" w:rsidR="00034832">
        <w:rPr>
          <w:b/>
          <w:lang w:val="en-GB"/>
        </w:rPr>
        <w:t xml:space="preserve"> Miguel ARIAS CAÑETE</w:t>
      </w:r>
      <w:r w:rsidRPr="00F93161" w:rsidR="00034832">
        <w:rPr>
          <w:lang w:val="en-GB"/>
        </w:rPr>
        <w:t>,</w:t>
      </w:r>
      <w:r w:rsidRPr="00F93161" w:rsidR="005F7907">
        <w:rPr>
          <w:lang w:val="en-GB"/>
        </w:rPr>
        <w:t xml:space="preserve"> Commissioner for Climate Action and Energy,</w:t>
      </w:r>
      <w:r w:rsidRPr="00F93161" w:rsidR="00034832">
        <w:rPr>
          <w:b/>
          <w:lang w:val="en-GB"/>
        </w:rPr>
        <w:t xml:space="preserve"> </w:t>
      </w:r>
      <w:r w:rsidRPr="00093786" w:rsidR="00034832">
        <w:rPr>
          <w:b/>
          <w:lang w:val="en-GB"/>
        </w:rPr>
        <w:t>Zornitsa</w:t>
      </w:r>
      <w:r w:rsidRPr="00F93161" w:rsidR="00034832">
        <w:rPr>
          <w:b/>
          <w:lang w:val="en-GB"/>
        </w:rPr>
        <w:t xml:space="preserve"> ROUSSINOVA</w:t>
      </w:r>
      <w:r w:rsidRPr="00F93161" w:rsidR="005F7907">
        <w:rPr>
          <w:lang w:val="en-GB"/>
        </w:rPr>
        <w:t>, Bulgarian Deputy Minister of Labour and Social Policy</w:t>
      </w:r>
      <w:r w:rsidRPr="00F93161" w:rsidR="00034832">
        <w:rPr>
          <w:lang w:val="en-GB"/>
        </w:rPr>
        <w:t>,</w:t>
      </w:r>
      <w:r w:rsidRPr="00F93161" w:rsidR="00034832">
        <w:rPr>
          <w:b/>
          <w:lang w:val="en-GB"/>
        </w:rPr>
        <w:t xml:space="preserve"> Pierre</w:t>
      </w:r>
      <w:r w:rsidRPr="00F93161" w:rsidR="004107E8">
        <w:rPr>
          <w:b/>
          <w:lang w:val="en-GB"/>
        </w:rPr>
        <w:t xml:space="preserve"> LARROUTUROU</w:t>
      </w:r>
      <w:r w:rsidRPr="00F93161" w:rsidR="005F7907">
        <w:rPr>
          <w:lang w:val="en-GB"/>
        </w:rPr>
        <w:t>, agricultural engineer and economist</w:t>
      </w:r>
      <w:r w:rsidR="00E6694D">
        <w:rPr>
          <w:lang w:val="en-GB"/>
        </w:rPr>
        <w:t>,</w:t>
      </w:r>
      <w:r w:rsidRPr="00F93161" w:rsidDel="005F7907" w:rsidR="005F7907">
        <w:rPr>
          <w:lang w:val="en-GB"/>
        </w:rPr>
        <w:t xml:space="preserve"> </w:t>
      </w:r>
      <w:r w:rsidRPr="00F93161">
        <w:rPr>
          <w:lang w:val="en-GB"/>
        </w:rPr>
        <w:t xml:space="preserve">and </w:t>
      </w:r>
      <w:r w:rsidRPr="00F93161" w:rsidR="00034832">
        <w:rPr>
          <w:b/>
          <w:lang w:val="en-GB"/>
        </w:rPr>
        <w:t>Jean</w:t>
      </w:r>
      <w:r w:rsidRPr="00F93161" w:rsidR="004107E8">
        <w:rPr>
          <w:b/>
          <w:lang w:val="en-GB"/>
        </w:rPr>
        <w:t xml:space="preserve"> JOUZEL</w:t>
      </w:r>
      <w:r w:rsidRPr="00F93161" w:rsidR="005F7907">
        <w:rPr>
          <w:lang w:val="en-GB"/>
        </w:rPr>
        <w:t>, climatologist and member of the French Economic, Social and Environmental Council</w:t>
      </w:r>
      <w:r w:rsidR="00876D7B">
        <w:rPr>
          <w:lang w:val="en-GB"/>
        </w:rPr>
        <w:t>.</w:t>
      </w:r>
      <w:r w:rsidRPr="00F93161" w:rsidR="005F7907">
        <w:rPr>
          <w:lang w:val="en-GB"/>
        </w:rPr>
        <w:t xml:space="preserve"> </w:t>
      </w:r>
    </w:p>
    <w:p w:rsidRPr="00F93161" w:rsidR="00034832" w:rsidP="00CF635C" w:rsidRDefault="00034832">
      <w:pPr>
        <w:overflowPunct/>
        <w:textAlignment w:val="auto"/>
        <w:rPr>
          <w:lang w:val="en-GB"/>
        </w:rPr>
      </w:pPr>
    </w:p>
    <w:p w:rsidRPr="00F93161" w:rsidR="00421682" w:rsidP="00CF635C" w:rsidRDefault="00AD7EE7">
      <w:pPr>
        <w:overflowPunct/>
        <w:textAlignment w:val="auto"/>
        <w:rPr>
          <w:lang w:val="en-GB"/>
        </w:rPr>
      </w:pPr>
      <w:r w:rsidRPr="00F93161">
        <w:rPr>
          <w:lang w:val="en-GB"/>
        </w:rPr>
        <w:t>The following opinions were adopted:</w:t>
      </w:r>
    </w:p>
    <w:p w:rsidRPr="00F93161" w:rsidR="00A43397" w:rsidP="00CF635C" w:rsidRDefault="00A43397">
      <w:pPr>
        <w:pStyle w:val="Heading1"/>
        <w:numPr>
          <w:ilvl w:val="0"/>
          <w:numId w:val="0"/>
        </w:numPr>
        <w:rPr>
          <w:lang w:val="en-GB"/>
        </w:rPr>
      </w:pPr>
    </w:p>
    <w:p w:rsidRPr="00F93161" w:rsidR="00A43397" w:rsidP="00A72E3F" w:rsidRDefault="000C491C">
      <w:pPr>
        <w:pStyle w:val="Heading1"/>
        <w:ind w:left="567" w:hanging="567"/>
        <w:rPr>
          <w:b/>
          <w:caps/>
          <w:lang w:val="en-GB"/>
        </w:rPr>
      </w:pPr>
      <w:bookmarkStart w:name="_Toc504460490" w:id="1"/>
      <w:r w:rsidRPr="00F93161">
        <w:rPr>
          <w:b/>
          <w:caps/>
          <w:color w:val="424242"/>
          <w:lang w:val="en-GB"/>
        </w:rPr>
        <w:t>Economic and Monetary Union, Economic and Social Cohesion</w:t>
      </w:r>
      <w:bookmarkEnd w:id="1"/>
    </w:p>
    <w:p w:rsidRPr="00093786" w:rsidR="00A72E3F" w:rsidP="00CF635C" w:rsidRDefault="00A72E3F">
      <w:pPr>
        <w:rPr>
          <w:b/>
          <w:iCs/>
          <w:highlight w:val="yellow"/>
          <w:u w:val="single"/>
          <w:lang w:val="en-GB"/>
        </w:rPr>
      </w:pPr>
    </w:p>
    <w:p w:rsidRPr="00093786" w:rsidR="00C80F0D" w:rsidP="00CF635C" w:rsidRDefault="00C80F0D">
      <w:pPr>
        <w:pStyle w:val="ListParagraph"/>
        <w:widowControl w:val="0"/>
        <w:numPr>
          <w:ilvl w:val="0"/>
          <w:numId w:val="64"/>
        </w:numPr>
        <w:rPr>
          <w:b/>
          <w:bCs/>
          <w:i/>
          <w:iCs/>
          <w:sz w:val="28"/>
          <w:szCs w:val="28"/>
          <w:lang w:val="en-GB"/>
        </w:rPr>
      </w:pPr>
      <w:r w:rsidRPr="00093786">
        <w:rPr>
          <w:b/>
          <w:bCs/>
          <w:i/>
          <w:iCs/>
          <w:sz w:val="28"/>
          <w:szCs w:val="28"/>
          <w:lang w:val="en-GB"/>
        </w:rPr>
        <w:t>Disincentives to tax avoidance or evasion</w:t>
      </w:r>
    </w:p>
    <w:p w:rsidRPr="00093786" w:rsidR="00C80F0D" w:rsidP="00CF635C" w:rsidRDefault="00C80F0D">
      <w:pPr>
        <w:ind w:firstLine="17"/>
        <w:rPr>
          <w:lang w:val="en-GB"/>
        </w:rPr>
      </w:pPr>
    </w:p>
    <w:p w:rsidRPr="00093786" w:rsidR="00C80F0D" w:rsidP="00CF635C" w:rsidRDefault="00C80F0D">
      <w:pPr>
        <w:tabs>
          <w:tab w:val="left" w:pos="1708"/>
        </w:tabs>
        <w:rPr>
          <w:lang w:val="en-GB"/>
        </w:rPr>
      </w:pPr>
      <w:r w:rsidRPr="00093786">
        <w:rPr>
          <w:b/>
          <w:lang w:val="en-GB"/>
        </w:rPr>
        <w:t>Rapporteur:</w:t>
      </w:r>
      <w:r w:rsidRPr="00093786">
        <w:rPr>
          <w:b/>
          <w:lang w:val="en-GB"/>
        </w:rPr>
        <w:tab/>
      </w:r>
      <w:r w:rsidRPr="00093786">
        <w:rPr>
          <w:lang w:val="en-GB"/>
        </w:rPr>
        <w:t>Victor ALISTAR (Various Interests – RO)</w:t>
      </w:r>
    </w:p>
    <w:p w:rsidRPr="00093786" w:rsidR="00C80F0D" w:rsidP="00CF635C" w:rsidRDefault="00C80F0D">
      <w:pPr>
        <w:tabs>
          <w:tab w:val="left" w:pos="1708"/>
        </w:tabs>
        <w:rPr>
          <w:lang w:val="en-GB"/>
        </w:rPr>
      </w:pPr>
      <w:r w:rsidRPr="00093786">
        <w:rPr>
          <w:b/>
          <w:lang w:val="en-GB"/>
        </w:rPr>
        <w:t>Co-rapporteur:</w:t>
      </w:r>
      <w:r w:rsidRPr="00093786">
        <w:rPr>
          <w:lang w:val="en-GB"/>
        </w:rPr>
        <w:tab/>
        <w:t xml:space="preserve">Petru Sorin DANDEA (Workers </w:t>
      </w:r>
      <w:r w:rsidRPr="00093786" w:rsidR="00446146">
        <w:rPr>
          <w:lang w:val="en-GB"/>
        </w:rPr>
        <w:t>–</w:t>
      </w:r>
      <w:r w:rsidRPr="00093786">
        <w:rPr>
          <w:lang w:val="en-GB"/>
        </w:rPr>
        <w:t xml:space="preserve"> RO)</w:t>
      </w:r>
    </w:p>
    <w:p w:rsidRPr="00093786" w:rsidR="00C80F0D" w:rsidP="00CF635C" w:rsidRDefault="00C80F0D">
      <w:pPr>
        <w:tabs>
          <w:tab w:val="left" w:pos="1708"/>
        </w:tabs>
        <w:rPr>
          <w:lang w:val="en-GB"/>
        </w:rPr>
      </w:pPr>
    </w:p>
    <w:p w:rsidRPr="00F93161" w:rsidR="00C80F0D" w:rsidP="00CF635C" w:rsidRDefault="00C80F0D">
      <w:pPr>
        <w:tabs>
          <w:tab w:val="left" w:pos="1701"/>
        </w:tabs>
        <w:ind w:left="-5"/>
        <w:rPr>
          <w:lang w:val="en-GB"/>
        </w:rPr>
      </w:pPr>
      <w:r w:rsidRPr="00093786">
        <w:rPr>
          <w:b/>
          <w:bCs/>
          <w:lang w:val="en-GB"/>
        </w:rPr>
        <w:t>Reference:</w:t>
      </w:r>
      <w:r w:rsidRPr="00093786">
        <w:rPr>
          <w:b/>
          <w:bCs/>
          <w:lang w:val="en-GB"/>
        </w:rPr>
        <w:tab/>
      </w:r>
      <w:r w:rsidRPr="00F93161">
        <w:rPr>
          <w:lang w:val="en-GB"/>
        </w:rPr>
        <w:t>COM(2017) 335 final</w:t>
      </w:r>
    </w:p>
    <w:p w:rsidRPr="00F93161" w:rsidR="00C80F0D" w:rsidP="00CF635C" w:rsidRDefault="00C80F0D">
      <w:pPr>
        <w:ind w:left="1701"/>
        <w:rPr>
          <w:iCs/>
          <w:lang w:val="en-GB"/>
        </w:rPr>
      </w:pPr>
      <w:r w:rsidRPr="00F93161">
        <w:rPr>
          <w:lang w:val="en-GB"/>
        </w:rPr>
        <w:t>EESC-2017-03232-00-00-AC-TRA</w:t>
      </w:r>
    </w:p>
    <w:p w:rsidRPr="00093786" w:rsidR="00C80F0D" w:rsidP="00CF635C" w:rsidRDefault="00C80F0D">
      <w:pPr>
        <w:tabs>
          <w:tab w:val="left" w:pos="1708"/>
        </w:tabs>
        <w:ind w:left="-5"/>
        <w:rPr>
          <w:lang w:val="en-GB"/>
        </w:rPr>
      </w:pPr>
    </w:p>
    <w:p w:rsidRPr="00093786" w:rsidR="00C80F0D" w:rsidP="00CF635C" w:rsidRDefault="00C80F0D">
      <w:pPr>
        <w:ind w:left="-5"/>
        <w:rPr>
          <w:b/>
          <w:lang w:val="en-GB"/>
        </w:rPr>
      </w:pPr>
      <w:r w:rsidRPr="00093786">
        <w:rPr>
          <w:b/>
          <w:lang w:val="en-GB"/>
        </w:rPr>
        <w:t>Key points:</w:t>
      </w:r>
    </w:p>
    <w:p w:rsidRPr="00F93161" w:rsidR="00C80F0D" w:rsidP="00CF635C" w:rsidRDefault="00C80F0D">
      <w:pPr>
        <w:keepNext/>
        <w:rPr>
          <w:color w:val="000000" w:themeColor="text1"/>
          <w:lang w:val="en-GB"/>
        </w:rPr>
      </w:pPr>
    </w:p>
    <w:p w:rsidRPr="00F93161" w:rsidR="00C80F0D" w:rsidP="00CF635C" w:rsidRDefault="00C80F0D">
      <w:pPr>
        <w:rPr>
          <w:color w:val="000000" w:themeColor="text1"/>
          <w:lang w:val="en-GB"/>
        </w:rPr>
      </w:pPr>
      <w:r w:rsidRPr="00F93161">
        <w:rPr>
          <w:color w:val="000000" w:themeColor="text1"/>
          <w:lang w:val="en-GB"/>
        </w:rPr>
        <w:t>The EESC</w:t>
      </w:r>
      <w:r w:rsidRPr="00F93161" w:rsidR="00C725E7">
        <w:rPr>
          <w:color w:val="000000" w:themeColor="text1"/>
          <w:lang w:val="en-GB"/>
        </w:rPr>
        <w:t>:</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color w:val="000000" w:themeColor="text1"/>
          <w:lang w:val="en-GB"/>
        </w:rPr>
      </w:pPr>
      <w:r w:rsidRPr="00F93161">
        <w:rPr>
          <w:color w:val="000000" w:themeColor="text1"/>
          <w:lang w:val="en-GB"/>
        </w:rPr>
        <w:t>welcomes and supports the European Commission's decision to tackle the problem of intermediaries enabling aggressive tax planning. Making their activities transparent, through the reporting obligation proposed in the proposal for a directive, will deter intermediaries from offering their clients</w:t>
      </w:r>
      <w:r w:rsidRPr="00F93161" w:rsidR="00C83322">
        <w:rPr>
          <w:color w:val="000000" w:themeColor="text1"/>
          <w:lang w:val="en-GB"/>
        </w:rPr>
        <w:t xml:space="preserve"> aggressive</w:t>
      </w:r>
      <w:r w:rsidRPr="00F93161">
        <w:rPr>
          <w:color w:val="000000" w:themeColor="text1"/>
          <w:lang w:val="en-GB"/>
        </w:rPr>
        <w:t xml:space="preserve"> tax planning schemes, and thus reduce the harmful erosion of Member States' tax bases</w:t>
      </w:r>
      <w:r w:rsidRPr="00F93161" w:rsidR="00C725E7">
        <w:rPr>
          <w:color w:val="000000" w:themeColor="text1"/>
          <w:lang w:val="en-GB"/>
        </w:rPr>
        <w:t>;</w:t>
      </w:r>
      <w:r w:rsidRPr="00F93161">
        <w:rPr>
          <w:color w:val="000000" w:themeColor="text1"/>
          <w:lang w:val="en-GB"/>
        </w:rPr>
        <w:t xml:space="preserve"> </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color w:val="000000" w:themeColor="text1"/>
          <w:lang w:val="en-GB"/>
        </w:rPr>
      </w:pPr>
      <w:r w:rsidRPr="00F93161">
        <w:rPr>
          <w:color w:val="000000" w:themeColor="text1"/>
          <w:lang w:val="en-GB"/>
        </w:rPr>
        <w:t>underlines the importance of the Commission's decision to provide logistical and technical support to the Member States for the implementation of the secure central directory to be used to record the information subject to administrative cooperation</w:t>
      </w:r>
      <w:r w:rsidRPr="00F93161" w:rsidR="00C725E7">
        <w:rPr>
          <w:color w:val="000000" w:themeColor="text1"/>
          <w:lang w:val="en-GB"/>
        </w:rPr>
        <w:t>;</w:t>
      </w:r>
      <w:r w:rsidRPr="00F93161">
        <w:rPr>
          <w:color w:val="000000" w:themeColor="text1"/>
          <w:lang w:val="en-GB"/>
        </w:rPr>
        <w:t xml:space="preserve"> </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color w:val="000000" w:themeColor="text1"/>
          <w:lang w:val="en-GB"/>
        </w:rPr>
      </w:pPr>
      <w:r w:rsidRPr="00F93161">
        <w:rPr>
          <w:color w:val="000000" w:themeColor="text1"/>
          <w:lang w:val="en-GB"/>
        </w:rPr>
        <w:t>considers it is important to ensure that the directive will be an effective deterrent to aggressive tax planning. More precise requirements for qualification of reportable transactions are required in order to prevent over-reporting from companies with time-consuming administration for both tax administrations and taxpayers</w:t>
      </w:r>
      <w:r w:rsidRPr="00F93161" w:rsidR="00C725E7">
        <w:rPr>
          <w:color w:val="000000" w:themeColor="text1"/>
          <w:lang w:val="en-GB"/>
        </w:rPr>
        <w:t>;</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color w:val="000000" w:themeColor="text1"/>
          <w:lang w:val="en-GB"/>
        </w:rPr>
      </w:pPr>
      <w:r w:rsidRPr="00F93161">
        <w:rPr>
          <w:color w:val="000000" w:themeColor="text1"/>
          <w:lang w:val="en-GB"/>
        </w:rPr>
        <w:t>calls for appropriate and constructive guidance from the Commission and Member States as to whether transactions fall within that hallmark or not, as  the requirement to comply with the arm's length principle of the OECD transfer pricing guidelines is not an exact science and inevitably includes a subjective interpretation from taxpayers and tax authorities</w:t>
      </w:r>
      <w:r w:rsidRPr="00F93161" w:rsidR="00C725E7">
        <w:rPr>
          <w:color w:val="000000" w:themeColor="text1"/>
          <w:lang w:val="en-GB"/>
        </w:rPr>
        <w:t>;</w:t>
      </w:r>
      <w:r w:rsidRPr="00F93161">
        <w:rPr>
          <w:color w:val="000000" w:themeColor="text1"/>
          <w:lang w:val="en-GB"/>
        </w:rPr>
        <w:t xml:space="preserve"> </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color w:val="000000" w:themeColor="text1"/>
          <w:lang w:val="en-GB"/>
        </w:rPr>
      </w:pPr>
      <w:r w:rsidRPr="00F93161">
        <w:rPr>
          <w:color w:val="000000" w:themeColor="text1"/>
          <w:lang w:val="en-GB"/>
        </w:rPr>
        <w:t>notes that the taxpayer carries the ultimate responsibility to comply with the proposed directive. To fulfil the requirement of proportionality, the administrative costs must be reduced to the furthest extent possible for all sizes of businesses</w:t>
      </w:r>
      <w:r w:rsidRPr="00F93161" w:rsidR="00C725E7">
        <w:rPr>
          <w:color w:val="000000" w:themeColor="text1"/>
          <w:lang w:val="en-GB"/>
        </w:rPr>
        <w:t>;</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7"/>
        </w:numPr>
        <w:rPr>
          <w:color w:val="000000" w:themeColor="text1"/>
          <w:lang w:val="en-GB"/>
        </w:rPr>
      </w:pPr>
      <w:r w:rsidRPr="00F93161">
        <w:rPr>
          <w:color w:val="000000" w:themeColor="text1"/>
          <w:lang w:val="en-GB"/>
        </w:rPr>
        <w:t>calls on the Commission to review the five-day deadline for reporting, so as to ensure that it is feasible for the entities that are subject to the reporting obligation and, at the same time, is consistent with the objective of an effective reporting policy</w:t>
      </w:r>
      <w:r w:rsidRPr="00F93161" w:rsidR="00C725E7">
        <w:rPr>
          <w:color w:val="000000" w:themeColor="text1"/>
          <w:lang w:val="en-GB"/>
        </w:rPr>
        <w:t>;</w:t>
      </w:r>
      <w:r w:rsidRPr="00F93161">
        <w:rPr>
          <w:color w:val="000000" w:themeColor="text1"/>
          <w:lang w:val="en-GB"/>
        </w:rPr>
        <w:t xml:space="preserve"> </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7"/>
        </w:numPr>
        <w:rPr>
          <w:color w:val="000000" w:themeColor="text1"/>
          <w:lang w:val="en-GB"/>
        </w:rPr>
      </w:pPr>
      <w:r w:rsidRPr="00F93161">
        <w:rPr>
          <w:color w:val="000000" w:themeColor="text1"/>
          <w:lang w:val="en-GB"/>
        </w:rPr>
        <w:t>considers that the proposal for a directive leaves a number of issues unresolved, such as how it is to be applied to taxpayers in the digital economy, given the difficulty in determining their physical presence as taxable persons in individual Member State jurisdictions</w:t>
      </w:r>
      <w:r w:rsidRPr="00F93161" w:rsidR="00C725E7">
        <w:rPr>
          <w:color w:val="000000" w:themeColor="text1"/>
          <w:lang w:val="en-GB"/>
        </w:rPr>
        <w:t>;</w:t>
      </w:r>
      <w:r w:rsidRPr="00F93161">
        <w:rPr>
          <w:color w:val="000000" w:themeColor="text1"/>
          <w:lang w:val="en-GB"/>
        </w:rPr>
        <w:t xml:space="preserve"> </w:t>
      </w:r>
    </w:p>
    <w:p w:rsidRPr="00F93161" w:rsidR="00C80F0D" w:rsidP="00CF635C" w:rsidRDefault="00C80F0D">
      <w:pPr>
        <w:rPr>
          <w:color w:val="000000" w:themeColor="text1"/>
          <w:lang w:val="en-GB"/>
        </w:rPr>
      </w:pPr>
    </w:p>
    <w:p w:rsidRPr="00F93161" w:rsidR="00C80F0D" w:rsidP="00CF635C" w:rsidRDefault="00C80F0D">
      <w:pPr>
        <w:pStyle w:val="ListParagraph"/>
        <w:numPr>
          <w:ilvl w:val="0"/>
          <w:numId w:val="56"/>
        </w:numPr>
        <w:rPr>
          <w:lang w:val="en-GB"/>
        </w:rPr>
      </w:pPr>
      <w:r w:rsidRPr="00F93161">
        <w:rPr>
          <w:color w:val="000000" w:themeColor="text1"/>
          <w:lang w:val="en-GB"/>
        </w:rPr>
        <w:t>stresses that the reporting mechanisms must not create instability in tax legislation as a result of frequent changes, and that account must be taken of the fact that direct taxation falls within the legislative competence of the Member States.</w:t>
      </w:r>
    </w:p>
    <w:p w:rsidRPr="00F93161" w:rsidR="00C80F0D" w:rsidP="00CF635C" w:rsidRDefault="00C80F0D">
      <w:pPr>
        <w:rPr>
          <w:highlight w:val="yellow"/>
          <w:lang w:val="en-GB"/>
        </w:rPr>
      </w:pPr>
    </w:p>
    <w:p w:rsidRPr="00F93161" w:rsidR="00C80F0D" w:rsidP="00CF635C" w:rsidRDefault="00C80F0D">
      <w:pPr>
        <w:tabs>
          <w:tab w:val="left" w:pos="1418"/>
        </w:tabs>
        <w:rPr>
          <w:i/>
          <w:lang w:val="en-GB"/>
        </w:rPr>
      </w:pPr>
      <w:r w:rsidRPr="00F93161">
        <w:rPr>
          <w:b/>
          <w:i/>
          <w:lang w:val="en-GB"/>
        </w:rPr>
        <w:t>Contact:</w:t>
      </w:r>
      <w:r w:rsidRPr="00F93161">
        <w:rPr>
          <w:i/>
          <w:lang w:val="en-GB"/>
        </w:rPr>
        <w:t xml:space="preserve"> </w:t>
      </w:r>
      <w:r w:rsidRPr="00F93161">
        <w:rPr>
          <w:i/>
          <w:lang w:val="en-GB"/>
        </w:rPr>
        <w:tab/>
        <w:t>Jüri Soosaar</w:t>
      </w:r>
    </w:p>
    <w:p w:rsidRPr="00F93161" w:rsidR="00C80F0D" w:rsidP="00CF635C" w:rsidRDefault="00C80F0D">
      <w:pPr>
        <w:ind w:left="1418"/>
        <w:jc w:val="left"/>
        <w:rPr>
          <w:caps/>
          <w:lang w:val="en-GB"/>
        </w:rPr>
      </w:pPr>
      <w:r w:rsidRPr="00F93161">
        <w:rPr>
          <w:i/>
          <w:lang w:val="en-GB"/>
        </w:rPr>
        <w:t xml:space="preserve">Tel: 00 32 2 546 9628 - email: </w:t>
      </w:r>
      <w:hyperlink w:history="1" r:id="rId22">
        <w:r w:rsidRPr="00F93161">
          <w:rPr>
            <w:rStyle w:val="Hyperlink"/>
            <w:i/>
            <w:lang w:val="en-GB"/>
          </w:rPr>
          <w:t>juri.soosaar@eesc.europa.eu</w:t>
        </w:r>
      </w:hyperlink>
      <w:r w:rsidRPr="00F93161">
        <w:rPr>
          <w:i/>
          <w:lang w:val="en-GB"/>
        </w:rPr>
        <w:t xml:space="preserve"> </w:t>
      </w:r>
    </w:p>
    <w:p w:rsidRPr="00093786" w:rsidR="00A72E3F" w:rsidP="00CF635C" w:rsidRDefault="00A72E3F">
      <w:pPr>
        <w:rPr>
          <w:b/>
          <w:iCs/>
          <w:highlight w:val="yellow"/>
          <w:u w:val="single"/>
          <w:lang w:val="en-GB"/>
        </w:rPr>
      </w:pPr>
    </w:p>
    <w:p w:rsidRPr="00093786" w:rsidR="00C80F0D" w:rsidP="00CF635C" w:rsidRDefault="00C80F0D">
      <w:pPr>
        <w:pStyle w:val="ListParagraph"/>
        <w:widowControl w:val="0"/>
        <w:numPr>
          <w:ilvl w:val="0"/>
          <w:numId w:val="65"/>
        </w:numPr>
        <w:rPr>
          <w:b/>
          <w:bCs/>
          <w:i/>
          <w:iCs/>
          <w:sz w:val="28"/>
          <w:szCs w:val="28"/>
          <w:lang w:val="en-GB"/>
        </w:rPr>
      </w:pPr>
      <w:r w:rsidRPr="00093786">
        <w:rPr>
          <w:b/>
          <w:bCs/>
          <w:i/>
          <w:iCs/>
          <w:sz w:val="28"/>
          <w:szCs w:val="28"/>
          <w:lang w:val="en-GB"/>
        </w:rPr>
        <w:t>Euro area economic policy 2018</w:t>
      </w:r>
    </w:p>
    <w:p w:rsidRPr="00C06017" w:rsidR="00C80F0D" w:rsidP="00C06017" w:rsidRDefault="00C80F0D">
      <w:pPr>
        <w:widowControl w:val="0"/>
        <w:rPr>
          <w:bCs/>
          <w:iCs/>
          <w:szCs w:val="28"/>
          <w:lang w:val="en-GB"/>
        </w:rPr>
      </w:pPr>
    </w:p>
    <w:p w:rsidRPr="00093786" w:rsidR="00C80F0D" w:rsidP="00CF635C" w:rsidRDefault="00C80F0D">
      <w:pPr>
        <w:tabs>
          <w:tab w:val="left" w:pos="1701"/>
        </w:tabs>
        <w:rPr>
          <w:lang w:val="en-GB"/>
        </w:rPr>
      </w:pPr>
      <w:r w:rsidRPr="00093786">
        <w:rPr>
          <w:b/>
          <w:lang w:val="en-GB"/>
        </w:rPr>
        <w:t>Rapporteur working alone:</w:t>
      </w:r>
      <w:r w:rsidRPr="00093786">
        <w:rPr>
          <w:lang w:val="en-GB"/>
        </w:rPr>
        <w:tab/>
        <w:t>Javier DOZ ORRIT (Workers – ES)</w:t>
      </w:r>
    </w:p>
    <w:p w:rsidRPr="00093786" w:rsidR="00C80F0D" w:rsidP="00CF635C" w:rsidRDefault="00C80F0D">
      <w:pPr>
        <w:tabs>
          <w:tab w:val="left" w:pos="1701"/>
        </w:tabs>
        <w:rPr>
          <w:lang w:val="en-GB"/>
        </w:rPr>
      </w:pPr>
    </w:p>
    <w:p w:rsidRPr="00F93161" w:rsidR="00C80F0D" w:rsidP="00CF635C" w:rsidRDefault="00C80F0D">
      <w:pPr>
        <w:tabs>
          <w:tab w:val="left" w:pos="1701"/>
        </w:tabs>
        <w:ind w:left="-5"/>
        <w:rPr>
          <w:lang w:val="en-GB"/>
        </w:rPr>
      </w:pPr>
      <w:r w:rsidRPr="00093786">
        <w:rPr>
          <w:b/>
          <w:bCs/>
          <w:lang w:val="en-GB"/>
        </w:rPr>
        <w:t>Reference:</w:t>
      </w:r>
      <w:r w:rsidRPr="00093786">
        <w:rPr>
          <w:b/>
          <w:bCs/>
          <w:lang w:val="en-GB"/>
        </w:rPr>
        <w:tab/>
      </w:r>
      <w:r w:rsidRPr="00F93161">
        <w:rPr>
          <w:lang w:val="en-GB"/>
        </w:rPr>
        <w:t>COM(2017) 770 final</w:t>
      </w:r>
    </w:p>
    <w:p w:rsidRPr="00F93161" w:rsidR="00C80F0D" w:rsidP="00CF635C" w:rsidRDefault="00C80F0D">
      <w:pPr>
        <w:ind w:left="1701"/>
        <w:rPr>
          <w:iCs/>
          <w:lang w:val="en-GB"/>
        </w:rPr>
      </w:pPr>
      <w:r w:rsidRPr="00F93161">
        <w:rPr>
          <w:lang w:val="en-GB"/>
        </w:rPr>
        <w:t>EESC-2017-05444-00-00-AC-TRA</w:t>
      </w:r>
    </w:p>
    <w:p w:rsidRPr="00093786" w:rsidR="00C80F0D" w:rsidP="00CF635C" w:rsidRDefault="00C80F0D">
      <w:pPr>
        <w:rPr>
          <w:lang w:val="en-GB"/>
        </w:rPr>
      </w:pPr>
    </w:p>
    <w:p w:rsidRPr="00093786" w:rsidR="00C80F0D" w:rsidP="00CF635C" w:rsidRDefault="00C80F0D">
      <w:pPr>
        <w:rPr>
          <w:b/>
          <w:lang w:val="en-GB"/>
        </w:rPr>
      </w:pPr>
      <w:r w:rsidRPr="00093786">
        <w:rPr>
          <w:b/>
          <w:lang w:val="en-GB"/>
        </w:rPr>
        <w:t>Key points:</w:t>
      </w:r>
    </w:p>
    <w:p w:rsidRPr="00F93161" w:rsidR="00C80F0D" w:rsidP="00CF635C" w:rsidRDefault="00C80F0D">
      <w:pPr>
        <w:rPr>
          <w:lang w:val="en-GB"/>
        </w:rPr>
      </w:pPr>
    </w:p>
    <w:p w:rsidRPr="00F93161" w:rsidR="00C80F0D" w:rsidP="00CF635C" w:rsidRDefault="00C80F0D">
      <w:pPr>
        <w:rPr>
          <w:lang w:val="en-GB"/>
        </w:rPr>
      </w:pPr>
      <w:r w:rsidRPr="00F93161">
        <w:rPr>
          <w:lang w:val="en-GB"/>
        </w:rPr>
        <w:t>The EESC:</w:t>
      </w:r>
    </w:p>
    <w:p w:rsidRPr="00F93161" w:rsidR="00C80F0D" w:rsidP="00CF635C" w:rsidRDefault="00C80F0D">
      <w:pPr>
        <w:rPr>
          <w:lang w:val="en-GB"/>
        </w:rPr>
      </w:pPr>
    </w:p>
    <w:p w:rsidRPr="00F93161" w:rsidR="00C80F0D" w:rsidP="006703C8" w:rsidRDefault="00C80F0D">
      <w:pPr>
        <w:pStyle w:val="ListParagraph"/>
        <w:numPr>
          <w:ilvl w:val="0"/>
          <w:numId w:val="59"/>
        </w:numPr>
        <w:rPr>
          <w:lang w:val="en-GB"/>
        </w:rPr>
      </w:pPr>
      <w:r w:rsidRPr="00F93161">
        <w:rPr>
          <w:lang w:val="en-GB"/>
        </w:rPr>
        <w:t>welcomes the emphasis on sustainable and inclusive growth, resilience and convergence as policy objectives for the euro area;</w:t>
      </w:r>
    </w:p>
    <w:p w:rsidRPr="00F93161" w:rsidR="00C80F0D" w:rsidP="00CF635C" w:rsidRDefault="00C80F0D">
      <w:pPr>
        <w:rPr>
          <w:lang w:val="en-GB"/>
        </w:rPr>
      </w:pPr>
    </w:p>
    <w:p w:rsidRPr="00F93161" w:rsidR="00C80F0D" w:rsidP="006703C8" w:rsidRDefault="00C80F0D">
      <w:pPr>
        <w:pStyle w:val="ListParagraph"/>
        <w:numPr>
          <w:ilvl w:val="0"/>
          <w:numId w:val="59"/>
        </w:numPr>
        <w:rPr>
          <w:lang w:val="en-GB"/>
        </w:rPr>
      </w:pPr>
      <w:r w:rsidRPr="00F93161">
        <w:rPr>
          <w:lang w:val="en-GB"/>
        </w:rPr>
        <w:t>notes that although economic recovery in the euro area has gathered pace since last year, it remains</w:t>
      </w:r>
      <w:r w:rsidRPr="00F93161" w:rsidR="00C83322">
        <w:rPr>
          <w:lang w:val="en-GB"/>
        </w:rPr>
        <w:t xml:space="preserve"> fragile</w:t>
      </w:r>
      <w:r w:rsidRPr="00F93161">
        <w:rPr>
          <w:lang w:val="en-GB"/>
        </w:rPr>
        <w:t xml:space="preserve"> incomplete and atypical, with significant labour market slack, investment below 2008 levels and a persistent current account surplus of the euro area with the rest of the world;</w:t>
      </w:r>
    </w:p>
    <w:p w:rsidRPr="00F93161" w:rsidR="00C80F0D" w:rsidP="00CF635C" w:rsidRDefault="00C80F0D">
      <w:pPr>
        <w:rPr>
          <w:lang w:val="en-GB"/>
        </w:rPr>
      </w:pPr>
    </w:p>
    <w:p w:rsidRPr="00F93161" w:rsidR="00C80F0D" w:rsidP="006703C8" w:rsidRDefault="00C80F0D">
      <w:pPr>
        <w:pStyle w:val="ListParagraph"/>
        <w:numPr>
          <w:ilvl w:val="0"/>
          <w:numId w:val="59"/>
        </w:numPr>
        <w:rPr>
          <w:lang w:val="en-GB"/>
        </w:rPr>
      </w:pPr>
      <w:r w:rsidRPr="00F93161">
        <w:rPr>
          <w:lang w:val="en-GB"/>
        </w:rPr>
        <w:t>acknowledges that high public and private debt levels in the euro area make its economy vulnerable and accepts the need to reduce them;</w:t>
      </w:r>
    </w:p>
    <w:p w:rsidRPr="00F93161" w:rsidR="00C80F0D" w:rsidP="00CF635C" w:rsidRDefault="00C80F0D">
      <w:pPr>
        <w:rPr>
          <w:lang w:val="en-GB"/>
        </w:rPr>
      </w:pPr>
    </w:p>
    <w:p w:rsidRPr="00F93161" w:rsidR="00C80F0D" w:rsidP="006703C8" w:rsidRDefault="00C80F0D">
      <w:pPr>
        <w:pStyle w:val="ListParagraph"/>
        <w:numPr>
          <w:ilvl w:val="0"/>
          <w:numId w:val="59"/>
        </w:numPr>
        <w:rPr>
          <w:lang w:val="en-GB"/>
        </w:rPr>
      </w:pPr>
      <w:r w:rsidRPr="00F93161">
        <w:rPr>
          <w:lang w:val="en-GB"/>
        </w:rPr>
        <w:t>disagrees with the European Commission's proposal for an overall broadly neutral fiscal stance and instead proposes a positive fiscal stance of around 0.5% of GDP;</w:t>
      </w:r>
    </w:p>
    <w:p w:rsidRPr="00F93161" w:rsidR="00C80F0D" w:rsidP="00CF635C" w:rsidRDefault="00C80F0D">
      <w:pPr>
        <w:rPr>
          <w:lang w:val="en-GB"/>
        </w:rPr>
      </w:pPr>
    </w:p>
    <w:p w:rsidRPr="00F93161" w:rsidR="00C83322" w:rsidP="00F93161" w:rsidRDefault="00C80F0D">
      <w:pPr>
        <w:pStyle w:val="ListParagraph"/>
        <w:numPr>
          <w:ilvl w:val="0"/>
          <w:numId w:val="59"/>
        </w:numPr>
        <w:rPr>
          <w:lang w:val="en-GB"/>
        </w:rPr>
      </w:pPr>
      <w:r w:rsidRPr="00F93161">
        <w:rPr>
          <w:lang w:val="en-GB"/>
        </w:rPr>
        <w:t>recommends that in applying the fiscal rules, the European Commission should exclude public expenditure on investment from the</w:t>
      </w:r>
      <w:r w:rsidRPr="00F93161" w:rsidR="00C83322">
        <w:rPr>
          <w:lang w:val="en-GB"/>
        </w:rPr>
        <w:t xml:space="preserve"> scope of application of the Stability and Growth Pact;</w:t>
      </w:r>
    </w:p>
    <w:p w:rsidRPr="00F93161" w:rsidR="00C83322" w:rsidP="00C83322" w:rsidRDefault="00C83322">
      <w:pPr>
        <w:spacing w:line="240" w:lineRule="auto"/>
        <w:rPr>
          <w:lang w:val="en-GB"/>
        </w:rPr>
      </w:pPr>
    </w:p>
    <w:p w:rsidRPr="00F93161" w:rsidR="00C80F0D" w:rsidP="006703C8" w:rsidRDefault="00C80F0D">
      <w:pPr>
        <w:pStyle w:val="ListParagraph"/>
        <w:numPr>
          <w:ilvl w:val="0"/>
          <w:numId w:val="59"/>
        </w:numPr>
        <w:rPr>
          <w:lang w:val="en-GB"/>
        </w:rPr>
      </w:pPr>
      <w:r w:rsidRPr="00F93161">
        <w:rPr>
          <w:lang w:val="en-GB"/>
        </w:rPr>
        <w:t>welcomes structural reforms that will not only increase productivity and growth potential, improve the business environment and support investment, but also support the creation of quality jobs and reduce inequality;</w:t>
      </w:r>
    </w:p>
    <w:p w:rsidRPr="00F93161" w:rsidR="00C80F0D" w:rsidP="00CF635C" w:rsidRDefault="00C80F0D">
      <w:pPr>
        <w:rPr>
          <w:lang w:val="en-GB"/>
        </w:rPr>
      </w:pPr>
    </w:p>
    <w:p w:rsidRPr="00F93161" w:rsidR="00C80F0D" w:rsidP="006703C8" w:rsidRDefault="00C80F0D">
      <w:pPr>
        <w:pStyle w:val="ListParagraph"/>
        <w:numPr>
          <w:ilvl w:val="0"/>
          <w:numId w:val="59"/>
        </w:numPr>
        <w:rPr>
          <w:lang w:val="en-GB"/>
        </w:rPr>
      </w:pPr>
      <w:r w:rsidRPr="00F93161">
        <w:rPr>
          <w:lang w:val="en-GB"/>
        </w:rPr>
        <w:t>considers it a priority that the Member States implement effective measures against tax avoidance, tax fraud, money laundering and the illicit activities of tax havens;</w:t>
      </w:r>
    </w:p>
    <w:p w:rsidRPr="00F93161" w:rsidR="00C80F0D" w:rsidP="00CF635C" w:rsidRDefault="00C80F0D">
      <w:pPr>
        <w:rPr>
          <w:lang w:val="en-GB"/>
        </w:rPr>
      </w:pPr>
    </w:p>
    <w:p w:rsidR="00C83322" w:rsidP="00C83322" w:rsidRDefault="00C80F0D">
      <w:pPr>
        <w:pStyle w:val="ListParagraph"/>
        <w:numPr>
          <w:ilvl w:val="0"/>
          <w:numId w:val="59"/>
        </w:numPr>
        <w:spacing w:line="240" w:lineRule="auto"/>
        <w:rPr>
          <w:lang w:val="en-GB"/>
        </w:rPr>
      </w:pPr>
      <w:r w:rsidRPr="00F93161">
        <w:rPr>
          <w:lang w:val="en-GB"/>
        </w:rPr>
        <w:t>supports the necessary steps for deepening the EMU;</w:t>
      </w:r>
      <w:r w:rsidRPr="00FD7243" w:rsidR="00FD7243">
        <w:t xml:space="preserve"> </w:t>
      </w:r>
      <w:r w:rsidR="00FD7243">
        <w:t xml:space="preserve">, </w:t>
      </w:r>
      <w:r w:rsidRPr="00F16A4B" w:rsidR="00FD7243">
        <w:t>including full and speedy completion of both the Banking Union – European Deposit Insurance Scheme, common backstop for the Single Resolution Fund and the strengthening of the European supervisory framework – and the Capital Markets Union</w:t>
      </w:r>
      <w:r w:rsidR="00FD7243">
        <w:t>;</w:t>
      </w:r>
    </w:p>
    <w:p w:rsidRPr="00F93161" w:rsidR="00E6694D" w:rsidP="00F93161" w:rsidRDefault="00E6694D">
      <w:pPr>
        <w:spacing w:line="240" w:lineRule="auto"/>
        <w:rPr>
          <w:lang w:val="en-GB"/>
        </w:rPr>
      </w:pPr>
    </w:p>
    <w:p w:rsidRPr="00F93161" w:rsidR="00C80F0D" w:rsidP="006703C8" w:rsidRDefault="00C80F0D">
      <w:pPr>
        <w:pStyle w:val="ListParagraph"/>
        <w:numPr>
          <w:ilvl w:val="0"/>
          <w:numId w:val="59"/>
        </w:numPr>
        <w:rPr>
          <w:lang w:val="en-GB"/>
        </w:rPr>
      </w:pPr>
      <w:r w:rsidRPr="00F93161">
        <w:rPr>
          <w:lang w:val="en-GB"/>
        </w:rPr>
        <w:t>reiterates its view that the euro is the currency of the whole EU and emphasises the need to:</w:t>
      </w:r>
    </w:p>
    <w:p w:rsidRPr="00F93161" w:rsidR="00C80F0D" w:rsidP="00CF635C" w:rsidRDefault="00C80F0D">
      <w:pPr>
        <w:pStyle w:val="ListParagraph"/>
        <w:numPr>
          <w:ilvl w:val="0"/>
          <w:numId w:val="58"/>
        </w:numPr>
        <w:rPr>
          <w:lang w:val="en-GB"/>
        </w:rPr>
      </w:pPr>
      <w:r w:rsidRPr="00F93161">
        <w:rPr>
          <w:lang w:val="en-GB"/>
        </w:rPr>
        <w:t>create a fiscal union;</w:t>
      </w:r>
    </w:p>
    <w:p w:rsidRPr="00F93161" w:rsidR="00C80F0D" w:rsidP="00CF635C" w:rsidRDefault="00C80F0D">
      <w:pPr>
        <w:pStyle w:val="ListParagraph"/>
        <w:numPr>
          <w:ilvl w:val="0"/>
          <w:numId w:val="58"/>
        </w:numPr>
        <w:rPr>
          <w:lang w:val="en-GB"/>
        </w:rPr>
      </w:pPr>
      <w:r w:rsidRPr="00F93161">
        <w:rPr>
          <w:lang w:val="en-GB"/>
        </w:rPr>
        <w:t>strengthen Member States' responsibility for and ownership of obligations vis-à-vis EMU;</w:t>
      </w:r>
    </w:p>
    <w:p w:rsidRPr="00F93161" w:rsidR="00C80F0D" w:rsidP="00CF635C" w:rsidRDefault="00C80F0D">
      <w:pPr>
        <w:pStyle w:val="ListParagraph"/>
        <w:numPr>
          <w:ilvl w:val="0"/>
          <w:numId w:val="58"/>
        </w:numPr>
        <w:rPr>
          <w:lang w:val="en-GB"/>
        </w:rPr>
      </w:pPr>
      <w:r w:rsidRPr="00F93161">
        <w:rPr>
          <w:lang w:val="en-GB"/>
        </w:rPr>
        <w:t>introduce structural reforms within the European Semester platform;</w:t>
      </w:r>
    </w:p>
    <w:p w:rsidRPr="00F93161" w:rsidR="00C80F0D" w:rsidP="00CF635C" w:rsidRDefault="00C80F0D">
      <w:pPr>
        <w:pStyle w:val="ListParagraph"/>
        <w:numPr>
          <w:ilvl w:val="0"/>
          <w:numId w:val="58"/>
        </w:numPr>
        <w:rPr>
          <w:lang w:val="en-GB"/>
        </w:rPr>
      </w:pPr>
      <w:r w:rsidRPr="00F93161">
        <w:rPr>
          <w:lang w:val="en-GB"/>
        </w:rPr>
        <w:t>strengthen economic coordination and governance, and create a European Monetary Fund;</w:t>
      </w:r>
    </w:p>
    <w:p w:rsidRPr="00F93161" w:rsidR="00C80F0D" w:rsidP="00CF635C" w:rsidRDefault="00C80F0D">
      <w:pPr>
        <w:pStyle w:val="ListParagraph"/>
        <w:numPr>
          <w:ilvl w:val="0"/>
          <w:numId w:val="58"/>
        </w:numPr>
        <w:rPr>
          <w:lang w:val="en-GB"/>
        </w:rPr>
      </w:pPr>
      <w:r w:rsidRPr="00F93161">
        <w:rPr>
          <w:lang w:val="en-GB"/>
        </w:rPr>
        <w:t>improve the system of financial intermediation, leading to the reinforcement of real long-term investment by optimising the role of the EIB, EIF and EFSI 2.0;</w:t>
      </w:r>
    </w:p>
    <w:p w:rsidRPr="00F93161" w:rsidR="00C80F0D" w:rsidP="00CF635C" w:rsidRDefault="00C80F0D">
      <w:pPr>
        <w:pStyle w:val="ListParagraph"/>
        <w:numPr>
          <w:ilvl w:val="0"/>
          <w:numId w:val="58"/>
        </w:numPr>
        <w:rPr>
          <w:lang w:val="en-GB"/>
        </w:rPr>
      </w:pPr>
      <w:r w:rsidRPr="00F93161">
        <w:rPr>
          <w:lang w:val="en-GB"/>
        </w:rPr>
        <w:t>make the EMU more resilient so that it can exert greater influence in the world.</w:t>
      </w:r>
    </w:p>
    <w:p w:rsidRPr="00F93161" w:rsidR="00C80F0D" w:rsidP="00CF635C" w:rsidRDefault="00C80F0D">
      <w:pPr>
        <w:rPr>
          <w:lang w:val="en-GB"/>
        </w:rPr>
      </w:pPr>
    </w:p>
    <w:p w:rsidRPr="00093786" w:rsidR="00C80F0D" w:rsidP="00CF635C" w:rsidRDefault="00C80F0D">
      <w:pPr>
        <w:tabs>
          <w:tab w:val="left" w:pos="1418"/>
        </w:tabs>
        <w:rPr>
          <w:i/>
          <w:iCs/>
          <w:lang w:val="en-GB"/>
        </w:rPr>
      </w:pPr>
      <w:r w:rsidRPr="00093786">
        <w:rPr>
          <w:b/>
          <w:bCs/>
          <w:i/>
          <w:iCs/>
          <w:lang w:val="en-GB"/>
        </w:rPr>
        <w:t>Contact:</w:t>
      </w:r>
      <w:r w:rsidRPr="00093786">
        <w:rPr>
          <w:b/>
          <w:bCs/>
          <w:i/>
          <w:iCs/>
          <w:lang w:val="en-GB"/>
        </w:rPr>
        <w:tab/>
      </w:r>
      <w:r w:rsidRPr="00093786">
        <w:rPr>
          <w:bCs/>
          <w:i/>
          <w:iCs/>
          <w:lang w:val="en-GB"/>
        </w:rPr>
        <w:t>Alexander Alexandrov</w:t>
      </w:r>
    </w:p>
    <w:p w:rsidRPr="00F93161" w:rsidR="00A43397" w:rsidP="00CF635C" w:rsidRDefault="00C80F0D">
      <w:pPr>
        <w:tabs>
          <w:tab w:val="left" w:pos="1418"/>
        </w:tabs>
        <w:ind w:left="1418"/>
        <w:rPr>
          <w:i/>
          <w:lang w:val="en-GB"/>
        </w:rPr>
      </w:pPr>
      <w:r w:rsidRPr="00093786">
        <w:rPr>
          <w:i/>
          <w:iCs/>
          <w:lang w:val="en-GB"/>
        </w:rPr>
        <w:t xml:space="preserve">Tel.: 00 32 2 546 98 05 – email: </w:t>
      </w:r>
      <w:hyperlink w:history="1" r:id="rId23">
        <w:r w:rsidRPr="00F93161">
          <w:rPr>
            <w:rStyle w:val="Hyperlink"/>
            <w:i/>
            <w:lang w:val="en-GB"/>
          </w:rPr>
          <w:t>alexander.alexandrov@eesc.europa.eu</w:t>
        </w:r>
      </w:hyperlink>
    </w:p>
    <w:p w:rsidRPr="00F93161" w:rsidR="00A72E3F" w:rsidP="00CF635C" w:rsidRDefault="00A72E3F">
      <w:pPr>
        <w:rPr>
          <w:i/>
          <w:iCs/>
          <w:u w:val="single"/>
          <w:lang w:val="en-GB"/>
        </w:rPr>
      </w:pPr>
    </w:p>
    <w:p w:rsidRPr="00F93161" w:rsidR="0099413E" w:rsidP="00CF635C" w:rsidRDefault="0099413E">
      <w:pPr>
        <w:pStyle w:val="ListParagraph"/>
        <w:widowControl w:val="0"/>
        <w:numPr>
          <w:ilvl w:val="0"/>
          <w:numId w:val="66"/>
        </w:numPr>
        <w:rPr>
          <w:b/>
          <w:i/>
          <w:sz w:val="28"/>
          <w:szCs w:val="28"/>
          <w:lang w:val="en-GB"/>
        </w:rPr>
      </w:pPr>
      <w:r w:rsidRPr="00093786">
        <w:rPr>
          <w:b/>
          <w:i/>
          <w:sz w:val="28"/>
          <w:szCs w:val="28"/>
          <w:lang w:val="en-GB"/>
        </w:rPr>
        <w:t>Location of the European Banking Authority (EBA)</w:t>
      </w:r>
    </w:p>
    <w:p w:rsidRPr="00F93161" w:rsidR="0099413E" w:rsidP="00CF635C" w:rsidRDefault="0099413E">
      <w:pPr>
        <w:tabs>
          <w:tab w:val="center" w:pos="284"/>
        </w:tabs>
        <w:ind w:left="266" w:hanging="266"/>
        <w:rPr>
          <w:b/>
          <w:lang w:val="en-GB"/>
        </w:rPr>
      </w:pPr>
    </w:p>
    <w:p w:rsidRPr="00F93161" w:rsidR="0099413E" w:rsidP="00CF635C" w:rsidRDefault="0099413E">
      <w:pPr>
        <w:tabs>
          <w:tab w:val="center" w:pos="284"/>
        </w:tabs>
        <w:ind w:left="266" w:hanging="266"/>
        <w:rPr>
          <w:b/>
          <w:lang w:val="en-GB"/>
        </w:rPr>
      </w:pPr>
      <w:r w:rsidRPr="00F93161">
        <w:rPr>
          <w:b/>
          <w:lang w:val="en-GB"/>
        </w:rPr>
        <w:t>Category C</w:t>
      </w:r>
      <w:r w:rsidRPr="00F93161" w:rsidR="00C725E7">
        <w:rPr>
          <w:b/>
          <w:lang w:val="en-GB"/>
        </w:rPr>
        <w:t xml:space="preserve"> opinion</w:t>
      </w:r>
    </w:p>
    <w:p w:rsidRPr="00F93161" w:rsidR="0099413E" w:rsidP="00CF635C" w:rsidRDefault="0099413E">
      <w:pPr>
        <w:tabs>
          <w:tab w:val="center" w:pos="284"/>
        </w:tabs>
        <w:ind w:left="266" w:hanging="266"/>
        <w:rPr>
          <w:lang w:val="en-GB"/>
        </w:rPr>
      </w:pPr>
    </w:p>
    <w:p w:rsidRPr="00F93161" w:rsidR="003029D8" w:rsidP="00CF635C" w:rsidRDefault="0099413E">
      <w:pPr>
        <w:tabs>
          <w:tab w:val="left" w:pos="1701"/>
        </w:tabs>
        <w:ind w:left="-5"/>
        <w:rPr>
          <w:lang w:val="en-GB"/>
        </w:rPr>
      </w:pPr>
      <w:r w:rsidRPr="00F93161">
        <w:rPr>
          <w:b/>
          <w:bCs/>
          <w:lang w:val="en-GB"/>
        </w:rPr>
        <w:t>Reference:</w:t>
      </w:r>
      <w:r w:rsidRPr="00F93161">
        <w:rPr>
          <w:b/>
          <w:bCs/>
          <w:lang w:val="en-GB"/>
        </w:rPr>
        <w:tab/>
      </w:r>
      <w:r w:rsidRPr="00F93161">
        <w:rPr>
          <w:lang w:val="en-GB"/>
        </w:rPr>
        <w:t xml:space="preserve">COM(2017) </w:t>
      </w:r>
      <w:r w:rsidRPr="00F93161">
        <w:rPr>
          <w:rFonts w:eastAsia="Calibri"/>
          <w:lang w:val="en-GB"/>
        </w:rPr>
        <w:t>734</w:t>
      </w:r>
      <w:r w:rsidRPr="00F93161">
        <w:rPr>
          <w:lang w:val="en-GB"/>
        </w:rPr>
        <w:t xml:space="preserve"> final – 2017/0</w:t>
      </w:r>
      <w:r w:rsidRPr="00F93161">
        <w:rPr>
          <w:rFonts w:eastAsia="Calibri"/>
          <w:lang w:val="en-GB"/>
        </w:rPr>
        <w:t>326</w:t>
      </w:r>
      <w:r w:rsidRPr="00F93161">
        <w:rPr>
          <w:lang w:val="en-GB"/>
        </w:rPr>
        <w:t xml:space="preserve"> (COD)</w:t>
      </w:r>
    </w:p>
    <w:p w:rsidRPr="00F93161" w:rsidR="0099413E" w:rsidP="00CF635C" w:rsidRDefault="0099413E">
      <w:pPr>
        <w:ind w:left="1701"/>
        <w:rPr>
          <w:lang w:val="en-GB"/>
        </w:rPr>
      </w:pPr>
      <w:r w:rsidRPr="00F93161">
        <w:rPr>
          <w:lang w:val="en-GB"/>
        </w:rPr>
        <w:t>EESC-2017-05890-00-00-AC-TRA</w:t>
      </w:r>
    </w:p>
    <w:p w:rsidRPr="00F93161" w:rsidR="0099413E" w:rsidP="00CF635C" w:rsidRDefault="0099413E">
      <w:pPr>
        <w:tabs>
          <w:tab w:val="center" w:pos="284"/>
        </w:tabs>
        <w:ind w:left="266" w:hanging="266"/>
        <w:rPr>
          <w:lang w:val="en-GB"/>
        </w:rPr>
      </w:pPr>
    </w:p>
    <w:p w:rsidRPr="00F93161" w:rsidR="0099413E" w:rsidP="00CF635C" w:rsidRDefault="0099413E">
      <w:pPr>
        <w:keepNext/>
        <w:keepLines/>
        <w:tabs>
          <w:tab w:val="center" w:pos="284"/>
        </w:tabs>
        <w:ind w:left="266" w:hanging="266"/>
        <w:rPr>
          <w:b/>
          <w:lang w:val="en-GB"/>
        </w:rPr>
      </w:pPr>
      <w:r w:rsidRPr="00F93161">
        <w:rPr>
          <w:b/>
          <w:lang w:val="en-GB"/>
        </w:rPr>
        <w:t>Key points:</w:t>
      </w:r>
    </w:p>
    <w:p w:rsidRPr="00F93161" w:rsidR="0099413E" w:rsidP="00CF635C" w:rsidRDefault="0099413E">
      <w:pPr>
        <w:outlineLvl w:val="1"/>
        <w:rPr>
          <w:lang w:val="en-GB"/>
        </w:rPr>
      </w:pPr>
    </w:p>
    <w:p w:rsidRPr="00F93161" w:rsidR="0099413E" w:rsidP="00CF635C" w:rsidRDefault="0099413E">
      <w:pPr>
        <w:pStyle w:val="Heading2"/>
        <w:numPr>
          <w:ilvl w:val="0"/>
          <w:numId w:val="0"/>
        </w:numPr>
        <w:rPr>
          <w:lang w:val="en-GB"/>
        </w:rPr>
      </w:pPr>
      <w:r w:rsidRPr="00F93161">
        <w:rPr>
          <w:lang w:val="en-GB"/>
        </w:rPr>
        <w:t>Since the Committee endorses the content of the Commission proposal and feels that it requires no comment on its part, it decided to issue an opinion supporting the proposed text.</w:t>
      </w:r>
    </w:p>
    <w:p w:rsidRPr="00F93161" w:rsidR="0099413E" w:rsidP="00CF635C" w:rsidRDefault="0099413E">
      <w:pPr>
        <w:rPr>
          <w:lang w:val="en-GB"/>
        </w:rPr>
      </w:pPr>
    </w:p>
    <w:p w:rsidRPr="00F93161" w:rsidR="0099413E" w:rsidP="00CF635C" w:rsidRDefault="0099413E">
      <w:pPr>
        <w:rPr>
          <w:i/>
          <w:lang w:val="en-GB"/>
        </w:rPr>
      </w:pPr>
      <w:r w:rsidRPr="00F93161">
        <w:rPr>
          <w:rFonts w:eastAsia="Calibri"/>
          <w:b/>
          <w:i/>
          <w:lang w:val="en-GB"/>
        </w:rPr>
        <w:t>Contact:</w:t>
      </w:r>
      <w:r w:rsidRPr="00F93161">
        <w:rPr>
          <w:rFonts w:eastAsia="Calibri"/>
          <w:i/>
          <w:lang w:val="en-GB"/>
        </w:rPr>
        <w:t xml:space="preserve"> </w:t>
      </w:r>
      <w:r w:rsidRPr="00F93161">
        <w:rPr>
          <w:rFonts w:eastAsia="Calibri"/>
          <w:i/>
          <w:lang w:val="en-GB"/>
        </w:rPr>
        <w:tab/>
      </w:r>
      <w:r w:rsidRPr="00F93161">
        <w:rPr>
          <w:i/>
          <w:lang w:val="en-GB"/>
        </w:rPr>
        <w:t>Gerald Klec</w:t>
      </w:r>
    </w:p>
    <w:p w:rsidRPr="00F93161" w:rsidR="0099413E" w:rsidP="00CF635C" w:rsidRDefault="0099413E">
      <w:pPr>
        <w:ind w:left="1134"/>
        <w:rPr>
          <w:i/>
          <w:lang w:val="en-GB"/>
        </w:rPr>
      </w:pPr>
      <w:r w:rsidRPr="00F93161">
        <w:rPr>
          <w:i/>
          <w:lang w:val="en-GB"/>
        </w:rPr>
        <w:t xml:space="preserve">Tel: 00 32 2 546 9909 - email: </w:t>
      </w:r>
      <w:hyperlink w:history="1" r:id="rId24">
        <w:r w:rsidRPr="00F93161">
          <w:rPr>
            <w:rStyle w:val="Hyperlink"/>
            <w:i/>
            <w:lang w:val="en-GB"/>
          </w:rPr>
          <w:t>gerald.klec@eesc.europa.eu</w:t>
        </w:r>
      </w:hyperlink>
      <w:r w:rsidRPr="00F93161">
        <w:rPr>
          <w:i/>
          <w:lang w:val="en-GB"/>
        </w:rPr>
        <w:t xml:space="preserve"> </w:t>
      </w:r>
    </w:p>
    <w:p w:rsidRPr="00F93161" w:rsidR="0099413E" w:rsidP="00CF635C" w:rsidRDefault="0099413E">
      <w:pPr>
        <w:overflowPunct/>
        <w:autoSpaceDE/>
        <w:autoSpaceDN/>
        <w:adjustRightInd/>
        <w:jc w:val="left"/>
        <w:textAlignment w:val="auto"/>
        <w:rPr>
          <w:i/>
          <w:lang w:val="en-GB"/>
        </w:rPr>
      </w:pPr>
      <w:r w:rsidRPr="00F93161">
        <w:rPr>
          <w:i/>
          <w:lang w:val="en-GB"/>
        </w:rPr>
        <w:br w:type="page"/>
      </w:r>
    </w:p>
    <w:p w:rsidRPr="00F93161" w:rsidR="00A43397" w:rsidP="00A72E3F" w:rsidRDefault="000C491C">
      <w:pPr>
        <w:pStyle w:val="Heading1"/>
        <w:ind w:left="567" w:hanging="567"/>
        <w:rPr>
          <w:b/>
          <w:caps/>
          <w:lang w:val="en-GB"/>
        </w:rPr>
      </w:pPr>
      <w:bookmarkStart w:name="_Toc504460491" w:id="2"/>
      <w:r w:rsidRPr="00F93161">
        <w:rPr>
          <w:b/>
          <w:caps/>
          <w:color w:val="424242"/>
          <w:lang w:val="en-GB"/>
        </w:rPr>
        <w:t>Single Market, Production and Consumption</w:t>
      </w:r>
      <w:bookmarkEnd w:id="2"/>
    </w:p>
    <w:p w:rsidRPr="00F93161" w:rsidR="00A72E3F" w:rsidP="00CF635C" w:rsidRDefault="00A72E3F">
      <w:pPr>
        <w:textAlignment w:val="auto"/>
        <w:rPr>
          <w:i/>
          <w:iCs/>
          <w:szCs w:val="22"/>
          <w:u w:val="single"/>
          <w:lang w:val="en-GB"/>
        </w:rPr>
      </w:pPr>
    </w:p>
    <w:p w:rsidRPr="00F93161" w:rsidR="005B4883" w:rsidP="00CF635C" w:rsidRDefault="00F43CDE">
      <w:pPr>
        <w:pStyle w:val="ListParagraph"/>
        <w:widowControl w:val="0"/>
        <w:numPr>
          <w:ilvl w:val="0"/>
          <w:numId w:val="67"/>
        </w:numPr>
        <w:rPr>
          <w:b/>
          <w:i/>
          <w:sz w:val="28"/>
          <w:szCs w:val="28"/>
          <w:lang w:val="en-GB"/>
        </w:rPr>
      </w:pPr>
      <w:r w:rsidRPr="00F93161">
        <w:rPr>
          <w:b/>
          <w:i/>
          <w:sz w:val="28"/>
          <w:szCs w:val="28"/>
          <w:lang w:val="en-GB"/>
        </w:rPr>
        <w:t>The annual Union work programme for European standardisation for 2018</w:t>
      </w:r>
    </w:p>
    <w:p w:rsidRPr="00F93161" w:rsidR="005B4883" w:rsidP="00CF635C" w:rsidRDefault="005B4883">
      <w:pPr>
        <w:tabs>
          <w:tab w:val="center" w:pos="284"/>
        </w:tabs>
        <w:ind w:left="266" w:hanging="266"/>
        <w:rPr>
          <w:b/>
          <w:lang w:val="en-GB"/>
        </w:rPr>
      </w:pPr>
    </w:p>
    <w:p w:rsidRPr="00F93161" w:rsidR="005B4883" w:rsidP="00CF635C" w:rsidRDefault="005B4883">
      <w:pPr>
        <w:tabs>
          <w:tab w:val="center" w:pos="284"/>
          <w:tab w:val="left" w:pos="1701"/>
        </w:tabs>
        <w:ind w:left="266" w:hanging="266"/>
        <w:rPr>
          <w:lang w:val="en-GB"/>
        </w:rPr>
      </w:pPr>
      <w:r w:rsidRPr="00F93161">
        <w:rPr>
          <w:b/>
          <w:lang w:val="en-GB"/>
        </w:rPr>
        <w:t>Rapporteur:</w:t>
      </w:r>
      <w:r w:rsidRPr="00F93161" w:rsidR="00383700">
        <w:rPr>
          <w:b/>
          <w:lang w:val="en-GB"/>
        </w:rPr>
        <w:tab/>
      </w:r>
      <w:r w:rsidRPr="00F93161">
        <w:rPr>
          <w:lang w:val="en-GB"/>
        </w:rPr>
        <w:t>Juan MENDOZA CASTRO (</w:t>
      </w:r>
      <w:r w:rsidRPr="00F93161" w:rsidR="00F43CDE">
        <w:rPr>
          <w:lang w:val="en-GB"/>
        </w:rPr>
        <w:t>Workers</w:t>
      </w:r>
      <w:r w:rsidRPr="00F93161" w:rsidR="00383700">
        <w:rPr>
          <w:lang w:val="en-GB"/>
        </w:rPr>
        <w:t xml:space="preserve"> </w:t>
      </w:r>
      <w:r w:rsidRPr="00F93161">
        <w:rPr>
          <w:lang w:val="en-GB"/>
        </w:rPr>
        <w:t>– ES)</w:t>
      </w:r>
    </w:p>
    <w:p w:rsidRPr="00F93161" w:rsidR="005B4883" w:rsidP="00CF635C" w:rsidRDefault="005B4883">
      <w:pPr>
        <w:tabs>
          <w:tab w:val="center" w:pos="284"/>
          <w:tab w:val="left" w:pos="1701"/>
        </w:tabs>
        <w:ind w:left="266" w:hanging="266"/>
        <w:rPr>
          <w:b/>
          <w:lang w:val="en-GB"/>
        </w:rPr>
      </w:pPr>
    </w:p>
    <w:p w:rsidRPr="00F93161" w:rsidR="005B4883" w:rsidP="00CF635C" w:rsidRDefault="00093786">
      <w:pPr>
        <w:tabs>
          <w:tab w:val="center" w:pos="284"/>
          <w:tab w:val="left" w:pos="1701"/>
        </w:tabs>
        <w:ind w:left="266" w:hanging="266"/>
        <w:rPr>
          <w:lang w:val="en-GB"/>
        </w:rPr>
      </w:pPr>
      <w:r>
        <w:rPr>
          <w:b/>
          <w:lang w:val="en-GB"/>
        </w:rPr>
        <w:t>Reference</w:t>
      </w:r>
      <w:r w:rsidRPr="00F93161" w:rsidR="005B4883">
        <w:rPr>
          <w:b/>
          <w:lang w:val="en-GB"/>
        </w:rPr>
        <w:t>:</w:t>
      </w:r>
      <w:r w:rsidRPr="00F93161" w:rsidR="005B4883">
        <w:rPr>
          <w:b/>
          <w:lang w:val="en-GB"/>
        </w:rPr>
        <w:tab/>
      </w:r>
      <w:r w:rsidRPr="00F93161" w:rsidR="005B4883">
        <w:rPr>
          <w:lang w:val="en-GB"/>
        </w:rPr>
        <w:t>COM(2017) 453 final</w:t>
      </w:r>
    </w:p>
    <w:p w:rsidRPr="00F93161" w:rsidR="005B4883" w:rsidP="00CF635C" w:rsidRDefault="005B4883">
      <w:pPr>
        <w:ind w:left="1701"/>
        <w:rPr>
          <w:szCs w:val="22"/>
          <w:lang w:val="en-GB"/>
        </w:rPr>
      </w:pPr>
      <w:r w:rsidRPr="00F93161">
        <w:rPr>
          <w:lang w:val="en-GB"/>
        </w:rPr>
        <w:t>EESC-2017-04398-00-00-AC-TRA</w:t>
      </w:r>
    </w:p>
    <w:p w:rsidRPr="00F93161" w:rsidR="005B4883" w:rsidP="00CF635C" w:rsidRDefault="005B4883">
      <w:pPr>
        <w:tabs>
          <w:tab w:val="center" w:pos="284"/>
        </w:tabs>
        <w:ind w:left="266" w:hanging="266"/>
        <w:rPr>
          <w:lang w:val="en-GB"/>
        </w:rPr>
      </w:pPr>
    </w:p>
    <w:p w:rsidRPr="00F93161" w:rsidR="005B4883" w:rsidP="00CF635C" w:rsidRDefault="0039620F">
      <w:pPr>
        <w:keepNext/>
        <w:keepLines/>
        <w:tabs>
          <w:tab w:val="center" w:pos="284"/>
        </w:tabs>
        <w:ind w:left="266" w:hanging="266"/>
        <w:rPr>
          <w:b/>
          <w:szCs w:val="22"/>
          <w:lang w:val="en-GB"/>
        </w:rPr>
      </w:pPr>
      <w:r w:rsidRPr="00F93161">
        <w:rPr>
          <w:b/>
          <w:szCs w:val="22"/>
          <w:lang w:val="en-GB"/>
        </w:rPr>
        <w:t>Key Points:</w:t>
      </w:r>
    </w:p>
    <w:p w:rsidRPr="00F93161" w:rsidR="00CF635C" w:rsidP="00CF635C" w:rsidRDefault="00CF635C">
      <w:pPr>
        <w:keepNext/>
        <w:keepLines/>
        <w:tabs>
          <w:tab w:val="center" w:pos="284"/>
        </w:tabs>
        <w:ind w:left="266" w:hanging="266"/>
        <w:rPr>
          <w:b/>
          <w:szCs w:val="22"/>
          <w:lang w:val="en-GB"/>
        </w:rPr>
      </w:pPr>
    </w:p>
    <w:p w:rsidRPr="00F93161" w:rsidR="005B4883" w:rsidP="00CF635C" w:rsidRDefault="005B4883">
      <w:pPr>
        <w:rPr>
          <w:szCs w:val="24"/>
          <w:lang w:val="en-GB"/>
        </w:rPr>
      </w:pPr>
      <w:r w:rsidRPr="00F93161">
        <w:rPr>
          <w:szCs w:val="24"/>
          <w:lang w:val="en-GB"/>
        </w:rPr>
        <w:t>The EESC:</w:t>
      </w:r>
    </w:p>
    <w:p w:rsidRPr="00F93161" w:rsidR="005B4883" w:rsidRDefault="005B4883">
      <w:pPr>
        <w:pStyle w:val="ListParagraph"/>
        <w:numPr>
          <w:ilvl w:val="0"/>
          <w:numId w:val="61"/>
        </w:numPr>
        <w:rPr>
          <w:lang w:val="en-GB"/>
        </w:rPr>
      </w:pPr>
      <w:r w:rsidRPr="00F93161">
        <w:rPr>
          <w:lang w:val="en-GB"/>
        </w:rPr>
        <w:t>welcomes the 2018 standardisation programme</w:t>
      </w:r>
      <w:r w:rsidR="00D4404D">
        <w:rPr>
          <w:lang w:val="en-GB"/>
        </w:rPr>
        <w:t xml:space="preserve"> </w:t>
      </w:r>
      <w:r w:rsidRPr="00F93161">
        <w:rPr>
          <w:lang w:val="en-GB"/>
        </w:rPr>
        <w:t>but recommends that in future versions a summary of compliance with previous programmes be included;</w:t>
      </w:r>
    </w:p>
    <w:p w:rsidRPr="00F93161" w:rsidR="005B4883" w:rsidP="00CF635C" w:rsidRDefault="005B4883">
      <w:pPr>
        <w:pStyle w:val="ListParagraph"/>
        <w:numPr>
          <w:ilvl w:val="0"/>
          <w:numId w:val="61"/>
        </w:numPr>
        <w:rPr>
          <w:lang w:val="en-GB"/>
        </w:rPr>
      </w:pPr>
      <w:r w:rsidRPr="00F93161">
        <w:rPr>
          <w:lang w:val="en-GB"/>
        </w:rPr>
        <w:t>calls on the Commission to maintain adequate budgetary resources and the necessary staffing to meet the objectives of Regulation (EU) No 1025/2012;</w:t>
      </w:r>
    </w:p>
    <w:p w:rsidRPr="00F93161" w:rsidR="005B4883" w:rsidP="00CF635C" w:rsidRDefault="001A141E">
      <w:pPr>
        <w:pStyle w:val="ListParagraph"/>
        <w:numPr>
          <w:ilvl w:val="0"/>
          <w:numId w:val="61"/>
        </w:numPr>
        <w:rPr>
          <w:lang w:val="en-GB"/>
        </w:rPr>
      </w:pPr>
      <w:r w:rsidRPr="00F93161">
        <w:rPr>
          <w:lang w:val="en-GB"/>
        </w:rPr>
        <w:t>suggests that the</w:t>
      </w:r>
      <w:r w:rsidRPr="00F93161" w:rsidR="00C725E7">
        <w:rPr>
          <w:lang w:val="en-GB"/>
        </w:rPr>
        <w:t xml:space="preserve"> </w:t>
      </w:r>
      <w:r w:rsidRPr="00F93161" w:rsidR="005B4883">
        <w:rPr>
          <w:lang w:val="en-GB"/>
        </w:rPr>
        <w:t>EESC could, create an ad hoc forum on the inclusiveness of the European Standardisation System;</w:t>
      </w:r>
    </w:p>
    <w:p w:rsidRPr="00F93161" w:rsidR="005B4883" w:rsidP="00CF635C" w:rsidRDefault="001A141E">
      <w:pPr>
        <w:pStyle w:val="ListParagraph"/>
        <w:numPr>
          <w:ilvl w:val="0"/>
          <w:numId w:val="61"/>
        </w:numPr>
        <w:rPr>
          <w:lang w:val="en-GB"/>
        </w:rPr>
      </w:pPr>
      <w:r w:rsidRPr="00F93161">
        <w:rPr>
          <w:lang w:val="en-GB"/>
        </w:rPr>
        <w:t xml:space="preserve">raises </w:t>
      </w:r>
      <w:r w:rsidRPr="00F93161" w:rsidR="005B4883">
        <w:rPr>
          <w:lang w:val="en-GB"/>
        </w:rPr>
        <w:t>concerns regarding the Digital Single Market, whereby world-wide "de facto" standards are often driven by non-EU industry giants with negative consequences;</w:t>
      </w:r>
    </w:p>
    <w:p w:rsidRPr="00F93161" w:rsidR="005B4883" w:rsidP="00CF635C" w:rsidRDefault="005B4883">
      <w:pPr>
        <w:pStyle w:val="ListParagraph"/>
        <w:numPr>
          <w:ilvl w:val="0"/>
          <w:numId w:val="61"/>
        </w:numPr>
        <w:rPr>
          <w:lang w:val="en-GB"/>
        </w:rPr>
      </w:pPr>
      <w:r w:rsidRPr="00F93161">
        <w:rPr>
          <w:lang w:val="en-GB"/>
        </w:rPr>
        <w:t>recommends that the European Standard Organisations should simplify the procedures for Annex III organisations to access the standards drafting process and as such "lower the barrier" for effective participation;</w:t>
      </w:r>
    </w:p>
    <w:p w:rsidRPr="00F93161" w:rsidR="005B4883" w:rsidP="00CF635C" w:rsidRDefault="005B4883">
      <w:pPr>
        <w:pStyle w:val="ListParagraph"/>
        <w:numPr>
          <w:ilvl w:val="0"/>
          <w:numId w:val="61"/>
        </w:numPr>
        <w:rPr>
          <w:lang w:val="en-GB"/>
        </w:rPr>
      </w:pPr>
      <w:r w:rsidRPr="00F93161">
        <w:rPr>
          <w:lang w:val="en-GB"/>
        </w:rPr>
        <w:t>welcomes the different Joint Initiative on Standardisation actions but also proposes to consider the indirect effects of the standard-setting activities on issues such as dislocation of jobs, inclusiveness of society, education and training, etc.</w:t>
      </w:r>
    </w:p>
    <w:p w:rsidRPr="00F93161" w:rsidR="005B4883" w:rsidP="00CF635C" w:rsidRDefault="005B4883">
      <w:pPr>
        <w:rPr>
          <w:szCs w:val="24"/>
          <w:lang w:val="en-GB"/>
        </w:rPr>
      </w:pPr>
    </w:p>
    <w:p w:rsidRPr="00F93161" w:rsidR="005B4883" w:rsidP="00CF635C" w:rsidRDefault="005B4883">
      <w:pPr>
        <w:tabs>
          <w:tab w:val="left" w:pos="1418"/>
        </w:tabs>
        <w:textAlignment w:val="auto"/>
        <w:rPr>
          <w:i/>
          <w:lang w:val="en-GB"/>
        </w:rPr>
      </w:pPr>
      <w:r w:rsidRPr="00F93161">
        <w:rPr>
          <w:b/>
          <w:i/>
          <w:lang w:val="en-GB"/>
        </w:rPr>
        <w:t>Contact:</w:t>
      </w:r>
      <w:r w:rsidRPr="00F93161">
        <w:rPr>
          <w:lang w:val="en-GB"/>
        </w:rPr>
        <w:tab/>
      </w:r>
      <w:r w:rsidRPr="00F93161">
        <w:rPr>
          <w:i/>
          <w:lang w:val="en-GB"/>
        </w:rPr>
        <w:t>Jean-Pierre Faure</w:t>
      </w:r>
    </w:p>
    <w:p w:rsidRPr="00F93161" w:rsidR="00233285" w:rsidP="00CF635C" w:rsidRDefault="005B4883">
      <w:pPr>
        <w:ind w:left="1418"/>
        <w:rPr>
          <w:i/>
          <w:lang w:val="en-GB"/>
        </w:rPr>
      </w:pPr>
      <w:r w:rsidRPr="00F93161">
        <w:rPr>
          <w:i/>
          <w:lang w:val="en-GB"/>
        </w:rPr>
        <w:t xml:space="preserve">Tel.: 00 32 2 546 96 15 – e-mail: </w:t>
      </w:r>
      <w:hyperlink w:history="1" r:id="rId25">
        <w:r w:rsidRPr="00F93161">
          <w:rPr>
            <w:i/>
            <w:color w:val="0000FF"/>
            <w:u w:val="single"/>
            <w:lang w:val="en-GB"/>
          </w:rPr>
          <w:t>jean-pierre.faure@eesc.europa.eu</w:t>
        </w:r>
      </w:hyperlink>
    </w:p>
    <w:p w:rsidRPr="00F93161" w:rsidR="00C06017" w:rsidP="00A72E3F" w:rsidRDefault="00C06017">
      <w:pPr>
        <w:keepNext/>
        <w:ind w:left="-567"/>
        <w:textAlignment w:val="auto"/>
        <w:rPr>
          <w:i/>
          <w:iCs/>
          <w:szCs w:val="22"/>
          <w:u w:val="single"/>
          <w:lang w:val="en-GB"/>
        </w:rPr>
      </w:pPr>
    </w:p>
    <w:p w:rsidRPr="00F93161" w:rsidR="005B4883" w:rsidP="00CF635C" w:rsidRDefault="0039620F">
      <w:pPr>
        <w:pStyle w:val="ListParagraph"/>
        <w:widowControl w:val="0"/>
        <w:numPr>
          <w:ilvl w:val="0"/>
          <w:numId w:val="68"/>
        </w:numPr>
        <w:rPr>
          <w:b/>
          <w:i/>
          <w:sz w:val="28"/>
          <w:szCs w:val="28"/>
          <w:lang w:val="en-GB"/>
        </w:rPr>
      </w:pPr>
      <w:r w:rsidRPr="00F93161">
        <w:rPr>
          <w:b/>
          <w:i/>
          <w:sz w:val="28"/>
          <w:szCs w:val="28"/>
          <w:lang w:val="en-GB"/>
        </w:rPr>
        <w:t>Promoting SMEs in Europe with a special focus on a horizontal legislative SME approach and respect of the SBA's "think small first"</w:t>
      </w:r>
    </w:p>
    <w:p w:rsidRPr="00F93161" w:rsidR="005B4883" w:rsidP="00CF635C" w:rsidRDefault="005B4883">
      <w:pPr>
        <w:tabs>
          <w:tab w:val="center" w:pos="284"/>
        </w:tabs>
        <w:ind w:left="266" w:hanging="266"/>
        <w:rPr>
          <w:b/>
          <w:lang w:val="en-GB"/>
        </w:rPr>
      </w:pPr>
    </w:p>
    <w:p w:rsidRPr="00F93161" w:rsidR="005B4883" w:rsidP="00CF635C" w:rsidRDefault="005B4883">
      <w:pPr>
        <w:tabs>
          <w:tab w:val="left" w:pos="1701"/>
        </w:tabs>
        <w:ind w:left="266" w:hanging="266"/>
        <w:rPr>
          <w:lang w:val="en-GB"/>
        </w:rPr>
      </w:pPr>
      <w:r w:rsidRPr="00F93161">
        <w:rPr>
          <w:b/>
          <w:lang w:val="en-GB"/>
        </w:rPr>
        <w:t>Rapporteur:</w:t>
      </w:r>
      <w:r w:rsidRPr="00F93161" w:rsidR="00383700">
        <w:rPr>
          <w:b/>
          <w:lang w:val="en-GB"/>
        </w:rPr>
        <w:tab/>
      </w:r>
      <w:r w:rsidRPr="00F93161">
        <w:rPr>
          <w:lang w:val="en-GB"/>
        </w:rPr>
        <w:t>Milena ANGELOVA (Employers – BG)</w:t>
      </w:r>
    </w:p>
    <w:p w:rsidRPr="00F93161" w:rsidR="005B4883" w:rsidP="00CF635C" w:rsidRDefault="005B4883">
      <w:pPr>
        <w:tabs>
          <w:tab w:val="left" w:pos="1701"/>
        </w:tabs>
        <w:ind w:left="266" w:hanging="266"/>
        <w:rPr>
          <w:b/>
          <w:lang w:val="en-GB"/>
        </w:rPr>
      </w:pPr>
      <w:r w:rsidRPr="00F93161">
        <w:rPr>
          <w:b/>
          <w:lang w:val="en-GB"/>
        </w:rPr>
        <w:t>Corapporteur:</w:t>
      </w:r>
      <w:r w:rsidRPr="00F93161" w:rsidR="00383700">
        <w:rPr>
          <w:b/>
          <w:lang w:val="en-GB"/>
        </w:rPr>
        <w:tab/>
      </w:r>
      <w:r w:rsidRPr="00F93161">
        <w:rPr>
          <w:lang w:val="en-GB"/>
        </w:rPr>
        <w:t>Panagiotis GKOFAS (</w:t>
      </w:r>
      <w:r w:rsidRPr="00F93161" w:rsidR="00F43CDE">
        <w:rPr>
          <w:lang w:val="en-GB"/>
        </w:rPr>
        <w:t xml:space="preserve">Various interests </w:t>
      </w:r>
      <w:r w:rsidRPr="00F93161">
        <w:rPr>
          <w:lang w:val="en-GB"/>
        </w:rPr>
        <w:t>– EL)</w:t>
      </w:r>
    </w:p>
    <w:p w:rsidRPr="00F93161" w:rsidR="005B4883" w:rsidP="00CF635C" w:rsidRDefault="005B4883">
      <w:pPr>
        <w:tabs>
          <w:tab w:val="left" w:pos="1701"/>
        </w:tabs>
        <w:ind w:left="266" w:hanging="266"/>
        <w:rPr>
          <w:b/>
          <w:lang w:val="en-GB"/>
        </w:rPr>
      </w:pPr>
    </w:p>
    <w:p w:rsidRPr="00F93161" w:rsidR="005B4883" w:rsidP="00CF635C" w:rsidRDefault="00093786">
      <w:pPr>
        <w:tabs>
          <w:tab w:val="left" w:pos="1701"/>
        </w:tabs>
        <w:ind w:left="266" w:hanging="266"/>
        <w:rPr>
          <w:lang w:val="en-GB"/>
        </w:rPr>
      </w:pPr>
      <w:r>
        <w:rPr>
          <w:b/>
          <w:lang w:val="en-GB"/>
        </w:rPr>
        <w:t>Reference</w:t>
      </w:r>
      <w:r w:rsidRPr="00F93161" w:rsidR="005B4883">
        <w:rPr>
          <w:b/>
          <w:lang w:val="en-GB"/>
        </w:rPr>
        <w:t>:</w:t>
      </w:r>
      <w:r w:rsidRPr="00F93161" w:rsidR="005B4883">
        <w:rPr>
          <w:b/>
          <w:lang w:val="en-GB"/>
        </w:rPr>
        <w:tab/>
      </w:r>
      <w:r w:rsidRPr="00F93161" w:rsidR="0039620F">
        <w:rPr>
          <w:lang w:val="en-GB"/>
        </w:rPr>
        <w:t>Exploratory opinion</w:t>
      </w:r>
    </w:p>
    <w:p w:rsidRPr="00F93161" w:rsidR="005B4883" w:rsidP="00CF635C" w:rsidRDefault="005B4883">
      <w:pPr>
        <w:ind w:left="1701"/>
        <w:rPr>
          <w:lang w:val="en-GB"/>
        </w:rPr>
      </w:pPr>
      <w:r w:rsidRPr="00F93161">
        <w:rPr>
          <w:lang w:val="en-GB"/>
        </w:rPr>
        <w:t>EESC-2017-04540-00-00-AC-TRA</w:t>
      </w:r>
    </w:p>
    <w:p w:rsidRPr="00F93161" w:rsidR="005B4883" w:rsidP="00CF635C" w:rsidRDefault="005B4883">
      <w:pPr>
        <w:tabs>
          <w:tab w:val="center" w:pos="284"/>
        </w:tabs>
        <w:ind w:left="266" w:hanging="266"/>
        <w:rPr>
          <w:lang w:val="en-GB"/>
        </w:rPr>
      </w:pPr>
    </w:p>
    <w:p w:rsidR="00E6694D" w:rsidP="00CF635C" w:rsidRDefault="0039620F">
      <w:pPr>
        <w:keepNext/>
        <w:keepLines/>
        <w:tabs>
          <w:tab w:val="center" w:pos="284"/>
        </w:tabs>
        <w:ind w:left="266" w:hanging="266"/>
        <w:rPr>
          <w:b/>
          <w:szCs w:val="22"/>
          <w:lang w:val="en-GB"/>
        </w:rPr>
      </w:pPr>
      <w:r w:rsidRPr="00F93161">
        <w:rPr>
          <w:b/>
          <w:szCs w:val="22"/>
          <w:lang w:val="en-GB"/>
        </w:rPr>
        <w:t>Key Points:</w:t>
      </w:r>
    </w:p>
    <w:p w:rsidRPr="00F93161" w:rsidR="00CF635C" w:rsidP="00CF635C" w:rsidRDefault="00CF635C">
      <w:pPr>
        <w:keepNext/>
        <w:keepLines/>
        <w:tabs>
          <w:tab w:val="center" w:pos="284"/>
        </w:tabs>
        <w:ind w:left="266" w:hanging="266"/>
        <w:rPr>
          <w:b/>
          <w:szCs w:val="22"/>
          <w:lang w:val="en-GB"/>
        </w:rPr>
      </w:pPr>
    </w:p>
    <w:p w:rsidRPr="00F93161" w:rsidR="005B4883" w:rsidP="00BF15FD" w:rsidRDefault="005B4883">
      <w:pPr>
        <w:keepNext/>
        <w:rPr>
          <w:szCs w:val="22"/>
          <w:lang w:val="en-GB"/>
        </w:rPr>
      </w:pPr>
      <w:r w:rsidRPr="00F93161">
        <w:rPr>
          <w:szCs w:val="22"/>
          <w:lang w:val="en-GB"/>
        </w:rPr>
        <w:t>The EESC:</w:t>
      </w:r>
    </w:p>
    <w:p w:rsidRPr="00F93161" w:rsidR="005B4883" w:rsidP="00CF635C" w:rsidRDefault="005B4883">
      <w:pPr>
        <w:pStyle w:val="ListParagraph"/>
        <w:numPr>
          <w:ilvl w:val="0"/>
          <w:numId w:val="60"/>
        </w:numPr>
        <w:overflowPunct w:val="0"/>
        <w:autoSpaceDE w:val="0"/>
        <w:autoSpaceDN w:val="0"/>
        <w:adjustRightInd w:val="0"/>
        <w:textAlignment w:val="baseline"/>
        <w:rPr>
          <w:lang w:val="en-GB"/>
        </w:rPr>
      </w:pPr>
      <w:r w:rsidRPr="00F93161">
        <w:rPr>
          <w:lang w:val="en-GB"/>
        </w:rPr>
        <w:t>invites the European Commission to make the Small Business Act (SBA) and its principles legally binding;</w:t>
      </w:r>
    </w:p>
    <w:p w:rsidRPr="00F93161" w:rsidR="005B4883" w:rsidP="00CF635C" w:rsidRDefault="005B4883">
      <w:pPr>
        <w:pStyle w:val="ListParagraph"/>
        <w:numPr>
          <w:ilvl w:val="0"/>
          <w:numId w:val="60"/>
        </w:numPr>
        <w:overflowPunct w:val="0"/>
        <w:autoSpaceDE w:val="0"/>
        <w:autoSpaceDN w:val="0"/>
        <w:adjustRightInd w:val="0"/>
        <w:textAlignment w:val="baseline"/>
        <w:rPr>
          <w:lang w:val="en-GB"/>
        </w:rPr>
      </w:pPr>
      <w:r w:rsidRPr="00F93161">
        <w:rPr>
          <w:lang w:val="en-GB"/>
        </w:rPr>
        <w:t>invites the European Commission and the Council to include implementation of the SBA as a permanent scrutiny exercise in the Semester and Annual Growth Survey, in close cooperation with the representative SME organisations;</w:t>
      </w:r>
    </w:p>
    <w:p w:rsidRPr="00F93161" w:rsidR="005B4883" w:rsidP="00CF635C" w:rsidRDefault="005B4883">
      <w:pPr>
        <w:pStyle w:val="ListParagraph"/>
        <w:numPr>
          <w:ilvl w:val="0"/>
          <w:numId w:val="60"/>
        </w:numPr>
        <w:overflowPunct w:val="0"/>
        <w:autoSpaceDE w:val="0"/>
        <w:autoSpaceDN w:val="0"/>
        <w:adjustRightInd w:val="0"/>
        <w:textAlignment w:val="baseline"/>
        <w:rPr>
          <w:lang w:val="en-GB"/>
        </w:rPr>
      </w:pPr>
      <w:r w:rsidRPr="00F93161">
        <w:rPr>
          <w:lang w:val="en-GB"/>
        </w:rPr>
        <w:t>calls for an inclusive, coherent, effective horizontal European SME policy which also takes into account the needs of all the different SME sub-groups and considers it essential to have a definition for each and every of them;</w:t>
      </w:r>
    </w:p>
    <w:p w:rsidRPr="00F93161" w:rsidR="005B4883" w:rsidP="00CF635C" w:rsidRDefault="005B4883">
      <w:pPr>
        <w:pStyle w:val="ListParagraph"/>
        <w:numPr>
          <w:ilvl w:val="0"/>
          <w:numId w:val="60"/>
        </w:numPr>
        <w:overflowPunct w:val="0"/>
        <w:autoSpaceDE w:val="0"/>
        <w:autoSpaceDN w:val="0"/>
        <w:adjustRightInd w:val="0"/>
        <w:textAlignment w:val="baseline"/>
        <w:rPr>
          <w:b/>
          <w:lang w:val="en-GB"/>
        </w:rPr>
      </w:pPr>
      <w:r w:rsidRPr="00F93161">
        <w:rPr>
          <w:lang w:val="en-GB"/>
        </w:rPr>
        <w:t xml:space="preserve">recommends that the Bulgarian, Austrian and Romanian rotating Presidencies of the EU Council establish and operate a permanent inter-institutional joint </w:t>
      </w:r>
      <w:r w:rsidR="00E6694D">
        <w:rPr>
          <w:lang w:val="en-GB"/>
        </w:rPr>
        <w:t>"</w:t>
      </w:r>
      <w:r w:rsidRPr="00F93161">
        <w:rPr>
          <w:lang w:val="en-GB"/>
        </w:rPr>
        <w:t>SMEs Advisory Group</w:t>
      </w:r>
      <w:r w:rsidR="00E6694D">
        <w:rPr>
          <w:lang w:val="en-GB"/>
        </w:rPr>
        <w:t>"</w:t>
      </w:r>
      <w:r w:rsidRPr="00F93161">
        <w:rPr>
          <w:lang w:val="en-GB"/>
        </w:rPr>
        <w:t xml:space="preserve"> with the SMEs' representative organisations.</w:t>
      </w:r>
    </w:p>
    <w:p w:rsidRPr="00F93161" w:rsidR="005B4883" w:rsidP="00CF635C" w:rsidRDefault="005B4883">
      <w:pPr>
        <w:rPr>
          <w:szCs w:val="24"/>
          <w:lang w:val="en-GB"/>
        </w:rPr>
      </w:pPr>
    </w:p>
    <w:p w:rsidRPr="00F93161" w:rsidR="005B4883" w:rsidP="00CF635C" w:rsidRDefault="005B4883">
      <w:pPr>
        <w:tabs>
          <w:tab w:val="left" w:pos="1418"/>
        </w:tabs>
        <w:textAlignment w:val="auto"/>
        <w:rPr>
          <w:i/>
          <w:lang w:val="en-GB"/>
        </w:rPr>
      </w:pPr>
      <w:r w:rsidRPr="00F93161">
        <w:rPr>
          <w:b/>
          <w:i/>
          <w:lang w:val="en-GB"/>
        </w:rPr>
        <w:t>Contact:</w:t>
      </w:r>
      <w:r w:rsidRPr="00F93161">
        <w:rPr>
          <w:lang w:val="en-GB"/>
        </w:rPr>
        <w:tab/>
      </w:r>
      <w:r w:rsidRPr="00F93161">
        <w:rPr>
          <w:i/>
          <w:lang w:val="en-GB"/>
        </w:rPr>
        <w:t>Jana Valant</w:t>
      </w:r>
    </w:p>
    <w:p w:rsidRPr="00F93161" w:rsidR="00C80F0D" w:rsidP="00CF635C" w:rsidRDefault="005B4883">
      <w:pPr>
        <w:ind w:left="1418"/>
        <w:rPr>
          <w:i/>
          <w:lang w:val="en-GB"/>
        </w:rPr>
      </w:pPr>
      <w:r w:rsidRPr="00F93161">
        <w:rPr>
          <w:i/>
          <w:lang w:val="en-GB"/>
        </w:rPr>
        <w:t xml:space="preserve">Tel.: 00 32 2 546 89 24 – e-mail: </w:t>
      </w:r>
      <w:hyperlink w:history="1" r:id="rId26">
        <w:r w:rsidRPr="00F93161">
          <w:rPr>
            <w:i/>
            <w:color w:val="0000FF"/>
            <w:u w:val="single"/>
            <w:lang w:val="en-GB"/>
          </w:rPr>
          <w:t>jana.valant@eesc.europa.eu</w:t>
        </w:r>
      </w:hyperlink>
    </w:p>
    <w:p w:rsidRPr="00F93161" w:rsidR="00A72E3F" w:rsidP="00CF635C" w:rsidRDefault="00A72E3F">
      <w:pPr>
        <w:textAlignment w:val="auto"/>
        <w:rPr>
          <w:i/>
          <w:iCs/>
          <w:szCs w:val="22"/>
          <w:u w:val="single"/>
          <w:lang w:val="en-GB"/>
        </w:rPr>
      </w:pPr>
    </w:p>
    <w:p w:rsidRPr="00F93161" w:rsidR="005B4883" w:rsidP="00CF635C" w:rsidRDefault="0039620F">
      <w:pPr>
        <w:pStyle w:val="ListParagraph"/>
        <w:widowControl w:val="0"/>
        <w:numPr>
          <w:ilvl w:val="0"/>
          <w:numId w:val="69"/>
        </w:numPr>
        <w:rPr>
          <w:b/>
          <w:i/>
          <w:sz w:val="28"/>
          <w:szCs w:val="28"/>
          <w:lang w:val="en-GB"/>
        </w:rPr>
      </w:pPr>
      <w:r w:rsidRPr="00F93161">
        <w:rPr>
          <w:b/>
          <w:i/>
          <w:sz w:val="28"/>
          <w:szCs w:val="28"/>
          <w:lang w:val="en-GB"/>
        </w:rPr>
        <w:t>Adopting a comprehensive approach to industrial policy in the EU – improving business environment and support for the competitiveness of the European industry</w:t>
      </w:r>
    </w:p>
    <w:p w:rsidRPr="00F93161" w:rsidR="005B4883" w:rsidP="00CF635C" w:rsidRDefault="005B4883">
      <w:pPr>
        <w:tabs>
          <w:tab w:val="center" w:pos="284"/>
        </w:tabs>
        <w:ind w:left="266" w:hanging="266"/>
        <w:rPr>
          <w:b/>
          <w:lang w:val="en-GB"/>
        </w:rPr>
      </w:pPr>
    </w:p>
    <w:p w:rsidRPr="00F93161" w:rsidR="005B4883" w:rsidP="00CF635C" w:rsidRDefault="005B4883">
      <w:pPr>
        <w:tabs>
          <w:tab w:val="center" w:pos="0"/>
          <w:tab w:val="left" w:pos="1701"/>
        </w:tabs>
        <w:rPr>
          <w:lang w:val="en-GB"/>
        </w:rPr>
      </w:pPr>
      <w:r w:rsidRPr="00F93161">
        <w:rPr>
          <w:b/>
          <w:lang w:val="en-GB"/>
        </w:rPr>
        <w:t>Rapporteur:</w:t>
      </w:r>
      <w:r w:rsidRPr="00F93161" w:rsidR="00383700">
        <w:rPr>
          <w:b/>
          <w:lang w:val="en-GB"/>
        </w:rPr>
        <w:tab/>
      </w:r>
      <w:r w:rsidRPr="00F93161">
        <w:rPr>
          <w:lang w:val="en-GB"/>
        </w:rPr>
        <w:t>Gonçalo LOBO XAVIER (Employers – PT)</w:t>
      </w:r>
    </w:p>
    <w:p w:rsidRPr="00F93161" w:rsidR="005B4883" w:rsidP="00CF635C" w:rsidRDefault="0039620F">
      <w:pPr>
        <w:tabs>
          <w:tab w:val="center" w:pos="0"/>
          <w:tab w:val="left" w:pos="1701"/>
        </w:tabs>
        <w:rPr>
          <w:b/>
          <w:lang w:val="en-GB"/>
        </w:rPr>
      </w:pPr>
      <w:r w:rsidRPr="00F93161">
        <w:rPr>
          <w:b/>
          <w:lang w:val="en-GB"/>
        </w:rPr>
        <w:t>Co-rapporteur:</w:t>
      </w:r>
      <w:r w:rsidRPr="00F93161">
        <w:rPr>
          <w:b/>
          <w:lang w:val="en-GB"/>
        </w:rPr>
        <w:tab/>
      </w:r>
      <w:r w:rsidRPr="00F93161">
        <w:rPr>
          <w:lang w:val="en-GB"/>
        </w:rPr>
        <w:t xml:space="preserve">Dirk </w:t>
      </w:r>
      <w:r w:rsidRPr="00F93161">
        <w:rPr>
          <w:caps/>
          <w:lang w:val="en-GB"/>
        </w:rPr>
        <w:t>Bergrath</w:t>
      </w:r>
      <w:r w:rsidRPr="00F93161">
        <w:rPr>
          <w:lang w:val="en-GB"/>
        </w:rPr>
        <w:t xml:space="preserve"> (Workers –DE</w:t>
      </w:r>
      <w:r w:rsidRPr="00F93161">
        <w:rPr>
          <w:b/>
          <w:lang w:val="en-GB"/>
        </w:rPr>
        <w:t>)</w:t>
      </w:r>
    </w:p>
    <w:p w:rsidRPr="00F93161" w:rsidR="0039620F" w:rsidP="00CF635C" w:rsidRDefault="0039620F">
      <w:pPr>
        <w:tabs>
          <w:tab w:val="center" w:pos="0"/>
          <w:tab w:val="left" w:pos="1701"/>
        </w:tabs>
        <w:rPr>
          <w:b/>
          <w:lang w:val="en-GB"/>
        </w:rPr>
      </w:pPr>
    </w:p>
    <w:p w:rsidRPr="00F93161" w:rsidR="005B4883" w:rsidP="00CF635C" w:rsidRDefault="00093786">
      <w:pPr>
        <w:tabs>
          <w:tab w:val="center" w:pos="0"/>
          <w:tab w:val="left" w:pos="1701"/>
        </w:tabs>
        <w:rPr>
          <w:lang w:val="en-GB"/>
        </w:rPr>
      </w:pPr>
      <w:r>
        <w:rPr>
          <w:b/>
          <w:lang w:val="en-GB"/>
        </w:rPr>
        <w:t>Reference</w:t>
      </w:r>
      <w:r w:rsidRPr="00F93161" w:rsidR="005B4883">
        <w:rPr>
          <w:b/>
          <w:lang w:val="en-GB"/>
        </w:rPr>
        <w:t>:</w:t>
      </w:r>
      <w:r w:rsidRPr="00F93161" w:rsidR="005B4883">
        <w:rPr>
          <w:b/>
          <w:lang w:val="en-GB"/>
        </w:rPr>
        <w:tab/>
      </w:r>
      <w:r w:rsidRPr="00F93161" w:rsidR="0039620F">
        <w:rPr>
          <w:lang w:val="en-GB"/>
        </w:rPr>
        <w:t>Exploratory opinion</w:t>
      </w:r>
    </w:p>
    <w:p w:rsidRPr="00F93161" w:rsidR="005B4883" w:rsidP="00CF635C" w:rsidRDefault="005B4883">
      <w:pPr>
        <w:ind w:left="1701"/>
        <w:rPr>
          <w:szCs w:val="22"/>
          <w:lang w:val="en-GB"/>
        </w:rPr>
      </w:pPr>
      <w:r w:rsidRPr="00F93161">
        <w:rPr>
          <w:lang w:val="en-GB"/>
        </w:rPr>
        <w:t>EESC-2017-04732-00-00-AC-TRA</w:t>
      </w:r>
    </w:p>
    <w:p w:rsidRPr="00F93161" w:rsidR="005B4883" w:rsidP="00CF635C" w:rsidRDefault="005B4883">
      <w:pPr>
        <w:tabs>
          <w:tab w:val="center" w:pos="284"/>
        </w:tabs>
        <w:ind w:left="266" w:hanging="266"/>
        <w:rPr>
          <w:lang w:val="en-GB"/>
        </w:rPr>
      </w:pPr>
    </w:p>
    <w:p w:rsidR="005B4883" w:rsidP="00CF635C" w:rsidRDefault="0039620F">
      <w:pPr>
        <w:keepNext/>
        <w:keepLines/>
        <w:tabs>
          <w:tab w:val="center" w:pos="284"/>
        </w:tabs>
        <w:ind w:left="266" w:hanging="266"/>
        <w:rPr>
          <w:b/>
          <w:szCs w:val="22"/>
          <w:lang w:val="en-GB"/>
        </w:rPr>
      </w:pPr>
      <w:r w:rsidRPr="00F93161">
        <w:rPr>
          <w:b/>
          <w:szCs w:val="22"/>
          <w:lang w:val="en-GB"/>
        </w:rPr>
        <w:t xml:space="preserve">Key </w:t>
      </w:r>
      <w:r w:rsidRPr="00F93161" w:rsidR="005B4883">
        <w:rPr>
          <w:b/>
          <w:szCs w:val="22"/>
          <w:lang w:val="en-GB"/>
        </w:rPr>
        <w:t>Points:</w:t>
      </w:r>
    </w:p>
    <w:p w:rsidRPr="00F93161" w:rsidR="00E6694D" w:rsidP="00CF635C" w:rsidRDefault="00E6694D">
      <w:pPr>
        <w:ind w:left="-567"/>
        <w:rPr>
          <w:b/>
          <w:szCs w:val="22"/>
          <w:lang w:val="en-GB"/>
        </w:rPr>
      </w:pPr>
    </w:p>
    <w:p w:rsidRPr="00F93161" w:rsidR="005B4883" w:rsidP="00CF635C" w:rsidRDefault="005B4883">
      <w:pPr>
        <w:rPr>
          <w:lang w:val="en-GB"/>
        </w:rPr>
      </w:pPr>
      <w:r w:rsidRPr="00F93161">
        <w:rPr>
          <w:lang w:val="en-GB"/>
        </w:rPr>
        <w:t>The EESC:</w:t>
      </w:r>
    </w:p>
    <w:p w:rsidRPr="00F93161" w:rsidR="005B4883" w:rsidP="00CF635C" w:rsidRDefault="005B4883">
      <w:pPr>
        <w:pStyle w:val="ListParagraph"/>
        <w:numPr>
          <w:ilvl w:val="0"/>
          <w:numId w:val="61"/>
        </w:numPr>
        <w:rPr>
          <w:lang w:val="en-GB"/>
        </w:rPr>
      </w:pPr>
      <w:r w:rsidRPr="00F93161">
        <w:rPr>
          <w:lang w:val="en-GB"/>
        </w:rPr>
        <w:t>urges the Commission and the Member States to adopt a long-term and comprehensive strategy with a global vision</w:t>
      </w:r>
      <w:r w:rsidR="00876D7B">
        <w:rPr>
          <w:lang w:val="en-GB"/>
        </w:rPr>
        <w:t>;</w:t>
      </w:r>
    </w:p>
    <w:p w:rsidRPr="00F93161" w:rsidR="005B4883" w:rsidP="00CF635C" w:rsidRDefault="005B4883">
      <w:pPr>
        <w:pStyle w:val="ListParagraph"/>
        <w:numPr>
          <w:ilvl w:val="0"/>
          <w:numId w:val="61"/>
        </w:numPr>
        <w:rPr>
          <w:lang w:val="en-GB"/>
        </w:rPr>
      </w:pPr>
      <w:r w:rsidRPr="00F93161">
        <w:rPr>
          <w:lang w:val="en-GB"/>
        </w:rPr>
        <w:t>believes that specific policy changes regarding education, R&amp;D activities, public and private investment and productivity must be on the agenda to achieve a better balance between the Member States in the field of competitiveness</w:t>
      </w:r>
    </w:p>
    <w:p w:rsidRPr="00F93161" w:rsidR="005B4883" w:rsidP="00CF635C" w:rsidRDefault="005B4883">
      <w:pPr>
        <w:pStyle w:val="ListParagraph"/>
        <w:numPr>
          <w:ilvl w:val="0"/>
          <w:numId w:val="61"/>
        </w:numPr>
        <w:rPr>
          <w:lang w:val="en-GB"/>
        </w:rPr>
      </w:pPr>
      <w:r w:rsidRPr="00F93161">
        <w:rPr>
          <w:lang w:val="en-GB"/>
        </w:rPr>
        <w:t>strongly believes that Europe's attractiveness must be a priority for any industrial policy based on innovation and competitiveness</w:t>
      </w:r>
    </w:p>
    <w:p w:rsidRPr="00F93161" w:rsidR="005B4883" w:rsidP="00CF635C" w:rsidRDefault="005B4883">
      <w:pPr>
        <w:pStyle w:val="ListParagraph"/>
        <w:numPr>
          <w:ilvl w:val="0"/>
          <w:numId w:val="61"/>
        </w:numPr>
        <w:rPr>
          <w:lang w:val="en-GB"/>
        </w:rPr>
      </w:pPr>
      <w:r w:rsidRPr="00F93161">
        <w:rPr>
          <w:lang w:val="en-GB"/>
        </w:rPr>
        <w:t>fully supports the annual "Industry Day" as a way of highlighting the EU's priorities</w:t>
      </w:r>
    </w:p>
    <w:p w:rsidRPr="00F93161" w:rsidR="005B4883" w:rsidP="00CF635C" w:rsidRDefault="005B4883">
      <w:pPr>
        <w:pStyle w:val="ListParagraph"/>
        <w:numPr>
          <w:ilvl w:val="0"/>
          <w:numId w:val="61"/>
        </w:numPr>
        <w:rPr>
          <w:lang w:val="en-GB"/>
        </w:rPr>
      </w:pPr>
      <w:r w:rsidRPr="00F93161">
        <w:rPr>
          <w:lang w:val="en-GB"/>
        </w:rPr>
        <w:t>considers that new policies on skills should be designed with the involvement of civil society organisations and the social partners in order to speed up the adaptation of education and training systems to match the new jobs that are on the horizon</w:t>
      </w:r>
    </w:p>
    <w:p w:rsidRPr="00F93161" w:rsidR="005B4883" w:rsidP="00CF635C" w:rsidRDefault="005B4883">
      <w:pPr>
        <w:pStyle w:val="ListParagraph"/>
        <w:numPr>
          <w:ilvl w:val="0"/>
          <w:numId w:val="61"/>
        </w:numPr>
        <w:rPr>
          <w:b/>
          <w:lang w:val="en-GB"/>
        </w:rPr>
      </w:pPr>
      <w:r w:rsidRPr="00F93161">
        <w:rPr>
          <w:lang w:val="en-GB"/>
        </w:rPr>
        <w:t>believes that it is crucial for a level playing-field that a compromise be reached concerning the respect of fair trade among global players</w:t>
      </w:r>
    </w:p>
    <w:p w:rsidRPr="00F93161" w:rsidR="005B4883" w:rsidP="00CF635C" w:rsidRDefault="005B4883">
      <w:pPr>
        <w:rPr>
          <w:b/>
          <w:szCs w:val="22"/>
          <w:lang w:val="en-GB"/>
        </w:rPr>
      </w:pPr>
    </w:p>
    <w:p w:rsidRPr="00F93161" w:rsidR="005B4883" w:rsidP="00CF635C" w:rsidRDefault="005B4883">
      <w:pPr>
        <w:tabs>
          <w:tab w:val="left" w:pos="1418"/>
        </w:tabs>
        <w:textAlignment w:val="auto"/>
        <w:rPr>
          <w:i/>
          <w:lang w:val="en-GB"/>
        </w:rPr>
      </w:pPr>
      <w:r w:rsidRPr="00F93161">
        <w:rPr>
          <w:b/>
          <w:i/>
          <w:lang w:val="en-GB"/>
        </w:rPr>
        <w:t>Contact:</w:t>
      </w:r>
      <w:r w:rsidRPr="00F93161">
        <w:rPr>
          <w:lang w:val="en-GB"/>
        </w:rPr>
        <w:tab/>
      </w:r>
      <w:r w:rsidRPr="00F93161">
        <w:rPr>
          <w:i/>
          <w:lang w:val="en-GB"/>
        </w:rPr>
        <w:t>Luís Lobo</w:t>
      </w:r>
    </w:p>
    <w:p w:rsidRPr="00F93161" w:rsidR="00C80F0D" w:rsidP="00CF635C" w:rsidRDefault="005B4883">
      <w:pPr>
        <w:tabs>
          <w:tab w:val="left" w:pos="-6946"/>
        </w:tabs>
        <w:ind w:left="1418"/>
        <w:rPr>
          <w:highlight w:val="yellow"/>
          <w:lang w:val="en-GB"/>
        </w:rPr>
      </w:pPr>
      <w:r w:rsidRPr="00F93161">
        <w:rPr>
          <w:i/>
          <w:lang w:val="en-GB"/>
        </w:rPr>
        <w:t xml:space="preserve">Tel.: 00 32 2 546 97 17 – e-mail: </w:t>
      </w:r>
      <w:hyperlink w:history="1" r:id="rId27">
        <w:r w:rsidRPr="00F93161">
          <w:rPr>
            <w:i/>
            <w:color w:val="0000FF"/>
            <w:u w:val="single"/>
            <w:lang w:val="en-GB"/>
          </w:rPr>
          <w:t>luis.lobo@eesc.europa.eu</w:t>
        </w:r>
      </w:hyperlink>
    </w:p>
    <w:p w:rsidRPr="00F93161" w:rsidR="00A72E3F" w:rsidP="00CF635C" w:rsidRDefault="00A72E3F">
      <w:pPr>
        <w:textAlignment w:val="auto"/>
        <w:rPr>
          <w:i/>
          <w:iCs/>
          <w:szCs w:val="22"/>
          <w:u w:val="single"/>
          <w:lang w:val="en-GB"/>
        </w:rPr>
      </w:pPr>
    </w:p>
    <w:p w:rsidRPr="00F93161" w:rsidR="00C80F0D" w:rsidP="00CF635C" w:rsidRDefault="00F43CDE">
      <w:pPr>
        <w:pStyle w:val="ListParagraph"/>
        <w:widowControl w:val="0"/>
        <w:numPr>
          <w:ilvl w:val="0"/>
          <w:numId w:val="63"/>
        </w:numPr>
        <w:rPr>
          <w:b/>
          <w:i/>
          <w:sz w:val="28"/>
          <w:szCs w:val="28"/>
          <w:lang w:val="en-GB"/>
        </w:rPr>
      </w:pPr>
      <w:r w:rsidRPr="00F93161">
        <w:rPr>
          <w:b/>
          <w:i/>
          <w:sz w:val="28"/>
          <w:szCs w:val="28"/>
          <w:lang w:val="en-GB"/>
        </w:rPr>
        <w:t>Combating fraud and counterfeiting of non-cash means of payment</w:t>
      </w:r>
    </w:p>
    <w:p w:rsidRPr="00F93161" w:rsidR="00C80F0D" w:rsidP="00CF635C" w:rsidRDefault="00C80F0D">
      <w:pPr>
        <w:tabs>
          <w:tab w:val="center" w:pos="284"/>
        </w:tabs>
        <w:ind w:left="266" w:hanging="266"/>
        <w:rPr>
          <w:b/>
          <w:lang w:val="en-GB"/>
        </w:rPr>
      </w:pPr>
    </w:p>
    <w:p w:rsidRPr="00F93161" w:rsidR="00C80F0D" w:rsidP="00CF635C" w:rsidRDefault="00C80F0D">
      <w:pPr>
        <w:tabs>
          <w:tab w:val="center" w:pos="284"/>
          <w:tab w:val="left" w:pos="1701"/>
        </w:tabs>
        <w:ind w:left="266" w:hanging="266"/>
        <w:rPr>
          <w:lang w:val="en-GB"/>
        </w:rPr>
      </w:pPr>
      <w:r w:rsidRPr="00F93161">
        <w:rPr>
          <w:b/>
          <w:lang w:val="en-GB"/>
        </w:rPr>
        <w:t>Rapporteur:</w:t>
      </w:r>
      <w:r w:rsidRPr="00F93161">
        <w:rPr>
          <w:b/>
          <w:lang w:val="en-GB"/>
        </w:rPr>
        <w:tab/>
      </w:r>
      <w:r w:rsidRPr="00F93161">
        <w:rPr>
          <w:lang w:val="en-GB"/>
        </w:rPr>
        <w:t>Victor ALISTAR (</w:t>
      </w:r>
      <w:r w:rsidRPr="00F93161" w:rsidR="00A31462">
        <w:rPr>
          <w:lang w:val="en-GB"/>
        </w:rPr>
        <w:t xml:space="preserve">Various interests </w:t>
      </w:r>
      <w:r w:rsidRPr="00F93161">
        <w:rPr>
          <w:lang w:val="en-GB"/>
        </w:rPr>
        <w:t>– RO)</w:t>
      </w:r>
    </w:p>
    <w:p w:rsidRPr="00F93161" w:rsidR="00C80F0D" w:rsidP="00CF635C" w:rsidRDefault="00C80F0D">
      <w:pPr>
        <w:tabs>
          <w:tab w:val="center" w:pos="284"/>
        </w:tabs>
        <w:ind w:left="266" w:hanging="266"/>
        <w:rPr>
          <w:b/>
          <w:lang w:val="en-GB"/>
        </w:rPr>
      </w:pPr>
    </w:p>
    <w:p w:rsidRPr="00F93161" w:rsidR="00C80F0D" w:rsidP="00CF635C" w:rsidRDefault="00093786">
      <w:pPr>
        <w:tabs>
          <w:tab w:val="center" w:pos="284"/>
          <w:tab w:val="left" w:pos="1701"/>
        </w:tabs>
        <w:ind w:left="266" w:hanging="266"/>
        <w:rPr>
          <w:lang w:val="en-GB"/>
        </w:rPr>
      </w:pPr>
      <w:r>
        <w:rPr>
          <w:b/>
          <w:lang w:val="en-GB"/>
        </w:rPr>
        <w:t>Reference</w:t>
      </w:r>
      <w:r w:rsidRPr="00F93161" w:rsidR="00C80F0D">
        <w:rPr>
          <w:b/>
          <w:lang w:val="en-GB"/>
        </w:rPr>
        <w:t>:</w:t>
      </w:r>
      <w:r w:rsidRPr="00F93161" w:rsidR="00C80F0D">
        <w:rPr>
          <w:b/>
          <w:lang w:val="en-GB"/>
        </w:rPr>
        <w:tab/>
      </w:r>
      <w:r w:rsidRPr="00F93161" w:rsidR="00C80F0D">
        <w:rPr>
          <w:lang w:val="en-GB"/>
        </w:rPr>
        <w:t>COM(2017) 489 final – 2017/0226 (COD)</w:t>
      </w:r>
    </w:p>
    <w:p w:rsidRPr="00F93161" w:rsidR="00C80F0D" w:rsidP="00CF635C" w:rsidRDefault="00C80F0D">
      <w:pPr>
        <w:ind w:left="1701"/>
        <w:rPr>
          <w:szCs w:val="22"/>
          <w:lang w:val="en-GB"/>
        </w:rPr>
      </w:pPr>
      <w:r w:rsidRPr="00F93161">
        <w:rPr>
          <w:lang w:val="en-GB"/>
        </w:rPr>
        <w:t>EESC-2017-04514-00-00-AC-TRA</w:t>
      </w:r>
    </w:p>
    <w:p w:rsidRPr="00F93161" w:rsidR="00C80F0D" w:rsidP="00CF635C" w:rsidRDefault="00C80F0D">
      <w:pPr>
        <w:tabs>
          <w:tab w:val="center" w:pos="284"/>
        </w:tabs>
        <w:ind w:left="266" w:hanging="266"/>
        <w:rPr>
          <w:lang w:val="en-GB"/>
        </w:rPr>
      </w:pPr>
    </w:p>
    <w:p w:rsidR="00E6694D" w:rsidP="00CF635C" w:rsidRDefault="0039620F">
      <w:pPr>
        <w:keepNext/>
        <w:keepLines/>
        <w:tabs>
          <w:tab w:val="center" w:pos="284"/>
        </w:tabs>
        <w:ind w:left="266" w:hanging="266"/>
        <w:rPr>
          <w:b/>
          <w:szCs w:val="22"/>
          <w:lang w:val="en-GB"/>
        </w:rPr>
      </w:pPr>
      <w:r w:rsidRPr="00F93161">
        <w:rPr>
          <w:b/>
          <w:szCs w:val="22"/>
          <w:lang w:val="en-GB"/>
        </w:rPr>
        <w:t>Key Points:</w:t>
      </w:r>
    </w:p>
    <w:p w:rsidRPr="00F93161" w:rsidR="00CF635C" w:rsidP="00CF635C" w:rsidRDefault="00CF635C">
      <w:pPr>
        <w:rPr>
          <w:b/>
          <w:szCs w:val="22"/>
          <w:lang w:val="en-GB"/>
        </w:rPr>
      </w:pPr>
    </w:p>
    <w:p w:rsidRPr="00F93161" w:rsidR="00C80F0D" w:rsidP="00CF635C" w:rsidRDefault="00C80F0D">
      <w:pPr>
        <w:keepNext/>
        <w:overflowPunct/>
        <w:adjustRightInd/>
        <w:textAlignment w:val="auto"/>
        <w:rPr>
          <w:color w:val="000000"/>
          <w:lang w:val="en-GB"/>
        </w:rPr>
      </w:pPr>
      <w:r w:rsidRPr="00F93161">
        <w:rPr>
          <w:color w:val="000000"/>
          <w:lang w:val="en-GB"/>
        </w:rPr>
        <w:t>The EESC:</w:t>
      </w:r>
    </w:p>
    <w:p w:rsidRPr="00F93161" w:rsidR="00C80F0D" w:rsidP="00CF635C" w:rsidRDefault="00C80F0D">
      <w:pPr>
        <w:pStyle w:val="ListParagraph"/>
        <w:numPr>
          <w:ilvl w:val="0"/>
          <w:numId w:val="61"/>
        </w:numPr>
        <w:rPr>
          <w:lang w:val="en-GB"/>
        </w:rPr>
      </w:pPr>
      <w:r w:rsidRPr="00F93161">
        <w:rPr>
          <w:lang w:val="en-GB"/>
        </w:rPr>
        <w:t xml:space="preserve">welcomes the Commission's initiative to prioritise the fight against cybercrime, as it aims to protect Europeans and businesses from cybercrime networks, and includes measures to boost confidence in the use of electronic payment instruments; </w:t>
      </w:r>
    </w:p>
    <w:p w:rsidRPr="00F93161" w:rsidR="00C80F0D" w:rsidP="00CF635C" w:rsidRDefault="00C80F0D">
      <w:pPr>
        <w:pStyle w:val="ListParagraph"/>
        <w:numPr>
          <w:ilvl w:val="0"/>
          <w:numId w:val="61"/>
        </w:numPr>
        <w:rPr>
          <w:lang w:val="en-GB"/>
        </w:rPr>
      </w:pPr>
      <w:r w:rsidRPr="00F93161">
        <w:rPr>
          <w:lang w:val="en-GB"/>
        </w:rPr>
        <w:t xml:space="preserve">is of the view that the benefits of digitisation must be flanked by mechanisms able to meet the accompanying challenges, so that the European economy and Europeans can enjoy the information society to the full; </w:t>
      </w:r>
    </w:p>
    <w:p w:rsidRPr="00F93161" w:rsidR="00C80F0D" w:rsidP="00CF635C" w:rsidRDefault="00C80F0D">
      <w:pPr>
        <w:pStyle w:val="ListParagraph"/>
        <w:numPr>
          <w:ilvl w:val="0"/>
          <w:numId w:val="61"/>
        </w:numPr>
        <w:rPr>
          <w:lang w:val="en-GB"/>
        </w:rPr>
      </w:pPr>
      <w:r w:rsidRPr="00F93161">
        <w:rPr>
          <w:lang w:val="en-GB"/>
        </w:rPr>
        <w:t>finds that a number of shortcomings need to be addressed and corrected in Articles 11, 12, 13 and 16 (settling conflicts of jurisdiction, exchange of best practice, specific measures on prevention to provide information, reinforcement of Article 16);</w:t>
      </w:r>
    </w:p>
    <w:p w:rsidRPr="00F93161" w:rsidR="00C80F0D" w:rsidP="00CF635C" w:rsidRDefault="00C80F0D">
      <w:pPr>
        <w:pStyle w:val="ListParagraph"/>
        <w:numPr>
          <w:ilvl w:val="0"/>
          <w:numId w:val="61"/>
        </w:numPr>
        <w:rPr>
          <w:lang w:val="en-GB"/>
        </w:rPr>
      </w:pPr>
      <w:r w:rsidRPr="00F93161">
        <w:rPr>
          <w:lang w:val="en-GB"/>
        </w:rPr>
        <w:t>is of the opinion that it is important to establish deterrents and mechanisms to inform the public about the modus operandi of offenders as well, through awareness-raising campaigns conducted by law enforcement authorities in the Member States.</w:t>
      </w:r>
    </w:p>
    <w:p w:rsidRPr="00F93161" w:rsidR="00C80F0D" w:rsidP="00CF635C" w:rsidRDefault="00C80F0D">
      <w:pPr>
        <w:rPr>
          <w:b/>
          <w:szCs w:val="22"/>
          <w:lang w:val="en-GB"/>
        </w:rPr>
      </w:pPr>
    </w:p>
    <w:p w:rsidRPr="00F93161" w:rsidR="00C80F0D" w:rsidP="00CF635C" w:rsidRDefault="00C80F0D">
      <w:pPr>
        <w:tabs>
          <w:tab w:val="left" w:pos="1418"/>
        </w:tabs>
        <w:textAlignment w:val="auto"/>
        <w:rPr>
          <w:i/>
          <w:lang w:val="en-GB"/>
        </w:rPr>
      </w:pPr>
      <w:r w:rsidRPr="00F93161">
        <w:rPr>
          <w:b/>
          <w:i/>
          <w:lang w:val="en-GB"/>
        </w:rPr>
        <w:t>Contact:</w:t>
      </w:r>
      <w:r w:rsidRPr="00F93161">
        <w:rPr>
          <w:lang w:val="en-GB"/>
        </w:rPr>
        <w:tab/>
      </w:r>
      <w:r w:rsidRPr="00F93161">
        <w:rPr>
          <w:i/>
          <w:lang w:val="en-GB"/>
        </w:rPr>
        <w:t>Claudia Drewes-Wran</w:t>
      </w:r>
    </w:p>
    <w:p w:rsidRPr="00F93161" w:rsidR="00391A85" w:rsidP="00CF635C" w:rsidRDefault="00C80F0D">
      <w:pPr>
        <w:ind w:left="1418"/>
        <w:jc w:val="left"/>
        <w:rPr>
          <w:i/>
          <w:lang w:val="en-GB"/>
        </w:rPr>
      </w:pPr>
      <w:r w:rsidRPr="00F93161">
        <w:rPr>
          <w:i/>
          <w:lang w:val="en-GB"/>
        </w:rPr>
        <w:t xml:space="preserve">Tel.: 00 32 2 546 80 67 – e-mail: </w:t>
      </w:r>
      <w:hyperlink w:history="1" r:id="rId28">
        <w:r w:rsidRPr="00F93161">
          <w:rPr>
            <w:i/>
            <w:color w:val="0000FF"/>
            <w:u w:val="single"/>
            <w:lang w:val="en-GB"/>
          </w:rPr>
          <w:t>claudia.drewes-wran@eesc.europa.eu</w:t>
        </w:r>
      </w:hyperlink>
    </w:p>
    <w:p w:rsidRPr="00F93161" w:rsidR="005828CD" w:rsidP="005828CD" w:rsidRDefault="005828CD">
      <w:pPr>
        <w:keepNext/>
        <w:overflowPunct/>
        <w:autoSpaceDE/>
        <w:autoSpaceDN/>
        <w:adjustRightInd/>
        <w:spacing w:line="240" w:lineRule="auto"/>
        <w:jc w:val="left"/>
        <w:textAlignment w:val="auto"/>
        <w:rPr>
          <w:lang w:val="en-GB"/>
        </w:rPr>
      </w:pPr>
    </w:p>
    <w:p w:rsidRPr="00F93161" w:rsidR="001A141E" w:rsidP="00F93161" w:rsidRDefault="00F43CDE">
      <w:pPr>
        <w:pStyle w:val="ListParagraph"/>
        <w:keepNext/>
        <w:widowControl w:val="0"/>
        <w:numPr>
          <w:ilvl w:val="0"/>
          <w:numId w:val="86"/>
        </w:numPr>
        <w:rPr>
          <w:b/>
          <w:i/>
          <w:sz w:val="28"/>
          <w:szCs w:val="28"/>
          <w:lang w:val="en-GB"/>
        </w:rPr>
      </w:pPr>
      <w:r w:rsidRPr="00F93161">
        <w:rPr>
          <w:b/>
          <w:i/>
          <w:sz w:val="28"/>
          <w:szCs w:val="28"/>
          <w:lang w:val="en-GB"/>
        </w:rPr>
        <w:t>Location of the seat of the European Medicines Agency</w:t>
      </w:r>
    </w:p>
    <w:p w:rsidRPr="00F93161" w:rsidR="001A141E" w:rsidP="00C94BED" w:rsidRDefault="001A141E">
      <w:pPr>
        <w:keepNext/>
        <w:tabs>
          <w:tab w:val="center" w:pos="284"/>
        </w:tabs>
        <w:ind w:left="266" w:hanging="266"/>
        <w:rPr>
          <w:b/>
          <w:lang w:val="en-GB"/>
        </w:rPr>
      </w:pPr>
    </w:p>
    <w:p w:rsidRPr="00F93161" w:rsidR="001A141E" w:rsidP="001A141E" w:rsidRDefault="001A141E">
      <w:pPr>
        <w:tabs>
          <w:tab w:val="center" w:pos="284"/>
        </w:tabs>
        <w:ind w:left="266" w:hanging="266"/>
        <w:rPr>
          <w:lang w:val="en-GB"/>
        </w:rPr>
      </w:pPr>
      <w:r w:rsidRPr="00F93161">
        <w:rPr>
          <w:b/>
          <w:lang w:val="en-GB"/>
        </w:rPr>
        <w:t>Cat</w:t>
      </w:r>
      <w:r w:rsidR="00876D7B">
        <w:rPr>
          <w:b/>
          <w:lang w:val="en-GB"/>
        </w:rPr>
        <w:t>e</w:t>
      </w:r>
      <w:r w:rsidRPr="00F93161">
        <w:rPr>
          <w:b/>
          <w:lang w:val="en-GB"/>
        </w:rPr>
        <w:t>gor</w:t>
      </w:r>
      <w:r w:rsidR="00876D7B">
        <w:rPr>
          <w:b/>
          <w:lang w:val="en-GB"/>
        </w:rPr>
        <w:t>y</w:t>
      </w:r>
      <w:r w:rsidRPr="00F93161">
        <w:rPr>
          <w:b/>
          <w:lang w:val="en-GB"/>
        </w:rPr>
        <w:t xml:space="preserve"> C</w:t>
      </w:r>
      <w:r w:rsidRPr="00F93161" w:rsidR="00F43CDE">
        <w:rPr>
          <w:b/>
          <w:lang w:val="en-GB"/>
        </w:rPr>
        <w:t xml:space="preserve"> opinion</w:t>
      </w:r>
    </w:p>
    <w:p w:rsidRPr="00F93161" w:rsidR="001A141E" w:rsidP="001A141E" w:rsidRDefault="001A141E">
      <w:pPr>
        <w:tabs>
          <w:tab w:val="center" w:pos="284"/>
        </w:tabs>
        <w:ind w:left="266" w:hanging="266"/>
        <w:rPr>
          <w:b/>
          <w:lang w:val="en-GB"/>
        </w:rPr>
      </w:pPr>
    </w:p>
    <w:p w:rsidRPr="00F93161" w:rsidR="001A141E" w:rsidP="00F93161" w:rsidRDefault="00093786">
      <w:pPr>
        <w:tabs>
          <w:tab w:val="left" w:pos="1701"/>
        </w:tabs>
        <w:ind w:left="266" w:hanging="266"/>
        <w:rPr>
          <w:lang w:val="en-GB"/>
        </w:rPr>
      </w:pPr>
      <w:r w:rsidRPr="00093786">
        <w:rPr>
          <w:b/>
          <w:lang w:val="en-GB"/>
        </w:rPr>
        <w:t>Reference</w:t>
      </w:r>
      <w:r w:rsidRPr="00F93161" w:rsidR="001A141E">
        <w:rPr>
          <w:b/>
          <w:lang w:val="en-GB"/>
        </w:rPr>
        <w:t>:</w:t>
      </w:r>
      <w:r w:rsidRPr="00F93161" w:rsidR="001A141E">
        <w:rPr>
          <w:b/>
          <w:lang w:val="en-GB"/>
        </w:rPr>
        <w:tab/>
      </w:r>
      <w:r w:rsidRPr="00F93161" w:rsidR="001A141E">
        <w:rPr>
          <w:lang w:val="en-GB"/>
        </w:rPr>
        <w:t>COM(2017) 735 final – 2017/0328 (COD)</w:t>
      </w:r>
    </w:p>
    <w:p w:rsidRPr="00F93161" w:rsidR="001A141E" w:rsidP="00F93161" w:rsidRDefault="001A141E">
      <w:pPr>
        <w:tabs>
          <w:tab w:val="left" w:pos="1701"/>
        </w:tabs>
        <w:rPr>
          <w:szCs w:val="22"/>
          <w:lang w:val="en-GB"/>
        </w:rPr>
      </w:pPr>
      <w:r w:rsidRPr="00F93161">
        <w:rPr>
          <w:lang w:val="en-GB"/>
        </w:rPr>
        <w:tab/>
        <w:t>EESC-2018-00004-00-00-AC-TRA</w:t>
      </w:r>
    </w:p>
    <w:p w:rsidRPr="00F93161" w:rsidR="001A141E" w:rsidP="001A141E" w:rsidRDefault="001A141E">
      <w:pPr>
        <w:tabs>
          <w:tab w:val="center" w:pos="284"/>
        </w:tabs>
        <w:ind w:left="266" w:hanging="266"/>
        <w:rPr>
          <w:lang w:val="en-GB"/>
        </w:rPr>
      </w:pPr>
    </w:p>
    <w:p w:rsidRPr="00F93161" w:rsidR="001A141E" w:rsidP="001A141E" w:rsidRDefault="0039620F">
      <w:pPr>
        <w:keepNext/>
        <w:keepLines/>
        <w:tabs>
          <w:tab w:val="center" w:pos="284"/>
        </w:tabs>
        <w:ind w:left="266" w:hanging="266"/>
        <w:rPr>
          <w:b/>
          <w:szCs w:val="22"/>
          <w:lang w:val="en-GB"/>
        </w:rPr>
      </w:pPr>
      <w:r w:rsidRPr="00F93161">
        <w:rPr>
          <w:b/>
          <w:szCs w:val="22"/>
          <w:lang w:val="en-GB"/>
        </w:rPr>
        <w:t>Key Points:</w:t>
      </w:r>
    </w:p>
    <w:p w:rsidRPr="00BF15FD" w:rsidR="00BF15FD" w:rsidP="00BF15FD" w:rsidRDefault="00BF15FD">
      <w:pPr>
        <w:rPr>
          <w:lang w:val="en-GB"/>
        </w:rPr>
      </w:pPr>
    </w:p>
    <w:p w:rsidRPr="00F93161" w:rsidR="00B05746" w:rsidP="00B05746" w:rsidRDefault="00B05746">
      <w:pPr>
        <w:pStyle w:val="Heading2"/>
        <w:numPr>
          <w:ilvl w:val="0"/>
          <w:numId w:val="0"/>
        </w:numPr>
        <w:rPr>
          <w:lang w:val="en-GB"/>
        </w:rPr>
      </w:pPr>
      <w:r w:rsidRPr="00F93161">
        <w:rPr>
          <w:lang w:val="en-GB"/>
        </w:rPr>
        <w:t>Since the Committee endorses the content of the Commission proposal and feels that it requires no comment on its part, it decided to issue an opinion supporting the proposed text.</w:t>
      </w:r>
    </w:p>
    <w:p w:rsidRPr="00F93161" w:rsidR="001A141E" w:rsidP="001A141E" w:rsidRDefault="001A141E">
      <w:pPr>
        <w:rPr>
          <w:szCs w:val="24"/>
          <w:lang w:val="en-GB"/>
        </w:rPr>
      </w:pPr>
    </w:p>
    <w:p w:rsidRPr="00F93161" w:rsidR="001A141E" w:rsidP="001A141E" w:rsidRDefault="001A141E">
      <w:pPr>
        <w:tabs>
          <w:tab w:val="left" w:pos="1418"/>
        </w:tabs>
        <w:textAlignment w:val="auto"/>
        <w:rPr>
          <w:i/>
          <w:lang w:val="en-GB"/>
        </w:rPr>
      </w:pPr>
      <w:r w:rsidRPr="00F93161">
        <w:rPr>
          <w:b/>
          <w:i/>
          <w:lang w:val="en-GB"/>
        </w:rPr>
        <w:t>Contact</w:t>
      </w:r>
      <w:r w:rsidRPr="00F93161">
        <w:rPr>
          <w:lang w:val="en-GB"/>
        </w:rPr>
        <w:t>:</w:t>
      </w:r>
      <w:r w:rsidRPr="00F93161">
        <w:rPr>
          <w:lang w:val="en-GB"/>
        </w:rPr>
        <w:tab/>
      </w:r>
      <w:r w:rsidRPr="00F93161">
        <w:rPr>
          <w:i/>
          <w:lang w:val="en-GB"/>
        </w:rPr>
        <w:t>Luís Lobo</w:t>
      </w:r>
    </w:p>
    <w:p w:rsidRPr="00F93161" w:rsidR="001A141E" w:rsidP="001A141E" w:rsidRDefault="001A141E">
      <w:pPr>
        <w:tabs>
          <w:tab w:val="left" w:pos="1418"/>
        </w:tabs>
        <w:textAlignment w:val="auto"/>
        <w:rPr>
          <w:i/>
          <w:lang w:val="en-GB"/>
        </w:rPr>
      </w:pPr>
      <w:r w:rsidRPr="00F93161">
        <w:rPr>
          <w:i/>
          <w:lang w:val="en-GB"/>
        </w:rPr>
        <w:tab/>
        <w:t xml:space="preserve">Tel.: 00 32 2 546 97 17 – e-mail: </w:t>
      </w:r>
      <w:hyperlink w:history="1" r:id="rId29">
        <w:r w:rsidRPr="00F93161">
          <w:rPr>
            <w:i/>
            <w:color w:val="0000FF"/>
            <w:u w:val="single"/>
            <w:lang w:val="en-GB"/>
          </w:rPr>
          <w:t>luis.lobo@eesc.europa.eu</w:t>
        </w:r>
      </w:hyperlink>
    </w:p>
    <w:p w:rsidRPr="00F93161" w:rsidR="001A141E" w:rsidP="001A141E" w:rsidRDefault="001A141E">
      <w:pPr>
        <w:rPr>
          <w:lang w:val="en-GB"/>
        </w:rPr>
      </w:pPr>
    </w:p>
    <w:p w:rsidRPr="00F93161" w:rsidR="00A72E3F" w:rsidP="00CF635C" w:rsidRDefault="00A72E3F">
      <w:pPr>
        <w:tabs>
          <w:tab w:val="left" w:pos="1418"/>
        </w:tabs>
        <w:jc w:val="left"/>
        <w:rPr>
          <w:caps/>
          <w:lang w:val="en-GB"/>
        </w:rPr>
      </w:pPr>
    </w:p>
    <w:p w:rsidRPr="00F93161" w:rsidR="00A43397" w:rsidP="00A72E3F" w:rsidRDefault="000C491C">
      <w:pPr>
        <w:pStyle w:val="Heading1"/>
        <w:ind w:left="567" w:hanging="567"/>
        <w:rPr>
          <w:b/>
          <w:caps/>
          <w:lang w:val="en-GB"/>
        </w:rPr>
      </w:pPr>
      <w:bookmarkStart w:name="_Toc504460492" w:id="3"/>
      <w:r w:rsidRPr="00F93161">
        <w:rPr>
          <w:b/>
          <w:caps/>
          <w:color w:val="424242"/>
          <w:lang w:val="en-GB"/>
        </w:rPr>
        <w:t>Transport, Energy, Infrastructure and the Information Society</w:t>
      </w:r>
      <w:bookmarkEnd w:id="3"/>
    </w:p>
    <w:p w:rsidRPr="00093786" w:rsidR="00CF635C" w:rsidP="00CF635C" w:rsidRDefault="00CF635C">
      <w:pPr>
        <w:widowControl w:val="0"/>
        <w:ind w:left="-567"/>
        <w:rPr>
          <w:lang w:val="en-GB"/>
        </w:rPr>
      </w:pPr>
    </w:p>
    <w:p w:rsidRPr="00093786" w:rsidR="00C80F0D" w:rsidP="00CF635C" w:rsidRDefault="00C80F0D">
      <w:pPr>
        <w:pStyle w:val="ListParagraph"/>
        <w:widowControl w:val="0"/>
        <w:numPr>
          <w:ilvl w:val="0"/>
          <w:numId w:val="70"/>
        </w:numPr>
        <w:rPr>
          <w:bCs/>
          <w:i/>
          <w:lang w:val="en-GB"/>
        </w:rPr>
      </w:pPr>
      <w:r w:rsidRPr="00093786">
        <w:rPr>
          <w:b/>
          <w:i/>
          <w:sz w:val="28"/>
          <w:szCs w:val="28"/>
          <w:lang w:val="en-GB"/>
        </w:rPr>
        <w:t>Access to the international road haulage market and the occupation of road transport operator (revision)</w:t>
      </w:r>
    </w:p>
    <w:p w:rsidRPr="00093786" w:rsidR="00C80F0D" w:rsidP="00CF635C" w:rsidRDefault="00C80F0D">
      <w:pPr>
        <w:widowControl w:val="0"/>
        <w:rPr>
          <w:bCs/>
          <w:highlight w:val="green"/>
          <w:lang w:val="en-GB"/>
        </w:rPr>
      </w:pPr>
    </w:p>
    <w:p w:rsidRPr="00093786" w:rsidR="00C80F0D" w:rsidP="00CF635C" w:rsidRDefault="00C80F0D">
      <w:pPr>
        <w:tabs>
          <w:tab w:val="left" w:pos="1701"/>
        </w:tabs>
        <w:rPr>
          <w:szCs w:val="22"/>
          <w:lang w:val="en-GB"/>
        </w:rPr>
      </w:pPr>
      <w:r w:rsidRPr="00F93161">
        <w:rPr>
          <w:b/>
          <w:lang w:val="en-GB"/>
        </w:rPr>
        <w:t>Rapporteurs:</w:t>
      </w:r>
      <w:r w:rsidRPr="00093786" w:rsidR="001B65A1">
        <w:rPr>
          <w:b/>
          <w:szCs w:val="22"/>
          <w:lang w:val="en-GB"/>
        </w:rPr>
        <w:tab/>
      </w:r>
      <w:r w:rsidRPr="00093786">
        <w:rPr>
          <w:szCs w:val="22"/>
          <w:lang w:val="en-GB"/>
        </w:rPr>
        <w:t>Stefan BACK (</w:t>
      </w:r>
      <w:r w:rsidRPr="00093786" w:rsidR="003029D8">
        <w:rPr>
          <w:szCs w:val="22"/>
          <w:lang w:val="en-GB"/>
        </w:rPr>
        <w:t xml:space="preserve">Employers – </w:t>
      </w:r>
      <w:r w:rsidRPr="00093786">
        <w:rPr>
          <w:szCs w:val="22"/>
          <w:lang w:val="en-GB"/>
        </w:rPr>
        <w:t>SE) and Pasi MOISIO (</w:t>
      </w:r>
      <w:r w:rsidRPr="00093786" w:rsidR="001B65A1">
        <w:rPr>
          <w:szCs w:val="22"/>
          <w:lang w:val="en-GB"/>
        </w:rPr>
        <w:t xml:space="preserve">Various interests – </w:t>
      </w:r>
      <w:r w:rsidRPr="00093786">
        <w:rPr>
          <w:szCs w:val="22"/>
          <w:lang w:val="en-GB"/>
        </w:rPr>
        <w:t>FI)</w:t>
      </w:r>
    </w:p>
    <w:p w:rsidRPr="00093786" w:rsidR="001B65A1" w:rsidP="00CF635C" w:rsidRDefault="00C80F0D">
      <w:pPr>
        <w:tabs>
          <w:tab w:val="num" w:pos="550"/>
          <w:tab w:val="left" w:pos="1701"/>
        </w:tabs>
        <w:rPr>
          <w:lang w:val="en-GB"/>
        </w:rPr>
      </w:pPr>
      <w:r w:rsidRPr="00093786">
        <w:rPr>
          <w:b/>
          <w:lang w:val="en-GB"/>
        </w:rPr>
        <w:t>Reference:</w:t>
      </w:r>
      <w:r w:rsidRPr="00093786" w:rsidR="001B65A1">
        <w:rPr>
          <w:b/>
          <w:lang w:val="en-GB"/>
        </w:rPr>
        <w:tab/>
      </w:r>
      <w:r w:rsidRPr="00093786">
        <w:rPr>
          <w:lang w:val="en-GB"/>
        </w:rPr>
        <w:t>COM(2017) 281 final – 2017/0123 (COD)</w:t>
      </w:r>
    </w:p>
    <w:p w:rsidRPr="00093786" w:rsidR="00C80F0D" w:rsidP="00CF635C" w:rsidRDefault="00C80F0D">
      <w:pPr>
        <w:ind w:left="1701"/>
        <w:rPr>
          <w:lang w:val="en-GB"/>
        </w:rPr>
      </w:pPr>
      <w:r w:rsidRPr="00093786">
        <w:rPr>
          <w:lang w:val="en-GB"/>
        </w:rPr>
        <w:t>EESC-2017-02846-00-00-A</w:t>
      </w:r>
      <w:r w:rsidRPr="00093786" w:rsidR="003A2297">
        <w:rPr>
          <w:lang w:val="en-GB"/>
        </w:rPr>
        <w:t>C</w:t>
      </w:r>
      <w:r w:rsidRPr="00093786">
        <w:rPr>
          <w:lang w:val="en-GB"/>
        </w:rPr>
        <w:t>-TRA</w:t>
      </w:r>
    </w:p>
    <w:p w:rsidRPr="00093786" w:rsidR="00C80F0D" w:rsidP="00CF635C" w:rsidRDefault="00C80F0D">
      <w:pPr>
        <w:tabs>
          <w:tab w:val="num" w:pos="550"/>
        </w:tabs>
        <w:rPr>
          <w:b/>
          <w:szCs w:val="22"/>
          <w:highlight w:val="green"/>
          <w:lang w:val="en-GB"/>
        </w:rPr>
      </w:pPr>
    </w:p>
    <w:p w:rsidRPr="00093786" w:rsidR="00C80F0D" w:rsidP="00CF635C" w:rsidRDefault="00C80F0D">
      <w:pPr>
        <w:rPr>
          <w:b/>
          <w:szCs w:val="22"/>
          <w:lang w:val="en-GB"/>
        </w:rPr>
      </w:pPr>
      <w:r w:rsidRPr="00093786">
        <w:rPr>
          <w:b/>
          <w:szCs w:val="22"/>
          <w:lang w:val="en-GB"/>
        </w:rPr>
        <w:t xml:space="preserve">Key points: </w:t>
      </w:r>
    </w:p>
    <w:p w:rsidRPr="00F93161" w:rsidR="00CF635C" w:rsidP="00CF635C" w:rsidRDefault="00CF635C">
      <w:pPr>
        <w:keepNext/>
        <w:overflowPunct/>
        <w:adjustRightInd/>
        <w:textAlignment w:val="auto"/>
        <w:rPr>
          <w:color w:val="000000"/>
          <w:lang w:val="en-GB"/>
        </w:rPr>
      </w:pPr>
    </w:p>
    <w:p w:rsidRPr="00F93161" w:rsidR="00C80F0D" w:rsidP="00CF635C" w:rsidRDefault="00C80F0D">
      <w:pPr>
        <w:pStyle w:val="ListParagraph"/>
        <w:numPr>
          <w:ilvl w:val="0"/>
          <w:numId w:val="71"/>
        </w:numPr>
        <w:rPr>
          <w:lang w:val="en-GB"/>
        </w:rPr>
      </w:pPr>
      <w:r w:rsidRPr="00F93161">
        <w:rPr>
          <w:lang w:val="en-GB"/>
        </w:rPr>
        <w:t>The EESC reiterates its support for the entire Mobility Package. It therefore welcomes the aims of the current Proposal to ensure a level playing field in an unfragmented internal road transport market, avoid excessive administrative burdens on businesses, improve the clarity and enforcement of the regulatory framework and address abuse, such as the use of letterbox companies, non-transparent business models and illegal cabotage.</w:t>
      </w:r>
    </w:p>
    <w:p w:rsidRPr="00F93161" w:rsidR="00C80F0D" w:rsidP="00CF635C" w:rsidRDefault="00C80F0D">
      <w:pPr>
        <w:pStyle w:val="ListParagraph"/>
        <w:numPr>
          <w:ilvl w:val="0"/>
          <w:numId w:val="71"/>
        </w:numPr>
        <w:rPr>
          <w:lang w:val="en-GB"/>
        </w:rPr>
      </w:pPr>
      <w:r w:rsidRPr="00F93161">
        <w:rPr>
          <w:lang w:val="en-GB"/>
        </w:rPr>
        <w:t xml:space="preserve">The EESC supports the objectives of the Proposal to introduce into Regulation (EC) No 1071/2009 establishment requirements that will prevent the use of letterbox companies for road transport operations and strengthen compliance monitoring. It also supports the improved rules on infringement procedures and on the assessment of sanctions involving the risk of loss of good repute, both of which improve legal certainty. </w:t>
      </w:r>
    </w:p>
    <w:p w:rsidRPr="00F93161" w:rsidR="00C80F0D" w:rsidP="00CF635C" w:rsidRDefault="00C80F0D">
      <w:pPr>
        <w:pStyle w:val="ListParagraph"/>
        <w:numPr>
          <w:ilvl w:val="0"/>
          <w:numId w:val="71"/>
        </w:numPr>
        <w:rPr>
          <w:lang w:val="en-GB"/>
        </w:rPr>
      </w:pPr>
      <w:r w:rsidRPr="00F93161">
        <w:rPr>
          <w:lang w:val="en-GB"/>
        </w:rPr>
        <w:t>The Committee also welcomes the introduction of time limits for answering requests for information and the improvement of information available in national registers; it would welcome real time access for control authorities. Moreover, it considers that the data to be entered in national electronic registers should also include information regarding the drivers employed by an undertaking.</w:t>
      </w:r>
    </w:p>
    <w:p w:rsidRPr="00F93161" w:rsidR="00C80F0D" w:rsidP="00CF635C" w:rsidRDefault="00C80F0D">
      <w:pPr>
        <w:pStyle w:val="ListParagraph"/>
        <w:numPr>
          <w:ilvl w:val="0"/>
          <w:numId w:val="71"/>
        </w:numPr>
        <w:rPr>
          <w:lang w:val="en-GB"/>
        </w:rPr>
      </w:pPr>
      <w:r w:rsidRPr="00F93161">
        <w:rPr>
          <w:lang w:val="en-GB"/>
        </w:rPr>
        <w:t>At the same time, the EESC welcomes the main thrust of the amendments proposed to Regulation (EC) No 1072/2009 to simplify and clarify rules on cabotage and strengthen compliance monitoring. The EESC takes note of the potential of the digital tachograph as an efficient means of compliance control and supports its early installation, including on existing vehicles.</w:t>
      </w:r>
    </w:p>
    <w:p w:rsidRPr="00F93161" w:rsidR="00C80F0D" w:rsidP="00CF635C" w:rsidRDefault="00C80F0D">
      <w:pPr>
        <w:pStyle w:val="ListParagraph"/>
        <w:numPr>
          <w:ilvl w:val="0"/>
          <w:numId w:val="71"/>
        </w:numPr>
        <w:rPr>
          <w:lang w:val="en-GB"/>
        </w:rPr>
      </w:pPr>
      <w:r w:rsidRPr="00F93161">
        <w:rPr>
          <w:lang w:val="en-GB"/>
        </w:rPr>
        <w:t>However, the Committee strongly stresses that the proposed amendments regarding cabotage can only be successfully and fairly introduced if provisions are introduced to make clear when provision of cabotage services ceases to be temporary and an obligation of establishment arises, and if the complete set of posting of workers rules applies to every cabotage operation without any exemptions.</w:t>
      </w:r>
    </w:p>
    <w:p w:rsidRPr="00F93161" w:rsidR="00C80F0D" w:rsidP="00CF635C" w:rsidRDefault="00C80F0D">
      <w:pPr>
        <w:pStyle w:val="ListParagraph"/>
        <w:numPr>
          <w:ilvl w:val="0"/>
          <w:numId w:val="71"/>
        </w:numPr>
        <w:rPr>
          <w:lang w:val="en-GB"/>
        </w:rPr>
      </w:pPr>
      <w:r w:rsidRPr="00F93161">
        <w:rPr>
          <w:lang w:val="en-GB"/>
        </w:rPr>
        <w:t xml:space="preserve">The EESC regrets that the legislation remains unclear and open to different interpretation on a number of points regarding cabotage rules. Similarly, it regrets that Directive 92/106/EEC on combined transport, which in practice provides a parallel market access, is not addressed at the same time as Regulations (EC) No 1071 and No 1072/2009. In order to have effective legislation, cabotage in all forms should be subject to similar rules. </w:t>
      </w:r>
    </w:p>
    <w:p w:rsidRPr="00F93161" w:rsidR="00C80F0D" w:rsidP="00CF635C" w:rsidRDefault="00C80F0D">
      <w:pPr>
        <w:pStyle w:val="ListParagraph"/>
        <w:numPr>
          <w:ilvl w:val="0"/>
          <w:numId w:val="71"/>
        </w:numPr>
        <w:rPr>
          <w:color w:val="000000"/>
          <w:lang w:val="en-GB"/>
        </w:rPr>
      </w:pPr>
      <w:r w:rsidRPr="00F93161">
        <w:rPr>
          <w:lang w:val="en-GB"/>
        </w:rPr>
        <w:t>Finally, the EESC considers that light commercial vehicles should be fully covered by Regulations (EC) No 1071/2009 and 1072/2009, albeit possibly in an alleviated form. The EESC supports the creation of a European Road Transport Agency.</w:t>
      </w:r>
    </w:p>
    <w:p w:rsidRPr="00F93161" w:rsidR="00C80F0D" w:rsidP="00BF15FD" w:rsidRDefault="00C80F0D">
      <w:pPr>
        <w:rPr>
          <w:color w:val="000000"/>
          <w:lang w:val="en-GB"/>
        </w:rPr>
      </w:pPr>
    </w:p>
    <w:p w:rsidRPr="00093786" w:rsidR="00C80F0D" w:rsidP="00CF635C" w:rsidRDefault="00C80F0D">
      <w:pPr>
        <w:tabs>
          <w:tab w:val="left" w:pos="1418"/>
        </w:tabs>
        <w:rPr>
          <w:i/>
          <w:szCs w:val="22"/>
          <w:lang w:val="en-GB" w:eastAsia="en-US"/>
        </w:rPr>
      </w:pPr>
      <w:r w:rsidRPr="00093786">
        <w:rPr>
          <w:b/>
          <w:i/>
          <w:szCs w:val="22"/>
          <w:lang w:val="en-GB" w:eastAsia="en-US"/>
        </w:rPr>
        <w:t>Contact:</w:t>
      </w:r>
      <w:r w:rsidRPr="00093786">
        <w:rPr>
          <w:i/>
          <w:szCs w:val="22"/>
          <w:lang w:val="en-GB" w:eastAsia="en-US"/>
        </w:rPr>
        <w:tab/>
        <w:t>Erika PAULINOVA</w:t>
      </w:r>
    </w:p>
    <w:p w:rsidRPr="00F93161" w:rsidR="00C80F0D" w:rsidP="00CF635C" w:rsidRDefault="00C80F0D">
      <w:pPr>
        <w:ind w:left="1418"/>
        <w:rPr>
          <w:lang w:val="en-GB"/>
        </w:rPr>
      </w:pPr>
      <w:r w:rsidRPr="00093786">
        <w:rPr>
          <w:i/>
          <w:szCs w:val="22"/>
          <w:lang w:val="en-GB" w:eastAsia="en-US"/>
        </w:rPr>
        <w:t xml:space="preserve">Tel.: 00 32 2 546 8457 - e-mail: </w:t>
      </w:r>
      <w:hyperlink w:history="1" r:id="rId30">
        <w:r w:rsidRPr="00093786" w:rsidR="00F43CDE">
          <w:rPr>
            <w:rStyle w:val="Hyperlink"/>
            <w:i/>
            <w:szCs w:val="22"/>
            <w:lang w:val="en-GB" w:eastAsia="en-US"/>
          </w:rPr>
          <w:t>erika.paulinova@eesc.europa.eu</w:t>
        </w:r>
      </w:hyperlink>
    </w:p>
    <w:p w:rsidRPr="00093786" w:rsidR="00C80F0D" w:rsidP="00CF635C" w:rsidRDefault="00C80F0D">
      <w:pPr>
        <w:widowControl w:val="0"/>
        <w:ind w:left="-567"/>
        <w:rPr>
          <w:lang w:val="en-GB"/>
        </w:rPr>
      </w:pPr>
    </w:p>
    <w:p w:rsidRPr="00093786" w:rsidR="00C80F0D" w:rsidP="00CF635C" w:rsidRDefault="00C80F0D">
      <w:pPr>
        <w:pStyle w:val="ListParagraph"/>
        <w:widowControl w:val="0"/>
        <w:numPr>
          <w:ilvl w:val="0"/>
          <w:numId w:val="72"/>
        </w:numPr>
        <w:rPr>
          <w:bCs/>
          <w:i/>
          <w:sz w:val="28"/>
          <w:szCs w:val="28"/>
          <w:lang w:val="en-GB"/>
        </w:rPr>
      </w:pPr>
      <w:r w:rsidRPr="00093786">
        <w:rPr>
          <w:b/>
          <w:i/>
          <w:sz w:val="28"/>
          <w:szCs w:val="28"/>
          <w:lang w:val="en-GB"/>
        </w:rPr>
        <w:t>Driving and rest time periods, working time and posting of workers</w:t>
      </w:r>
    </w:p>
    <w:p w:rsidRPr="00093786" w:rsidR="00C80F0D" w:rsidP="00CF635C" w:rsidRDefault="00C80F0D">
      <w:pPr>
        <w:widowControl w:val="0"/>
        <w:rPr>
          <w:bCs/>
          <w:highlight w:val="green"/>
          <w:lang w:val="en-GB"/>
        </w:rPr>
      </w:pPr>
    </w:p>
    <w:p w:rsidRPr="00093786" w:rsidR="00C80F0D" w:rsidP="00CF635C" w:rsidRDefault="00C80F0D">
      <w:pPr>
        <w:tabs>
          <w:tab w:val="left" w:pos="1701"/>
        </w:tabs>
        <w:rPr>
          <w:szCs w:val="22"/>
          <w:lang w:val="en-GB"/>
        </w:rPr>
      </w:pPr>
      <w:r w:rsidRPr="00F93161">
        <w:rPr>
          <w:b/>
          <w:lang w:val="en-GB"/>
        </w:rPr>
        <w:t>Rapporteur:</w:t>
      </w:r>
      <w:r w:rsidRPr="00093786" w:rsidR="001B65A1">
        <w:rPr>
          <w:b/>
          <w:szCs w:val="22"/>
          <w:lang w:val="en-GB"/>
        </w:rPr>
        <w:tab/>
      </w:r>
      <w:r w:rsidRPr="00093786">
        <w:rPr>
          <w:szCs w:val="22"/>
          <w:lang w:val="en-GB"/>
        </w:rPr>
        <w:t>Tanja BUZEK (</w:t>
      </w:r>
      <w:r w:rsidRPr="00093786" w:rsidR="003029D8">
        <w:rPr>
          <w:szCs w:val="22"/>
          <w:lang w:val="en-GB"/>
        </w:rPr>
        <w:t xml:space="preserve">Workers – </w:t>
      </w:r>
      <w:r w:rsidRPr="00093786">
        <w:rPr>
          <w:szCs w:val="22"/>
          <w:lang w:val="en-GB"/>
        </w:rPr>
        <w:t>DE)</w:t>
      </w:r>
    </w:p>
    <w:p w:rsidRPr="00093786" w:rsidR="001B65A1" w:rsidP="00CF635C" w:rsidRDefault="00C80F0D">
      <w:pPr>
        <w:tabs>
          <w:tab w:val="left" w:pos="1701"/>
        </w:tabs>
        <w:rPr>
          <w:lang w:val="en-GB"/>
        </w:rPr>
      </w:pPr>
      <w:r w:rsidRPr="00093786">
        <w:rPr>
          <w:b/>
          <w:lang w:val="en-GB"/>
        </w:rPr>
        <w:t>Reference:</w:t>
      </w:r>
      <w:r w:rsidRPr="00093786" w:rsidR="001B65A1">
        <w:rPr>
          <w:b/>
          <w:lang w:val="en-GB"/>
        </w:rPr>
        <w:tab/>
      </w:r>
      <w:r w:rsidRPr="00093786">
        <w:rPr>
          <w:lang w:val="en-GB"/>
        </w:rPr>
        <w:t>COM(2017) 27</w:t>
      </w:r>
      <w:r w:rsidR="00B93E80">
        <w:rPr>
          <w:lang w:val="en-GB"/>
        </w:rPr>
        <w:t xml:space="preserve">7 final and COM(2017) </w:t>
      </w:r>
      <w:r w:rsidRPr="00093786">
        <w:rPr>
          <w:lang w:val="en-GB"/>
        </w:rPr>
        <w:t>27</w:t>
      </w:r>
      <w:r w:rsidR="00B93E80">
        <w:rPr>
          <w:lang w:val="en-GB"/>
        </w:rPr>
        <w:t>8</w:t>
      </w:r>
      <w:r w:rsidRPr="00093786">
        <w:rPr>
          <w:lang w:val="en-GB"/>
        </w:rPr>
        <w:t xml:space="preserve"> final</w:t>
      </w:r>
    </w:p>
    <w:p w:rsidRPr="00093786" w:rsidR="00C80F0D" w:rsidP="00CF635C" w:rsidRDefault="00C80F0D">
      <w:pPr>
        <w:ind w:left="1701"/>
        <w:rPr>
          <w:highlight w:val="green"/>
          <w:lang w:val="en-GB"/>
        </w:rPr>
      </w:pPr>
      <w:r w:rsidRPr="00093786">
        <w:rPr>
          <w:lang w:val="en-GB"/>
        </w:rPr>
        <w:t>EESC-2017-02852-00-00-A</w:t>
      </w:r>
      <w:r w:rsidRPr="00093786" w:rsidR="00B53927">
        <w:rPr>
          <w:lang w:val="en-GB"/>
        </w:rPr>
        <w:t>C</w:t>
      </w:r>
      <w:r w:rsidRPr="00093786">
        <w:rPr>
          <w:lang w:val="en-GB"/>
        </w:rPr>
        <w:t>-TRA</w:t>
      </w:r>
    </w:p>
    <w:p w:rsidRPr="00093786" w:rsidR="00C80F0D" w:rsidP="00CF635C" w:rsidRDefault="00C80F0D">
      <w:pPr>
        <w:rPr>
          <w:b/>
          <w:szCs w:val="22"/>
          <w:highlight w:val="green"/>
          <w:lang w:val="en-GB"/>
        </w:rPr>
      </w:pPr>
    </w:p>
    <w:p w:rsidR="00C80F0D" w:rsidP="00CF635C" w:rsidRDefault="00C80F0D">
      <w:pPr>
        <w:rPr>
          <w:b/>
          <w:szCs w:val="22"/>
          <w:lang w:val="en-GB"/>
        </w:rPr>
      </w:pPr>
      <w:r w:rsidRPr="00093786">
        <w:rPr>
          <w:b/>
          <w:szCs w:val="22"/>
          <w:lang w:val="en-GB"/>
        </w:rPr>
        <w:t xml:space="preserve">Key points: </w:t>
      </w:r>
    </w:p>
    <w:p w:rsidRPr="00F93161" w:rsidR="00CF635C" w:rsidP="00CF635C" w:rsidRDefault="00CF635C">
      <w:pPr>
        <w:overflowPunct/>
        <w:adjustRightInd/>
        <w:textAlignment w:val="auto"/>
        <w:rPr>
          <w:color w:val="000000"/>
          <w:lang w:val="en-GB"/>
        </w:rPr>
      </w:pPr>
    </w:p>
    <w:p w:rsidRPr="00F93161" w:rsidR="00C80F0D" w:rsidP="00CF635C" w:rsidRDefault="00C80F0D">
      <w:pPr>
        <w:pStyle w:val="ListParagraph"/>
        <w:numPr>
          <w:ilvl w:val="0"/>
          <w:numId w:val="79"/>
        </w:numPr>
        <w:rPr>
          <w:color w:val="000000"/>
          <w:lang w:val="en-GB"/>
        </w:rPr>
      </w:pPr>
      <w:r w:rsidRPr="00F93161">
        <w:rPr>
          <w:color w:val="000000"/>
          <w:lang w:val="en-GB"/>
        </w:rPr>
        <w:t>The EESC recognises the important role of transport as a driver of the EU economy and supports the European Commission (EC) in its ambitions to ensure that the EU remains in a leading position in clean, competitive and connected mobility in the future.</w:t>
      </w:r>
    </w:p>
    <w:p w:rsidRPr="00F93161" w:rsidR="00A453A7" w:rsidP="00CF635C" w:rsidRDefault="00A453A7">
      <w:pPr>
        <w:overflowPunct/>
        <w:adjustRightInd/>
        <w:ind w:left="-567"/>
        <w:textAlignment w:val="auto"/>
        <w:rPr>
          <w:color w:val="000000"/>
          <w:lang w:val="en-GB"/>
        </w:rPr>
      </w:pPr>
    </w:p>
    <w:p w:rsidRPr="00F93161" w:rsidR="00C80F0D" w:rsidP="00CF635C" w:rsidRDefault="00C80F0D">
      <w:pPr>
        <w:pStyle w:val="ListParagraph"/>
        <w:numPr>
          <w:ilvl w:val="0"/>
          <w:numId w:val="80"/>
        </w:numPr>
        <w:rPr>
          <w:color w:val="000000"/>
          <w:lang w:val="en-GB"/>
        </w:rPr>
      </w:pPr>
      <w:r w:rsidRPr="00F93161">
        <w:rPr>
          <w:color w:val="000000"/>
          <w:lang w:val="en-GB"/>
        </w:rPr>
        <w:t>The EESC welcomes the fact that the EC is taking the initiative to clarify the regulatory framework on road transport and to ensure better enforcement and closer cooperation between Member States.</w:t>
      </w:r>
    </w:p>
    <w:p w:rsidRPr="00F93161" w:rsidR="00A453A7" w:rsidP="00CF635C" w:rsidRDefault="00A453A7">
      <w:pPr>
        <w:overflowPunct/>
        <w:adjustRightInd/>
        <w:ind w:left="-567"/>
        <w:textAlignment w:val="auto"/>
        <w:rPr>
          <w:color w:val="000000"/>
          <w:lang w:val="en-GB"/>
        </w:rPr>
      </w:pPr>
    </w:p>
    <w:p w:rsidRPr="00F93161" w:rsidR="00C80F0D" w:rsidP="00CF635C" w:rsidRDefault="00C80F0D">
      <w:pPr>
        <w:pStyle w:val="ListParagraph"/>
        <w:numPr>
          <w:ilvl w:val="0"/>
          <w:numId w:val="81"/>
        </w:numPr>
        <w:rPr>
          <w:color w:val="000000"/>
          <w:lang w:val="en-GB"/>
        </w:rPr>
      </w:pPr>
      <w:r w:rsidRPr="00F93161">
        <w:rPr>
          <w:color w:val="000000"/>
          <w:lang w:val="en-GB"/>
        </w:rPr>
        <w:t>However, the EESC is of the opinion that the proposed changes to legislation on driving times and rest periods and on the posting of drivers fail to effectively address the identified problems in road transport in several aspects, including not making the rules simpler, clearer and more enforceable.</w:t>
      </w:r>
    </w:p>
    <w:p w:rsidRPr="00F93161" w:rsidR="00A453A7" w:rsidP="00CF635C" w:rsidRDefault="00A453A7">
      <w:pPr>
        <w:overflowPunct/>
        <w:adjustRightInd/>
        <w:ind w:left="-567"/>
        <w:textAlignment w:val="auto"/>
        <w:rPr>
          <w:color w:val="000000"/>
          <w:lang w:val="en-GB"/>
        </w:rPr>
      </w:pPr>
    </w:p>
    <w:p w:rsidRPr="00F93161" w:rsidR="00C80F0D" w:rsidP="00CF635C" w:rsidRDefault="00C80F0D">
      <w:pPr>
        <w:pStyle w:val="ListParagraph"/>
        <w:numPr>
          <w:ilvl w:val="0"/>
          <w:numId w:val="82"/>
        </w:numPr>
        <w:rPr>
          <w:color w:val="000000"/>
          <w:lang w:val="en-GB"/>
        </w:rPr>
      </w:pPr>
      <w:r w:rsidRPr="00F93161">
        <w:rPr>
          <w:color w:val="000000"/>
          <w:lang w:val="en-GB"/>
        </w:rPr>
        <w:t>The EESC points out that the only way to achieve the EC agenda for a socially fair transition towards clean, competitive and connected mobility for all is to safeguard social rights, to ensure both enforcement and enforceability of rules and to guarantee fair competition while reducing burdensome procedures.</w:t>
      </w:r>
    </w:p>
    <w:p w:rsidRPr="00F93161" w:rsidR="00A453A7" w:rsidP="00CF635C" w:rsidRDefault="00A453A7">
      <w:pPr>
        <w:overflowPunct/>
        <w:adjustRightInd/>
        <w:ind w:left="-567"/>
        <w:textAlignment w:val="auto"/>
        <w:rPr>
          <w:color w:val="000000"/>
          <w:lang w:val="en-GB"/>
        </w:rPr>
      </w:pPr>
    </w:p>
    <w:p w:rsidRPr="00F93161" w:rsidR="00C80F0D" w:rsidP="00CF635C" w:rsidRDefault="00C80F0D">
      <w:pPr>
        <w:pStyle w:val="ListParagraph"/>
        <w:numPr>
          <w:ilvl w:val="0"/>
          <w:numId w:val="83"/>
        </w:numPr>
        <w:rPr>
          <w:color w:val="000000"/>
          <w:lang w:val="en-GB"/>
        </w:rPr>
      </w:pPr>
      <w:r w:rsidRPr="00F93161">
        <w:rPr>
          <w:color w:val="000000"/>
          <w:lang w:val="en-GB"/>
        </w:rPr>
        <w:t>The EESC regrets the fact that, particularly when it comes to bus and coach passenger transport, the proposed changes come without any thorough assessment of passenger, driver or road safety. The EESC would therefore welcome an EU-wide general study on driver fatigue and regrets that the EC has not offered solutions for how to address this problem.</w:t>
      </w:r>
    </w:p>
    <w:p w:rsidRPr="00F93161" w:rsidR="00C80F0D" w:rsidP="00CF635C" w:rsidRDefault="00C80F0D">
      <w:pPr>
        <w:overflowPunct/>
        <w:adjustRightInd/>
        <w:textAlignment w:val="auto"/>
        <w:rPr>
          <w:color w:val="000000"/>
          <w:lang w:val="en-GB"/>
        </w:rPr>
      </w:pPr>
    </w:p>
    <w:p w:rsidRPr="00093786" w:rsidR="00C80F0D" w:rsidP="00CF635C" w:rsidRDefault="00C80F0D">
      <w:pPr>
        <w:tabs>
          <w:tab w:val="left" w:pos="1418"/>
        </w:tabs>
        <w:rPr>
          <w:i/>
          <w:szCs w:val="22"/>
          <w:lang w:val="en-GB" w:eastAsia="en-US"/>
        </w:rPr>
      </w:pPr>
      <w:r w:rsidRPr="00093786">
        <w:rPr>
          <w:b/>
          <w:i/>
          <w:szCs w:val="22"/>
          <w:lang w:val="en-GB" w:eastAsia="en-US"/>
        </w:rPr>
        <w:t>Contact:</w:t>
      </w:r>
      <w:r w:rsidRPr="00093786">
        <w:rPr>
          <w:i/>
          <w:szCs w:val="22"/>
          <w:lang w:val="en-GB" w:eastAsia="en-US"/>
        </w:rPr>
        <w:tab/>
        <w:t>Agota BAZSIK</w:t>
      </w:r>
    </w:p>
    <w:p w:rsidRPr="00093786" w:rsidR="002F7D23" w:rsidP="00CF635C" w:rsidRDefault="00C80F0D">
      <w:pPr>
        <w:ind w:left="1418"/>
        <w:rPr>
          <w:i/>
          <w:szCs w:val="22"/>
          <w:lang w:val="en-GB" w:eastAsia="en-US"/>
        </w:rPr>
      </w:pPr>
      <w:r w:rsidRPr="00093786">
        <w:rPr>
          <w:i/>
          <w:szCs w:val="22"/>
          <w:lang w:val="en-GB" w:eastAsia="en-US"/>
        </w:rPr>
        <w:t xml:space="preserve">Tel.: 00 32 2 546 8658 - e-mail: </w:t>
      </w:r>
      <w:hyperlink w:history="1" r:id="rId31">
        <w:r w:rsidRPr="00093786" w:rsidR="00F43CDE">
          <w:rPr>
            <w:rStyle w:val="Hyperlink"/>
            <w:i/>
            <w:szCs w:val="22"/>
            <w:lang w:val="en-GB" w:eastAsia="en-US"/>
          </w:rPr>
          <w:t>agota.bazsik@eesc.europa.eu</w:t>
        </w:r>
      </w:hyperlink>
      <w:r w:rsidRPr="00093786">
        <w:rPr>
          <w:i/>
          <w:szCs w:val="22"/>
          <w:lang w:val="en-GB" w:eastAsia="en-US"/>
        </w:rPr>
        <w:t>)</w:t>
      </w:r>
    </w:p>
    <w:p w:rsidRPr="00093786" w:rsidR="00BF15FD" w:rsidP="00BF15FD" w:rsidRDefault="00BF15FD">
      <w:pPr>
        <w:widowControl w:val="0"/>
        <w:rPr>
          <w:lang w:val="en-GB"/>
        </w:rPr>
      </w:pPr>
    </w:p>
    <w:p w:rsidRPr="00093786" w:rsidR="00C80F0D" w:rsidP="00BF15FD" w:rsidRDefault="00C80F0D">
      <w:pPr>
        <w:pStyle w:val="ListParagraph"/>
        <w:keepNext/>
        <w:numPr>
          <w:ilvl w:val="0"/>
          <w:numId w:val="73"/>
        </w:numPr>
        <w:rPr>
          <w:bCs/>
          <w:i/>
          <w:sz w:val="28"/>
          <w:szCs w:val="28"/>
          <w:lang w:val="en-GB"/>
        </w:rPr>
      </w:pPr>
      <w:r w:rsidRPr="00093786">
        <w:rPr>
          <w:b/>
          <w:i/>
          <w:sz w:val="28"/>
          <w:szCs w:val="28"/>
          <w:lang w:val="en-GB"/>
        </w:rPr>
        <w:t>Aviation: Open and Connected Europe</w:t>
      </w:r>
    </w:p>
    <w:p w:rsidRPr="00093786" w:rsidR="00C80F0D" w:rsidP="00BF15FD" w:rsidRDefault="00C80F0D">
      <w:pPr>
        <w:keepNext/>
        <w:rPr>
          <w:bCs/>
          <w:highlight w:val="green"/>
          <w:lang w:val="en-GB"/>
        </w:rPr>
      </w:pPr>
    </w:p>
    <w:p w:rsidRPr="00093786" w:rsidR="00C80F0D" w:rsidP="00BF15FD" w:rsidRDefault="00C80F0D">
      <w:pPr>
        <w:keepNext/>
        <w:tabs>
          <w:tab w:val="left" w:pos="1701"/>
        </w:tabs>
        <w:rPr>
          <w:szCs w:val="22"/>
          <w:lang w:val="en-GB"/>
        </w:rPr>
      </w:pPr>
      <w:r w:rsidRPr="00F93161">
        <w:rPr>
          <w:b/>
          <w:lang w:val="en-GB"/>
        </w:rPr>
        <w:t>Rapporteur:</w:t>
      </w:r>
      <w:r w:rsidRPr="00093786" w:rsidR="001B65A1">
        <w:rPr>
          <w:b/>
          <w:szCs w:val="22"/>
          <w:lang w:val="en-GB"/>
        </w:rPr>
        <w:tab/>
      </w:r>
      <w:r w:rsidRPr="00F93161">
        <w:rPr>
          <w:lang w:val="en-GB"/>
        </w:rPr>
        <w:t>Jacek KRAWCZYK (</w:t>
      </w:r>
      <w:r w:rsidRPr="00F93161" w:rsidR="001B65A1">
        <w:rPr>
          <w:lang w:val="en-GB"/>
        </w:rPr>
        <w:t xml:space="preserve">Employers – </w:t>
      </w:r>
      <w:r w:rsidRPr="00F93161">
        <w:rPr>
          <w:lang w:val="en-GB"/>
        </w:rPr>
        <w:t>PL)</w:t>
      </w:r>
    </w:p>
    <w:p w:rsidRPr="00093786" w:rsidR="001B65A1" w:rsidP="00BF15FD" w:rsidRDefault="00C80F0D">
      <w:pPr>
        <w:keepNext/>
        <w:tabs>
          <w:tab w:val="num" w:pos="550"/>
          <w:tab w:val="left" w:pos="1701"/>
        </w:tabs>
        <w:rPr>
          <w:lang w:val="en-GB"/>
        </w:rPr>
      </w:pPr>
      <w:r w:rsidRPr="00093786">
        <w:rPr>
          <w:b/>
          <w:lang w:val="en-GB"/>
        </w:rPr>
        <w:t>Reference:</w:t>
      </w:r>
      <w:r w:rsidRPr="00093786" w:rsidR="001B65A1">
        <w:rPr>
          <w:b/>
          <w:lang w:val="en-GB"/>
        </w:rPr>
        <w:tab/>
      </w:r>
      <w:r w:rsidRPr="00093786">
        <w:rPr>
          <w:lang w:val="en-GB"/>
        </w:rPr>
        <w:t xml:space="preserve">COM(2017) 286 </w:t>
      </w:r>
      <w:r w:rsidR="00B93E80">
        <w:rPr>
          <w:lang w:val="en-GB"/>
        </w:rPr>
        <w:t>final and COM(2017)</w:t>
      </w:r>
      <w:r w:rsidRPr="00093786">
        <w:rPr>
          <w:lang w:val="en-GB"/>
        </w:rPr>
        <w:t xml:space="preserve"> 289 final</w:t>
      </w:r>
    </w:p>
    <w:p w:rsidRPr="00093786" w:rsidR="00C80F0D" w:rsidP="00BF15FD" w:rsidRDefault="00C80F0D">
      <w:pPr>
        <w:keepNext/>
        <w:ind w:left="1701"/>
        <w:rPr>
          <w:highlight w:val="green"/>
          <w:lang w:val="en-GB"/>
        </w:rPr>
      </w:pPr>
      <w:r w:rsidRPr="00093786">
        <w:rPr>
          <w:lang w:val="en-GB"/>
        </w:rPr>
        <w:t>EESC-2017-03714-00-00-A</w:t>
      </w:r>
      <w:r w:rsidRPr="00093786" w:rsidR="00974ED0">
        <w:rPr>
          <w:lang w:val="en-GB"/>
        </w:rPr>
        <w:t>C</w:t>
      </w:r>
      <w:r w:rsidRPr="00093786">
        <w:rPr>
          <w:lang w:val="en-GB"/>
        </w:rPr>
        <w:t>-TRA</w:t>
      </w:r>
    </w:p>
    <w:p w:rsidRPr="00093786" w:rsidR="00C80F0D" w:rsidP="00BF15FD" w:rsidRDefault="00C80F0D">
      <w:pPr>
        <w:keepNext/>
        <w:rPr>
          <w:b/>
          <w:szCs w:val="22"/>
          <w:highlight w:val="green"/>
          <w:lang w:val="en-GB"/>
        </w:rPr>
      </w:pPr>
    </w:p>
    <w:p w:rsidR="00C80F0D" w:rsidP="00BF15FD" w:rsidRDefault="00C80F0D">
      <w:pPr>
        <w:keepNext/>
        <w:rPr>
          <w:b/>
          <w:szCs w:val="22"/>
          <w:lang w:val="en-GB"/>
        </w:rPr>
      </w:pPr>
      <w:r w:rsidRPr="00093786">
        <w:rPr>
          <w:b/>
          <w:szCs w:val="22"/>
          <w:lang w:val="en-GB"/>
        </w:rPr>
        <w:t xml:space="preserve">Key points: </w:t>
      </w:r>
    </w:p>
    <w:p w:rsidRPr="00093786" w:rsidR="00A453A7" w:rsidP="00BF15FD" w:rsidRDefault="00A453A7">
      <w:pPr>
        <w:keepNext/>
        <w:ind w:left="-567"/>
        <w:rPr>
          <w:color w:val="000000"/>
          <w:lang w:val="en-GB"/>
        </w:rPr>
      </w:pPr>
    </w:p>
    <w:p w:rsidR="00C80F0D" w:rsidP="00BF15FD" w:rsidRDefault="00C80F0D">
      <w:pPr>
        <w:pStyle w:val="ListParagraph"/>
        <w:numPr>
          <w:ilvl w:val="0"/>
          <w:numId w:val="74"/>
        </w:numPr>
        <w:ind w:left="567"/>
        <w:rPr>
          <w:lang w:val="en-GB"/>
        </w:rPr>
      </w:pPr>
      <w:r w:rsidRPr="00F93161">
        <w:rPr>
          <w:lang w:val="en-GB"/>
        </w:rPr>
        <w:t xml:space="preserve">The EESC opinion on the Commission package "Aviation: Open and Connected Europe" welcomes the European Commission's proposals as a step towards implementing the "Aviation Strategy for Europe" from December 2015. This is of key importance in light of multiple challenges faced by the stakeholders of the aviation sector, including the development of markets in multiple directions, growing pressure on people and companies, increasing competition inside and outside the EU, and new disruptive technologies and digitalisation. The package "Aviation: Open and Connected Europe" – with its one legislative and three non-legislative proposals – addresses some of these challenges. </w:t>
      </w:r>
    </w:p>
    <w:p w:rsidRPr="00F93161" w:rsidR="00A453A7" w:rsidP="00F93161" w:rsidRDefault="00A453A7">
      <w:pPr>
        <w:ind w:left="-567"/>
        <w:rPr>
          <w:lang w:val="en-GB"/>
        </w:rPr>
      </w:pPr>
    </w:p>
    <w:p w:rsidR="00C80F0D" w:rsidP="00C732DD" w:rsidRDefault="00C80F0D">
      <w:pPr>
        <w:pStyle w:val="ListParagraph"/>
        <w:numPr>
          <w:ilvl w:val="0"/>
          <w:numId w:val="75"/>
        </w:numPr>
        <w:ind w:left="567"/>
        <w:rPr>
          <w:lang w:val="en-GB"/>
        </w:rPr>
      </w:pPr>
      <w:r w:rsidRPr="00F93161">
        <w:rPr>
          <w:lang w:val="en-GB"/>
        </w:rPr>
        <w:t xml:space="preserve">In relation to the Commission's proposal to revise the Regulation on safeguarding competition in air transport (Regulation No 868/2004), the EESC stresses that a level playing field between EU and external competitors in the aviation field can only be secured sustainably if third countries respect basic principles of labour protection, as well as consumer protection and environmental standards. One of the consequences of this is the need to negotiate 'fair competition clauses' in international air service agreements, including the establishment of a functioning social dialogue. </w:t>
      </w:r>
    </w:p>
    <w:p w:rsidRPr="00F93161" w:rsidR="00A453A7" w:rsidP="00F93161" w:rsidRDefault="00A453A7">
      <w:pPr>
        <w:ind w:left="-567"/>
        <w:rPr>
          <w:lang w:val="en-GB"/>
        </w:rPr>
      </w:pPr>
    </w:p>
    <w:p w:rsidR="00C80F0D" w:rsidP="00C732DD" w:rsidRDefault="00C80F0D">
      <w:pPr>
        <w:pStyle w:val="ListParagraph"/>
        <w:numPr>
          <w:ilvl w:val="0"/>
          <w:numId w:val="76"/>
        </w:numPr>
        <w:ind w:left="567"/>
        <w:rPr>
          <w:lang w:val="en-GB"/>
        </w:rPr>
      </w:pPr>
      <w:r w:rsidRPr="00F93161">
        <w:rPr>
          <w:lang w:val="en-GB"/>
        </w:rPr>
        <w:t xml:space="preserve">In terms of the proposed Interpretative Guidelines on Ownership and Control, the EESC recommends that an impact assessment is drafted based on a number of scenarios to pave the way for an informed consideration of the question of ownership and control. In relation to the proposed Interpretative Guidelines on Public Service Obligation (PSO) rules, the Committee asks the Commission to propose – based on an in-depth economic and societal analysis of how to better provide sustainable connections to small domestic markets and peripheral destinations underpinned by a public consultation process – a revision of Regulation No 1008/2008. In terms of air traffic management (ATM) continuity, the EESC is of the view that at EU level the Network Manager (a directorate of EUROCONTROL) has already initiated the process to mitigate ATM disruptions. Moreover, the social partners already have mutually agreed tools to reduce any negative impact of industrial action. The EESC reaffirms that strikes are a fundamental workers' right and that the right to strike falls outside the scope of the EU treaties.  </w:t>
      </w:r>
    </w:p>
    <w:p w:rsidRPr="00F93161" w:rsidR="00A453A7" w:rsidP="00F93161" w:rsidRDefault="00A453A7">
      <w:pPr>
        <w:ind w:left="-567"/>
        <w:rPr>
          <w:lang w:val="en-GB"/>
        </w:rPr>
      </w:pPr>
    </w:p>
    <w:p w:rsidRPr="00F93161" w:rsidR="00C80F0D" w:rsidP="00C732DD" w:rsidRDefault="00C80F0D">
      <w:pPr>
        <w:pStyle w:val="ListParagraph"/>
        <w:numPr>
          <w:ilvl w:val="0"/>
          <w:numId w:val="77"/>
        </w:numPr>
        <w:ind w:left="567"/>
        <w:rPr>
          <w:lang w:val="en-GB"/>
        </w:rPr>
      </w:pPr>
      <w:r w:rsidRPr="00F93161">
        <w:rPr>
          <w:lang w:val="en-GB"/>
        </w:rPr>
        <w:t xml:space="preserve">Overall, the EESC highlights that in order to provide for the efficient implementation of the EU Aviation Strategy, it is essential to inject into the political discussion the views of organised civil society concerning the political, social, economic and environmental consequences of these initiatives. </w:t>
      </w:r>
    </w:p>
    <w:p w:rsidRPr="00F93161" w:rsidR="00C80F0D" w:rsidP="00C732DD" w:rsidRDefault="00C80F0D">
      <w:pPr>
        <w:ind w:left="567"/>
        <w:rPr>
          <w:color w:val="000000"/>
          <w:lang w:val="en-GB"/>
        </w:rPr>
      </w:pPr>
    </w:p>
    <w:p w:rsidRPr="00093786" w:rsidR="00C80F0D" w:rsidP="00C732DD" w:rsidRDefault="00C80F0D">
      <w:pPr>
        <w:tabs>
          <w:tab w:val="left" w:pos="1418"/>
        </w:tabs>
        <w:ind w:left="567"/>
        <w:rPr>
          <w:i/>
          <w:szCs w:val="22"/>
          <w:lang w:val="en-GB" w:eastAsia="en-US"/>
        </w:rPr>
      </w:pPr>
      <w:r w:rsidRPr="00093786">
        <w:rPr>
          <w:b/>
          <w:i/>
          <w:szCs w:val="22"/>
          <w:lang w:val="en-GB" w:eastAsia="en-US"/>
        </w:rPr>
        <w:t>Contact:</w:t>
      </w:r>
      <w:r w:rsidRPr="00093786">
        <w:rPr>
          <w:i/>
          <w:szCs w:val="22"/>
          <w:lang w:val="en-GB" w:eastAsia="en-US"/>
        </w:rPr>
        <w:tab/>
        <w:t>Kristian KRIEGER</w:t>
      </w:r>
    </w:p>
    <w:p w:rsidRPr="00093786" w:rsidR="00C80F0D" w:rsidP="00C732DD" w:rsidRDefault="00C80F0D">
      <w:pPr>
        <w:ind w:left="567"/>
        <w:rPr>
          <w:i/>
          <w:szCs w:val="22"/>
          <w:lang w:val="en-GB" w:eastAsia="en-US"/>
        </w:rPr>
      </w:pPr>
      <w:r w:rsidRPr="00093786">
        <w:rPr>
          <w:i/>
          <w:szCs w:val="22"/>
          <w:lang w:val="en-GB" w:eastAsia="en-US"/>
        </w:rPr>
        <w:t xml:space="preserve">Tel.: 00 32 2 546 8921 - e-mail: </w:t>
      </w:r>
      <w:hyperlink w:history="1" r:id="rId32">
        <w:r w:rsidRPr="00093786" w:rsidR="00F43CDE">
          <w:rPr>
            <w:rStyle w:val="Hyperlink"/>
            <w:i/>
            <w:szCs w:val="22"/>
            <w:lang w:val="en-GB" w:eastAsia="en-US"/>
          </w:rPr>
          <w:t>kristian.krieger@eesc.europa.eu</w:t>
        </w:r>
      </w:hyperlink>
      <w:r w:rsidRPr="00093786">
        <w:rPr>
          <w:i/>
          <w:szCs w:val="22"/>
          <w:lang w:val="en-GB" w:eastAsia="en-US"/>
        </w:rPr>
        <w:t>)</w:t>
      </w:r>
    </w:p>
    <w:p w:rsidRPr="00093786" w:rsidR="00CF635C" w:rsidP="00CF635C" w:rsidRDefault="00CF635C">
      <w:pPr>
        <w:widowControl w:val="0"/>
        <w:ind w:left="-567"/>
        <w:rPr>
          <w:lang w:val="en-GB"/>
        </w:rPr>
      </w:pPr>
    </w:p>
    <w:p w:rsidRPr="00093786" w:rsidR="00C80F0D" w:rsidP="00BF15FD" w:rsidRDefault="00C80F0D">
      <w:pPr>
        <w:pStyle w:val="ListParagraph"/>
        <w:keepNext/>
        <w:numPr>
          <w:ilvl w:val="0"/>
          <w:numId w:val="78"/>
        </w:numPr>
        <w:rPr>
          <w:bCs/>
          <w:i/>
          <w:sz w:val="28"/>
          <w:szCs w:val="28"/>
          <w:lang w:val="en-GB"/>
        </w:rPr>
      </w:pPr>
      <w:r w:rsidRPr="00093786">
        <w:rPr>
          <w:b/>
          <w:i/>
          <w:sz w:val="28"/>
          <w:szCs w:val="28"/>
          <w:lang w:val="en-GB"/>
        </w:rPr>
        <w:t>Rail passengers’ rights and obligations</w:t>
      </w:r>
    </w:p>
    <w:p w:rsidRPr="00093786" w:rsidR="00C80F0D" w:rsidP="00BF15FD" w:rsidRDefault="00C80F0D">
      <w:pPr>
        <w:keepNext/>
        <w:rPr>
          <w:bCs/>
          <w:highlight w:val="green"/>
          <w:lang w:val="en-GB"/>
        </w:rPr>
      </w:pPr>
    </w:p>
    <w:p w:rsidRPr="00F93161" w:rsidR="00C80F0D" w:rsidP="00BF15FD" w:rsidRDefault="00C80F0D">
      <w:pPr>
        <w:keepNext/>
        <w:tabs>
          <w:tab w:val="left" w:pos="1701"/>
        </w:tabs>
        <w:rPr>
          <w:lang w:val="en-GB"/>
        </w:rPr>
      </w:pPr>
      <w:r w:rsidRPr="00F93161">
        <w:rPr>
          <w:b/>
          <w:lang w:val="en-GB"/>
        </w:rPr>
        <w:t>Rapporteur:</w:t>
      </w:r>
      <w:r w:rsidRPr="00093786" w:rsidR="003029D8">
        <w:rPr>
          <w:b/>
          <w:szCs w:val="22"/>
          <w:lang w:val="en-GB"/>
        </w:rPr>
        <w:tab/>
      </w:r>
      <w:r w:rsidRPr="00F93161">
        <w:rPr>
          <w:lang w:val="en-GB"/>
        </w:rPr>
        <w:t>Jan SIMONS (</w:t>
      </w:r>
      <w:r w:rsidRPr="00F93161" w:rsidR="003029D8">
        <w:rPr>
          <w:lang w:val="en-GB"/>
        </w:rPr>
        <w:t xml:space="preserve">Employers – </w:t>
      </w:r>
      <w:r w:rsidRPr="00F93161">
        <w:rPr>
          <w:lang w:val="en-GB"/>
        </w:rPr>
        <w:t>NL)</w:t>
      </w:r>
    </w:p>
    <w:p w:rsidRPr="00093786" w:rsidR="003029D8" w:rsidP="00BF15FD" w:rsidRDefault="00C80F0D">
      <w:pPr>
        <w:keepNext/>
        <w:tabs>
          <w:tab w:val="left" w:pos="1701"/>
        </w:tabs>
        <w:rPr>
          <w:lang w:val="en-GB"/>
        </w:rPr>
      </w:pPr>
      <w:r w:rsidRPr="00093786">
        <w:rPr>
          <w:b/>
          <w:lang w:val="en-GB"/>
        </w:rPr>
        <w:t>Reference:</w:t>
      </w:r>
      <w:r w:rsidRPr="00093786" w:rsidR="003029D8">
        <w:rPr>
          <w:b/>
          <w:lang w:val="en-GB"/>
        </w:rPr>
        <w:tab/>
      </w:r>
      <w:r w:rsidRPr="00093786">
        <w:rPr>
          <w:lang w:val="en-GB"/>
        </w:rPr>
        <w:t>COM(2017) 548 final - 2017/0237 (COD)</w:t>
      </w:r>
    </w:p>
    <w:p w:rsidRPr="00093786" w:rsidR="00C80F0D" w:rsidP="00BF15FD" w:rsidRDefault="00C80F0D">
      <w:pPr>
        <w:keepNext/>
        <w:ind w:left="1701"/>
        <w:rPr>
          <w:highlight w:val="green"/>
          <w:lang w:val="en-GB"/>
        </w:rPr>
      </w:pPr>
      <w:r w:rsidRPr="00093786">
        <w:rPr>
          <w:lang w:val="en-GB"/>
        </w:rPr>
        <w:t>EESC-2017-04887-00-00-A</w:t>
      </w:r>
      <w:r w:rsidRPr="00093786" w:rsidR="00974ED0">
        <w:rPr>
          <w:lang w:val="en-GB"/>
        </w:rPr>
        <w:t>C</w:t>
      </w:r>
      <w:r w:rsidRPr="00093786">
        <w:rPr>
          <w:lang w:val="en-GB"/>
        </w:rPr>
        <w:t>-TRA</w:t>
      </w:r>
    </w:p>
    <w:p w:rsidRPr="00093786" w:rsidR="00C80F0D" w:rsidP="00CF635C" w:rsidRDefault="00C80F0D">
      <w:pPr>
        <w:rPr>
          <w:b/>
          <w:szCs w:val="22"/>
          <w:highlight w:val="green"/>
          <w:lang w:val="en-GB"/>
        </w:rPr>
      </w:pPr>
    </w:p>
    <w:p w:rsidR="00C80F0D" w:rsidP="00CF635C" w:rsidRDefault="00C80F0D">
      <w:pPr>
        <w:rPr>
          <w:b/>
          <w:szCs w:val="22"/>
          <w:lang w:val="en-GB"/>
        </w:rPr>
      </w:pPr>
      <w:r w:rsidRPr="00093786">
        <w:rPr>
          <w:b/>
          <w:szCs w:val="22"/>
          <w:lang w:val="en-GB"/>
        </w:rPr>
        <w:t xml:space="preserve">Key points: </w:t>
      </w:r>
    </w:p>
    <w:p w:rsidRPr="00093786" w:rsidR="00CF635C" w:rsidP="00CF635C" w:rsidRDefault="00CF635C">
      <w:pPr>
        <w:rPr>
          <w:color w:val="000000"/>
          <w:lang w:val="en-GB"/>
        </w:rPr>
      </w:pPr>
    </w:p>
    <w:p w:rsidR="00C80F0D" w:rsidP="00CF635C" w:rsidRDefault="00C80F0D">
      <w:pPr>
        <w:keepNext/>
        <w:rPr>
          <w:color w:val="000000"/>
          <w:lang w:val="en-GB"/>
        </w:rPr>
      </w:pPr>
      <w:r w:rsidRPr="00F93161">
        <w:rPr>
          <w:color w:val="000000"/>
          <w:lang w:val="en-GB"/>
        </w:rPr>
        <w:t>The Committee endorses the Commission's proposals, in particular the ones that further clarify the current rules, provide better information to passengers, and, by removing national exemptions, promote the uniform application of passenger rights throughout the European Union. In addition, the introduction of a force majeure clause as such is warranted, in order to align rail with the other modes of transport.</w:t>
      </w:r>
    </w:p>
    <w:p w:rsidRPr="00F93161" w:rsidR="00A453A7" w:rsidP="00CF635C" w:rsidRDefault="00A453A7">
      <w:pPr>
        <w:keepNext/>
        <w:ind w:left="-567"/>
        <w:rPr>
          <w:color w:val="000000"/>
          <w:lang w:val="en-GB"/>
        </w:rPr>
      </w:pPr>
    </w:p>
    <w:p w:rsidR="00C80F0D" w:rsidP="00CF635C" w:rsidRDefault="00C80F0D">
      <w:pPr>
        <w:keepNext/>
        <w:rPr>
          <w:color w:val="000000"/>
          <w:lang w:val="en-GB"/>
        </w:rPr>
      </w:pPr>
      <w:r w:rsidRPr="00F93161">
        <w:rPr>
          <w:color w:val="000000"/>
          <w:lang w:val="en-GB"/>
        </w:rPr>
        <w:t>However, the Committee also has a number of proposals for tightening up the draft text:</w:t>
      </w:r>
    </w:p>
    <w:p w:rsidRPr="00F93161" w:rsidR="00B93E80" w:rsidP="00CF635C" w:rsidRDefault="00B93E80">
      <w:pPr>
        <w:keepNext/>
        <w:rPr>
          <w:color w:val="000000"/>
          <w:lang w:val="en-GB"/>
        </w:rPr>
      </w:pPr>
    </w:p>
    <w:p w:rsidRPr="00F93161" w:rsidR="00C80F0D" w:rsidP="00CF635C" w:rsidRDefault="00C80F0D">
      <w:pPr>
        <w:numPr>
          <w:ilvl w:val="0"/>
          <w:numId w:val="62"/>
        </w:numPr>
        <w:rPr>
          <w:lang w:val="en-GB" w:bidi="en-GB"/>
        </w:rPr>
      </w:pPr>
      <w:r w:rsidRPr="00F93161">
        <w:rPr>
          <w:lang w:val="en-GB" w:bidi="en-GB"/>
        </w:rPr>
        <w:t>It can sometimes be difficult for train staff to identify passengers with disabilities, and will be all the more so now that it is proposed to include mental and psychological disability in the definition of persons with reduced mobility. In the case of suspected fraud, this might lead to critical situations and operational difficulties. This issue should be given due attention in staff training (Article 26).</w:t>
      </w:r>
    </w:p>
    <w:p w:rsidRPr="00F93161" w:rsidR="00C80F0D" w:rsidP="00CF635C" w:rsidRDefault="00C80F0D">
      <w:pPr>
        <w:numPr>
          <w:ilvl w:val="0"/>
          <w:numId w:val="62"/>
        </w:numPr>
        <w:rPr>
          <w:lang w:val="en-GB" w:bidi="en-GB"/>
        </w:rPr>
      </w:pPr>
      <w:r w:rsidRPr="00F93161">
        <w:rPr>
          <w:lang w:val="en-GB" w:bidi="en-GB"/>
        </w:rPr>
        <w:t>The remaining exemptions to national long-distance services should continue to be phased out gradually by 2024 in line with the existing regulation's requirement. Ending the exemption earlier, in 2020, as proposed by the Commission, could be too early for certain Member States. In that case, an appropriate solution should be found on a case-by-case basis, to enable a smooth transition.</w:t>
      </w:r>
    </w:p>
    <w:p w:rsidRPr="00F93161" w:rsidR="00C80F0D" w:rsidP="00CF635C" w:rsidRDefault="00C80F0D">
      <w:pPr>
        <w:numPr>
          <w:ilvl w:val="0"/>
          <w:numId w:val="62"/>
        </w:numPr>
        <w:rPr>
          <w:lang w:val="en-GB" w:bidi="en-GB"/>
        </w:rPr>
      </w:pPr>
      <w:r w:rsidRPr="00F93161">
        <w:rPr>
          <w:lang w:val="en-GB" w:bidi="en-GB"/>
        </w:rPr>
        <w:t>The minimum compensations (Article 17(1)) are subject to a minimum of 60 minutes' delay. However, in current practice, shorter minimum delays have been known to apply. That possibility should be maintained by expressly mentioning this in the article.</w:t>
      </w:r>
    </w:p>
    <w:p w:rsidRPr="00F93161" w:rsidR="00C80F0D" w:rsidP="00CF635C" w:rsidRDefault="00C80F0D">
      <w:pPr>
        <w:numPr>
          <w:ilvl w:val="0"/>
          <w:numId w:val="62"/>
        </w:numPr>
        <w:rPr>
          <w:lang w:val="en-GB" w:bidi="en-GB"/>
        </w:rPr>
      </w:pPr>
      <w:r w:rsidRPr="00F93161">
        <w:rPr>
          <w:lang w:val="en-GB" w:bidi="en-GB"/>
        </w:rPr>
        <w:t>With regard to the travel information to be provided, it should be added that where the minimum delay for compensation will almost certainly be reached or exceeded, this must be communicated to the passengers and, where possible, the relevant application forms for compensation actually made available.</w:t>
      </w:r>
    </w:p>
    <w:p w:rsidRPr="00F93161" w:rsidR="00C80F0D" w:rsidP="00CF635C" w:rsidRDefault="00C80F0D">
      <w:pPr>
        <w:numPr>
          <w:ilvl w:val="0"/>
          <w:numId w:val="62"/>
        </w:numPr>
        <w:rPr>
          <w:lang w:val="en-GB" w:bidi="en-GB"/>
        </w:rPr>
      </w:pPr>
      <w:r w:rsidRPr="00F93161">
        <w:rPr>
          <w:lang w:val="en-GB" w:bidi="en-GB"/>
        </w:rPr>
        <w:t>Article 22 governs assistance at railway stations. Paragraph 3 sets out special arrangements for unstaffed stations. The proposed new paragraph 4 then fails to take due account of this. The Committee recommends adding "with the exception of unstaffed stations, which are covered by paragraph 3" after the last word in paragraph 4 ("operate").</w:t>
      </w:r>
    </w:p>
    <w:p w:rsidRPr="00F93161" w:rsidR="00C80F0D" w:rsidP="00F93161" w:rsidRDefault="00C80F0D">
      <w:pPr>
        <w:ind w:left="720"/>
        <w:rPr>
          <w:color w:val="000000"/>
          <w:lang w:val="en-GB"/>
        </w:rPr>
      </w:pPr>
    </w:p>
    <w:p w:rsidRPr="00F93161" w:rsidR="00C80F0D" w:rsidP="00CF635C" w:rsidRDefault="00C80F0D">
      <w:pPr>
        <w:keepNext/>
        <w:rPr>
          <w:color w:val="000000"/>
          <w:lang w:val="en-GB"/>
        </w:rPr>
      </w:pPr>
    </w:p>
    <w:p w:rsidRPr="00093786" w:rsidR="00C80F0D" w:rsidP="00CF635C" w:rsidRDefault="00C80F0D">
      <w:pPr>
        <w:tabs>
          <w:tab w:val="left" w:pos="1418"/>
        </w:tabs>
        <w:rPr>
          <w:i/>
          <w:szCs w:val="22"/>
          <w:lang w:val="en-GB" w:eastAsia="en-US"/>
        </w:rPr>
      </w:pPr>
      <w:r w:rsidRPr="00093786">
        <w:rPr>
          <w:b/>
          <w:i/>
          <w:szCs w:val="22"/>
          <w:lang w:val="en-GB" w:eastAsia="en-US"/>
        </w:rPr>
        <w:t>Contact:</w:t>
      </w:r>
      <w:r w:rsidRPr="00093786">
        <w:rPr>
          <w:i/>
          <w:szCs w:val="22"/>
          <w:lang w:val="en-GB" w:eastAsia="en-US"/>
        </w:rPr>
        <w:tab/>
        <w:t>Agota BAZSIK</w:t>
      </w:r>
    </w:p>
    <w:p w:rsidRPr="00F93161" w:rsidR="00C80F0D" w:rsidP="00CF635C" w:rsidRDefault="00C80F0D">
      <w:pPr>
        <w:ind w:left="1418"/>
        <w:rPr>
          <w:lang w:val="en-GB"/>
        </w:rPr>
      </w:pPr>
      <w:r w:rsidRPr="00093786">
        <w:rPr>
          <w:i/>
          <w:szCs w:val="22"/>
          <w:lang w:val="en-GB" w:eastAsia="en-US"/>
        </w:rPr>
        <w:t xml:space="preserve">Tel.: 00 32 2 546 8658 - e-mail: </w:t>
      </w:r>
      <w:hyperlink w:history="1" r:id="rId33">
        <w:r w:rsidRPr="00093786" w:rsidR="00F43CDE">
          <w:rPr>
            <w:rStyle w:val="Hyperlink"/>
            <w:i/>
            <w:szCs w:val="22"/>
            <w:lang w:val="en-GB" w:eastAsia="en-US"/>
          </w:rPr>
          <w:t>agota.bazsik@eesc.europa.eu</w:t>
        </w:r>
      </w:hyperlink>
      <w:r w:rsidRPr="00093786">
        <w:rPr>
          <w:i/>
          <w:szCs w:val="22"/>
          <w:lang w:val="en-GB" w:eastAsia="en-US"/>
        </w:rPr>
        <w:t>)</w:t>
      </w:r>
    </w:p>
    <w:p w:rsidRPr="00F93161" w:rsidR="0099413E" w:rsidP="00CF635C" w:rsidRDefault="0099413E">
      <w:pPr>
        <w:rPr>
          <w:lang w:val="en-GB"/>
        </w:rPr>
      </w:pPr>
    </w:p>
    <w:p w:rsidRPr="00F93161" w:rsidR="0099413E" w:rsidP="00CF635C" w:rsidRDefault="0099413E">
      <w:pPr>
        <w:jc w:val="center"/>
        <w:rPr>
          <w:lang w:val="en-GB"/>
        </w:rPr>
      </w:pPr>
      <w:r w:rsidRPr="00F93161">
        <w:rPr>
          <w:lang w:val="en-GB"/>
        </w:rPr>
        <w:t>–––––––––––––</w:t>
      </w:r>
    </w:p>
    <w:sectPr w:rsidRPr="00F93161" w:rsidR="0099413E" w:rsidSect="00A453A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6" w:rsidP="003B283B" w:rsidRDefault="00752D36">
      <w:pPr>
        <w:spacing w:line="240" w:lineRule="auto"/>
      </w:pPr>
      <w:r>
        <w:separator/>
      </w:r>
    </w:p>
  </w:endnote>
  <w:endnote w:type="continuationSeparator" w:id="0">
    <w:p w:rsidR="00752D36" w:rsidP="003B283B" w:rsidRDefault="00752D36">
      <w:pPr>
        <w:spacing w:line="240" w:lineRule="auto"/>
      </w:pPr>
      <w:r>
        <w:continuationSeparator/>
      </w:r>
    </w:p>
  </w:endnote>
  <w:endnote w:type="continuationNotice" w:id="1">
    <w:p w:rsidR="00752D36" w:rsidRDefault="00752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A453A7" w:rsidP="00A453A7" w:rsidRDefault="00A4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A453A7">
    <w:pPr>
      <w:pStyle w:val="Footer"/>
    </w:pPr>
    <w:r>
      <w:t xml:space="preserve">EESC-2017-05949-00-02-TCD-TRA (EN) </w:t>
    </w:r>
    <w:r>
      <w:fldChar w:fldCharType="begin"/>
    </w:r>
    <w:r>
      <w:instrText xml:space="preserve"> PAGE  \* Arabic  \* MERGEFORMAT </w:instrText>
    </w:r>
    <w:r>
      <w:fldChar w:fldCharType="separate"/>
    </w:r>
    <w:r w:rsidR="005D3F9B">
      <w:rPr>
        <w:noProof/>
      </w:rPr>
      <w:t>1</w:t>
    </w:r>
    <w:r>
      <w:fldChar w:fldCharType="end"/>
    </w:r>
    <w:r>
      <w:t>/</w:t>
    </w:r>
    <w:r>
      <w:fldChar w:fldCharType="begin"/>
    </w:r>
    <w:r>
      <w:instrText xml:space="preserve"> = </w:instrText>
    </w:r>
    <w:r w:rsidR="004022B8">
      <w:fldChar w:fldCharType="begin"/>
    </w:r>
    <w:r w:rsidR="004022B8">
      <w:instrText xml:space="preserve"> NUMPAGES </w:instrText>
    </w:r>
    <w:r w:rsidR="004022B8">
      <w:fldChar w:fldCharType="separate"/>
    </w:r>
    <w:r w:rsidR="005D3F9B">
      <w:rPr>
        <w:noProof/>
      </w:rPr>
      <w:instrText>1</w:instrText>
    </w:r>
    <w:r w:rsidR="004022B8">
      <w:rPr>
        <w:noProof/>
      </w:rPr>
      <w:fldChar w:fldCharType="end"/>
    </w:r>
    <w:r>
      <w:instrText xml:space="preserve"> </w:instrText>
    </w:r>
    <w:r>
      <w:fldChar w:fldCharType="separate"/>
    </w:r>
    <w:r w:rsidR="005D3F9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A453A7" w:rsidP="00A453A7" w:rsidRDefault="00A45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132A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A453A7">
    <w:pPr>
      <w:pStyle w:val="Footer"/>
    </w:pPr>
    <w:r>
      <w:t xml:space="preserve">EESC-2017-05949-00-02-TCD-TRA (EN) </w:t>
    </w:r>
    <w:r>
      <w:fldChar w:fldCharType="begin"/>
    </w:r>
    <w:r>
      <w:instrText xml:space="preserve"> PAGE  \* Arabic  \* MERGEFORMAT </w:instrText>
    </w:r>
    <w:r>
      <w:fldChar w:fldCharType="separate"/>
    </w:r>
    <w:r>
      <w:rPr>
        <w:noProof/>
      </w:rPr>
      <w:t>15</w:t>
    </w:r>
    <w:r>
      <w:fldChar w:fldCharType="end"/>
    </w:r>
    <w:r>
      <w:t>/</w:t>
    </w:r>
    <w:r>
      <w:fldChar w:fldCharType="begin"/>
    </w:r>
    <w:r>
      <w:instrText xml:space="preserve"> = </w:instrText>
    </w:r>
    <w:r w:rsidR="004022B8">
      <w:fldChar w:fldCharType="begin"/>
    </w:r>
    <w:r w:rsidR="004022B8">
      <w:instrText xml:space="preserve"> NUMPAGES </w:instrText>
    </w:r>
    <w:r w:rsidR="004022B8">
      <w:fldChar w:fldCharType="separate"/>
    </w:r>
    <w:r>
      <w:rPr>
        <w:noProof/>
      </w:rPr>
      <w:instrText>15</w:instrText>
    </w:r>
    <w:r w:rsidR="004022B8">
      <w:rPr>
        <w:noProof/>
      </w:rPr>
      <w:fldChar w:fldCharType="end"/>
    </w:r>
    <w:r>
      <w:instrText xml:space="preserve"> </w:instrText>
    </w:r>
    <w:r>
      <w:fldChar w:fldCharType="separate"/>
    </w:r>
    <w:r>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13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6" w:rsidP="003B283B" w:rsidRDefault="00752D36">
      <w:pPr>
        <w:spacing w:line="240" w:lineRule="auto"/>
      </w:pPr>
      <w:r>
        <w:separator/>
      </w:r>
    </w:p>
  </w:footnote>
  <w:footnote w:type="continuationSeparator" w:id="0">
    <w:p w:rsidR="00752D36" w:rsidP="003B283B" w:rsidRDefault="00752D36">
      <w:pPr>
        <w:spacing w:line="240" w:lineRule="auto"/>
      </w:pPr>
      <w:r>
        <w:continuationSeparator/>
      </w:r>
    </w:p>
  </w:footnote>
  <w:footnote w:type="continuationNotice" w:id="1">
    <w:p w:rsidRPr="00377A77" w:rsidR="00752D36" w:rsidRDefault="00752D3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A453A7" w:rsidP="00A453A7" w:rsidRDefault="00A4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A453A7" w:rsidP="00A453A7" w:rsidRDefault="00A4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A453A7" w:rsidP="00A453A7" w:rsidRDefault="00A45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132A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132A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453A7" w:rsidR="00132AD0" w:rsidP="00A453A7" w:rsidRDefault="0013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3F9B"/>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514B"/>
    <w:rsid w:val="007456DC"/>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3A7"/>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4BC"/>
    <w:rsid w:val="00F70FF1"/>
    <w:rsid w:val="00F70FFA"/>
    <w:rsid w:val="00F71A9C"/>
    <w:rsid w:val="00F728F6"/>
    <w:rsid w:val="00F72E45"/>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711"/>
    <w:rsid w:val="00F87901"/>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a.valant@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agota.bazsik@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luis.lobo@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claudia.drewes-wran@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gota.bazsik@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is.lobo@eesc.europa.eu" TargetMode="External"/><Relationship Id="rId30" Type="http://schemas.openxmlformats.org/officeDocument/2006/relationships/hyperlink" Target="mailto:erika.paulinova@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WTPCSN73YJ26-8-7586</_dlc_DocId>
    <_dlc_DocIdUrl xmlns="8a3471f6-0f36-4ccf-b5ee-1ca67ea797ef">
      <Url>http://dm/EESC/2017/_layouts/DocIdRedir.aspx?ID=WTPCSN73YJ26-8-7586</Url>
      <Description>WTPCSN73YJ26-8-7586</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2018-01-30T12:00:00+00:00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Props1.xml><?xml version="1.0" encoding="utf-8"?>
<ds:datastoreItem xmlns:ds="http://schemas.openxmlformats.org/officeDocument/2006/customXml" ds:itemID="{E7CCA82E-9E2B-4347-B98D-79F24D2CB14B}"/>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D18F0EB-7151-4A71-AC19-DA71B5CB7598}"/>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0</TotalTime>
  <Pages>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de janvier 2018</dc:title>
  <dc:subject>Consultative work, various</dc:subject>
  <dc:creator>Marcos Jaime Tornin</dc:creator>
  <cp:keywords>EESC-2017-05949-00-02-TCD-TRA-EN</cp:keywords>
  <dc:description>Rapporteur: -  Original language: - EN Date of document: - 30/01/2018 Date of meeting: - 17/01/2018 External documents: -  Administrator responsible: - MME Tamasauskiene Julija</dc:description>
  <cp:lastModifiedBy>TDriveSVCUserProd</cp:lastModifiedBy>
  <cp:revision>4</cp:revision>
  <cp:lastPrinted>2018-01-15T08:01:00Z</cp:lastPrinted>
  <dcterms:created xsi:type="dcterms:W3CDTF">2018-01-30T13:35:00Z</dcterms:created>
  <dcterms:modified xsi:type="dcterms:W3CDTF">2018-01-30T13:36:00Z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14:31:28, 15:31:00, 09:45:52, 11:53:01, 15:00:14, 15:49:39, 15:47:16, 10:48:52, 11:23:50, 09:51:12, 14:43:57, 12:54:34, 12:22:33, 12:08:44, 12:23:59, 18:12:41, 09:48:43, 08:36:59, 11:43:50, 09:30:52, 17:35:55, 17:02:49, 16:30:20, 11:28:20, 09:54:52, 08:31</vt:lpwstr>
  </property>
  <property fmtid="{D5CDD505-2E9C-101B-9397-08002B2CF9AE}" pid="5" name="Pref_User">
    <vt:lpwstr>enied,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EESC-2017-05949-00-02-TCD-ORI.docx,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48643a73-4ad2-4d3f-a7dc-83e244232f0a</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72;#SPL-CES|32d8cb1f-c9ec-4365-95c7-8385a18618ac;#6;#Final|ea5e6674-7b27-4bac-b091-73adbb394efe;#17;#TCD|cd9d6eb6-3f4f-424a-b2d1-57c9d450eaaf;#5;#Unrestricted|826e22d7-d029-4ec0-a450-0c28ff673572;#4;#EN|f2175f21-25d7-44a3-96da-d6a61b075e1b;#2;#TRA|150d2a88-1431-44e6-a8ca-0bb753ab8672;#1;#EESC|422833ec-8d7e-4e65-8e4e-8bed07ffb729</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4;#EN|f2175f21-25d7-44a3-96da-d6a61b075e1b</vt:lpwstr>
  </property>
</Properties>
</file>