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299" w:rsidRPr="00426670" w:rsidRDefault="00145EBA">
      <w:pPr>
        <w:jc w:val="center"/>
        <w:rPr>
          <w:lang w:val="sl-SI"/>
        </w:rPr>
      </w:pPr>
      <w:r w:rsidRPr="00426670">
        <w:rPr>
          <w:noProof/>
          <w:lang w:val="fr-BE" w:eastAsia="fr-BE"/>
        </w:rPr>
        <w:drawing>
          <wp:inline distT="0" distB="0" distL="0" distR="0" wp14:anchorId="1F9820A6" wp14:editId="2A29404C">
            <wp:extent cx="882650" cy="564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650" cy="564515"/>
                    </a:xfrm>
                    <a:prstGeom prst="rect">
                      <a:avLst/>
                    </a:prstGeom>
                    <a:noFill/>
                    <a:ln>
                      <a:noFill/>
                    </a:ln>
                  </pic:spPr>
                </pic:pic>
              </a:graphicData>
            </a:graphic>
          </wp:inline>
        </w:drawing>
      </w:r>
      <w:r w:rsidR="003C500D" w:rsidRPr="00426670">
        <w:rPr>
          <w:noProof/>
          <w:sz w:val="20"/>
          <w:lang w:val="fr-BE" w:eastAsia="fr-BE"/>
        </w:rPr>
        <mc:AlternateContent>
          <mc:Choice Requires="wps">
            <w:drawing>
              <wp:anchor distT="0" distB="0" distL="114300" distR="114300" simplePos="0" relativeHeight="251659264" behindDoc="1" locked="0" layoutInCell="0" allowOverlap="1" wp14:anchorId="0B945BBC" wp14:editId="558FF0A5">
                <wp:simplePos x="0" y="0"/>
                <wp:positionH relativeFrom="page">
                  <wp:posOffset>6769100</wp:posOffset>
                </wp:positionH>
                <wp:positionV relativeFrom="page">
                  <wp:posOffset>10081260</wp:posOffset>
                </wp:positionV>
                <wp:extent cx="647700" cy="396240"/>
                <wp:effectExtent l="0" t="3810" r="3175" b="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00D" w:rsidRPr="00260E65" w:rsidRDefault="003C500D">
                            <w:pPr>
                              <w:jc w:val="center"/>
                              <w:rPr>
                                <w:rFonts w:ascii="Arial" w:hAnsi="Arial" w:cs="Arial"/>
                                <w:b/>
                                <w:bCs/>
                                <w:sz w:val="48"/>
                                <w:lang w:val="nl-BE"/>
                              </w:rPr>
                            </w:pPr>
                            <w:r>
                              <w:rPr>
                                <w:rFonts w:ascii="Arial" w:hAnsi="Arial" w:cs="Arial"/>
                                <w:b/>
                                <w:bCs/>
                                <w:sz w:val="48"/>
                                <w:lang w:val="nl-BE"/>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eAMtgIAALk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dMHgDLYCAAC5&#10;BQAADgAAAAAAAAAAAAAAAAAuAgAAZHJzL2Uyb0RvYy54bWxQSwECLQAUAAYACAAAACEA61QxWt4A&#10;AAAPAQAADwAAAAAAAAAAAAAAAAAQBQAAZHJzL2Rvd25yZXYueG1sUEsFBgAAAAAEAAQA8wAAABsG&#10;AAAAAA==&#10;" o:allowincell="f" filled="f" stroked="f">
                <v:textbox>
                  <w:txbxContent>
                    <w:p w:rsidR="003C500D" w:rsidRPr="00260E65" w:rsidRDefault="003C500D">
                      <w:pPr>
                        <w:jc w:val="center"/>
                        <w:rPr>
                          <w:rFonts w:ascii="Arial" w:hAnsi="Arial" w:cs="Arial"/>
                          <w:b/>
                          <w:bCs/>
                          <w:sz w:val="48"/>
                          <w:lang w:val="nl-BE"/>
                        </w:rPr>
                      </w:pPr>
                      <w:r>
                        <w:rPr>
                          <w:rFonts w:ascii="Arial" w:hAnsi="Arial" w:cs="Arial"/>
                          <w:b/>
                          <w:bCs/>
                          <w:sz w:val="48"/>
                          <w:lang w:val="nl-BE"/>
                        </w:rPr>
                        <w:t>SL</w:t>
                      </w:r>
                    </w:p>
                  </w:txbxContent>
                </v:textbox>
                <w10:wrap anchorx="page" anchory="page"/>
              </v:shape>
            </w:pict>
          </mc:Fallback>
        </mc:AlternateContent>
      </w:r>
    </w:p>
    <w:p w:rsidR="008B1299" w:rsidRPr="00426670" w:rsidRDefault="008B1299" w:rsidP="001B36FC">
      <w:pPr>
        <w:pStyle w:val="LOGO"/>
        <w:rPr>
          <w:lang w:val="sl-SI"/>
        </w:rPr>
      </w:pPr>
      <w:r w:rsidRPr="00426670">
        <w:rPr>
          <w:lang w:val="sl-SI"/>
        </w:rPr>
        <w:t>Evropski ekonomsko-socialni odbor</w:t>
      </w:r>
    </w:p>
    <w:p w:rsidR="008B1299" w:rsidRPr="00426670" w:rsidRDefault="008B1299">
      <w:pPr>
        <w:rPr>
          <w:lang w:val="sl-SI"/>
        </w:rPr>
      </w:pPr>
    </w:p>
    <w:p w:rsidR="008B1299" w:rsidRPr="00426670" w:rsidRDefault="008B1299">
      <w:pPr>
        <w:rPr>
          <w:lang w:val="sl-SI"/>
        </w:rPr>
      </w:pPr>
    </w:p>
    <w:p w:rsidR="008B1299" w:rsidRPr="00426670" w:rsidRDefault="001B36FC" w:rsidP="001B36FC">
      <w:pPr>
        <w:jc w:val="right"/>
        <w:rPr>
          <w:lang w:val="sl-SI"/>
        </w:rPr>
      </w:pPr>
      <w:r w:rsidRPr="00426670">
        <w:rPr>
          <w:lang w:val="sl-SI"/>
        </w:rPr>
        <w:t xml:space="preserve">Bruselj, </w:t>
      </w:r>
      <w:r w:rsidR="009A4093" w:rsidRPr="00426670">
        <w:rPr>
          <w:lang w:val="sl-SI"/>
        </w:rPr>
        <w:t>8. december 2017</w:t>
      </w:r>
    </w:p>
    <w:p w:rsidR="008B1299" w:rsidRPr="00426670" w:rsidRDefault="008B1299">
      <w:pPr>
        <w:rPr>
          <w:lang w:val="sl-SI"/>
        </w:rPr>
      </w:pPr>
    </w:p>
    <w:p w:rsidR="001B36FC" w:rsidRPr="00426670" w:rsidRDefault="001B36FC">
      <w:pPr>
        <w:rPr>
          <w:lang w:val="sl-SI"/>
        </w:rPr>
      </w:pPr>
    </w:p>
    <w:p w:rsidR="001B36FC" w:rsidRPr="00426670" w:rsidRDefault="001B36FC">
      <w:pPr>
        <w:rPr>
          <w:lang w:val="sl-SI"/>
        </w:rPr>
      </w:pPr>
    </w:p>
    <w:p w:rsidR="001B36FC" w:rsidRPr="00426670" w:rsidRDefault="001B36FC">
      <w:pPr>
        <w:rPr>
          <w:lang w:val="sl-SI"/>
        </w:rPr>
      </w:pPr>
    </w:p>
    <w:p w:rsidR="001B36FC" w:rsidRPr="00426670" w:rsidRDefault="001B36FC" w:rsidP="001B36FC">
      <w:pPr>
        <w:snapToGrid w:val="0"/>
        <w:rPr>
          <w:szCs w:val="22"/>
          <w:lang w:val="sl-SI"/>
        </w:rPr>
      </w:pPr>
    </w:p>
    <w:tbl>
      <w:tblPr>
        <w:tblW w:w="0" w:type="auto"/>
        <w:tblLayout w:type="fixed"/>
        <w:tblLook w:val="0000" w:firstRow="0" w:lastRow="0" w:firstColumn="0" w:lastColumn="0" w:noHBand="0" w:noVBand="0"/>
      </w:tblPr>
      <w:tblGrid>
        <w:gridCol w:w="9243"/>
      </w:tblGrid>
      <w:tr w:rsidR="001B36FC" w:rsidRPr="00426670" w:rsidTr="00750C59">
        <w:tc>
          <w:tcPr>
            <w:tcW w:w="9243" w:type="dxa"/>
            <w:tcBorders>
              <w:top w:val="nil"/>
              <w:left w:val="nil"/>
              <w:bottom w:val="double" w:sz="4" w:space="0" w:color="auto"/>
              <w:right w:val="nil"/>
            </w:tcBorders>
          </w:tcPr>
          <w:p w:rsidR="001B36FC" w:rsidRPr="00426670" w:rsidRDefault="001B36FC" w:rsidP="001B36FC">
            <w:pPr>
              <w:snapToGrid w:val="0"/>
              <w:jc w:val="center"/>
              <w:rPr>
                <w:rFonts w:ascii="Times New Roman Bold" w:eastAsia="MS Mincho" w:hAnsi="Times New Roman Bold"/>
                <w:b/>
                <w:sz w:val="32"/>
                <w:szCs w:val="22"/>
                <w:lang w:val="sl-SI"/>
              </w:rPr>
            </w:pPr>
            <w:r w:rsidRPr="00426670">
              <w:rPr>
                <w:rFonts w:ascii="Times New Roman Bold" w:hAnsi="Times New Roman Bold"/>
                <w:b/>
                <w:sz w:val="32"/>
                <w:szCs w:val="22"/>
                <w:lang w:val="sl-SI"/>
              </w:rPr>
              <w:t>PLENARNO ZASEDANJE</w:t>
            </w:r>
            <w:r w:rsidRPr="00426670">
              <w:rPr>
                <w:rFonts w:ascii="Times New Roman Bold" w:hAnsi="Times New Roman Bold"/>
                <w:b/>
                <w:sz w:val="32"/>
                <w:szCs w:val="22"/>
                <w:lang w:val="sl-SI"/>
              </w:rPr>
              <w:br/>
            </w:r>
            <w:r w:rsidRPr="00426670">
              <w:rPr>
                <w:rFonts w:ascii="Times New Roman Bold" w:hAnsi="Times New Roman Bold"/>
                <w:b/>
                <w:sz w:val="32"/>
                <w:szCs w:val="22"/>
                <w:lang w:val="sl-SI"/>
              </w:rPr>
              <w:br/>
            </w:r>
            <w:r w:rsidR="009A4093" w:rsidRPr="00426670">
              <w:rPr>
                <w:rFonts w:ascii="Times New Roman Bold" w:hAnsi="Times New Roman Bold"/>
                <w:b/>
                <w:sz w:val="32"/>
                <w:szCs w:val="22"/>
                <w:lang w:val="sl-SI"/>
              </w:rPr>
              <w:t>6. IN 7. DECEMBER 2017</w:t>
            </w:r>
            <w:r w:rsidRPr="00426670">
              <w:rPr>
                <w:rFonts w:ascii="Times New Roman Bold" w:hAnsi="Times New Roman Bold"/>
                <w:b/>
                <w:sz w:val="32"/>
                <w:szCs w:val="22"/>
                <w:lang w:val="sl-SI"/>
              </w:rPr>
              <w:br/>
            </w:r>
            <w:r w:rsidRPr="00426670">
              <w:rPr>
                <w:rFonts w:ascii="Times New Roman Bold" w:hAnsi="Times New Roman Bold"/>
                <w:b/>
                <w:sz w:val="32"/>
                <w:szCs w:val="22"/>
                <w:lang w:val="sl-SI"/>
              </w:rPr>
              <w:br/>
              <w:t>POVZETEK SPREJETIH MNENJ</w:t>
            </w:r>
          </w:p>
          <w:p w:rsidR="001B36FC" w:rsidRPr="00426670" w:rsidRDefault="001B36FC" w:rsidP="007F505A">
            <w:pPr>
              <w:jc w:val="center"/>
              <w:rPr>
                <w:szCs w:val="22"/>
                <w:lang w:val="sl-SI"/>
              </w:rPr>
            </w:pPr>
          </w:p>
          <w:p w:rsidR="001B36FC" w:rsidRPr="00426670" w:rsidRDefault="001B36FC" w:rsidP="007F505A">
            <w:pPr>
              <w:jc w:val="center"/>
              <w:rPr>
                <w:szCs w:val="22"/>
                <w:lang w:val="sl-SI"/>
              </w:rPr>
            </w:pPr>
          </w:p>
        </w:tc>
      </w:tr>
      <w:tr w:rsidR="001B36FC" w:rsidRPr="00426670" w:rsidTr="00750C59">
        <w:tc>
          <w:tcPr>
            <w:tcW w:w="9243" w:type="dxa"/>
            <w:tcBorders>
              <w:top w:val="double" w:sz="4" w:space="0" w:color="auto"/>
              <w:left w:val="double" w:sz="4" w:space="0" w:color="auto"/>
              <w:bottom w:val="double" w:sz="4" w:space="0" w:color="auto"/>
              <w:right w:val="double" w:sz="4" w:space="0" w:color="auto"/>
            </w:tcBorders>
          </w:tcPr>
          <w:p w:rsidR="001B36FC" w:rsidRPr="00426670" w:rsidRDefault="001B36FC" w:rsidP="001B36FC">
            <w:pPr>
              <w:snapToGrid w:val="0"/>
              <w:jc w:val="center"/>
              <w:rPr>
                <w:rFonts w:eastAsia="MS Mincho"/>
                <w:b/>
                <w:szCs w:val="22"/>
                <w:lang w:val="sl-SI"/>
              </w:rPr>
            </w:pPr>
            <w:r w:rsidRPr="00426670">
              <w:rPr>
                <w:b/>
                <w:szCs w:val="22"/>
                <w:lang w:val="sl-SI"/>
              </w:rPr>
              <w:t>Dokument je v uradnih jezikih na voljo na spletni strani Odbora:</w:t>
            </w:r>
          </w:p>
          <w:p w:rsidR="001B36FC" w:rsidRPr="00426670" w:rsidRDefault="001B36FC" w:rsidP="001B36FC">
            <w:pPr>
              <w:snapToGrid w:val="0"/>
              <w:jc w:val="center"/>
              <w:rPr>
                <w:szCs w:val="22"/>
                <w:lang w:val="sl-SI"/>
              </w:rPr>
            </w:pPr>
          </w:p>
          <w:p w:rsidR="001B36FC" w:rsidRPr="00426670" w:rsidRDefault="00E43709" w:rsidP="001B36FC">
            <w:pPr>
              <w:jc w:val="center"/>
              <w:rPr>
                <w:rFonts w:ascii="Times New Roman Bold" w:eastAsia="MS Mincho" w:hAnsi="Times New Roman Bold"/>
                <w:b/>
                <w:spacing w:val="-4"/>
                <w:szCs w:val="22"/>
                <w:lang w:val="sl-SI"/>
              </w:rPr>
            </w:pPr>
            <w:hyperlink r:id="rId14" w:history="1">
              <w:r w:rsidR="009A4093" w:rsidRPr="00426670">
                <w:rPr>
                  <w:rStyle w:val="Hyperlink"/>
                  <w:rFonts w:ascii="Times New Roman Bold" w:hAnsi="Times New Roman Bold"/>
                  <w:b/>
                  <w:spacing w:val="-4"/>
                  <w:lang w:val="sl-SI"/>
                </w:rPr>
                <w:t>http://www.eesc.europa.eu/sl/our-work/opinions-information-reports/plenary-session-summaries</w:t>
              </w:r>
            </w:hyperlink>
          </w:p>
          <w:p w:rsidR="001B36FC" w:rsidRPr="00426670" w:rsidRDefault="001B36FC" w:rsidP="001B36FC">
            <w:pPr>
              <w:snapToGrid w:val="0"/>
              <w:jc w:val="center"/>
              <w:rPr>
                <w:szCs w:val="22"/>
                <w:lang w:val="sl-SI"/>
              </w:rPr>
            </w:pPr>
          </w:p>
          <w:p w:rsidR="001B36FC" w:rsidRPr="00426670" w:rsidRDefault="001B36FC" w:rsidP="001B36FC">
            <w:pPr>
              <w:snapToGrid w:val="0"/>
              <w:jc w:val="center"/>
              <w:rPr>
                <w:rFonts w:eastAsia="MS Mincho"/>
                <w:b/>
                <w:szCs w:val="22"/>
                <w:lang w:val="sl-SI"/>
              </w:rPr>
            </w:pPr>
            <w:r w:rsidRPr="00426670">
              <w:rPr>
                <w:b/>
                <w:szCs w:val="22"/>
                <w:lang w:val="sl-SI"/>
              </w:rPr>
              <w:t>Navedena mnenja so na spletu dostopna prek iskalnika Odbora:</w:t>
            </w:r>
          </w:p>
          <w:p w:rsidR="001B36FC" w:rsidRPr="00426670" w:rsidRDefault="001B36FC" w:rsidP="001B36FC">
            <w:pPr>
              <w:snapToGrid w:val="0"/>
              <w:jc w:val="center"/>
              <w:rPr>
                <w:szCs w:val="22"/>
                <w:lang w:val="sl-SI"/>
              </w:rPr>
            </w:pPr>
          </w:p>
          <w:p w:rsidR="001B36FC" w:rsidRPr="00426670" w:rsidRDefault="00E43709" w:rsidP="009A4093">
            <w:pPr>
              <w:jc w:val="center"/>
              <w:rPr>
                <w:rFonts w:eastAsia="MS Mincho"/>
                <w:b/>
                <w:szCs w:val="22"/>
                <w:lang w:val="sl-SI"/>
              </w:rPr>
            </w:pPr>
            <w:hyperlink r:id="rId15" w:history="1">
              <w:r w:rsidR="009A4093" w:rsidRPr="00426670">
                <w:rPr>
                  <w:rStyle w:val="Hyperlink"/>
                  <w:b/>
                  <w:lang w:val="sl-SI"/>
                </w:rPr>
                <w:t>http://dm.eesc.europa.eu/EESCDocumentSearch/Pages/opinionssearch.aspx</w:t>
              </w:r>
            </w:hyperlink>
          </w:p>
        </w:tc>
      </w:tr>
    </w:tbl>
    <w:p w:rsidR="001B36FC" w:rsidRPr="00426670" w:rsidRDefault="001B36FC">
      <w:pPr>
        <w:rPr>
          <w:lang w:val="sl-SI"/>
        </w:rPr>
      </w:pPr>
    </w:p>
    <w:p w:rsidR="001B36FC" w:rsidRPr="00426670" w:rsidRDefault="001B36FC">
      <w:pPr>
        <w:rPr>
          <w:lang w:val="sl-SI"/>
        </w:rPr>
      </w:pPr>
    </w:p>
    <w:p w:rsidR="001B36FC" w:rsidRPr="00426670" w:rsidRDefault="001B36FC">
      <w:pPr>
        <w:rPr>
          <w:lang w:val="sl-SI"/>
        </w:rPr>
        <w:sectPr w:rsidR="001B36FC" w:rsidRPr="00426670" w:rsidSect="00C2463C">
          <w:footerReference w:type="default" r:id="rId16"/>
          <w:type w:val="continuous"/>
          <w:pgSz w:w="11907" w:h="16839" w:code="9"/>
          <w:pgMar w:top="1418" w:right="1418" w:bottom="1418" w:left="1418" w:header="709" w:footer="709" w:gutter="0"/>
          <w:pgNumType w:start="1"/>
          <w:cols w:space="720"/>
          <w:docGrid w:linePitch="299"/>
        </w:sectPr>
      </w:pPr>
    </w:p>
    <w:p w:rsidR="00B552B0" w:rsidRPr="00426670" w:rsidRDefault="00B552B0" w:rsidP="00B552B0">
      <w:pPr>
        <w:rPr>
          <w:b/>
          <w:lang w:val="sl-SI"/>
        </w:rPr>
      </w:pPr>
      <w:r w:rsidRPr="00426670">
        <w:rPr>
          <w:b/>
          <w:lang w:val="sl-SI"/>
        </w:rPr>
        <w:lastRenderedPageBreak/>
        <w:t>Kazalo:</w:t>
      </w:r>
    </w:p>
    <w:p w:rsidR="001B36FC" w:rsidRPr="00426670" w:rsidRDefault="001B36FC">
      <w:pPr>
        <w:rPr>
          <w:lang w:val="sl-SI"/>
        </w:rPr>
      </w:pPr>
    </w:p>
    <w:p w:rsidR="00426670" w:rsidRPr="00C95A0A" w:rsidRDefault="00426670">
      <w:pPr>
        <w:rPr>
          <w:lang w:val="sl-SI"/>
        </w:rPr>
      </w:pPr>
    </w:p>
    <w:p w:rsidR="00C95A0A" w:rsidRPr="00C95A0A" w:rsidRDefault="00C95A0A" w:rsidP="00C95A0A">
      <w:pPr>
        <w:pStyle w:val="TOC1"/>
        <w:rPr>
          <w:rFonts w:eastAsiaTheme="minorEastAsia"/>
          <w:noProof/>
          <w:szCs w:val="22"/>
          <w:lang w:val="fr-BE" w:eastAsia="fr-BE"/>
        </w:rPr>
      </w:pPr>
      <w:r w:rsidRPr="00C95A0A">
        <w:rPr>
          <w:lang w:val="sl-SI"/>
        </w:rPr>
        <w:fldChar w:fldCharType="begin"/>
      </w:r>
      <w:r w:rsidRPr="00C95A0A">
        <w:rPr>
          <w:lang w:val="sl-SI"/>
        </w:rPr>
        <w:instrText xml:space="preserve"> TOC \o "1-1" \h \z \u </w:instrText>
      </w:r>
      <w:r w:rsidRPr="00C95A0A">
        <w:rPr>
          <w:lang w:val="sl-SI"/>
        </w:rPr>
        <w:fldChar w:fldCharType="separate"/>
      </w:r>
      <w:hyperlink w:anchor="_Toc502829129" w:history="1">
        <w:r w:rsidRPr="00C95A0A">
          <w:rPr>
            <w:rStyle w:val="Hyperlink"/>
            <w:noProof/>
            <w:lang w:val="sl-SI"/>
          </w:rPr>
          <w:t>1.</w:t>
        </w:r>
        <w:r w:rsidRPr="00C95A0A">
          <w:rPr>
            <w:rFonts w:eastAsiaTheme="minorEastAsia"/>
            <w:noProof/>
            <w:szCs w:val="22"/>
            <w:lang w:val="fr-BE" w:eastAsia="fr-BE"/>
          </w:rPr>
          <w:tab/>
        </w:r>
        <w:r w:rsidRPr="00C95A0A">
          <w:rPr>
            <w:rStyle w:val="Hyperlink"/>
            <w:b/>
            <w:noProof/>
            <w:lang w:val="sl-SI"/>
          </w:rPr>
          <w:t>EKONOMSKA IN SOCIALNA KOHEZIJA</w:t>
        </w:r>
        <w:r w:rsidRPr="00C95A0A">
          <w:rPr>
            <w:noProof/>
            <w:webHidden/>
          </w:rPr>
          <w:tab/>
        </w:r>
        <w:r w:rsidRPr="00C95A0A">
          <w:rPr>
            <w:noProof/>
            <w:webHidden/>
          </w:rPr>
          <w:fldChar w:fldCharType="begin"/>
        </w:r>
        <w:r w:rsidRPr="00C95A0A">
          <w:rPr>
            <w:noProof/>
            <w:webHidden/>
          </w:rPr>
          <w:instrText xml:space="preserve"> PAGEREF _Toc502829129 \h </w:instrText>
        </w:r>
        <w:r w:rsidRPr="00C95A0A">
          <w:rPr>
            <w:noProof/>
            <w:webHidden/>
          </w:rPr>
        </w:r>
        <w:r w:rsidRPr="00C95A0A">
          <w:rPr>
            <w:noProof/>
            <w:webHidden/>
          </w:rPr>
          <w:fldChar w:fldCharType="separate"/>
        </w:r>
        <w:r w:rsidR="000162C4">
          <w:rPr>
            <w:noProof/>
            <w:webHidden/>
          </w:rPr>
          <w:t>3</w:t>
        </w:r>
        <w:r w:rsidRPr="00C95A0A">
          <w:rPr>
            <w:noProof/>
            <w:webHidden/>
          </w:rPr>
          <w:fldChar w:fldCharType="end"/>
        </w:r>
      </w:hyperlink>
    </w:p>
    <w:p w:rsidR="00C95A0A" w:rsidRPr="00C95A0A" w:rsidRDefault="00E43709" w:rsidP="00C95A0A">
      <w:pPr>
        <w:pStyle w:val="TOC1"/>
        <w:rPr>
          <w:rFonts w:eastAsiaTheme="minorEastAsia"/>
          <w:noProof/>
          <w:szCs w:val="22"/>
          <w:lang w:val="fr-BE" w:eastAsia="fr-BE"/>
        </w:rPr>
      </w:pPr>
      <w:hyperlink w:anchor="_Toc502829130" w:history="1">
        <w:r w:rsidR="00C95A0A" w:rsidRPr="00C95A0A">
          <w:rPr>
            <w:rStyle w:val="Hyperlink"/>
            <w:noProof/>
            <w:lang w:val="sl-SI"/>
          </w:rPr>
          <w:t>2.</w:t>
        </w:r>
        <w:r w:rsidR="00C95A0A" w:rsidRPr="00C95A0A">
          <w:rPr>
            <w:rFonts w:eastAsiaTheme="minorEastAsia"/>
            <w:noProof/>
            <w:szCs w:val="22"/>
            <w:lang w:val="fr-BE" w:eastAsia="fr-BE"/>
          </w:rPr>
          <w:tab/>
        </w:r>
        <w:r w:rsidR="00C95A0A" w:rsidRPr="00C95A0A">
          <w:rPr>
            <w:rStyle w:val="Hyperlink"/>
            <w:b/>
            <w:noProof/>
            <w:lang w:val="sl-SI"/>
          </w:rPr>
          <w:t>EKONOMSKE IN SOCIALNE NEENAKOSTI</w:t>
        </w:r>
        <w:r w:rsidR="00C95A0A" w:rsidRPr="00C95A0A">
          <w:rPr>
            <w:noProof/>
            <w:webHidden/>
          </w:rPr>
          <w:tab/>
        </w:r>
        <w:r w:rsidR="00C95A0A" w:rsidRPr="00C95A0A">
          <w:rPr>
            <w:noProof/>
            <w:webHidden/>
          </w:rPr>
          <w:fldChar w:fldCharType="begin"/>
        </w:r>
        <w:r w:rsidR="00C95A0A" w:rsidRPr="00C95A0A">
          <w:rPr>
            <w:noProof/>
            <w:webHidden/>
          </w:rPr>
          <w:instrText xml:space="preserve"> PAGEREF _Toc502829130 \h </w:instrText>
        </w:r>
        <w:r w:rsidR="00C95A0A" w:rsidRPr="00C95A0A">
          <w:rPr>
            <w:noProof/>
            <w:webHidden/>
          </w:rPr>
        </w:r>
        <w:r w:rsidR="00C95A0A" w:rsidRPr="00C95A0A">
          <w:rPr>
            <w:noProof/>
            <w:webHidden/>
          </w:rPr>
          <w:fldChar w:fldCharType="separate"/>
        </w:r>
        <w:r w:rsidR="000162C4">
          <w:rPr>
            <w:noProof/>
            <w:webHidden/>
          </w:rPr>
          <w:t>4</w:t>
        </w:r>
        <w:r w:rsidR="00C95A0A" w:rsidRPr="00C95A0A">
          <w:rPr>
            <w:noProof/>
            <w:webHidden/>
          </w:rPr>
          <w:fldChar w:fldCharType="end"/>
        </w:r>
      </w:hyperlink>
    </w:p>
    <w:p w:rsidR="00C95A0A" w:rsidRPr="00C95A0A" w:rsidRDefault="00E43709" w:rsidP="00C95A0A">
      <w:pPr>
        <w:pStyle w:val="TOC1"/>
        <w:rPr>
          <w:rFonts w:eastAsiaTheme="minorEastAsia"/>
          <w:noProof/>
          <w:szCs w:val="22"/>
          <w:lang w:val="fr-BE" w:eastAsia="fr-BE"/>
        </w:rPr>
      </w:pPr>
      <w:hyperlink w:anchor="_Toc502829131" w:history="1">
        <w:r w:rsidR="00C95A0A" w:rsidRPr="00C95A0A">
          <w:rPr>
            <w:rStyle w:val="Hyperlink"/>
            <w:noProof/>
            <w:lang w:val="sl-SI"/>
          </w:rPr>
          <w:t>3.</w:t>
        </w:r>
        <w:r w:rsidR="00C95A0A" w:rsidRPr="00C95A0A">
          <w:rPr>
            <w:rFonts w:eastAsiaTheme="minorEastAsia"/>
            <w:noProof/>
            <w:szCs w:val="22"/>
            <w:lang w:val="fr-BE" w:eastAsia="fr-BE"/>
          </w:rPr>
          <w:tab/>
        </w:r>
        <w:r w:rsidR="00C95A0A" w:rsidRPr="00C95A0A">
          <w:rPr>
            <w:rStyle w:val="Hyperlink"/>
            <w:b/>
            <w:noProof/>
            <w:lang w:val="sl-SI"/>
          </w:rPr>
          <w:t>INSTITUCIONALNE ZADEVE</w:t>
        </w:r>
        <w:r w:rsidR="00C95A0A" w:rsidRPr="00C95A0A">
          <w:rPr>
            <w:noProof/>
            <w:webHidden/>
          </w:rPr>
          <w:tab/>
        </w:r>
        <w:r w:rsidR="00C95A0A" w:rsidRPr="00C95A0A">
          <w:rPr>
            <w:noProof/>
            <w:webHidden/>
          </w:rPr>
          <w:fldChar w:fldCharType="begin"/>
        </w:r>
        <w:r w:rsidR="00C95A0A" w:rsidRPr="00C95A0A">
          <w:rPr>
            <w:noProof/>
            <w:webHidden/>
          </w:rPr>
          <w:instrText xml:space="preserve"> PAGEREF _Toc502829131 \h </w:instrText>
        </w:r>
        <w:r w:rsidR="00C95A0A" w:rsidRPr="00C95A0A">
          <w:rPr>
            <w:noProof/>
            <w:webHidden/>
          </w:rPr>
        </w:r>
        <w:r w:rsidR="00C95A0A" w:rsidRPr="00C95A0A">
          <w:rPr>
            <w:noProof/>
            <w:webHidden/>
          </w:rPr>
          <w:fldChar w:fldCharType="separate"/>
        </w:r>
        <w:r w:rsidR="000162C4">
          <w:rPr>
            <w:noProof/>
            <w:webHidden/>
          </w:rPr>
          <w:t>5</w:t>
        </w:r>
        <w:r w:rsidR="00C95A0A" w:rsidRPr="00C95A0A">
          <w:rPr>
            <w:noProof/>
            <w:webHidden/>
          </w:rPr>
          <w:fldChar w:fldCharType="end"/>
        </w:r>
      </w:hyperlink>
    </w:p>
    <w:p w:rsidR="00C95A0A" w:rsidRPr="00C95A0A" w:rsidRDefault="00E43709" w:rsidP="00C95A0A">
      <w:pPr>
        <w:pStyle w:val="TOC1"/>
        <w:rPr>
          <w:rFonts w:eastAsiaTheme="minorEastAsia"/>
          <w:noProof/>
          <w:szCs w:val="22"/>
          <w:lang w:val="fr-BE" w:eastAsia="fr-BE"/>
        </w:rPr>
      </w:pPr>
      <w:hyperlink w:anchor="_Toc502829132" w:history="1">
        <w:r w:rsidR="00C95A0A" w:rsidRPr="00C95A0A">
          <w:rPr>
            <w:rStyle w:val="Hyperlink"/>
            <w:noProof/>
            <w:lang w:val="sl-SI"/>
          </w:rPr>
          <w:t>4.</w:t>
        </w:r>
        <w:r w:rsidR="00C95A0A" w:rsidRPr="00C95A0A">
          <w:rPr>
            <w:rFonts w:eastAsiaTheme="minorEastAsia"/>
            <w:noProof/>
            <w:szCs w:val="22"/>
            <w:lang w:val="fr-BE" w:eastAsia="fr-BE"/>
          </w:rPr>
          <w:tab/>
        </w:r>
        <w:r w:rsidR="00C95A0A" w:rsidRPr="00C95A0A">
          <w:rPr>
            <w:rStyle w:val="Hyperlink"/>
            <w:b/>
            <w:noProof/>
            <w:lang w:val="sl-SI"/>
          </w:rPr>
          <w:t>INDUSTRIJA / OBRAMBA</w:t>
        </w:r>
        <w:r w:rsidR="00C95A0A" w:rsidRPr="00C95A0A">
          <w:rPr>
            <w:noProof/>
            <w:webHidden/>
          </w:rPr>
          <w:tab/>
        </w:r>
        <w:r w:rsidR="00C95A0A" w:rsidRPr="00C95A0A">
          <w:rPr>
            <w:noProof/>
            <w:webHidden/>
          </w:rPr>
          <w:fldChar w:fldCharType="begin"/>
        </w:r>
        <w:r w:rsidR="00C95A0A" w:rsidRPr="00C95A0A">
          <w:rPr>
            <w:noProof/>
            <w:webHidden/>
          </w:rPr>
          <w:instrText xml:space="preserve"> PAGEREF _Toc502829132 \h </w:instrText>
        </w:r>
        <w:r w:rsidR="00C95A0A" w:rsidRPr="00C95A0A">
          <w:rPr>
            <w:noProof/>
            <w:webHidden/>
          </w:rPr>
        </w:r>
        <w:r w:rsidR="00C95A0A" w:rsidRPr="00C95A0A">
          <w:rPr>
            <w:noProof/>
            <w:webHidden/>
          </w:rPr>
          <w:fldChar w:fldCharType="separate"/>
        </w:r>
        <w:r w:rsidR="000162C4">
          <w:rPr>
            <w:noProof/>
            <w:webHidden/>
          </w:rPr>
          <w:t>6</w:t>
        </w:r>
        <w:r w:rsidR="00C95A0A" w:rsidRPr="00C95A0A">
          <w:rPr>
            <w:noProof/>
            <w:webHidden/>
          </w:rPr>
          <w:fldChar w:fldCharType="end"/>
        </w:r>
      </w:hyperlink>
    </w:p>
    <w:p w:rsidR="00C95A0A" w:rsidRPr="00C95A0A" w:rsidRDefault="00E43709" w:rsidP="00C95A0A">
      <w:pPr>
        <w:pStyle w:val="TOC1"/>
        <w:rPr>
          <w:rFonts w:eastAsiaTheme="minorEastAsia"/>
          <w:noProof/>
          <w:szCs w:val="22"/>
          <w:lang w:val="fr-BE" w:eastAsia="fr-BE"/>
        </w:rPr>
      </w:pPr>
      <w:hyperlink w:anchor="_Toc502829133" w:history="1">
        <w:r w:rsidR="00C95A0A" w:rsidRPr="00C95A0A">
          <w:rPr>
            <w:rStyle w:val="Hyperlink"/>
            <w:noProof/>
            <w:lang w:val="sl-SI"/>
          </w:rPr>
          <w:t>5.</w:t>
        </w:r>
        <w:r w:rsidR="00C95A0A" w:rsidRPr="00C95A0A">
          <w:rPr>
            <w:rFonts w:eastAsiaTheme="minorEastAsia"/>
            <w:noProof/>
            <w:szCs w:val="22"/>
            <w:lang w:val="fr-BE" w:eastAsia="fr-BE"/>
          </w:rPr>
          <w:tab/>
        </w:r>
        <w:r w:rsidR="00C95A0A" w:rsidRPr="00C95A0A">
          <w:rPr>
            <w:rStyle w:val="Hyperlink"/>
            <w:b/>
            <w:noProof/>
            <w:lang w:val="sl-SI"/>
          </w:rPr>
          <w:t>PROMET</w:t>
        </w:r>
        <w:r w:rsidR="00C95A0A" w:rsidRPr="00C95A0A">
          <w:rPr>
            <w:noProof/>
            <w:webHidden/>
          </w:rPr>
          <w:tab/>
        </w:r>
        <w:r w:rsidR="00C95A0A" w:rsidRPr="00C95A0A">
          <w:rPr>
            <w:noProof/>
            <w:webHidden/>
          </w:rPr>
          <w:fldChar w:fldCharType="begin"/>
        </w:r>
        <w:r w:rsidR="00C95A0A" w:rsidRPr="00C95A0A">
          <w:rPr>
            <w:noProof/>
            <w:webHidden/>
          </w:rPr>
          <w:instrText xml:space="preserve"> PAGEREF _Toc502829133 \h </w:instrText>
        </w:r>
        <w:r w:rsidR="00C95A0A" w:rsidRPr="00C95A0A">
          <w:rPr>
            <w:noProof/>
            <w:webHidden/>
          </w:rPr>
        </w:r>
        <w:r w:rsidR="00C95A0A" w:rsidRPr="00C95A0A">
          <w:rPr>
            <w:noProof/>
            <w:webHidden/>
          </w:rPr>
          <w:fldChar w:fldCharType="separate"/>
        </w:r>
        <w:r w:rsidR="000162C4">
          <w:rPr>
            <w:noProof/>
            <w:webHidden/>
          </w:rPr>
          <w:t>8</w:t>
        </w:r>
        <w:r w:rsidR="00C95A0A" w:rsidRPr="00C95A0A">
          <w:rPr>
            <w:noProof/>
            <w:webHidden/>
          </w:rPr>
          <w:fldChar w:fldCharType="end"/>
        </w:r>
      </w:hyperlink>
    </w:p>
    <w:p w:rsidR="00C95A0A" w:rsidRPr="00C95A0A" w:rsidRDefault="00E43709" w:rsidP="00C95A0A">
      <w:pPr>
        <w:pStyle w:val="TOC1"/>
        <w:rPr>
          <w:rFonts w:eastAsiaTheme="minorEastAsia"/>
          <w:noProof/>
          <w:szCs w:val="22"/>
          <w:lang w:val="fr-BE" w:eastAsia="fr-BE"/>
        </w:rPr>
      </w:pPr>
      <w:hyperlink w:anchor="_Toc502829134" w:history="1">
        <w:r w:rsidR="00C95A0A" w:rsidRPr="00C95A0A">
          <w:rPr>
            <w:rStyle w:val="Hyperlink"/>
            <w:noProof/>
            <w:lang w:val="sl-SI"/>
          </w:rPr>
          <w:t>6.</w:t>
        </w:r>
        <w:r w:rsidR="00C95A0A" w:rsidRPr="00C95A0A">
          <w:rPr>
            <w:rFonts w:eastAsiaTheme="minorEastAsia"/>
            <w:noProof/>
            <w:szCs w:val="22"/>
            <w:lang w:val="fr-BE" w:eastAsia="fr-BE"/>
          </w:rPr>
          <w:tab/>
        </w:r>
        <w:r w:rsidR="00C95A0A" w:rsidRPr="00C95A0A">
          <w:rPr>
            <w:rStyle w:val="Hyperlink"/>
            <w:b/>
            <w:noProof/>
            <w:lang w:val="sl-SI"/>
          </w:rPr>
          <w:t>OKOLJE</w:t>
        </w:r>
        <w:r w:rsidR="00C95A0A" w:rsidRPr="00C95A0A">
          <w:rPr>
            <w:noProof/>
            <w:webHidden/>
          </w:rPr>
          <w:tab/>
        </w:r>
        <w:r w:rsidR="00C95A0A" w:rsidRPr="00C95A0A">
          <w:rPr>
            <w:noProof/>
            <w:webHidden/>
          </w:rPr>
          <w:fldChar w:fldCharType="begin"/>
        </w:r>
        <w:r w:rsidR="00C95A0A" w:rsidRPr="00C95A0A">
          <w:rPr>
            <w:noProof/>
            <w:webHidden/>
          </w:rPr>
          <w:instrText xml:space="preserve"> PAGEREF _Toc502829134 \h </w:instrText>
        </w:r>
        <w:r w:rsidR="00C95A0A" w:rsidRPr="00C95A0A">
          <w:rPr>
            <w:noProof/>
            <w:webHidden/>
          </w:rPr>
        </w:r>
        <w:r w:rsidR="00C95A0A" w:rsidRPr="00C95A0A">
          <w:rPr>
            <w:noProof/>
            <w:webHidden/>
          </w:rPr>
          <w:fldChar w:fldCharType="separate"/>
        </w:r>
        <w:r w:rsidR="000162C4">
          <w:rPr>
            <w:noProof/>
            <w:webHidden/>
          </w:rPr>
          <w:t>10</w:t>
        </w:r>
        <w:r w:rsidR="00C95A0A" w:rsidRPr="00C95A0A">
          <w:rPr>
            <w:noProof/>
            <w:webHidden/>
          </w:rPr>
          <w:fldChar w:fldCharType="end"/>
        </w:r>
      </w:hyperlink>
    </w:p>
    <w:p w:rsidR="00C95A0A" w:rsidRPr="00C95A0A" w:rsidRDefault="00E43709" w:rsidP="00C95A0A">
      <w:pPr>
        <w:pStyle w:val="TOC1"/>
        <w:rPr>
          <w:rFonts w:eastAsiaTheme="minorEastAsia"/>
          <w:noProof/>
          <w:szCs w:val="22"/>
          <w:lang w:val="fr-BE" w:eastAsia="fr-BE"/>
        </w:rPr>
      </w:pPr>
      <w:hyperlink w:anchor="_Toc502829135" w:history="1">
        <w:r w:rsidR="00C95A0A" w:rsidRPr="00C95A0A">
          <w:rPr>
            <w:rStyle w:val="Hyperlink"/>
            <w:noProof/>
            <w:lang w:val="sl-SI"/>
          </w:rPr>
          <w:t>7.</w:t>
        </w:r>
        <w:r w:rsidR="00C95A0A" w:rsidRPr="00C95A0A">
          <w:rPr>
            <w:rFonts w:eastAsiaTheme="minorEastAsia"/>
            <w:noProof/>
            <w:szCs w:val="22"/>
            <w:lang w:val="fr-BE" w:eastAsia="fr-BE"/>
          </w:rPr>
          <w:tab/>
        </w:r>
        <w:r w:rsidR="00C95A0A" w:rsidRPr="00C95A0A">
          <w:rPr>
            <w:rStyle w:val="Hyperlink"/>
            <w:b/>
            <w:noProof/>
            <w:lang w:val="sl-SI"/>
          </w:rPr>
          <w:t>PREHRANSKA POLITIKA</w:t>
        </w:r>
        <w:r w:rsidR="00C95A0A" w:rsidRPr="00C95A0A">
          <w:rPr>
            <w:noProof/>
            <w:webHidden/>
          </w:rPr>
          <w:tab/>
        </w:r>
        <w:r w:rsidR="00C95A0A" w:rsidRPr="00C95A0A">
          <w:rPr>
            <w:noProof/>
            <w:webHidden/>
          </w:rPr>
          <w:fldChar w:fldCharType="begin"/>
        </w:r>
        <w:r w:rsidR="00C95A0A" w:rsidRPr="00C95A0A">
          <w:rPr>
            <w:noProof/>
            <w:webHidden/>
          </w:rPr>
          <w:instrText xml:space="preserve"> PAGEREF _Toc502829135 \h </w:instrText>
        </w:r>
        <w:r w:rsidR="00C95A0A" w:rsidRPr="00C95A0A">
          <w:rPr>
            <w:noProof/>
            <w:webHidden/>
          </w:rPr>
        </w:r>
        <w:r w:rsidR="00C95A0A" w:rsidRPr="00C95A0A">
          <w:rPr>
            <w:noProof/>
            <w:webHidden/>
          </w:rPr>
          <w:fldChar w:fldCharType="separate"/>
        </w:r>
        <w:r w:rsidR="000162C4">
          <w:rPr>
            <w:noProof/>
            <w:webHidden/>
          </w:rPr>
          <w:t>14</w:t>
        </w:r>
        <w:r w:rsidR="00C95A0A" w:rsidRPr="00C95A0A">
          <w:rPr>
            <w:noProof/>
            <w:webHidden/>
          </w:rPr>
          <w:fldChar w:fldCharType="end"/>
        </w:r>
      </w:hyperlink>
    </w:p>
    <w:p w:rsidR="00C95A0A" w:rsidRPr="00C95A0A" w:rsidRDefault="00E43709" w:rsidP="00C95A0A">
      <w:pPr>
        <w:pStyle w:val="TOC1"/>
        <w:rPr>
          <w:rFonts w:eastAsiaTheme="minorEastAsia"/>
          <w:noProof/>
          <w:szCs w:val="22"/>
          <w:lang w:val="fr-BE" w:eastAsia="fr-BE"/>
        </w:rPr>
      </w:pPr>
      <w:hyperlink w:anchor="_Toc502829136" w:history="1">
        <w:r w:rsidR="00C95A0A" w:rsidRPr="00C95A0A">
          <w:rPr>
            <w:rStyle w:val="Hyperlink"/>
            <w:noProof/>
            <w:lang w:val="sl-SI"/>
          </w:rPr>
          <w:t>8.</w:t>
        </w:r>
        <w:r w:rsidR="00C95A0A" w:rsidRPr="00C95A0A">
          <w:rPr>
            <w:rFonts w:eastAsiaTheme="minorEastAsia"/>
            <w:noProof/>
            <w:szCs w:val="22"/>
            <w:lang w:val="fr-BE" w:eastAsia="fr-BE"/>
          </w:rPr>
          <w:tab/>
        </w:r>
        <w:r w:rsidR="00C95A0A" w:rsidRPr="00C95A0A">
          <w:rPr>
            <w:rStyle w:val="Hyperlink"/>
            <w:b/>
            <w:noProof/>
            <w:lang w:val="sl-SI"/>
          </w:rPr>
          <w:t>SOCIALNE ZADEVE</w:t>
        </w:r>
        <w:r w:rsidR="00C95A0A" w:rsidRPr="00C95A0A">
          <w:rPr>
            <w:noProof/>
            <w:webHidden/>
          </w:rPr>
          <w:tab/>
        </w:r>
        <w:r w:rsidR="00C95A0A" w:rsidRPr="00C95A0A">
          <w:rPr>
            <w:noProof/>
            <w:webHidden/>
          </w:rPr>
          <w:fldChar w:fldCharType="begin"/>
        </w:r>
        <w:r w:rsidR="00C95A0A" w:rsidRPr="00C95A0A">
          <w:rPr>
            <w:noProof/>
            <w:webHidden/>
          </w:rPr>
          <w:instrText xml:space="preserve"> PAGEREF _Toc502829136 \h </w:instrText>
        </w:r>
        <w:r w:rsidR="00C95A0A" w:rsidRPr="00C95A0A">
          <w:rPr>
            <w:noProof/>
            <w:webHidden/>
          </w:rPr>
        </w:r>
        <w:r w:rsidR="00C95A0A" w:rsidRPr="00C95A0A">
          <w:rPr>
            <w:noProof/>
            <w:webHidden/>
          </w:rPr>
          <w:fldChar w:fldCharType="separate"/>
        </w:r>
        <w:r w:rsidR="000162C4">
          <w:rPr>
            <w:noProof/>
            <w:webHidden/>
          </w:rPr>
          <w:t>15</w:t>
        </w:r>
        <w:r w:rsidR="00C95A0A" w:rsidRPr="00C95A0A">
          <w:rPr>
            <w:noProof/>
            <w:webHidden/>
          </w:rPr>
          <w:fldChar w:fldCharType="end"/>
        </w:r>
      </w:hyperlink>
    </w:p>
    <w:p w:rsidR="00C95A0A" w:rsidRPr="00C95A0A" w:rsidRDefault="00E43709" w:rsidP="00C95A0A">
      <w:pPr>
        <w:pStyle w:val="TOC1"/>
        <w:rPr>
          <w:rFonts w:eastAsiaTheme="minorEastAsia"/>
          <w:noProof/>
          <w:szCs w:val="22"/>
          <w:lang w:val="fr-BE" w:eastAsia="fr-BE"/>
        </w:rPr>
      </w:pPr>
      <w:hyperlink w:anchor="_Toc502829137" w:history="1">
        <w:r w:rsidR="00C95A0A" w:rsidRPr="00C95A0A">
          <w:rPr>
            <w:rStyle w:val="Hyperlink"/>
            <w:noProof/>
            <w:lang w:val="sl-SI"/>
          </w:rPr>
          <w:t>9.</w:t>
        </w:r>
        <w:r w:rsidR="00C95A0A" w:rsidRPr="00C95A0A">
          <w:rPr>
            <w:rFonts w:eastAsiaTheme="minorEastAsia"/>
            <w:noProof/>
            <w:szCs w:val="22"/>
            <w:lang w:val="fr-BE" w:eastAsia="fr-BE"/>
          </w:rPr>
          <w:tab/>
        </w:r>
        <w:r w:rsidR="00C95A0A" w:rsidRPr="00C95A0A">
          <w:rPr>
            <w:rStyle w:val="Hyperlink"/>
            <w:b/>
            <w:noProof/>
            <w:lang w:val="sl-SI"/>
          </w:rPr>
          <w:t>ZUNANJI ODNOSI</w:t>
        </w:r>
        <w:r w:rsidR="00C95A0A" w:rsidRPr="00C95A0A">
          <w:rPr>
            <w:noProof/>
            <w:webHidden/>
          </w:rPr>
          <w:tab/>
        </w:r>
        <w:r w:rsidR="00C95A0A" w:rsidRPr="00C95A0A">
          <w:rPr>
            <w:noProof/>
            <w:webHidden/>
          </w:rPr>
          <w:fldChar w:fldCharType="begin"/>
        </w:r>
        <w:r w:rsidR="00C95A0A" w:rsidRPr="00C95A0A">
          <w:rPr>
            <w:noProof/>
            <w:webHidden/>
          </w:rPr>
          <w:instrText xml:space="preserve"> PAGEREF _Toc502829137 \h </w:instrText>
        </w:r>
        <w:r w:rsidR="00C95A0A" w:rsidRPr="00C95A0A">
          <w:rPr>
            <w:noProof/>
            <w:webHidden/>
          </w:rPr>
        </w:r>
        <w:r w:rsidR="00C95A0A" w:rsidRPr="00C95A0A">
          <w:rPr>
            <w:noProof/>
            <w:webHidden/>
          </w:rPr>
          <w:fldChar w:fldCharType="separate"/>
        </w:r>
        <w:r w:rsidR="000162C4">
          <w:rPr>
            <w:noProof/>
            <w:webHidden/>
          </w:rPr>
          <w:t>18</w:t>
        </w:r>
        <w:r w:rsidR="00C95A0A" w:rsidRPr="00C95A0A">
          <w:rPr>
            <w:noProof/>
            <w:webHidden/>
          </w:rPr>
          <w:fldChar w:fldCharType="end"/>
        </w:r>
      </w:hyperlink>
    </w:p>
    <w:p w:rsidR="00B552B0" w:rsidRPr="00C95A0A" w:rsidRDefault="00C95A0A" w:rsidP="00426670">
      <w:pPr>
        <w:rPr>
          <w:lang w:val="sl-SI"/>
        </w:rPr>
      </w:pPr>
      <w:r w:rsidRPr="00C95A0A">
        <w:rPr>
          <w:lang w:val="sl-SI"/>
        </w:rPr>
        <w:fldChar w:fldCharType="end"/>
      </w:r>
    </w:p>
    <w:p w:rsidR="00426670" w:rsidRPr="00426670" w:rsidRDefault="00426670">
      <w:pPr>
        <w:rPr>
          <w:lang w:val="sl-SI"/>
        </w:rPr>
      </w:pPr>
    </w:p>
    <w:p w:rsidR="00426670" w:rsidRPr="00481A39" w:rsidRDefault="00426670" w:rsidP="00481A39">
      <w:pPr>
        <w:pageBreakBefore/>
        <w:rPr>
          <w:bCs/>
          <w:szCs w:val="22"/>
          <w:lang w:val="sl-SI"/>
        </w:rPr>
      </w:pPr>
      <w:r w:rsidRPr="00426670">
        <w:rPr>
          <w:szCs w:val="22"/>
          <w:lang w:val="sl-SI"/>
        </w:rPr>
        <w:t xml:space="preserve">Plenarnega zasedanja 6. in 7. decembra 2017 se je udeležil </w:t>
      </w:r>
      <w:r w:rsidRPr="00426670">
        <w:rPr>
          <w:b/>
          <w:szCs w:val="22"/>
          <w:lang w:val="sl-SI"/>
        </w:rPr>
        <w:t>Vytenis ANDRIUKAITIS</w:t>
      </w:r>
      <w:r w:rsidRPr="00426670">
        <w:rPr>
          <w:szCs w:val="22"/>
          <w:lang w:val="sl-SI"/>
        </w:rPr>
        <w:t xml:space="preserve">, evropski komisar za zdravje in varnost hrane. Na njem je potekala tudi slovesna podelitev </w:t>
      </w:r>
      <w:r w:rsidRPr="00426670">
        <w:rPr>
          <w:b/>
          <w:szCs w:val="22"/>
          <w:lang w:val="sl-SI"/>
        </w:rPr>
        <w:t>nagrade za civilno družbo</w:t>
      </w:r>
      <w:r w:rsidRPr="00426670">
        <w:rPr>
          <w:szCs w:val="22"/>
          <w:lang w:val="sl-SI"/>
        </w:rPr>
        <w:t>.</w:t>
      </w:r>
    </w:p>
    <w:p w:rsidR="00426670" w:rsidRPr="00426670" w:rsidRDefault="00426670" w:rsidP="00426670">
      <w:pPr>
        <w:rPr>
          <w:szCs w:val="22"/>
          <w:lang w:val="sl-SI"/>
        </w:rPr>
      </w:pPr>
    </w:p>
    <w:p w:rsidR="00426670" w:rsidRPr="00426670" w:rsidRDefault="00426670" w:rsidP="00426670">
      <w:pPr>
        <w:rPr>
          <w:szCs w:val="22"/>
          <w:lang w:val="sl-SI"/>
        </w:rPr>
      </w:pPr>
      <w:r w:rsidRPr="00426670">
        <w:rPr>
          <w:szCs w:val="22"/>
          <w:lang w:val="sl-SI"/>
        </w:rPr>
        <w:t>Na zasedanju so bila sprejeta naslednja mnenja:</w:t>
      </w:r>
    </w:p>
    <w:p w:rsidR="00426670" w:rsidRDefault="00426670" w:rsidP="00426670">
      <w:pPr>
        <w:rPr>
          <w:szCs w:val="22"/>
          <w:lang w:val="sl-SI"/>
        </w:rPr>
      </w:pPr>
    </w:p>
    <w:p w:rsidR="002C5935" w:rsidRPr="00426670" w:rsidRDefault="002C5935" w:rsidP="00426670">
      <w:pPr>
        <w:rPr>
          <w:szCs w:val="22"/>
          <w:lang w:val="sl-SI"/>
        </w:rPr>
      </w:pPr>
    </w:p>
    <w:p w:rsidR="00426670" w:rsidRPr="000B3636" w:rsidRDefault="000B3636" w:rsidP="00481A39">
      <w:pPr>
        <w:pStyle w:val="Heading1"/>
        <w:overflowPunct/>
        <w:autoSpaceDE/>
        <w:autoSpaceDN/>
        <w:adjustRightInd/>
        <w:ind w:left="567" w:hanging="567"/>
        <w:textAlignment w:val="auto"/>
        <w:rPr>
          <w:sz w:val="28"/>
          <w:szCs w:val="28"/>
          <w:lang w:val="sl-SI"/>
        </w:rPr>
      </w:pPr>
      <w:bookmarkStart w:id="0" w:name="_Toc501447752"/>
      <w:bookmarkStart w:id="1" w:name="_Toc502741917"/>
      <w:bookmarkStart w:id="2" w:name="_Toc502829129"/>
      <w:r w:rsidRPr="00481A39">
        <w:rPr>
          <w:b/>
          <w:sz w:val="28"/>
          <w:szCs w:val="28"/>
          <w:lang w:val="sl-SI"/>
        </w:rPr>
        <w:t>EKONOMSKA IN SOCIALNA KOHEZIJA</w:t>
      </w:r>
      <w:bookmarkEnd w:id="0"/>
      <w:bookmarkEnd w:id="1"/>
      <w:bookmarkEnd w:id="2"/>
    </w:p>
    <w:p w:rsidR="00426670" w:rsidRPr="00B2149D" w:rsidRDefault="00426670" w:rsidP="00B2149D">
      <w:pPr>
        <w:rPr>
          <w:lang w:val="sl-SI"/>
        </w:rPr>
      </w:pPr>
    </w:p>
    <w:p w:rsidR="00426670" w:rsidRPr="00A72A08" w:rsidRDefault="00426670" w:rsidP="00A72A08">
      <w:pPr>
        <w:numPr>
          <w:ilvl w:val="0"/>
          <w:numId w:val="2"/>
        </w:numPr>
        <w:ind w:hanging="567"/>
        <w:rPr>
          <w:b/>
          <w:i/>
          <w:sz w:val="28"/>
          <w:szCs w:val="22"/>
          <w:lang w:val="sl-SI"/>
        </w:rPr>
      </w:pPr>
      <w:r w:rsidRPr="00A72A08">
        <w:rPr>
          <w:b/>
          <w:i/>
          <w:sz w:val="28"/>
          <w:szCs w:val="22"/>
          <w:lang w:val="sl-SI"/>
        </w:rPr>
        <w:t>Prilagoditev sredstev za cilje kohezijske politike</w:t>
      </w:r>
    </w:p>
    <w:p w:rsidR="00426670" w:rsidRPr="00B2149D" w:rsidRDefault="00426670" w:rsidP="00426670">
      <w:pPr>
        <w:rPr>
          <w:lang w:val="sl-SI"/>
        </w:rPr>
      </w:pPr>
    </w:p>
    <w:p w:rsidR="00426670" w:rsidRPr="00426670" w:rsidRDefault="00426670" w:rsidP="00426670">
      <w:pPr>
        <w:rPr>
          <w:b/>
          <w:szCs w:val="22"/>
          <w:lang w:val="sl-SI"/>
        </w:rPr>
      </w:pPr>
      <w:r w:rsidRPr="00426670">
        <w:rPr>
          <w:b/>
          <w:szCs w:val="22"/>
          <w:lang w:val="sl-SI"/>
        </w:rPr>
        <w:t>Kategorija C</w:t>
      </w:r>
    </w:p>
    <w:p w:rsidR="00426670" w:rsidRPr="00426670" w:rsidRDefault="00426670" w:rsidP="00426670">
      <w:pPr>
        <w:rPr>
          <w:szCs w:val="22"/>
          <w:lang w:val="sl-SI"/>
        </w:rPr>
      </w:pPr>
    </w:p>
    <w:p w:rsidR="00426670" w:rsidRPr="00426670" w:rsidRDefault="00426670" w:rsidP="00426670">
      <w:pPr>
        <w:rPr>
          <w:szCs w:val="22"/>
          <w:lang w:val="sl-SI"/>
        </w:rPr>
      </w:pPr>
      <w:r w:rsidRPr="00426670">
        <w:rPr>
          <w:b/>
          <w:szCs w:val="22"/>
          <w:lang w:val="sl-SI"/>
        </w:rPr>
        <w:t>Referenčna dokumenta:</w:t>
      </w:r>
      <w:r w:rsidRPr="00426670">
        <w:rPr>
          <w:szCs w:val="22"/>
          <w:lang w:val="sl-SI"/>
        </w:rPr>
        <w:tab/>
      </w:r>
      <w:r w:rsidR="00B2149D">
        <w:rPr>
          <w:szCs w:val="22"/>
          <w:lang w:val="sl-SI"/>
        </w:rPr>
        <w:t xml:space="preserve"> </w:t>
      </w:r>
      <w:r w:rsidRPr="00426670">
        <w:rPr>
          <w:szCs w:val="22"/>
          <w:lang w:val="sl-SI"/>
        </w:rPr>
        <w:t>COM(2017) 565 final – 2017/0247 (COD)</w:t>
      </w:r>
    </w:p>
    <w:p w:rsidR="00426670" w:rsidRPr="00426670" w:rsidRDefault="00426670" w:rsidP="00B2149D">
      <w:pPr>
        <w:ind w:left="2325"/>
        <w:rPr>
          <w:szCs w:val="22"/>
          <w:lang w:val="sl-SI"/>
        </w:rPr>
      </w:pPr>
      <w:r w:rsidRPr="00426670">
        <w:rPr>
          <w:szCs w:val="22"/>
          <w:lang w:val="sl-SI"/>
        </w:rPr>
        <w:t>EESC-2017-05609-00-00-AC-TRA</w:t>
      </w:r>
    </w:p>
    <w:p w:rsidR="00426670" w:rsidRPr="00B2149D" w:rsidRDefault="00426670" w:rsidP="00426670">
      <w:pPr>
        <w:rPr>
          <w:lang w:val="sl-SI"/>
        </w:rPr>
      </w:pPr>
    </w:p>
    <w:p w:rsidR="00426670" w:rsidRPr="00426670" w:rsidRDefault="00426670" w:rsidP="00426670">
      <w:pPr>
        <w:rPr>
          <w:b/>
          <w:szCs w:val="22"/>
          <w:lang w:val="sl-SI"/>
        </w:rPr>
      </w:pPr>
      <w:r w:rsidRPr="00426670">
        <w:rPr>
          <w:b/>
          <w:szCs w:val="22"/>
          <w:lang w:val="sl-SI"/>
        </w:rPr>
        <w:t>Glavne točke:</w:t>
      </w:r>
    </w:p>
    <w:p w:rsidR="00426670" w:rsidRPr="00426670" w:rsidRDefault="00426670" w:rsidP="00426670">
      <w:pPr>
        <w:rPr>
          <w:szCs w:val="22"/>
          <w:lang w:val="sl-SI"/>
        </w:rPr>
      </w:pPr>
    </w:p>
    <w:p w:rsidR="00426670" w:rsidRPr="00426670" w:rsidRDefault="00426670" w:rsidP="00D527F9">
      <w:pPr>
        <w:rPr>
          <w:lang w:val="sl-SI"/>
        </w:rPr>
      </w:pPr>
      <w:r w:rsidRPr="00426670">
        <w:rPr>
          <w:lang w:val="sl-SI"/>
        </w:rPr>
        <w:t>Odbor se strinja z vsebino predloga Komisije in nima nobenih pripomb, zato je o tem predlogu sklenil podati pozitivno mnenje.</w:t>
      </w:r>
    </w:p>
    <w:p w:rsidR="00426670" w:rsidRPr="00426670" w:rsidRDefault="00426670" w:rsidP="00426670">
      <w:pPr>
        <w:rPr>
          <w:szCs w:val="22"/>
          <w:lang w:val="sl-SI"/>
        </w:rPr>
      </w:pPr>
    </w:p>
    <w:p w:rsidR="00426670" w:rsidRPr="00D527F9" w:rsidRDefault="00426670" w:rsidP="00D527F9">
      <w:pPr>
        <w:rPr>
          <w:rFonts w:eastAsia="Calibri"/>
          <w:i/>
          <w:iCs/>
          <w:szCs w:val="22"/>
          <w:lang w:val="sl-SI"/>
        </w:rPr>
      </w:pPr>
      <w:r w:rsidRPr="00D527F9">
        <w:rPr>
          <w:b/>
          <w:i/>
          <w:szCs w:val="22"/>
          <w:lang w:val="sl-SI"/>
        </w:rPr>
        <w:t>Kontaktna oseba:</w:t>
      </w:r>
      <w:r w:rsidRPr="00D527F9">
        <w:rPr>
          <w:i/>
          <w:szCs w:val="22"/>
          <w:lang w:val="sl-SI"/>
        </w:rPr>
        <w:t xml:space="preserve"> Helena </w:t>
      </w:r>
      <w:r w:rsidR="00D527F9" w:rsidRPr="00D527F9">
        <w:rPr>
          <w:i/>
          <w:szCs w:val="22"/>
          <w:lang w:val="sl-SI"/>
        </w:rPr>
        <w:t>Polomik</w:t>
      </w:r>
    </w:p>
    <w:p w:rsidR="00426670" w:rsidRPr="00D527F9" w:rsidRDefault="00426670" w:rsidP="00D527F9">
      <w:pPr>
        <w:rPr>
          <w:i/>
          <w:iCs/>
          <w:caps/>
          <w:szCs w:val="22"/>
          <w:lang w:val="sl-SI"/>
        </w:rPr>
      </w:pPr>
      <w:r w:rsidRPr="00D527F9">
        <w:rPr>
          <w:i/>
          <w:szCs w:val="22"/>
          <w:lang w:val="sl-SI"/>
        </w:rPr>
        <w:t xml:space="preserve">(tel.: 00 32 2 546 9063 – e-naslov: </w:t>
      </w:r>
      <w:hyperlink r:id="rId17">
        <w:r w:rsidRPr="00D527F9">
          <w:rPr>
            <w:i/>
            <w:color w:val="0000FF"/>
            <w:szCs w:val="22"/>
            <w:u w:val="single"/>
            <w:lang w:val="sl-SI"/>
          </w:rPr>
          <w:t>Helena.Polomik@eesc.europa.eu</w:t>
        </w:r>
      </w:hyperlink>
      <w:r w:rsidRPr="00D527F9">
        <w:rPr>
          <w:i/>
          <w:szCs w:val="22"/>
          <w:lang w:val="sl-SI"/>
        </w:rPr>
        <w:t>)</w:t>
      </w:r>
    </w:p>
    <w:p w:rsidR="00426670" w:rsidRPr="00426670" w:rsidRDefault="00426670" w:rsidP="00426670">
      <w:pPr>
        <w:rPr>
          <w:iCs/>
          <w:caps/>
          <w:szCs w:val="22"/>
          <w:lang w:val="sl-SI"/>
        </w:rPr>
      </w:pPr>
    </w:p>
    <w:p w:rsidR="00426670" w:rsidRPr="00426670" w:rsidRDefault="00426670" w:rsidP="00426670">
      <w:pPr>
        <w:rPr>
          <w:iCs/>
          <w:caps/>
          <w:szCs w:val="22"/>
          <w:lang w:val="sl-SI"/>
        </w:rPr>
      </w:pPr>
    </w:p>
    <w:p w:rsidR="00426670" w:rsidRPr="000B3636" w:rsidRDefault="000B3636" w:rsidP="009345AF">
      <w:pPr>
        <w:pStyle w:val="Heading1"/>
        <w:keepNext/>
        <w:keepLines/>
        <w:overflowPunct/>
        <w:autoSpaceDE/>
        <w:autoSpaceDN/>
        <w:adjustRightInd/>
        <w:ind w:left="567" w:hanging="567"/>
        <w:textAlignment w:val="auto"/>
        <w:rPr>
          <w:sz w:val="28"/>
          <w:szCs w:val="28"/>
          <w:lang w:val="sl-SI"/>
        </w:rPr>
      </w:pPr>
      <w:bookmarkStart w:id="3" w:name="_Toc501447753"/>
      <w:bookmarkStart w:id="4" w:name="_Toc502741918"/>
      <w:bookmarkStart w:id="5" w:name="_Toc502829130"/>
      <w:r w:rsidRPr="00481A39">
        <w:rPr>
          <w:b/>
          <w:sz w:val="28"/>
          <w:szCs w:val="28"/>
          <w:lang w:val="sl-SI"/>
        </w:rPr>
        <w:t>EKONOMSKE IN SOCIALNE NEENAKOSTI</w:t>
      </w:r>
      <w:bookmarkEnd w:id="3"/>
      <w:bookmarkEnd w:id="4"/>
      <w:bookmarkEnd w:id="5"/>
    </w:p>
    <w:p w:rsidR="00426670" w:rsidRPr="00D527F9" w:rsidRDefault="00426670" w:rsidP="009345AF">
      <w:pPr>
        <w:keepNext/>
        <w:keepLines/>
        <w:rPr>
          <w:highlight w:val="yellow"/>
          <w:lang w:val="sl-SI"/>
        </w:rPr>
      </w:pPr>
    </w:p>
    <w:p w:rsidR="00426670" w:rsidRPr="00A72A08" w:rsidRDefault="00426670" w:rsidP="009345AF">
      <w:pPr>
        <w:keepNext/>
        <w:keepLines/>
        <w:numPr>
          <w:ilvl w:val="0"/>
          <w:numId w:val="2"/>
        </w:numPr>
        <w:ind w:hanging="567"/>
        <w:rPr>
          <w:b/>
          <w:i/>
          <w:sz w:val="28"/>
          <w:szCs w:val="22"/>
          <w:lang w:val="sl-SI"/>
        </w:rPr>
      </w:pPr>
      <w:r w:rsidRPr="00A72A08">
        <w:rPr>
          <w:b/>
          <w:i/>
          <w:sz w:val="28"/>
          <w:szCs w:val="22"/>
          <w:lang w:val="sl-SI"/>
        </w:rPr>
        <w:t>Neenakomerna porazdelitev bogastva v Evropi</w:t>
      </w:r>
    </w:p>
    <w:p w:rsidR="00426670" w:rsidRPr="00D527F9" w:rsidRDefault="00426670" w:rsidP="009345AF">
      <w:pPr>
        <w:keepNext/>
        <w:keepLines/>
        <w:rPr>
          <w:lang w:val="sl-SI"/>
        </w:rPr>
      </w:pPr>
    </w:p>
    <w:p w:rsidR="00426670" w:rsidRPr="00426670" w:rsidRDefault="00426670" w:rsidP="009345AF">
      <w:pPr>
        <w:keepNext/>
        <w:keepLines/>
        <w:rPr>
          <w:szCs w:val="22"/>
          <w:lang w:val="sl-SI"/>
        </w:rPr>
      </w:pPr>
      <w:r w:rsidRPr="00426670">
        <w:rPr>
          <w:b/>
          <w:szCs w:val="22"/>
          <w:lang w:val="sl-SI"/>
        </w:rPr>
        <w:t>Poročevalec:</w:t>
      </w:r>
      <w:r w:rsidR="00D527F9">
        <w:rPr>
          <w:szCs w:val="22"/>
          <w:lang w:val="sl-SI"/>
        </w:rPr>
        <w:t xml:space="preserve"> </w:t>
      </w:r>
      <w:r w:rsidRPr="00426670">
        <w:rPr>
          <w:szCs w:val="22"/>
          <w:lang w:val="sl-SI"/>
        </w:rPr>
        <w:t xml:space="preserve">Plamen </w:t>
      </w:r>
      <w:r w:rsidR="00D527F9" w:rsidRPr="00426670">
        <w:rPr>
          <w:szCs w:val="22"/>
          <w:lang w:val="sl-SI"/>
        </w:rPr>
        <w:t xml:space="preserve">DIMITROV </w:t>
      </w:r>
      <w:r w:rsidRPr="00426670">
        <w:rPr>
          <w:szCs w:val="22"/>
          <w:lang w:val="sl-SI"/>
        </w:rPr>
        <w:t>(delojemalci – BG)</w:t>
      </w:r>
    </w:p>
    <w:p w:rsidR="00426670" w:rsidRPr="00426670" w:rsidRDefault="00426670" w:rsidP="009345AF">
      <w:pPr>
        <w:keepNext/>
        <w:keepLines/>
        <w:rPr>
          <w:szCs w:val="22"/>
          <w:lang w:val="sl-SI"/>
        </w:rPr>
      </w:pPr>
    </w:p>
    <w:p w:rsidR="00426670" w:rsidRPr="00426670" w:rsidRDefault="00426670" w:rsidP="009345AF">
      <w:pPr>
        <w:keepNext/>
        <w:keepLines/>
        <w:rPr>
          <w:szCs w:val="22"/>
          <w:lang w:val="sl-SI"/>
        </w:rPr>
      </w:pPr>
      <w:r w:rsidRPr="00426670">
        <w:rPr>
          <w:b/>
          <w:szCs w:val="22"/>
          <w:lang w:val="sl-SI"/>
        </w:rPr>
        <w:t>Referenčni dokument:</w:t>
      </w:r>
      <w:r w:rsidR="00D527F9">
        <w:rPr>
          <w:szCs w:val="22"/>
          <w:lang w:val="sl-SI"/>
        </w:rPr>
        <w:t xml:space="preserve"> </w:t>
      </w:r>
      <w:r w:rsidRPr="00426670">
        <w:rPr>
          <w:szCs w:val="22"/>
          <w:lang w:val="sl-SI"/>
        </w:rPr>
        <w:t>mnenje na lastno pobudo</w:t>
      </w:r>
    </w:p>
    <w:p w:rsidR="00426670" w:rsidRPr="00426670" w:rsidRDefault="00426670" w:rsidP="009345AF">
      <w:pPr>
        <w:keepNext/>
        <w:keepLines/>
        <w:rPr>
          <w:iCs/>
          <w:szCs w:val="22"/>
          <w:lang w:val="sl-SI"/>
        </w:rPr>
      </w:pPr>
      <w:r w:rsidRPr="00426670">
        <w:rPr>
          <w:szCs w:val="22"/>
          <w:lang w:val="sl-SI"/>
        </w:rPr>
        <w:t>EESC-2016-05712-00-00-AC-TRA</w:t>
      </w:r>
    </w:p>
    <w:p w:rsidR="00426670" w:rsidRPr="00D527F9" w:rsidRDefault="00426670" w:rsidP="009345AF">
      <w:pPr>
        <w:keepNext/>
        <w:keepLines/>
        <w:rPr>
          <w:lang w:val="sl-SI"/>
        </w:rPr>
      </w:pPr>
    </w:p>
    <w:p w:rsidR="00426670" w:rsidRPr="00426670" w:rsidRDefault="00426670" w:rsidP="009345AF">
      <w:pPr>
        <w:keepNext/>
        <w:keepLines/>
        <w:rPr>
          <w:b/>
          <w:szCs w:val="22"/>
          <w:lang w:val="sl-SI"/>
        </w:rPr>
      </w:pPr>
      <w:r w:rsidRPr="00426670">
        <w:rPr>
          <w:b/>
          <w:szCs w:val="22"/>
          <w:lang w:val="sl-SI"/>
        </w:rPr>
        <w:t>Glavne točke:</w:t>
      </w:r>
    </w:p>
    <w:p w:rsidR="00426670" w:rsidRPr="00426670" w:rsidRDefault="00426670" w:rsidP="009345AF">
      <w:pPr>
        <w:keepNext/>
        <w:keepLines/>
        <w:rPr>
          <w:color w:val="000000" w:themeColor="text1"/>
          <w:szCs w:val="22"/>
          <w:lang w:val="sl-SI"/>
        </w:rPr>
      </w:pPr>
    </w:p>
    <w:p w:rsidR="00426670" w:rsidRPr="00426670" w:rsidRDefault="00426670" w:rsidP="009345AF">
      <w:pPr>
        <w:keepNext/>
        <w:keepLines/>
        <w:rPr>
          <w:szCs w:val="22"/>
          <w:lang w:val="sl-SI"/>
        </w:rPr>
      </w:pPr>
      <w:r w:rsidRPr="00426670">
        <w:rPr>
          <w:szCs w:val="22"/>
          <w:lang w:val="sl-SI"/>
        </w:rPr>
        <w:t>Evropski ekonomsko-socialni odbor (EESO)</w:t>
      </w:r>
    </w:p>
    <w:p w:rsidR="00426670" w:rsidRPr="00426670" w:rsidRDefault="00426670" w:rsidP="009345AF">
      <w:pPr>
        <w:keepNext/>
        <w:keepLines/>
        <w:rPr>
          <w:szCs w:val="22"/>
          <w:lang w:val="sl-SI"/>
        </w:rPr>
      </w:pPr>
    </w:p>
    <w:p w:rsidR="00426670" w:rsidRPr="00426670" w:rsidRDefault="00426670" w:rsidP="009345AF">
      <w:pPr>
        <w:keepNext/>
        <w:keepLines/>
        <w:numPr>
          <w:ilvl w:val="0"/>
          <w:numId w:val="15"/>
        </w:numPr>
        <w:tabs>
          <w:tab w:val="clear" w:pos="0"/>
        </w:tabs>
        <w:ind w:left="567" w:hanging="567"/>
        <w:rPr>
          <w:lang w:val="sl-SI"/>
        </w:rPr>
      </w:pPr>
      <w:r w:rsidRPr="00426670">
        <w:rPr>
          <w:lang w:val="sl-SI"/>
        </w:rPr>
        <w:t>meni, da sta dohodkovna neenakost in neenakomerna porazdelitev bogastva v EU postali gospodarski in družbeni izziv, ki bi ga bilo treba obravnavati z ustreznimi ukrepi na nacionalni ravni in podpreti z ukrepi na ravni EU;</w:t>
      </w:r>
    </w:p>
    <w:p w:rsidR="00426670" w:rsidRPr="00426670" w:rsidRDefault="00426670" w:rsidP="009345AF">
      <w:pPr>
        <w:keepNext/>
        <w:keepLines/>
        <w:rPr>
          <w:lang w:val="sl-SI"/>
        </w:rPr>
      </w:pPr>
    </w:p>
    <w:p w:rsidR="00426670" w:rsidRPr="00426670" w:rsidRDefault="00426670" w:rsidP="009345AF">
      <w:pPr>
        <w:keepNext/>
        <w:keepLines/>
        <w:numPr>
          <w:ilvl w:val="0"/>
          <w:numId w:val="15"/>
        </w:numPr>
        <w:tabs>
          <w:tab w:val="clear" w:pos="0"/>
        </w:tabs>
        <w:ind w:left="567" w:hanging="567"/>
        <w:rPr>
          <w:lang w:val="sl-SI"/>
        </w:rPr>
      </w:pPr>
      <w:r w:rsidRPr="0053215E">
        <w:rPr>
          <w:szCs w:val="22"/>
          <w:lang w:val="sl-SI"/>
        </w:rPr>
        <w:t>meni</w:t>
      </w:r>
      <w:r w:rsidRPr="00426670">
        <w:rPr>
          <w:lang w:val="sl-SI"/>
        </w:rPr>
        <w:t>, da je potreben dobro delujoč sistem socialnih transferjev in socialne pomoči. Fiskalno prerazporejanje bi moralo dopolnjevati vrzeli v tržnem sistemu. Za odpravljanje neenakosti bi bilo treba oblikovati javno premoženje. Davčni prihodki bi se morali zagotavljati z večjim obdavčevanjem bogastva in manjšim obdavčevanjem dela;</w:t>
      </w:r>
    </w:p>
    <w:p w:rsidR="00426670" w:rsidRPr="00426670" w:rsidRDefault="00426670" w:rsidP="009345AF">
      <w:pPr>
        <w:keepNext/>
        <w:keepLines/>
        <w:rPr>
          <w:lang w:val="sl-SI"/>
        </w:rPr>
      </w:pPr>
    </w:p>
    <w:p w:rsidR="00426670" w:rsidRPr="00426670" w:rsidRDefault="00426670" w:rsidP="009345AF">
      <w:pPr>
        <w:keepNext/>
        <w:keepLines/>
        <w:numPr>
          <w:ilvl w:val="0"/>
          <w:numId w:val="15"/>
        </w:numPr>
        <w:tabs>
          <w:tab w:val="clear" w:pos="0"/>
        </w:tabs>
        <w:ind w:left="567" w:hanging="567"/>
        <w:rPr>
          <w:lang w:val="sl-SI"/>
        </w:rPr>
      </w:pPr>
      <w:r w:rsidRPr="0053215E">
        <w:rPr>
          <w:szCs w:val="22"/>
          <w:lang w:val="sl-SI"/>
        </w:rPr>
        <w:t>meni</w:t>
      </w:r>
      <w:r w:rsidRPr="00426670">
        <w:rPr>
          <w:lang w:val="sl-SI"/>
        </w:rPr>
        <w:t>, da je intenzivna gospodarska rast ključna za zmanjšanje revščine in neenakomerne porazdelitve bogastva, zato bi jo bilo treba pospešiti z boljšo uporabo strukturnih skladov in Kohezijskega sklada, spodbujanjem podjetništva, varstvom konkurence, programi v podporo malih in srednjih podjetij (MSP) in izvajanjem politik za preprečevanje diskriminacije žensk in prikrajšanih;</w:t>
      </w:r>
    </w:p>
    <w:p w:rsidR="00426670" w:rsidRPr="00426670" w:rsidRDefault="00426670" w:rsidP="000B3636">
      <w:pPr>
        <w:rPr>
          <w:lang w:val="sl-SI"/>
        </w:rPr>
      </w:pPr>
    </w:p>
    <w:p w:rsidR="00426670" w:rsidRPr="00426670" w:rsidRDefault="00426670" w:rsidP="0053215E">
      <w:pPr>
        <w:numPr>
          <w:ilvl w:val="0"/>
          <w:numId w:val="15"/>
        </w:numPr>
        <w:tabs>
          <w:tab w:val="clear" w:pos="0"/>
        </w:tabs>
        <w:ind w:left="567" w:hanging="567"/>
        <w:rPr>
          <w:lang w:val="sl-SI"/>
        </w:rPr>
      </w:pPr>
      <w:r w:rsidRPr="0053215E">
        <w:rPr>
          <w:szCs w:val="22"/>
          <w:lang w:val="sl-SI"/>
        </w:rPr>
        <w:t>priporoča</w:t>
      </w:r>
      <w:r w:rsidRPr="00426670">
        <w:rPr>
          <w:lang w:val="sl-SI"/>
        </w:rPr>
        <w:t xml:space="preserve"> oblikovanje politike na evropski ravni za spodbujanje bolj vključujoče rasti na podlagi celostnega pristopa. Evropski steber socialnih pravic bi bilo treba mnogo bolje uskladiti z evropskim semestrom in s strategijo Evropa 2020;</w:t>
      </w:r>
    </w:p>
    <w:p w:rsidR="00426670" w:rsidRPr="00426670" w:rsidRDefault="00426670" w:rsidP="000B3636">
      <w:pPr>
        <w:rPr>
          <w:lang w:val="sl-SI"/>
        </w:rPr>
      </w:pPr>
    </w:p>
    <w:p w:rsidR="00426670" w:rsidRPr="00426670" w:rsidRDefault="00426670" w:rsidP="0053215E">
      <w:pPr>
        <w:numPr>
          <w:ilvl w:val="0"/>
          <w:numId w:val="15"/>
        </w:numPr>
        <w:tabs>
          <w:tab w:val="clear" w:pos="0"/>
        </w:tabs>
        <w:ind w:left="567" w:hanging="567"/>
        <w:rPr>
          <w:lang w:val="sl-SI"/>
        </w:rPr>
      </w:pPr>
      <w:r w:rsidRPr="0053215E">
        <w:rPr>
          <w:szCs w:val="22"/>
          <w:lang w:val="sl-SI"/>
        </w:rPr>
        <w:t>poudarja</w:t>
      </w:r>
      <w:r w:rsidRPr="00426670">
        <w:rPr>
          <w:lang w:val="sl-SI"/>
        </w:rPr>
        <w:t xml:space="preserve"> potrebo po ciljno usmerjenih ukrepih na področju trga dela, ki bodo osredotočeni na spodbujanje zaposlovanja in zaščito delavcev. Zelo pomembni so minimalni socialni standardi, ki zagotavljajo dostojno plačilo in pogoje dela. V središču pozornosti bi moralo biti lajšanje prehodov v poklicnem življenju ob zagotavljanju spoštovanja splošnih delovnih in socialnih pravic;</w:t>
      </w:r>
    </w:p>
    <w:p w:rsidR="00426670" w:rsidRPr="00426670" w:rsidRDefault="00426670" w:rsidP="000B3636">
      <w:pPr>
        <w:rPr>
          <w:lang w:val="sl-SI"/>
        </w:rPr>
      </w:pPr>
    </w:p>
    <w:p w:rsidR="00426670" w:rsidRPr="00426670" w:rsidRDefault="00426670" w:rsidP="0053215E">
      <w:pPr>
        <w:numPr>
          <w:ilvl w:val="0"/>
          <w:numId w:val="15"/>
        </w:numPr>
        <w:tabs>
          <w:tab w:val="clear" w:pos="0"/>
        </w:tabs>
        <w:ind w:left="567" w:hanging="567"/>
        <w:rPr>
          <w:lang w:val="sl-SI"/>
        </w:rPr>
      </w:pPr>
      <w:r w:rsidRPr="0053215E">
        <w:rPr>
          <w:szCs w:val="22"/>
          <w:lang w:val="sl-SI"/>
        </w:rPr>
        <w:t>priporoča</w:t>
      </w:r>
      <w:r w:rsidRPr="00426670">
        <w:rPr>
          <w:lang w:val="sl-SI"/>
        </w:rPr>
        <w:t xml:space="preserve"> uvedbo preglednega mehanizma za sistematično spremljanje vseh podatkov o dohodku in bogastvu, ki bo omogočal tudi njihovo konsolidacijo. Pri tem bi imela pomembno vlogo tudi ustanovitev evropskega registra družb delničark.</w:t>
      </w:r>
    </w:p>
    <w:p w:rsidR="00426670" w:rsidRPr="00426670" w:rsidRDefault="00426670" w:rsidP="000B3636">
      <w:pPr>
        <w:rPr>
          <w:lang w:val="sl-SI"/>
        </w:rPr>
      </w:pPr>
    </w:p>
    <w:p w:rsidR="00426670" w:rsidRPr="00D527F9" w:rsidRDefault="00426670" w:rsidP="00426670">
      <w:pPr>
        <w:rPr>
          <w:i/>
          <w:iCs/>
          <w:szCs w:val="22"/>
          <w:lang w:val="sl-SI"/>
        </w:rPr>
      </w:pPr>
      <w:r w:rsidRPr="00D527F9">
        <w:rPr>
          <w:b/>
          <w:i/>
          <w:szCs w:val="22"/>
          <w:lang w:val="sl-SI"/>
        </w:rPr>
        <w:t>Kontaktna oseba:</w:t>
      </w:r>
      <w:r w:rsidR="00D527F9" w:rsidRPr="00D527F9">
        <w:rPr>
          <w:i/>
          <w:szCs w:val="22"/>
          <w:lang w:val="sl-SI"/>
        </w:rPr>
        <w:t xml:space="preserve"> </w:t>
      </w:r>
      <w:r w:rsidRPr="00D527F9">
        <w:rPr>
          <w:i/>
          <w:szCs w:val="22"/>
          <w:lang w:val="sl-SI"/>
        </w:rPr>
        <w:t>Alexander Alexandrov</w:t>
      </w:r>
    </w:p>
    <w:p w:rsidR="00426670" w:rsidRPr="00D527F9" w:rsidRDefault="00426670" w:rsidP="00426670">
      <w:pPr>
        <w:rPr>
          <w:i/>
          <w:caps/>
          <w:szCs w:val="22"/>
          <w:lang w:val="sl-SI"/>
        </w:rPr>
      </w:pPr>
      <w:r w:rsidRPr="00D527F9">
        <w:rPr>
          <w:i/>
          <w:szCs w:val="22"/>
          <w:lang w:val="sl-SI"/>
        </w:rPr>
        <w:t xml:space="preserve">(tel.: 00 32 2 546 9805 – e-naslov: </w:t>
      </w:r>
      <w:hyperlink r:id="rId18">
        <w:r w:rsidRPr="00D527F9">
          <w:rPr>
            <w:rStyle w:val="Hyperlink"/>
            <w:i/>
            <w:szCs w:val="22"/>
            <w:lang w:val="sl-SI"/>
          </w:rPr>
          <w:t>alexander.alexandrov@eesc.europa.eu</w:t>
        </w:r>
      </w:hyperlink>
      <w:r w:rsidRPr="00D527F9">
        <w:rPr>
          <w:i/>
          <w:szCs w:val="22"/>
          <w:lang w:val="sl-SI"/>
        </w:rPr>
        <w:t>)</w:t>
      </w:r>
    </w:p>
    <w:p w:rsidR="00D527F9" w:rsidRDefault="00D527F9" w:rsidP="00426670">
      <w:pPr>
        <w:rPr>
          <w:szCs w:val="22"/>
          <w:lang w:val="sl-SI"/>
        </w:rPr>
      </w:pPr>
    </w:p>
    <w:p w:rsidR="00426670" w:rsidRPr="002C5935" w:rsidRDefault="00426670" w:rsidP="009345AF">
      <w:pPr>
        <w:pStyle w:val="Heading1"/>
        <w:keepNext/>
        <w:keepLines/>
        <w:overflowPunct/>
        <w:autoSpaceDE/>
        <w:autoSpaceDN/>
        <w:adjustRightInd/>
        <w:ind w:left="567" w:hanging="567"/>
        <w:textAlignment w:val="auto"/>
        <w:rPr>
          <w:sz w:val="28"/>
          <w:szCs w:val="28"/>
          <w:lang w:val="sl-SI"/>
        </w:rPr>
      </w:pPr>
      <w:bookmarkStart w:id="6" w:name="_Toc501447754"/>
      <w:bookmarkStart w:id="7" w:name="_Toc502741919"/>
      <w:bookmarkStart w:id="8" w:name="_Toc502829131"/>
      <w:r w:rsidRPr="00481A39">
        <w:rPr>
          <w:b/>
          <w:sz w:val="28"/>
          <w:szCs w:val="28"/>
          <w:lang w:val="sl-SI"/>
        </w:rPr>
        <w:t>INSTITUCIONALNE ZADEVE</w:t>
      </w:r>
      <w:bookmarkEnd w:id="6"/>
      <w:bookmarkEnd w:id="7"/>
      <w:bookmarkEnd w:id="8"/>
    </w:p>
    <w:p w:rsidR="00426670" w:rsidRPr="00426670" w:rsidRDefault="00426670" w:rsidP="009345AF">
      <w:pPr>
        <w:keepNext/>
        <w:keepLines/>
        <w:rPr>
          <w:caps/>
          <w:szCs w:val="22"/>
          <w:lang w:val="sl-SI"/>
        </w:rPr>
      </w:pPr>
    </w:p>
    <w:p w:rsidR="00426670" w:rsidRPr="00A72A08" w:rsidRDefault="00426670" w:rsidP="009345AF">
      <w:pPr>
        <w:keepNext/>
        <w:keepLines/>
        <w:numPr>
          <w:ilvl w:val="0"/>
          <w:numId w:val="2"/>
        </w:numPr>
        <w:ind w:hanging="567"/>
        <w:rPr>
          <w:b/>
          <w:i/>
          <w:sz w:val="28"/>
          <w:szCs w:val="22"/>
          <w:lang w:val="sl-SI"/>
        </w:rPr>
      </w:pPr>
      <w:r w:rsidRPr="00A72A08">
        <w:rPr>
          <w:b/>
          <w:i/>
          <w:sz w:val="28"/>
          <w:szCs w:val="22"/>
          <w:lang w:val="sl-SI"/>
        </w:rPr>
        <w:t>Statut in financiranje evropskih političnih strank in evropskih političnih fundacij</w:t>
      </w:r>
    </w:p>
    <w:p w:rsidR="00426670" w:rsidRPr="00D527F9" w:rsidRDefault="00426670" w:rsidP="00426670">
      <w:pPr>
        <w:rPr>
          <w:rFonts w:eastAsia="Calibri"/>
          <w:lang w:val="sl-SI"/>
        </w:rPr>
      </w:pPr>
    </w:p>
    <w:p w:rsidR="00426670" w:rsidRPr="00426670" w:rsidRDefault="00426670" w:rsidP="00426670">
      <w:pPr>
        <w:rPr>
          <w:rFonts w:eastAsia="Calibri"/>
          <w:szCs w:val="22"/>
          <w:lang w:val="sl-SI"/>
        </w:rPr>
      </w:pPr>
      <w:r w:rsidRPr="00426670">
        <w:rPr>
          <w:b/>
          <w:szCs w:val="22"/>
          <w:lang w:val="sl-SI"/>
        </w:rPr>
        <w:t>Poročevalec:</w:t>
      </w:r>
      <w:r w:rsidR="00D527F9">
        <w:rPr>
          <w:szCs w:val="22"/>
          <w:lang w:val="sl-SI"/>
        </w:rPr>
        <w:t xml:space="preserve"> </w:t>
      </w:r>
      <w:r w:rsidRPr="00426670">
        <w:rPr>
          <w:szCs w:val="22"/>
          <w:lang w:val="sl-SI"/>
        </w:rPr>
        <w:t xml:space="preserve">Graham </w:t>
      </w:r>
      <w:r w:rsidR="00D527F9" w:rsidRPr="00426670">
        <w:rPr>
          <w:szCs w:val="22"/>
          <w:lang w:val="sl-SI"/>
        </w:rPr>
        <w:t xml:space="preserve">WATSON </w:t>
      </w:r>
      <w:r w:rsidRPr="00426670">
        <w:rPr>
          <w:szCs w:val="22"/>
          <w:lang w:val="sl-SI"/>
        </w:rPr>
        <w:t>(razne dejavnosti – UK)</w:t>
      </w:r>
    </w:p>
    <w:p w:rsidR="00426670" w:rsidRPr="00426670" w:rsidRDefault="00426670" w:rsidP="00426670">
      <w:pPr>
        <w:rPr>
          <w:szCs w:val="22"/>
          <w:lang w:val="sl-SI"/>
        </w:rPr>
      </w:pPr>
      <w:r w:rsidRPr="00426670">
        <w:rPr>
          <w:b/>
          <w:szCs w:val="22"/>
          <w:lang w:val="sl-SI"/>
        </w:rPr>
        <w:t>Soporočevalca:</w:t>
      </w:r>
      <w:r w:rsidR="00D527F9">
        <w:rPr>
          <w:szCs w:val="22"/>
          <w:lang w:val="sl-SI"/>
        </w:rPr>
        <w:t xml:space="preserve"> </w:t>
      </w:r>
      <w:r w:rsidRPr="00426670">
        <w:rPr>
          <w:szCs w:val="22"/>
          <w:lang w:val="sl-SI"/>
        </w:rPr>
        <w:t xml:space="preserve">Anne </w:t>
      </w:r>
      <w:r w:rsidR="00D527F9" w:rsidRPr="00426670">
        <w:rPr>
          <w:szCs w:val="22"/>
          <w:lang w:val="sl-SI"/>
        </w:rPr>
        <w:t xml:space="preserve">DEMELENNE </w:t>
      </w:r>
      <w:r w:rsidRPr="00426670">
        <w:rPr>
          <w:szCs w:val="22"/>
          <w:lang w:val="sl-SI"/>
        </w:rPr>
        <w:t>(delojemalci – BE)</w:t>
      </w:r>
    </w:p>
    <w:p w:rsidR="00426670" w:rsidRPr="00426670" w:rsidRDefault="00426670" w:rsidP="000D2E47">
      <w:pPr>
        <w:ind w:left="1474"/>
        <w:rPr>
          <w:rFonts w:eastAsia="Calibri"/>
          <w:szCs w:val="22"/>
          <w:lang w:val="sl-SI"/>
        </w:rPr>
      </w:pPr>
      <w:r w:rsidRPr="00426670">
        <w:rPr>
          <w:szCs w:val="22"/>
          <w:lang w:val="sl-SI"/>
        </w:rPr>
        <w:t xml:space="preserve">Stéphane </w:t>
      </w:r>
      <w:r w:rsidR="00D527F9" w:rsidRPr="00426670">
        <w:rPr>
          <w:szCs w:val="22"/>
          <w:lang w:val="sl-SI"/>
        </w:rPr>
        <w:t xml:space="preserve">BUFFETAUT </w:t>
      </w:r>
      <w:r w:rsidRPr="00426670">
        <w:rPr>
          <w:szCs w:val="22"/>
          <w:lang w:val="sl-SI"/>
        </w:rPr>
        <w:t>(delodajalci – FR)</w:t>
      </w:r>
    </w:p>
    <w:p w:rsidR="00426670" w:rsidRPr="00D527F9" w:rsidRDefault="00426670" w:rsidP="00426670">
      <w:pPr>
        <w:rPr>
          <w:rFonts w:eastAsia="Calibri"/>
          <w:lang w:val="sl-SI"/>
        </w:rPr>
      </w:pPr>
    </w:p>
    <w:p w:rsidR="00426670" w:rsidRPr="00426670" w:rsidRDefault="00426670" w:rsidP="00426670">
      <w:pPr>
        <w:rPr>
          <w:rFonts w:eastAsia="Calibri"/>
          <w:szCs w:val="22"/>
          <w:lang w:val="sl-SI"/>
        </w:rPr>
      </w:pPr>
      <w:r w:rsidRPr="00426670">
        <w:rPr>
          <w:b/>
          <w:szCs w:val="22"/>
          <w:lang w:val="sl-SI"/>
        </w:rPr>
        <w:t>Referenčna dokumenta:</w:t>
      </w:r>
      <w:r w:rsidRPr="00426670">
        <w:rPr>
          <w:szCs w:val="22"/>
          <w:lang w:val="sl-SI"/>
        </w:rPr>
        <w:tab/>
      </w:r>
      <w:r w:rsidR="00D527F9">
        <w:rPr>
          <w:szCs w:val="22"/>
          <w:lang w:val="sl-SI"/>
        </w:rPr>
        <w:t xml:space="preserve"> </w:t>
      </w:r>
      <w:r w:rsidRPr="00426670">
        <w:rPr>
          <w:szCs w:val="22"/>
          <w:lang w:val="sl-SI"/>
        </w:rPr>
        <w:t>COM(2017) 481 final – 2017/0219 (COD)</w:t>
      </w:r>
    </w:p>
    <w:p w:rsidR="00426670" w:rsidRPr="00426670" w:rsidRDefault="00426670" w:rsidP="000B3636">
      <w:pPr>
        <w:ind w:left="2325"/>
        <w:rPr>
          <w:rFonts w:eastAsia="Calibri"/>
          <w:szCs w:val="22"/>
          <w:lang w:val="sl-SI"/>
        </w:rPr>
      </w:pPr>
      <w:r w:rsidRPr="00426670">
        <w:rPr>
          <w:szCs w:val="22"/>
          <w:lang w:val="sl-SI"/>
        </w:rPr>
        <w:t>EESC-2017-05706-00-00-AC-TRA</w:t>
      </w:r>
    </w:p>
    <w:p w:rsidR="00426670" w:rsidRPr="00426670" w:rsidRDefault="00426670" w:rsidP="00426670">
      <w:pPr>
        <w:rPr>
          <w:rFonts w:eastAsia="Calibri"/>
          <w:szCs w:val="22"/>
          <w:lang w:val="sl-SI"/>
        </w:rPr>
      </w:pPr>
    </w:p>
    <w:p w:rsidR="00426670" w:rsidRPr="00426670" w:rsidRDefault="00426670" w:rsidP="00426670">
      <w:pPr>
        <w:rPr>
          <w:rFonts w:eastAsia="Calibri"/>
          <w:b/>
          <w:szCs w:val="22"/>
          <w:lang w:val="sl-SI"/>
        </w:rPr>
      </w:pPr>
      <w:r w:rsidRPr="00426670">
        <w:rPr>
          <w:b/>
          <w:szCs w:val="22"/>
          <w:lang w:val="sl-SI"/>
        </w:rPr>
        <w:t>Glavne točke:</w:t>
      </w:r>
    </w:p>
    <w:p w:rsidR="00426670" w:rsidRPr="00426670" w:rsidRDefault="00426670" w:rsidP="00426670">
      <w:pPr>
        <w:rPr>
          <w:rFonts w:eastAsia="Calibri"/>
          <w:szCs w:val="22"/>
          <w:lang w:val="sl-SI"/>
        </w:rPr>
      </w:pPr>
    </w:p>
    <w:p w:rsidR="00426670" w:rsidRPr="00426670" w:rsidRDefault="00426670" w:rsidP="00426670">
      <w:pPr>
        <w:rPr>
          <w:rFonts w:eastAsia="Calibri"/>
          <w:szCs w:val="22"/>
          <w:lang w:val="sl-SI"/>
        </w:rPr>
      </w:pPr>
      <w:r w:rsidRPr="00426670">
        <w:rPr>
          <w:szCs w:val="22"/>
          <w:lang w:val="sl-SI"/>
        </w:rPr>
        <w:t>EESO:</w:t>
      </w:r>
    </w:p>
    <w:p w:rsidR="00426670" w:rsidRPr="00426670" w:rsidRDefault="00426670" w:rsidP="00426670">
      <w:pPr>
        <w:rPr>
          <w:rFonts w:eastAsia="Calibri"/>
          <w:szCs w:val="22"/>
          <w:lang w:val="sl-SI"/>
        </w:rPr>
      </w:pPr>
    </w:p>
    <w:p w:rsidR="00426670" w:rsidRPr="00426670" w:rsidRDefault="00426670" w:rsidP="009345AF">
      <w:pPr>
        <w:numPr>
          <w:ilvl w:val="0"/>
          <w:numId w:val="15"/>
        </w:numPr>
        <w:tabs>
          <w:tab w:val="clear" w:pos="0"/>
        </w:tabs>
        <w:ind w:left="567" w:hanging="567"/>
        <w:rPr>
          <w:rFonts w:eastAsia="Calibri"/>
          <w:lang w:val="sl-SI"/>
        </w:rPr>
      </w:pPr>
      <w:r w:rsidRPr="009345AF">
        <w:rPr>
          <w:szCs w:val="22"/>
          <w:lang w:val="sl-SI"/>
        </w:rPr>
        <w:t>priznava</w:t>
      </w:r>
      <w:r w:rsidRPr="00426670">
        <w:rPr>
          <w:lang w:val="sl-SI"/>
        </w:rPr>
        <w:t xml:space="preserve">, da je uredba </w:t>
      </w:r>
      <w:r w:rsidR="00527DBA">
        <w:rPr>
          <w:lang w:val="sl-SI"/>
        </w:rPr>
        <w:t>št. </w:t>
      </w:r>
      <w:r w:rsidRPr="00426670">
        <w:rPr>
          <w:lang w:val="sl-SI"/>
        </w:rPr>
        <w:t>1141/2014 o statutu in financiranju evropskih političnih strank in evropskih političnih fundacij pomagala povečati vidnost, prepoznavnost, učinkovitost, preglednost in odgovornost evropskih političnih strank in z njimi povezanih političnih fundacij. Vendar se strinja s Komisijo, da imajo obstoječa pravila vrzeli, ki jih je treba odpraviti;</w:t>
      </w:r>
    </w:p>
    <w:p w:rsidR="00426670" w:rsidRPr="00426670" w:rsidRDefault="00426670" w:rsidP="00426670">
      <w:pPr>
        <w:rPr>
          <w:rFonts w:eastAsia="Calibri"/>
          <w:szCs w:val="22"/>
          <w:lang w:val="sl-SI"/>
        </w:rPr>
      </w:pPr>
    </w:p>
    <w:p w:rsidR="00426670" w:rsidRPr="00426670" w:rsidRDefault="00426670" w:rsidP="009345AF">
      <w:pPr>
        <w:numPr>
          <w:ilvl w:val="0"/>
          <w:numId w:val="15"/>
        </w:numPr>
        <w:tabs>
          <w:tab w:val="clear" w:pos="0"/>
        </w:tabs>
        <w:ind w:left="567" w:hanging="567"/>
        <w:rPr>
          <w:rFonts w:eastAsia="Calibri"/>
          <w:lang w:val="sl-SI"/>
        </w:rPr>
      </w:pPr>
      <w:r w:rsidRPr="00426670">
        <w:rPr>
          <w:lang w:val="sl-SI"/>
        </w:rPr>
        <w:t>podpira predloge Komisije za spremembo uredbe, vendar želi, da (i)</w:t>
      </w:r>
      <w:r w:rsidR="0060200B">
        <w:rPr>
          <w:lang w:val="sl-SI"/>
        </w:rPr>
        <w:t> </w:t>
      </w:r>
      <w:r w:rsidRPr="00426670">
        <w:rPr>
          <w:lang w:val="sl-SI"/>
        </w:rPr>
        <w:t xml:space="preserve">bi bilo obdobje, v katerem mora biti program evropske politične stranke objavljen na spletišču nacionalne stranke članice, skrajšan z </w:t>
      </w:r>
      <w:r w:rsidR="0060200B">
        <w:rPr>
          <w:lang w:val="sl-SI"/>
        </w:rPr>
        <w:t>dvanajst mesecev na tri in (ii) </w:t>
      </w:r>
      <w:r w:rsidRPr="00426670">
        <w:rPr>
          <w:lang w:val="sl-SI"/>
        </w:rPr>
        <w:t>da se informacije, ki jih morajo vse stranke članice posredovati v zvezi z zastopanostjo različnih kandidatov, ne bi nanašale le na spol, temveč tudi na etnično in jezikovno raznolikost;</w:t>
      </w:r>
    </w:p>
    <w:p w:rsidR="00426670" w:rsidRPr="00426670" w:rsidRDefault="00426670" w:rsidP="00426670">
      <w:pPr>
        <w:rPr>
          <w:rFonts w:eastAsia="Calibri"/>
          <w:szCs w:val="22"/>
          <w:lang w:val="sl-SI"/>
        </w:rPr>
      </w:pPr>
    </w:p>
    <w:p w:rsidR="00426670" w:rsidRPr="00426670" w:rsidRDefault="00426670" w:rsidP="009345AF">
      <w:pPr>
        <w:numPr>
          <w:ilvl w:val="0"/>
          <w:numId w:val="15"/>
        </w:numPr>
        <w:tabs>
          <w:tab w:val="clear" w:pos="0"/>
        </w:tabs>
        <w:ind w:left="567" w:hanging="567"/>
        <w:rPr>
          <w:caps/>
          <w:lang w:val="sl-SI"/>
        </w:rPr>
      </w:pPr>
      <w:r w:rsidRPr="009345AF">
        <w:rPr>
          <w:szCs w:val="22"/>
          <w:lang w:val="sl-SI"/>
        </w:rPr>
        <w:t>znova</w:t>
      </w:r>
      <w:r w:rsidRPr="00426670">
        <w:rPr>
          <w:lang w:val="sl-SI"/>
        </w:rPr>
        <w:t xml:space="preserve"> obžaluje vse večjo neenakopravnost pri obravnavi med evropskimi političnimi strankami in fundacijami na eni strani ter evropskimi združenji in fundacijami z bolj splošnimi cilji na drugi strani, zato znova poziva Komisijo, naj v bližnji prihodnosti predloži enakovredno evropsko uredbo o statutu in financiranju evropskih združenj, ki niso povezana s politično stranko.</w:t>
      </w:r>
    </w:p>
    <w:p w:rsidR="00426670" w:rsidRPr="00426670" w:rsidRDefault="00426670" w:rsidP="00426670">
      <w:pPr>
        <w:rPr>
          <w:szCs w:val="22"/>
          <w:lang w:val="sl-SI"/>
        </w:rPr>
      </w:pPr>
    </w:p>
    <w:p w:rsidR="00426670" w:rsidRPr="00D527F9" w:rsidRDefault="00426670" w:rsidP="00D527F9">
      <w:pPr>
        <w:rPr>
          <w:i/>
          <w:caps/>
          <w:szCs w:val="22"/>
          <w:lang w:val="sl-SI"/>
        </w:rPr>
      </w:pPr>
      <w:r w:rsidRPr="00D527F9">
        <w:rPr>
          <w:b/>
          <w:i/>
          <w:szCs w:val="22"/>
          <w:lang w:val="sl-SI"/>
        </w:rPr>
        <w:t>Kontaktna oseba:</w:t>
      </w:r>
      <w:r w:rsidRPr="00D527F9">
        <w:rPr>
          <w:i/>
          <w:szCs w:val="22"/>
          <w:lang w:val="sl-SI"/>
        </w:rPr>
        <w:t xml:space="preserve"> Patrick Fève</w:t>
      </w:r>
    </w:p>
    <w:p w:rsidR="00426670" w:rsidRPr="00D527F9" w:rsidRDefault="00426670" w:rsidP="00D527F9">
      <w:pPr>
        <w:rPr>
          <w:i/>
          <w:caps/>
          <w:szCs w:val="22"/>
          <w:lang w:val="sl-SI"/>
        </w:rPr>
      </w:pPr>
      <w:r w:rsidRPr="00D527F9">
        <w:rPr>
          <w:i/>
          <w:szCs w:val="22"/>
          <w:lang w:val="sl-SI"/>
        </w:rPr>
        <w:t>(tel.: 00 32 2 546 93 9616 – e-naslov:</w:t>
      </w:r>
      <w:r w:rsidR="000B3636">
        <w:rPr>
          <w:i/>
          <w:szCs w:val="22"/>
          <w:lang w:val="sl-SI"/>
        </w:rPr>
        <w:t xml:space="preserve"> </w:t>
      </w:r>
      <w:hyperlink r:id="rId19">
        <w:r w:rsidRPr="00D527F9">
          <w:rPr>
            <w:rStyle w:val="Hyperlink"/>
            <w:i/>
            <w:szCs w:val="22"/>
            <w:lang w:val="sl-SI"/>
          </w:rPr>
          <w:t>patrick.feve@eesc.europa.eu</w:t>
        </w:r>
      </w:hyperlink>
      <w:r w:rsidRPr="00D527F9">
        <w:rPr>
          <w:i/>
          <w:szCs w:val="22"/>
          <w:lang w:val="sl-SI"/>
        </w:rPr>
        <w:t>)</w:t>
      </w:r>
    </w:p>
    <w:p w:rsidR="00426670" w:rsidRPr="00D527F9" w:rsidRDefault="00426670" w:rsidP="00426670">
      <w:pPr>
        <w:rPr>
          <w:lang w:val="sl-SI"/>
        </w:rPr>
      </w:pPr>
    </w:p>
    <w:p w:rsidR="00426670" w:rsidRPr="00426670" w:rsidRDefault="00426670" w:rsidP="00426670">
      <w:pPr>
        <w:rPr>
          <w:caps/>
          <w:szCs w:val="22"/>
          <w:lang w:val="sl-SI"/>
        </w:rPr>
      </w:pPr>
    </w:p>
    <w:p w:rsidR="00426670" w:rsidRPr="002C5935" w:rsidRDefault="00426670" w:rsidP="00704756">
      <w:pPr>
        <w:pStyle w:val="Heading1"/>
        <w:keepNext/>
        <w:keepLines/>
        <w:overflowPunct/>
        <w:autoSpaceDE/>
        <w:autoSpaceDN/>
        <w:adjustRightInd/>
        <w:spacing w:line="254" w:lineRule="auto"/>
        <w:ind w:left="567" w:hanging="567"/>
        <w:textAlignment w:val="auto"/>
        <w:rPr>
          <w:sz w:val="28"/>
          <w:szCs w:val="28"/>
          <w:lang w:val="sl-SI"/>
        </w:rPr>
      </w:pPr>
      <w:bookmarkStart w:id="9" w:name="_Toc501447755"/>
      <w:bookmarkStart w:id="10" w:name="_Toc502741920"/>
      <w:bookmarkStart w:id="11" w:name="_Toc502829132"/>
      <w:r w:rsidRPr="00481A39">
        <w:rPr>
          <w:b/>
          <w:sz w:val="28"/>
          <w:szCs w:val="28"/>
          <w:lang w:val="sl-SI"/>
        </w:rPr>
        <w:t>INDUSTRIJA / OBRAMBA</w:t>
      </w:r>
      <w:bookmarkEnd w:id="9"/>
      <w:bookmarkEnd w:id="10"/>
      <w:bookmarkEnd w:id="11"/>
    </w:p>
    <w:p w:rsidR="00426670" w:rsidRPr="00D527F9" w:rsidRDefault="00426670" w:rsidP="00704756">
      <w:pPr>
        <w:keepNext/>
        <w:keepLines/>
        <w:spacing w:line="254" w:lineRule="auto"/>
        <w:rPr>
          <w:lang w:val="sl-SI"/>
        </w:rPr>
      </w:pPr>
    </w:p>
    <w:p w:rsidR="00426670" w:rsidRPr="00A72A08" w:rsidRDefault="00426670" w:rsidP="00704756">
      <w:pPr>
        <w:keepNext/>
        <w:keepLines/>
        <w:numPr>
          <w:ilvl w:val="0"/>
          <w:numId w:val="2"/>
        </w:numPr>
        <w:spacing w:line="254" w:lineRule="auto"/>
        <w:ind w:hanging="567"/>
        <w:rPr>
          <w:b/>
          <w:i/>
          <w:sz w:val="28"/>
          <w:szCs w:val="22"/>
          <w:lang w:val="sl-SI"/>
        </w:rPr>
      </w:pPr>
      <w:r w:rsidRPr="00A72A08">
        <w:rPr>
          <w:b/>
          <w:i/>
          <w:sz w:val="28"/>
          <w:szCs w:val="22"/>
          <w:lang w:val="sl-SI"/>
        </w:rPr>
        <w:t>Evropski program za razvoj obrambne industrije</w:t>
      </w:r>
    </w:p>
    <w:p w:rsidR="00426670" w:rsidRPr="00D527F9" w:rsidRDefault="00426670" w:rsidP="00704756">
      <w:pPr>
        <w:keepNext/>
        <w:keepLines/>
        <w:spacing w:line="254" w:lineRule="auto"/>
        <w:rPr>
          <w:lang w:val="sl-SI"/>
        </w:rPr>
      </w:pPr>
    </w:p>
    <w:p w:rsidR="00426670" w:rsidRPr="00426670" w:rsidRDefault="00426670" w:rsidP="00704756">
      <w:pPr>
        <w:keepNext/>
        <w:keepLines/>
        <w:spacing w:line="254" w:lineRule="auto"/>
        <w:rPr>
          <w:szCs w:val="22"/>
          <w:lang w:val="sl-SI"/>
        </w:rPr>
      </w:pPr>
      <w:r w:rsidRPr="00426670">
        <w:rPr>
          <w:b/>
          <w:szCs w:val="22"/>
          <w:lang w:val="sl-SI"/>
        </w:rPr>
        <w:t>Poročevalec:</w:t>
      </w:r>
      <w:r w:rsidR="00D527F9">
        <w:rPr>
          <w:szCs w:val="22"/>
          <w:lang w:val="sl-SI"/>
        </w:rPr>
        <w:t xml:space="preserve"> </w:t>
      </w:r>
      <w:r w:rsidRPr="00426670">
        <w:rPr>
          <w:szCs w:val="22"/>
          <w:lang w:val="sl-SI"/>
        </w:rPr>
        <w:t xml:space="preserve">Antonello </w:t>
      </w:r>
      <w:r w:rsidR="00704756" w:rsidRPr="00426670">
        <w:rPr>
          <w:szCs w:val="22"/>
          <w:lang w:val="sl-SI"/>
        </w:rPr>
        <w:t xml:space="preserve">PEZZINI </w:t>
      </w:r>
      <w:r w:rsidRPr="00426670">
        <w:rPr>
          <w:szCs w:val="22"/>
          <w:lang w:val="sl-SI"/>
        </w:rPr>
        <w:t>(delodajalci – IT)</w:t>
      </w:r>
    </w:p>
    <w:p w:rsidR="00426670" w:rsidRPr="00426670" w:rsidRDefault="00426670" w:rsidP="00704756">
      <w:pPr>
        <w:keepNext/>
        <w:keepLines/>
        <w:spacing w:line="254" w:lineRule="auto"/>
        <w:rPr>
          <w:color w:val="000000"/>
          <w:szCs w:val="22"/>
          <w:lang w:val="sl-SI"/>
        </w:rPr>
      </w:pPr>
      <w:r w:rsidRPr="00426670">
        <w:rPr>
          <w:b/>
          <w:szCs w:val="22"/>
          <w:lang w:val="sl-SI"/>
        </w:rPr>
        <w:t>Soporočevalec:</w:t>
      </w:r>
      <w:r w:rsidR="00D527F9" w:rsidRPr="00D527F9">
        <w:rPr>
          <w:szCs w:val="22"/>
          <w:lang w:val="sl-SI"/>
        </w:rPr>
        <w:t xml:space="preserve"> </w:t>
      </w:r>
      <w:r w:rsidRPr="00426670">
        <w:rPr>
          <w:szCs w:val="22"/>
          <w:lang w:val="sl-SI"/>
        </w:rPr>
        <w:t xml:space="preserve">Eric </w:t>
      </w:r>
      <w:r w:rsidR="00704756" w:rsidRPr="00426670">
        <w:rPr>
          <w:szCs w:val="22"/>
          <w:lang w:val="sl-SI"/>
        </w:rPr>
        <w:t xml:space="preserve">BRUNE </w:t>
      </w:r>
      <w:r w:rsidRPr="00426670">
        <w:rPr>
          <w:szCs w:val="22"/>
          <w:lang w:val="sl-SI"/>
        </w:rPr>
        <w:t>(FR – 2. kat.)</w:t>
      </w:r>
    </w:p>
    <w:p w:rsidR="00426670" w:rsidRPr="00426670" w:rsidRDefault="00426670" w:rsidP="00704756">
      <w:pPr>
        <w:keepNext/>
        <w:keepLines/>
        <w:spacing w:line="254" w:lineRule="auto"/>
        <w:rPr>
          <w:szCs w:val="22"/>
          <w:lang w:val="sl-SI"/>
        </w:rPr>
      </w:pPr>
    </w:p>
    <w:p w:rsidR="00426670" w:rsidRPr="00426670" w:rsidRDefault="00426670" w:rsidP="00704756">
      <w:pPr>
        <w:keepNext/>
        <w:keepLines/>
        <w:spacing w:line="254" w:lineRule="auto"/>
        <w:rPr>
          <w:szCs w:val="22"/>
          <w:lang w:val="sl-SI"/>
        </w:rPr>
      </w:pPr>
      <w:r w:rsidRPr="00426670">
        <w:rPr>
          <w:b/>
          <w:szCs w:val="22"/>
          <w:lang w:val="sl-SI"/>
        </w:rPr>
        <w:t>Referenčni dokument:</w:t>
      </w:r>
      <w:r w:rsidR="00D527F9">
        <w:rPr>
          <w:szCs w:val="22"/>
          <w:lang w:val="sl-SI"/>
        </w:rPr>
        <w:t xml:space="preserve"> </w:t>
      </w:r>
      <w:r w:rsidRPr="00426670">
        <w:rPr>
          <w:szCs w:val="22"/>
          <w:lang w:val="sl-SI"/>
        </w:rPr>
        <w:t>EESC-2017-03593-00-00-AC-TRA</w:t>
      </w:r>
    </w:p>
    <w:p w:rsidR="00426670" w:rsidRPr="00426670" w:rsidRDefault="00426670" w:rsidP="00704756">
      <w:pPr>
        <w:keepNext/>
        <w:keepLines/>
        <w:spacing w:line="254" w:lineRule="auto"/>
        <w:rPr>
          <w:szCs w:val="22"/>
          <w:lang w:val="sl-SI"/>
        </w:rPr>
      </w:pPr>
    </w:p>
    <w:p w:rsidR="00426670" w:rsidRPr="00426670" w:rsidRDefault="00426670" w:rsidP="00704756">
      <w:pPr>
        <w:keepNext/>
        <w:keepLines/>
        <w:spacing w:line="254" w:lineRule="auto"/>
        <w:rPr>
          <w:b/>
          <w:szCs w:val="22"/>
          <w:lang w:val="sl-SI"/>
        </w:rPr>
      </w:pPr>
      <w:r w:rsidRPr="00426670">
        <w:rPr>
          <w:b/>
          <w:szCs w:val="22"/>
          <w:lang w:val="sl-SI"/>
        </w:rPr>
        <w:t>Glavne točke:</w:t>
      </w:r>
    </w:p>
    <w:p w:rsidR="00426670" w:rsidRPr="00D527F9" w:rsidRDefault="00426670" w:rsidP="00704756">
      <w:pPr>
        <w:keepNext/>
        <w:keepLines/>
        <w:spacing w:line="254" w:lineRule="auto"/>
        <w:rPr>
          <w:lang w:val="sl-SI"/>
        </w:rPr>
      </w:pPr>
    </w:p>
    <w:p w:rsidR="00426670" w:rsidRPr="00426670" w:rsidRDefault="00426670" w:rsidP="00704756">
      <w:pPr>
        <w:numPr>
          <w:ilvl w:val="0"/>
          <w:numId w:val="15"/>
        </w:numPr>
        <w:tabs>
          <w:tab w:val="clear" w:pos="0"/>
        </w:tabs>
        <w:spacing w:line="254" w:lineRule="auto"/>
        <w:ind w:left="567" w:hanging="567"/>
        <w:rPr>
          <w:lang w:val="sl-SI"/>
        </w:rPr>
      </w:pPr>
      <w:r w:rsidRPr="002C5935">
        <w:rPr>
          <w:szCs w:val="22"/>
          <w:lang w:val="sl-SI"/>
        </w:rPr>
        <w:t>Evropski</w:t>
      </w:r>
      <w:r w:rsidRPr="00426670">
        <w:rPr>
          <w:lang w:val="sl-SI"/>
        </w:rPr>
        <w:t xml:space="preserve"> ekonomsko-socialni odbor odločno podpira ustanovitev evropskega programa</w:t>
      </w:r>
      <w:r w:rsidR="000B3636">
        <w:rPr>
          <w:lang w:val="sl-SI"/>
        </w:rPr>
        <w:t xml:space="preserve"> za razvoj obrambne industrije.</w:t>
      </w:r>
    </w:p>
    <w:p w:rsidR="00426670" w:rsidRPr="00426670" w:rsidRDefault="00426670" w:rsidP="00704756">
      <w:pPr>
        <w:spacing w:line="254" w:lineRule="auto"/>
        <w:rPr>
          <w:szCs w:val="22"/>
          <w:lang w:val="sl-SI"/>
        </w:rPr>
      </w:pPr>
    </w:p>
    <w:p w:rsidR="00426670" w:rsidRPr="00426670" w:rsidRDefault="00426670" w:rsidP="00704756">
      <w:pPr>
        <w:numPr>
          <w:ilvl w:val="0"/>
          <w:numId w:val="15"/>
        </w:numPr>
        <w:tabs>
          <w:tab w:val="clear" w:pos="0"/>
        </w:tabs>
        <w:spacing w:line="254" w:lineRule="auto"/>
        <w:ind w:left="567" w:hanging="567"/>
        <w:rPr>
          <w:lang w:val="sl-SI"/>
        </w:rPr>
      </w:pPr>
      <w:r w:rsidRPr="002C5935">
        <w:rPr>
          <w:szCs w:val="22"/>
          <w:lang w:val="sl-SI"/>
        </w:rPr>
        <w:t>Po</w:t>
      </w:r>
      <w:r w:rsidRPr="00426670">
        <w:rPr>
          <w:lang w:val="sl-SI"/>
        </w:rPr>
        <w:t xml:space="preserve"> mnenju EESO je nujen nov pristop, s katerim bi se stalno strukturno sodelovanje dojemalo kot temeljni instrument Lizbonske pogodbe. Ta bi lahko postal politični inkubator, v katerem bi nastajala Evropa obrambe ter se spodbujale razpoložljivost in obveznosti držav članic v skladu s členoma 42(6) in 46 PEU ter Protokolom 10 k Pogodbi.</w:t>
      </w:r>
    </w:p>
    <w:p w:rsidR="00426670" w:rsidRPr="00426670" w:rsidRDefault="00426670" w:rsidP="00704756">
      <w:pPr>
        <w:spacing w:line="254" w:lineRule="auto"/>
        <w:rPr>
          <w:szCs w:val="22"/>
          <w:lang w:val="sl-SI"/>
        </w:rPr>
      </w:pPr>
    </w:p>
    <w:p w:rsidR="00426670" w:rsidRPr="00426670" w:rsidRDefault="00426670" w:rsidP="00704756">
      <w:pPr>
        <w:numPr>
          <w:ilvl w:val="0"/>
          <w:numId w:val="15"/>
        </w:numPr>
        <w:tabs>
          <w:tab w:val="clear" w:pos="0"/>
        </w:tabs>
        <w:spacing w:line="254" w:lineRule="auto"/>
        <w:ind w:left="567" w:hanging="567"/>
        <w:rPr>
          <w:lang w:val="sl-SI"/>
        </w:rPr>
      </w:pPr>
      <w:r w:rsidRPr="00426670">
        <w:rPr>
          <w:lang w:val="sl-SI"/>
        </w:rPr>
        <w:t>EESO meni, da bi morala biti uredba o evropskem programu za razvoj obrambne industrije vključena v skupno strateško vizijo za industrijo, ki bi omogočala učinkovito vključevanje evropskih proizvajalcev in uporabnikov vsaj treh držav članic v finančno podprte projekte ter v naročanje proizvodov in storitev.</w:t>
      </w:r>
    </w:p>
    <w:p w:rsidR="00426670" w:rsidRPr="00426670" w:rsidRDefault="00426670" w:rsidP="00704756">
      <w:pPr>
        <w:spacing w:line="254" w:lineRule="auto"/>
        <w:rPr>
          <w:szCs w:val="22"/>
          <w:lang w:val="sl-SI"/>
        </w:rPr>
      </w:pPr>
    </w:p>
    <w:p w:rsidR="00426670" w:rsidRPr="00426670" w:rsidRDefault="00426670" w:rsidP="00704756">
      <w:pPr>
        <w:numPr>
          <w:ilvl w:val="0"/>
          <w:numId w:val="15"/>
        </w:numPr>
        <w:tabs>
          <w:tab w:val="clear" w:pos="0"/>
        </w:tabs>
        <w:spacing w:line="254" w:lineRule="auto"/>
        <w:ind w:left="567" w:hanging="567"/>
        <w:rPr>
          <w:lang w:val="sl-SI"/>
        </w:rPr>
      </w:pPr>
      <w:r w:rsidRPr="002C5935">
        <w:rPr>
          <w:szCs w:val="22"/>
          <w:lang w:val="sl-SI"/>
        </w:rPr>
        <w:t>E</w:t>
      </w:r>
      <w:r w:rsidRPr="00426670">
        <w:rPr>
          <w:lang w:val="sl-SI"/>
        </w:rPr>
        <w:t>ESO meni, da je nujno treba zagotoviti ustrezen način upravljanja evropskega programa za razvoj obrambne industrije, ki bo omogočil opredelitev skupnih, konkretnih ciljev s pomočjo</w:t>
      </w:r>
    </w:p>
    <w:p w:rsidR="00426670" w:rsidRPr="00426670" w:rsidRDefault="00426670" w:rsidP="00704756">
      <w:pPr>
        <w:spacing w:line="254" w:lineRule="auto"/>
        <w:rPr>
          <w:szCs w:val="22"/>
          <w:lang w:val="sl-SI"/>
        </w:rPr>
      </w:pPr>
    </w:p>
    <w:p w:rsidR="00426670" w:rsidRPr="002C5935" w:rsidRDefault="00426670" w:rsidP="00704756">
      <w:pPr>
        <w:pStyle w:val="ListParagraph"/>
        <w:numPr>
          <w:ilvl w:val="0"/>
          <w:numId w:val="47"/>
        </w:numPr>
        <w:spacing w:line="254" w:lineRule="auto"/>
        <w:ind w:left="851" w:hanging="284"/>
        <w:rPr>
          <w:lang w:val="sl-SI"/>
        </w:rPr>
      </w:pPr>
      <w:r w:rsidRPr="002C5935">
        <w:rPr>
          <w:lang w:val="sl-SI"/>
        </w:rPr>
        <w:t>svetovalnega odbora, ki ga bodo sestavljali strokovnjaki s področja industrije in bo obravnaval, katera prednostna vprašanja naj se vključijo v delovni program, ter upravljalnega odbora s predstavniki držav članic.</w:t>
      </w:r>
    </w:p>
    <w:p w:rsidR="00426670" w:rsidRPr="00426670" w:rsidRDefault="00426670" w:rsidP="00704756">
      <w:pPr>
        <w:spacing w:line="254" w:lineRule="auto"/>
        <w:rPr>
          <w:szCs w:val="22"/>
          <w:lang w:val="sl-SI"/>
        </w:rPr>
      </w:pPr>
    </w:p>
    <w:p w:rsidR="00426670" w:rsidRPr="00426670" w:rsidRDefault="00426670" w:rsidP="00704756">
      <w:pPr>
        <w:numPr>
          <w:ilvl w:val="0"/>
          <w:numId w:val="15"/>
        </w:numPr>
        <w:tabs>
          <w:tab w:val="clear" w:pos="0"/>
        </w:tabs>
        <w:spacing w:line="254" w:lineRule="auto"/>
        <w:ind w:left="567" w:hanging="567"/>
        <w:rPr>
          <w:lang w:val="sl-SI"/>
        </w:rPr>
      </w:pPr>
      <w:r w:rsidRPr="00426670">
        <w:rPr>
          <w:lang w:val="sl-SI"/>
        </w:rPr>
        <w:t>V uredbi bi bilo treba zagotoviti:</w:t>
      </w:r>
    </w:p>
    <w:p w:rsidR="00426670" w:rsidRPr="000B3636" w:rsidRDefault="00426670" w:rsidP="00704756">
      <w:pPr>
        <w:spacing w:line="254" w:lineRule="auto"/>
        <w:rPr>
          <w:szCs w:val="22"/>
          <w:lang w:val="sl-SI"/>
        </w:rPr>
      </w:pPr>
    </w:p>
    <w:p w:rsidR="00426670" w:rsidRPr="000B3636" w:rsidRDefault="00426670" w:rsidP="00704756">
      <w:pPr>
        <w:pStyle w:val="ListParagraph"/>
        <w:numPr>
          <w:ilvl w:val="0"/>
          <w:numId w:val="47"/>
        </w:numPr>
        <w:spacing w:line="254" w:lineRule="auto"/>
        <w:ind w:left="851" w:hanging="284"/>
        <w:rPr>
          <w:lang w:val="sl-SI"/>
        </w:rPr>
      </w:pPr>
      <w:r w:rsidRPr="000B3636">
        <w:rPr>
          <w:lang w:val="sl-SI"/>
        </w:rPr>
        <w:t>ustrezno geografsko ravn</w:t>
      </w:r>
      <w:r w:rsidR="000B3636" w:rsidRPr="000B3636">
        <w:rPr>
          <w:lang w:val="sl-SI"/>
        </w:rPr>
        <w:t>ovesje med evropskimi državami,</w:t>
      </w:r>
    </w:p>
    <w:p w:rsidR="00426670" w:rsidRPr="000B3636" w:rsidRDefault="00426670" w:rsidP="00704756">
      <w:pPr>
        <w:pStyle w:val="ListParagraph"/>
        <w:numPr>
          <w:ilvl w:val="0"/>
          <w:numId w:val="47"/>
        </w:numPr>
        <w:spacing w:line="254" w:lineRule="auto"/>
        <w:ind w:left="851" w:hanging="284"/>
        <w:rPr>
          <w:lang w:val="sl-SI"/>
        </w:rPr>
      </w:pPr>
      <w:r w:rsidRPr="000B3636">
        <w:rPr>
          <w:lang w:val="sl-SI"/>
        </w:rPr>
        <w:t>precejšen delež udeležbe malih podjetij,</w:t>
      </w:r>
    </w:p>
    <w:p w:rsidR="00426670" w:rsidRPr="000B3636" w:rsidRDefault="00426670" w:rsidP="00704756">
      <w:pPr>
        <w:pStyle w:val="ListParagraph"/>
        <w:numPr>
          <w:ilvl w:val="0"/>
          <w:numId w:val="47"/>
        </w:numPr>
        <w:spacing w:line="254" w:lineRule="auto"/>
        <w:ind w:left="851" w:hanging="284"/>
        <w:rPr>
          <w:lang w:val="sl-SI"/>
        </w:rPr>
      </w:pPr>
      <w:r w:rsidRPr="000B3636">
        <w:rPr>
          <w:lang w:val="sl-SI"/>
        </w:rPr>
        <w:t>odpravljanje negotovega položaja delavcev tehnološke in industrijske baze evropske obrambe, da se potrdi veljavnost financiranja EU,</w:t>
      </w:r>
    </w:p>
    <w:p w:rsidR="00426670" w:rsidRPr="000B3636" w:rsidRDefault="00426670" w:rsidP="00704756">
      <w:pPr>
        <w:pStyle w:val="ListParagraph"/>
        <w:numPr>
          <w:ilvl w:val="0"/>
          <w:numId w:val="47"/>
        </w:numPr>
        <w:spacing w:line="254" w:lineRule="auto"/>
        <w:ind w:left="851" w:hanging="284"/>
        <w:rPr>
          <w:lang w:val="sl-SI"/>
        </w:rPr>
      </w:pPr>
      <w:r w:rsidRPr="000B3636">
        <w:rPr>
          <w:lang w:val="sl-SI"/>
        </w:rPr>
        <w:t>spoštovanje družbenih in okoljskih standardov, zlasti glede okoljsko primerne zasnove in varnosti zaposlitve</w:t>
      </w:r>
      <w:r w:rsidR="000B3636">
        <w:rPr>
          <w:rStyle w:val="FootnoteReference"/>
          <w:lang w:val="sl-SI"/>
        </w:rPr>
        <w:footnoteReference w:id="1"/>
      </w:r>
      <w:r w:rsidRPr="000B3636">
        <w:rPr>
          <w:lang w:val="sl-SI"/>
        </w:rPr>
        <w:t>, da se ohranijo znanje in sposobnosti v tej industriji,</w:t>
      </w:r>
    </w:p>
    <w:p w:rsidR="00426670" w:rsidRPr="000B3636" w:rsidRDefault="00426670" w:rsidP="00704756">
      <w:pPr>
        <w:pStyle w:val="ListParagraph"/>
        <w:numPr>
          <w:ilvl w:val="0"/>
          <w:numId w:val="47"/>
        </w:numPr>
        <w:spacing w:line="254" w:lineRule="auto"/>
        <w:ind w:left="851" w:hanging="284"/>
        <w:rPr>
          <w:lang w:val="sl-SI"/>
        </w:rPr>
      </w:pPr>
      <w:r w:rsidRPr="000B3636">
        <w:rPr>
          <w:lang w:val="sl-SI"/>
        </w:rPr>
        <w:t>da imajo vsa podjetja EU neodvisno od svojega sedeža in velikosti transparentne možnosti sodelovanja v evropskem programu za razvoj obrambne industrije.</w:t>
      </w:r>
    </w:p>
    <w:p w:rsidR="00426670" w:rsidRPr="000B3636" w:rsidRDefault="00426670" w:rsidP="00704756">
      <w:pPr>
        <w:spacing w:line="254" w:lineRule="auto"/>
        <w:rPr>
          <w:szCs w:val="22"/>
          <w:lang w:val="sl-SI"/>
        </w:rPr>
      </w:pPr>
    </w:p>
    <w:p w:rsidR="00426670" w:rsidRPr="00426670" w:rsidRDefault="00426670" w:rsidP="00704756">
      <w:pPr>
        <w:numPr>
          <w:ilvl w:val="0"/>
          <w:numId w:val="15"/>
        </w:numPr>
        <w:tabs>
          <w:tab w:val="clear" w:pos="0"/>
        </w:tabs>
        <w:spacing w:line="254" w:lineRule="auto"/>
        <w:ind w:left="567" w:hanging="567"/>
        <w:rPr>
          <w:lang w:val="sl-SI"/>
        </w:rPr>
      </w:pPr>
      <w:r w:rsidRPr="002C5935">
        <w:rPr>
          <w:szCs w:val="22"/>
          <w:lang w:val="sl-SI"/>
        </w:rPr>
        <w:t>EESO</w:t>
      </w:r>
      <w:r w:rsidRPr="00426670">
        <w:rPr>
          <w:lang w:val="sl-SI"/>
        </w:rPr>
        <w:t xml:space="preserve"> se strinja, da mora evropski program za razvoj obrambne industrije vztrajati pri razvijanju proizvodov, storitev in prototipov.</w:t>
      </w:r>
    </w:p>
    <w:p w:rsidR="00426670" w:rsidRPr="00426670" w:rsidRDefault="00426670" w:rsidP="00704756">
      <w:pPr>
        <w:spacing w:line="254" w:lineRule="auto"/>
        <w:rPr>
          <w:szCs w:val="22"/>
          <w:lang w:val="sl-SI"/>
        </w:rPr>
      </w:pPr>
    </w:p>
    <w:p w:rsidR="00426670" w:rsidRPr="00D527F9" w:rsidRDefault="00426670" w:rsidP="00704756">
      <w:pPr>
        <w:spacing w:line="254" w:lineRule="auto"/>
        <w:rPr>
          <w:i/>
          <w:szCs w:val="22"/>
          <w:lang w:val="sl-SI"/>
        </w:rPr>
      </w:pPr>
      <w:r w:rsidRPr="00D527F9">
        <w:rPr>
          <w:b/>
          <w:i/>
          <w:szCs w:val="22"/>
          <w:lang w:val="sl-SI"/>
        </w:rPr>
        <w:t>Kontaktna oseba:</w:t>
      </w:r>
      <w:r w:rsidR="00D527F9" w:rsidRPr="00D527F9">
        <w:rPr>
          <w:i/>
          <w:szCs w:val="22"/>
          <w:lang w:val="sl-SI"/>
        </w:rPr>
        <w:t xml:space="preserve"> </w:t>
      </w:r>
      <w:r w:rsidRPr="00D527F9">
        <w:rPr>
          <w:i/>
          <w:szCs w:val="22"/>
          <w:lang w:val="sl-SI"/>
        </w:rPr>
        <w:t>Adam Plezer</w:t>
      </w:r>
    </w:p>
    <w:p w:rsidR="00426670" w:rsidRPr="00D527F9" w:rsidRDefault="00426670" w:rsidP="00704756">
      <w:pPr>
        <w:spacing w:line="254" w:lineRule="auto"/>
        <w:rPr>
          <w:i/>
          <w:caps/>
          <w:szCs w:val="22"/>
          <w:lang w:val="sl-SI"/>
        </w:rPr>
      </w:pPr>
      <w:r w:rsidRPr="00D527F9">
        <w:rPr>
          <w:i/>
          <w:szCs w:val="22"/>
          <w:lang w:val="sl-SI"/>
        </w:rPr>
        <w:t>(tel.: 00 32 2 546 93 8628 – e-naslov:</w:t>
      </w:r>
      <w:r w:rsidR="00792067">
        <w:rPr>
          <w:i/>
          <w:szCs w:val="22"/>
          <w:lang w:val="sl-SI"/>
        </w:rPr>
        <w:t xml:space="preserve"> </w:t>
      </w:r>
      <w:hyperlink r:id="rId20">
        <w:r w:rsidRPr="00D527F9">
          <w:rPr>
            <w:rStyle w:val="Hyperlink"/>
            <w:i/>
            <w:szCs w:val="22"/>
            <w:lang w:val="sl-SI"/>
          </w:rPr>
          <w:t>Adam.Plezer@eesc.europa.eu</w:t>
        </w:r>
      </w:hyperlink>
      <w:r w:rsidRPr="00D527F9">
        <w:rPr>
          <w:i/>
          <w:szCs w:val="22"/>
          <w:lang w:val="sl-SI"/>
        </w:rPr>
        <w:t>)</w:t>
      </w:r>
    </w:p>
    <w:p w:rsidR="00426670" w:rsidRPr="00426670" w:rsidRDefault="00426670" w:rsidP="00704756">
      <w:pPr>
        <w:spacing w:line="254" w:lineRule="auto"/>
        <w:rPr>
          <w:caps/>
          <w:szCs w:val="22"/>
          <w:lang w:val="sl-SI"/>
        </w:rPr>
      </w:pPr>
    </w:p>
    <w:p w:rsidR="00426670" w:rsidRPr="00A72A08" w:rsidRDefault="00426670" w:rsidP="00704756">
      <w:pPr>
        <w:keepNext/>
        <w:keepLines/>
        <w:numPr>
          <w:ilvl w:val="0"/>
          <w:numId w:val="2"/>
        </w:numPr>
        <w:ind w:hanging="567"/>
        <w:rPr>
          <w:b/>
          <w:i/>
          <w:sz w:val="28"/>
          <w:szCs w:val="22"/>
          <w:lang w:val="sl-SI"/>
        </w:rPr>
      </w:pPr>
      <w:r w:rsidRPr="00A72A08">
        <w:rPr>
          <w:b/>
          <w:i/>
          <w:sz w:val="28"/>
          <w:szCs w:val="22"/>
          <w:lang w:val="sl-SI"/>
        </w:rPr>
        <w:t>Vzpostavitev evropskega obrambnega sklada</w:t>
      </w:r>
    </w:p>
    <w:p w:rsidR="00426670" w:rsidRPr="008E07AA" w:rsidRDefault="00426670" w:rsidP="00704756">
      <w:pPr>
        <w:keepNext/>
        <w:keepLines/>
        <w:rPr>
          <w:lang w:val="sl-SI"/>
        </w:rPr>
      </w:pPr>
    </w:p>
    <w:p w:rsidR="00426670" w:rsidRPr="00426670" w:rsidRDefault="00426670" w:rsidP="00704756">
      <w:pPr>
        <w:keepNext/>
        <w:keepLines/>
        <w:rPr>
          <w:szCs w:val="22"/>
          <w:lang w:val="sl-SI"/>
        </w:rPr>
      </w:pPr>
      <w:r w:rsidRPr="00426670">
        <w:rPr>
          <w:b/>
          <w:szCs w:val="22"/>
          <w:lang w:val="sl-SI"/>
        </w:rPr>
        <w:t>Poročevalec:</w:t>
      </w:r>
      <w:r w:rsidR="008E07AA">
        <w:rPr>
          <w:szCs w:val="22"/>
          <w:lang w:val="sl-SI"/>
        </w:rPr>
        <w:t xml:space="preserve"> </w:t>
      </w:r>
      <w:r w:rsidRPr="00426670">
        <w:rPr>
          <w:szCs w:val="22"/>
          <w:lang w:val="sl-SI"/>
        </w:rPr>
        <w:t xml:space="preserve">Mihai </w:t>
      </w:r>
      <w:r w:rsidR="00D32819" w:rsidRPr="00426670">
        <w:rPr>
          <w:szCs w:val="22"/>
          <w:lang w:val="sl-SI"/>
        </w:rPr>
        <w:t xml:space="preserve">IVAŞCU </w:t>
      </w:r>
      <w:r w:rsidRPr="00426670">
        <w:rPr>
          <w:szCs w:val="22"/>
          <w:lang w:val="sl-SI"/>
        </w:rPr>
        <w:t>(razne dejavnosti – RO)</w:t>
      </w:r>
    </w:p>
    <w:p w:rsidR="00426670" w:rsidRPr="00426670" w:rsidRDefault="00426670" w:rsidP="00426670">
      <w:pPr>
        <w:rPr>
          <w:color w:val="000000"/>
          <w:szCs w:val="22"/>
          <w:lang w:val="sl-SI"/>
        </w:rPr>
      </w:pPr>
      <w:r w:rsidRPr="00426670">
        <w:rPr>
          <w:b/>
          <w:szCs w:val="22"/>
          <w:lang w:val="sl-SI"/>
        </w:rPr>
        <w:t>Soporočevalec:</w:t>
      </w:r>
      <w:r w:rsidR="008E07AA" w:rsidRPr="008E07AA">
        <w:rPr>
          <w:szCs w:val="22"/>
          <w:lang w:val="sl-SI"/>
        </w:rPr>
        <w:t xml:space="preserve"> </w:t>
      </w:r>
      <w:r w:rsidRPr="00426670">
        <w:rPr>
          <w:color w:val="000000"/>
          <w:szCs w:val="22"/>
          <w:lang w:val="sl-SI"/>
        </w:rPr>
        <w:t xml:space="preserve">Fabien </w:t>
      </w:r>
      <w:r w:rsidR="00D32819" w:rsidRPr="00426670">
        <w:rPr>
          <w:color w:val="000000"/>
          <w:szCs w:val="22"/>
          <w:lang w:val="sl-SI"/>
        </w:rPr>
        <w:t xml:space="preserve">COUDERC </w:t>
      </w:r>
      <w:r w:rsidRPr="00426670">
        <w:rPr>
          <w:color w:val="000000"/>
          <w:szCs w:val="22"/>
          <w:lang w:val="sl-SI"/>
        </w:rPr>
        <w:t>(FR – 2. kat.)</w:t>
      </w:r>
    </w:p>
    <w:p w:rsidR="00426670" w:rsidRPr="00426670" w:rsidRDefault="00426670" w:rsidP="00426670">
      <w:pPr>
        <w:rPr>
          <w:szCs w:val="22"/>
          <w:lang w:val="sl-SI"/>
        </w:rPr>
      </w:pPr>
    </w:p>
    <w:p w:rsidR="00426670" w:rsidRPr="00426670" w:rsidRDefault="00426670" w:rsidP="00426670">
      <w:pPr>
        <w:rPr>
          <w:szCs w:val="22"/>
          <w:lang w:val="sl-SI"/>
        </w:rPr>
      </w:pPr>
      <w:r w:rsidRPr="00426670">
        <w:rPr>
          <w:b/>
          <w:szCs w:val="22"/>
          <w:lang w:val="sl-SI"/>
        </w:rPr>
        <w:t>Referenčni dokument:</w:t>
      </w:r>
      <w:r w:rsidR="008E07AA">
        <w:rPr>
          <w:szCs w:val="22"/>
          <w:lang w:val="sl-SI"/>
        </w:rPr>
        <w:t xml:space="preserve"> </w:t>
      </w:r>
      <w:r w:rsidRPr="00426670">
        <w:rPr>
          <w:szCs w:val="22"/>
          <w:lang w:val="sl-SI"/>
        </w:rPr>
        <w:t>EESC-2017-03598-00-00-AC-TRA</w:t>
      </w:r>
    </w:p>
    <w:p w:rsidR="00426670" w:rsidRPr="00426670" w:rsidRDefault="00426670" w:rsidP="00426670">
      <w:pPr>
        <w:rPr>
          <w:szCs w:val="22"/>
          <w:lang w:val="sl-SI"/>
        </w:rPr>
      </w:pPr>
    </w:p>
    <w:p w:rsidR="00426670" w:rsidRPr="00426670" w:rsidRDefault="00426670" w:rsidP="00426670">
      <w:pPr>
        <w:rPr>
          <w:b/>
          <w:szCs w:val="22"/>
          <w:lang w:val="sl-SI"/>
        </w:rPr>
      </w:pPr>
      <w:r w:rsidRPr="00426670">
        <w:rPr>
          <w:b/>
          <w:szCs w:val="22"/>
          <w:lang w:val="sl-SI"/>
        </w:rPr>
        <w:t>Glavne točke:</w:t>
      </w:r>
    </w:p>
    <w:p w:rsidR="00426670" w:rsidRPr="008E07AA" w:rsidRDefault="00426670" w:rsidP="00426670">
      <w:pPr>
        <w:rPr>
          <w:lang w:val="sl-SI"/>
        </w:rPr>
      </w:pPr>
    </w:p>
    <w:p w:rsidR="00426670" w:rsidRPr="00426670" w:rsidRDefault="00426670" w:rsidP="00FB0E1E">
      <w:pPr>
        <w:numPr>
          <w:ilvl w:val="0"/>
          <w:numId w:val="15"/>
        </w:numPr>
        <w:tabs>
          <w:tab w:val="clear" w:pos="0"/>
        </w:tabs>
        <w:ind w:left="567" w:hanging="567"/>
        <w:rPr>
          <w:lang w:val="sl-SI"/>
        </w:rPr>
      </w:pPr>
      <w:r w:rsidRPr="00426670">
        <w:rPr>
          <w:lang w:val="sl-SI"/>
        </w:rPr>
        <w:t>EESO odločno priporoča, naj države članice in Evropska komisija evropski obrambni sklad uporabijo za ohranitev ključnih industrijskih zmogljivosti na evropskih tleh in zagotovijo, da se evropski denar porabi za evropske raziskave in razvoj ter nakup evrops</w:t>
      </w:r>
      <w:r w:rsidR="00792067">
        <w:rPr>
          <w:lang w:val="sl-SI"/>
        </w:rPr>
        <w:t>kih oborožitvenih sistemov.</w:t>
      </w:r>
    </w:p>
    <w:p w:rsidR="00426670" w:rsidRPr="00426670" w:rsidRDefault="00426670" w:rsidP="00426670">
      <w:pPr>
        <w:rPr>
          <w:szCs w:val="22"/>
          <w:lang w:val="sl-SI"/>
        </w:rPr>
      </w:pPr>
    </w:p>
    <w:p w:rsidR="00426670" w:rsidRPr="00426670" w:rsidRDefault="00426670" w:rsidP="00FB0E1E">
      <w:pPr>
        <w:numPr>
          <w:ilvl w:val="0"/>
          <w:numId w:val="15"/>
        </w:numPr>
        <w:tabs>
          <w:tab w:val="clear" w:pos="0"/>
        </w:tabs>
        <w:ind w:left="567" w:hanging="567"/>
        <w:rPr>
          <w:lang w:val="sl-SI"/>
        </w:rPr>
      </w:pPr>
      <w:r w:rsidRPr="00FB0E1E">
        <w:rPr>
          <w:szCs w:val="22"/>
          <w:lang w:val="sl-SI"/>
        </w:rPr>
        <w:t>EESO</w:t>
      </w:r>
      <w:r w:rsidRPr="00426670">
        <w:rPr>
          <w:lang w:val="sl-SI"/>
        </w:rPr>
        <w:t xml:space="preserve"> podpira na konkurenčnosti temelječ pristop evropskega obrambnega sklada, ki bo na eni strani zagotovil dostop vsem državam članicam, na drugi pa omogočil financiranje projektov, ki bodo ustvarili dodano vrednost in najsodobnejše tehnologije.</w:t>
      </w:r>
    </w:p>
    <w:p w:rsidR="00426670" w:rsidRPr="00426670" w:rsidRDefault="00426670" w:rsidP="00426670">
      <w:pPr>
        <w:rPr>
          <w:szCs w:val="22"/>
          <w:lang w:val="sl-SI"/>
        </w:rPr>
      </w:pPr>
    </w:p>
    <w:p w:rsidR="00426670" w:rsidRPr="00426670" w:rsidRDefault="00426670" w:rsidP="00FB0E1E">
      <w:pPr>
        <w:numPr>
          <w:ilvl w:val="0"/>
          <w:numId w:val="15"/>
        </w:numPr>
        <w:tabs>
          <w:tab w:val="clear" w:pos="0"/>
        </w:tabs>
        <w:ind w:left="567" w:hanging="567"/>
        <w:rPr>
          <w:lang w:val="sl-SI"/>
        </w:rPr>
      </w:pPr>
      <w:r w:rsidRPr="00426670">
        <w:rPr>
          <w:lang w:val="sl-SI"/>
        </w:rPr>
        <w:t>EESO je zadovoljen, ker so v sedanjem predlogu posebej poudarjena mala in srednja podjetja ne glede na njihovo izvorno državo. Poleg tega bi EESO pozdravil mehanizme za vključevanje malih in srednjih podjetij, kot je sistem bonusov, da bi se okrepilo njihovo čezmejno sodelovanje.</w:t>
      </w:r>
    </w:p>
    <w:p w:rsidR="00426670" w:rsidRPr="00426670" w:rsidRDefault="00426670" w:rsidP="00426670">
      <w:pPr>
        <w:rPr>
          <w:szCs w:val="22"/>
          <w:lang w:val="sl-SI"/>
        </w:rPr>
      </w:pPr>
    </w:p>
    <w:p w:rsidR="00426670" w:rsidRPr="00426670" w:rsidRDefault="00426670" w:rsidP="00FB0E1E">
      <w:pPr>
        <w:numPr>
          <w:ilvl w:val="0"/>
          <w:numId w:val="15"/>
        </w:numPr>
        <w:tabs>
          <w:tab w:val="clear" w:pos="0"/>
        </w:tabs>
        <w:ind w:left="567" w:hanging="567"/>
        <w:rPr>
          <w:lang w:val="sl-SI"/>
        </w:rPr>
      </w:pPr>
      <w:r w:rsidRPr="00426670">
        <w:rPr>
          <w:lang w:val="sl-SI"/>
        </w:rPr>
        <w:t>EESO je trdno prepričan, da je treba v podporo evropskim interesom zgraditi močne ključne zmogljivosti.</w:t>
      </w:r>
    </w:p>
    <w:p w:rsidR="00426670" w:rsidRPr="00426670" w:rsidRDefault="00426670" w:rsidP="00426670">
      <w:pPr>
        <w:rPr>
          <w:szCs w:val="22"/>
          <w:lang w:val="sl-SI"/>
        </w:rPr>
      </w:pPr>
    </w:p>
    <w:p w:rsidR="00426670" w:rsidRPr="00426670" w:rsidRDefault="00426670" w:rsidP="00FB0E1E">
      <w:pPr>
        <w:numPr>
          <w:ilvl w:val="0"/>
          <w:numId w:val="15"/>
        </w:numPr>
        <w:tabs>
          <w:tab w:val="clear" w:pos="0"/>
        </w:tabs>
        <w:ind w:left="567" w:hanging="567"/>
        <w:rPr>
          <w:lang w:val="sl-SI"/>
        </w:rPr>
      </w:pPr>
      <w:r w:rsidRPr="00426670">
        <w:rPr>
          <w:lang w:val="sl-SI"/>
        </w:rPr>
        <w:t>EESO priporoča, da se pri postopkih dodelitve naročil na podlagi razpisov za zbiranje predlogov upoštevajo obvezni visoki socialni in okoljski standardi.</w:t>
      </w:r>
    </w:p>
    <w:p w:rsidR="00426670" w:rsidRPr="00426670" w:rsidRDefault="00426670" w:rsidP="00426670">
      <w:pPr>
        <w:rPr>
          <w:szCs w:val="22"/>
          <w:lang w:val="sl-SI"/>
        </w:rPr>
      </w:pPr>
    </w:p>
    <w:p w:rsidR="00426670" w:rsidRPr="00426670" w:rsidRDefault="00426670" w:rsidP="00FB0E1E">
      <w:pPr>
        <w:numPr>
          <w:ilvl w:val="0"/>
          <w:numId w:val="15"/>
        </w:numPr>
        <w:tabs>
          <w:tab w:val="clear" w:pos="0"/>
        </w:tabs>
        <w:ind w:left="567" w:hanging="567"/>
        <w:rPr>
          <w:lang w:val="sl-SI"/>
        </w:rPr>
      </w:pPr>
      <w:r w:rsidRPr="00426670">
        <w:rPr>
          <w:lang w:val="sl-SI"/>
        </w:rPr>
        <w:t>EESO meni, da je treba čim prej vzpostaviti upravljanje evropskega obrambnega sklada, pri njem pa bi morale sodelovati Evropska unija, Evropska obrambna agencija in</w:t>
      </w:r>
      <w:r w:rsidR="00792067">
        <w:rPr>
          <w:lang w:val="sl-SI"/>
        </w:rPr>
        <w:t xml:space="preserve"> države članice ter industrija.</w:t>
      </w:r>
    </w:p>
    <w:p w:rsidR="00426670" w:rsidRPr="00426670" w:rsidRDefault="00426670" w:rsidP="00426670">
      <w:pPr>
        <w:rPr>
          <w:szCs w:val="22"/>
          <w:lang w:val="sl-SI"/>
        </w:rPr>
      </w:pPr>
    </w:p>
    <w:p w:rsidR="00426670" w:rsidRPr="00426670" w:rsidRDefault="00426670" w:rsidP="00FB0E1E">
      <w:pPr>
        <w:numPr>
          <w:ilvl w:val="0"/>
          <w:numId w:val="15"/>
        </w:numPr>
        <w:tabs>
          <w:tab w:val="clear" w:pos="0"/>
        </w:tabs>
        <w:ind w:left="567" w:hanging="567"/>
        <w:rPr>
          <w:lang w:val="sl-SI"/>
        </w:rPr>
      </w:pPr>
      <w:r w:rsidRPr="00426670">
        <w:rPr>
          <w:lang w:val="sl-SI"/>
        </w:rPr>
        <w:t>EESO priporoča, da se tekom razvoja programa evropskega obrambnega sklada preuči možnost za povečanje najmanjšega števila držav, ki sodelujejo v upravičenem projektu, na tri države.</w:t>
      </w:r>
    </w:p>
    <w:p w:rsidR="00426670" w:rsidRPr="00426670" w:rsidRDefault="00426670" w:rsidP="00426670">
      <w:pPr>
        <w:rPr>
          <w:szCs w:val="22"/>
          <w:lang w:val="sl-SI"/>
        </w:rPr>
      </w:pPr>
    </w:p>
    <w:p w:rsidR="00426670" w:rsidRPr="00426670" w:rsidRDefault="00426670" w:rsidP="00FB0E1E">
      <w:pPr>
        <w:numPr>
          <w:ilvl w:val="0"/>
          <w:numId w:val="15"/>
        </w:numPr>
        <w:tabs>
          <w:tab w:val="clear" w:pos="0"/>
        </w:tabs>
        <w:ind w:left="567" w:hanging="567"/>
        <w:rPr>
          <w:lang w:val="sl-SI"/>
        </w:rPr>
      </w:pPr>
      <w:r w:rsidRPr="00426670">
        <w:rPr>
          <w:lang w:val="sl-SI"/>
        </w:rPr>
        <w:t xml:space="preserve">EESO priporoča, da se v zgodnjih fazah razvoja projektov, financiranih v okviru zmogljivostnega sklopa sklada, omogoči uporaba programov za usposabljanje, ki </w:t>
      </w:r>
      <w:r w:rsidR="00792067">
        <w:rPr>
          <w:lang w:val="sl-SI"/>
        </w:rPr>
        <w:t>jih sofinancira Evropska unija.</w:t>
      </w:r>
    </w:p>
    <w:p w:rsidR="00426670" w:rsidRPr="00426670" w:rsidRDefault="00426670" w:rsidP="00426670">
      <w:pPr>
        <w:rPr>
          <w:szCs w:val="22"/>
          <w:lang w:val="sl-SI"/>
        </w:rPr>
      </w:pPr>
    </w:p>
    <w:p w:rsidR="00426670" w:rsidRPr="008E07AA" w:rsidRDefault="00426670" w:rsidP="00426670">
      <w:pPr>
        <w:rPr>
          <w:i/>
          <w:szCs w:val="22"/>
          <w:lang w:val="sl-SI"/>
        </w:rPr>
      </w:pPr>
      <w:r w:rsidRPr="008E07AA">
        <w:rPr>
          <w:b/>
          <w:i/>
          <w:szCs w:val="22"/>
          <w:lang w:val="sl-SI"/>
        </w:rPr>
        <w:t>Kontaktna oseba:</w:t>
      </w:r>
      <w:r w:rsidR="008E07AA" w:rsidRPr="008E07AA">
        <w:rPr>
          <w:i/>
          <w:szCs w:val="22"/>
          <w:lang w:val="sl-SI"/>
        </w:rPr>
        <w:t xml:space="preserve"> </w:t>
      </w:r>
      <w:r w:rsidRPr="008E07AA">
        <w:rPr>
          <w:i/>
          <w:szCs w:val="22"/>
          <w:lang w:val="sl-SI"/>
        </w:rPr>
        <w:t>Adam Plezer</w:t>
      </w:r>
    </w:p>
    <w:p w:rsidR="00426670" w:rsidRPr="008E07AA" w:rsidRDefault="00426670" w:rsidP="00426670">
      <w:pPr>
        <w:rPr>
          <w:i/>
          <w:caps/>
          <w:szCs w:val="22"/>
          <w:lang w:val="sl-SI"/>
        </w:rPr>
      </w:pPr>
      <w:r w:rsidRPr="008E07AA">
        <w:rPr>
          <w:i/>
          <w:szCs w:val="22"/>
          <w:lang w:val="sl-SI"/>
        </w:rPr>
        <w:t>(tel.: 00 32 2 546 93 8628 – e-naslov:</w:t>
      </w:r>
      <w:r w:rsidR="00792067">
        <w:rPr>
          <w:i/>
          <w:szCs w:val="22"/>
          <w:lang w:val="sl-SI"/>
        </w:rPr>
        <w:t xml:space="preserve"> </w:t>
      </w:r>
      <w:hyperlink r:id="rId21">
        <w:r w:rsidRPr="008E07AA">
          <w:rPr>
            <w:rStyle w:val="Hyperlink"/>
            <w:i/>
            <w:szCs w:val="22"/>
            <w:lang w:val="sl-SI"/>
          </w:rPr>
          <w:t>Adam.Plezer@eesc.europa.eu</w:t>
        </w:r>
      </w:hyperlink>
      <w:r w:rsidRPr="008E07AA">
        <w:rPr>
          <w:i/>
          <w:szCs w:val="22"/>
          <w:lang w:val="sl-SI"/>
        </w:rPr>
        <w:t>)</w:t>
      </w:r>
    </w:p>
    <w:p w:rsidR="00426670" w:rsidRDefault="00426670" w:rsidP="00426670">
      <w:pPr>
        <w:rPr>
          <w:caps/>
          <w:szCs w:val="22"/>
          <w:lang w:val="sl-SI"/>
        </w:rPr>
      </w:pPr>
    </w:p>
    <w:p w:rsidR="00426670" w:rsidRPr="00426670" w:rsidRDefault="00426670" w:rsidP="00426670">
      <w:pPr>
        <w:rPr>
          <w:caps/>
          <w:szCs w:val="22"/>
          <w:lang w:val="sl-SI"/>
        </w:rPr>
      </w:pPr>
    </w:p>
    <w:p w:rsidR="00426670" w:rsidRPr="00FB0E1E" w:rsidRDefault="00792067" w:rsidP="00FB0E1E">
      <w:pPr>
        <w:pStyle w:val="Heading1"/>
        <w:keepNext/>
        <w:keepLines/>
        <w:overflowPunct/>
        <w:autoSpaceDE/>
        <w:autoSpaceDN/>
        <w:adjustRightInd/>
        <w:ind w:left="567" w:hanging="567"/>
        <w:textAlignment w:val="auto"/>
        <w:rPr>
          <w:sz w:val="28"/>
          <w:szCs w:val="28"/>
          <w:lang w:val="sl-SI"/>
        </w:rPr>
      </w:pPr>
      <w:bookmarkStart w:id="12" w:name="_Toc501447756"/>
      <w:bookmarkStart w:id="13" w:name="_Toc502741921"/>
      <w:bookmarkStart w:id="14" w:name="_Toc502829133"/>
      <w:r w:rsidRPr="00481A39">
        <w:rPr>
          <w:b/>
          <w:sz w:val="28"/>
          <w:szCs w:val="28"/>
          <w:lang w:val="sl-SI"/>
        </w:rPr>
        <w:t>PROMET</w:t>
      </w:r>
      <w:bookmarkEnd w:id="12"/>
      <w:bookmarkEnd w:id="13"/>
      <w:bookmarkEnd w:id="14"/>
    </w:p>
    <w:p w:rsidR="00426670" w:rsidRPr="00426670" w:rsidRDefault="00426670" w:rsidP="00FB0E1E">
      <w:pPr>
        <w:keepNext/>
        <w:keepLines/>
        <w:rPr>
          <w:szCs w:val="22"/>
          <w:lang w:val="sl-SI"/>
        </w:rPr>
      </w:pPr>
    </w:p>
    <w:p w:rsidR="00426670" w:rsidRPr="00A72A08" w:rsidRDefault="00426670" w:rsidP="00FB0E1E">
      <w:pPr>
        <w:keepNext/>
        <w:keepLines/>
        <w:numPr>
          <w:ilvl w:val="0"/>
          <w:numId w:val="2"/>
        </w:numPr>
        <w:ind w:hanging="567"/>
        <w:rPr>
          <w:b/>
          <w:i/>
          <w:sz w:val="28"/>
          <w:szCs w:val="22"/>
          <w:lang w:val="sl-SI"/>
        </w:rPr>
      </w:pPr>
      <w:r w:rsidRPr="00A72A08">
        <w:rPr>
          <w:b/>
          <w:i/>
          <w:sz w:val="28"/>
          <w:szCs w:val="22"/>
          <w:lang w:val="sl-SI"/>
        </w:rPr>
        <w:t>Statistika železniškega prevoza (prenovitev)</w:t>
      </w:r>
    </w:p>
    <w:p w:rsidR="00426670" w:rsidRPr="00413DB5" w:rsidRDefault="00426670" w:rsidP="00FB0E1E">
      <w:pPr>
        <w:keepNext/>
        <w:keepLines/>
        <w:rPr>
          <w:highlight w:val="green"/>
          <w:lang w:val="sl-SI"/>
        </w:rPr>
      </w:pPr>
    </w:p>
    <w:p w:rsidR="00426670" w:rsidRPr="00426670" w:rsidRDefault="00426670" w:rsidP="00426670">
      <w:pPr>
        <w:rPr>
          <w:szCs w:val="22"/>
          <w:lang w:val="sl-SI"/>
        </w:rPr>
      </w:pPr>
      <w:r w:rsidRPr="00426670">
        <w:rPr>
          <w:b/>
          <w:szCs w:val="22"/>
          <w:lang w:val="sl-SI"/>
        </w:rPr>
        <w:t>Poročevalec:</w:t>
      </w:r>
      <w:r w:rsidR="00413DB5">
        <w:rPr>
          <w:szCs w:val="22"/>
          <w:lang w:val="sl-SI"/>
        </w:rPr>
        <w:t xml:space="preserve"> </w:t>
      </w:r>
      <w:r w:rsidRPr="00426670">
        <w:rPr>
          <w:szCs w:val="22"/>
          <w:lang w:val="sl-SI"/>
        </w:rPr>
        <w:t xml:space="preserve">Raymond </w:t>
      </w:r>
      <w:r w:rsidR="00274CB2" w:rsidRPr="00426670">
        <w:rPr>
          <w:szCs w:val="22"/>
          <w:lang w:val="sl-SI"/>
        </w:rPr>
        <w:t xml:space="preserve">HENCKS </w:t>
      </w:r>
      <w:r w:rsidRPr="00426670">
        <w:rPr>
          <w:szCs w:val="22"/>
          <w:lang w:val="sl-SI"/>
        </w:rPr>
        <w:t>(delojemalci – LU)</w:t>
      </w:r>
    </w:p>
    <w:p w:rsidR="00426670" w:rsidRPr="00413DB5" w:rsidRDefault="00426670" w:rsidP="00426670">
      <w:pPr>
        <w:rPr>
          <w:lang w:val="sl-SI"/>
        </w:rPr>
      </w:pPr>
    </w:p>
    <w:p w:rsidR="00426670" w:rsidRPr="00426670" w:rsidRDefault="00426670" w:rsidP="00426670">
      <w:pPr>
        <w:rPr>
          <w:szCs w:val="22"/>
          <w:lang w:val="sl-SI"/>
        </w:rPr>
      </w:pPr>
      <w:r w:rsidRPr="00426670">
        <w:rPr>
          <w:b/>
          <w:szCs w:val="22"/>
          <w:lang w:val="sl-SI"/>
        </w:rPr>
        <w:t>Referenčna dokumenta:</w:t>
      </w:r>
      <w:r w:rsidRPr="00426670">
        <w:rPr>
          <w:szCs w:val="22"/>
          <w:lang w:val="sl-SI"/>
        </w:rPr>
        <w:tab/>
      </w:r>
      <w:r w:rsidR="00274CB2">
        <w:rPr>
          <w:szCs w:val="22"/>
          <w:lang w:val="sl-SI"/>
        </w:rPr>
        <w:t xml:space="preserve"> </w:t>
      </w:r>
      <w:r w:rsidRPr="00426670">
        <w:rPr>
          <w:szCs w:val="22"/>
          <w:lang w:val="sl-SI"/>
        </w:rPr>
        <w:t>COM(2017) 353 final – 2017/0146 (COD)</w:t>
      </w:r>
    </w:p>
    <w:p w:rsidR="00426670" w:rsidRPr="00426670" w:rsidRDefault="00426670" w:rsidP="00274CB2">
      <w:pPr>
        <w:ind w:left="2325"/>
        <w:rPr>
          <w:szCs w:val="22"/>
          <w:highlight w:val="green"/>
          <w:lang w:val="sl-SI"/>
        </w:rPr>
      </w:pPr>
      <w:r w:rsidRPr="00426670">
        <w:rPr>
          <w:szCs w:val="22"/>
          <w:lang w:val="sl-SI"/>
        </w:rPr>
        <w:t>EESC-2017-04449-00-00-AC-TRA</w:t>
      </w:r>
    </w:p>
    <w:p w:rsidR="00426670" w:rsidRPr="00274CB2" w:rsidRDefault="00426670" w:rsidP="00426670">
      <w:pPr>
        <w:rPr>
          <w:highlight w:val="green"/>
          <w:lang w:val="sl-SI"/>
        </w:rPr>
      </w:pPr>
    </w:p>
    <w:p w:rsidR="00426670" w:rsidRPr="00426670" w:rsidRDefault="00274CB2" w:rsidP="00426670">
      <w:pPr>
        <w:rPr>
          <w:szCs w:val="22"/>
          <w:lang w:val="sl-SI"/>
        </w:rPr>
      </w:pPr>
      <w:r>
        <w:rPr>
          <w:b/>
          <w:szCs w:val="22"/>
          <w:lang w:val="sl-SI"/>
        </w:rPr>
        <w:t>Glavne točke:</w:t>
      </w:r>
    </w:p>
    <w:p w:rsidR="00426670" w:rsidRPr="00426670" w:rsidRDefault="00426670" w:rsidP="00426670">
      <w:pPr>
        <w:rPr>
          <w:color w:val="000000"/>
          <w:szCs w:val="22"/>
          <w:lang w:val="sl-SI"/>
        </w:rPr>
      </w:pPr>
    </w:p>
    <w:p w:rsidR="00426670" w:rsidRPr="00426670" w:rsidRDefault="00426670" w:rsidP="00AD3040">
      <w:pPr>
        <w:numPr>
          <w:ilvl w:val="0"/>
          <w:numId w:val="15"/>
        </w:numPr>
        <w:tabs>
          <w:tab w:val="clear" w:pos="0"/>
        </w:tabs>
        <w:ind w:left="567" w:hanging="567"/>
        <w:rPr>
          <w:color w:val="000000"/>
          <w:szCs w:val="22"/>
          <w:lang w:val="sl-SI"/>
        </w:rPr>
      </w:pPr>
      <w:r w:rsidRPr="00426670">
        <w:rPr>
          <w:color w:val="000000"/>
          <w:szCs w:val="22"/>
          <w:lang w:val="sl-SI"/>
        </w:rPr>
        <w:t>Komisija uporablja statistiko železniškega prevoza za oceno učinkov ukrepov Skupnosti na področju železnic in pripravo novih po potrebi.</w:t>
      </w:r>
    </w:p>
    <w:p w:rsidR="00426670" w:rsidRPr="00426670" w:rsidRDefault="00426670" w:rsidP="00426670">
      <w:pPr>
        <w:rPr>
          <w:color w:val="000000"/>
          <w:szCs w:val="22"/>
          <w:lang w:val="sl-SI"/>
        </w:rPr>
      </w:pPr>
    </w:p>
    <w:p w:rsidR="00426670" w:rsidRPr="00426670" w:rsidRDefault="00426670" w:rsidP="00AD3040">
      <w:pPr>
        <w:numPr>
          <w:ilvl w:val="0"/>
          <w:numId w:val="15"/>
        </w:numPr>
        <w:tabs>
          <w:tab w:val="clear" w:pos="0"/>
        </w:tabs>
        <w:ind w:left="567" w:hanging="567"/>
        <w:rPr>
          <w:color w:val="000000"/>
          <w:szCs w:val="22"/>
          <w:lang w:val="sl-SI"/>
        </w:rPr>
      </w:pPr>
      <w:r w:rsidRPr="00426670">
        <w:rPr>
          <w:color w:val="000000"/>
          <w:szCs w:val="22"/>
          <w:lang w:val="sl-SI"/>
        </w:rPr>
        <w:t xml:space="preserve">Od začetka delni in nato podrobnejši statistični podatki so na voljo od leta 1980. Bistvene spremembe in dopolnitve je leta 2003 prinesel nov pravni akt, in sicer Uredba ES </w:t>
      </w:r>
      <w:r w:rsidR="00527DBA">
        <w:rPr>
          <w:color w:val="000000"/>
          <w:szCs w:val="22"/>
          <w:lang w:val="sl-SI"/>
        </w:rPr>
        <w:t>št. </w:t>
      </w:r>
      <w:r w:rsidRPr="00426670">
        <w:rPr>
          <w:color w:val="000000"/>
          <w:szCs w:val="22"/>
          <w:lang w:val="sl-SI"/>
        </w:rPr>
        <w:t>91/2003. Odtlej morajo države članice na podlagi določenih kazalnikov zbirati in sporočati letne, četrtletne oziroma petletne statistične podatke o storitvah tovornega in potniškega prometa.</w:t>
      </w:r>
    </w:p>
    <w:p w:rsidR="00426670" w:rsidRPr="00426670" w:rsidRDefault="00426670" w:rsidP="00426670">
      <w:pPr>
        <w:rPr>
          <w:color w:val="000000"/>
          <w:szCs w:val="22"/>
          <w:lang w:val="sl-SI"/>
        </w:rPr>
      </w:pPr>
    </w:p>
    <w:p w:rsidR="00426670" w:rsidRPr="00426670" w:rsidRDefault="00426670" w:rsidP="00AD3040">
      <w:pPr>
        <w:numPr>
          <w:ilvl w:val="0"/>
          <w:numId w:val="15"/>
        </w:numPr>
        <w:tabs>
          <w:tab w:val="clear" w:pos="0"/>
        </w:tabs>
        <w:ind w:left="567" w:hanging="567"/>
        <w:rPr>
          <w:color w:val="000000"/>
          <w:szCs w:val="22"/>
          <w:lang w:val="sl-SI"/>
        </w:rPr>
      </w:pPr>
      <w:r w:rsidRPr="00426670">
        <w:rPr>
          <w:color w:val="000000"/>
          <w:szCs w:val="22"/>
          <w:lang w:val="sl-SI"/>
        </w:rPr>
        <w:t xml:space="preserve">V vmesnem času je bila Uredba ES </w:t>
      </w:r>
      <w:r w:rsidR="00527DBA">
        <w:rPr>
          <w:color w:val="000000"/>
          <w:szCs w:val="22"/>
          <w:lang w:val="sl-SI"/>
        </w:rPr>
        <w:t>št. </w:t>
      </w:r>
      <w:r w:rsidRPr="00426670">
        <w:rPr>
          <w:color w:val="000000"/>
          <w:szCs w:val="22"/>
          <w:lang w:val="sl-SI"/>
        </w:rPr>
        <w:t xml:space="preserve">91/2003 spremenjena in dopolnjena z uredbami </w:t>
      </w:r>
      <w:r w:rsidR="00527DBA">
        <w:rPr>
          <w:color w:val="000000"/>
          <w:szCs w:val="22"/>
          <w:lang w:val="sl-SI"/>
        </w:rPr>
        <w:t>št. </w:t>
      </w:r>
      <w:r w:rsidRPr="00426670">
        <w:rPr>
          <w:color w:val="000000"/>
          <w:szCs w:val="22"/>
          <w:lang w:val="sl-SI"/>
        </w:rPr>
        <w:t xml:space="preserve">1192/2003, </w:t>
      </w:r>
      <w:r w:rsidR="00527DBA">
        <w:rPr>
          <w:color w:val="000000"/>
          <w:szCs w:val="22"/>
          <w:lang w:val="sl-SI"/>
        </w:rPr>
        <w:t>št. </w:t>
      </w:r>
      <w:r w:rsidRPr="00426670">
        <w:rPr>
          <w:color w:val="000000"/>
          <w:szCs w:val="22"/>
          <w:lang w:val="sl-SI"/>
        </w:rPr>
        <w:t xml:space="preserve">219/2009 in </w:t>
      </w:r>
      <w:r w:rsidR="00527DBA">
        <w:rPr>
          <w:color w:val="000000"/>
          <w:szCs w:val="22"/>
          <w:lang w:val="sl-SI"/>
        </w:rPr>
        <w:t>št. </w:t>
      </w:r>
      <w:r w:rsidRPr="00426670">
        <w:rPr>
          <w:color w:val="000000"/>
          <w:szCs w:val="22"/>
          <w:lang w:val="sl-SI"/>
        </w:rPr>
        <w:t>2016/2032, tako da je množica določb zdaj razpršenih.</w:t>
      </w:r>
    </w:p>
    <w:p w:rsidR="00426670" w:rsidRPr="00426670" w:rsidRDefault="00426670" w:rsidP="00426670">
      <w:pPr>
        <w:rPr>
          <w:color w:val="000000"/>
          <w:szCs w:val="22"/>
          <w:lang w:val="sl-SI"/>
        </w:rPr>
      </w:pPr>
    </w:p>
    <w:p w:rsidR="00426670" w:rsidRPr="00426670" w:rsidRDefault="00426670" w:rsidP="00AD3040">
      <w:pPr>
        <w:numPr>
          <w:ilvl w:val="0"/>
          <w:numId w:val="15"/>
        </w:numPr>
        <w:tabs>
          <w:tab w:val="clear" w:pos="0"/>
        </w:tabs>
        <w:ind w:left="567" w:hanging="567"/>
        <w:rPr>
          <w:color w:val="000000"/>
          <w:szCs w:val="22"/>
          <w:lang w:val="sl-SI"/>
        </w:rPr>
      </w:pPr>
      <w:r w:rsidRPr="00426670">
        <w:rPr>
          <w:color w:val="000000"/>
          <w:szCs w:val="22"/>
          <w:lang w:val="sl-SI"/>
        </w:rPr>
        <w:t xml:space="preserve">Komisija se je omejila na preprosto kodifikacijo ter vsebino različnih predhodnih uredb združila v skladno in smiselno celoto. Edina izjema je črtanje člena 4(5) Uredbe </w:t>
      </w:r>
      <w:r w:rsidR="00527DBA">
        <w:rPr>
          <w:color w:val="000000"/>
          <w:szCs w:val="22"/>
          <w:lang w:val="sl-SI"/>
        </w:rPr>
        <w:t>št. </w:t>
      </w:r>
      <w:r w:rsidRPr="00426670">
        <w:rPr>
          <w:color w:val="000000"/>
          <w:szCs w:val="22"/>
          <w:lang w:val="sl-SI"/>
        </w:rPr>
        <w:t>91/2003.</w:t>
      </w:r>
    </w:p>
    <w:p w:rsidR="00426670" w:rsidRPr="00426670" w:rsidRDefault="00426670" w:rsidP="00426670">
      <w:pPr>
        <w:rPr>
          <w:color w:val="000000"/>
          <w:szCs w:val="22"/>
          <w:lang w:val="sl-SI"/>
        </w:rPr>
      </w:pPr>
    </w:p>
    <w:p w:rsidR="00426670" w:rsidRPr="00426670" w:rsidRDefault="00426670" w:rsidP="00AD3040">
      <w:pPr>
        <w:ind w:left="567"/>
        <w:rPr>
          <w:color w:val="000000"/>
          <w:szCs w:val="22"/>
          <w:lang w:val="sl-SI"/>
        </w:rPr>
      </w:pPr>
      <w:r w:rsidRPr="00426670">
        <w:rPr>
          <w:color w:val="000000"/>
          <w:szCs w:val="22"/>
          <w:lang w:val="sl-SI"/>
        </w:rPr>
        <w:t>EESO sicer na splošno odobrava predlog Komisije o statistiki železniškega prevoza in horizontalno prenovitev štirih veljavnih uredb.</w:t>
      </w:r>
    </w:p>
    <w:p w:rsidR="00426670" w:rsidRPr="00426670" w:rsidRDefault="00426670" w:rsidP="00426670">
      <w:pPr>
        <w:rPr>
          <w:color w:val="000000"/>
          <w:szCs w:val="22"/>
          <w:lang w:val="sl-SI"/>
        </w:rPr>
      </w:pPr>
    </w:p>
    <w:p w:rsidR="00426670" w:rsidRPr="00203F86" w:rsidRDefault="00426670" w:rsidP="00426670">
      <w:pPr>
        <w:rPr>
          <w:i/>
          <w:szCs w:val="22"/>
          <w:lang w:val="sl-SI"/>
        </w:rPr>
      </w:pPr>
      <w:r w:rsidRPr="00203F86">
        <w:rPr>
          <w:b/>
          <w:i/>
          <w:szCs w:val="22"/>
          <w:lang w:val="sl-SI"/>
        </w:rPr>
        <w:t>Kontaktna oseba:</w:t>
      </w:r>
      <w:r w:rsidR="00203F86" w:rsidRPr="00203F86">
        <w:rPr>
          <w:i/>
          <w:szCs w:val="22"/>
          <w:lang w:val="sl-SI"/>
        </w:rPr>
        <w:t xml:space="preserve"> </w:t>
      </w:r>
      <w:r w:rsidRPr="00203F86">
        <w:rPr>
          <w:i/>
          <w:szCs w:val="22"/>
          <w:lang w:val="sl-SI"/>
        </w:rPr>
        <w:t>Agota Bazsik</w:t>
      </w:r>
    </w:p>
    <w:p w:rsidR="00426670" w:rsidRPr="00203F86" w:rsidRDefault="00426670" w:rsidP="00426670">
      <w:pPr>
        <w:rPr>
          <w:i/>
          <w:caps/>
          <w:szCs w:val="22"/>
          <w:lang w:val="sl-SI"/>
        </w:rPr>
      </w:pPr>
      <w:r w:rsidRPr="00203F86">
        <w:rPr>
          <w:i/>
          <w:szCs w:val="22"/>
          <w:lang w:val="sl-SI"/>
        </w:rPr>
        <w:t>(tel.: 00 32 2 546 93 8658 – e-naslov:</w:t>
      </w:r>
      <w:r w:rsidR="00792067">
        <w:rPr>
          <w:i/>
          <w:szCs w:val="22"/>
          <w:lang w:val="sl-SI"/>
        </w:rPr>
        <w:t xml:space="preserve"> </w:t>
      </w:r>
      <w:hyperlink r:id="rId22">
        <w:r w:rsidRPr="00203F86">
          <w:rPr>
            <w:rStyle w:val="Hyperlink"/>
            <w:i/>
            <w:szCs w:val="22"/>
            <w:lang w:val="sl-SI"/>
          </w:rPr>
          <w:t>Agota.Bazsik@eesc.europa.eu</w:t>
        </w:r>
      </w:hyperlink>
      <w:r w:rsidRPr="00203F86">
        <w:rPr>
          <w:i/>
          <w:szCs w:val="22"/>
          <w:lang w:val="sl-SI"/>
        </w:rPr>
        <w:t>)</w:t>
      </w:r>
    </w:p>
    <w:p w:rsidR="00426670" w:rsidRDefault="00426670" w:rsidP="00426670">
      <w:pPr>
        <w:rPr>
          <w:caps/>
          <w:szCs w:val="22"/>
          <w:lang w:val="sl-SI"/>
        </w:rPr>
      </w:pPr>
    </w:p>
    <w:p w:rsidR="00426670" w:rsidRPr="00A72A08" w:rsidRDefault="00426670" w:rsidP="00DD2979">
      <w:pPr>
        <w:keepNext/>
        <w:keepLines/>
        <w:numPr>
          <w:ilvl w:val="0"/>
          <w:numId w:val="2"/>
        </w:numPr>
        <w:ind w:hanging="567"/>
        <w:rPr>
          <w:b/>
          <w:i/>
          <w:sz w:val="28"/>
          <w:szCs w:val="22"/>
          <w:lang w:val="sl-SI"/>
        </w:rPr>
      </w:pPr>
      <w:r w:rsidRPr="00A72A08">
        <w:rPr>
          <w:b/>
          <w:i/>
          <w:sz w:val="28"/>
          <w:szCs w:val="22"/>
          <w:lang w:val="sl-SI"/>
        </w:rPr>
        <w:t>Vozila za cestni prevoz blaga, najeta brez voznikov</w:t>
      </w:r>
    </w:p>
    <w:p w:rsidR="00426670" w:rsidRPr="00426670" w:rsidRDefault="00426670" w:rsidP="00DD2979">
      <w:pPr>
        <w:keepNext/>
        <w:keepLines/>
        <w:rPr>
          <w:bCs/>
          <w:szCs w:val="22"/>
          <w:highlight w:val="green"/>
          <w:lang w:val="sl-SI"/>
        </w:rPr>
      </w:pPr>
    </w:p>
    <w:p w:rsidR="00426670" w:rsidRPr="00426670" w:rsidRDefault="00426670" w:rsidP="00DD2979">
      <w:pPr>
        <w:keepNext/>
        <w:keepLines/>
        <w:rPr>
          <w:szCs w:val="22"/>
          <w:lang w:val="sl-SI"/>
        </w:rPr>
      </w:pPr>
      <w:r w:rsidRPr="00426670">
        <w:rPr>
          <w:b/>
          <w:szCs w:val="22"/>
          <w:lang w:val="sl-SI"/>
        </w:rPr>
        <w:t>Poročevalec:</w:t>
      </w:r>
      <w:r w:rsidR="00203F86">
        <w:rPr>
          <w:szCs w:val="22"/>
          <w:lang w:val="sl-SI"/>
        </w:rPr>
        <w:t xml:space="preserve"> </w:t>
      </w:r>
      <w:r w:rsidRPr="00426670">
        <w:rPr>
          <w:szCs w:val="22"/>
          <w:lang w:val="sl-SI"/>
        </w:rPr>
        <w:t xml:space="preserve">Brian </w:t>
      </w:r>
      <w:r w:rsidR="00203F86" w:rsidRPr="00426670">
        <w:rPr>
          <w:szCs w:val="22"/>
          <w:lang w:val="sl-SI"/>
        </w:rPr>
        <w:t xml:space="preserve">CURTIS </w:t>
      </w:r>
      <w:r w:rsidRPr="00426670">
        <w:rPr>
          <w:szCs w:val="22"/>
          <w:lang w:val="sl-SI"/>
        </w:rPr>
        <w:t>(delojemalci – UK)</w:t>
      </w:r>
    </w:p>
    <w:p w:rsidR="00426670" w:rsidRPr="00203F86" w:rsidRDefault="00426670" w:rsidP="00DD2979">
      <w:pPr>
        <w:keepNext/>
        <w:keepLines/>
        <w:rPr>
          <w:lang w:val="sl-SI"/>
        </w:rPr>
      </w:pPr>
    </w:p>
    <w:p w:rsidR="00426670" w:rsidRPr="00426670" w:rsidRDefault="00426670" w:rsidP="00DD2979">
      <w:pPr>
        <w:keepNext/>
        <w:keepLines/>
        <w:rPr>
          <w:szCs w:val="22"/>
          <w:lang w:val="sl-SI"/>
        </w:rPr>
      </w:pPr>
      <w:r w:rsidRPr="00426670">
        <w:rPr>
          <w:b/>
          <w:szCs w:val="22"/>
          <w:lang w:val="sl-SI"/>
        </w:rPr>
        <w:t>Referenčna dokumenta:</w:t>
      </w:r>
      <w:r w:rsidRPr="00426670">
        <w:rPr>
          <w:szCs w:val="22"/>
          <w:lang w:val="sl-SI"/>
        </w:rPr>
        <w:tab/>
      </w:r>
      <w:r w:rsidR="00203F86">
        <w:rPr>
          <w:szCs w:val="22"/>
          <w:lang w:val="sl-SI"/>
        </w:rPr>
        <w:t xml:space="preserve"> </w:t>
      </w:r>
      <w:r w:rsidRPr="00426670">
        <w:rPr>
          <w:szCs w:val="22"/>
          <w:lang w:val="sl-SI"/>
        </w:rPr>
        <w:t>COM(2017) 282 final – 2017/0113 (COD)</w:t>
      </w:r>
    </w:p>
    <w:p w:rsidR="00426670" w:rsidRPr="00426670" w:rsidRDefault="00426670" w:rsidP="00DD2979">
      <w:pPr>
        <w:keepNext/>
        <w:keepLines/>
        <w:ind w:left="2325"/>
        <w:rPr>
          <w:szCs w:val="22"/>
          <w:lang w:val="sl-SI"/>
        </w:rPr>
      </w:pPr>
      <w:r w:rsidRPr="00426670">
        <w:rPr>
          <w:szCs w:val="22"/>
          <w:lang w:val="sl-SI"/>
        </w:rPr>
        <w:t>EESC-2017-2882-00-00-AC-TRA</w:t>
      </w:r>
    </w:p>
    <w:p w:rsidR="00426670" w:rsidRPr="00203F86" w:rsidRDefault="00426670" w:rsidP="00DD2979">
      <w:pPr>
        <w:keepNext/>
        <w:keepLines/>
        <w:rPr>
          <w:highlight w:val="green"/>
          <w:lang w:val="sl-SI"/>
        </w:rPr>
      </w:pPr>
    </w:p>
    <w:p w:rsidR="00426670" w:rsidRPr="00426670" w:rsidRDefault="00061745" w:rsidP="00DD2979">
      <w:pPr>
        <w:keepNext/>
        <w:keepLines/>
        <w:rPr>
          <w:b/>
          <w:szCs w:val="22"/>
          <w:lang w:val="sl-SI"/>
        </w:rPr>
      </w:pPr>
      <w:r>
        <w:rPr>
          <w:b/>
          <w:szCs w:val="22"/>
          <w:lang w:val="sl-SI"/>
        </w:rPr>
        <w:t>Glavne točke:</w:t>
      </w:r>
    </w:p>
    <w:p w:rsidR="00426670" w:rsidRPr="00426670" w:rsidRDefault="00426670" w:rsidP="00DD2979">
      <w:pPr>
        <w:keepNext/>
        <w:keepLines/>
        <w:rPr>
          <w:szCs w:val="22"/>
          <w:lang w:val="sl-SI"/>
        </w:rPr>
      </w:pPr>
    </w:p>
    <w:p w:rsidR="00426670" w:rsidRPr="00426670" w:rsidRDefault="00426670" w:rsidP="00DD2979">
      <w:pPr>
        <w:keepNext/>
        <w:keepLines/>
        <w:numPr>
          <w:ilvl w:val="0"/>
          <w:numId w:val="15"/>
        </w:numPr>
        <w:tabs>
          <w:tab w:val="clear" w:pos="0"/>
        </w:tabs>
        <w:ind w:left="567" w:hanging="567"/>
        <w:rPr>
          <w:color w:val="000000"/>
          <w:szCs w:val="22"/>
          <w:lang w:val="sl-SI"/>
        </w:rPr>
      </w:pPr>
      <w:r w:rsidRPr="00426670">
        <w:rPr>
          <w:color w:val="000000"/>
          <w:szCs w:val="22"/>
          <w:lang w:val="sl-SI"/>
        </w:rPr>
        <w:t>Evropski ekonomsko-socialni odbor (EESO) pozdravlja ta nadaljnji korak k odpravi nekaterih preostalih ovir za učinkovit in pravičen enotni trg v evropskem sektorju cestnega prevoza blaga. Namen direktive o spremembi je omogočiti najboljšo uporabo voznih parkov po vsej Evropi, zlasti v času sezonskih konic, ter minimalno stopnjo liberalizacije. Uporaba vozila, najetega v drugi državi članici, naj bi se dovolila za vsaj štiri mesece, da bi podjetjem omogočili nemoteno delovanje v času začasne ali sezonske konične obremenitve in/ali zamenjavo okvarjenih ali poškodovanih vozil.</w:t>
      </w:r>
    </w:p>
    <w:p w:rsidR="00426670" w:rsidRPr="00426670" w:rsidRDefault="00426670" w:rsidP="00DD2979">
      <w:pPr>
        <w:keepNext/>
        <w:keepLines/>
        <w:rPr>
          <w:color w:val="000000"/>
          <w:szCs w:val="22"/>
          <w:lang w:val="sl-SI"/>
        </w:rPr>
      </w:pPr>
    </w:p>
    <w:p w:rsidR="00426670" w:rsidRPr="00426670" w:rsidRDefault="00426670" w:rsidP="00DD2979">
      <w:pPr>
        <w:keepNext/>
        <w:keepLines/>
        <w:numPr>
          <w:ilvl w:val="0"/>
          <w:numId w:val="15"/>
        </w:numPr>
        <w:tabs>
          <w:tab w:val="clear" w:pos="0"/>
        </w:tabs>
        <w:ind w:left="567" w:hanging="567"/>
        <w:rPr>
          <w:color w:val="000000"/>
          <w:szCs w:val="22"/>
          <w:lang w:val="sl-SI"/>
        </w:rPr>
      </w:pPr>
      <w:r w:rsidRPr="00426670">
        <w:rPr>
          <w:color w:val="000000"/>
          <w:szCs w:val="22"/>
          <w:lang w:val="sl-SI"/>
        </w:rPr>
        <w:t>Da bi prevoznike odvrnili od izkoriščanja nižjih stopenj obdavčitve registracije vozil v posameznih državah članicah, bi bilo treba uporabiti ukrepe, kot je na primer omejitev deleža voznega parka v lasti enega prevoznika, ki ga je mogoče začasno prenesti na povezanega prevoznika v drugi državi članici.</w:t>
      </w:r>
    </w:p>
    <w:p w:rsidR="00426670" w:rsidRPr="00426670" w:rsidRDefault="00426670" w:rsidP="00426670">
      <w:pPr>
        <w:rPr>
          <w:color w:val="000000"/>
          <w:szCs w:val="22"/>
          <w:lang w:val="sl-SI"/>
        </w:rPr>
      </w:pPr>
    </w:p>
    <w:p w:rsidR="00426670" w:rsidRPr="00426670" w:rsidRDefault="00426670" w:rsidP="00DD2979">
      <w:pPr>
        <w:numPr>
          <w:ilvl w:val="0"/>
          <w:numId w:val="15"/>
        </w:numPr>
        <w:tabs>
          <w:tab w:val="clear" w:pos="0"/>
        </w:tabs>
        <w:ind w:left="567" w:hanging="567"/>
        <w:rPr>
          <w:color w:val="000000"/>
          <w:szCs w:val="22"/>
          <w:lang w:val="sl-SI"/>
        </w:rPr>
      </w:pPr>
      <w:r w:rsidRPr="00426670">
        <w:rPr>
          <w:color w:val="000000"/>
          <w:szCs w:val="22"/>
          <w:lang w:val="sl-SI"/>
        </w:rPr>
        <w:t>EESO ugotavlja, da je nezakonita kabotaža v sektorju cestnega prevoza kljub vse bolj učinkovitim metodam sledenja še vedno velik problem. Lahko se zgodi, da bi bilo zaradi izvajanja ukrepov iz te direktive tovrstno kabotažo še težje odkriti.</w:t>
      </w:r>
    </w:p>
    <w:p w:rsidR="00426670" w:rsidRPr="00426670" w:rsidRDefault="00426670" w:rsidP="00426670">
      <w:pPr>
        <w:rPr>
          <w:color w:val="000000"/>
          <w:szCs w:val="22"/>
          <w:lang w:val="sl-SI"/>
        </w:rPr>
      </w:pPr>
    </w:p>
    <w:p w:rsidR="00426670" w:rsidRPr="00061745" w:rsidRDefault="00426670" w:rsidP="00426670">
      <w:pPr>
        <w:rPr>
          <w:i/>
          <w:szCs w:val="22"/>
          <w:lang w:val="sl-SI"/>
        </w:rPr>
      </w:pPr>
      <w:r w:rsidRPr="00061745">
        <w:rPr>
          <w:b/>
          <w:i/>
          <w:szCs w:val="22"/>
          <w:lang w:val="sl-SI"/>
        </w:rPr>
        <w:t>Kontaktna oseba:</w:t>
      </w:r>
      <w:r w:rsidR="00061745" w:rsidRPr="00061745">
        <w:rPr>
          <w:i/>
          <w:szCs w:val="22"/>
          <w:lang w:val="sl-SI"/>
        </w:rPr>
        <w:t xml:space="preserve"> </w:t>
      </w:r>
      <w:r w:rsidRPr="00061745">
        <w:rPr>
          <w:i/>
          <w:szCs w:val="22"/>
          <w:lang w:val="sl-SI"/>
        </w:rPr>
        <w:t>António Ribeiro Pereira</w:t>
      </w:r>
    </w:p>
    <w:p w:rsidR="00426670" w:rsidRPr="00061745" w:rsidRDefault="00426670" w:rsidP="00426670">
      <w:pPr>
        <w:rPr>
          <w:i/>
          <w:caps/>
          <w:szCs w:val="22"/>
          <w:lang w:val="sl-SI"/>
        </w:rPr>
      </w:pPr>
      <w:r w:rsidRPr="00061745">
        <w:rPr>
          <w:i/>
          <w:szCs w:val="22"/>
          <w:lang w:val="sl-SI"/>
        </w:rPr>
        <w:t xml:space="preserve">(tel.: 00 32 2 546 9363 – e-naslov: </w:t>
      </w:r>
      <w:hyperlink r:id="rId23">
        <w:r w:rsidRPr="00061745">
          <w:rPr>
            <w:rStyle w:val="Hyperlink"/>
            <w:i/>
            <w:szCs w:val="22"/>
            <w:lang w:val="sl-SI"/>
          </w:rPr>
          <w:t>Antonio.RibeiroPereira@eesc.europa.eu</w:t>
        </w:r>
      </w:hyperlink>
      <w:r w:rsidRPr="00061745">
        <w:rPr>
          <w:i/>
          <w:szCs w:val="22"/>
          <w:lang w:val="sl-SI"/>
        </w:rPr>
        <w:t>)</w:t>
      </w:r>
    </w:p>
    <w:p w:rsidR="00426670" w:rsidRDefault="00426670" w:rsidP="00426670">
      <w:pPr>
        <w:rPr>
          <w:caps/>
          <w:szCs w:val="22"/>
          <w:lang w:val="sl-SI"/>
        </w:rPr>
      </w:pPr>
    </w:p>
    <w:p w:rsidR="00426670" w:rsidRPr="00426670" w:rsidRDefault="00426670" w:rsidP="00426670">
      <w:pPr>
        <w:rPr>
          <w:caps/>
          <w:szCs w:val="22"/>
          <w:lang w:val="sl-SI"/>
        </w:rPr>
      </w:pPr>
    </w:p>
    <w:p w:rsidR="00426670" w:rsidRPr="00DD2979" w:rsidRDefault="00426670" w:rsidP="00544F36">
      <w:pPr>
        <w:pStyle w:val="Heading1"/>
        <w:keepNext/>
        <w:keepLines/>
        <w:overflowPunct/>
        <w:autoSpaceDE/>
        <w:autoSpaceDN/>
        <w:adjustRightInd/>
        <w:spacing w:line="264" w:lineRule="auto"/>
        <w:ind w:left="567" w:hanging="567"/>
        <w:textAlignment w:val="auto"/>
        <w:rPr>
          <w:sz w:val="28"/>
          <w:szCs w:val="28"/>
          <w:lang w:val="sl-SI"/>
        </w:rPr>
      </w:pPr>
      <w:bookmarkStart w:id="15" w:name="_Toc501447757"/>
      <w:bookmarkStart w:id="16" w:name="_Toc502741922"/>
      <w:bookmarkStart w:id="17" w:name="_Toc502829134"/>
      <w:r w:rsidRPr="00481A39">
        <w:rPr>
          <w:b/>
          <w:sz w:val="28"/>
          <w:szCs w:val="28"/>
          <w:lang w:val="sl-SI"/>
        </w:rPr>
        <w:t>OKOLJE</w:t>
      </w:r>
      <w:bookmarkEnd w:id="15"/>
      <w:bookmarkEnd w:id="16"/>
      <w:bookmarkEnd w:id="17"/>
    </w:p>
    <w:p w:rsidR="00426670" w:rsidRPr="00DE4E0B" w:rsidRDefault="00426670" w:rsidP="00544F36">
      <w:pPr>
        <w:keepNext/>
        <w:keepLines/>
        <w:spacing w:line="264" w:lineRule="auto"/>
        <w:rPr>
          <w:highlight w:val="yellow"/>
          <w:lang w:val="sl-SI"/>
        </w:rPr>
      </w:pPr>
    </w:p>
    <w:p w:rsidR="00426670" w:rsidRPr="00A72A08" w:rsidRDefault="00426670" w:rsidP="00544F36">
      <w:pPr>
        <w:keepNext/>
        <w:keepLines/>
        <w:numPr>
          <w:ilvl w:val="0"/>
          <w:numId w:val="2"/>
        </w:numPr>
        <w:spacing w:line="264" w:lineRule="auto"/>
        <w:ind w:hanging="567"/>
        <w:rPr>
          <w:b/>
          <w:i/>
          <w:sz w:val="28"/>
          <w:szCs w:val="22"/>
          <w:lang w:val="sl-SI"/>
        </w:rPr>
      </w:pPr>
      <w:r w:rsidRPr="00A72A08">
        <w:rPr>
          <w:b/>
          <w:i/>
          <w:sz w:val="28"/>
          <w:szCs w:val="22"/>
          <w:lang w:val="sl-SI"/>
        </w:rPr>
        <w:t>Dostop do pravnega varstva na nacionalni ravni v povezavi z ukrepi za i</w:t>
      </w:r>
      <w:r w:rsidR="00DE4E0B">
        <w:rPr>
          <w:b/>
          <w:i/>
          <w:sz w:val="28"/>
          <w:szCs w:val="22"/>
          <w:lang w:val="sl-SI"/>
        </w:rPr>
        <w:t>zvajanje okoljske zakonodaje EU</w:t>
      </w:r>
    </w:p>
    <w:p w:rsidR="00426670" w:rsidRPr="00A72A08" w:rsidRDefault="00426670" w:rsidP="00544F36">
      <w:pPr>
        <w:keepNext/>
        <w:keepLines/>
        <w:spacing w:line="264" w:lineRule="auto"/>
        <w:rPr>
          <w:lang w:val="sl-SI"/>
        </w:rPr>
      </w:pPr>
    </w:p>
    <w:p w:rsidR="00426670" w:rsidRPr="00426670" w:rsidRDefault="00426670" w:rsidP="00544F36">
      <w:pPr>
        <w:keepNext/>
        <w:keepLines/>
        <w:spacing w:line="264" w:lineRule="auto"/>
        <w:rPr>
          <w:szCs w:val="22"/>
          <w:lang w:val="sl-SI"/>
        </w:rPr>
      </w:pPr>
      <w:r w:rsidRPr="00426670">
        <w:rPr>
          <w:b/>
          <w:szCs w:val="22"/>
          <w:lang w:val="sl-SI"/>
        </w:rPr>
        <w:t>Poročevalec:</w:t>
      </w:r>
      <w:r w:rsidR="00DE4E0B">
        <w:rPr>
          <w:szCs w:val="22"/>
          <w:lang w:val="sl-SI"/>
        </w:rPr>
        <w:t xml:space="preserve"> </w:t>
      </w:r>
      <w:r w:rsidRPr="00426670">
        <w:rPr>
          <w:szCs w:val="22"/>
          <w:lang w:val="sl-SI"/>
        </w:rPr>
        <w:t xml:space="preserve">Cillian </w:t>
      </w:r>
      <w:r w:rsidR="00D72B46" w:rsidRPr="00426670">
        <w:rPr>
          <w:szCs w:val="22"/>
          <w:lang w:val="sl-SI"/>
        </w:rPr>
        <w:t xml:space="preserve">LOHAN </w:t>
      </w:r>
      <w:r w:rsidRPr="00426670">
        <w:rPr>
          <w:szCs w:val="22"/>
          <w:lang w:val="sl-SI"/>
        </w:rPr>
        <w:t>(razne dejavnosti – IE)</w:t>
      </w:r>
    </w:p>
    <w:p w:rsidR="00426670" w:rsidRPr="00426670" w:rsidRDefault="00426670" w:rsidP="00544F36">
      <w:pPr>
        <w:keepNext/>
        <w:keepLines/>
        <w:spacing w:line="264" w:lineRule="auto"/>
        <w:rPr>
          <w:szCs w:val="22"/>
          <w:lang w:val="sl-SI"/>
        </w:rPr>
      </w:pPr>
    </w:p>
    <w:p w:rsidR="00426670" w:rsidRPr="00426670" w:rsidRDefault="00426670" w:rsidP="00544F36">
      <w:pPr>
        <w:keepNext/>
        <w:keepLines/>
        <w:spacing w:line="264" w:lineRule="auto"/>
        <w:rPr>
          <w:szCs w:val="22"/>
          <w:lang w:val="sl-SI"/>
        </w:rPr>
      </w:pPr>
      <w:r w:rsidRPr="00426670">
        <w:rPr>
          <w:b/>
          <w:szCs w:val="22"/>
          <w:lang w:val="sl-SI"/>
        </w:rPr>
        <w:t>Referenčna dokumenta:</w:t>
      </w:r>
      <w:r w:rsidRPr="00426670">
        <w:rPr>
          <w:szCs w:val="22"/>
          <w:lang w:val="sl-SI"/>
        </w:rPr>
        <w:tab/>
      </w:r>
      <w:r w:rsidR="00DE4E0B">
        <w:rPr>
          <w:szCs w:val="22"/>
          <w:lang w:val="sl-SI"/>
        </w:rPr>
        <w:t xml:space="preserve"> COM(2017) 2616 final</w:t>
      </w:r>
    </w:p>
    <w:p w:rsidR="00426670" w:rsidRPr="00426670" w:rsidRDefault="00426670" w:rsidP="00544F36">
      <w:pPr>
        <w:keepNext/>
        <w:keepLines/>
        <w:spacing w:line="264" w:lineRule="auto"/>
        <w:ind w:left="2325"/>
        <w:rPr>
          <w:szCs w:val="22"/>
          <w:lang w:val="sl-SI"/>
        </w:rPr>
      </w:pPr>
      <w:r w:rsidRPr="00426670">
        <w:rPr>
          <w:szCs w:val="22"/>
          <w:lang w:val="sl-SI"/>
        </w:rPr>
        <w:t>EESC-2017-02820-00-00-AC-TRA</w:t>
      </w:r>
    </w:p>
    <w:p w:rsidR="00426670" w:rsidRPr="00DE4E0B" w:rsidRDefault="00426670" w:rsidP="00544F36">
      <w:pPr>
        <w:keepNext/>
        <w:keepLines/>
        <w:spacing w:line="264" w:lineRule="auto"/>
        <w:rPr>
          <w:lang w:val="sl-SI"/>
        </w:rPr>
      </w:pPr>
    </w:p>
    <w:p w:rsidR="00426670" w:rsidRPr="00426670" w:rsidRDefault="00426670" w:rsidP="00544F36">
      <w:pPr>
        <w:keepNext/>
        <w:keepLines/>
        <w:spacing w:line="264" w:lineRule="auto"/>
        <w:rPr>
          <w:bCs/>
          <w:iCs/>
          <w:szCs w:val="22"/>
          <w:lang w:val="sl-SI"/>
        </w:rPr>
      </w:pPr>
      <w:r w:rsidRPr="00426670">
        <w:rPr>
          <w:b/>
          <w:szCs w:val="22"/>
          <w:lang w:val="sl-SI"/>
        </w:rPr>
        <w:t>Glavne točke:</w:t>
      </w:r>
    </w:p>
    <w:p w:rsidR="00426670" w:rsidRPr="00426670" w:rsidRDefault="00426670" w:rsidP="00544F36">
      <w:pPr>
        <w:keepNext/>
        <w:keepLines/>
        <w:spacing w:line="264" w:lineRule="auto"/>
        <w:rPr>
          <w:szCs w:val="22"/>
          <w:lang w:val="sl-SI"/>
        </w:rPr>
      </w:pPr>
    </w:p>
    <w:p w:rsidR="00426670" w:rsidRPr="00132CCD" w:rsidRDefault="00426670" w:rsidP="00544F36">
      <w:pPr>
        <w:keepNext/>
        <w:keepLines/>
        <w:numPr>
          <w:ilvl w:val="0"/>
          <w:numId w:val="15"/>
        </w:numPr>
        <w:tabs>
          <w:tab w:val="clear" w:pos="0"/>
        </w:tabs>
        <w:spacing w:line="264" w:lineRule="auto"/>
        <w:ind w:left="567" w:hanging="567"/>
        <w:rPr>
          <w:lang w:val="sl-SI"/>
        </w:rPr>
      </w:pPr>
      <w:r w:rsidRPr="00132CCD">
        <w:rPr>
          <w:lang w:val="sl-SI"/>
        </w:rPr>
        <w:t xml:space="preserve">Razlagalno sporočilo bo nosilcem odločitev na nacionalnih sodiščih in v upravnih strukturah ter podjetjem in državljanom prineslo </w:t>
      </w:r>
      <w:r w:rsidRPr="00544F36">
        <w:rPr>
          <w:lang w:val="sl-SI"/>
        </w:rPr>
        <w:t>dodatne koristi v obliki večje pravne varnosti in jasnosti, če bodo z njim učinkovito seznanjeni. Enak dostop do pravnega varstva v vsej EU je ključni dejavnik, na katerem temeljita enotni trg in usklajeno</w:t>
      </w:r>
      <w:r w:rsidRPr="00132CCD">
        <w:rPr>
          <w:lang w:val="sl-SI"/>
        </w:rPr>
        <w:t xml:space="preserve"> uresničevanje pravic iz zakonodaje EU v Uniji, trgom in vlagateljem pa zagotavlja potrebno pravno varnost in jasnost.</w:t>
      </w:r>
    </w:p>
    <w:p w:rsidR="00426670" w:rsidRPr="00132CCD" w:rsidRDefault="00426670" w:rsidP="00544F36">
      <w:pPr>
        <w:spacing w:line="264" w:lineRule="auto"/>
        <w:rPr>
          <w:lang w:val="sl-SI"/>
        </w:rPr>
      </w:pPr>
    </w:p>
    <w:p w:rsidR="00426670" w:rsidRPr="00132CCD" w:rsidRDefault="00426670" w:rsidP="00544F36">
      <w:pPr>
        <w:numPr>
          <w:ilvl w:val="0"/>
          <w:numId w:val="15"/>
        </w:numPr>
        <w:tabs>
          <w:tab w:val="clear" w:pos="0"/>
        </w:tabs>
        <w:spacing w:line="264" w:lineRule="auto"/>
        <w:ind w:left="567" w:hanging="567"/>
        <w:rPr>
          <w:lang w:val="sl-SI"/>
        </w:rPr>
      </w:pPr>
      <w:r w:rsidRPr="00132CCD">
        <w:rPr>
          <w:lang w:val="sl-SI"/>
        </w:rPr>
        <w:t>EESO poziva h krovni in zavezujoči zakonodaji EU, ki je potrebna zaradi doslednosti in popolnosti pri izvajanju dostopa do pravnega varstva v vsej Uniji. Dopolnila bo to sporočilo o dostopu do prav</w:t>
      </w:r>
      <w:r w:rsidR="00DE4E0B" w:rsidRPr="00132CCD">
        <w:rPr>
          <w:lang w:val="sl-SI"/>
        </w:rPr>
        <w:t>nega varstva, ki je dobrodošlo.</w:t>
      </w:r>
    </w:p>
    <w:p w:rsidR="00426670" w:rsidRPr="00132CCD" w:rsidRDefault="00426670" w:rsidP="00544F36">
      <w:pPr>
        <w:spacing w:line="264" w:lineRule="auto"/>
        <w:rPr>
          <w:lang w:val="sl-SI"/>
        </w:rPr>
      </w:pPr>
    </w:p>
    <w:p w:rsidR="00426670" w:rsidRPr="00132CCD" w:rsidRDefault="00426670" w:rsidP="00544F36">
      <w:pPr>
        <w:numPr>
          <w:ilvl w:val="0"/>
          <w:numId w:val="15"/>
        </w:numPr>
        <w:tabs>
          <w:tab w:val="clear" w:pos="0"/>
        </w:tabs>
        <w:spacing w:line="264" w:lineRule="auto"/>
        <w:ind w:left="567" w:hanging="567"/>
        <w:rPr>
          <w:lang w:val="sl-SI"/>
        </w:rPr>
      </w:pPr>
      <w:r w:rsidRPr="00544F36">
        <w:rPr>
          <w:color w:val="000000"/>
          <w:szCs w:val="22"/>
          <w:lang w:val="sl-SI"/>
        </w:rPr>
        <w:t>Da</w:t>
      </w:r>
      <w:r w:rsidRPr="00132CCD">
        <w:rPr>
          <w:lang w:val="sl-SI"/>
        </w:rPr>
        <w:t xml:space="preserve"> bo sporočilo imelo dejanski učinek, ga mora dopolniti usposabljanje in izobraževanje na ravni držav članic, namenjeno ciljnim skupinam, zlasti pravosodnim organom in upravnim organom, pristojni</w:t>
      </w:r>
      <w:r w:rsidR="00DE4E0B" w:rsidRPr="00132CCD">
        <w:rPr>
          <w:lang w:val="sl-SI"/>
        </w:rPr>
        <w:t>m za revizijo, ter državljanom.</w:t>
      </w:r>
    </w:p>
    <w:p w:rsidR="00426670" w:rsidRPr="00132CCD" w:rsidRDefault="00426670" w:rsidP="00544F36">
      <w:pPr>
        <w:spacing w:line="264" w:lineRule="auto"/>
        <w:rPr>
          <w:lang w:val="sl-SI"/>
        </w:rPr>
      </w:pPr>
    </w:p>
    <w:p w:rsidR="00426670" w:rsidRPr="00132CCD" w:rsidRDefault="00426670" w:rsidP="00544F36">
      <w:pPr>
        <w:numPr>
          <w:ilvl w:val="0"/>
          <w:numId w:val="15"/>
        </w:numPr>
        <w:tabs>
          <w:tab w:val="clear" w:pos="0"/>
        </w:tabs>
        <w:spacing w:line="264" w:lineRule="auto"/>
        <w:ind w:left="567" w:hanging="567"/>
        <w:rPr>
          <w:lang w:val="sl-SI"/>
        </w:rPr>
      </w:pPr>
      <w:r w:rsidRPr="00544F36">
        <w:rPr>
          <w:color w:val="000000"/>
          <w:szCs w:val="22"/>
          <w:lang w:val="sl-SI"/>
        </w:rPr>
        <w:t>Komisija</w:t>
      </w:r>
      <w:r w:rsidRPr="00132CCD">
        <w:rPr>
          <w:lang w:val="sl-SI"/>
        </w:rPr>
        <w:t xml:space="preserve"> mora prednostno nameniti dovolj finančnih in drugih sredstev v podporo tovrstnih načrtov, enako pa velja tudi za države članice.</w:t>
      </w:r>
    </w:p>
    <w:p w:rsidR="00426670" w:rsidRPr="00132CCD" w:rsidRDefault="00426670" w:rsidP="00544F36">
      <w:pPr>
        <w:spacing w:line="264" w:lineRule="auto"/>
        <w:rPr>
          <w:lang w:val="sl-SI"/>
        </w:rPr>
      </w:pPr>
    </w:p>
    <w:p w:rsidR="00426670" w:rsidRPr="00132CCD" w:rsidRDefault="00426670" w:rsidP="00544F36">
      <w:pPr>
        <w:numPr>
          <w:ilvl w:val="0"/>
          <w:numId w:val="15"/>
        </w:numPr>
        <w:tabs>
          <w:tab w:val="clear" w:pos="0"/>
        </w:tabs>
        <w:spacing w:line="264" w:lineRule="auto"/>
        <w:ind w:left="567" w:hanging="567"/>
        <w:rPr>
          <w:lang w:val="sl-SI"/>
        </w:rPr>
      </w:pPr>
      <w:r w:rsidRPr="00544F36">
        <w:rPr>
          <w:color w:val="000000"/>
          <w:szCs w:val="22"/>
          <w:lang w:val="sl-SI"/>
        </w:rPr>
        <w:t>Razlagalno</w:t>
      </w:r>
      <w:r w:rsidRPr="00132CCD">
        <w:rPr>
          <w:lang w:val="sl-SI"/>
        </w:rPr>
        <w:t xml:space="preserve"> sporočilo je treba posodabljati. Vsebino bo treba redno posodabljati, za ciljne skupine pa organizirati osvežitvene tečaje, da se upošteva razvoj sodne prakse Sodišča. Razmisliti bi morali o dinamičnem orodju, ki se posodablja, za civilno družbo, jav</w:t>
      </w:r>
      <w:r w:rsidR="00527DBA" w:rsidRPr="00132CCD">
        <w:rPr>
          <w:lang w:val="sl-SI"/>
        </w:rPr>
        <w:t>ne uprave in pravosodne organe.</w:t>
      </w:r>
    </w:p>
    <w:p w:rsidR="00426670" w:rsidRPr="00132CCD" w:rsidRDefault="00426670" w:rsidP="00544F36">
      <w:pPr>
        <w:spacing w:line="264" w:lineRule="auto"/>
        <w:rPr>
          <w:lang w:val="sl-SI"/>
        </w:rPr>
      </w:pPr>
    </w:p>
    <w:p w:rsidR="00426670" w:rsidRPr="00132CCD" w:rsidRDefault="00426670" w:rsidP="00544F36">
      <w:pPr>
        <w:numPr>
          <w:ilvl w:val="0"/>
          <w:numId w:val="15"/>
        </w:numPr>
        <w:tabs>
          <w:tab w:val="clear" w:pos="0"/>
        </w:tabs>
        <w:spacing w:line="264" w:lineRule="auto"/>
        <w:ind w:left="567" w:hanging="567"/>
        <w:rPr>
          <w:lang w:val="sl-SI"/>
        </w:rPr>
      </w:pPr>
      <w:r w:rsidRPr="00544F36">
        <w:rPr>
          <w:color w:val="000000"/>
          <w:szCs w:val="22"/>
          <w:lang w:val="sl-SI"/>
        </w:rPr>
        <w:t>Prednostno</w:t>
      </w:r>
      <w:r w:rsidRPr="00132CCD">
        <w:rPr>
          <w:lang w:val="sl-SI"/>
        </w:rPr>
        <w:t xml:space="preserve"> bi bilo treba obravnavati povratne informacije strokovnjakov ter vrzeli in manjkajoče navedbe za države članice v sporočilu; med drugim bi bilo treba razmisliti, kako obravnavati področja z vrzelmi </w:t>
      </w:r>
      <w:r w:rsidR="00527DBA" w:rsidRPr="00132CCD">
        <w:rPr>
          <w:lang w:val="sl-SI"/>
        </w:rPr>
        <w:t>v sedanji sodni praksi Sodišča.</w:t>
      </w:r>
    </w:p>
    <w:p w:rsidR="00426670" w:rsidRPr="00132CCD" w:rsidRDefault="00426670" w:rsidP="00544F36">
      <w:pPr>
        <w:spacing w:line="264" w:lineRule="auto"/>
        <w:rPr>
          <w:lang w:val="sl-SI"/>
        </w:rPr>
      </w:pPr>
    </w:p>
    <w:p w:rsidR="00426670" w:rsidRPr="00132CCD" w:rsidRDefault="00426670" w:rsidP="00544F36">
      <w:pPr>
        <w:numPr>
          <w:ilvl w:val="0"/>
          <w:numId w:val="15"/>
        </w:numPr>
        <w:tabs>
          <w:tab w:val="clear" w:pos="0"/>
        </w:tabs>
        <w:spacing w:line="264" w:lineRule="auto"/>
        <w:ind w:left="567" w:hanging="567"/>
        <w:rPr>
          <w:lang w:val="sl-SI"/>
        </w:rPr>
      </w:pPr>
      <w:r w:rsidRPr="00132CCD">
        <w:rPr>
          <w:lang w:val="sl-SI"/>
        </w:rPr>
        <w:t>EESO opozarja na omejitve razlagalnega sporočila, saj ne zajema ugotovitev neodvisnega odbora Aarhuške konvencije za skladnost. To pomembno in uporabno gradivo lahko dopolni sporočilo Komisije ter podpre nosilce odločanja in državljane pri dostopu do pravnega varstva. Nanj se je treba sklicevati. EESO podpira Aarhuško konvencijo in njeno polno izvajanje s strani EU in v EU. Zato je ključno, da njene pogodbenice v celoti podprejo ugotovitve v zvezi z izpolnjevanjem obveznosti, ki jih je pripravil odbor Aarhuške konvencije za skladnost, ki so ga ustanovile.</w:t>
      </w:r>
    </w:p>
    <w:p w:rsidR="00426670" w:rsidRPr="00132CCD" w:rsidRDefault="00426670" w:rsidP="00544F36">
      <w:pPr>
        <w:spacing w:line="264" w:lineRule="auto"/>
        <w:rPr>
          <w:lang w:val="sl-SI"/>
        </w:rPr>
      </w:pPr>
    </w:p>
    <w:p w:rsidR="00426670" w:rsidRPr="00132CCD" w:rsidRDefault="00426670" w:rsidP="00544F36">
      <w:pPr>
        <w:spacing w:line="264" w:lineRule="auto"/>
        <w:rPr>
          <w:i/>
          <w:iCs/>
          <w:szCs w:val="22"/>
          <w:lang w:val="sl-SI"/>
        </w:rPr>
      </w:pPr>
      <w:r w:rsidRPr="00132CCD">
        <w:rPr>
          <w:b/>
          <w:i/>
          <w:szCs w:val="22"/>
          <w:lang w:val="sl-SI"/>
        </w:rPr>
        <w:t>Kontaktna oseba:</w:t>
      </w:r>
      <w:r w:rsidR="00DE4E0B" w:rsidRPr="00132CCD">
        <w:rPr>
          <w:i/>
          <w:szCs w:val="22"/>
          <w:lang w:val="sl-SI"/>
        </w:rPr>
        <w:t xml:space="preserve"> Stella Brozek-Everaert</w:t>
      </w:r>
    </w:p>
    <w:p w:rsidR="00426670" w:rsidRPr="00DE4E0B" w:rsidRDefault="00DE4E0B" w:rsidP="00544F36">
      <w:pPr>
        <w:spacing w:line="264" w:lineRule="auto"/>
        <w:rPr>
          <w:i/>
          <w:caps/>
          <w:szCs w:val="22"/>
          <w:lang w:val="sl-SI"/>
        </w:rPr>
      </w:pPr>
      <w:r w:rsidRPr="00132CCD">
        <w:rPr>
          <w:i/>
          <w:szCs w:val="22"/>
          <w:lang w:val="sl-SI"/>
        </w:rPr>
        <w:t>(tel.: 00 32 2 546 92</w:t>
      </w:r>
      <w:r w:rsidR="00426670" w:rsidRPr="00132CCD">
        <w:rPr>
          <w:i/>
          <w:szCs w:val="22"/>
          <w:lang w:val="sl-SI"/>
        </w:rPr>
        <w:t xml:space="preserve">02 – e-naslov: </w:t>
      </w:r>
      <w:hyperlink r:id="rId24">
        <w:r w:rsidR="00426670" w:rsidRPr="00132CCD">
          <w:rPr>
            <w:rStyle w:val="Hyperlink"/>
            <w:i/>
            <w:szCs w:val="22"/>
            <w:lang w:val="sl-SI"/>
          </w:rPr>
          <w:t>Stella.BrozekEveraert@eesc.europa.eu</w:t>
        </w:r>
      </w:hyperlink>
      <w:r w:rsidR="00426670" w:rsidRPr="00DE4E0B">
        <w:rPr>
          <w:i/>
          <w:szCs w:val="22"/>
          <w:lang w:val="sl-SI"/>
        </w:rPr>
        <w:t>)</w:t>
      </w:r>
    </w:p>
    <w:p w:rsidR="00544F36" w:rsidRPr="00DE4E0B" w:rsidRDefault="00544F36" w:rsidP="00544F36">
      <w:pPr>
        <w:spacing w:line="264" w:lineRule="auto"/>
        <w:rPr>
          <w:lang w:val="sl-SI"/>
        </w:rPr>
      </w:pPr>
    </w:p>
    <w:p w:rsidR="00426670" w:rsidRPr="00A72A08" w:rsidRDefault="00426670" w:rsidP="00A72A08">
      <w:pPr>
        <w:numPr>
          <w:ilvl w:val="0"/>
          <w:numId w:val="2"/>
        </w:numPr>
        <w:ind w:hanging="567"/>
        <w:rPr>
          <w:b/>
          <w:i/>
          <w:sz w:val="28"/>
          <w:szCs w:val="22"/>
          <w:lang w:val="sl-SI"/>
        </w:rPr>
      </w:pPr>
      <w:r w:rsidRPr="00A72A08">
        <w:rPr>
          <w:b/>
          <w:i/>
          <w:sz w:val="28"/>
          <w:szCs w:val="22"/>
          <w:lang w:val="sl-SI"/>
        </w:rPr>
        <w:t>Akcijski načrt za naravo, ljudi in gospodarstvo</w:t>
      </w:r>
    </w:p>
    <w:p w:rsidR="00426670" w:rsidRPr="00DE4E0B" w:rsidRDefault="00426670" w:rsidP="00426670">
      <w:pPr>
        <w:rPr>
          <w:lang w:val="sl-SI"/>
        </w:rPr>
      </w:pPr>
    </w:p>
    <w:p w:rsidR="00426670" w:rsidRPr="00426670" w:rsidRDefault="00426670" w:rsidP="00426670">
      <w:pPr>
        <w:rPr>
          <w:szCs w:val="22"/>
          <w:lang w:val="sl-SI"/>
        </w:rPr>
      </w:pPr>
      <w:r w:rsidRPr="00426670">
        <w:rPr>
          <w:b/>
          <w:szCs w:val="22"/>
          <w:lang w:val="sl-SI"/>
        </w:rPr>
        <w:t>Poročevalec:</w:t>
      </w:r>
      <w:r w:rsidR="00DE4E0B">
        <w:rPr>
          <w:szCs w:val="22"/>
          <w:lang w:val="sl-SI"/>
        </w:rPr>
        <w:t xml:space="preserve"> </w:t>
      </w:r>
      <w:r w:rsidRPr="00426670">
        <w:rPr>
          <w:szCs w:val="22"/>
          <w:lang w:val="sl-SI"/>
        </w:rPr>
        <w:t xml:space="preserve">Lutz </w:t>
      </w:r>
      <w:r w:rsidR="00544F36" w:rsidRPr="00426670">
        <w:rPr>
          <w:szCs w:val="22"/>
          <w:lang w:val="sl-SI"/>
        </w:rPr>
        <w:t xml:space="preserve">RIBBE </w:t>
      </w:r>
      <w:r w:rsidRPr="00426670">
        <w:rPr>
          <w:szCs w:val="22"/>
          <w:lang w:val="sl-SI"/>
        </w:rPr>
        <w:t>(razne dejavnosti – DE)</w:t>
      </w:r>
    </w:p>
    <w:p w:rsidR="00426670" w:rsidRPr="00DE4E0B" w:rsidRDefault="00426670" w:rsidP="00426670">
      <w:pPr>
        <w:rPr>
          <w:lang w:val="sl-SI"/>
        </w:rPr>
      </w:pPr>
    </w:p>
    <w:p w:rsidR="00426670" w:rsidRPr="00426670" w:rsidRDefault="00426670" w:rsidP="00426670">
      <w:pPr>
        <w:rPr>
          <w:szCs w:val="22"/>
          <w:lang w:val="sl-SI"/>
        </w:rPr>
      </w:pPr>
      <w:r w:rsidRPr="00426670">
        <w:rPr>
          <w:b/>
          <w:szCs w:val="22"/>
          <w:lang w:val="sl-SI"/>
        </w:rPr>
        <w:t>Referenčna dokumenta:</w:t>
      </w:r>
      <w:r w:rsidRPr="00426670">
        <w:rPr>
          <w:szCs w:val="22"/>
          <w:lang w:val="sl-SI"/>
        </w:rPr>
        <w:tab/>
      </w:r>
      <w:r w:rsidR="00DE4E0B">
        <w:rPr>
          <w:szCs w:val="22"/>
          <w:lang w:val="sl-SI"/>
        </w:rPr>
        <w:t xml:space="preserve"> </w:t>
      </w:r>
      <w:r w:rsidRPr="00426670">
        <w:rPr>
          <w:szCs w:val="22"/>
          <w:lang w:val="sl-SI"/>
        </w:rPr>
        <w:t>COM(2017) 198 final</w:t>
      </w:r>
    </w:p>
    <w:p w:rsidR="00426670" w:rsidRPr="00426670" w:rsidRDefault="00426670" w:rsidP="00DE4E0B">
      <w:pPr>
        <w:ind w:left="2325"/>
        <w:rPr>
          <w:szCs w:val="22"/>
          <w:lang w:val="sl-SI"/>
        </w:rPr>
      </w:pPr>
      <w:r w:rsidRPr="00426670">
        <w:rPr>
          <w:szCs w:val="22"/>
          <w:lang w:val="sl-SI"/>
        </w:rPr>
        <w:t>EESC-2017-03013-00-00-AC-TRA</w:t>
      </w:r>
    </w:p>
    <w:p w:rsidR="00426670" w:rsidRPr="00DE4E0B" w:rsidRDefault="00426670" w:rsidP="00426670">
      <w:pPr>
        <w:rPr>
          <w:lang w:val="sl-SI"/>
        </w:rPr>
      </w:pPr>
    </w:p>
    <w:p w:rsidR="00426670" w:rsidRPr="00426670" w:rsidRDefault="00426670" w:rsidP="00426670">
      <w:pPr>
        <w:rPr>
          <w:b/>
          <w:iCs/>
          <w:szCs w:val="22"/>
          <w:highlight w:val="yellow"/>
          <w:u w:val="single"/>
          <w:lang w:val="sl-SI"/>
        </w:rPr>
      </w:pPr>
      <w:r w:rsidRPr="00426670">
        <w:rPr>
          <w:b/>
          <w:szCs w:val="22"/>
          <w:lang w:val="sl-SI"/>
        </w:rPr>
        <w:t>Glavne točke:</w:t>
      </w:r>
    </w:p>
    <w:p w:rsidR="00426670" w:rsidRPr="00426670" w:rsidRDefault="00426670" w:rsidP="00426670">
      <w:pPr>
        <w:rPr>
          <w:iCs/>
          <w:szCs w:val="22"/>
          <w:highlight w:val="yellow"/>
          <w:lang w:val="sl-SI"/>
        </w:rPr>
      </w:pPr>
    </w:p>
    <w:p w:rsidR="00426670" w:rsidRPr="00132CCD" w:rsidRDefault="00426670" w:rsidP="005E2132">
      <w:pPr>
        <w:numPr>
          <w:ilvl w:val="0"/>
          <w:numId w:val="15"/>
        </w:numPr>
        <w:tabs>
          <w:tab w:val="clear" w:pos="0"/>
        </w:tabs>
        <w:ind w:left="567" w:hanging="567"/>
        <w:rPr>
          <w:lang w:val="sl-SI"/>
        </w:rPr>
      </w:pPr>
      <w:r w:rsidRPr="00132CCD">
        <w:rPr>
          <w:lang w:val="sl-SI"/>
        </w:rPr>
        <w:t>EESO pozdravlja rezultat preverjanja ustreznosti direktiv EU o pticah in habitatih, saj se je izkazalo, da direktivi kot temelja širše politike EU za biotsko raznovrstnost ustrezata svojemu namenu, vendar pa je treba njuno izvajanje bistveno izboljšati.</w:t>
      </w:r>
    </w:p>
    <w:p w:rsidR="00426670" w:rsidRPr="00132CCD" w:rsidRDefault="00426670" w:rsidP="0051369E">
      <w:pPr>
        <w:rPr>
          <w:lang w:val="sl-SI"/>
        </w:rPr>
      </w:pPr>
    </w:p>
    <w:p w:rsidR="00426670" w:rsidRPr="00132CCD" w:rsidRDefault="00426670" w:rsidP="005E2132">
      <w:pPr>
        <w:numPr>
          <w:ilvl w:val="0"/>
          <w:numId w:val="15"/>
        </w:numPr>
        <w:tabs>
          <w:tab w:val="clear" w:pos="0"/>
        </w:tabs>
        <w:ind w:left="567" w:hanging="567"/>
        <w:rPr>
          <w:lang w:val="sl-SI"/>
        </w:rPr>
      </w:pPr>
      <w:r w:rsidRPr="00132CCD">
        <w:rPr>
          <w:lang w:val="sl-SI"/>
        </w:rPr>
        <w:t>Nejasno je, kako je povezano s sedanjo strategijo za biotsko raznovrstnost, zlasti ker se vsebinsko z njo prekriva, novih elementov pa je zelo malo. Po mnenju Odbora bi bila ocena in dopolnitev sedanje strategije za biotsko raznovrstnost ustreznejša rešitev.</w:t>
      </w:r>
    </w:p>
    <w:p w:rsidR="00426670" w:rsidRPr="00132CCD" w:rsidRDefault="00426670" w:rsidP="0051369E">
      <w:pPr>
        <w:rPr>
          <w:lang w:val="sl-SI"/>
        </w:rPr>
      </w:pPr>
    </w:p>
    <w:p w:rsidR="00426670" w:rsidRPr="00132CCD" w:rsidRDefault="00426670" w:rsidP="005E2132">
      <w:pPr>
        <w:numPr>
          <w:ilvl w:val="0"/>
          <w:numId w:val="15"/>
        </w:numPr>
        <w:tabs>
          <w:tab w:val="clear" w:pos="0"/>
        </w:tabs>
        <w:ind w:left="567" w:hanging="567"/>
        <w:rPr>
          <w:lang w:val="sl-SI"/>
        </w:rPr>
      </w:pPr>
      <w:r w:rsidRPr="00132CCD">
        <w:rPr>
          <w:lang w:val="sl-SI"/>
        </w:rPr>
        <w:t>Odločilna ovira za učinkovito politiko biotske raznovrstnosti tiči v dejstvu, da ukrepi za spodbujanje biotske raznovrstnosti za lastnike in uporabnike zemljišč danes večinoma niso vir dobička, temveč jim povzročajo stroške. Ukrepi se morajo tistim, ki naj bi jih uresničili, finančno izplačati. Nobeden od programov, ki so jih doslej uvedle EU in države članice, ni resnično odpravil te dileme, žal tudi ne akcijski načrt.</w:t>
      </w:r>
    </w:p>
    <w:p w:rsidR="00426670" w:rsidRPr="00132CCD" w:rsidRDefault="00426670" w:rsidP="0051369E">
      <w:pPr>
        <w:rPr>
          <w:lang w:val="sl-SI"/>
        </w:rPr>
      </w:pPr>
    </w:p>
    <w:p w:rsidR="00426670" w:rsidRPr="00132CCD" w:rsidRDefault="00426670" w:rsidP="005E2132">
      <w:pPr>
        <w:numPr>
          <w:ilvl w:val="0"/>
          <w:numId w:val="15"/>
        </w:numPr>
        <w:tabs>
          <w:tab w:val="clear" w:pos="0"/>
        </w:tabs>
        <w:ind w:left="567" w:hanging="567"/>
        <w:rPr>
          <w:lang w:val="sl-SI"/>
        </w:rPr>
      </w:pPr>
      <w:r w:rsidRPr="00132CCD">
        <w:rPr>
          <w:lang w:val="sl-SI"/>
        </w:rPr>
        <w:t>Pomanjkanje financiranja ni le osrednji problem pri doseganju dogovorjenih ciljev glede biotske raznovrstnosti, ampak je tipično za vse neuspehe evropske politike. Sprejemajo se zakoni, ki povzročajo stroške, vendar brez dogovora o tem, kdo bo te stroške kril oziroma kako.</w:t>
      </w:r>
    </w:p>
    <w:p w:rsidR="00426670" w:rsidRPr="00132CCD" w:rsidRDefault="00426670" w:rsidP="0051369E">
      <w:pPr>
        <w:rPr>
          <w:lang w:val="sl-SI"/>
        </w:rPr>
      </w:pPr>
    </w:p>
    <w:p w:rsidR="00426670" w:rsidRPr="00132CCD" w:rsidRDefault="00426670" w:rsidP="005E2132">
      <w:pPr>
        <w:numPr>
          <w:ilvl w:val="0"/>
          <w:numId w:val="15"/>
        </w:numPr>
        <w:tabs>
          <w:tab w:val="clear" w:pos="0"/>
        </w:tabs>
        <w:ind w:left="567" w:hanging="567"/>
        <w:rPr>
          <w:lang w:val="sl-SI"/>
        </w:rPr>
      </w:pPr>
      <w:r w:rsidRPr="00132CCD">
        <w:rPr>
          <w:lang w:val="sl-SI"/>
        </w:rPr>
        <w:t xml:space="preserve">EESO Komisijo še enkrat poziva, naj pripravi posodobljen izračun stroškov omrežja </w:t>
      </w:r>
      <w:r w:rsidR="004332C8">
        <w:rPr>
          <w:lang w:val="sl-SI"/>
        </w:rPr>
        <w:t>Natura 2000</w:t>
      </w:r>
      <w:r w:rsidRPr="00132CCD">
        <w:rPr>
          <w:lang w:val="sl-SI"/>
        </w:rPr>
        <w:t>. Omenje</w:t>
      </w:r>
      <w:r w:rsidR="004332C8">
        <w:rPr>
          <w:lang w:val="sl-SI"/>
        </w:rPr>
        <w:t>ni znesek v višini 6,1 milijarde </w:t>
      </w:r>
      <w:r w:rsidRPr="00132CCD">
        <w:rPr>
          <w:lang w:val="sl-SI"/>
        </w:rPr>
        <w:t>EUR, ki naj bi bil potreben za to omrežje, po mnenju EESO ni ustrezen, saj so po vsej verjetnosti potrebna dvakrat do trikrat višja sredstva.</w:t>
      </w:r>
    </w:p>
    <w:p w:rsidR="00426670" w:rsidRPr="00132CCD" w:rsidRDefault="00426670" w:rsidP="0051369E">
      <w:pPr>
        <w:rPr>
          <w:lang w:val="sl-SI"/>
        </w:rPr>
      </w:pPr>
    </w:p>
    <w:p w:rsidR="00426670" w:rsidRPr="00132CCD" w:rsidRDefault="00426670" w:rsidP="005E2132">
      <w:pPr>
        <w:numPr>
          <w:ilvl w:val="0"/>
          <w:numId w:val="15"/>
        </w:numPr>
        <w:tabs>
          <w:tab w:val="clear" w:pos="0"/>
        </w:tabs>
        <w:ind w:left="567" w:hanging="567"/>
        <w:rPr>
          <w:lang w:val="sl-SI"/>
        </w:rPr>
      </w:pPr>
      <w:r w:rsidRPr="00132CCD">
        <w:rPr>
          <w:lang w:val="sl-SI"/>
        </w:rPr>
        <w:t>Zato EESO meni, da je priprava dolgoročne strategije za pokritje potreb po financiranju na področju politike biotske raznovrstnosti neizogibna. Dobra priložnost za to bi bila lahko razprava o finančni perspektivi za obdobje po letu 2021, toda niti akcijski načrt niti dosedanji pristopi, navedeni v dokumentu Razmislek o prihodnosti financ EU, ne kažejo, da bi se stanje lahko bistveno izboljšalo.</w:t>
      </w:r>
    </w:p>
    <w:p w:rsidR="00426670" w:rsidRPr="00132CCD" w:rsidRDefault="00426670" w:rsidP="0051369E">
      <w:pPr>
        <w:rPr>
          <w:highlight w:val="yellow"/>
          <w:lang w:val="sl-SI"/>
        </w:rPr>
      </w:pPr>
    </w:p>
    <w:p w:rsidR="00426670" w:rsidRPr="00132CCD" w:rsidRDefault="00426670" w:rsidP="00426670">
      <w:pPr>
        <w:rPr>
          <w:bCs/>
          <w:i/>
          <w:iCs/>
          <w:szCs w:val="22"/>
          <w:lang w:val="sl-SI"/>
        </w:rPr>
      </w:pPr>
      <w:r w:rsidRPr="00132CCD">
        <w:rPr>
          <w:b/>
          <w:i/>
          <w:szCs w:val="22"/>
          <w:lang w:val="sl-SI"/>
        </w:rPr>
        <w:t>Kontaktna oseba:</w:t>
      </w:r>
      <w:r w:rsidR="0051369E" w:rsidRPr="00132CCD">
        <w:rPr>
          <w:i/>
          <w:szCs w:val="22"/>
          <w:lang w:val="sl-SI"/>
        </w:rPr>
        <w:t xml:space="preserve"> </w:t>
      </w:r>
      <w:r w:rsidRPr="00132CCD">
        <w:rPr>
          <w:i/>
          <w:szCs w:val="22"/>
          <w:lang w:val="sl-SI"/>
        </w:rPr>
        <w:t>Conrad Ganslandt</w:t>
      </w:r>
    </w:p>
    <w:p w:rsidR="00426670" w:rsidRPr="0051369E" w:rsidRDefault="0051369E" w:rsidP="00426670">
      <w:pPr>
        <w:rPr>
          <w:i/>
          <w:iCs/>
          <w:szCs w:val="22"/>
          <w:lang w:val="sl-SI"/>
        </w:rPr>
      </w:pPr>
      <w:r>
        <w:rPr>
          <w:i/>
          <w:szCs w:val="22"/>
          <w:lang w:val="sl-SI"/>
        </w:rPr>
        <w:t>(tel.: 00 32 2 546 82</w:t>
      </w:r>
      <w:r w:rsidR="00426670" w:rsidRPr="0051369E">
        <w:rPr>
          <w:i/>
          <w:szCs w:val="22"/>
          <w:lang w:val="sl-SI"/>
        </w:rPr>
        <w:t xml:space="preserve">75 – e-naslov: </w:t>
      </w:r>
      <w:hyperlink r:id="rId25">
        <w:r w:rsidR="00426670" w:rsidRPr="0051369E">
          <w:rPr>
            <w:rStyle w:val="Hyperlink"/>
            <w:i/>
            <w:szCs w:val="22"/>
            <w:lang w:val="sl-SI"/>
          </w:rPr>
          <w:t>Conrad.Ganslandt@eesc.europa.eu</w:t>
        </w:r>
      </w:hyperlink>
      <w:r w:rsidR="00426670" w:rsidRPr="0051369E">
        <w:rPr>
          <w:i/>
          <w:szCs w:val="22"/>
          <w:lang w:val="sl-SI"/>
        </w:rPr>
        <w:t>)</w:t>
      </w:r>
    </w:p>
    <w:p w:rsidR="00426670" w:rsidRPr="00ED1158" w:rsidRDefault="00426670" w:rsidP="00426670">
      <w:pPr>
        <w:rPr>
          <w:lang w:val="sl-SI"/>
        </w:rPr>
      </w:pPr>
    </w:p>
    <w:p w:rsidR="00426670" w:rsidRPr="00A72A08" w:rsidRDefault="00426670" w:rsidP="005E2132">
      <w:pPr>
        <w:keepNext/>
        <w:keepLines/>
        <w:numPr>
          <w:ilvl w:val="0"/>
          <w:numId w:val="2"/>
        </w:numPr>
        <w:ind w:hanging="567"/>
        <w:rPr>
          <w:b/>
          <w:i/>
          <w:sz w:val="28"/>
          <w:szCs w:val="22"/>
          <w:lang w:val="sl-SI"/>
        </w:rPr>
      </w:pPr>
      <w:r w:rsidRPr="00A72A08">
        <w:rPr>
          <w:b/>
          <w:i/>
          <w:sz w:val="28"/>
          <w:szCs w:val="22"/>
          <w:lang w:val="sl-SI"/>
        </w:rPr>
        <w:t>Prednosti pristopa lokalnega razvoja, ki ga vodi skupnost (raziskovalno mnenje na zaprosilo estonskega predsedstva)</w:t>
      </w:r>
    </w:p>
    <w:p w:rsidR="00426670" w:rsidRPr="00ED1158" w:rsidRDefault="00426670" w:rsidP="005E2132">
      <w:pPr>
        <w:keepNext/>
        <w:keepLines/>
      </w:pPr>
    </w:p>
    <w:p w:rsidR="00426670" w:rsidRPr="00426670" w:rsidRDefault="00426670" w:rsidP="005E2132">
      <w:pPr>
        <w:keepNext/>
        <w:keepLines/>
        <w:rPr>
          <w:szCs w:val="22"/>
          <w:lang w:val="sl-SI"/>
        </w:rPr>
      </w:pPr>
      <w:r w:rsidRPr="00426670">
        <w:rPr>
          <w:b/>
          <w:szCs w:val="22"/>
          <w:lang w:val="sl-SI"/>
        </w:rPr>
        <w:t>Poročevalec:</w:t>
      </w:r>
      <w:r w:rsidR="00ED1158">
        <w:rPr>
          <w:szCs w:val="22"/>
          <w:lang w:val="sl-SI"/>
        </w:rPr>
        <w:t xml:space="preserve"> </w:t>
      </w:r>
      <w:r w:rsidRPr="00426670">
        <w:rPr>
          <w:szCs w:val="22"/>
          <w:lang w:val="sl-SI"/>
        </w:rPr>
        <w:t xml:space="preserve">Roman </w:t>
      </w:r>
      <w:r w:rsidR="005E2132" w:rsidRPr="00426670">
        <w:rPr>
          <w:szCs w:val="22"/>
          <w:lang w:val="sl-SI"/>
        </w:rPr>
        <w:t xml:space="preserve">HAKEN </w:t>
      </w:r>
      <w:r w:rsidRPr="00426670">
        <w:rPr>
          <w:szCs w:val="22"/>
          <w:lang w:val="sl-SI"/>
        </w:rPr>
        <w:t>(razne dejavnosti – CZ)</w:t>
      </w:r>
    </w:p>
    <w:p w:rsidR="00426670" w:rsidRPr="00ED1158" w:rsidRDefault="00426670" w:rsidP="005E2132">
      <w:pPr>
        <w:keepNext/>
        <w:keepLines/>
        <w:rPr>
          <w:lang w:val="sl-SI"/>
        </w:rPr>
      </w:pPr>
    </w:p>
    <w:p w:rsidR="00426670" w:rsidRPr="00426670" w:rsidRDefault="00426670" w:rsidP="005E2132">
      <w:pPr>
        <w:keepNext/>
        <w:keepLines/>
        <w:rPr>
          <w:szCs w:val="22"/>
          <w:lang w:val="sl-SI"/>
        </w:rPr>
      </w:pPr>
      <w:r w:rsidRPr="00426670">
        <w:rPr>
          <w:b/>
          <w:szCs w:val="22"/>
          <w:lang w:val="sl-SI"/>
        </w:rPr>
        <w:t>Referenčni dokument:</w:t>
      </w:r>
      <w:r w:rsidR="00ED1158">
        <w:rPr>
          <w:szCs w:val="22"/>
          <w:lang w:val="sl-SI"/>
        </w:rPr>
        <w:t xml:space="preserve"> </w:t>
      </w:r>
      <w:r w:rsidRPr="00426670">
        <w:rPr>
          <w:szCs w:val="22"/>
          <w:lang w:val="sl-SI"/>
        </w:rPr>
        <w:t>EESC-2017-04384-00-00-AC-TRA</w:t>
      </w:r>
    </w:p>
    <w:p w:rsidR="00426670" w:rsidRPr="00426670" w:rsidRDefault="00426670" w:rsidP="005E2132">
      <w:pPr>
        <w:keepNext/>
        <w:keepLines/>
        <w:rPr>
          <w:lang w:val="sl-SI"/>
        </w:rPr>
      </w:pPr>
    </w:p>
    <w:p w:rsidR="00426670" w:rsidRPr="00426670" w:rsidRDefault="00426670" w:rsidP="00426670">
      <w:pPr>
        <w:rPr>
          <w:b/>
          <w:szCs w:val="22"/>
          <w:lang w:val="sl-SI"/>
        </w:rPr>
      </w:pPr>
      <w:r w:rsidRPr="00426670">
        <w:rPr>
          <w:b/>
          <w:szCs w:val="22"/>
          <w:lang w:val="sl-SI"/>
        </w:rPr>
        <w:t>Glavne točke:</w:t>
      </w:r>
    </w:p>
    <w:p w:rsidR="00426670" w:rsidRPr="00426670" w:rsidRDefault="00426670" w:rsidP="00ED1158">
      <w:pPr>
        <w:rPr>
          <w:lang w:val="sl-SI"/>
        </w:rPr>
      </w:pPr>
    </w:p>
    <w:p w:rsidR="00426670" w:rsidRPr="00426670" w:rsidRDefault="00426670" w:rsidP="00426670">
      <w:pPr>
        <w:rPr>
          <w:szCs w:val="22"/>
          <w:lang w:val="sl-SI"/>
        </w:rPr>
      </w:pPr>
      <w:r w:rsidRPr="00426670">
        <w:rPr>
          <w:szCs w:val="22"/>
          <w:lang w:val="sl-SI"/>
        </w:rPr>
        <w:t>Evropski ekonomsko-socialni odbor (EESO) je prepričan, da bi imel lahko lokalni razvoj, ki ga vodi skupnost, kot uspešno evropsko orodje za lokalni razvoj veliko prednosti.</w:t>
      </w:r>
    </w:p>
    <w:p w:rsidR="00426670" w:rsidRPr="00426670" w:rsidRDefault="00426670" w:rsidP="00ED1158">
      <w:pPr>
        <w:rPr>
          <w:lang w:val="sl-SI"/>
        </w:rPr>
      </w:pPr>
    </w:p>
    <w:p w:rsidR="00426670" w:rsidRPr="00426670" w:rsidRDefault="00426670" w:rsidP="00426670">
      <w:pPr>
        <w:rPr>
          <w:szCs w:val="22"/>
          <w:lang w:val="sl-SI"/>
        </w:rPr>
      </w:pPr>
      <w:r w:rsidRPr="00426670">
        <w:rPr>
          <w:szCs w:val="22"/>
          <w:lang w:val="sl-SI"/>
        </w:rPr>
        <w:t>EESO priporoča, naj se:</w:t>
      </w:r>
    </w:p>
    <w:p w:rsidR="00426670" w:rsidRPr="00426670" w:rsidRDefault="00426670" w:rsidP="00ED1158">
      <w:pPr>
        <w:rPr>
          <w:lang w:val="sl-SI"/>
        </w:rPr>
      </w:pPr>
    </w:p>
    <w:p w:rsidR="00426670" w:rsidRDefault="00426670" w:rsidP="005E2132">
      <w:pPr>
        <w:numPr>
          <w:ilvl w:val="0"/>
          <w:numId w:val="15"/>
        </w:numPr>
        <w:tabs>
          <w:tab w:val="clear" w:pos="0"/>
        </w:tabs>
        <w:ind w:left="567" w:hanging="567"/>
        <w:rPr>
          <w:lang w:val="sl-SI"/>
        </w:rPr>
      </w:pPr>
      <w:r w:rsidRPr="00EE2BEF">
        <w:rPr>
          <w:lang w:val="sl-SI"/>
        </w:rPr>
        <w:t>v EU oblikuje jasna predstava o obveznem financiranju lokalnega razvoja, ki ga vodi skupnost, iz več skladov, s čimer bi poskrbeli za uporabo tega pristopa na vseh vrstah območij: podeželskih (skupaj z oddaljenimi, gorskimi in otoškimi območji), mestnih in obalnih;</w:t>
      </w:r>
    </w:p>
    <w:p w:rsidR="006F41CF" w:rsidRPr="00EE2BEF" w:rsidRDefault="006F41CF" w:rsidP="006F41CF">
      <w:pPr>
        <w:rPr>
          <w:lang w:val="sl-SI"/>
        </w:rPr>
      </w:pPr>
    </w:p>
    <w:p w:rsidR="00426670" w:rsidRDefault="00426670" w:rsidP="005E2132">
      <w:pPr>
        <w:numPr>
          <w:ilvl w:val="0"/>
          <w:numId w:val="15"/>
        </w:numPr>
        <w:tabs>
          <w:tab w:val="clear" w:pos="0"/>
        </w:tabs>
        <w:ind w:left="567" w:hanging="567"/>
        <w:rPr>
          <w:lang w:val="sl-SI"/>
        </w:rPr>
      </w:pPr>
      <w:r w:rsidRPr="00EE2BEF">
        <w:rPr>
          <w:lang w:val="sl-SI"/>
        </w:rPr>
        <w:t>Evropsko komisijo pozove, naj preuči in podrobno analizira možnosti za oblikovanje rezervnega sklada za lokalni razvoj, ki ga vodi skupnost, na ravni EU. Ne glede na to bo morala Evropska komisija poskrbeti, da bodo imele vse države članice državni sklad za lokalni razvoj, ki ga vodi skupnost, s prispevki iz vseh štirih skladov ESI (EKSRP, ESRR, ESS in ESPR);</w:t>
      </w:r>
    </w:p>
    <w:p w:rsidR="006F41CF" w:rsidRPr="00EE2BEF" w:rsidRDefault="006F41CF" w:rsidP="006F41CF">
      <w:pPr>
        <w:rPr>
          <w:lang w:val="sl-SI"/>
        </w:rPr>
      </w:pPr>
    </w:p>
    <w:p w:rsidR="00426670" w:rsidRDefault="00426670" w:rsidP="005E2132">
      <w:pPr>
        <w:numPr>
          <w:ilvl w:val="0"/>
          <w:numId w:val="15"/>
        </w:numPr>
        <w:tabs>
          <w:tab w:val="clear" w:pos="0"/>
        </w:tabs>
        <w:ind w:left="567" w:hanging="567"/>
        <w:rPr>
          <w:lang w:val="sl-SI"/>
        </w:rPr>
      </w:pPr>
      <w:r w:rsidRPr="00EE2BEF">
        <w:rPr>
          <w:lang w:val="sl-SI"/>
        </w:rPr>
        <w:t>opredeli usklajen okvir vseh skladov ESI in določijo preprosta pravila za izvajanje sklada za lokalni razvoj, ki ga vodi skupnost, na ravni EU;</w:t>
      </w:r>
    </w:p>
    <w:p w:rsidR="006F41CF" w:rsidRPr="00EE2BEF" w:rsidRDefault="006F41CF" w:rsidP="006F41CF">
      <w:pPr>
        <w:rPr>
          <w:lang w:val="sl-SI"/>
        </w:rPr>
      </w:pPr>
    </w:p>
    <w:p w:rsidR="00426670" w:rsidRDefault="00426670" w:rsidP="005E2132">
      <w:pPr>
        <w:numPr>
          <w:ilvl w:val="0"/>
          <w:numId w:val="15"/>
        </w:numPr>
        <w:tabs>
          <w:tab w:val="clear" w:pos="0"/>
        </w:tabs>
        <w:ind w:left="567" w:hanging="567"/>
        <w:rPr>
          <w:lang w:val="sl-SI"/>
        </w:rPr>
      </w:pPr>
      <w:r w:rsidRPr="00EE2BEF">
        <w:rPr>
          <w:lang w:val="sl-SI"/>
        </w:rPr>
        <w:t>prizna, da lokalni razvoj, ki ga vodi skupnost in je nadgradnja pobude Leader, državam članicam ponuja enkratno priložnost, da svoja območja razvijejo na bolj vključujoč, trajnosten in celosten način v partnerstvu z lokalnimi deležniki. Da bi dosegli večji učinek, je treba zanj v programskem obdobju 2021–2027 zagotoviti dovolj finančnih sredstev. Zato Evropsko komisijo pozivamo, naj uvede obvezno zahtevo, da morajo države članice najmanj 15 % iz proračuna za vsak posamezni sklad ESI dodeliti skladu za lokalni razvoj, ki ga vodi skupnost, to pa dopolniti z zadostnimi sredstvi na državni ravni;</w:t>
      </w:r>
    </w:p>
    <w:p w:rsidR="006F41CF" w:rsidRPr="00EE2BEF" w:rsidRDefault="006F41CF" w:rsidP="006F41CF">
      <w:pPr>
        <w:rPr>
          <w:lang w:val="sl-SI"/>
        </w:rPr>
      </w:pPr>
    </w:p>
    <w:p w:rsidR="00426670" w:rsidRDefault="00426670" w:rsidP="005E2132">
      <w:pPr>
        <w:numPr>
          <w:ilvl w:val="0"/>
          <w:numId w:val="15"/>
        </w:numPr>
        <w:tabs>
          <w:tab w:val="clear" w:pos="0"/>
        </w:tabs>
        <w:ind w:left="567" w:hanging="567"/>
        <w:rPr>
          <w:lang w:val="sl-SI"/>
        </w:rPr>
      </w:pPr>
      <w:r w:rsidRPr="00EE2BEF">
        <w:rPr>
          <w:lang w:val="sl-SI"/>
        </w:rPr>
        <w:t>prepreči vsakršna vrzel med programskima obdobjema in omogoči nemoten začetek obdobja 2021–2027;</w:t>
      </w:r>
    </w:p>
    <w:p w:rsidR="006F41CF" w:rsidRPr="00EE2BEF" w:rsidRDefault="006F41CF" w:rsidP="006F41CF">
      <w:pPr>
        <w:rPr>
          <w:lang w:val="sl-SI"/>
        </w:rPr>
      </w:pPr>
    </w:p>
    <w:p w:rsidR="00426670" w:rsidRDefault="00426670" w:rsidP="005E2132">
      <w:pPr>
        <w:numPr>
          <w:ilvl w:val="0"/>
          <w:numId w:val="15"/>
        </w:numPr>
        <w:tabs>
          <w:tab w:val="clear" w:pos="0"/>
        </w:tabs>
        <w:ind w:left="567" w:hanging="567"/>
        <w:rPr>
          <w:lang w:val="sl-SI"/>
        </w:rPr>
      </w:pPr>
      <w:r w:rsidRPr="00EE2BEF">
        <w:rPr>
          <w:lang w:val="sl-SI"/>
        </w:rPr>
        <w:t>občutno poenostavijo pravni okvir za lokalni razvoj, ki ga vodi skupnost, njegovi postopki za izvajanje in model za programsko obdobje 2021–2027;</w:t>
      </w:r>
    </w:p>
    <w:p w:rsidR="006F41CF" w:rsidRPr="00EE2BEF" w:rsidRDefault="006F41CF" w:rsidP="006F41CF">
      <w:pPr>
        <w:rPr>
          <w:lang w:val="sl-SI"/>
        </w:rPr>
      </w:pPr>
    </w:p>
    <w:p w:rsidR="00426670" w:rsidRDefault="00426670" w:rsidP="000D2E47">
      <w:pPr>
        <w:keepNext/>
        <w:keepLines/>
        <w:numPr>
          <w:ilvl w:val="0"/>
          <w:numId w:val="15"/>
        </w:numPr>
        <w:tabs>
          <w:tab w:val="clear" w:pos="0"/>
        </w:tabs>
        <w:ind w:left="567" w:hanging="567"/>
        <w:rPr>
          <w:lang w:val="sl-SI"/>
        </w:rPr>
      </w:pPr>
      <w:r w:rsidRPr="00EE2BEF">
        <w:rPr>
          <w:lang w:val="sl-SI"/>
        </w:rPr>
        <w:t>med pripravami na prihodnje programsko obdobje omogoči tesen dialog med vsemi akterji lokalnega razvoja, ki ga vodi skupnost, na evropski, državni, regionalni in lokalni ravni, ki bo omogočil krepitev zaupanja ter izvajanje celostnega pristopa k financiranju lokalnega razvoja, ki ga vodi skupnost, iz več skladov;omogoči nenehen razvoj zmogljivosti vseh akterjev lokalnega razvoja, ki ga vodi skupnost (organov oblasti, lokalnih akcijskih skupin, mreže Leader in mrež za podeželje, plačilnih agencij itd.), v zvezi s financiranjem lokalnega razvoja, ki ga vodi skupnost, iz več skladov;</w:t>
      </w:r>
    </w:p>
    <w:p w:rsidR="006F41CF" w:rsidRPr="00EE2BEF" w:rsidRDefault="006F41CF" w:rsidP="006F41CF">
      <w:pPr>
        <w:rPr>
          <w:lang w:val="sl-SI"/>
        </w:rPr>
      </w:pPr>
    </w:p>
    <w:p w:rsidR="00426670" w:rsidRDefault="00426670" w:rsidP="005E2132">
      <w:pPr>
        <w:numPr>
          <w:ilvl w:val="0"/>
          <w:numId w:val="15"/>
        </w:numPr>
        <w:tabs>
          <w:tab w:val="clear" w:pos="0"/>
        </w:tabs>
        <w:ind w:left="567" w:hanging="567"/>
        <w:rPr>
          <w:lang w:val="sl-SI"/>
        </w:rPr>
      </w:pPr>
      <w:r w:rsidRPr="00EE2BEF">
        <w:rPr>
          <w:lang w:val="sl-SI"/>
        </w:rPr>
        <w:t>izkoristijo možnosti, ki jih ponuja informacijska tehnologija, za poenostavitev in avtomatizacijo zbiranja podatkov na državni in lokalni ravni;</w:t>
      </w:r>
    </w:p>
    <w:p w:rsidR="006F41CF" w:rsidRPr="00EE2BEF" w:rsidRDefault="006F41CF" w:rsidP="006F41CF">
      <w:pPr>
        <w:rPr>
          <w:lang w:val="sl-SI"/>
        </w:rPr>
      </w:pPr>
    </w:p>
    <w:p w:rsidR="00426670" w:rsidRDefault="00426670" w:rsidP="005E2132">
      <w:pPr>
        <w:numPr>
          <w:ilvl w:val="0"/>
          <w:numId w:val="15"/>
        </w:numPr>
        <w:tabs>
          <w:tab w:val="clear" w:pos="0"/>
        </w:tabs>
        <w:ind w:left="567" w:hanging="567"/>
        <w:rPr>
          <w:lang w:val="sl-SI"/>
        </w:rPr>
      </w:pPr>
      <w:r w:rsidRPr="00EE2BEF">
        <w:rPr>
          <w:lang w:val="sl-SI"/>
        </w:rPr>
        <w:t>uporabi participativni pristop, da bi strategije lokalnega razvoja ostale v koraku s spreminjajočimi se lokalnimi razmerami in se jim prilagajale ter izkoristile tehnološko in informacijsko revolucijo;</w:t>
      </w:r>
    </w:p>
    <w:p w:rsidR="006F41CF" w:rsidRPr="00EE2BEF" w:rsidRDefault="006F41CF" w:rsidP="006F41CF">
      <w:pPr>
        <w:rPr>
          <w:lang w:val="sl-SI"/>
        </w:rPr>
      </w:pPr>
    </w:p>
    <w:p w:rsidR="00426670" w:rsidRDefault="00426670" w:rsidP="005E2132">
      <w:pPr>
        <w:numPr>
          <w:ilvl w:val="0"/>
          <w:numId w:val="15"/>
        </w:numPr>
        <w:tabs>
          <w:tab w:val="clear" w:pos="0"/>
        </w:tabs>
        <w:ind w:left="567" w:hanging="567"/>
        <w:rPr>
          <w:lang w:val="sl-SI"/>
        </w:rPr>
      </w:pPr>
      <w:r w:rsidRPr="00EE2BEF">
        <w:rPr>
          <w:lang w:val="sl-SI"/>
        </w:rPr>
        <w:t>zagotovi, da so dosežki lokalnih akcijskih skupin dobro vidni in predstavljeni, potrebna pa sta tudi nenehno ocenjevanje izvajanja strategij lokalnega razvoja ter premik od nadzornih mehanizmov na podlagi upravičenosti k zagotavljanju rezultatov, oceni uspešnosti in dolgoročnim učinkom;</w:t>
      </w:r>
    </w:p>
    <w:p w:rsidR="006F41CF" w:rsidRPr="00EE2BEF" w:rsidRDefault="006F41CF" w:rsidP="006F41CF">
      <w:pPr>
        <w:rPr>
          <w:lang w:val="sl-SI"/>
        </w:rPr>
      </w:pPr>
    </w:p>
    <w:p w:rsidR="00426670" w:rsidRPr="00EE2BEF" w:rsidRDefault="00426670" w:rsidP="005E2132">
      <w:pPr>
        <w:numPr>
          <w:ilvl w:val="0"/>
          <w:numId w:val="15"/>
        </w:numPr>
        <w:tabs>
          <w:tab w:val="clear" w:pos="0"/>
        </w:tabs>
        <w:ind w:left="567" w:hanging="567"/>
        <w:rPr>
          <w:lang w:val="sl-SI"/>
        </w:rPr>
      </w:pPr>
      <w:r w:rsidRPr="00EE2BEF">
        <w:rPr>
          <w:lang w:val="sl-SI"/>
        </w:rPr>
        <w:t>zberejo podatki o uspešnih pilotnih projektih lokalnega razvoja, ki ga vodi skupnost, na obmestnih in mestnih območjih ter da se za njihovo širšo uporabo organizirajo kampanje obveščanja in ozaveščanja.</w:t>
      </w:r>
    </w:p>
    <w:p w:rsidR="00ED1158" w:rsidRPr="00EE2BEF" w:rsidRDefault="00ED1158" w:rsidP="00ED1158">
      <w:pPr>
        <w:rPr>
          <w:lang w:val="sl-SI"/>
        </w:rPr>
      </w:pPr>
    </w:p>
    <w:p w:rsidR="00426670" w:rsidRPr="00EE2BEF" w:rsidRDefault="00426670" w:rsidP="00ED1158">
      <w:pPr>
        <w:rPr>
          <w:i/>
          <w:iCs/>
          <w:lang w:val="sl-SI"/>
        </w:rPr>
      </w:pPr>
      <w:r w:rsidRPr="00EE2BEF">
        <w:rPr>
          <w:b/>
          <w:i/>
          <w:lang w:val="sl-SI"/>
        </w:rPr>
        <w:t>Kontaktna oseba:</w:t>
      </w:r>
      <w:r w:rsidR="00ED1158" w:rsidRPr="00EE2BEF">
        <w:rPr>
          <w:i/>
          <w:lang w:val="sl-SI"/>
        </w:rPr>
        <w:t xml:space="preserve"> </w:t>
      </w:r>
      <w:r w:rsidRPr="00EE2BEF">
        <w:rPr>
          <w:i/>
          <w:lang w:val="sl-SI"/>
        </w:rPr>
        <w:t>Maarit Laurila</w:t>
      </w:r>
    </w:p>
    <w:p w:rsidR="00426670" w:rsidRPr="00ED1158" w:rsidRDefault="00ED1158" w:rsidP="00426670">
      <w:pPr>
        <w:rPr>
          <w:i/>
          <w:iCs/>
          <w:szCs w:val="22"/>
          <w:lang w:val="sl-SI"/>
        </w:rPr>
      </w:pPr>
      <w:r>
        <w:rPr>
          <w:i/>
          <w:szCs w:val="22"/>
          <w:lang w:val="sl-SI"/>
        </w:rPr>
        <w:t>(tel.: 00 32 2 546 97</w:t>
      </w:r>
      <w:r w:rsidR="00426670" w:rsidRPr="00ED1158">
        <w:rPr>
          <w:i/>
          <w:szCs w:val="22"/>
          <w:lang w:val="sl-SI"/>
        </w:rPr>
        <w:t>39</w:t>
      </w:r>
      <w:r w:rsidR="00325176">
        <w:rPr>
          <w:i/>
          <w:szCs w:val="22"/>
          <w:lang w:val="sl-SI"/>
        </w:rPr>
        <w:t xml:space="preserve"> –</w:t>
      </w:r>
      <w:r w:rsidR="00426670" w:rsidRPr="00ED1158">
        <w:rPr>
          <w:i/>
          <w:szCs w:val="22"/>
          <w:lang w:val="sl-SI"/>
        </w:rPr>
        <w:t xml:space="preserve"> e-naslov: </w:t>
      </w:r>
      <w:hyperlink r:id="rId26">
        <w:r w:rsidR="00426670" w:rsidRPr="00ED1158">
          <w:rPr>
            <w:rStyle w:val="Hyperlink"/>
            <w:i/>
            <w:szCs w:val="22"/>
            <w:lang w:val="sl-SI"/>
          </w:rPr>
          <w:t>Maarit.Laurila@eesc.europa.eu</w:t>
        </w:r>
      </w:hyperlink>
      <w:r w:rsidR="00426670" w:rsidRPr="00ED1158">
        <w:rPr>
          <w:i/>
          <w:szCs w:val="22"/>
          <w:lang w:val="sl-SI"/>
        </w:rPr>
        <w:t>)</w:t>
      </w:r>
    </w:p>
    <w:p w:rsidR="00426670" w:rsidRDefault="00426670" w:rsidP="00426670">
      <w:pPr>
        <w:rPr>
          <w:lang w:val="sl-SI"/>
        </w:rPr>
      </w:pPr>
    </w:p>
    <w:p w:rsidR="00796D2C" w:rsidRDefault="00796D2C" w:rsidP="00426670">
      <w:pPr>
        <w:rPr>
          <w:lang w:val="sl-SI"/>
        </w:rPr>
      </w:pPr>
    </w:p>
    <w:p w:rsidR="00426670" w:rsidRPr="00366169" w:rsidRDefault="00EE2BEF" w:rsidP="007D7731">
      <w:pPr>
        <w:pStyle w:val="Heading1"/>
        <w:keepNext/>
        <w:keepLines/>
        <w:overflowPunct/>
        <w:autoSpaceDE/>
        <w:autoSpaceDN/>
        <w:adjustRightInd/>
        <w:spacing w:line="278" w:lineRule="auto"/>
        <w:ind w:left="567" w:hanging="567"/>
        <w:textAlignment w:val="auto"/>
        <w:rPr>
          <w:sz w:val="28"/>
          <w:szCs w:val="28"/>
          <w:lang w:val="sl-SI"/>
        </w:rPr>
      </w:pPr>
      <w:bookmarkStart w:id="18" w:name="_Toc501447758"/>
      <w:bookmarkStart w:id="19" w:name="_Toc502741923"/>
      <w:bookmarkStart w:id="20" w:name="_Toc502829135"/>
      <w:r w:rsidRPr="00481A39">
        <w:rPr>
          <w:b/>
          <w:sz w:val="28"/>
          <w:szCs w:val="28"/>
          <w:lang w:val="sl-SI"/>
        </w:rPr>
        <w:t>PREHRANSKA POLITIKA</w:t>
      </w:r>
      <w:bookmarkEnd w:id="18"/>
      <w:bookmarkEnd w:id="19"/>
      <w:bookmarkEnd w:id="20"/>
    </w:p>
    <w:p w:rsidR="00426670" w:rsidRPr="00AB1066" w:rsidRDefault="00426670" w:rsidP="007D7731">
      <w:pPr>
        <w:keepNext/>
        <w:keepLines/>
        <w:spacing w:line="278" w:lineRule="auto"/>
        <w:rPr>
          <w:lang w:val="sl-SI"/>
        </w:rPr>
      </w:pPr>
    </w:p>
    <w:p w:rsidR="00426670" w:rsidRPr="00A72A08" w:rsidRDefault="00426670" w:rsidP="007D7731">
      <w:pPr>
        <w:keepNext/>
        <w:keepLines/>
        <w:numPr>
          <w:ilvl w:val="0"/>
          <w:numId w:val="2"/>
        </w:numPr>
        <w:spacing w:line="278" w:lineRule="auto"/>
        <w:ind w:hanging="567"/>
        <w:rPr>
          <w:b/>
          <w:i/>
          <w:sz w:val="28"/>
          <w:szCs w:val="22"/>
          <w:lang w:val="sl-SI"/>
        </w:rPr>
      </w:pPr>
      <w:r w:rsidRPr="00A72A08">
        <w:rPr>
          <w:b/>
          <w:i/>
          <w:sz w:val="28"/>
          <w:szCs w:val="22"/>
          <w:lang w:val="sl-SI"/>
        </w:rPr>
        <w:t>Prispevek civilne družbe k oblikovanju celostne prehranske politike v EU (mnenje na lastno pobudo)</w:t>
      </w:r>
    </w:p>
    <w:p w:rsidR="00426670" w:rsidRPr="00AB1066" w:rsidRDefault="00426670" w:rsidP="007D7731">
      <w:pPr>
        <w:keepNext/>
        <w:keepLines/>
        <w:spacing w:line="278" w:lineRule="auto"/>
      </w:pPr>
    </w:p>
    <w:p w:rsidR="00426670" w:rsidRPr="00426670" w:rsidRDefault="00426670" w:rsidP="007D7731">
      <w:pPr>
        <w:keepNext/>
        <w:keepLines/>
        <w:spacing w:line="278" w:lineRule="auto"/>
        <w:rPr>
          <w:szCs w:val="22"/>
          <w:lang w:val="sl-SI"/>
        </w:rPr>
      </w:pPr>
      <w:r w:rsidRPr="00426670">
        <w:rPr>
          <w:b/>
          <w:szCs w:val="22"/>
          <w:lang w:val="sl-SI"/>
        </w:rPr>
        <w:t>Poročevalec:</w:t>
      </w:r>
      <w:r w:rsidR="00B434FA">
        <w:rPr>
          <w:szCs w:val="22"/>
          <w:lang w:val="sl-SI"/>
        </w:rPr>
        <w:t xml:space="preserve"> </w:t>
      </w:r>
      <w:r w:rsidRPr="00426670">
        <w:rPr>
          <w:szCs w:val="22"/>
          <w:lang w:val="sl-SI"/>
        </w:rPr>
        <w:t xml:space="preserve">Peter </w:t>
      </w:r>
      <w:r w:rsidR="00325176" w:rsidRPr="00426670">
        <w:rPr>
          <w:szCs w:val="22"/>
          <w:lang w:val="sl-SI"/>
        </w:rPr>
        <w:t xml:space="preserve">SCHMIDT </w:t>
      </w:r>
      <w:r w:rsidRPr="00426670">
        <w:rPr>
          <w:szCs w:val="22"/>
          <w:lang w:val="sl-SI"/>
        </w:rPr>
        <w:t>(delojemalci – DE)</w:t>
      </w:r>
    </w:p>
    <w:p w:rsidR="00426670" w:rsidRPr="00B434FA" w:rsidRDefault="00426670" w:rsidP="007D7731">
      <w:pPr>
        <w:keepNext/>
        <w:keepLines/>
        <w:spacing w:line="278" w:lineRule="auto"/>
        <w:rPr>
          <w:lang w:val="sl-SI"/>
        </w:rPr>
      </w:pPr>
    </w:p>
    <w:p w:rsidR="00426670" w:rsidRPr="00426670" w:rsidRDefault="00426670" w:rsidP="007D7731">
      <w:pPr>
        <w:keepNext/>
        <w:keepLines/>
        <w:spacing w:line="278" w:lineRule="auto"/>
        <w:rPr>
          <w:szCs w:val="22"/>
          <w:lang w:val="sl-SI"/>
        </w:rPr>
      </w:pPr>
      <w:r w:rsidRPr="00426670">
        <w:rPr>
          <w:b/>
          <w:szCs w:val="22"/>
          <w:lang w:val="sl-SI"/>
        </w:rPr>
        <w:t>Referenčni dokument:</w:t>
      </w:r>
      <w:r w:rsidR="00B434FA">
        <w:rPr>
          <w:szCs w:val="22"/>
          <w:lang w:val="sl-SI"/>
        </w:rPr>
        <w:t xml:space="preserve"> </w:t>
      </w:r>
      <w:r w:rsidRPr="00426670">
        <w:rPr>
          <w:szCs w:val="22"/>
          <w:lang w:val="sl-SI"/>
        </w:rPr>
        <w:t>EESC-2017-02234-00-00-AC-TRA</w:t>
      </w:r>
    </w:p>
    <w:p w:rsidR="00426670" w:rsidRPr="00426670" w:rsidRDefault="00426670" w:rsidP="007D7731">
      <w:pPr>
        <w:keepNext/>
        <w:keepLines/>
        <w:spacing w:line="278" w:lineRule="auto"/>
        <w:rPr>
          <w:szCs w:val="22"/>
          <w:lang w:val="sl-SI"/>
        </w:rPr>
      </w:pPr>
    </w:p>
    <w:p w:rsidR="00426670" w:rsidRPr="00581F13" w:rsidRDefault="00426670" w:rsidP="007D7731">
      <w:pPr>
        <w:keepNext/>
        <w:keepLines/>
        <w:spacing w:line="278" w:lineRule="auto"/>
        <w:rPr>
          <w:b/>
          <w:iCs/>
          <w:szCs w:val="22"/>
          <w:highlight w:val="yellow"/>
          <w:u w:val="single"/>
          <w:lang w:val="sl-SI"/>
        </w:rPr>
      </w:pPr>
      <w:r w:rsidRPr="00581F13">
        <w:rPr>
          <w:b/>
          <w:szCs w:val="22"/>
          <w:lang w:val="sl-SI"/>
        </w:rPr>
        <w:t>Glavne točke:</w:t>
      </w:r>
    </w:p>
    <w:p w:rsidR="00426670" w:rsidRPr="00581F13" w:rsidRDefault="00426670" w:rsidP="007D7731">
      <w:pPr>
        <w:keepNext/>
        <w:keepLines/>
        <w:spacing w:line="278" w:lineRule="auto"/>
        <w:rPr>
          <w:highlight w:val="yellow"/>
          <w:lang w:val="sl-SI"/>
        </w:rPr>
      </w:pPr>
    </w:p>
    <w:p w:rsidR="00426670" w:rsidRPr="00581F13" w:rsidRDefault="00426670" w:rsidP="007D7731">
      <w:pPr>
        <w:keepNext/>
        <w:keepLines/>
        <w:numPr>
          <w:ilvl w:val="0"/>
          <w:numId w:val="15"/>
        </w:numPr>
        <w:tabs>
          <w:tab w:val="clear" w:pos="0"/>
        </w:tabs>
        <w:spacing w:line="278" w:lineRule="auto"/>
        <w:ind w:left="567" w:hanging="567"/>
        <w:rPr>
          <w:lang w:val="sl-SI"/>
        </w:rPr>
      </w:pPr>
      <w:r w:rsidRPr="00581F13">
        <w:rPr>
          <w:lang w:val="sl-SI"/>
        </w:rPr>
        <w:t>Sedanji okvir politike EU ne omogoča prehoda na bolj trajnostne prehranske sisteme, potrebne za zagotavljanje učinkovitega izvajanja ciljev trajnostnega razvoja OZN ter spoštovanja pravice do hran</w:t>
      </w:r>
      <w:r w:rsidR="00F82373">
        <w:rPr>
          <w:lang w:val="sl-SI"/>
        </w:rPr>
        <w:t xml:space="preserve">e in drugih človekovih pravic. </w:t>
      </w:r>
      <w:r w:rsidRPr="00581F13">
        <w:rPr>
          <w:lang w:val="sl-SI"/>
        </w:rPr>
        <w:t>EESO v tem mnenju ponovno poziva k oblikovanju celostne prehranske politike v EU, da bi zagotovili zdrave načine prehranjevanja iz trajnostnih prehranskih sistemov, povezali kmetijstvo s prehrano in ekosistemskimi storitvami ter vzpostavili dobavne verige, ki bodo varovale javno zdravje celotne evropske družbe. Celostna prehranska politika EU bi izboljšala usklajevanje različnih političnih področij, povezanih s hrano, obnovila pomen hrane in spodbujala dolgoročni prehod z živilskega produktivizma in potrošništva na prehransko državljanstvo. EESO pri tem ponavlja, da bi morala celostna prehranska politika dopolnjevati preoblikovano skupno kmetijsko politiko, ne pa je nadomestiti.</w:t>
      </w:r>
    </w:p>
    <w:p w:rsidR="00426670" w:rsidRPr="00581F13" w:rsidRDefault="00426670" w:rsidP="007D7731">
      <w:pPr>
        <w:keepNext/>
        <w:keepLines/>
        <w:spacing w:line="278" w:lineRule="auto"/>
        <w:rPr>
          <w:szCs w:val="22"/>
          <w:lang w:val="sl-SI"/>
        </w:rPr>
      </w:pPr>
    </w:p>
    <w:p w:rsidR="00426670" w:rsidRPr="00581F13" w:rsidRDefault="00426670" w:rsidP="007D7731">
      <w:pPr>
        <w:keepNext/>
        <w:keepLines/>
        <w:numPr>
          <w:ilvl w:val="0"/>
          <w:numId w:val="15"/>
        </w:numPr>
        <w:tabs>
          <w:tab w:val="clear" w:pos="0"/>
        </w:tabs>
        <w:spacing w:line="278" w:lineRule="auto"/>
        <w:ind w:left="567" w:hanging="567"/>
        <w:rPr>
          <w:lang w:val="sl-SI"/>
        </w:rPr>
      </w:pPr>
      <w:r w:rsidRPr="00581F13">
        <w:rPr>
          <w:lang w:val="sl-SI"/>
        </w:rPr>
        <w:t>EESO poudarja, da je treba ohraniti kulturo, ki ceni hranilni in kulturni pomen hrane ter njene družbene in okoljske vplive. Zato je bogat izbor hrane in regionalnih oziroma lokalnih specialitet, ki so na voljo v EU, pomemben adut, katerega vrednost je treba še naprej izkoriščati. Na regionalni in lokalni ravni se izvaja vse več pobud, ki podpirajo alternativne prehranske sisteme. Celostna prehranska politika bi morala nadgrajevati, spodbujati in razvijati skupno upravljanje na vseh ravneh, tj. na lokalni, regionalni, nacionalni in evropski ravni. Za pravično porazdelitev vzdolž celotne oskrbovalne verige k razvoju celostnega okvira je treba pritegniti vse</w:t>
      </w:r>
      <w:r w:rsidR="00B434FA" w:rsidRPr="00581F13">
        <w:rPr>
          <w:lang w:val="sl-SI"/>
        </w:rPr>
        <w:t xml:space="preserve"> deležnike v prehranski verigi.</w:t>
      </w:r>
    </w:p>
    <w:p w:rsidR="00426670" w:rsidRPr="00581F13" w:rsidRDefault="00426670" w:rsidP="007D7731">
      <w:pPr>
        <w:keepNext/>
        <w:keepLines/>
        <w:spacing w:line="278" w:lineRule="auto"/>
        <w:rPr>
          <w:szCs w:val="22"/>
          <w:lang w:val="sl-SI"/>
        </w:rPr>
      </w:pPr>
    </w:p>
    <w:p w:rsidR="00426670" w:rsidRPr="00581F13" w:rsidRDefault="00426670" w:rsidP="007D7731">
      <w:pPr>
        <w:keepNext/>
        <w:keepLines/>
        <w:numPr>
          <w:ilvl w:val="0"/>
          <w:numId w:val="15"/>
        </w:numPr>
        <w:tabs>
          <w:tab w:val="clear" w:pos="0"/>
        </w:tabs>
        <w:spacing w:line="278" w:lineRule="auto"/>
        <w:ind w:left="567" w:hanging="567"/>
        <w:rPr>
          <w:lang w:val="sl-SI"/>
        </w:rPr>
      </w:pPr>
      <w:r w:rsidRPr="00581F13">
        <w:rPr>
          <w:lang w:val="sl-SI"/>
        </w:rPr>
        <w:t>EESO predlaga, da se kot podpora pri oblikovanju celostnega okvira, ki bi združeval politike EU, povezane s prehrano, kratkoročno oziroma srednjeročno oblikuje medsektorska in medinstitucionalna delovna skupina, v katero bi bili vključeni različni generalni direktorati Komisije in druge institucije EU. Ta delovna skupina bi bila odgovorna za razvoj akcijskega načrta za prehransko trajnost, da bi EU pomagala pri izvajanju ciljev trajnostneg</w:t>
      </w:r>
      <w:r w:rsidR="00B434FA" w:rsidRPr="00581F13">
        <w:rPr>
          <w:lang w:val="sl-SI"/>
        </w:rPr>
        <w:t>a razvoja na področju prehrane.</w:t>
      </w:r>
    </w:p>
    <w:p w:rsidR="00426670" w:rsidRPr="00581F13" w:rsidRDefault="00426670" w:rsidP="007D7731">
      <w:pPr>
        <w:spacing w:line="278" w:lineRule="auto"/>
        <w:rPr>
          <w:lang w:val="sl-SI"/>
        </w:rPr>
      </w:pPr>
    </w:p>
    <w:p w:rsidR="00426670" w:rsidRPr="00581F13" w:rsidRDefault="00426670" w:rsidP="007D7731">
      <w:pPr>
        <w:numPr>
          <w:ilvl w:val="0"/>
          <w:numId w:val="15"/>
        </w:numPr>
        <w:tabs>
          <w:tab w:val="clear" w:pos="0"/>
        </w:tabs>
        <w:spacing w:line="278" w:lineRule="auto"/>
        <w:ind w:left="567" w:hanging="567"/>
        <w:rPr>
          <w:lang w:val="sl-SI"/>
        </w:rPr>
      </w:pPr>
      <w:r w:rsidRPr="00581F13">
        <w:rPr>
          <w:lang w:val="sl-SI"/>
        </w:rPr>
        <w:t>EESO spodbuja Komisijo, naj dolgoročno – odvisno od sklepov delovne skupine – preuči možnost za ustanovitev posebnega generalnega direktorata za prehrano, ki bi postal očitno središče odgovornosti EU na področju vseh politik, povezanih s prehrano, ter po potrebi zagotavljal podlago za regulacijo, zakonodajo in izvajanje.</w:t>
      </w:r>
    </w:p>
    <w:p w:rsidR="00426670" w:rsidRPr="00581F13" w:rsidRDefault="00426670" w:rsidP="007D7731">
      <w:pPr>
        <w:spacing w:line="278" w:lineRule="auto"/>
        <w:rPr>
          <w:highlight w:val="yellow"/>
          <w:lang w:val="sl-SI"/>
        </w:rPr>
      </w:pPr>
    </w:p>
    <w:p w:rsidR="00426670" w:rsidRPr="00581F13" w:rsidRDefault="00426670" w:rsidP="007D7731">
      <w:pPr>
        <w:spacing w:line="278" w:lineRule="auto"/>
        <w:rPr>
          <w:i/>
          <w:iCs/>
          <w:szCs w:val="22"/>
          <w:lang w:val="sl-SI"/>
        </w:rPr>
      </w:pPr>
      <w:r w:rsidRPr="00581F13">
        <w:rPr>
          <w:b/>
          <w:i/>
          <w:szCs w:val="22"/>
          <w:lang w:val="sl-SI"/>
        </w:rPr>
        <w:t>Kontaktna oseba:</w:t>
      </w:r>
      <w:r w:rsidR="00B434FA" w:rsidRPr="00581F13">
        <w:rPr>
          <w:i/>
          <w:szCs w:val="22"/>
          <w:lang w:val="sl-SI"/>
        </w:rPr>
        <w:t xml:space="preserve"> Monica Guarinoni</w:t>
      </w:r>
    </w:p>
    <w:p w:rsidR="00426670" w:rsidRPr="00B434FA" w:rsidRDefault="00B434FA" w:rsidP="007D7731">
      <w:pPr>
        <w:spacing w:line="278" w:lineRule="auto"/>
        <w:rPr>
          <w:i/>
          <w:caps/>
          <w:szCs w:val="22"/>
          <w:lang w:val="sl-SI"/>
        </w:rPr>
      </w:pPr>
      <w:r>
        <w:rPr>
          <w:i/>
          <w:szCs w:val="22"/>
          <w:lang w:val="sl-SI"/>
        </w:rPr>
        <w:t>(tel.: 00 32 2 546 81</w:t>
      </w:r>
      <w:r w:rsidR="00426670" w:rsidRPr="00B434FA">
        <w:rPr>
          <w:i/>
          <w:szCs w:val="22"/>
          <w:lang w:val="sl-SI"/>
        </w:rPr>
        <w:t xml:space="preserve">27 – e-naslov: </w:t>
      </w:r>
      <w:hyperlink r:id="rId27">
        <w:r w:rsidR="00426670" w:rsidRPr="00B434FA">
          <w:rPr>
            <w:rStyle w:val="Hyperlink"/>
            <w:i/>
            <w:szCs w:val="22"/>
            <w:lang w:val="sl-SI"/>
          </w:rPr>
          <w:t>Monica.Guarinoni@eesc.europa.eu</w:t>
        </w:r>
      </w:hyperlink>
      <w:r w:rsidR="00426670" w:rsidRPr="00B434FA">
        <w:rPr>
          <w:i/>
          <w:szCs w:val="22"/>
          <w:lang w:val="sl-SI"/>
        </w:rPr>
        <w:t>)</w:t>
      </w:r>
    </w:p>
    <w:p w:rsidR="00C150AF" w:rsidRPr="00C150AF" w:rsidRDefault="00C150AF" w:rsidP="007D7731">
      <w:pPr>
        <w:spacing w:line="278" w:lineRule="auto"/>
      </w:pPr>
    </w:p>
    <w:p w:rsidR="00426670" w:rsidRPr="00366169" w:rsidRDefault="00581F13" w:rsidP="00C17DCB">
      <w:pPr>
        <w:pStyle w:val="Heading1"/>
        <w:keepNext/>
        <w:keepLines/>
        <w:overflowPunct/>
        <w:autoSpaceDE/>
        <w:autoSpaceDN/>
        <w:adjustRightInd/>
        <w:spacing w:line="274" w:lineRule="auto"/>
        <w:ind w:left="567" w:hanging="567"/>
        <w:textAlignment w:val="auto"/>
        <w:rPr>
          <w:sz w:val="28"/>
          <w:szCs w:val="28"/>
          <w:lang w:val="sl-SI"/>
        </w:rPr>
      </w:pPr>
      <w:bookmarkStart w:id="21" w:name="_Toc501447759"/>
      <w:bookmarkStart w:id="22" w:name="_Toc502741924"/>
      <w:bookmarkStart w:id="23" w:name="_Toc502829136"/>
      <w:r w:rsidRPr="00481A39">
        <w:rPr>
          <w:b/>
          <w:sz w:val="28"/>
          <w:szCs w:val="28"/>
          <w:lang w:val="sl-SI"/>
        </w:rPr>
        <w:t>SOCIALNE ZADEVE</w:t>
      </w:r>
      <w:bookmarkEnd w:id="21"/>
      <w:bookmarkEnd w:id="22"/>
      <w:bookmarkEnd w:id="23"/>
    </w:p>
    <w:p w:rsidR="00426670" w:rsidRPr="00AC35F0" w:rsidRDefault="00426670" w:rsidP="00C17DCB">
      <w:pPr>
        <w:keepNext/>
        <w:keepLines/>
        <w:spacing w:line="274" w:lineRule="auto"/>
        <w:rPr>
          <w:lang w:val="sl-SI"/>
        </w:rPr>
      </w:pPr>
    </w:p>
    <w:p w:rsidR="00426670" w:rsidRPr="00A72A08" w:rsidRDefault="00426670" w:rsidP="00C17DCB">
      <w:pPr>
        <w:keepNext/>
        <w:keepLines/>
        <w:numPr>
          <w:ilvl w:val="0"/>
          <w:numId w:val="2"/>
        </w:numPr>
        <w:spacing w:line="274" w:lineRule="auto"/>
        <w:ind w:hanging="567"/>
        <w:rPr>
          <w:b/>
          <w:i/>
          <w:sz w:val="28"/>
          <w:szCs w:val="22"/>
          <w:lang w:val="sl-SI"/>
        </w:rPr>
      </w:pPr>
      <w:r w:rsidRPr="00A72A08">
        <w:rPr>
          <w:b/>
          <w:i/>
          <w:sz w:val="28"/>
          <w:szCs w:val="22"/>
          <w:lang w:val="sl-SI"/>
        </w:rPr>
        <w:t>Usklajevanje poklicnega in zasebnega življenja zaposlenih staršev in oskrbovalcev</w:t>
      </w:r>
    </w:p>
    <w:p w:rsidR="00426670" w:rsidRPr="00426670" w:rsidRDefault="00426670" w:rsidP="00C17DCB">
      <w:pPr>
        <w:keepNext/>
        <w:keepLines/>
        <w:spacing w:line="274" w:lineRule="auto"/>
        <w:rPr>
          <w:lang w:val="sl-SI"/>
        </w:rPr>
      </w:pPr>
    </w:p>
    <w:p w:rsidR="00426670" w:rsidRPr="00426670" w:rsidRDefault="00426670" w:rsidP="00C17DCB">
      <w:pPr>
        <w:spacing w:line="274" w:lineRule="auto"/>
        <w:rPr>
          <w:color w:val="000000"/>
          <w:szCs w:val="22"/>
          <w:lang w:val="sl-SI"/>
        </w:rPr>
      </w:pPr>
      <w:r w:rsidRPr="00426670">
        <w:rPr>
          <w:b/>
          <w:szCs w:val="22"/>
          <w:lang w:val="sl-SI"/>
        </w:rPr>
        <w:t>Poročevalka:</w:t>
      </w:r>
      <w:r w:rsidR="00AC35F0">
        <w:rPr>
          <w:szCs w:val="22"/>
          <w:lang w:val="sl-SI"/>
        </w:rPr>
        <w:t xml:space="preserve"> </w:t>
      </w:r>
      <w:r w:rsidRPr="00426670">
        <w:rPr>
          <w:color w:val="000000"/>
          <w:szCs w:val="22"/>
          <w:lang w:val="sl-SI"/>
        </w:rPr>
        <w:t xml:space="preserve">Erika </w:t>
      </w:r>
      <w:r w:rsidR="00676CF9" w:rsidRPr="00426670">
        <w:rPr>
          <w:color w:val="000000"/>
          <w:szCs w:val="22"/>
          <w:lang w:val="sl-SI"/>
        </w:rPr>
        <w:t xml:space="preserve">KOLLER </w:t>
      </w:r>
      <w:r w:rsidRPr="00426670">
        <w:rPr>
          <w:color w:val="000000"/>
          <w:szCs w:val="22"/>
          <w:lang w:val="sl-SI"/>
        </w:rPr>
        <w:t>(delojemalci – HU)</w:t>
      </w:r>
    </w:p>
    <w:p w:rsidR="00426670" w:rsidRPr="00426670" w:rsidRDefault="00426670" w:rsidP="00C17DCB">
      <w:pPr>
        <w:spacing w:line="274" w:lineRule="auto"/>
        <w:rPr>
          <w:color w:val="000000"/>
          <w:szCs w:val="22"/>
          <w:lang w:val="sl-SI"/>
        </w:rPr>
      </w:pPr>
      <w:r w:rsidRPr="00426670">
        <w:rPr>
          <w:b/>
          <w:color w:val="000000"/>
          <w:szCs w:val="22"/>
          <w:lang w:val="sl-SI"/>
        </w:rPr>
        <w:t>Soporočevalka:</w:t>
      </w:r>
      <w:r w:rsidR="00AC35F0" w:rsidRPr="00AC35F0">
        <w:rPr>
          <w:color w:val="000000"/>
          <w:szCs w:val="22"/>
          <w:lang w:val="sl-SI"/>
        </w:rPr>
        <w:t xml:space="preserve"> </w:t>
      </w:r>
      <w:r w:rsidRPr="00426670">
        <w:rPr>
          <w:color w:val="000000"/>
          <w:szCs w:val="22"/>
          <w:lang w:val="sl-SI"/>
        </w:rPr>
        <w:t xml:space="preserve">Vladimíra </w:t>
      </w:r>
      <w:r w:rsidR="00676CF9" w:rsidRPr="00426670">
        <w:rPr>
          <w:color w:val="000000"/>
          <w:szCs w:val="22"/>
          <w:lang w:val="sl-SI"/>
        </w:rPr>
        <w:t xml:space="preserve">DRBALOVÁ </w:t>
      </w:r>
      <w:r w:rsidRPr="00426670">
        <w:rPr>
          <w:color w:val="000000"/>
          <w:szCs w:val="22"/>
          <w:lang w:val="sl-SI"/>
        </w:rPr>
        <w:t>(delodajalci – CZ)</w:t>
      </w:r>
    </w:p>
    <w:p w:rsidR="00426670" w:rsidRPr="00AC35F0" w:rsidRDefault="00426670" w:rsidP="00C17DCB">
      <w:pPr>
        <w:spacing w:line="274" w:lineRule="auto"/>
        <w:rPr>
          <w:lang w:val="sl-SI"/>
        </w:rPr>
      </w:pPr>
    </w:p>
    <w:p w:rsidR="00426670" w:rsidRPr="00AC35F0" w:rsidRDefault="00426670" w:rsidP="00C17DCB">
      <w:pPr>
        <w:spacing w:line="274" w:lineRule="auto"/>
        <w:rPr>
          <w:szCs w:val="22"/>
          <w:lang w:val="sl-SI"/>
        </w:rPr>
      </w:pPr>
      <w:r w:rsidRPr="00426670">
        <w:rPr>
          <w:b/>
          <w:szCs w:val="22"/>
          <w:lang w:val="sl-SI"/>
        </w:rPr>
        <w:t>Referenčni dokument:</w:t>
      </w:r>
      <w:r w:rsidR="00AC35F0">
        <w:rPr>
          <w:szCs w:val="22"/>
          <w:lang w:val="sl-SI"/>
        </w:rPr>
        <w:t xml:space="preserve"> </w:t>
      </w:r>
      <w:r w:rsidRPr="00426670">
        <w:rPr>
          <w:szCs w:val="22"/>
          <w:lang w:val="sl-SI"/>
        </w:rPr>
        <w:t>EESC-2017-02275-00-01-AC-TRA</w:t>
      </w:r>
    </w:p>
    <w:p w:rsidR="00426670" w:rsidRPr="00426670" w:rsidRDefault="00426670" w:rsidP="00C17DCB">
      <w:pPr>
        <w:spacing w:line="274" w:lineRule="auto"/>
        <w:rPr>
          <w:szCs w:val="22"/>
          <w:lang w:val="sl-SI"/>
        </w:rPr>
      </w:pPr>
    </w:p>
    <w:p w:rsidR="00426670" w:rsidRPr="002149BA" w:rsidRDefault="00426670" w:rsidP="00C17DCB">
      <w:pPr>
        <w:spacing w:line="274" w:lineRule="auto"/>
        <w:rPr>
          <w:b/>
          <w:szCs w:val="22"/>
          <w:lang w:val="sl-SI"/>
        </w:rPr>
      </w:pPr>
      <w:r w:rsidRPr="002149BA">
        <w:rPr>
          <w:b/>
          <w:szCs w:val="22"/>
          <w:lang w:val="sl-SI"/>
        </w:rPr>
        <w:t>Glavne točke:</w:t>
      </w:r>
    </w:p>
    <w:p w:rsidR="00426670" w:rsidRPr="002149BA" w:rsidRDefault="00426670" w:rsidP="00C17DCB">
      <w:pPr>
        <w:spacing w:line="274" w:lineRule="auto"/>
        <w:rPr>
          <w:szCs w:val="22"/>
          <w:lang w:val="sl-SI"/>
        </w:rPr>
      </w:pPr>
    </w:p>
    <w:p w:rsidR="00426670" w:rsidRPr="00426670" w:rsidRDefault="00426670" w:rsidP="00C17DCB">
      <w:pPr>
        <w:spacing w:line="274" w:lineRule="auto"/>
        <w:rPr>
          <w:szCs w:val="22"/>
          <w:lang w:val="sl-SI"/>
        </w:rPr>
      </w:pPr>
      <w:r w:rsidRPr="002149BA">
        <w:rPr>
          <w:szCs w:val="22"/>
          <w:lang w:val="sl-SI"/>
        </w:rPr>
        <w:t>EESO</w:t>
      </w:r>
      <w:r w:rsidRPr="00426670">
        <w:rPr>
          <w:szCs w:val="22"/>
          <w:lang w:val="sl-SI"/>
        </w:rPr>
        <w:t>:</w:t>
      </w:r>
    </w:p>
    <w:p w:rsidR="00426670" w:rsidRPr="00426670" w:rsidRDefault="00426670" w:rsidP="00C17DCB">
      <w:pPr>
        <w:spacing w:line="274" w:lineRule="auto"/>
        <w:rPr>
          <w:szCs w:val="22"/>
          <w:lang w:val="sl-SI"/>
        </w:rPr>
      </w:pPr>
    </w:p>
    <w:p w:rsidR="00426670" w:rsidRPr="00426670" w:rsidRDefault="00426670" w:rsidP="00C17DCB">
      <w:pPr>
        <w:numPr>
          <w:ilvl w:val="0"/>
          <w:numId w:val="15"/>
        </w:numPr>
        <w:tabs>
          <w:tab w:val="clear" w:pos="0"/>
        </w:tabs>
        <w:spacing w:line="274" w:lineRule="auto"/>
        <w:ind w:left="567" w:hanging="567"/>
        <w:rPr>
          <w:lang w:val="sl-SI"/>
        </w:rPr>
      </w:pPr>
      <w:r w:rsidRPr="00426670">
        <w:rPr>
          <w:lang w:val="sl-SI"/>
        </w:rPr>
        <w:t>pozdravlja pobudo Evropske komisije za večjo udeležbo staršev z majhnimi otroki, zlasti žensk, na trgu dela, s tem da jim pomaga doseči boljše ravnovesje med zasebnim in poklicnim življenjem, s čimer bi lahko sprostili celoten potencial njihovih znanj in spretnosti;</w:t>
      </w:r>
    </w:p>
    <w:p w:rsidR="00426670" w:rsidRPr="00426670" w:rsidRDefault="00426670" w:rsidP="00C17DCB">
      <w:pPr>
        <w:spacing w:line="274" w:lineRule="auto"/>
        <w:rPr>
          <w:szCs w:val="22"/>
          <w:lang w:val="sl-SI"/>
        </w:rPr>
      </w:pPr>
    </w:p>
    <w:p w:rsidR="00426670" w:rsidRPr="00426670" w:rsidRDefault="00426670" w:rsidP="00C17DCB">
      <w:pPr>
        <w:numPr>
          <w:ilvl w:val="0"/>
          <w:numId w:val="15"/>
        </w:numPr>
        <w:tabs>
          <w:tab w:val="clear" w:pos="0"/>
        </w:tabs>
        <w:spacing w:line="274" w:lineRule="auto"/>
        <w:ind w:left="567" w:hanging="567"/>
        <w:rPr>
          <w:lang w:val="sl-SI"/>
        </w:rPr>
      </w:pPr>
      <w:r w:rsidRPr="00426670">
        <w:rPr>
          <w:lang w:val="sl-SI"/>
        </w:rPr>
        <w:t>meni, da je sveženj o usklajevanju poklicnega in zasebnega življenja korak v pravo smer, vendar pa je tudi mnenja, da bi ga bilo treba v prihodnje izboljšati na</w:t>
      </w:r>
      <w:r w:rsidR="00694252">
        <w:rPr>
          <w:lang w:val="sl-SI"/>
        </w:rPr>
        <w:t xml:space="preserve"> podlagi ustrezne ocene učinka;</w:t>
      </w:r>
    </w:p>
    <w:p w:rsidR="00426670" w:rsidRPr="00426670" w:rsidRDefault="00426670" w:rsidP="00C17DCB">
      <w:pPr>
        <w:spacing w:line="274" w:lineRule="auto"/>
        <w:rPr>
          <w:lang w:val="sl-SI"/>
        </w:rPr>
      </w:pPr>
    </w:p>
    <w:p w:rsidR="00426670" w:rsidRPr="00426670" w:rsidRDefault="00426670" w:rsidP="00C17DCB">
      <w:pPr>
        <w:numPr>
          <w:ilvl w:val="0"/>
          <w:numId w:val="15"/>
        </w:numPr>
        <w:tabs>
          <w:tab w:val="clear" w:pos="0"/>
        </w:tabs>
        <w:spacing w:line="274" w:lineRule="auto"/>
        <w:ind w:left="567" w:hanging="567"/>
        <w:rPr>
          <w:lang w:val="sl-SI"/>
        </w:rPr>
      </w:pPr>
      <w:r w:rsidRPr="00426670">
        <w:rPr>
          <w:lang w:val="sl-SI"/>
        </w:rPr>
        <w:t>poleg tega meni, da bi bilo treba predloge iz svežnja še dodatno preučiti ob upoštevanju dejanskih razmer v posameznih državah članicah ter stroškov in organizacijskega dela za podjetja, zlasti mala in srednja podjetja (MSP). Sprejeti bi bilo treba tudi ukrepe za boj proti stereotipom, razširjanje dobrih praks in oblikovanje nacionalnih akcijskih načrtov za usklajevanje poklicnega in zasebnega življenja;</w:t>
      </w:r>
    </w:p>
    <w:p w:rsidR="00426670" w:rsidRPr="00426670" w:rsidRDefault="00426670" w:rsidP="00C17DCB">
      <w:pPr>
        <w:spacing w:line="274" w:lineRule="auto"/>
        <w:rPr>
          <w:lang w:val="sl-SI"/>
        </w:rPr>
      </w:pPr>
    </w:p>
    <w:p w:rsidR="00426670" w:rsidRPr="00426670" w:rsidRDefault="00426670" w:rsidP="00C17DCB">
      <w:pPr>
        <w:numPr>
          <w:ilvl w:val="0"/>
          <w:numId w:val="15"/>
        </w:numPr>
        <w:tabs>
          <w:tab w:val="clear" w:pos="0"/>
        </w:tabs>
        <w:spacing w:line="274" w:lineRule="auto"/>
        <w:ind w:left="567" w:hanging="567"/>
        <w:rPr>
          <w:lang w:val="sl-SI"/>
        </w:rPr>
      </w:pPr>
      <w:r w:rsidRPr="00426670">
        <w:rPr>
          <w:lang w:val="sl-SI"/>
        </w:rPr>
        <w:t>spodbuja socialne partnerje v vsej Evropi, naj preučijo nadaljnje praktične rešitve za spodbujanje usklajevanja med enim in drugim, ki bi ustrezalo posebnostim posameznega delovnega mesta;</w:t>
      </w:r>
    </w:p>
    <w:p w:rsidR="00426670" w:rsidRPr="00426670" w:rsidRDefault="00426670" w:rsidP="00C17DCB">
      <w:pPr>
        <w:spacing w:line="274" w:lineRule="auto"/>
        <w:rPr>
          <w:lang w:val="sl-SI"/>
        </w:rPr>
      </w:pPr>
    </w:p>
    <w:p w:rsidR="00426670" w:rsidRPr="00426670" w:rsidRDefault="00426670" w:rsidP="00C17DCB">
      <w:pPr>
        <w:numPr>
          <w:ilvl w:val="0"/>
          <w:numId w:val="15"/>
        </w:numPr>
        <w:tabs>
          <w:tab w:val="clear" w:pos="0"/>
        </w:tabs>
        <w:spacing w:line="274" w:lineRule="auto"/>
        <w:ind w:left="567" w:hanging="567"/>
        <w:rPr>
          <w:lang w:val="sl-SI"/>
        </w:rPr>
      </w:pPr>
      <w:r w:rsidRPr="00426670">
        <w:rPr>
          <w:lang w:val="sl-SI"/>
        </w:rPr>
        <w:t>je prepričan, da bodo dolgoročne koristi odtehtale kratkoročno višje stroške. Vendar pa bi bilo treba dodatno preučiti ukrepe v podporo malim in srednjim podjetjem;</w:t>
      </w:r>
    </w:p>
    <w:p w:rsidR="00426670" w:rsidRPr="00426670" w:rsidRDefault="00426670" w:rsidP="00C17DCB">
      <w:pPr>
        <w:spacing w:line="274" w:lineRule="auto"/>
        <w:rPr>
          <w:lang w:val="sl-SI"/>
        </w:rPr>
      </w:pPr>
    </w:p>
    <w:p w:rsidR="00426670" w:rsidRPr="00426670" w:rsidRDefault="00426670" w:rsidP="00C17DCB">
      <w:pPr>
        <w:numPr>
          <w:ilvl w:val="0"/>
          <w:numId w:val="15"/>
        </w:numPr>
        <w:tabs>
          <w:tab w:val="clear" w:pos="0"/>
        </w:tabs>
        <w:spacing w:line="274" w:lineRule="auto"/>
        <w:ind w:left="567" w:hanging="567"/>
        <w:rPr>
          <w:lang w:val="sl-SI"/>
        </w:rPr>
      </w:pPr>
      <w:r w:rsidRPr="00426670">
        <w:rPr>
          <w:lang w:val="sl-SI"/>
        </w:rPr>
        <w:t>poudarja, da je treba več vlagati v kakovostne, cenovno dosegljive in dostopne storitve in zmogljivosti oskrbe za vsako družino, ter poziva Komisijo, naj v okviru evropskega semestra s priporočili za posamezne države ter s sredstvi za regionalni razvoj spodbudi države članice k okrepitvi prizadevanj;</w:t>
      </w:r>
    </w:p>
    <w:p w:rsidR="00426670" w:rsidRPr="00426670" w:rsidRDefault="00426670" w:rsidP="00C17DCB">
      <w:pPr>
        <w:spacing w:line="274" w:lineRule="auto"/>
        <w:rPr>
          <w:lang w:val="sl-SI"/>
        </w:rPr>
      </w:pPr>
    </w:p>
    <w:p w:rsidR="00426670" w:rsidRPr="00426670" w:rsidRDefault="00426670" w:rsidP="00C17DCB">
      <w:pPr>
        <w:numPr>
          <w:ilvl w:val="0"/>
          <w:numId w:val="15"/>
        </w:numPr>
        <w:tabs>
          <w:tab w:val="clear" w:pos="0"/>
        </w:tabs>
        <w:spacing w:line="274" w:lineRule="auto"/>
        <w:ind w:left="567" w:hanging="567"/>
        <w:rPr>
          <w:lang w:val="sl-SI"/>
        </w:rPr>
      </w:pPr>
      <w:r w:rsidRPr="00426670">
        <w:rPr>
          <w:lang w:val="sl-SI"/>
        </w:rPr>
        <w:t>z obžalovanjem ugotavlja, da v predlogu direktive niso zadostno obravnavani davčni sistemi v podporo ravnovesju med poklicnim in zasebnim življenjem. Preučiti bi bilo treba možnosti za davčne olajšave, ki bi zaposlenim staršem pomagale, da lahko še naprej delajo.</w:t>
      </w:r>
    </w:p>
    <w:p w:rsidR="00426670" w:rsidRPr="00426670" w:rsidRDefault="00426670" w:rsidP="00C17DCB">
      <w:pPr>
        <w:spacing w:line="274" w:lineRule="auto"/>
        <w:rPr>
          <w:szCs w:val="22"/>
          <w:lang w:val="sl-SI"/>
        </w:rPr>
      </w:pPr>
    </w:p>
    <w:p w:rsidR="00426670" w:rsidRPr="00AC35F0" w:rsidRDefault="00426670" w:rsidP="00C17DCB">
      <w:pPr>
        <w:spacing w:line="274" w:lineRule="auto"/>
        <w:rPr>
          <w:i/>
          <w:szCs w:val="22"/>
          <w:lang w:val="sl-SI"/>
        </w:rPr>
      </w:pPr>
      <w:r w:rsidRPr="00AC35F0">
        <w:rPr>
          <w:b/>
          <w:i/>
          <w:szCs w:val="22"/>
          <w:lang w:val="sl-SI"/>
        </w:rPr>
        <w:t>Kontaktna oseba</w:t>
      </w:r>
      <w:r w:rsidR="00AC35F0" w:rsidRPr="00AC35F0">
        <w:rPr>
          <w:b/>
          <w:i/>
          <w:szCs w:val="22"/>
          <w:lang w:val="sl-SI"/>
        </w:rPr>
        <w:t>:</w:t>
      </w:r>
      <w:r w:rsidR="00AC35F0">
        <w:rPr>
          <w:i/>
          <w:szCs w:val="22"/>
          <w:lang w:val="sl-SI"/>
        </w:rPr>
        <w:t xml:space="preserve"> </w:t>
      </w:r>
      <w:r w:rsidRPr="00AC35F0">
        <w:rPr>
          <w:i/>
          <w:szCs w:val="22"/>
          <w:lang w:val="sl-SI"/>
        </w:rPr>
        <w:t>Maria Judite Berkemeier</w:t>
      </w:r>
    </w:p>
    <w:p w:rsidR="00426670" w:rsidRPr="00AC35F0" w:rsidRDefault="00AC35F0" w:rsidP="00C17DCB">
      <w:pPr>
        <w:spacing w:line="274" w:lineRule="auto"/>
        <w:rPr>
          <w:i/>
          <w:caps/>
          <w:szCs w:val="22"/>
          <w:lang w:val="sl-SI"/>
        </w:rPr>
      </w:pPr>
      <w:r>
        <w:rPr>
          <w:i/>
          <w:szCs w:val="22"/>
          <w:lang w:val="sl-SI"/>
        </w:rPr>
        <w:t>(tel.: 00 32 2 546 98</w:t>
      </w:r>
      <w:r w:rsidR="00426670" w:rsidRPr="00AC35F0">
        <w:rPr>
          <w:i/>
          <w:szCs w:val="22"/>
          <w:lang w:val="sl-SI"/>
        </w:rPr>
        <w:t xml:space="preserve">97 – e-naslov: </w:t>
      </w:r>
      <w:hyperlink r:id="rId28">
        <w:r w:rsidR="00426670" w:rsidRPr="00AC35F0">
          <w:rPr>
            <w:rStyle w:val="Hyperlink"/>
            <w:i/>
            <w:szCs w:val="22"/>
            <w:lang w:val="sl-SI"/>
          </w:rPr>
          <w:t>MariaJudite.Berkemeier@eesc.europa.eu</w:t>
        </w:r>
      </w:hyperlink>
      <w:r w:rsidR="00426670" w:rsidRPr="00AC35F0">
        <w:rPr>
          <w:i/>
          <w:szCs w:val="22"/>
          <w:lang w:val="sl-SI"/>
        </w:rPr>
        <w:t>)</w:t>
      </w:r>
    </w:p>
    <w:p w:rsidR="00426670" w:rsidRPr="00694252" w:rsidRDefault="00426670" w:rsidP="00C17DCB">
      <w:pPr>
        <w:spacing w:line="274" w:lineRule="auto"/>
        <w:rPr>
          <w:lang w:val="sl-SI"/>
        </w:rPr>
      </w:pPr>
    </w:p>
    <w:p w:rsidR="00426670" w:rsidRPr="00A72A08" w:rsidRDefault="00426670" w:rsidP="009C3C47">
      <w:pPr>
        <w:keepNext/>
        <w:keepLines/>
        <w:numPr>
          <w:ilvl w:val="0"/>
          <w:numId w:val="2"/>
        </w:numPr>
        <w:ind w:hanging="567"/>
        <w:rPr>
          <w:b/>
          <w:i/>
          <w:sz w:val="28"/>
          <w:szCs w:val="22"/>
          <w:lang w:val="sl-SI"/>
        </w:rPr>
      </w:pPr>
      <w:r w:rsidRPr="00A72A08">
        <w:rPr>
          <w:b/>
          <w:i/>
          <w:sz w:val="28"/>
          <w:szCs w:val="22"/>
          <w:lang w:val="sl-SI"/>
        </w:rPr>
        <w:t>Vzdržni sistemi socialne varnosti in socialne zaščite v digitalni dobi</w:t>
      </w:r>
    </w:p>
    <w:p w:rsidR="00426670" w:rsidRPr="00694252" w:rsidRDefault="00426670" w:rsidP="009C3C47">
      <w:pPr>
        <w:keepNext/>
        <w:keepLines/>
        <w:rPr>
          <w:lang w:val="sl-SI"/>
        </w:rPr>
      </w:pPr>
    </w:p>
    <w:p w:rsidR="00426670" w:rsidRPr="00426670" w:rsidRDefault="00426670" w:rsidP="009C3C47">
      <w:pPr>
        <w:keepNext/>
        <w:keepLines/>
        <w:rPr>
          <w:szCs w:val="22"/>
          <w:lang w:val="sl-SI"/>
        </w:rPr>
      </w:pPr>
      <w:r w:rsidRPr="00426670">
        <w:rPr>
          <w:b/>
          <w:szCs w:val="22"/>
          <w:lang w:val="sl-SI"/>
        </w:rPr>
        <w:t>Poročevalec:</w:t>
      </w:r>
      <w:r w:rsidR="00694252">
        <w:rPr>
          <w:szCs w:val="22"/>
          <w:lang w:val="sl-SI"/>
        </w:rPr>
        <w:t xml:space="preserve"> </w:t>
      </w:r>
      <w:r w:rsidRPr="00426670">
        <w:rPr>
          <w:szCs w:val="22"/>
          <w:lang w:val="sl-SI"/>
        </w:rPr>
        <w:t xml:space="preserve">Petru Sorin </w:t>
      </w:r>
      <w:r w:rsidR="009C3C47" w:rsidRPr="00426670">
        <w:rPr>
          <w:szCs w:val="22"/>
          <w:lang w:val="sl-SI"/>
        </w:rPr>
        <w:t xml:space="preserve">DANDEA </w:t>
      </w:r>
      <w:r w:rsidRPr="00426670">
        <w:rPr>
          <w:szCs w:val="22"/>
          <w:lang w:val="sl-SI"/>
        </w:rPr>
        <w:t>(de</w:t>
      </w:r>
      <w:r w:rsidR="00694252">
        <w:rPr>
          <w:szCs w:val="22"/>
          <w:lang w:val="sl-SI"/>
        </w:rPr>
        <w:t>lojemalci – RO)</w:t>
      </w:r>
    </w:p>
    <w:p w:rsidR="00426670" w:rsidRPr="00694252" w:rsidRDefault="00426670" w:rsidP="009C3C47">
      <w:pPr>
        <w:keepNext/>
        <w:keepLines/>
        <w:rPr>
          <w:lang w:val="sl-SI"/>
        </w:rPr>
      </w:pPr>
    </w:p>
    <w:p w:rsidR="00426670" w:rsidRPr="00426670" w:rsidRDefault="00426670" w:rsidP="00426670">
      <w:pPr>
        <w:rPr>
          <w:szCs w:val="22"/>
          <w:lang w:val="sl-SI"/>
        </w:rPr>
      </w:pPr>
      <w:r w:rsidRPr="00426670">
        <w:rPr>
          <w:b/>
          <w:szCs w:val="22"/>
          <w:lang w:val="sl-SI"/>
        </w:rPr>
        <w:t>Referenčni dokument:</w:t>
      </w:r>
      <w:r w:rsidR="00694252">
        <w:rPr>
          <w:szCs w:val="22"/>
          <w:lang w:val="sl-SI"/>
        </w:rPr>
        <w:t xml:space="preserve"> </w:t>
      </w:r>
      <w:r w:rsidRPr="00426670">
        <w:rPr>
          <w:szCs w:val="22"/>
          <w:lang w:val="sl-SI"/>
        </w:rPr>
        <w:t>EESC-2017-01220-00-00-AC-TRA</w:t>
      </w:r>
    </w:p>
    <w:p w:rsidR="00426670" w:rsidRPr="00694252" w:rsidRDefault="00426670" w:rsidP="00426670">
      <w:pPr>
        <w:rPr>
          <w:lang w:val="sl-SI"/>
        </w:rPr>
      </w:pPr>
    </w:p>
    <w:p w:rsidR="00426670" w:rsidRPr="00426670" w:rsidRDefault="00426670" w:rsidP="00426670">
      <w:pPr>
        <w:rPr>
          <w:b/>
          <w:szCs w:val="22"/>
          <w:highlight w:val="yellow"/>
          <w:lang w:val="sl-SI"/>
        </w:rPr>
      </w:pPr>
      <w:r w:rsidRPr="00426670">
        <w:rPr>
          <w:b/>
          <w:szCs w:val="22"/>
          <w:lang w:val="sl-SI"/>
        </w:rPr>
        <w:t>Glavne točke:</w:t>
      </w:r>
    </w:p>
    <w:p w:rsidR="00426670" w:rsidRPr="007826C9" w:rsidRDefault="00426670" w:rsidP="00426670">
      <w:pPr>
        <w:rPr>
          <w:highlight w:val="yellow"/>
          <w:lang w:val="sl-SI"/>
        </w:rPr>
      </w:pPr>
    </w:p>
    <w:p w:rsidR="00426670" w:rsidRPr="00426670" w:rsidRDefault="00426670" w:rsidP="00426670">
      <w:pPr>
        <w:rPr>
          <w:szCs w:val="22"/>
          <w:lang w:val="sl-SI"/>
        </w:rPr>
      </w:pPr>
      <w:r w:rsidRPr="00426670">
        <w:rPr>
          <w:szCs w:val="22"/>
          <w:lang w:val="sl-SI"/>
        </w:rPr>
        <w:t>EESO glede na navedeno:</w:t>
      </w:r>
    </w:p>
    <w:p w:rsidR="00426670" w:rsidRPr="00426670" w:rsidRDefault="00426670" w:rsidP="00426670">
      <w:pPr>
        <w:rPr>
          <w:szCs w:val="22"/>
          <w:highlight w:val="yellow"/>
          <w:lang w:val="sl-SI"/>
        </w:rPr>
      </w:pPr>
    </w:p>
    <w:p w:rsidR="00426670" w:rsidRPr="00676CF9" w:rsidRDefault="00426670" w:rsidP="00662D93">
      <w:pPr>
        <w:numPr>
          <w:ilvl w:val="0"/>
          <w:numId w:val="15"/>
        </w:numPr>
        <w:tabs>
          <w:tab w:val="clear" w:pos="0"/>
        </w:tabs>
        <w:ind w:left="567" w:hanging="567"/>
        <w:rPr>
          <w:lang w:val="sl-SI"/>
        </w:rPr>
      </w:pPr>
      <w:r w:rsidRPr="00676CF9">
        <w:rPr>
          <w:lang w:val="sl-SI"/>
        </w:rPr>
        <w:t>priporoča državam članicam in institucijam EU, da te nove oblike zaposlovanja uredijo tako, da bo mogoče jasno opredeliti delodajalce in delavce. V zvezi s tem priporoča, da se uporabi sodna praksa Sodišča Evropske unije, v skladu s katero je status delavca priznan osebam, ki sicer nimajo standardne pogodbe o zaposlitvi, vendar pa so zaradi opravljanja plačane dejavnosti v odvisnem razmerju;</w:t>
      </w:r>
    </w:p>
    <w:p w:rsidR="00426670" w:rsidRPr="00676CF9" w:rsidRDefault="00426670" w:rsidP="007826C9">
      <w:pPr>
        <w:rPr>
          <w:lang w:val="sl-SI"/>
        </w:rPr>
      </w:pPr>
    </w:p>
    <w:p w:rsidR="00426670" w:rsidRPr="00676CF9" w:rsidRDefault="00426670" w:rsidP="00662D93">
      <w:pPr>
        <w:numPr>
          <w:ilvl w:val="0"/>
          <w:numId w:val="15"/>
        </w:numPr>
        <w:tabs>
          <w:tab w:val="clear" w:pos="0"/>
        </w:tabs>
        <w:ind w:left="567" w:hanging="567"/>
        <w:rPr>
          <w:lang w:val="sl-SI"/>
        </w:rPr>
      </w:pPr>
      <w:r w:rsidRPr="00676CF9">
        <w:rPr>
          <w:lang w:val="sl-SI"/>
        </w:rPr>
        <w:t>meni, da bi bilo treba v razpravo o razvoju evropskega stebra socialnih pravic, ki jo organizira Evropska komisija, nujno vključiti tudi položaj delavcev v novih oblikah dela, še zlasti pa način priznavanja njihovega statusa in zagotavljanje, da imajo ustrezen dostop do sistemov socialne varnosti in socialne zaščite;</w:t>
      </w:r>
    </w:p>
    <w:p w:rsidR="00426670" w:rsidRPr="00676CF9" w:rsidRDefault="00426670" w:rsidP="007826C9">
      <w:pPr>
        <w:rPr>
          <w:lang w:val="sl-SI"/>
        </w:rPr>
      </w:pPr>
    </w:p>
    <w:p w:rsidR="00426670" w:rsidRPr="00676CF9" w:rsidRDefault="00426670" w:rsidP="00662D93">
      <w:pPr>
        <w:numPr>
          <w:ilvl w:val="0"/>
          <w:numId w:val="15"/>
        </w:numPr>
        <w:tabs>
          <w:tab w:val="clear" w:pos="0"/>
        </w:tabs>
        <w:ind w:left="567" w:hanging="567"/>
        <w:rPr>
          <w:lang w:val="sl-SI"/>
        </w:rPr>
      </w:pPr>
      <w:r w:rsidRPr="00676CF9">
        <w:rPr>
          <w:lang w:val="sl-SI"/>
        </w:rPr>
        <w:t>priporoča, da države članice razmislijo, da bi elektronske sisteme upravljavcev nacionalnih pokojninskih sistemov in sistemov zdravstvenega zavarovanja povezale s sistemi davčnih uprav. Tako bi lahko hitro ugotovile, kdo nima statusa zavarovanca v javnem pokojninskem sistemu, čeprav prejema dohodke iz dela, in bi ga lahko hitro vključile med zavarovance;</w:t>
      </w:r>
    </w:p>
    <w:p w:rsidR="00426670" w:rsidRPr="00676CF9" w:rsidRDefault="00426670" w:rsidP="007826C9">
      <w:pPr>
        <w:rPr>
          <w:lang w:val="sl-SI"/>
        </w:rPr>
      </w:pPr>
    </w:p>
    <w:p w:rsidR="00426670" w:rsidRPr="00676CF9" w:rsidRDefault="00426670" w:rsidP="00662D93">
      <w:pPr>
        <w:numPr>
          <w:ilvl w:val="0"/>
          <w:numId w:val="15"/>
        </w:numPr>
        <w:tabs>
          <w:tab w:val="clear" w:pos="0"/>
        </w:tabs>
        <w:ind w:left="567" w:hanging="567"/>
        <w:rPr>
          <w:lang w:val="sl-SI"/>
        </w:rPr>
      </w:pPr>
      <w:r w:rsidRPr="00676CF9">
        <w:rPr>
          <w:lang w:val="sl-SI"/>
        </w:rPr>
        <w:t>meni, da bi morale države članice preučiti možnost, da v svojo pokojninsko zakonodajo vključijo zahtevo o obveznem plačevanju prispevkov za vse</w:t>
      </w:r>
      <w:r w:rsidR="007826C9" w:rsidRPr="00676CF9">
        <w:rPr>
          <w:lang w:val="sl-SI"/>
        </w:rPr>
        <w:t>, ki prejemajo dohodke iz dela;</w:t>
      </w:r>
    </w:p>
    <w:p w:rsidR="00426670" w:rsidRPr="00676CF9" w:rsidRDefault="00426670" w:rsidP="007826C9">
      <w:pPr>
        <w:rPr>
          <w:lang w:val="sl-SI"/>
        </w:rPr>
      </w:pPr>
    </w:p>
    <w:p w:rsidR="00426670" w:rsidRPr="00676CF9" w:rsidRDefault="00426670" w:rsidP="00662D93">
      <w:pPr>
        <w:numPr>
          <w:ilvl w:val="0"/>
          <w:numId w:val="15"/>
        </w:numPr>
        <w:tabs>
          <w:tab w:val="clear" w:pos="0"/>
        </w:tabs>
        <w:ind w:left="567" w:hanging="567"/>
        <w:rPr>
          <w:lang w:val="sl-SI"/>
        </w:rPr>
      </w:pPr>
      <w:r w:rsidRPr="00676CF9">
        <w:rPr>
          <w:lang w:val="sl-SI"/>
        </w:rPr>
        <w:t xml:space="preserve">poziva države članice, naj preučijo možnosti za financiranje sistemov socialne varnosti z instrumenti, ki zagotavljajo vzdržnost teh sistemov, hkrati pa omogočajo, da so odprti za ljudi, ki so zaposleni v novih oblikah dela. Da bi tudi v prihodnje zagotovili vzdržnost sistemov socialne varnosti in razbremenili delovno silo, bi lahko razmislili o tem, da se v ta namen uporabi del koristi, ki jih prinaša digitalizacija (angl. </w:t>
      </w:r>
      <w:r w:rsidRPr="00676CF9">
        <w:rPr>
          <w:i/>
          <w:lang w:val="sl-SI"/>
        </w:rPr>
        <w:t>digitisation dividend</w:t>
      </w:r>
      <w:r w:rsidRPr="00676CF9">
        <w:rPr>
          <w:lang w:val="sl-SI"/>
        </w:rPr>
        <w:t>);</w:t>
      </w:r>
    </w:p>
    <w:p w:rsidR="00426670" w:rsidRPr="00676CF9" w:rsidRDefault="00426670" w:rsidP="007826C9">
      <w:pPr>
        <w:rPr>
          <w:lang w:val="sl-SI"/>
        </w:rPr>
      </w:pPr>
    </w:p>
    <w:p w:rsidR="00426670" w:rsidRPr="00676CF9" w:rsidRDefault="00426670" w:rsidP="00662D93">
      <w:pPr>
        <w:numPr>
          <w:ilvl w:val="0"/>
          <w:numId w:val="15"/>
        </w:numPr>
        <w:tabs>
          <w:tab w:val="clear" w:pos="0"/>
        </w:tabs>
        <w:ind w:left="567" w:hanging="567"/>
        <w:rPr>
          <w:lang w:val="sl-SI"/>
        </w:rPr>
      </w:pPr>
      <w:r w:rsidRPr="00676CF9">
        <w:rPr>
          <w:lang w:val="sl-SI"/>
        </w:rPr>
        <w:t>in priporoča, da se dodatno prouči predlog o vzpostavitvi univerzalnega zavarovanja na ravni EU.</w:t>
      </w:r>
    </w:p>
    <w:p w:rsidR="00426670" w:rsidRPr="00676CF9" w:rsidRDefault="00426670" w:rsidP="007826C9">
      <w:pPr>
        <w:rPr>
          <w:lang w:val="sl-SI"/>
        </w:rPr>
      </w:pPr>
    </w:p>
    <w:p w:rsidR="00426670" w:rsidRPr="007826C9" w:rsidRDefault="00426670" w:rsidP="00426670">
      <w:pPr>
        <w:rPr>
          <w:i/>
          <w:szCs w:val="22"/>
          <w:lang w:val="sl-SI"/>
        </w:rPr>
      </w:pPr>
      <w:r w:rsidRPr="007826C9">
        <w:rPr>
          <w:b/>
          <w:i/>
          <w:szCs w:val="22"/>
          <w:lang w:val="sl-SI"/>
        </w:rPr>
        <w:t>Kontaktna oseba:</w:t>
      </w:r>
      <w:r w:rsidR="007826C9">
        <w:rPr>
          <w:i/>
          <w:szCs w:val="22"/>
          <w:lang w:val="sl-SI"/>
        </w:rPr>
        <w:t xml:space="preserve"> </w:t>
      </w:r>
      <w:r w:rsidRPr="007826C9">
        <w:rPr>
          <w:i/>
          <w:szCs w:val="22"/>
          <w:lang w:val="sl-SI"/>
        </w:rPr>
        <w:t>Maria Judite Berkemeier</w:t>
      </w:r>
    </w:p>
    <w:p w:rsidR="00426670" w:rsidRPr="007826C9" w:rsidRDefault="00426670" w:rsidP="00426670">
      <w:pPr>
        <w:rPr>
          <w:i/>
          <w:caps/>
          <w:szCs w:val="22"/>
          <w:lang w:val="sl-SI"/>
        </w:rPr>
      </w:pPr>
      <w:r w:rsidRPr="007826C9">
        <w:rPr>
          <w:i/>
          <w:szCs w:val="22"/>
          <w:lang w:val="sl-SI"/>
        </w:rPr>
        <w:t xml:space="preserve">(tel.: 00 32 2 546 9897 – e-naslov: </w:t>
      </w:r>
      <w:hyperlink r:id="rId29">
        <w:r w:rsidRPr="007826C9">
          <w:rPr>
            <w:rStyle w:val="Hyperlink"/>
            <w:i/>
            <w:szCs w:val="22"/>
            <w:lang w:val="sl-SI"/>
          </w:rPr>
          <w:t>judite.berkemeier@eesc.europa.eu</w:t>
        </w:r>
      </w:hyperlink>
      <w:r w:rsidRPr="007826C9">
        <w:rPr>
          <w:i/>
          <w:szCs w:val="22"/>
          <w:lang w:val="sl-SI"/>
        </w:rPr>
        <w:t>)</w:t>
      </w:r>
    </w:p>
    <w:p w:rsidR="00426670" w:rsidRPr="00426670" w:rsidRDefault="00426670" w:rsidP="00426670">
      <w:pPr>
        <w:rPr>
          <w:caps/>
          <w:szCs w:val="22"/>
          <w:lang w:val="sl-SI"/>
        </w:rPr>
      </w:pPr>
    </w:p>
    <w:p w:rsidR="00426670" w:rsidRPr="00A72A08" w:rsidRDefault="00426670" w:rsidP="00C45817">
      <w:pPr>
        <w:keepNext/>
        <w:keepLines/>
        <w:numPr>
          <w:ilvl w:val="0"/>
          <w:numId w:val="2"/>
        </w:numPr>
        <w:ind w:hanging="567"/>
        <w:rPr>
          <w:b/>
          <w:i/>
          <w:sz w:val="28"/>
          <w:szCs w:val="22"/>
          <w:lang w:val="sl-SI"/>
        </w:rPr>
      </w:pPr>
      <w:r w:rsidRPr="00A72A08">
        <w:rPr>
          <w:b/>
          <w:i/>
          <w:sz w:val="28"/>
          <w:szCs w:val="22"/>
          <w:lang w:val="sl-SI"/>
        </w:rPr>
        <w:t>Sodelovanje s civilno družbo za preprečevanje radikalizacije mladih</w:t>
      </w:r>
    </w:p>
    <w:p w:rsidR="00426670" w:rsidRPr="007826C9" w:rsidRDefault="00426670" w:rsidP="00C45817">
      <w:pPr>
        <w:keepNext/>
        <w:keepLines/>
        <w:rPr>
          <w:lang w:val="sl-SI"/>
        </w:rPr>
      </w:pPr>
    </w:p>
    <w:p w:rsidR="00426670" w:rsidRPr="00426670" w:rsidRDefault="00426670" w:rsidP="00C45817">
      <w:pPr>
        <w:keepNext/>
        <w:keepLines/>
        <w:rPr>
          <w:szCs w:val="22"/>
          <w:lang w:val="sl-SI"/>
        </w:rPr>
      </w:pPr>
      <w:r w:rsidRPr="00426670">
        <w:rPr>
          <w:b/>
          <w:szCs w:val="22"/>
          <w:lang w:val="sl-SI"/>
        </w:rPr>
        <w:t>Poročevalec:</w:t>
      </w:r>
      <w:r w:rsidR="00F90D07">
        <w:rPr>
          <w:szCs w:val="22"/>
          <w:lang w:val="sl-SI"/>
        </w:rPr>
        <w:t xml:space="preserve"> </w:t>
      </w:r>
      <w:r w:rsidRPr="00426670">
        <w:rPr>
          <w:szCs w:val="22"/>
          <w:lang w:val="sl-SI"/>
        </w:rPr>
        <w:t xml:space="preserve">Christian </w:t>
      </w:r>
      <w:r w:rsidR="0027600E" w:rsidRPr="00426670">
        <w:rPr>
          <w:szCs w:val="22"/>
          <w:lang w:val="sl-SI"/>
        </w:rPr>
        <w:t xml:space="preserve">MOOS </w:t>
      </w:r>
      <w:r w:rsidR="002947BA">
        <w:rPr>
          <w:szCs w:val="22"/>
          <w:lang w:val="sl-SI"/>
        </w:rPr>
        <w:t>(razne dejavnosti – DE)</w:t>
      </w:r>
    </w:p>
    <w:p w:rsidR="00426670" w:rsidRPr="00426670" w:rsidRDefault="00426670" w:rsidP="00C45817">
      <w:pPr>
        <w:keepNext/>
        <w:keepLines/>
        <w:rPr>
          <w:szCs w:val="22"/>
          <w:lang w:val="sl-SI"/>
        </w:rPr>
      </w:pPr>
    </w:p>
    <w:p w:rsidR="00426670" w:rsidRPr="00426670" w:rsidRDefault="00426670" w:rsidP="00C45817">
      <w:pPr>
        <w:pStyle w:val="Footer"/>
        <w:keepNext/>
        <w:keepLines/>
        <w:rPr>
          <w:szCs w:val="22"/>
          <w:lang w:val="sl-SI"/>
        </w:rPr>
      </w:pPr>
      <w:r w:rsidRPr="00426670">
        <w:rPr>
          <w:b/>
          <w:szCs w:val="22"/>
          <w:lang w:val="sl-SI"/>
        </w:rPr>
        <w:t>Referenčni dokument:</w:t>
      </w:r>
      <w:r w:rsidR="00F90D07">
        <w:rPr>
          <w:szCs w:val="22"/>
          <w:lang w:val="sl-SI"/>
        </w:rPr>
        <w:t xml:space="preserve"> </w:t>
      </w:r>
      <w:r w:rsidRPr="00426670">
        <w:rPr>
          <w:szCs w:val="22"/>
          <w:lang w:val="sl-SI"/>
        </w:rPr>
        <w:t>EESC-2017-02650-00-00-AC-TRA (EN)</w:t>
      </w:r>
    </w:p>
    <w:p w:rsidR="00426670" w:rsidRPr="00F90D07" w:rsidRDefault="00426670" w:rsidP="00C45817">
      <w:pPr>
        <w:pStyle w:val="Footer"/>
        <w:keepNext/>
        <w:keepLines/>
        <w:rPr>
          <w:lang w:val="sl-SI"/>
        </w:rPr>
      </w:pPr>
    </w:p>
    <w:p w:rsidR="00426670" w:rsidRPr="00426670" w:rsidRDefault="00F90D07" w:rsidP="00426670">
      <w:pPr>
        <w:rPr>
          <w:b/>
          <w:szCs w:val="22"/>
          <w:lang w:val="sl-SI"/>
        </w:rPr>
      </w:pPr>
      <w:r>
        <w:rPr>
          <w:b/>
          <w:szCs w:val="22"/>
          <w:lang w:val="sl-SI"/>
        </w:rPr>
        <w:t>Glavne točke:</w:t>
      </w:r>
    </w:p>
    <w:p w:rsidR="00426670" w:rsidRPr="00426670" w:rsidRDefault="00426670" w:rsidP="00426670">
      <w:pPr>
        <w:pStyle w:val="Footer"/>
        <w:rPr>
          <w:szCs w:val="22"/>
          <w:lang w:val="sl-SI"/>
        </w:rPr>
      </w:pPr>
    </w:p>
    <w:p w:rsidR="00426670" w:rsidRPr="00426670" w:rsidRDefault="00426670" w:rsidP="00012120">
      <w:pPr>
        <w:numPr>
          <w:ilvl w:val="0"/>
          <w:numId w:val="15"/>
        </w:numPr>
        <w:tabs>
          <w:tab w:val="clear" w:pos="0"/>
        </w:tabs>
        <w:ind w:left="567" w:hanging="567"/>
        <w:rPr>
          <w:lang w:val="sl-SI"/>
        </w:rPr>
      </w:pPr>
      <w:r w:rsidRPr="00426670">
        <w:rPr>
          <w:lang w:val="sl-SI"/>
        </w:rPr>
        <w:t xml:space="preserve">EESO podpira sprejetje večagencijskega pristopa k preprečevanju radikalizacije, v katerem imajo pomembno vlogo organizacije civilne družbe. EU in države članice bi morale pokazati trdno zavezanost preprečevanju radikalizacije in tesneje sodelovati z organizacijami civilne družbe v tretjih državah in državah pristopnicah. Organizacijam civilne družbe ter usklajevanju, povezovanju v mreže in izvajanju politik na ravni EU morajo nameniti bolj trajnostno </w:t>
      </w:r>
      <w:r w:rsidR="003A77F3">
        <w:rPr>
          <w:lang w:val="sl-SI"/>
        </w:rPr>
        <w:t>in dolgoročno finančno podporo.</w:t>
      </w:r>
    </w:p>
    <w:p w:rsidR="00426670" w:rsidRPr="00426670" w:rsidRDefault="00426670" w:rsidP="003A77F3">
      <w:pPr>
        <w:rPr>
          <w:lang w:val="sl-SI"/>
        </w:rPr>
      </w:pPr>
    </w:p>
    <w:p w:rsidR="00426670" w:rsidRPr="00426670" w:rsidRDefault="00426670" w:rsidP="00012120">
      <w:pPr>
        <w:numPr>
          <w:ilvl w:val="0"/>
          <w:numId w:val="15"/>
        </w:numPr>
        <w:tabs>
          <w:tab w:val="clear" w:pos="0"/>
        </w:tabs>
        <w:ind w:left="567" w:hanging="567"/>
        <w:rPr>
          <w:lang w:val="sl-SI"/>
        </w:rPr>
      </w:pPr>
      <w:r w:rsidRPr="00426670">
        <w:rPr>
          <w:lang w:val="sl-SI"/>
        </w:rPr>
        <w:t xml:space="preserve">Države članice bi morale v celoti izkoriščati instrumente in programe EU za preprečevanje radikalizacije. Mrežo RAN, ki jo je dala na voljo Komisija, je treba bolje prilagoditi lokalnim strukturam civilne družbe ter jo bolje opremiti z osebjem in sredstvi. Strukture civilne družbe in socialnih partnerjev morajo biti bolj vključene v mrežo RAN in države članice morajo biti bolj dejavne pri spodbujanju struktur, podobnih tej mreži, </w:t>
      </w:r>
      <w:r w:rsidR="003A77F3">
        <w:rPr>
          <w:lang w:val="sl-SI"/>
        </w:rPr>
        <w:t>na lokalni in regionalni ravni.</w:t>
      </w:r>
    </w:p>
    <w:p w:rsidR="00426670" w:rsidRPr="00426670" w:rsidRDefault="00426670" w:rsidP="003A77F3">
      <w:pPr>
        <w:rPr>
          <w:lang w:val="sl-SI"/>
        </w:rPr>
      </w:pPr>
    </w:p>
    <w:p w:rsidR="00426670" w:rsidRPr="00426670" w:rsidRDefault="00426670" w:rsidP="00012120">
      <w:pPr>
        <w:numPr>
          <w:ilvl w:val="0"/>
          <w:numId w:val="15"/>
        </w:numPr>
        <w:tabs>
          <w:tab w:val="clear" w:pos="0"/>
        </w:tabs>
        <w:ind w:left="567" w:hanging="567"/>
        <w:rPr>
          <w:lang w:val="sl-SI"/>
        </w:rPr>
      </w:pPr>
      <w:r w:rsidRPr="00426670">
        <w:rPr>
          <w:lang w:val="sl-SI"/>
        </w:rPr>
        <w:t>Sindikati morajo igrati pomembno vlogo, saj med drugim predstavljajo zaposlene v vseh pomembnih javnih sektorjih. Osebje, ki dela z ljudmi, mora biti še posebej usposobljeno za preprečevanje radikalizacije. Potrebne so naložbe v mladinske organizacije, ki ponujajo alternativne strukture in možnosti za oblikovanje identitete, ter varni prostor za dialog in osebno izražanje. EESO poudarja bistveno vlogo verskih skupnosti in poziva k bolj strateškim prizadevanjem za varovanje pravil in vrednot liberalne demokracije. K preprečevanju radikalizacije lahko pripomorejo dejavna partnerstva s podjetji. Boju proti sovražnemu govoru, „alternativnim dejstvom“ in ekstremistični propagandi se morajo v svojih medijskih hišah pridružiti tudi družbeni mediji.</w:t>
      </w:r>
    </w:p>
    <w:p w:rsidR="00426670" w:rsidRPr="00426670" w:rsidRDefault="00426670" w:rsidP="003A77F3">
      <w:pPr>
        <w:rPr>
          <w:lang w:val="sl-SI"/>
        </w:rPr>
      </w:pPr>
    </w:p>
    <w:p w:rsidR="00426670" w:rsidRPr="00426670" w:rsidRDefault="00426670" w:rsidP="00012120">
      <w:pPr>
        <w:numPr>
          <w:ilvl w:val="0"/>
          <w:numId w:val="15"/>
        </w:numPr>
        <w:tabs>
          <w:tab w:val="clear" w:pos="0"/>
        </w:tabs>
        <w:ind w:left="567" w:hanging="567"/>
        <w:rPr>
          <w:lang w:val="sl-SI"/>
        </w:rPr>
      </w:pPr>
      <w:r w:rsidRPr="00426670">
        <w:rPr>
          <w:lang w:val="sl-SI"/>
        </w:rPr>
        <w:t>EESO poudarja pomen vključujočega formalnega in neformalnega izobraževanja, ki je nujno potrebno za aktivno udeležbo v raznoliki družbi, poučevanja kritičnega razmišljanja in medijske pismenosti. EESO poziva k prednostni okrepitvi naložb v boju proti revščini ter za vključevanje mladih v družbo, sistem izobraževanja in na trg dela.</w:t>
      </w:r>
    </w:p>
    <w:p w:rsidR="00426670" w:rsidRPr="00426670" w:rsidRDefault="00426670" w:rsidP="003A77F3">
      <w:pPr>
        <w:rPr>
          <w:lang w:val="sl-SI"/>
        </w:rPr>
      </w:pPr>
    </w:p>
    <w:p w:rsidR="00426670" w:rsidRPr="00426670" w:rsidRDefault="00426670" w:rsidP="00012120">
      <w:pPr>
        <w:numPr>
          <w:ilvl w:val="0"/>
          <w:numId w:val="15"/>
        </w:numPr>
        <w:tabs>
          <w:tab w:val="clear" w:pos="0"/>
        </w:tabs>
        <w:ind w:left="567" w:hanging="567"/>
        <w:rPr>
          <w:lang w:val="sl-SI"/>
        </w:rPr>
      </w:pPr>
      <w:r w:rsidRPr="00426670">
        <w:rPr>
          <w:lang w:val="sl-SI"/>
        </w:rPr>
        <w:t>Pomembno je, da se ustavijo finančni tokovi znotraj EU in iz tretjih držav, ki podpirajo ekstremistične strukture, saj to spodkopava prizadevanja javnih organov in civilne družbe za preprečevanje radikalizacije.</w:t>
      </w:r>
    </w:p>
    <w:p w:rsidR="00426670" w:rsidRPr="00426670" w:rsidRDefault="00426670" w:rsidP="003A77F3">
      <w:pPr>
        <w:rPr>
          <w:lang w:val="sl-SI"/>
        </w:rPr>
      </w:pPr>
    </w:p>
    <w:p w:rsidR="00426670" w:rsidRPr="003A77F3" w:rsidRDefault="00426670" w:rsidP="00426670">
      <w:pPr>
        <w:rPr>
          <w:i/>
          <w:szCs w:val="22"/>
          <w:lang w:val="sl-SI"/>
        </w:rPr>
      </w:pPr>
      <w:r w:rsidRPr="003A77F3">
        <w:rPr>
          <w:b/>
          <w:i/>
          <w:szCs w:val="22"/>
          <w:lang w:val="sl-SI"/>
        </w:rPr>
        <w:t>Kontaktna oseba:</w:t>
      </w:r>
      <w:r w:rsidRPr="003A77F3">
        <w:rPr>
          <w:i/>
          <w:szCs w:val="22"/>
          <w:lang w:val="sl-SI"/>
        </w:rPr>
        <w:t xml:space="preserve"> Annemarie Wiersma</w:t>
      </w:r>
    </w:p>
    <w:p w:rsidR="00426670" w:rsidRPr="003A77F3" w:rsidRDefault="00426670" w:rsidP="00426670">
      <w:pPr>
        <w:rPr>
          <w:i/>
          <w:iCs/>
          <w:szCs w:val="22"/>
          <w:u w:val="single"/>
          <w:lang w:val="sl-SI"/>
        </w:rPr>
      </w:pPr>
      <w:r w:rsidRPr="003A77F3">
        <w:rPr>
          <w:i/>
          <w:szCs w:val="22"/>
          <w:lang w:val="sl-SI"/>
        </w:rPr>
        <w:t xml:space="preserve">(tel.: 00 32 2 546 </w:t>
      </w:r>
      <w:r w:rsidR="003A77F3">
        <w:rPr>
          <w:i/>
          <w:szCs w:val="22"/>
          <w:lang w:val="sl-SI"/>
        </w:rPr>
        <w:t>93</w:t>
      </w:r>
      <w:r w:rsidRPr="003A77F3">
        <w:rPr>
          <w:i/>
          <w:szCs w:val="22"/>
          <w:lang w:val="sl-SI"/>
        </w:rPr>
        <w:t xml:space="preserve">76 – e-naslov: </w:t>
      </w:r>
      <w:hyperlink r:id="rId30">
        <w:r w:rsidRPr="003A77F3">
          <w:rPr>
            <w:rStyle w:val="Hyperlink"/>
            <w:i/>
            <w:szCs w:val="22"/>
            <w:lang w:val="sl-SI"/>
          </w:rPr>
          <w:t>annemarie.wiersma@eesc.europa.eu</w:t>
        </w:r>
      </w:hyperlink>
      <w:r w:rsidRPr="003A77F3">
        <w:rPr>
          <w:i/>
          <w:szCs w:val="22"/>
          <w:lang w:val="sl-SI"/>
        </w:rPr>
        <w:t>)</w:t>
      </w:r>
    </w:p>
    <w:p w:rsidR="003A77F3" w:rsidRDefault="003A77F3" w:rsidP="00426670">
      <w:pPr>
        <w:rPr>
          <w:szCs w:val="22"/>
          <w:lang w:val="sl-SI"/>
        </w:rPr>
      </w:pPr>
    </w:p>
    <w:p w:rsidR="003A77F3" w:rsidRDefault="003A77F3" w:rsidP="00426670">
      <w:pPr>
        <w:rPr>
          <w:szCs w:val="22"/>
          <w:lang w:val="sl-SI"/>
        </w:rPr>
      </w:pPr>
    </w:p>
    <w:p w:rsidR="00426670" w:rsidRPr="00366169" w:rsidRDefault="008F6957" w:rsidP="00600466">
      <w:pPr>
        <w:pStyle w:val="Heading1"/>
        <w:keepNext/>
        <w:keepLines/>
        <w:overflowPunct/>
        <w:autoSpaceDE/>
        <w:autoSpaceDN/>
        <w:adjustRightInd/>
        <w:ind w:left="567" w:hanging="567"/>
        <w:textAlignment w:val="auto"/>
        <w:rPr>
          <w:sz w:val="28"/>
          <w:szCs w:val="28"/>
          <w:lang w:val="sl-SI"/>
        </w:rPr>
      </w:pPr>
      <w:bookmarkStart w:id="24" w:name="_Toc501447760"/>
      <w:bookmarkStart w:id="25" w:name="_Toc502741925"/>
      <w:bookmarkStart w:id="26" w:name="_Toc502829137"/>
      <w:r w:rsidRPr="00481A39">
        <w:rPr>
          <w:b/>
          <w:sz w:val="28"/>
          <w:szCs w:val="28"/>
          <w:lang w:val="sl-SI"/>
        </w:rPr>
        <w:t>ZUNANJI ODNOSI</w:t>
      </w:r>
      <w:bookmarkEnd w:id="24"/>
      <w:bookmarkEnd w:id="25"/>
      <w:bookmarkEnd w:id="26"/>
    </w:p>
    <w:p w:rsidR="00426670" w:rsidRPr="003A77F3" w:rsidRDefault="00426670" w:rsidP="00600466">
      <w:pPr>
        <w:keepNext/>
        <w:keepLines/>
        <w:rPr>
          <w:lang w:val="sl-SI"/>
        </w:rPr>
      </w:pPr>
    </w:p>
    <w:p w:rsidR="00426670" w:rsidRPr="00A72A08" w:rsidRDefault="00426670" w:rsidP="00600466">
      <w:pPr>
        <w:keepNext/>
        <w:keepLines/>
        <w:numPr>
          <w:ilvl w:val="0"/>
          <w:numId w:val="2"/>
        </w:numPr>
        <w:ind w:hanging="567"/>
        <w:rPr>
          <w:b/>
          <w:i/>
          <w:sz w:val="28"/>
          <w:szCs w:val="22"/>
          <w:lang w:val="sl-SI"/>
        </w:rPr>
      </w:pPr>
      <w:r w:rsidRPr="00A72A08">
        <w:rPr>
          <w:b/>
          <w:i/>
          <w:sz w:val="28"/>
          <w:szCs w:val="22"/>
          <w:lang w:val="sl-SI"/>
        </w:rPr>
        <w:t>Modro gospodarstvo v zahodnem Sredozemlju</w:t>
      </w:r>
    </w:p>
    <w:p w:rsidR="00426670" w:rsidRPr="003A77F3" w:rsidRDefault="00426670" w:rsidP="00600466">
      <w:pPr>
        <w:keepNext/>
        <w:keepLines/>
        <w:rPr>
          <w:lang w:val="sl-SI"/>
        </w:rPr>
      </w:pPr>
    </w:p>
    <w:p w:rsidR="00426670" w:rsidRPr="00426670" w:rsidRDefault="00426670" w:rsidP="00600466">
      <w:pPr>
        <w:keepNext/>
        <w:keepLines/>
        <w:rPr>
          <w:szCs w:val="22"/>
          <w:lang w:val="sl-SI"/>
        </w:rPr>
      </w:pPr>
      <w:r w:rsidRPr="00426670">
        <w:rPr>
          <w:b/>
          <w:szCs w:val="22"/>
          <w:lang w:val="sl-SI"/>
        </w:rPr>
        <w:t>Poročevalec:</w:t>
      </w:r>
      <w:r w:rsidR="003A77F3">
        <w:rPr>
          <w:szCs w:val="22"/>
          <w:lang w:val="sl-SI"/>
        </w:rPr>
        <w:t xml:space="preserve"> </w:t>
      </w:r>
      <w:r w:rsidRPr="00426670">
        <w:rPr>
          <w:szCs w:val="22"/>
          <w:lang w:val="sl-SI"/>
        </w:rPr>
        <w:t xml:space="preserve">Dimitris </w:t>
      </w:r>
      <w:r w:rsidR="008F6957" w:rsidRPr="00426670">
        <w:rPr>
          <w:szCs w:val="22"/>
          <w:lang w:val="sl-SI"/>
        </w:rPr>
        <w:t xml:space="preserve">DIMITRIADIS </w:t>
      </w:r>
      <w:r w:rsidRPr="00426670">
        <w:rPr>
          <w:szCs w:val="22"/>
          <w:lang w:val="sl-SI"/>
        </w:rPr>
        <w:t>(delodajalci – EL)</w:t>
      </w:r>
    </w:p>
    <w:p w:rsidR="00426670" w:rsidRPr="003A77F3" w:rsidRDefault="00426670" w:rsidP="00600466">
      <w:pPr>
        <w:keepNext/>
        <w:keepLines/>
        <w:rPr>
          <w:highlight w:val="yellow"/>
          <w:lang w:val="sl-SI"/>
        </w:rPr>
      </w:pPr>
    </w:p>
    <w:p w:rsidR="00426670" w:rsidRPr="00426670" w:rsidRDefault="00426670" w:rsidP="00426670">
      <w:pPr>
        <w:rPr>
          <w:szCs w:val="22"/>
          <w:lang w:val="sl-SI"/>
        </w:rPr>
      </w:pPr>
      <w:r w:rsidRPr="00426670">
        <w:rPr>
          <w:b/>
          <w:szCs w:val="22"/>
          <w:lang w:val="sl-SI"/>
        </w:rPr>
        <w:t>Referenčni dokument</w:t>
      </w:r>
      <w:r w:rsidRPr="003A77F3">
        <w:rPr>
          <w:b/>
          <w:szCs w:val="22"/>
          <w:lang w:val="sl-SI"/>
        </w:rPr>
        <w:t>:</w:t>
      </w:r>
      <w:r w:rsidR="003A77F3">
        <w:rPr>
          <w:szCs w:val="22"/>
          <w:lang w:val="sl-SI"/>
        </w:rPr>
        <w:t xml:space="preserve"> </w:t>
      </w:r>
      <w:r w:rsidRPr="00426670">
        <w:rPr>
          <w:szCs w:val="22"/>
          <w:lang w:val="sl-SI"/>
        </w:rPr>
        <w:t>EESC-2017-03128-00-00-AC-TRA</w:t>
      </w:r>
    </w:p>
    <w:p w:rsidR="00426670" w:rsidRPr="003A77F3" w:rsidRDefault="00426670" w:rsidP="00426670">
      <w:pPr>
        <w:rPr>
          <w:lang w:val="sl-SI"/>
        </w:rPr>
      </w:pPr>
    </w:p>
    <w:p w:rsidR="00426670" w:rsidRPr="00426670" w:rsidRDefault="003A77F3" w:rsidP="00426670">
      <w:pPr>
        <w:rPr>
          <w:szCs w:val="22"/>
          <w:lang w:val="sl-SI"/>
        </w:rPr>
      </w:pPr>
      <w:r>
        <w:rPr>
          <w:b/>
          <w:szCs w:val="22"/>
          <w:lang w:val="sl-SI"/>
        </w:rPr>
        <w:t>Glavne točke:</w:t>
      </w:r>
    </w:p>
    <w:p w:rsidR="00426670" w:rsidRPr="003A77F3" w:rsidRDefault="00426670" w:rsidP="00426670">
      <w:pPr>
        <w:rPr>
          <w:lang w:val="sl-SI"/>
        </w:rPr>
      </w:pPr>
    </w:p>
    <w:p w:rsidR="00426670" w:rsidRPr="00426670" w:rsidRDefault="00426670" w:rsidP="009F33E1">
      <w:pPr>
        <w:numPr>
          <w:ilvl w:val="0"/>
          <w:numId w:val="15"/>
        </w:numPr>
        <w:tabs>
          <w:tab w:val="clear" w:pos="0"/>
        </w:tabs>
        <w:ind w:left="567" w:hanging="567"/>
        <w:rPr>
          <w:lang w:val="sl-SI"/>
        </w:rPr>
      </w:pPr>
      <w:r w:rsidRPr="00426670">
        <w:rPr>
          <w:lang w:val="sl-SI"/>
        </w:rPr>
        <w:t xml:space="preserve">Družbeno in </w:t>
      </w:r>
      <w:r w:rsidRPr="009C4E9E">
        <w:rPr>
          <w:lang w:val="sl-SI"/>
        </w:rPr>
        <w:t>okoljsko</w:t>
      </w:r>
      <w:r w:rsidRPr="00426670">
        <w:rPr>
          <w:lang w:val="sl-SI"/>
        </w:rPr>
        <w:t xml:space="preserve"> trajnostni razvoj morskih in obalnih območij, boj proti obstoječim razlikam ter skrb za ohranjanje kulturne in biotske raznovrstnosti so izjemnega pomena. Evropski ekonomsko-socialni odbor (EESO) v celoti podpira pobudo za trajnostni razvoj modrega gospodarstva v zahodnem Sredozemlju in poziva evropske institucije, naj zaključijo posvetovanja ter ustanovijo ustrezno projektno skupino.</w:t>
      </w:r>
    </w:p>
    <w:p w:rsidR="00426670" w:rsidRPr="00426670" w:rsidRDefault="00426670" w:rsidP="008F6957">
      <w:pPr>
        <w:rPr>
          <w:lang w:val="sl-SI"/>
        </w:rPr>
      </w:pPr>
    </w:p>
    <w:p w:rsidR="00426670" w:rsidRPr="00426670" w:rsidRDefault="00426670" w:rsidP="009F33E1">
      <w:pPr>
        <w:numPr>
          <w:ilvl w:val="0"/>
          <w:numId w:val="15"/>
        </w:numPr>
        <w:tabs>
          <w:tab w:val="clear" w:pos="0"/>
        </w:tabs>
        <w:ind w:left="567" w:hanging="567"/>
        <w:rPr>
          <w:lang w:val="sl-SI"/>
        </w:rPr>
      </w:pPr>
      <w:r w:rsidRPr="00426670">
        <w:rPr>
          <w:lang w:val="sl-SI"/>
        </w:rPr>
        <w:t>EESO meni, da sta za uspeh te pobude potrebna dobra komunikacija in primerno ozračje sodelovanja med vključenimi državami ter evropskimi institucijami. Unijo za Sredozemlje poziva, naj prevzame pomembno vlogo pri učinkovitem povezovanju vseh vpletenih strani.</w:t>
      </w:r>
    </w:p>
    <w:p w:rsidR="00426670" w:rsidRPr="00426670" w:rsidRDefault="00426670" w:rsidP="008F6957">
      <w:pPr>
        <w:rPr>
          <w:lang w:val="sl-SI"/>
        </w:rPr>
      </w:pPr>
    </w:p>
    <w:p w:rsidR="00426670" w:rsidRPr="00426670" w:rsidRDefault="00426670" w:rsidP="009F33E1">
      <w:pPr>
        <w:numPr>
          <w:ilvl w:val="0"/>
          <w:numId w:val="15"/>
        </w:numPr>
        <w:tabs>
          <w:tab w:val="clear" w:pos="0"/>
        </w:tabs>
        <w:ind w:left="567" w:hanging="567"/>
        <w:rPr>
          <w:lang w:val="sl-SI"/>
        </w:rPr>
      </w:pPr>
      <w:r w:rsidRPr="00426670">
        <w:rPr>
          <w:lang w:val="sl-SI"/>
        </w:rPr>
        <w:t>EESO priznava potrebo po razširitvi pobude na naslednje tri načine: poleg izbranih področij ukrepanja v konkretni pobudi – (1) varnejši in bolj zaščiten pomorski prostor, (2) pametno in odporno modro gospodarstvo ter usmerjenost v razvoj znanj in spretnosti, raziskovanje in inovacije, (3) boljše gospodarjenje z morjem – predlaga, da se pobuda tematsko razširi na biotsko raznovrstnost in ohranjanje okolja ter stike med kulturami pa tudi bolj konkretno strategijo v podporo proizvodnih dejavnosti majhnega in zelo majhnega obsega.</w:t>
      </w:r>
    </w:p>
    <w:p w:rsidR="00426670" w:rsidRPr="00426670" w:rsidRDefault="00426670" w:rsidP="008F6957">
      <w:pPr>
        <w:rPr>
          <w:lang w:val="sl-SI"/>
        </w:rPr>
      </w:pPr>
    </w:p>
    <w:p w:rsidR="00426670" w:rsidRPr="00426670" w:rsidRDefault="00426670" w:rsidP="009F33E1">
      <w:pPr>
        <w:numPr>
          <w:ilvl w:val="0"/>
          <w:numId w:val="15"/>
        </w:numPr>
        <w:tabs>
          <w:tab w:val="clear" w:pos="0"/>
        </w:tabs>
        <w:ind w:left="567" w:hanging="567"/>
        <w:rPr>
          <w:lang w:val="sl-SI"/>
        </w:rPr>
      </w:pPr>
      <w:r w:rsidRPr="00426670">
        <w:rPr>
          <w:lang w:val="sl-SI"/>
        </w:rPr>
        <w:t>Poleg tega meni, da bi bilo zelo pomembno vključiti postopni razvoj ter nadnacionalno sodelovanje poklicnih in univerzitetnih izobraževalnih sistemov kot presečno področje delovanja, ki dodatno prispeva k uspešnosti drugih področij modrega gospodarstva.</w:t>
      </w:r>
    </w:p>
    <w:p w:rsidR="00426670" w:rsidRPr="00426670" w:rsidRDefault="00426670" w:rsidP="008F6957">
      <w:pPr>
        <w:rPr>
          <w:lang w:val="sl-SI"/>
        </w:rPr>
      </w:pPr>
    </w:p>
    <w:p w:rsidR="00426670" w:rsidRPr="00426670" w:rsidRDefault="00426670" w:rsidP="009F33E1">
      <w:pPr>
        <w:numPr>
          <w:ilvl w:val="0"/>
          <w:numId w:val="15"/>
        </w:numPr>
        <w:tabs>
          <w:tab w:val="clear" w:pos="0"/>
        </w:tabs>
        <w:ind w:left="567" w:hanging="567"/>
        <w:rPr>
          <w:lang w:val="sl-SI"/>
        </w:rPr>
      </w:pPr>
      <w:r w:rsidRPr="00426670">
        <w:rPr>
          <w:lang w:val="sl-SI"/>
        </w:rPr>
        <w:t>Pomorska (prometna) varnost, varnostna vprašanja, trajnostna gospodarska rast ter ohranjanje kulture in okolja dolgoročno ne bodo deležni učinkovite obravnave, če zanemarimo dejstvo, da je Sredozemlje zgodovinska, gospodarska in okoljska celota. Čeprav je zaradi povečanih geopolitičnih napetosti in zaostrovanja konfliktov v vzhodnem delu morskega bazena sicer mogoče razumeti, zakaj naj bi pobuda zaživela v zahodnem Sredozemlju, jo je treba razumeti kot pilotno uporabo, ki lahko zagotovi koristne izkušnje in načine ravnanja, ki naj se bi razširili v celovit pristop v Sredozemlju.</w:t>
      </w:r>
    </w:p>
    <w:p w:rsidR="00426670" w:rsidRPr="00426670" w:rsidRDefault="00426670" w:rsidP="008F6957">
      <w:pPr>
        <w:rPr>
          <w:lang w:val="sl-SI"/>
        </w:rPr>
      </w:pPr>
    </w:p>
    <w:p w:rsidR="00426670" w:rsidRPr="00426670" w:rsidRDefault="00426670" w:rsidP="000D2E47">
      <w:pPr>
        <w:keepNext/>
        <w:keepLines/>
        <w:numPr>
          <w:ilvl w:val="0"/>
          <w:numId w:val="15"/>
        </w:numPr>
        <w:tabs>
          <w:tab w:val="clear" w:pos="0"/>
        </w:tabs>
        <w:ind w:left="567" w:hanging="567"/>
        <w:rPr>
          <w:lang w:val="sl-SI"/>
        </w:rPr>
      </w:pPr>
      <w:r w:rsidRPr="00426670">
        <w:rPr>
          <w:lang w:val="sl-SI"/>
        </w:rPr>
        <w:t>EESO predvideva, da bo za uspeh te pobude potrebno obsežno nadnacionalno in medsektorsko usklajevanje. To kaže na potrebo po podprojektu tehnične pomo</w:t>
      </w:r>
      <w:r w:rsidR="008F6957">
        <w:rPr>
          <w:lang w:val="sl-SI"/>
        </w:rPr>
        <w:t>či, ki bi obsegal naslednje: 1) </w:t>
      </w:r>
      <w:r w:rsidRPr="00426670">
        <w:rPr>
          <w:lang w:val="sl-SI"/>
        </w:rPr>
        <w:t xml:space="preserve">poglobljeno primerjalno analizo, ki bo opozorila na prekrivanje področij med obstoječo množico pobud s podobno (če ne enako) usmeritvijo, da se prihranijo sredstva in </w:t>
      </w:r>
      <w:r w:rsidR="008F6957">
        <w:rPr>
          <w:lang w:val="sl-SI"/>
        </w:rPr>
        <w:t>izboljšajo končni rezultati, 2) </w:t>
      </w:r>
      <w:r w:rsidRPr="00426670">
        <w:rPr>
          <w:lang w:val="sl-SI"/>
        </w:rPr>
        <w:t>operativni načrt, ki bo opredelil pristojnosti delovne skupine za modro gospodarstvo, konkretne organizacijske/upravne akte, vlogo sodelujočih regionalnih, nacionalnih in mednarodnih institucij</w:t>
      </w:r>
      <w:r w:rsidR="008F6957">
        <w:rPr>
          <w:lang w:val="sl-SI"/>
        </w:rPr>
        <w:t xml:space="preserve"> ter jasen časovni razpored; 3) </w:t>
      </w:r>
      <w:r w:rsidRPr="00426670">
        <w:rPr>
          <w:lang w:val="sl-SI"/>
        </w:rPr>
        <w:t>načrtovanje in izvajanje dovolj daljnosežne komunikacijske strategije, ki bo javnost seznanjala z vsebino pobude za modro gospodarstvo ter s priložnostmi in možnostmi, ki jih prinaša.</w:t>
      </w:r>
    </w:p>
    <w:p w:rsidR="00426670" w:rsidRPr="00426670" w:rsidRDefault="00426670" w:rsidP="008F6957">
      <w:pPr>
        <w:rPr>
          <w:lang w:val="sl-SI"/>
        </w:rPr>
      </w:pPr>
    </w:p>
    <w:p w:rsidR="00426670" w:rsidRPr="00426670" w:rsidRDefault="00426670" w:rsidP="009F33E1">
      <w:pPr>
        <w:numPr>
          <w:ilvl w:val="0"/>
          <w:numId w:val="15"/>
        </w:numPr>
        <w:tabs>
          <w:tab w:val="clear" w:pos="0"/>
        </w:tabs>
        <w:ind w:left="567" w:hanging="567"/>
        <w:rPr>
          <w:lang w:val="sl-SI"/>
        </w:rPr>
      </w:pPr>
      <w:r w:rsidRPr="00426670">
        <w:rPr>
          <w:lang w:val="sl-SI"/>
        </w:rPr>
        <w:t>Poleg tega se EESO strinja, da sta za uspeh v boju proti kriminalu in terorizmu potrebna učinkovitejše povezovanje med mejnimi organi na kopenskih in morskih mejah na obeh straneh Sredozemskega morja ter sistematična izmenjava in analiza podatkov, v tesnem sodelovanju z agencijo Frontex in drugimi svetovnimi, nadnacionalnimi institucijami, kot je Mednarodna pomorska organizacija (IMO).</w:t>
      </w:r>
    </w:p>
    <w:p w:rsidR="00426670" w:rsidRPr="00426670" w:rsidRDefault="00426670" w:rsidP="008F6957">
      <w:pPr>
        <w:rPr>
          <w:lang w:val="sl-SI"/>
        </w:rPr>
      </w:pPr>
    </w:p>
    <w:p w:rsidR="00426670" w:rsidRPr="00426670" w:rsidRDefault="00426670" w:rsidP="009F33E1">
      <w:pPr>
        <w:numPr>
          <w:ilvl w:val="0"/>
          <w:numId w:val="15"/>
        </w:numPr>
        <w:tabs>
          <w:tab w:val="clear" w:pos="0"/>
        </w:tabs>
        <w:ind w:left="567" w:hanging="567"/>
        <w:rPr>
          <w:lang w:val="sl-SI"/>
        </w:rPr>
      </w:pPr>
      <w:r w:rsidRPr="00426670">
        <w:rPr>
          <w:lang w:val="sl-SI"/>
        </w:rPr>
        <w:t>Da bi dosegli učinkovito prostorsko načrtovanje in upravljanje obalnih območij, bi bilo po mnenju EESO navsezadnje treba sprejeti pristop četverne vijačnice, tako na nadnacionalni ter zlasti regionalni in lokalni ravni. Potrebno je okrepljeno sodelovanje lokalnih oblasti (občin in regij) ter socialnih partnerjev in organizacij civilne družbe v okviru njihovih področij delovanja. V ta namen bi morala Komisija lokalne deležnike iz javnega in zasebnega sektorja povabiti na posvetovanje o sporočilu in posameznih področjih delovanja – prometni varnosti in zaščiti, ribištvu, turizmu in energetiki, socialni koheziji in okoljski trajnosti.</w:t>
      </w:r>
    </w:p>
    <w:p w:rsidR="00426670" w:rsidRPr="00426670" w:rsidRDefault="00426670" w:rsidP="008F6957">
      <w:pPr>
        <w:rPr>
          <w:lang w:val="sl-SI"/>
        </w:rPr>
      </w:pPr>
    </w:p>
    <w:p w:rsidR="00426670" w:rsidRPr="008F6957" w:rsidRDefault="00426670" w:rsidP="00426670">
      <w:pPr>
        <w:rPr>
          <w:i/>
          <w:szCs w:val="22"/>
          <w:lang w:val="sl-SI"/>
        </w:rPr>
      </w:pPr>
      <w:r w:rsidRPr="008F6957">
        <w:rPr>
          <w:b/>
          <w:i/>
          <w:szCs w:val="22"/>
          <w:lang w:val="sl-SI"/>
        </w:rPr>
        <w:t>Kontaktna oseba</w:t>
      </w:r>
      <w:r w:rsidR="008F6957" w:rsidRPr="008F6957">
        <w:rPr>
          <w:b/>
          <w:i/>
          <w:szCs w:val="22"/>
          <w:lang w:val="sl-SI"/>
        </w:rPr>
        <w:t>:</w:t>
      </w:r>
      <w:r w:rsidR="008F6957" w:rsidRPr="008F6957">
        <w:rPr>
          <w:i/>
          <w:szCs w:val="22"/>
          <w:lang w:val="sl-SI"/>
        </w:rPr>
        <w:t xml:space="preserve"> </w:t>
      </w:r>
      <w:r w:rsidRPr="008F6957">
        <w:rPr>
          <w:i/>
          <w:szCs w:val="22"/>
          <w:lang w:val="sl-SI"/>
        </w:rPr>
        <w:t>Laura Ernsteina</w:t>
      </w:r>
    </w:p>
    <w:p w:rsidR="00426670" w:rsidRPr="008F6957" w:rsidRDefault="008F6957" w:rsidP="00426670">
      <w:pPr>
        <w:rPr>
          <w:i/>
          <w:szCs w:val="22"/>
          <w:lang w:val="sl-SI"/>
        </w:rPr>
      </w:pPr>
      <w:r>
        <w:rPr>
          <w:i/>
          <w:szCs w:val="22"/>
          <w:lang w:val="sl-SI"/>
        </w:rPr>
        <w:t xml:space="preserve">(tel.: 0032 2 546 </w:t>
      </w:r>
      <w:r w:rsidR="00426670" w:rsidRPr="008F6957">
        <w:rPr>
          <w:i/>
          <w:szCs w:val="22"/>
          <w:lang w:val="sl-SI"/>
        </w:rPr>
        <w:t>9194 – e-naslov:</w:t>
      </w:r>
      <w:r>
        <w:rPr>
          <w:i/>
          <w:szCs w:val="22"/>
          <w:lang w:val="sl-SI"/>
        </w:rPr>
        <w:t xml:space="preserve"> </w:t>
      </w:r>
      <w:hyperlink r:id="rId31">
        <w:r w:rsidR="00426670" w:rsidRPr="008F6957">
          <w:rPr>
            <w:rStyle w:val="Hyperlink"/>
            <w:i/>
            <w:szCs w:val="22"/>
            <w:lang w:val="sl-SI"/>
          </w:rPr>
          <w:t>Laura.Ernsteina@eesc.europa.eu</w:t>
        </w:r>
      </w:hyperlink>
      <w:r w:rsidR="00426670" w:rsidRPr="008F6957">
        <w:rPr>
          <w:i/>
          <w:szCs w:val="22"/>
          <w:lang w:val="sl-SI"/>
        </w:rPr>
        <w:t>)</w:t>
      </w:r>
    </w:p>
    <w:p w:rsidR="00426670" w:rsidRPr="00C835BB" w:rsidRDefault="00426670" w:rsidP="00426670"/>
    <w:p w:rsidR="00426670" w:rsidRPr="00A72A08" w:rsidRDefault="00426670" w:rsidP="00533EE6">
      <w:pPr>
        <w:keepNext/>
        <w:keepLines/>
        <w:numPr>
          <w:ilvl w:val="0"/>
          <w:numId w:val="2"/>
        </w:numPr>
        <w:spacing w:line="283" w:lineRule="auto"/>
        <w:ind w:hanging="567"/>
        <w:rPr>
          <w:b/>
          <w:i/>
          <w:sz w:val="28"/>
          <w:szCs w:val="22"/>
          <w:lang w:val="sl-SI"/>
        </w:rPr>
      </w:pPr>
      <w:r w:rsidRPr="00A72A08">
        <w:rPr>
          <w:b/>
          <w:i/>
          <w:sz w:val="28"/>
          <w:szCs w:val="22"/>
          <w:lang w:val="sl-SI"/>
        </w:rPr>
        <w:t>Prenovljeno partnerstvo z afriškimi, karibskimi in pacifiškimi državami</w:t>
      </w:r>
    </w:p>
    <w:p w:rsidR="00426670" w:rsidRPr="00426670" w:rsidRDefault="00426670" w:rsidP="00533EE6">
      <w:pPr>
        <w:keepNext/>
        <w:keepLines/>
        <w:spacing w:line="283" w:lineRule="auto"/>
        <w:rPr>
          <w:szCs w:val="22"/>
          <w:lang w:val="sl-SI"/>
        </w:rPr>
      </w:pPr>
    </w:p>
    <w:p w:rsidR="00426670" w:rsidRPr="00426670" w:rsidRDefault="00426670" w:rsidP="00533EE6">
      <w:pPr>
        <w:keepNext/>
        <w:keepLines/>
        <w:spacing w:line="283" w:lineRule="auto"/>
        <w:rPr>
          <w:szCs w:val="22"/>
          <w:lang w:val="sl-SI"/>
        </w:rPr>
      </w:pPr>
      <w:r w:rsidRPr="00426670">
        <w:rPr>
          <w:b/>
          <w:szCs w:val="22"/>
          <w:lang w:val="sl-SI"/>
        </w:rPr>
        <w:t>Poročeval</w:t>
      </w:r>
      <w:r w:rsidR="009F33E1">
        <w:rPr>
          <w:b/>
          <w:szCs w:val="22"/>
          <w:lang w:val="sl-SI"/>
        </w:rPr>
        <w:t>ka</w:t>
      </w:r>
      <w:r w:rsidRPr="00426670">
        <w:rPr>
          <w:b/>
          <w:szCs w:val="22"/>
          <w:lang w:val="sl-SI"/>
        </w:rPr>
        <w:t>:</w:t>
      </w:r>
      <w:r w:rsidR="00C835BB">
        <w:rPr>
          <w:szCs w:val="22"/>
          <w:lang w:val="sl-SI"/>
        </w:rPr>
        <w:t xml:space="preserve"> </w:t>
      </w:r>
      <w:r w:rsidRPr="00426670">
        <w:rPr>
          <w:szCs w:val="22"/>
          <w:lang w:val="sl-SI"/>
        </w:rPr>
        <w:t xml:space="preserve">Brenda </w:t>
      </w:r>
      <w:r w:rsidR="00C835BB" w:rsidRPr="00426670">
        <w:rPr>
          <w:szCs w:val="22"/>
          <w:lang w:val="sl-SI"/>
        </w:rPr>
        <w:t xml:space="preserve">KING </w:t>
      </w:r>
      <w:r w:rsidRPr="00426670">
        <w:rPr>
          <w:szCs w:val="22"/>
          <w:lang w:val="sl-SI"/>
        </w:rPr>
        <w:t>(delodajalci – UK)</w:t>
      </w:r>
    </w:p>
    <w:p w:rsidR="00426670" w:rsidRPr="00426670" w:rsidRDefault="00426670" w:rsidP="00533EE6">
      <w:pPr>
        <w:keepNext/>
        <w:keepLines/>
        <w:spacing w:line="283" w:lineRule="auto"/>
        <w:rPr>
          <w:szCs w:val="22"/>
          <w:lang w:val="sl-SI"/>
        </w:rPr>
      </w:pPr>
    </w:p>
    <w:p w:rsidR="00426670" w:rsidRPr="00426670" w:rsidRDefault="00426670" w:rsidP="00533EE6">
      <w:pPr>
        <w:keepNext/>
        <w:keepLines/>
        <w:spacing w:line="283" w:lineRule="auto"/>
        <w:rPr>
          <w:bCs/>
          <w:szCs w:val="22"/>
          <w:lang w:val="sl-SI"/>
        </w:rPr>
      </w:pPr>
      <w:r w:rsidRPr="00426670">
        <w:rPr>
          <w:b/>
          <w:szCs w:val="22"/>
          <w:lang w:val="sl-SI"/>
        </w:rPr>
        <w:t>Referenčni dokument:</w:t>
      </w:r>
      <w:r w:rsidR="00C835BB">
        <w:rPr>
          <w:szCs w:val="22"/>
          <w:lang w:val="sl-SI"/>
        </w:rPr>
        <w:t xml:space="preserve"> </w:t>
      </w:r>
      <w:r w:rsidRPr="00426670">
        <w:rPr>
          <w:color w:val="000000"/>
          <w:szCs w:val="22"/>
          <w:lang w:val="sl-SI"/>
        </w:rPr>
        <w:t>EESC-2017-00788-00-00-AC-TRA</w:t>
      </w:r>
    </w:p>
    <w:p w:rsidR="00426670" w:rsidRPr="00426670" w:rsidRDefault="00426670" w:rsidP="00533EE6">
      <w:pPr>
        <w:keepNext/>
        <w:keepLines/>
        <w:spacing w:line="283" w:lineRule="auto"/>
        <w:rPr>
          <w:szCs w:val="22"/>
          <w:lang w:val="sl-SI"/>
        </w:rPr>
      </w:pPr>
    </w:p>
    <w:p w:rsidR="00426670" w:rsidRPr="00426670" w:rsidRDefault="00426670" w:rsidP="00533EE6">
      <w:pPr>
        <w:keepNext/>
        <w:keepLines/>
        <w:spacing w:line="283" w:lineRule="auto"/>
        <w:rPr>
          <w:b/>
          <w:szCs w:val="22"/>
          <w:lang w:val="sl-SI"/>
        </w:rPr>
      </w:pPr>
      <w:r w:rsidRPr="00426670">
        <w:rPr>
          <w:b/>
          <w:szCs w:val="22"/>
          <w:lang w:val="sl-SI"/>
        </w:rPr>
        <w:t>Glavne točke:</w:t>
      </w:r>
    </w:p>
    <w:p w:rsidR="00426670" w:rsidRPr="00C835BB" w:rsidRDefault="00426670" w:rsidP="00533EE6">
      <w:pPr>
        <w:keepNext/>
        <w:keepLines/>
        <w:spacing w:line="283" w:lineRule="auto"/>
      </w:pPr>
    </w:p>
    <w:p w:rsidR="00426670" w:rsidRPr="00426670" w:rsidRDefault="00426670" w:rsidP="00533EE6">
      <w:pPr>
        <w:keepNext/>
        <w:keepLines/>
        <w:numPr>
          <w:ilvl w:val="0"/>
          <w:numId w:val="15"/>
        </w:numPr>
        <w:tabs>
          <w:tab w:val="clear" w:pos="0"/>
        </w:tabs>
        <w:spacing w:line="283" w:lineRule="auto"/>
        <w:ind w:left="567" w:hanging="567"/>
        <w:rPr>
          <w:lang w:val="sl-SI"/>
        </w:rPr>
      </w:pPr>
      <w:r w:rsidRPr="00426670">
        <w:rPr>
          <w:lang w:val="sl-SI"/>
        </w:rPr>
        <w:t>Evropski ekonomsko-socialni odbor (EESO) pozdravlja skupno sporočilo in prednostno izbiro Komisije, in sicer krovni sporazum s posebnimi regionalnimi prednostnimi nalogami, ki bi morale biti pravno zavezujoče. Po mnenju EESO je potreben nov posodobljen sporazum, ki bo upošteval nove okoliščine, kot so zaskrbljenost evropske javnosti zaradi povečane nevarnosti terorističnih napadov, občutek, da migracijskih tokov ni mogoče nadzorovati, vprašanje podnebnih beguncev zaradi dramatičnega povečanja afriškega prebivalstva, vse večji vpliv drugih regionalnih sil in nepredvidljivi ukrepi sedanjega ameriškega predsednika.</w:t>
      </w:r>
    </w:p>
    <w:p w:rsidR="00426670" w:rsidRPr="00426670" w:rsidRDefault="00426670" w:rsidP="00533EE6">
      <w:pPr>
        <w:keepNext/>
        <w:keepLines/>
        <w:spacing w:line="283" w:lineRule="auto"/>
        <w:rPr>
          <w:lang w:val="sl-SI"/>
        </w:rPr>
      </w:pPr>
    </w:p>
    <w:p w:rsidR="00426670" w:rsidRPr="00426670" w:rsidRDefault="00426670" w:rsidP="00533EE6">
      <w:pPr>
        <w:keepNext/>
        <w:keepLines/>
        <w:numPr>
          <w:ilvl w:val="0"/>
          <w:numId w:val="15"/>
        </w:numPr>
        <w:tabs>
          <w:tab w:val="clear" w:pos="0"/>
        </w:tabs>
        <w:spacing w:line="283" w:lineRule="auto"/>
        <w:ind w:left="567" w:hanging="567"/>
        <w:rPr>
          <w:lang w:val="sl-SI"/>
        </w:rPr>
      </w:pPr>
      <w:r w:rsidRPr="00426670">
        <w:rPr>
          <w:lang w:val="sl-SI"/>
        </w:rPr>
        <w:t>EESO prav tako poziva, naj bo civilna družba bolje vključena v prihodnji okvir in naj ima večjo vlogo, ki ne bo le posvetovalna. To je pomembno za spoštovanje načela skladnosti politik za razvoj.</w:t>
      </w:r>
    </w:p>
    <w:p w:rsidR="00426670" w:rsidRPr="00426670" w:rsidRDefault="00426670" w:rsidP="00533EE6">
      <w:pPr>
        <w:keepNext/>
        <w:keepLines/>
        <w:spacing w:line="283" w:lineRule="auto"/>
        <w:rPr>
          <w:lang w:val="sl-SI"/>
        </w:rPr>
      </w:pPr>
    </w:p>
    <w:p w:rsidR="00426670" w:rsidRPr="00426670" w:rsidRDefault="00426670" w:rsidP="00533EE6">
      <w:pPr>
        <w:keepNext/>
        <w:keepLines/>
        <w:numPr>
          <w:ilvl w:val="0"/>
          <w:numId w:val="15"/>
        </w:numPr>
        <w:tabs>
          <w:tab w:val="clear" w:pos="0"/>
        </w:tabs>
        <w:spacing w:line="283" w:lineRule="auto"/>
        <w:ind w:left="567" w:hanging="567"/>
        <w:rPr>
          <w:lang w:val="sl-SI"/>
        </w:rPr>
      </w:pPr>
      <w:r w:rsidRPr="00426670">
        <w:rPr>
          <w:lang w:val="sl-SI"/>
        </w:rPr>
        <w:t>EESO pozdravlja namero, da se izhaja iz agende OZN za trajnostni razvoj do leta 2030 (cilji trajnostnega razvoja), pri čemer se upoštevajo značilnosti evropskih razvojnih skladov. Vendar pa obžaluje, da agenda 2030 ni bila postavljena v središče prihodnjega sporazuma, ki bi krepil ključna načela, kot so univerzalnost, upravljanje, medsebojna povezanost in nedeljivost ciljev trajnostnega razvoja.</w:t>
      </w:r>
    </w:p>
    <w:p w:rsidR="00426670" w:rsidRPr="00426670" w:rsidRDefault="00426670" w:rsidP="00533EE6">
      <w:pPr>
        <w:spacing w:line="283" w:lineRule="auto"/>
        <w:rPr>
          <w:lang w:val="sl-SI"/>
        </w:rPr>
      </w:pPr>
    </w:p>
    <w:p w:rsidR="00426670" w:rsidRDefault="00426670" w:rsidP="00533EE6">
      <w:pPr>
        <w:numPr>
          <w:ilvl w:val="0"/>
          <w:numId w:val="15"/>
        </w:numPr>
        <w:tabs>
          <w:tab w:val="clear" w:pos="0"/>
        </w:tabs>
        <w:spacing w:line="283" w:lineRule="auto"/>
        <w:ind w:left="567" w:hanging="567"/>
        <w:rPr>
          <w:lang w:val="sl-SI"/>
        </w:rPr>
      </w:pPr>
      <w:r w:rsidRPr="00426670">
        <w:rPr>
          <w:lang w:val="sl-SI"/>
        </w:rPr>
        <w:t>Meni, da bi morala vsa prihodnja partnerstva temeljiti na političnem dialogu in ne na odnosu</w:t>
      </w:r>
      <w:r w:rsidR="00C835BB">
        <w:rPr>
          <w:lang w:val="sl-SI"/>
        </w:rPr>
        <w:t xml:space="preserve"> med donatorjem in prejemnikom.</w:t>
      </w:r>
    </w:p>
    <w:p w:rsidR="00C835BB" w:rsidRPr="00426670" w:rsidRDefault="00C835BB" w:rsidP="00533EE6">
      <w:pPr>
        <w:spacing w:line="283" w:lineRule="auto"/>
        <w:rPr>
          <w:lang w:val="sl-SI"/>
        </w:rPr>
      </w:pPr>
    </w:p>
    <w:p w:rsidR="00426670" w:rsidRPr="00426670" w:rsidRDefault="00426670" w:rsidP="00533EE6">
      <w:pPr>
        <w:numPr>
          <w:ilvl w:val="0"/>
          <w:numId w:val="15"/>
        </w:numPr>
        <w:tabs>
          <w:tab w:val="clear" w:pos="0"/>
        </w:tabs>
        <w:spacing w:line="283" w:lineRule="auto"/>
        <w:ind w:left="567" w:hanging="567"/>
        <w:rPr>
          <w:lang w:val="sl-SI"/>
        </w:rPr>
      </w:pPr>
      <w:r w:rsidRPr="00426670">
        <w:rPr>
          <w:lang w:val="sl-SI"/>
        </w:rPr>
        <w:t>Poleg tega priporoča okrepitev politične razsežnosti in vzpostavitev trdnega nadzornega mehanizma, ki bo vključeval civilno družbo. Obžaluje, da skupno sporočilo ne odraža pomena organizacij civilne družbe na krovni ravni ali v treh regijah. Priporoča, da naj prihodnje partnerstvo vsebuje formalni mehanizem za vključitev organizacij civilne družbe v oblikovanje, izvajanje, spremljanje in pregled ter tudi v prihodnjo fazo pogajanj. V tem procesu je EESO pripravljen prevzeti osrednjo vlogo.</w:t>
      </w:r>
    </w:p>
    <w:p w:rsidR="00426670" w:rsidRPr="00426670" w:rsidRDefault="00426670" w:rsidP="00533EE6">
      <w:pPr>
        <w:spacing w:line="283" w:lineRule="auto"/>
        <w:rPr>
          <w:lang w:val="sl-SI"/>
        </w:rPr>
      </w:pPr>
    </w:p>
    <w:p w:rsidR="00426670" w:rsidRPr="00426670" w:rsidRDefault="00426670" w:rsidP="00533EE6">
      <w:pPr>
        <w:numPr>
          <w:ilvl w:val="0"/>
          <w:numId w:val="15"/>
        </w:numPr>
        <w:tabs>
          <w:tab w:val="clear" w:pos="0"/>
        </w:tabs>
        <w:spacing w:line="283" w:lineRule="auto"/>
        <w:ind w:left="567" w:hanging="567"/>
        <w:rPr>
          <w:lang w:val="sl-SI"/>
        </w:rPr>
      </w:pPr>
      <w:r w:rsidRPr="00426670">
        <w:rPr>
          <w:lang w:val="sl-SI"/>
        </w:rPr>
        <w:t>Odbor pozdravlja osredotočenost na človekov razvoj kot posebno prednostno nalogo prihodnjega partnerstva, ki bi morala po njegovem mnenju veljati za vse tri regije ter biti povezana s cilji trajnostnega razvoja.</w:t>
      </w:r>
    </w:p>
    <w:p w:rsidR="00426670" w:rsidRPr="00426670" w:rsidRDefault="00426670" w:rsidP="00533EE6">
      <w:pPr>
        <w:spacing w:line="283" w:lineRule="auto"/>
        <w:rPr>
          <w:lang w:val="sl-SI"/>
        </w:rPr>
      </w:pPr>
    </w:p>
    <w:p w:rsidR="00426670" w:rsidRPr="00426670" w:rsidRDefault="00426670" w:rsidP="00533EE6">
      <w:pPr>
        <w:numPr>
          <w:ilvl w:val="0"/>
          <w:numId w:val="15"/>
        </w:numPr>
        <w:tabs>
          <w:tab w:val="clear" w:pos="0"/>
        </w:tabs>
        <w:spacing w:line="283" w:lineRule="auto"/>
        <w:ind w:left="567" w:hanging="567"/>
        <w:rPr>
          <w:lang w:val="sl-SI"/>
        </w:rPr>
      </w:pPr>
      <w:r w:rsidRPr="00426670">
        <w:rPr>
          <w:lang w:val="sl-SI"/>
        </w:rPr>
        <w:t>EESO pozdravlja izjavo Komisije o celovitem varovanju, spodbujanju in uveljavljanju enakosti spolov in opolnomočenja žensk in deklet ter o priznavanju bistvenega prispevka žensk in deklet pri vzpostavljanju miru in gradnji države ter na področjih gospodarske rasti, tehnološkega razvoja, zmanjšanja revščine, zdravja in dobrega počutja, kulture in človekovega razvoja. Vendar pa obžaluje, da sporočilo ne navaja podrobnosti o tem, kako to doseči.</w:t>
      </w:r>
    </w:p>
    <w:p w:rsidR="00426670" w:rsidRPr="00426670" w:rsidRDefault="00426670" w:rsidP="00533EE6">
      <w:pPr>
        <w:spacing w:line="283" w:lineRule="auto"/>
        <w:rPr>
          <w:lang w:val="sl-SI"/>
        </w:rPr>
      </w:pPr>
    </w:p>
    <w:p w:rsidR="00426670" w:rsidRPr="00426670" w:rsidRDefault="00426670" w:rsidP="009F33E1">
      <w:pPr>
        <w:numPr>
          <w:ilvl w:val="0"/>
          <w:numId w:val="15"/>
        </w:numPr>
        <w:tabs>
          <w:tab w:val="clear" w:pos="0"/>
        </w:tabs>
        <w:ind w:left="567" w:hanging="567"/>
        <w:rPr>
          <w:lang w:val="sl-SI"/>
        </w:rPr>
      </w:pPr>
      <w:r w:rsidRPr="00426670">
        <w:rPr>
          <w:lang w:val="sl-SI"/>
        </w:rPr>
        <w:t>EESO pozdravlja dejstvo, da bodo trgovina in sporazumi o gospodarskem partnerstvu v celoti vključeni v novo partnerstvo. Meni, da morata biti okvir za trgovinske sporazume, tudi za sporazume o gospodarskem partnerstvu, agenda OZN 2030 in Pariški podnebni sporazum. EESO priporoča, naj pogajanja o sporazumu o gospodarskem partnerstvu med AKP in EU potekajo na pregleden način in vključujejo civilno družbo. Sporazumi o gospodarskem partnerstvu bi morali vsebovati izvršljivo poglavje o trajnostnem razvoju, civilna družba pa bi morala dejavno sodelovati pri njihovem izvajanju, spremljanju in pregledu.</w:t>
      </w:r>
    </w:p>
    <w:p w:rsidR="00426670" w:rsidRPr="00426670" w:rsidRDefault="00426670" w:rsidP="00C835BB">
      <w:pPr>
        <w:rPr>
          <w:lang w:val="sl-SI"/>
        </w:rPr>
      </w:pPr>
    </w:p>
    <w:p w:rsidR="00426670" w:rsidRPr="00C835BB" w:rsidRDefault="00426670" w:rsidP="00426670">
      <w:pPr>
        <w:rPr>
          <w:i/>
          <w:szCs w:val="22"/>
          <w:lang w:val="sl-SI"/>
        </w:rPr>
      </w:pPr>
      <w:r w:rsidRPr="00C835BB">
        <w:rPr>
          <w:b/>
          <w:i/>
          <w:szCs w:val="22"/>
          <w:lang w:val="sl-SI"/>
        </w:rPr>
        <w:t>Kontaktna oseba:</w:t>
      </w:r>
      <w:r w:rsidR="00C835BB">
        <w:rPr>
          <w:i/>
          <w:szCs w:val="22"/>
          <w:lang w:val="sl-SI"/>
        </w:rPr>
        <w:t xml:space="preserve"> </w:t>
      </w:r>
      <w:r w:rsidRPr="00C835BB">
        <w:rPr>
          <w:i/>
          <w:szCs w:val="22"/>
          <w:lang w:val="sl-SI"/>
        </w:rPr>
        <w:t>Rafael Bellon Gomez</w:t>
      </w:r>
    </w:p>
    <w:p w:rsidR="00426670" w:rsidRPr="00C835BB" w:rsidRDefault="00426670" w:rsidP="00426670">
      <w:pPr>
        <w:rPr>
          <w:i/>
          <w:iCs/>
          <w:szCs w:val="22"/>
          <w:lang w:val="sl-SI"/>
        </w:rPr>
      </w:pPr>
      <w:r w:rsidRPr="00C835BB">
        <w:rPr>
          <w:i/>
          <w:szCs w:val="22"/>
          <w:lang w:val="sl-SI"/>
        </w:rPr>
        <w:t xml:space="preserve">(tel.: 00 32 2 546 9095 – e-naslov: </w:t>
      </w:r>
      <w:hyperlink r:id="rId32">
        <w:r w:rsidRPr="00C835BB">
          <w:rPr>
            <w:rStyle w:val="Hyperlink"/>
            <w:i/>
            <w:szCs w:val="22"/>
            <w:lang w:val="sl-SI"/>
          </w:rPr>
          <w:t>Rafael.BellonGomez@eesc.europa.eu</w:t>
        </w:r>
      </w:hyperlink>
      <w:r w:rsidRPr="00C835BB">
        <w:rPr>
          <w:i/>
          <w:szCs w:val="22"/>
          <w:lang w:val="sl-SI"/>
        </w:rPr>
        <w:t>)</w:t>
      </w:r>
    </w:p>
    <w:p w:rsidR="00426670" w:rsidRPr="004E4DE9" w:rsidRDefault="00426670" w:rsidP="00426670"/>
    <w:p w:rsidR="00426670" w:rsidRPr="00A72A08" w:rsidRDefault="00426670" w:rsidP="001A6DBC">
      <w:pPr>
        <w:keepNext/>
        <w:keepLines/>
        <w:numPr>
          <w:ilvl w:val="0"/>
          <w:numId w:val="2"/>
        </w:numPr>
        <w:spacing w:line="283" w:lineRule="auto"/>
        <w:ind w:hanging="567"/>
        <w:rPr>
          <w:b/>
          <w:i/>
          <w:sz w:val="28"/>
          <w:szCs w:val="22"/>
          <w:lang w:val="sl-SI"/>
        </w:rPr>
      </w:pPr>
      <w:r w:rsidRPr="00A72A08">
        <w:rPr>
          <w:b/>
          <w:i/>
          <w:sz w:val="28"/>
          <w:szCs w:val="22"/>
          <w:lang w:val="sl-SI"/>
        </w:rPr>
        <w:t>Osrednja vloga trgovine in naložb pri uresničevanju in izvajanju ciljev trajnostnega razvoja</w:t>
      </w:r>
    </w:p>
    <w:p w:rsidR="00426670" w:rsidRPr="009C25E0" w:rsidRDefault="00426670" w:rsidP="001A6DBC">
      <w:pPr>
        <w:keepNext/>
        <w:keepLines/>
        <w:spacing w:line="283" w:lineRule="auto"/>
      </w:pPr>
    </w:p>
    <w:p w:rsidR="00426670" w:rsidRPr="009C25E0" w:rsidRDefault="00426670" w:rsidP="001A6DBC">
      <w:pPr>
        <w:keepNext/>
        <w:keepLines/>
        <w:spacing w:line="283" w:lineRule="auto"/>
        <w:rPr>
          <w:szCs w:val="22"/>
          <w:lang w:val="sl-SI"/>
        </w:rPr>
      </w:pPr>
      <w:r w:rsidRPr="00426670">
        <w:rPr>
          <w:b/>
          <w:szCs w:val="22"/>
          <w:lang w:val="sl-SI"/>
        </w:rPr>
        <w:t>Poročevalec:</w:t>
      </w:r>
      <w:r w:rsidR="009C25E0">
        <w:rPr>
          <w:szCs w:val="22"/>
          <w:lang w:val="sl-SI"/>
        </w:rPr>
        <w:t xml:space="preserve"> </w:t>
      </w:r>
      <w:r w:rsidRPr="00426670">
        <w:rPr>
          <w:szCs w:val="22"/>
          <w:lang w:val="sl-SI"/>
        </w:rPr>
        <w:t xml:space="preserve">Jonathan </w:t>
      </w:r>
      <w:r w:rsidR="00BD7F9B" w:rsidRPr="00426670">
        <w:rPr>
          <w:szCs w:val="22"/>
          <w:lang w:val="sl-SI"/>
        </w:rPr>
        <w:t xml:space="preserve">PEEL </w:t>
      </w:r>
      <w:r w:rsidRPr="00426670">
        <w:rPr>
          <w:szCs w:val="22"/>
          <w:lang w:val="sl-SI"/>
        </w:rPr>
        <w:t xml:space="preserve">(delodajalci – </w:t>
      </w:r>
      <w:r w:rsidRPr="009C25E0">
        <w:rPr>
          <w:szCs w:val="22"/>
          <w:lang w:val="sl-SI"/>
        </w:rPr>
        <w:t>UK)</w:t>
      </w:r>
    </w:p>
    <w:p w:rsidR="00426670" w:rsidRPr="009C25E0" w:rsidRDefault="00426670" w:rsidP="001A6DBC">
      <w:pPr>
        <w:keepNext/>
        <w:keepLines/>
        <w:spacing w:line="283" w:lineRule="auto"/>
        <w:rPr>
          <w:szCs w:val="22"/>
          <w:lang w:val="sl-SI"/>
        </w:rPr>
      </w:pPr>
      <w:r w:rsidRPr="00426670">
        <w:rPr>
          <w:b/>
          <w:szCs w:val="22"/>
          <w:lang w:val="sl-SI"/>
        </w:rPr>
        <w:t>Soporočevalec:</w:t>
      </w:r>
      <w:r w:rsidR="009C25E0">
        <w:rPr>
          <w:szCs w:val="22"/>
          <w:lang w:val="sl-SI"/>
        </w:rPr>
        <w:t xml:space="preserve"> </w:t>
      </w:r>
      <w:r w:rsidRPr="00426670">
        <w:rPr>
          <w:szCs w:val="22"/>
          <w:lang w:val="sl-SI"/>
        </w:rPr>
        <w:t xml:space="preserve">Christophe </w:t>
      </w:r>
      <w:r w:rsidR="00BD7F9B" w:rsidRPr="00426670">
        <w:rPr>
          <w:szCs w:val="22"/>
          <w:lang w:val="sl-SI"/>
        </w:rPr>
        <w:t xml:space="preserve">QUAREZ </w:t>
      </w:r>
      <w:r w:rsidRPr="00426670">
        <w:rPr>
          <w:szCs w:val="22"/>
          <w:lang w:val="sl-SI"/>
        </w:rPr>
        <w:t xml:space="preserve">(FR </w:t>
      </w:r>
      <w:r w:rsidRPr="009C25E0">
        <w:rPr>
          <w:szCs w:val="22"/>
          <w:lang w:val="sl-SI"/>
        </w:rPr>
        <w:t>– II)</w:t>
      </w:r>
    </w:p>
    <w:p w:rsidR="00426670" w:rsidRPr="009C25E0" w:rsidRDefault="00426670" w:rsidP="001A6DBC">
      <w:pPr>
        <w:keepNext/>
        <w:keepLines/>
        <w:spacing w:line="283" w:lineRule="auto"/>
      </w:pPr>
    </w:p>
    <w:p w:rsidR="00426670" w:rsidRPr="00426670" w:rsidRDefault="00426670" w:rsidP="001A6DBC">
      <w:pPr>
        <w:keepNext/>
        <w:keepLines/>
        <w:spacing w:line="283" w:lineRule="auto"/>
        <w:rPr>
          <w:bCs/>
          <w:szCs w:val="22"/>
          <w:lang w:val="sl-SI"/>
        </w:rPr>
      </w:pPr>
      <w:r w:rsidRPr="00426670">
        <w:rPr>
          <w:b/>
          <w:szCs w:val="22"/>
          <w:lang w:val="sl-SI"/>
        </w:rPr>
        <w:t>Referenčni dokument:</w:t>
      </w:r>
      <w:r w:rsidR="009C25E0">
        <w:rPr>
          <w:szCs w:val="22"/>
          <w:lang w:val="sl-SI"/>
        </w:rPr>
        <w:t xml:space="preserve"> </w:t>
      </w:r>
      <w:r w:rsidRPr="00426670">
        <w:rPr>
          <w:color w:val="000000"/>
          <w:szCs w:val="22"/>
          <w:lang w:val="sl-SI"/>
        </w:rPr>
        <w:t>EESC-2017-01072-00-00-AC-TRA</w:t>
      </w:r>
    </w:p>
    <w:p w:rsidR="00426670" w:rsidRPr="009C25E0" w:rsidRDefault="00426670" w:rsidP="001A6DBC">
      <w:pPr>
        <w:keepNext/>
        <w:keepLines/>
        <w:spacing w:line="283" w:lineRule="auto"/>
      </w:pPr>
    </w:p>
    <w:p w:rsidR="00426670" w:rsidRPr="00426670" w:rsidRDefault="001578AD" w:rsidP="001A6DBC">
      <w:pPr>
        <w:keepNext/>
        <w:keepLines/>
        <w:spacing w:line="283" w:lineRule="auto"/>
        <w:rPr>
          <w:szCs w:val="22"/>
          <w:lang w:val="sl-SI"/>
        </w:rPr>
      </w:pPr>
      <w:r>
        <w:rPr>
          <w:b/>
          <w:szCs w:val="22"/>
          <w:lang w:val="sl-SI"/>
        </w:rPr>
        <w:t>Glavne točke:</w:t>
      </w:r>
    </w:p>
    <w:p w:rsidR="00426670" w:rsidRPr="00426670" w:rsidRDefault="00426670" w:rsidP="001A6DBC">
      <w:pPr>
        <w:keepNext/>
        <w:keepLines/>
        <w:spacing w:line="283" w:lineRule="auto"/>
        <w:rPr>
          <w:szCs w:val="22"/>
          <w:lang w:val="sl-SI"/>
        </w:rPr>
      </w:pPr>
    </w:p>
    <w:p w:rsidR="00426670" w:rsidRPr="00426670" w:rsidRDefault="00426670" w:rsidP="001A6DBC">
      <w:pPr>
        <w:keepNext/>
        <w:keepLines/>
        <w:numPr>
          <w:ilvl w:val="0"/>
          <w:numId w:val="15"/>
        </w:numPr>
        <w:tabs>
          <w:tab w:val="clear" w:pos="0"/>
        </w:tabs>
        <w:spacing w:line="283" w:lineRule="auto"/>
        <w:ind w:left="567" w:hanging="567"/>
        <w:rPr>
          <w:lang w:val="sl-SI"/>
        </w:rPr>
      </w:pPr>
      <w:r w:rsidRPr="00426670">
        <w:rPr>
          <w:lang w:val="sl-SI"/>
        </w:rPr>
        <w:t>Odbor meni, da bodo cilji trajnostnega razvoja skupaj s Pariškim sporazumom (COP21) bistveno spremenili agendo svetovne trgovine, zlasti na področju trgovine z industrijskimi izdelki in kmetijskimi proizvodi. Izvajanje teh temeljitih sporazumov mora biti v središču vseh prihodnjih trgovinskih pogajanj EU.</w:t>
      </w:r>
    </w:p>
    <w:p w:rsidR="00426670" w:rsidRPr="00426670" w:rsidRDefault="00426670" w:rsidP="001A6DBC">
      <w:pPr>
        <w:keepNext/>
        <w:keepLines/>
        <w:spacing w:line="283" w:lineRule="auto"/>
        <w:rPr>
          <w:lang w:val="sl-SI"/>
        </w:rPr>
      </w:pPr>
    </w:p>
    <w:p w:rsidR="00426670" w:rsidRPr="00426670" w:rsidRDefault="00426670" w:rsidP="001A6DBC">
      <w:pPr>
        <w:keepNext/>
        <w:keepLines/>
        <w:numPr>
          <w:ilvl w:val="0"/>
          <w:numId w:val="15"/>
        </w:numPr>
        <w:tabs>
          <w:tab w:val="clear" w:pos="0"/>
        </w:tabs>
        <w:spacing w:line="283" w:lineRule="auto"/>
        <w:ind w:left="567" w:hanging="567"/>
        <w:rPr>
          <w:lang w:val="sl-SI"/>
        </w:rPr>
      </w:pPr>
      <w:r w:rsidRPr="00426670">
        <w:rPr>
          <w:lang w:val="sl-SI"/>
        </w:rPr>
        <w:t xml:space="preserve">EU je v izredno dobrem položaju za spodbujanje uresničevanja ciljev trajnostnega razvoja. S svojo verodostojnostjo lahko uspešno prevzame vlogo povezovalke med razvitimi državami in državami v razvoju. Večjo prednost je treba nameniti pripravi politik, predstavljenih v sporočilu Komisije </w:t>
      </w:r>
      <w:r w:rsidRPr="00426670">
        <w:rPr>
          <w:i/>
          <w:lang w:val="sl-SI"/>
        </w:rPr>
        <w:t>Novi ukrepi za trajnostno prihodnost Evrope</w:t>
      </w:r>
      <w:r w:rsidRPr="00426670">
        <w:rPr>
          <w:lang w:val="sl-SI"/>
        </w:rPr>
        <w:t>, in se bolj osredotočiti na polno vključitev ciljev trajnostnega razvoja „v okvir evropskih politik in sedanje prednostne naloge Komisije“, skupaj z državami članicami, kjer je to potrebno.</w:t>
      </w:r>
    </w:p>
    <w:p w:rsidR="00426670" w:rsidRPr="00426670" w:rsidRDefault="00426670" w:rsidP="001A6DBC">
      <w:pPr>
        <w:keepNext/>
        <w:keepLines/>
        <w:spacing w:line="283" w:lineRule="auto"/>
        <w:rPr>
          <w:lang w:val="sl-SI"/>
        </w:rPr>
      </w:pPr>
    </w:p>
    <w:p w:rsidR="00426670" w:rsidRPr="00426670" w:rsidRDefault="00426670" w:rsidP="001A6DBC">
      <w:pPr>
        <w:keepNext/>
        <w:keepLines/>
        <w:numPr>
          <w:ilvl w:val="0"/>
          <w:numId w:val="15"/>
        </w:numPr>
        <w:tabs>
          <w:tab w:val="clear" w:pos="0"/>
        </w:tabs>
        <w:spacing w:line="283" w:lineRule="auto"/>
        <w:ind w:left="567" w:hanging="567"/>
        <w:rPr>
          <w:lang w:val="sl-SI"/>
        </w:rPr>
      </w:pPr>
      <w:r w:rsidRPr="00426670">
        <w:rPr>
          <w:lang w:val="sl-SI"/>
        </w:rPr>
        <w:t>Trgovina je bila v razvojnih ciljih tisočletja omenjena le enkrat, v ciljih trajnostnega razvoja pa je posebej navedena kar devetkrat. EESO poziva EU, naj poleg neposrednih ukrepov za uresničevanje ciljev trajnostnega razvoja izvaja tudi politiko za trgovino in naložbe, ki podpira te cilje.</w:t>
      </w:r>
    </w:p>
    <w:p w:rsidR="00426670" w:rsidRPr="00426670" w:rsidRDefault="00426670" w:rsidP="001A6DBC">
      <w:pPr>
        <w:keepNext/>
        <w:keepLines/>
        <w:spacing w:line="283" w:lineRule="auto"/>
        <w:rPr>
          <w:lang w:val="sl-SI"/>
        </w:rPr>
      </w:pPr>
    </w:p>
    <w:p w:rsidR="00426670" w:rsidRPr="00426670" w:rsidRDefault="00426670" w:rsidP="001A6DBC">
      <w:pPr>
        <w:keepNext/>
        <w:keepLines/>
        <w:numPr>
          <w:ilvl w:val="0"/>
          <w:numId w:val="15"/>
        </w:numPr>
        <w:tabs>
          <w:tab w:val="clear" w:pos="0"/>
        </w:tabs>
        <w:spacing w:line="283" w:lineRule="auto"/>
        <w:ind w:left="567" w:hanging="567"/>
        <w:rPr>
          <w:lang w:val="sl-SI"/>
        </w:rPr>
      </w:pPr>
      <w:r w:rsidRPr="00426670">
        <w:rPr>
          <w:lang w:val="sl-SI"/>
        </w:rPr>
        <w:t>Ker cilji trajnostnega razvoja niso pravno zavezujoči in ni mehanizma za reševanje sporov, EESO meni, da mora EU njihovo uresničevanje podpirati z lastnimi politikami in dejavnostmi.</w:t>
      </w:r>
    </w:p>
    <w:p w:rsidR="00426670" w:rsidRPr="00426670" w:rsidRDefault="00426670" w:rsidP="001A6DBC">
      <w:pPr>
        <w:keepNext/>
        <w:keepLines/>
        <w:spacing w:line="283" w:lineRule="auto"/>
        <w:rPr>
          <w:lang w:val="sl-SI"/>
        </w:rPr>
      </w:pPr>
    </w:p>
    <w:p w:rsidR="00426670" w:rsidRPr="00426670" w:rsidRDefault="00426670" w:rsidP="001A6DBC">
      <w:pPr>
        <w:keepNext/>
        <w:keepLines/>
        <w:numPr>
          <w:ilvl w:val="0"/>
          <w:numId w:val="15"/>
        </w:numPr>
        <w:tabs>
          <w:tab w:val="clear" w:pos="0"/>
        </w:tabs>
        <w:spacing w:line="283" w:lineRule="auto"/>
        <w:ind w:left="567" w:hanging="567"/>
        <w:rPr>
          <w:lang w:val="sl-SI"/>
        </w:rPr>
      </w:pPr>
      <w:r w:rsidRPr="00426670">
        <w:rPr>
          <w:lang w:val="sl-SI"/>
        </w:rPr>
        <w:t>Odbor pozdravlja namero EU, da bo pripravljala letne posodobitve, vendar je še vedno zaskrbljen, ker se pogosto zdi, da je v EU več pripravljenosti za ponazarjanje, kako so obstoječe politike usklajene s cilji trajnostnega razvoja in se z njimi prekrivajo, kot za ustvarjanje čim večjih sinergij z osredotočanjem in prilagajanjem teh politik in dejavnosti. Z večjo osredotočenostjo EU na uresničevanje ciljev trajnostnega razvoja bi dosegli boljše rezultate.</w:t>
      </w:r>
    </w:p>
    <w:p w:rsidR="00426670" w:rsidRPr="00426670" w:rsidRDefault="00426670" w:rsidP="001A6DBC">
      <w:pPr>
        <w:keepNext/>
        <w:keepLines/>
        <w:spacing w:line="283" w:lineRule="auto"/>
        <w:rPr>
          <w:lang w:val="sl-SI"/>
        </w:rPr>
      </w:pPr>
    </w:p>
    <w:p w:rsidR="00426670" w:rsidRPr="00426670" w:rsidRDefault="00426670" w:rsidP="001A6DBC">
      <w:pPr>
        <w:keepNext/>
        <w:keepLines/>
        <w:numPr>
          <w:ilvl w:val="0"/>
          <w:numId w:val="15"/>
        </w:numPr>
        <w:tabs>
          <w:tab w:val="clear" w:pos="0"/>
        </w:tabs>
        <w:spacing w:line="283" w:lineRule="auto"/>
        <w:ind w:left="567" w:hanging="567"/>
        <w:rPr>
          <w:lang w:val="sl-SI"/>
        </w:rPr>
      </w:pPr>
      <w:r w:rsidRPr="00426670">
        <w:rPr>
          <w:lang w:val="sl-SI"/>
        </w:rPr>
        <w:t>EESO meni, da si mora EU na številnih ključnih področjih politike prizadevati za polno sinergijo s cilji trajnostnega razvoja. Mednje sodita obnova sporazuma iz Cotonouja o partnerstvu med državami AKP in EU ter širša interakcija EU s temi regijami. Pri tem je treba konkretno ciljno krepiti zmogljivosti v podporo sporazumu o olajševanju trgovine in njegovem izvajanju ter širše skupne strategije EU in držav članic za pomoč trgovini. To je glavni prispevek k pobudi STO o pomoči za trgovino in osrednji del te pobude, ki si prizadeva povečati zmogljivost držav v razvoju pri koriščenju priložnosti, ki jih ponujajo trgovinski sporazumi. Prispevek k šestemu splošnemu poročilu STO, osredotočen na cilje trajnostnega razvoja, bo pomemben.</w:t>
      </w:r>
    </w:p>
    <w:p w:rsidR="00426670" w:rsidRPr="00426670" w:rsidRDefault="00426670" w:rsidP="001A6DBC">
      <w:pPr>
        <w:spacing w:line="283" w:lineRule="auto"/>
        <w:rPr>
          <w:lang w:val="sl-SI"/>
        </w:rPr>
      </w:pPr>
    </w:p>
    <w:p w:rsidR="00426670" w:rsidRPr="00426670" w:rsidRDefault="00426670" w:rsidP="001A6DBC">
      <w:pPr>
        <w:numPr>
          <w:ilvl w:val="0"/>
          <w:numId w:val="15"/>
        </w:numPr>
        <w:tabs>
          <w:tab w:val="clear" w:pos="0"/>
        </w:tabs>
        <w:ind w:left="567" w:hanging="567"/>
        <w:rPr>
          <w:lang w:val="sl-SI"/>
        </w:rPr>
      </w:pPr>
      <w:r w:rsidRPr="00426670">
        <w:rPr>
          <w:lang w:val="sl-SI"/>
        </w:rPr>
        <w:t>Konkretneje bi bilo treba podpreti tudi uporabo trgovine kot sredstva za podporo regionalnega povezovanja in ciljev trajnostnega razvoja, zlasti v tistih regijah, ki še niso sklenile sporazumov o gospodarskem partnerstvu, čeprav ti sporazumi še niso v celoti izpolnili prvotnih obljub.</w:t>
      </w:r>
    </w:p>
    <w:p w:rsidR="00426670" w:rsidRPr="00426670" w:rsidRDefault="00426670" w:rsidP="007A19FD">
      <w:pPr>
        <w:rPr>
          <w:lang w:val="sl-SI"/>
        </w:rPr>
      </w:pPr>
    </w:p>
    <w:p w:rsidR="00426670" w:rsidRPr="00426670" w:rsidRDefault="00426670" w:rsidP="001A6DBC">
      <w:pPr>
        <w:numPr>
          <w:ilvl w:val="0"/>
          <w:numId w:val="15"/>
        </w:numPr>
        <w:tabs>
          <w:tab w:val="clear" w:pos="0"/>
        </w:tabs>
        <w:ind w:left="567" w:hanging="567"/>
        <w:rPr>
          <w:lang w:val="sl-SI"/>
        </w:rPr>
      </w:pPr>
      <w:r w:rsidRPr="00426670">
        <w:rPr>
          <w:lang w:val="sl-SI"/>
        </w:rPr>
        <w:t>EU bi si morala v okviru svojih pristojnosti prav tako prizadevati za razvoj večjih sinergij med cilji trajnostnega razvoja in 27 temeljnimi konvencijami, ki se nanašajo na njen splošni sistem preferencialov GSP+.</w:t>
      </w:r>
    </w:p>
    <w:p w:rsidR="00426670" w:rsidRPr="00426670" w:rsidRDefault="00426670" w:rsidP="007A19FD">
      <w:pPr>
        <w:rPr>
          <w:lang w:val="sl-SI"/>
        </w:rPr>
      </w:pPr>
    </w:p>
    <w:p w:rsidR="00426670" w:rsidRPr="00426670" w:rsidRDefault="00426670" w:rsidP="001A6DBC">
      <w:pPr>
        <w:numPr>
          <w:ilvl w:val="0"/>
          <w:numId w:val="15"/>
        </w:numPr>
        <w:tabs>
          <w:tab w:val="clear" w:pos="0"/>
        </w:tabs>
        <w:ind w:left="567" w:hanging="567"/>
        <w:rPr>
          <w:lang w:val="sl-SI"/>
        </w:rPr>
      </w:pPr>
      <w:r w:rsidRPr="00426670">
        <w:rPr>
          <w:lang w:val="sl-SI"/>
        </w:rPr>
        <w:t>EESO poudarja ključno vlogo odgovornega ravnanja podjetij pri uresničevanju ciljev trajnostnega razvoja.</w:t>
      </w:r>
    </w:p>
    <w:p w:rsidR="00426670" w:rsidRPr="00426670" w:rsidRDefault="00426670" w:rsidP="007A19FD">
      <w:pPr>
        <w:rPr>
          <w:lang w:val="sl-SI"/>
        </w:rPr>
      </w:pPr>
    </w:p>
    <w:p w:rsidR="00426670" w:rsidRPr="00426670" w:rsidRDefault="00426670" w:rsidP="001A6DBC">
      <w:pPr>
        <w:numPr>
          <w:ilvl w:val="0"/>
          <w:numId w:val="15"/>
        </w:numPr>
        <w:tabs>
          <w:tab w:val="clear" w:pos="0"/>
        </w:tabs>
        <w:ind w:left="567" w:hanging="567"/>
        <w:rPr>
          <w:lang w:val="sl-SI"/>
        </w:rPr>
      </w:pPr>
      <w:r w:rsidRPr="00426670">
        <w:rPr>
          <w:lang w:val="sl-SI"/>
        </w:rPr>
        <w:t>EESO poziva, naj vsi prihodnji mandati za poglavja o trgovini in trajnostnem razvoju v pogajanjih EU o trgovini in partnerstvih vsebujejo posebno klavzulo, ki od akterjev vsakega mehanizma civilne družbe za spremljanje zahteva sodelovanje pri spodbujanju ciljev trajnostnega razvoja in spremljanje njegovih učinkov.</w:t>
      </w:r>
    </w:p>
    <w:p w:rsidR="00426670" w:rsidRPr="00426670" w:rsidRDefault="00426670" w:rsidP="007A19FD">
      <w:pPr>
        <w:rPr>
          <w:lang w:val="sl-SI"/>
        </w:rPr>
      </w:pPr>
    </w:p>
    <w:p w:rsidR="00426670" w:rsidRPr="007A19FD" w:rsidRDefault="00426670" w:rsidP="007A19FD">
      <w:pPr>
        <w:rPr>
          <w:i/>
          <w:lang w:val="sl-SI"/>
        </w:rPr>
      </w:pPr>
      <w:r w:rsidRPr="007A19FD">
        <w:rPr>
          <w:b/>
          <w:i/>
          <w:lang w:val="sl-SI"/>
        </w:rPr>
        <w:t>Kontaktna oseba:</w:t>
      </w:r>
      <w:r w:rsidR="007A19FD" w:rsidRPr="007A19FD">
        <w:rPr>
          <w:i/>
          <w:lang w:val="sl-SI"/>
        </w:rPr>
        <w:t xml:space="preserve"> </w:t>
      </w:r>
      <w:r w:rsidRPr="007A19FD">
        <w:rPr>
          <w:i/>
          <w:lang w:val="sl-SI"/>
        </w:rPr>
        <w:t>Tzonka Iotzova</w:t>
      </w:r>
    </w:p>
    <w:p w:rsidR="00426670" w:rsidRPr="007A19FD" w:rsidRDefault="00426670" w:rsidP="00426670">
      <w:pPr>
        <w:rPr>
          <w:i/>
          <w:szCs w:val="22"/>
          <w:lang w:val="sl-SI"/>
        </w:rPr>
      </w:pPr>
      <w:r w:rsidRPr="007A19FD">
        <w:rPr>
          <w:i/>
          <w:szCs w:val="22"/>
          <w:lang w:val="sl-SI"/>
        </w:rPr>
        <w:t xml:space="preserve">(tel.: 00 32 2 546 8978 – e-naslov: </w:t>
      </w:r>
      <w:hyperlink r:id="rId33">
        <w:r w:rsidRPr="007A19FD">
          <w:rPr>
            <w:rStyle w:val="Hyperlink"/>
            <w:i/>
            <w:szCs w:val="22"/>
            <w:lang w:val="sl-SI"/>
          </w:rPr>
          <w:t>tzonka.iotzova@eesc.europa.eu</w:t>
        </w:r>
      </w:hyperlink>
      <w:r w:rsidRPr="007A19FD">
        <w:rPr>
          <w:i/>
          <w:szCs w:val="22"/>
          <w:lang w:val="sl-SI"/>
        </w:rPr>
        <w:t>)</w:t>
      </w:r>
    </w:p>
    <w:p w:rsidR="00426670" w:rsidRPr="00426670" w:rsidRDefault="00426670" w:rsidP="00426670">
      <w:pPr>
        <w:rPr>
          <w:szCs w:val="22"/>
          <w:lang w:val="sl-SI"/>
        </w:rPr>
      </w:pPr>
      <w:bookmarkStart w:id="27" w:name="_GoBack"/>
      <w:bookmarkEnd w:id="27"/>
    </w:p>
    <w:p w:rsidR="00426670" w:rsidRPr="00A72A08" w:rsidRDefault="00426670" w:rsidP="00CC2D40">
      <w:pPr>
        <w:keepNext/>
        <w:keepLines/>
        <w:numPr>
          <w:ilvl w:val="0"/>
          <w:numId w:val="2"/>
        </w:numPr>
        <w:ind w:hanging="567"/>
        <w:rPr>
          <w:b/>
          <w:i/>
          <w:sz w:val="28"/>
          <w:szCs w:val="22"/>
          <w:lang w:val="sl-SI"/>
        </w:rPr>
      </w:pPr>
      <w:r w:rsidRPr="00A72A08">
        <w:rPr>
          <w:b/>
          <w:i/>
          <w:sz w:val="28"/>
          <w:szCs w:val="22"/>
          <w:lang w:val="sl-SI"/>
        </w:rPr>
        <w:t>Odnosi med EU in Kubo: vloga organizirane civilne družbe</w:t>
      </w:r>
    </w:p>
    <w:p w:rsidR="00426670" w:rsidRPr="008742A2" w:rsidRDefault="00426670" w:rsidP="00CC2D40">
      <w:pPr>
        <w:keepNext/>
        <w:keepLines/>
      </w:pPr>
    </w:p>
    <w:p w:rsidR="00426670" w:rsidRPr="00426670" w:rsidRDefault="00426670" w:rsidP="00CC2D40">
      <w:pPr>
        <w:keepNext/>
        <w:keepLines/>
        <w:rPr>
          <w:szCs w:val="22"/>
          <w:lang w:val="sl-SI"/>
        </w:rPr>
      </w:pPr>
      <w:r w:rsidRPr="00426670">
        <w:rPr>
          <w:b/>
          <w:szCs w:val="22"/>
          <w:lang w:val="sl-SI"/>
        </w:rPr>
        <w:t>Poročevalec:</w:t>
      </w:r>
      <w:r w:rsidR="008742A2">
        <w:rPr>
          <w:szCs w:val="22"/>
          <w:lang w:val="sl-SI"/>
        </w:rPr>
        <w:t xml:space="preserve"> </w:t>
      </w:r>
      <w:r w:rsidRPr="00426670">
        <w:rPr>
          <w:szCs w:val="22"/>
          <w:lang w:val="sl-SI"/>
        </w:rPr>
        <w:t xml:space="preserve">Giuseppe </w:t>
      </w:r>
      <w:r w:rsidR="00DC04E5" w:rsidRPr="00426670">
        <w:rPr>
          <w:szCs w:val="22"/>
          <w:lang w:val="sl-SI"/>
        </w:rPr>
        <w:t xml:space="preserve">IULIANO </w:t>
      </w:r>
      <w:r w:rsidRPr="00426670">
        <w:rPr>
          <w:szCs w:val="22"/>
          <w:lang w:val="sl-SI"/>
        </w:rPr>
        <w:t>(delojemalci – IT)</w:t>
      </w:r>
    </w:p>
    <w:p w:rsidR="00426670" w:rsidRPr="008742A2" w:rsidRDefault="00426670" w:rsidP="00CC2D40">
      <w:pPr>
        <w:keepNext/>
        <w:keepLines/>
        <w:rPr>
          <w:highlight w:val="yellow"/>
        </w:rPr>
      </w:pPr>
    </w:p>
    <w:p w:rsidR="00426670" w:rsidRPr="00426670" w:rsidRDefault="00426670" w:rsidP="00CC2D40">
      <w:pPr>
        <w:keepNext/>
        <w:keepLines/>
        <w:rPr>
          <w:szCs w:val="22"/>
          <w:lang w:val="sl-SI"/>
        </w:rPr>
      </w:pPr>
      <w:r w:rsidRPr="00426670">
        <w:rPr>
          <w:b/>
          <w:szCs w:val="22"/>
          <w:lang w:val="sl-SI"/>
        </w:rPr>
        <w:t>Referenčni dokument:</w:t>
      </w:r>
      <w:r w:rsidR="008742A2">
        <w:rPr>
          <w:szCs w:val="22"/>
          <w:lang w:val="sl-SI"/>
        </w:rPr>
        <w:t xml:space="preserve"> </w:t>
      </w:r>
      <w:r w:rsidRPr="00426670">
        <w:rPr>
          <w:szCs w:val="22"/>
          <w:lang w:val="sl-SI"/>
        </w:rPr>
        <w:t>EESC-2017-04479-00-00-RI-TRA</w:t>
      </w:r>
    </w:p>
    <w:p w:rsidR="00426670" w:rsidRPr="00426670" w:rsidRDefault="00426670" w:rsidP="00CC2D40">
      <w:pPr>
        <w:keepNext/>
        <w:keepLines/>
        <w:rPr>
          <w:szCs w:val="22"/>
          <w:lang w:val="sl-SI"/>
        </w:rPr>
      </w:pPr>
    </w:p>
    <w:p w:rsidR="00426670" w:rsidRPr="00426670" w:rsidRDefault="008742A2" w:rsidP="00CC2D40">
      <w:pPr>
        <w:keepNext/>
        <w:keepLines/>
        <w:rPr>
          <w:szCs w:val="22"/>
          <w:lang w:val="sl-SI"/>
        </w:rPr>
      </w:pPr>
      <w:r>
        <w:rPr>
          <w:b/>
          <w:szCs w:val="22"/>
          <w:lang w:val="sl-SI"/>
        </w:rPr>
        <w:t>Glavne točke:</w:t>
      </w:r>
    </w:p>
    <w:p w:rsidR="00426670" w:rsidRPr="00426670" w:rsidRDefault="00426670" w:rsidP="00CC2D40">
      <w:pPr>
        <w:keepNext/>
        <w:keepLines/>
        <w:rPr>
          <w:szCs w:val="22"/>
          <w:lang w:val="sl-SI"/>
        </w:rPr>
      </w:pPr>
    </w:p>
    <w:p w:rsidR="00426670" w:rsidRPr="00426670" w:rsidRDefault="00426670" w:rsidP="00CC2D40">
      <w:pPr>
        <w:keepNext/>
        <w:keepLines/>
        <w:numPr>
          <w:ilvl w:val="0"/>
          <w:numId w:val="15"/>
        </w:numPr>
        <w:tabs>
          <w:tab w:val="clear" w:pos="0"/>
        </w:tabs>
        <w:ind w:left="567" w:hanging="567"/>
        <w:rPr>
          <w:lang w:val="sl-SI"/>
        </w:rPr>
      </w:pPr>
      <w:r w:rsidRPr="00426670">
        <w:rPr>
          <w:lang w:val="sl-SI"/>
        </w:rPr>
        <w:t>Odnosi med EU in Kubo so bili vzpostavljeni s skupnem stališčem leta 1996. Evropska komisija je maja 2010 odobrila strateški dokument za obdobje 2011–2013, v katerem je bilo v podporo ukrepom razvojnega sodelovanja na otoku namenjenih 20 milijonov EUR. Leta 2014 sta pogodbenici začeli pogajanja o sporazumu o političnem dialogu in sodelovanju, ki je bil podpisan leta 2016 in nato z</w:t>
      </w:r>
      <w:r w:rsidR="008742A2">
        <w:rPr>
          <w:lang w:val="sl-SI"/>
        </w:rPr>
        <w:t>ačel veljati 1. novembra 2017.</w:t>
      </w:r>
    </w:p>
    <w:p w:rsidR="00426670" w:rsidRPr="00426670" w:rsidRDefault="00426670" w:rsidP="00CC2D40">
      <w:pPr>
        <w:keepNext/>
        <w:keepLines/>
        <w:rPr>
          <w:lang w:val="sl-SI"/>
        </w:rPr>
      </w:pPr>
    </w:p>
    <w:p w:rsidR="00426670" w:rsidRPr="00426670" w:rsidRDefault="00426670" w:rsidP="00CC2D40">
      <w:pPr>
        <w:keepNext/>
        <w:keepLines/>
        <w:numPr>
          <w:ilvl w:val="0"/>
          <w:numId w:val="15"/>
        </w:numPr>
        <w:tabs>
          <w:tab w:val="clear" w:pos="0"/>
        </w:tabs>
        <w:ind w:left="567" w:hanging="567"/>
        <w:rPr>
          <w:lang w:val="sl-SI"/>
        </w:rPr>
      </w:pPr>
      <w:r w:rsidRPr="00426670">
        <w:rPr>
          <w:lang w:val="sl-SI"/>
        </w:rPr>
        <w:t>Člen 36 Sporazuma o političnem dialogu in sodelovanju med EU in Kubo priznava možni prispevek civilne družbe in spodbuja podporne ukrepe za večjo udeležbo civilne družbe pri oblikovanju in izvajanju razvojne politike in politike sodelovanja. Vendar pa EESO ugotavlja, da sporazum, v nasprotju z drugimi mednarodnimi pogodbami ali sporazumi o sodelovanju, ki jih je podpisala EU, ne predvideva konkretnih mehanizmov za sodelovanje organizacij civilne družbe. V tem smislu opozarja Evropsko službo za zunanje delovanje, da bi bilo primerno vzpostaviti nekakšen mehanizem, s katerim bi civilni družbi obeh pogodbenic spremljali izvajanje sporazuma EU-Kuba (skupni posvetovalni odbor).</w:t>
      </w:r>
    </w:p>
    <w:p w:rsidR="00426670" w:rsidRPr="00426670" w:rsidRDefault="00426670" w:rsidP="00CC2D40">
      <w:pPr>
        <w:keepNext/>
        <w:keepLines/>
        <w:rPr>
          <w:lang w:val="sl-SI"/>
        </w:rPr>
      </w:pPr>
    </w:p>
    <w:p w:rsidR="00426670" w:rsidRPr="00426670" w:rsidRDefault="00426670" w:rsidP="00CC2D40">
      <w:pPr>
        <w:keepNext/>
        <w:keepLines/>
        <w:numPr>
          <w:ilvl w:val="0"/>
          <w:numId w:val="15"/>
        </w:numPr>
        <w:tabs>
          <w:tab w:val="clear" w:pos="0"/>
        </w:tabs>
        <w:ind w:left="567" w:hanging="567"/>
        <w:rPr>
          <w:lang w:val="sl-SI"/>
        </w:rPr>
      </w:pPr>
      <w:r w:rsidRPr="00426670">
        <w:rPr>
          <w:lang w:val="sl-SI"/>
        </w:rPr>
        <w:t>EESO pogodbenicama ponuja svoje izkušnje v zvezi z organizirano evropsko civilno družbo na področju človekovih, ekonomskih, socialnih in kulturnih pravic (socialni in kulturni dialo</w:t>
      </w:r>
      <w:r w:rsidR="008742A2">
        <w:rPr>
          <w:lang w:val="sl-SI"/>
        </w:rPr>
        <w:t>g) v okviru člena 36 sporazuma.</w:t>
      </w:r>
    </w:p>
    <w:p w:rsidR="00426670" w:rsidRPr="00426670" w:rsidRDefault="00426670" w:rsidP="00CC2D40">
      <w:pPr>
        <w:keepNext/>
        <w:keepLines/>
        <w:rPr>
          <w:szCs w:val="22"/>
          <w:lang w:val="sl-SI"/>
        </w:rPr>
      </w:pPr>
    </w:p>
    <w:p w:rsidR="00426670" w:rsidRPr="00426670" w:rsidRDefault="00426670" w:rsidP="00CC2D40">
      <w:pPr>
        <w:keepNext/>
        <w:keepLines/>
        <w:numPr>
          <w:ilvl w:val="0"/>
          <w:numId w:val="15"/>
        </w:numPr>
        <w:tabs>
          <w:tab w:val="clear" w:pos="0"/>
        </w:tabs>
        <w:ind w:left="567" w:hanging="567"/>
        <w:rPr>
          <w:lang w:val="sl-SI"/>
        </w:rPr>
      </w:pPr>
      <w:r w:rsidRPr="00426670">
        <w:rPr>
          <w:lang w:val="sl-SI"/>
        </w:rPr>
        <w:t>Poleg tega je pripravljen deliti evropske izkušnje z upravljanjem MSP, zadružništvom in solidarnostnim gospodarstvom, tj. z vidiki, ki bi lahko zanimali kubanske sogovornike v procesu gospodarskih reform, ki poteka na Kubi.</w:t>
      </w:r>
    </w:p>
    <w:p w:rsidR="00426670" w:rsidRPr="00426670" w:rsidRDefault="00426670" w:rsidP="008742A2">
      <w:pPr>
        <w:rPr>
          <w:lang w:val="sl-SI"/>
        </w:rPr>
      </w:pPr>
    </w:p>
    <w:p w:rsidR="00426670" w:rsidRPr="00426670" w:rsidRDefault="00426670" w:rsidP="008418EC">
      <w:pPr>
        <w:numPr>
          <w:ilvl w:val="0"/>
          <w:numId w:val="15"/>
        </w:numPr>
        <w:tabs>
          <w:tab w:val="clear" w:pos="0"/>
        </w:tabs>
        <w:ind w:left="567" w:hanging="567"/>
        <w:rPr>
          <w:lang w:val="sl-SI"/>
        </w:rPr>
      </w:pPr>
      <w:r w:rsidRPr="00426670">
        <w:rPr>
          <w:lang w:val="sl-SI"/>
        </w:rPr>
        <w:t>EESO meni, da bi bila zaželena izmenjava med civilnima družbama pogodbenic na področju vrednotenja izkušenj s prostovoljstvom, ki imajo na Kubi in v Evropi pomembno vlogo v kriznih razmerah, ob naravnih nesrečah in za podporo ranljivim skupinam prebivalcev, zlasti na področju zdravstva.</w:t>
      </w:r>
    </w:p>
    <w:p w:rsidR="00426670" w:rsidRPr="00426670" w:rsidRDefault="00426670" w:rsidP="008742A2">
      <w:pPr>
        <w:rPr>
          <w:lang w:val="sl-SI"/>
        </w:rPr>
      </w:pPr>
    </w:p>
    <w:p w:rsidR="00426670" w:rsidRPr="008742A2" w:rsidRDefault="00426670" w:rsidP="00426670">
      <w:pPr>
        <w:rPr>
          <w:i/>
          <w:szCs w:val="22"/>
          <w:lang w:val="sl-SI"/>
        </w:rPr>
      </w:pPr>
      <w:r w:rsidRPr="008742A2">
        <w:rPr>
          <w:b/>
          <w:i/>
          <w:szCs w:val="22"/>
          <w:lang w:val="sl-SI"/>
        </w:rPr>
        <w:t>Kontaktna oseba</w:t>
      </w:r>
      <w:r w:rsidR="008742A2" w:rsidRPr="008742A2">
        <w:rPr>
          <w:b/>
          <w:i/>
          <w:szCs w:val="22"/>
          <w:lang w:val="sl-SI"/>
        </w:rPr>
        <w:t>:</w:t>
      </w:r>
      <w:r w:rsidR="008742A2">
        <w:rPr>
          <w:i/>
          <w:szCs w:val="22"/>
          <w:lang w:val="sl-SI"/>
        </w:rPr>
        <w:t xml:space="preserve"> </w:t>
      </w:r>
      <w:r w:rsidRPr="008742A2">
        <w:rPr>
          <w:i/>
          <w:szCs w:val="22"/>
          <w:lang w:val="sl-SI"/>
        </w:rPr>
        <w:t>Lucia Mendez del Rio Cabra</w:t>
      </w:r>
    </w:p>
    <w:p w:rsidR="00426670" w:rsidRPr="008742A2" w:rsidRDefault="008418EC" w:rsidP="00426670">
      <w:pPr>
        <w:rPr>
          <w:i/>
          <w:szCs w:val="22"/>
          <w:lang w:val="sl-SI"/>
        </w:rPr>
      </w:pPr>
      <w:r>
        <w:rPr>
          <w:i/>
          <w:szCs w:val="22"/>
          <w:lang w:val="sl-SI"/>
        </w:rPr>
        <w:t>(tel.: 00 32 2 546 9345 –</w:t>
      </w:r>
      <w:r w:rsidR="00426670" w:rsidRPr="008742A2">
        <w:rPr>
          <w:i/>
          <w:szCs w:val="22"/>
          <w:lang w:val="sl-SI"/>
        </w:rPr>
        <w:t xml:space="preserve"> e-naslov: </w:t>
      </w:r>
      <w:hyperlink r:id="rId34">
        <w:r w:rsidR="00426670" w:rsidRPr="008742A2">
          <w:rPr>
            <w:rStyle w:val="Hyperlink"/>
            <w:i/>
            <w:szCs w:val="22"/>
            <w:lang w:val="sl-SI"/>
          </w:rPr>
          <w:t>lucia.mendezdelriocabra@eesc.europa.eu</w:t>
        </w:r>
      </w:hyperlink>
      <w:r w:rsidR="00426670" w:rsidRPr="008742A2">
        <w:rPr>
          <w:i/>
          <w:szCs w:val="22"/>
          <w:lang w:val="sl-SI"/>
        </w:rPr>
        <w:t>)</w:t>
      </w:r>
    </w:p>
    <w:p w:rsidR="00B552B0" w:rsidRPr="00033ECB" w:rsidRDefault="00B552B0" w:rsidP="00B552B0"/>
    <w:p w:rsidR="00B552B0" w:rsidRPr="00426670" w:rsidRDefault="00B552B0" w:rsidP="00872982">
      <w:pPr>
        <w:jc w:val="center"/>
        <w:rPr>
          <w:szCs w:val="22"/>
          <w:lang w:val="sl-SI"/>
        </w:rPr>
      </w:pPr>
      <w:r w:rsidRPr="00426670">
        <w:rPr>
          <w:szCs w:val="22"/>
          <w:lang w:val="sl-SI"/>
        </w:rPr>
        <w:t>_____________</w:t>
      </w:r>
    </w:p>
    <w:sectPr w:rsidR="00B552B0" w:rsidRPr="00426670" w:rsidSect="00C2463C">
      <w:headerReference w:type="even" r:id="rId35"/>
      <w:headerReference w:type="default" r:id="rId36"/>
      <w:footerReference w:type="even" r:id="rId37"/>
      <w:footerReference w:type="default" r:id="rId38"/>
      <w:headerReference w:type="first" r:id="rId39"/>
      <w:footerReference w:type="first" r:id="rId40"/>
      <w:pgSz w:w="11907" w:h="16839" w:code="9"/>
      <w:pgMar w:top="1418" w:right="1418" w:bottom="1418" w:left="1418"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709" w:rsidRDefault="00E43709">
      <w:r>
        <w:separator/>
      </w:r>
    </w:p>
  </w:endnote>
  <w:endnote w:type="continuationSeparator" w:id="0">
    <w:p w:rsidR="00E43709" w:rsidRDefault="00E43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00D" w:rsidRPr="00C2463C" w:rsidRDefault="00C2463C" w:rsidP="00C2463C">
    <w:pPr>
      <w:pStyle w:val="Footer"/>
      <w:rPr>
        <w:lang w:val="sl-SI"/>
      </w:rPr>
    </w:pPr>
    <w:r w:rsidRPr="00C2463C">
      <w:rPr>
        <w:lang w:val="sl-SI"/>
      </w:rPr>
      <w:t xml:space="preserve">EESC-2017-05092-00-02-TCD-TRA (FR/EN) </w:t>
    </w:r>
    <w:r w:rsidRPr="00C2463C">
      <w:rPr>
        <w:lang w:val="sl-SI"/>
      </w:rPr>
      <w:fldChar w:fldCharType="begin"/>
    </w:r>
    <w:r w:rsidRPr="00C2463C">
      <w:rPr>
        <w:lang w:val="sl-SI"/>
      </w:rPr>
      <w:instrText xml:space="preserve"> PAGE  \* Arabic  \* MERGEFORMAT </w:instrText>
    </w:r>
    <w:r w:rsidRPr="00C2463C">
      <w:rPr>
        <w:lang w:val="sl-SI"/>
      </w:rPr>
      <w:fldChar w:fldCharType="separate"/>
    </w:r>
    <w:r w:rsidR="00E43709">
      <w:rPr>
        <w:noProof/>
        <w:lang w:val="sl-SI"/>
      </w:rPr>
      <w:t>1</w:t>
    </w:r>
    <w:r w:rsidRPr="00C2463C">
      <w:rPr>
        <w:lang w:val="sl-SI"/>
      </w:rPr>
      <w:fldChar w:fldCharType="end"/>
    </w:r>
    <w:r w:rsidRPr="00C2463C">
      <w:rPr>
        <w:lang w:val="sl-SI"/>
      </w:rPr>
      <w:t>/</w:t>
    </w:r>
    <w:r w:rsidRPr="00C2463C">
      <w:rPr>
        <w:lang w:val="sl-SI"/>
      </w:rPr>
      <w:fldChar w:fldCharType="begin"/>
    </w:r>
    <w:r w:rsidRPr="00C2463C">
      <w:rPr>
        <w:lang w:val="sl-SI"/>
      </w:rPr>
      <w:instrText xml:space="preserve"> = </w:instrText>
    </w:r>
    <w:r w:rsidRPr="00C2463C">
      <w:rPr>
        <w:lang w:val="sl-SI"/>
      </w:rPr>
      <w:fldChar w:fldCharType="begin"/>
    </w:r>
    <w:r w:rsidRPr="00C2463C">
      <w:rPr>
        <w:lang w:val="sl-SI"/>
      </w:rPr>
      <w:instrText xml:space="preserve"> NUMPAGES </w:instrText>
    </w:r>
    <w:r w:rsidRPr="00C2463C">
      <w:rPr>
        <w:lang w:val="sl-SI"/>
      </w:rPr>
      <w:fldChar w:fldCharType="separate"/>
    </w:r>
    <w:r w:rsidR="00E43709">
      <w:rPr>
        <w:noProof/>
        <w:lang w:val="sl-SI"/>
      </w:rPr>
      <w:instrText>1</w:instrText>
    </w:r>
    <w:r w:rsidRPr="00C2463C">
      <w:rPr>
        <w:lang w:val="sl-SI"/>
      </w:rPr>
      <w:fldChar w:fldCharType="end"/>
    </w:r>
    <w:r w:rsidRPr="00C2463C">
      <w:rPr>
        <w:lang w:val="sl-SI"/>
      </w:rPr>
      <w:instrText xml:space="preserve"> -0 </w:instrText>
    </w:r>
    <w:r w:rsidRPr="00C2463C">
      <w:rPr>
        <w:lang w:val="sl-SI"/>
      </w:rPr>
      <w:fldChar w:fldCharType="separate"/>
    </w:r>
    <w:r w:rsidR="00E43709">
      <w:rPr>
        <w:noProof/>
        <w:lang w:val="sl-SI"/>
      </w:rPr>
      <w:t>1</w:t>
    </w:r>
    <w:r w:rsidRPr="00C2463C">
      <w:rPr>
        <w:lang w:val="sl-S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00D" w:rsidRPr="00C2463C" w:rsidRDefault="003C500D" w:rsidP="00C246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00D" w:rsidRPr="00C2463C" w:rsidRDefault="00C2463C" w:rsidP="00C2463C">
    <w:pPr>
      <w:pStyle w:val="Footer"/>
      <w:rPr>
        <w:lang w:val="sl-SI"/>
      </w:rPr>
    </w:pPr>
    <w:r w:rsidRPr="00C2463C">
      <w:rPr>
        <w:lang w:val="sl-SI"/>
      </w:rPr>
      <w:t xml:space="preserve">EESC-2017-05092-00-02-TCD-TRA (FR/EN) </w:t>
    </w:r>
    <w:r w:rsidRPr="00C2463C">
      <w:rPr>
        <w:lang w:val="sl-SI"/>
      </w:rPr>
      <w:fldChar w:fldCharType="begin"/>
    </w:r>
    <w:r w:rsidRPr="00C2463C">
      <w:rPr>
        <w:lang w:val="sl-SI"/>
      </w:rPr>
      <w:instrText xml:space="preserve"> PAGE  \* Arabic  \* MERGEFORMAT </w:instrText>
    </w:r>
    <w:r w:rsidRPr="00C2463C">
      <w:rPr>
        <w:lang w:val="sl-SI"/>
      </w:rPr>
      <w:fldChar w:fldCharType="separate"/>
    </w:r>
    <w:r w:rsidR="00C236C4">
      <w:rPr>
        <w:noProof/>
        <w:lang w:val="sl-SI"/>
      </w:rPr>
      <w:t>23</w:t>
    </w:r>
    <w:r w:rsidRPr="00C2463C">
      <w:rPr>
        <w:lang w:val="sl-SI"/>
      </w:rPr>
      <w:fldChar w:fldCharType="end"/>
    </w:r>
    <w:r w:rsidRPr="00C2463C">
      <w:rPr>
        <w:lang w:val="sl-SI"/>
      </w:rPr>
      <w:t>/</w:t>
    </w:r>
    <w:r w:rsidRPr="00C2463C">
      <w:rPr>
        <w:lang w:val="sl-SI"/>
      </w:rPr>
      <w:fldChar w:fldCharType="begin"/>
    </w:r>
    <w:r w:rsidRPr="00C2463C">
      <w:rPr>
        <w:lang w:val="sl-SI"/>
      </w:rPr>
      <w:instrText xml:space="preserve"> = </w:instrText>
    </w:r>
    <w:r w:rsidRPr="00C2463C">
      <w:rPr>
        <w:lang w:val="sl-SI"/>
      </w:rPr>
      <w:fldChar w:fldCharType="begin"/>
    </w:r>
    <w:r w:rsidRPr="00C2463C">
      <w:rPr>
        <w:lang w:val="sl-SI"/>
      </w:rPr>
      <w:instrText xml:space="preserve"> NUMPAGES </w:instrText>
    </w:r>
    <w:r w:rsidRPr="00C2463C">
      <w:rPr>
        <w:lang w:val="sl-SI"/>
      </w:rPr>
      <w:fldChar w:fldCharType="separate"/>
    </w:r>
    <w:r w:rsidR="00C236C4">
      <w:rPr>
        <w:noProof/>
        <w:lang w:val="sl-SI"/>
      </w:rPr>
      <w:instrText>24</w:instrText>
    </w:r>
    <w:r w:rsidRPr="00C2463C">
      <w:rPr>
        <w:lang w:val="sl-SI"/>
      </w:rPr>
      <w:fldChar w:fldCharType="end"/>
    </w:r>
    <w:r w:rsidRPr="00C2463C">
      <w:rPr>
        <w:lang w:val="sl-SI"/>
      </w:rPr>
      <w:instrText xml:space="preserve"> -0 </w:instrText>
    </w:r>
    <w:r w:rsidRPr="00C2463C">
      <w:rPr>
        <w:lang w:val="sl-SI"/>
      </w:rPr>
      <w:fldChar w:fldCharType="separate"/>
    </w:r>
    <w:r w:rsidR="00C236C4">
      <w:rPr>
        <w:noProof/>
        <w:lang w:val="sl-SI"/>
      </w:rPr>
      <w:t>24</w:t>
    </w:r>
    <w:r w:rsidRPr="00C2463C">
      <w:rPr>
        <w:lang w:val="sl-S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00D" w:rsidRPr="00C2463C" w:rsidRDefault="003C500D" w:rsidP="00C246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709" w:rsidRDefault="00E43709">
      <w:r>
        <w:separator/>
      </w:r>
    </w:p>
  </w:footnote>
  <w:footnote w:type="continuationSeparator" w:id="0">
    <w:p w:rsidR="00E43709" w:rsidRDefault="00E43709">
      <w:r>
        <w:continuationSeparator/>
      </w:r>
    </w:p>
  </w:footnote>
  <w:footnote w:id="1">
    <w:p w:rsidR="000B3636" w:rsidRPr="000B3636" w:rsidRDefault="000B3636" w:rsidP="000B3636">
      <w:pPr>
        <w:pStyle w:val="FootnoteText"/>
        <w:ind w:left="567" w:hanging="567"/>
      </w:pPr>
      <w:r>
        <w:rPr>
          <w:rStyle w:val="FootnoteReference"/>
        </w:rPr>
        <w:footnoteRef/>
      </w:r>
      <w:r>
        <w:t xml:space="preserve"> </w:t>
      </w:r>
      <w:r>
        <w:tab/>
      </w:r>
      <w:r w:rsidR="00155204">
        <w:t>ISO 14000 in ISO </w:t>
      </w:r>
      <w:r w:rsidRPr="000B3636">
        <w:t>18000, ISO</w:t>
      </w:r>
      <w:r w:rsidR="00155204">
        <w:t> 14006 in ISO 45001, ISO </w:t>
      </w:r>
      <w:r w:rsidRPr="000B3636">
        <w:t>14006.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00D" w:rsidRPr="00C2463C" w:rsidRDefault="003C500D" w:rsidP="00C246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00D" w:rsidRPr="00C2463C" w:rsidRDefault="003C500D" w:rsidP="00C246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00D" w:rsidRPr="00C2463C" w:rsidRDefault="003C500D" w:rsidP="00C246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FFFFFFFE"/>
    <w:multiLevelType w:val="singleLevel"/>
    <w:tmpl w:val="ACD4CDB0"/>
    <w:lvl w:ilvl="0">
      <w:numFmt w:val="decimal"/>
      <w:lvlText w:val="*"/>
      <w:lvlJc w:val="left"/>
      <w:rPr>
        <w:rFonts w:cs="Times New Roman"/>
      </w:rPr>
    </w:lvl>
  </w:abstractNum>
  <w:abstractNum w:abstractNumId="2">
    <w:nsid w:val="025A762B"/>
    <w:multiLevelType w:val="hybridMultilevel"/>
    <w:tmpl w:val="0E5C4880"/>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B0447B"/>
    <w:multiLevelType w:val="hybridMultilevel"/>
    <w:tmpl w:val="CDFE316E"/>
    <w:lvl w:ilvl="0" w:tplc="0F604F50">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74730A3"/>
    <w:multiLevelType w:val="hybridMultilevel"/>
    <w:tmpl w:val="595237A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B216B02"/>
    <w:multiLevelType w:val="hybridMultilevel"/>
    <w:tmpl w:val="D2049AB6"/>
    <w:lvl w:ilvl="0" w:tplc="9CEA3448">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06B6B51"/>
    <w:multiLevelType w:val="hybridMultilevel"/>
    <w:tmpl w:val="AB6A7E32"/>
    <w:lvl w:ilvl="0" w:tplc="8DF8F9A2">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9847769"/>
    <w:multiLevelType w:val="hybridMultilevel"/>
    <w:tmpl w:val="936E60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FAD42C6"/>
    <w:multiLevelType w:val="hybridMultilevel"/>
    <w:tmpl w:val="C76AE730"/>
    <w:lvl w:ilvl="0" w:tplc="16E2217E">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1647E25"/>
    <w:multiLevelType w:val="singleLevel"/>
    <w:tmpl w:val="080C0001"/>
    <w:lvl w:ilvl="0">
      <w:start w:val="1"/>
      <w:numFmt w:val="bullet"/>
      <w:lvlText w:val=""/>
      <w:lvlJc w:val="left"/>
      <w:pPr>
        <w:ind w:left="360" w:hanging="360"/>
      </w:pPr>
      <w:rPr>
        <w:rFonts w:ascii="Symbol" w:hAnsi="Symbol" w:hint="default"/>
      </w:rPr>
    </w:lvl>
  </w:abstractNum>
  <w:abstractNum w:abstractNumId="10">
    <w:nsid w:val="33F33E42"/>
    <w:multiLevelType w:val="hybridMultilevel"/>
    <w:tmpl w:val="6F48B61A"/>
    <w:lvl w:ilvl="0" w:tplc="932C76C2">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67E322D"/>
    <w:multiLevelType w:val="hybridMultilevel"/>
    <w:tmpl w:val="49FA7340"/>
    <w:lvl w:ilvl="0" w:tplc="09B25EC6">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7CC5AD7"/>
    <w:multiLevelType w:val="hybridMultilevel"/>
    <w:tmpl w:val="42342048"/>
    <w:lvl w:ilvl="0" w:tplc="080C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7F13951"/>
    <w:multiLevelType w:val="hybridMultilevel"/>
    <w:tmpl w:val="3726148E"/>
    <w:lvl w:ilvl="0" w:tplc="15B40E86">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4A567D43"/>
    <w:multiLevelType w:val="singleLevel"/>
    <w:tmpl w:val="080C0001"/>
    <w:lvl w:ilvl="0">
      <w:start w:val="1"/>
      <w:numFmt w:val="bullet"/>
      <w:lvlText w:val=""/>
      <w:lvlJc w:val="left"/>
      <w:pPr>
        <w:ind w:left="720" w:hanging="360"/>
      </w:pPr>
      <w:rPr>
        <w:rFonts w:ascii="Symbol" w:hAnsi="Symbol" w:hint="default"/>
      </w:rPr>
    </w:lvl>
  </w:abstractNum>
  <w:abstractNum w:abstractNumId="15">
    <w:nsid w:val="4E850E77"/>
    <w:multiLevelType w:val="hybridMultilevel"/>
    <w:tmpl w:val="1CEA9348"/>
    <w:lvl w:ilvl="0" w:tplc="17FA3F74">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F0A6E4D"/>
    <w:multiLevelType w:val="singleLevel"/>
    <w:tmpl w:val="040C0001"/>
    <w:lvl w:ilvl="0">
      <w:start w:val="1"/>
      <w:numFmt w:val="bullet"/>
      <w:lvlText w:val=""/>
      <w:lvlJc w:val="left"/>
      <w:pPr>
        <w:ind w:left="360" w:hanging="360"/>
      </w:pPr>
      <w:rPr>
        <w:rFonts w:ascii="Symbol" w:hAnsi="Symbol" w:hint="default"/>
      </w:rPr>
    </w:lvl>
  </w:abstractNum>
  <w:abstractNum w:abstractNumId="17">
    <w:nsid w:val="52170D94"/>
    <w:multiLevelType w:val="hybridMultilevel"/>
    <w:tmpl w:val="132011DE"/>
    <w:lvl w:ilvl="0" w:tplc="E214BACC">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53744811"/>
    <w:multiLevelType w:val="hybridMultilevel"/>
    <w:tmpl w:val="141A9358"/>
    <w:lvl w:ilvl="0" w:tplc="4AB09264">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38C6878"/>
    <w:multiLevelType w:val="hybridMultilevel"/>
    <w:tmpl w:val="3F3EC2CC"/>
    <w:lvl w:ilvl="0" w:tplc="6AA26484">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54226090"/>
    <w:multiLevelType w:val="hybridMultilevel"/>
    <w:tmpl w:val="74E856E2"/>
    <w:lvl w:ilvl="0" w:tplc="AC7CBF3A">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54E80509"/>
    <w:multiLevelType w:val="hybridMultilevel"/>
    <w:tmpl w:val="A3A0AD48"/>
    <w:lvl w:ilvl="0" w:tplc="7B68A7D2">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63E05679"/>
    <w:multiLevelType w:val="hybridMultilevel"/>
    <w:tmpl w:val="4D4E333E"/>
    <w:lvl w:ilvl="0" w:tplc="738C645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3FD309A"/>
    <w:multiLevelType w:val="hybridMultilevel"/>
    <w:tmpl w:val="6CEE59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79370FC5"/>
    <w:multiLevelType w:val="hybridMultilevel"/>
    <w:tmpl w:val="C6148DEE"/>
    <w:lvl w:ilvl="0" w:tplc="080C0001">
      <w:start w:val="1"/>
      <w:numFmt w:val="bullet"/>
      <w:lvlText w:val=""/>
      <w:lvlJc w:val="left"/>
      <w:pPr>
        <w:ind w:left="720" w:hanging="360"/>
      </w:pPr>
      <w:rPr>
        <w:rFonts w:ascii="Symbol" w:hAnsi="Symbol" w:hint="default"/>
      </w:rPr>
    </w:lvl>
    <w:lvl w:ilvl="1" w:tplc="7916BB34">
      <w:numFmt w:val="bullet"/>
      <w:lvlText w:val="-"/>
      <w:lvlJc w:val="left"/>
      <w:pPr>
        <w:ind w:left="1440" w:hanging="360"/>
      </w:pPr>
      <w:rPr>
        <w:rFonts w:ascii="Times New Roman" w:eastAsia="Times New Roman" w:hAnsi="Times New Roman" w:cs="Times New Roman" w:hint="default"/>
        <w:b w:val="0"/>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4"/>
  </w:num>
  <w:num w:numId="4">
    <w:abstractNumId w:val="2"/>
  </w:num>
  <w:num w:numId="5">
    <w:abstractNumId w:val="12"/>
  </w:num>
  <w:num w:numId="6">
    <w:abstractNumId w:val="23"/>
  </w:num>
  <w:num w:numId="7">
    <w:abstractNumId w:val="9"/>
  </w:num>
  <w:num w:numId="8">
    <w:abstractNumId w:val="16"/>
  </w:num>
  <w:num w:numId="9">
    <w:abstractNumId w:val="24"/>
  </w:num>
  <w:num w:numId="10">
    <w:abstractNumId w:val="10"/>
  </w:num>
  <w:num w:numId="11">
    <w:abstractNumId w:val="5"/>
  </w:num>
  <w:num w:numId="12">
    <w:abstractNumId w:val="15"/>
  </w:num>
  <w:num w:numId="13">
    <w:abstractNumId w:val="22"/>
  </w:num>
  <w:num w:numId="14">
    <w:abstractNumId w:val="7"/>
  </w:num>
  <w:num w:numId="15">
    <w:abstractNumId w:val="19"/>
  </w:num>
  <w:num w:numId="16">
    <w:abstractNumId w:val="11"/>
  </w:num>
  <w:num w:numId="17">
    <w:abstractNumId w:val="13"/>
  </w:num>
  <w:num w:numId="18">
    <w:abstractNumId w:val="18"/>
  </w:num>
  <w:num w:numId="19">
    <w:abstractNumId w:val="20"/>
  </w:num>
  <w:num w:numId="20">
    <w:abstractNumId w:val="17"/>
  </w:num>
  <w:num w:numId="21">
    <w:abstractNumId w:val="3"/>
  </w:num>
  <w:num w:numId="22">
    <w:abstractNumId w:val="8"/>
  </w:num>
  <w:num w:numId="23">
    <w:abstractNumId w:val="6"/>
  </w:num>
  <w:num w:numId="24">
    <w:abstractNumId w:val="21"/>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110"/>
  <w:drawingGridVerticalSpacing w:val="299"/>
  <w:displayHorizontalDrawingGridEvery w:val="2"/>
  <w:displayVerticalDrawingGridEvery w:val="0"/>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F21"/>
    <w:rsid w:val="00012120"/>
    <w:rsid w:val="000162C4"/>
    <w:rsid w:val="0002059A"/>
    <w:rsid w:val="00033ECB"/>
    <w:rsid w:val="00050A7A"/>
    <w:rsid w:val="00050AD8"/>
    <w:rsid w:val="00051FC5"/>
    <w:rsid w:val="00061745"/>
    <w:rsid w:val="00063CBE"/>
    <w:rsid w:val="00070CBF"/>
    <w:rsid w:val="000711F5"/>
    <w:rsid w:val="000B3636"/>
    <w:rsid w:val="000D2E47"/>
    <w:rsid w:val="00115885"/>
    <w:rsid w:val="00132CCD"/>
    <w:rsid w:val="00145EBA"/>
    <w:rsid w:val="00155204"/>
    <w:rsid w:val="001578AD"/>
    <w:rsid w:val="001748B1"/>
    <w:rsid w:val="001A6DBC"/>
    <w:rsid w:val="001B36FC"/>
    <w:rsid w:val="00203328"/>
    <w:rsid w:val="00203F86"/>
    <w:rsid w:val="002149BA"/>
    <w:rsid w:val="00274CB2"/>
    <w:rsid w:val="0027600E"/>
    <w:rsid w:val="002947BA"/>
    <w:rsid w:val="002C5935"/>
    <w:rsid w:val="00314900"/>
    <w:rsid w:val="00325176"/>
    <w:rsid w:val="0036115C"/>
    <w:rsid w:val="00366169"/>
    <w:rsid w:val="00382E92"/>
    <w:rsid w:val="003A12F0"/>
    <w:rsid w:val="003A4CB9"/>
    <w:rsid w:val="003A77F3"/>
    <w:rsid w:val="003B1673"/>
    <w:rsid w:val="003C500D"/>
    <w:rsid w:val="003C6BA8"/>
    <w:rsid w:val="00413DB5"/>
    <w:rsid w:val="00415D3C"/>
    <w:rsid w:val="00426670"/>
    <w:rsid w:val="00426FD3"/>
    <w:rsid w:val="004332C8"/>
    <w:rsid w:val="0044328A"/>
    <w:rsid w:val="004614AE"/>
    <w:rsid w:val="0046656E"/>
    <w:rsid w:val="00481A39"/>
    <w:rsid w:val="00494FAC"/>
    <w:rsid w:val="00497514"/>
    <w:rsid w:val="004A35D8"/>
    <w:rsid w:val="004E4DE9"/>
    <w:rsid w:val="004E5BF0"/>
    <w:rsid w:val="0051369E"/>
    <w:rsid w:val="005259AC"/>
    <w:rsid w:val="00527DBA"/>
    <w:rsid w:val="0053215E"/>
    <w:rsid w:val="00533EE6"/>
    <w:rsid w:val="00544F36"/>
    <w:rsid w:val="0057254D"/>
    <w:rsid w:val="00581F13"/>
    <w:rsid w:val="00594177"/>
    <w:rsid w:val="005E2132"/>
    <w:rsid w:val="00600466"/>
    <w:rsid w:val="0060200B"/>
    <w:rsid w:val="006029F3"/>
    <w:rsid w:val="00662D93"/>
    <w:rsid w:val="00667E27"/>
    <w:rsid w:val="00676CF9"/>
    <w:rsid w:val="00694252"/>
    <w:rsid w:val="006B19AA"/>
    <w:rsid w:val="006C71B0"/>
    <w:rsid w:val="006F41CF"/>
    <w:rsid w:val="00704756"/>
    <w:rsid w:val="00714C2A"/>
    <w:rsid w:val="007272CB"/>
    <w:rsid w:val="00782142"/>
    <w:rsid w:val="007826C9"/>
    <w:rsid w:val="00792067"/>
    <w:rsid w:val="00796D2C"/>
    <w:rsid w:val="00797C73"/>
    <w:rsid w:val="007A19FD"/>
    <w:rsid w:val="007D7731"/>
    <w:rsid w:val="007F505A"/>
    <w:rsid w:val="00800A38"/>
    <w:rsid w:val="0082289E"/>
    <w:rsid w:val="008418EC"/>
    <w:rsid w:val="00872982"/>
    <w:rsid w:val="0087354F"/>
    <w:rsid w:val="008742A2"/>
    <w:rsid w:val="00897275"/>
    <w:rsid w:val="008B1299"/>
    <w:rsid w:val="008E07AA"/>
    <w:rsid w:val="008F6957"/>
    <w:rsid w:val="00911ED8"/>
    <w:rsid w:val="009345AF"/>
    <w:rsid w:val="00980F2E"/>
    <w:rsid w:val="00984BC4"/>
    <w:rsid w:val="009A4093"/>
    <w:rsid w:val="009C25E0"/>
    <w:rsid w:val="009C3C47"/>
    <w:rsid w:val="009C4E9E"/>
    <w:rsid w:val="009F33E1"/>
    <w:rsid w:val="00A277BF"/>
    <w:rsid w:val="00A51DDF"/>
    <w:rsid w:val="00A71B61"/>
    <w:rsid w:val="00A72A08"/>
    <w:rsid w:val="00A95986"/>
    <w:rsid w:val="00AB1066"/>
    <w:rsid w:val="00AC35F0"/>
    <w:rsid w:val="00AD3040"/>
    <w:rsid w:val="00AE108A"/>
    <w:rsid w:val="00AF333A"/>
    <w:rsid w:val="00B2149D"/>
    <w:rsid w:val="00B37B9F"/>
    <w:rsid w:val="00B434FA"/>
    <w:rsid w:val="00B552B0"/>
    <w:rsid w:val="00BD7F9B"/>
    <w:rsid w:val="00C150AF"/>
    <w:rsid w:val="00C17DCB"/>
    <w:rsid w:val="00C236C4"/>
    <w:rsid w:val="00C2463C"/>
    <w:rsid w:val="00C37B5E"/>
    <w:rsid w:val="00C45817"/>
    <w:rsid w:val="00C541A4"/>
    <w:rsid w:val="00C56D8D"/>
    <w:rsid w:val="00C77473"/>
    <w:rsid w:val="00C835BB"/>
    <w:rsid w:val="00C95A0A"/>
    <w:rsid w:val="00CC2D40"/>
    <w:rsid w:val="00CD6740"/>
    <w:rsid w:val="00CF5F21"/>
    <w:rsid w:val="00D32819"/>
    <w:rsid w:val="00D527F9"/>
    <w:rsid w:val="00D64967"/>
    <w:rsid w:val="00D72B46"/>
    <w:rsid w:val="00DB0D86"/>
    <w:rsid w:val="00DC04E5"/>
    <w:rsid w:val="00DC2D7F"/>
    <w:rsid w:val="00DD2979"/>
    <w:rsid w:val="00DE4E0B"/>
    <w:rsid w:val="00E059BD"/>
    <w:rsid w:val="00E2543D"/>
    <w:rsid w:val="00E43709"/>
    <w:rsid w:val="00ED1158"/>
    <w:rsid w:val="00ED436B"/>
    <w:rsid w:val="00EE2BEF"/>
    <w:rsid w:val="00F82373"/>
    <w:rsid w:val="00F90D07"/>
    <w:rsid w:val="00FA6038"/>
    <w:rsid w:val="00FB0E1E"/>
    <w:rsid w:val="00FD2E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footer" w:uiPriority="99"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0A38"/>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qFormat/>
    <w:rsid w:val="00800A38"/>
    <w:pPr>
      <w:numPr>
        <w:numId w:val="1"/>
      </w:numPr>
      <w:outlineLvl w:val="0"/>
    </w:pPr>
    <w:rPr>
      <w:kern w:val="28"/>
    </w:rPr>
  </w:style>
  <w:style w:type="paragraph" w:styleId="Heading2">
    <w:name w:val="heading 2"/>
    <w:basedOn w:val="Normal"/>
    <w:next w:val="Normal"/>
    <w:link w:val="Heading2Char"/>
    <w:qFormat/>
    <w:rsid w:val="00800A38"/>
    <w:pPr>
      <w:numPr>
        <w:ilvl w:val="1"/>
        <w:numId w:val="1"/>
      </w:numPr>
      <w:ind w:left="720" w:hanging="720"/>
      <w:outlineLvl w:val="1"/>
    </w:pPr>
  </w:style>
  <w:style w:type="paragraph" w:styleId="Heading3">
    <w:name w:val="heading 3"/>
    <w:basedOn w:val="Normal"/>
    <w:next w:val="Normal"/>
    <w:link w:val="Heading3Char"/>
    <w:qFormat/>
    <w:rsid w:val="00800A38"/>
    <w:pPr>
      <w:numPr>
        <w:ilvl w:val="2"/>
        <w:numId w:val="1"/>
      </w:numPr>
      <w:ind w:left="720" w:hanging="720"/>
      <w:outlineLvl w:val="2"/>
    </w:pPr>
  </w:style>
  <w:style w:type="paragraph" w:styleId="Heading4">
    <w:name w:val="heading 4"/>
    <w:basedOn w:val="Normal"/>
    <w:next w:val="Normal"/>
    <w:link w:val="Heading4Char"/>
    <w:qFormat/>
    <w:rsid w:val="00800A38"/>
    <w:pPr>
      <w:numPr>
        <w:ilvl w:val="3"/>
        <w:numId w:val="1"/>
      </w:numPr>
      <w:ind w:left="720" w:hanging="720"/>
      <w:outlineLvl w:val="3"/>
    </w:pPr>
  </w:style>
  <w:style w:type="paragraph" w:styleId="Heading5">
    <w:name w:val="heading 5"/>
    <w:basedOn w:val="Normal"/>
    <w:next w:val="Normal"/>
    <w:link w:val="Heading5Char"/>
    <w:qFormat/>
    <w:rsid w:val="00800A38"/>
    <w:pPr>
      <w:numPr>
        <w:ilvl w:val="4"/>
        <w:numId w:val="1"/>
      </w:numPr>
      <w:ind w:left="720" w:hanging="720"/>
      <w:outlineLvl w:val="4"/>
    </w:pPr>
  </w:style>
  <w:style w:type="paragraph" w:styleId="Heading6">
    <w:name w:val="heading 6"/>
    <w:basedOn w:val="Normal"/>
    <w:next w:val="Normal"/>
    <w:link w:val="Heading6Char"/>
    <w:qFormat/>
    <w:rsid w:val="00800A38"/>
    <w:pPr>
      <w:numPr>
        <w:ilvl w:val="5"/>
        <w:numId w:val="1"/>
      </w:numPr>
      <w:ind w:left="720" w:hanging="720"/>
      <w:outlineLvl w:val="5"/>
    </w:pPr>
  </w:style>
  <w:style w:type="paragraph" w:styleId="Heading7">
    <w:name w:val="heading 7"/>
    <w:basedOn w:val="Normal"/>
    <w:next w:val="Normal"/>
    <w:link w:val="Heading7Char"/>
    <w:qFormat/>
    <w:rsid w:val="00800A38"/>
    <w:pPr>
      <w:numPr>
        <w:ilvl w:val="6"/>
        <w:numId w:val="1"/>
      </w:numPr>
      <w:ind w:left="720" w:hanging="720"/>
      <w:outlineLvl w:val="6"/>
    </w:pPr>
  </w:style>
  <w:style w:type="paragraph" w:styleId="Heading8">
    <w:name w:val="heading 8"/>
    <w:basedOn w:val="Normal"/>
    <w:next w:val="Normal"/>
    <w:link w:val="Heading8Char"/>
    <w:qFormat/>
    <w:rsid w:val="00800A38"/>
    <w:pPr>
      <w:numPr>
        <w:ilvl w:val="7"/>
        <w:numId w:val="1"/>
      </w:numPr>
      <w:ind w:left="720" w:hanging="720"/>
      <w:outlineLvl w:val="7"/>
    </w:pPr>
  </w:style>
  <w:style w:type="paragraph" w:styleId="Heading9">
    <w:name w:val="heading 9"/>
    <w:basedOn w:val="Normal"/>
    <w:next w:val="Normal"/>
    <w:link w:val="Heading9Char"/>
    <w:qFormat/>
    <w:rsid w:val="00800A38"/>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4768"/>
    <w:rPr>
      <w:kern w:val="28"/>
      <w:sz w:val="22"/>
      <w:lang w:val="en-GB" w:eastAsia="en-US"/>
    </w:rPr>
  </w:style>
  <w:style w:type="character" w:customStyle="1" w:styleId="Heading2Char">
    <w:name w:val="Heading 2 Char"/>
    <w:basedOn w:val="DefaultParagraphFont"/>
    <w:link w:val="Heading2"/>
    <w:uiPriority w:val="9"/>
    <w:semiHidden/>
    <w:rsid w:val="00584768"/>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semiHidden/>
    <w:rsid w:val="00584768"/>
    <w:rPr>
      <w:rFonts w:asciiTheme="majorHAnsi" w:eastAsiaTheme="majorEastAsia" w:hAnsiTheme="majorHAnsi" w:cstheme="majorBidi"/>
      <w:b/>
      <w:bCs/>
      <w:color w:val="4F81BD" w:themeColor="accent1"/>
      <w:sz w:val="22"/>
      <w:lang w:val="en-GB" w:eastAsia="en-US"/>
    </w:rPr>
  </w:style>
  <w:style w:type="character" w:customStyle="1" w:styleId="Heading4Char">
    <w:name w:val="Heading 4 Char"/>
    <w:basedOn w:val="DefaultParagraphFont"/>
    <w:link w:val="Heading4"/>
    <w:uiPriority w:val="9"/>
    <w:semiHidden/>
    <w:rsid w:val="00584768"/>
    <w:rPr>
      <w:rFonts w:asciiTheme="majorHAnsi" w:eastAsiaTheme="majorEastAsia" w:hAnsiTheme="majorHAnsi" w:cstheme="majorBidi"/>
      <w:b/>
      <w:bCs/>
      <w:i/>
      <w:iCs/>
      <w:color w:val="4F81BD" w:themeColor="accent1"/>
      <w:sz w:val="22"/>
      <w:lang w:val="en-GB" w:eastAsia="en-US"/>
    </w:rPr>
  </w:style>
  <w:style w:type="character" w:customStyle="1" w:styleId="Heading5Char">
    <w:name w:val="Heading 5 Char"/>
    <w:basedOn w:val="DefaultParagraphFont"/>
    <w:link w:val="Heading5"/>
    <w:uiPriority w:val="9"/>
    <w:semiHidden/>
    <w:rsid w:val="00584768"/>
    <w:rPr>
      <w:rFonts w:asciiTheme="majorHAnsi" w:eastAsiaTheme="majorEastAsia" w:hAnsiTheme="majorHAnsi" w:cstheme="majorBidi"/>
      <w:color w:val="243F60" w:themeColor="accent1" w:themeShade="7F"/>
      <w:sz w:val="22"/>
      <w:lang w:val="en-GB" w:eastAsia="en-US"/>
    </w:rPr>
  </w:style>
  <w:style w:type="character" w:customStyle="1" w:styleId="Heading6Char">
    <w:name w:val="Heading 6 Char"/>
    <w:basedOn w:val="DefaultParagraphFont"/>
    <w:link w:val="Heading6"/>
    <w:uiPriority w:val="9"/>
    <w:semiHidden/>
    <w:rsid w:val="00584768"/>
    <w:rPr>
      <w:rFonts w:asciiTheme="majorHAnsi" w:eastAsiaTheme="majorEastAsia" w:hAnsiTheme="majorHAnsi" w:cstheme="majorBidi"/>
      <w:i/>
      <w:iCs/>
      <w:color w:val="243F60" w:themeColor="accent1" w:themeShade="7F"/>
      <w:sz w:val="22"/>
      <w:lang w:val="en-GB" w:eastAsia="en-US"/>
    </w:rPr>
  </w:style>
  <w:style w:type="character" w:customStyle="1" w:styleId="Heading7Char">
    <w:name w:val="Heading 7 Char"/>
    <w:basedOn w:val="DefaultParagraphFont"/>
    <w:link w:val="Heading7"/>
    <w:uiPriority w:val="9"/>
    <w:semiHidden/>
    <w:rsid w:val="00584768"/>
    <w:rPr>
      <w:rFonts w:asciiTheme="majorHAnsi" w:eastAsiaTheme="majorEastAsia" w:hAnsiTheme="majorHAnsi" w:cstheme="majorBidi"/>
      <w:i/>
      <w:iCs/>
      <w:color w:val="404040" w:themeColor="text1" w:themeTint="BF"/>
      <w:sz w:val="22"/>
      <w:lang w:val="en-GB" w:eastAsia="en-US"/>
    </w:rPr>
  </w:style>
  <w:style w:type="character" w:customStyle="1" w:styleId="Heading8Char">
    <w:name w:val="Heading 8 Char"/>
    <w:basedOn w:val="DefaultParagraphFont"/>
    <w:link w:val="Heading8"/>
    <w:uiPriority w:val="9"/>
    <w:semiHidden/>
    <w:rsid w:val="00584768"/>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584768"/>
    <w:rPr>
      <w:rFonts w:asciiTheme="majorHAnsi" w:eastAsiaTheme="majorEastAsia" w:hAnsiTheme="majorHAnsi" w:cstheme="majorBidi"/>
      <w:i/>
      <w:iCs/>
      <w:color w:val="404040" w:themeColor="text1" w:themeTint="BF"/>
      <w:lang w:val="en-GB" w:eastAsia="en-US"/>
    </w:rPr>
  </w:style>
  <w:style w:type="paragraph" w:styleId="Footer">
    <w:name w:val="footer"/>
    <w:basedOn w:val="Normal"/>
    <w:link w:val="FooterChar"/>
    <w:uiPriority w:val="99"/>
    <w:qFormat/>
    <w:rsid w:val="00800A38"/>
  </w:style>
  <w:style w:type="character" w:customStyle="1" w:styleId="FooterChar">
    <w:name w:val="Footer Char"/>
    <w:basedOn w:val="DefaultParagraphFont"/>
    <w:link w:val="Footer"/>
    <w:uiPriority w:val="99"/>
    <w:rsid w:val="00584768"/>
    <w:rPr>
      <w:sz w:val="22"/>
      <w:lang w:val="en-GB" w:eastAsia="en-US"/>
    </w:rPr>
  </w:style>
  <w:style w:type="paragraph" w:styleId="Header">
    <w:name w:val="header"/>
    <w:basedOn w:val="Normal"/>
    <w:link w:val="HeaderChar"/>
    <w:uiPriority w:val="99"/>
    <w:rsid w:val="00800A38"/>
  </w:style>
  <w:style w:type="character" w:customStyle="1" w:styleId="HeaderChar">
    <w:name w:val="Header Char"/>
    <w:basedOn w:val="DefaultParagraphFont"/>
    <w:link w:val="Header"/>
    <w:uiPriority w:val="99"/>
    <w:semiHidden/>
    <w:rsid w:val="00584768"/>
    <w:rPr>
      <w:sz w:val="22"/>
      <w:lang w:val="en-GB" w:eastAsia="en-US"/>
    </w:rPr>
  </w:style>
  <w:style w:type="paragraph" w:customStyle="1" w:styleId="quotes">
    <w:name w:val="quotes"/>
    <w:basedOn w:val="Normal"/>
    <w:next w:val="Normal"/>
    <w:rsid w:val="00800A38"/>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qFormat/>
    <w:rsid w:val="00800A38"/>
    <w:rPr>
      <w:sz w:val="24"/>
      <w:vertAlign w:val="superscript"/>
    </w:rPr>
  </w:style>
  <w:style w:type="paragraph" w:customStyle="1" w:styleId="LOGO">
    <w:name w:val="LOGO"/>
    <w:basedOn w:val="Normal"/>
    <w:pPr>
      <w:spacing w:line="240" w:lineRule="auto"/>
      <w:jc w:val="center"/>
    </w:pPr>
    <w:rPr>
      <w:rFonts w:ascii="Arial" w:hAnsi="Arial"/>
      <w:b/>
      <w:i/>
      <w:sz w:val="20"/>
    </w:rPr>
  </w:style>
  <w:style w:type="paragraph" w:styleId="TOC1">
    <w:name w:val="toc 1"/>
    <w:basedOn w:val="Normal"/>
    <w:next w:val="Normal"/>
    <w:autoRedefine/>
    <w:uiPriority w:val="39"/>
    <w:rsid w:val="00C95A0A"/>
    <w:pPr>
      <w:tabs>
        <w:tab w:val="left" w:pos="567"/>
        <w:tab w:val="right" w:leader="dot" w:pos="9061"/>
      </w:tabs>
      <w:spacing w:after="100"/>
      <w:ind w:left="567" w:hanging="567"/>
    </w:pPr>
  </w:style>
  <w:style w:type="paragraph" w:styleId="FootnoteText">
    <w:name w:val="footnote text"/>
    <w:basedOn w:val="Normal"/>
    <w:link w:val="FootnoteTextChar"/>
    <w:qFormat/>
    <w:rsid w:val="00426670"/>
    <w:pPr>
      <w:keepLines/>
      <w:spacing w:after="60" w:line="240" w:lineRule="auto"/>
      <w:ind w:left="720" w:hanging="720"/>
    </w:pPr>
    <w:rPr>
      <w:sz w:val="16"/>
      <w:lang w:val="sl-SI" w:eastAsia="sl-SI" w:bidi="sl-SI"/>
    </w:rPr>
  </w:style>
  <w:style w:type="character" w:customStyle="1" w:styleId="FootnoteTextChar">
    <w:name w:val="Footnote Text Char"/>
    <w:basedOn w:val="DefaultParagraphFont"/>
    <w:link w:val="FootnoteText"/>
    <w:qFormat/>
    <w:rsid w:val="00426670"/>
    <w:rPr>
      <w:sz w:val="16"/>
      <w:lang w:val="sl-SI" w:eastAsia="sl-SI" w:bidi="sl-SI"/>
    </w:rPr>
  </w:style>
  <w:style w:type="paragraph" w:styleId="ListParagraph">
    <w:name w:val="List Paragraph"/>
    <w:basedOn w:val="Normal"/>
    <w:uiPriority w:val="34"/>
    <w:qFormat/>
    <w:rsid w:val="002C59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footer" w:uiPriority="99"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0A38"/>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qFormat/>
    <w:rsid w:val="00800A38"/>
    <w:pPr>
      <w:numPr>
        <w:numId w:val="1"/>
      </w:numPr>
      <w:outlineLvl w:val="0"/>
    </w:pPr>
    <w:rPr>
      <w:kern w:val="28"/>
    </w:rPr>
  </w:style>
  <w:style w:type="paragraph" w:styleId="Heading2">
    <w:name w:val="heading 2"/>
    <w:basedOn w:val="Normal"/>
    <w:next w:val="Normal"/>
    <w:link w:val="Heading2Char"/>
    <w:qFormat/>
    <w:rsid w:val="00800A38"/>
    <w:pPr>
      <w:numPr>
        <w:ilvl w:val="1"/>
        <w:numId w:val="1"/>
      </w:numPr>
      <w:ind w:left="720" w:hanging="720"/>
      <w:outlineLvl w:val="1"/>
    </w:pPr>
  </w:style>
  <w:style w:type="paragraph" w:styleId="Heading3">
    <w:name w:val="heading 3"/>
    <w:basedOn w:val="Normal"/>
    <w:next w:val="Normal"/>
    <w:link w:val="Heading3Char"/>
    <w:qFormat/>
    <w:rsid w:val="00800A38"/>
    <w:pPr>
      <w:numPr>
        <w:ilvl w:val="2"/>
        <w:numId w:val="1"/>
      </w:numPr>
      <w:ind w:left="720" w:hanging="720"/>
      <w:outlineLvl w:val="2"/>
    </w:pPr>
  </w:style>
  <w:style w:type="paragraph" w:styleId="Heading4">
    <w:name w:val="heading 4"/>
    <w:basedOn w:val="Normal"/>
    <w:next w:val="Normal"/>
    <w:link w:val="Heading4Char"/>
    <w:qFormat/>
    <w:rsid w:val="00800A38"/>
    <w:pPr>
      <w:numPr>
        <w:ilvl w:val="3"/>
        <w:numId w:val="1"/>
      </w:numPr>
      <w:ind w:left="720" w:hanging="720"/>
      <w:outlineLvl w:val="3"/>
    </w:pPr>
  </w:style>
  <w:style w:type="paragraph" w:styleId="Heading5">
    <w:name w:val="heading 5"/>
    <w:basedOn w:val="Normal"/>
    <w:next w:val="Normal"/>
    <w:link w:val="Heading5Char"/>
    <w:qFormat/>
    <w:rsid w:val="00800A38"/>
    <w:pPr>
      <w:numPr>
        <w:ilvl w:val="4"/>
        <w:numId w:val="1"/>
      </w:numPr>
      <w:ind w:left="720" w:hanging="720"/>
      <w:outlineLvl w:val="4"/>
    </w:pPr>
  </w:style>
  <w:style w:type="paragraph" w:styleId="Heading6">
    <w:name w:val="heading 6"/>
    <w:basedOn w:val="Normal"/>
    <w:next w:val="Normal"/>
    <w:link w:val="Heading6Char"/>
    <w:qFormat/>
    <w:rsid w:val="00800A38"/>
    <w:pPr>
      <w:numPr>
        <w:ilvl w:val="5"/>
        <w:numId w:val="1"/>
      </w:numPr>
      <w:ind w:left="720" w:hanging="720"/>
      <w:outlineLvl w:val="5"/>
    </w:pPr>
  </w:style>
  <w:style w:type="paragraph" w:styleId="Heading7">
    <w:name w:val="heading 7"/>
    <w:basedOn w:val="Normal"/>
    <w:next w:val="Normal"/>
    <w:link w:val="Heading7Char"/>
    <w:qFormat/>
    <w:rsid w:val="00800A38"/>
    <w:pPr>
      <w:numPr>
        <w:ilvl w:val="6"/>
        <w:numId w:val="1"/>
      </w:numPr>
      <w:ind w:left="720" w:hanging="720"/>
      <w:outlineLvl w:val="6"/>
    </w:pPr>
  </w:style>
  <w:style w:type="paragraph" w:styleId="Heading8">
    <w:name w:val="heading 8"/>
    <w:basedOn w:val="Normal"/>
    <w:next w:val="Normal"/>
    <w:link w:val="Heading8Char"/>
    <w:qFormat/>
    <w:rsid w:val="00800A38"/>
    <w:pPr>
      <w:numPr>
        <w:ilvl w:val="7"/>
        <w:numId w:val="1"/>
      </w:numPr>
      <w:ind w:left="720" w:hanging="720"/>
      <w:outlineLvl w:val="7"/>
    </w:pPr>
  </w:style>
  <w:style w:type="paragraph" w:styleId="Heading9">
    <w:name w:val="heading 9"/>
    <w:basedOn w:val="Normal"/>
    <w:next w:val="Normal"/>
    <w:link w:val="Heading9Char"/>
    <w:qFormat/>
    <w:rsid w:val="00800A38"/>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4768"/>
    <w:rPr>
      <w:kern w:val="28"/>
      <w:sz w:val="22"/>
      <w:lang w:val="en-GB" w:eastAsia="en-US"/>
    </w:rPr>
  </w:style>
  <w:style w:type="character" w:customStyle="1" w:styleId="Heading2Char">
    <w:name w:val="Heading 2 Char"/>
    <w:basedOn w:val="DefaultParagraphFont"/>
    <w:link w:val="Heading2"/>
    <w:uiPriority w:val="9"/>
    <w:semiHidden/>
    <w:rsid w:val="00584768"/>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semiHidden/>
    <w:rsid w:val="00584768"/>
    <w:rPr>
      <w:rFonts w:asciiTheme="majorHAnsi" w:eastAsiaTheme="majorEastAsia" w:hAnsiTheme="majorHAnsi" w:cstheme="majorBidi"/>
      <w:b/>
      <w:bCs/>
      <w:color w:val="4F81BD" w:themeColor="accent1"/>
      <w:sz w:val="22"/>
      <w:lang w:val="en-GB" w:eastAsia="en-US"/>
    </w:rPr>
  </w:style>
  <w:style w:type="character" w:customStyle="1" w:styleId="Heading4Char">
    <w:name w:val="Heading 4 Char"/>
    <w:basedOn w:val="DefaultParagraphFont"/>
    <w:link w:val="Heading4"/>
    <w:uiPriority w:val="9"/>
    <w:semiHidden/>
    <w:rsid w:val="00584768"/>
    <w:rPr>
      <w:rFonts w:asciiTheme="majorHAnsi" w:eastAsiaTheme="majorEastAsia" w:hAnsiTheme="majorHAnsi" w:cstheme="majorBidi"/>
      <w:b/>
      <w:bCs/>
      <w:i/>
      <w:iCs/>
      <w:color w:val="4F81BD" w:themeColor="accent1"/>
      <w:sz w:val="22"/>
      <w:lang w:val="en-GB" w:eastAsia="en-US"/>
    </w:rPr>
  </w:style>
  <w:style w:type="character" w:customStyle="1" w:styleId="Heading5Char">
    <w:name w:val="Heading 5 Char"/>
    <w:basedOn w:val="DefaultParagraphFont"/>
    <w:link w:val="Heading5"/>
    <w:uiPriority w:val="9"/>
    <w:semiHidden/>
    <w:rsid w:val="00584768"/>
    <w:rPr>
      <w:rFonts w:asciiTheme="majorHAnsi" w:eastAsiaTheme="majorEastAsia" w:hAnsiTheme="majorHAnsi" w:cstheme="majorBidi"/>
      <w:color w:val="243F60" w:themeColor="accent1" w:themeShade="7F"/>
      <w:sz w:val="22"/>
      <w:lang w:val="en-GB" w:eastAsia="en-US"/>
    </w:rPr>
  </w:style>
  <w:style w:type="character" w:customStyle="1" w:styleId="Heading6Char">
    <w:name w:val="Heading 6 Char"/>
    <w:basedOn w:val="DefaultParagraphFont"/>
    <w:link w:val="Heading6"/>
    <w:uiPriority w:val="9"/>
    <w:semiHidden/>
    <w:rsid w:val="00584768"/>
    <w:rPr>
      <w:rFonts w:asciiTheme="majorHAnsi" w:eastAsiaTheme="majorEastAsia" w:hAnsiTheme="majorHAnsi" w:cstheme="majorBidi"/>
      <w:i/>
      <w:iCs/>
      <w:color w:val="243F60" w:themeColor="accent1" w:themeShade="7F"/>
      <w:sz w:val="22"/>
      <w:lang w:val="en-GB" w:eastAsia="en-US"/>
    </w:rPr>
  </w:style>
  <w:style w:type="character" w:customStyle="1" w:styleId="Heading7Char">
    <w:name w:val="Heading 7 Char"/>
    <w:basedOn w:val="DefaultParagraphFont"/>
    <w:link w:val="Heading7"/>
    <w:uiPriority w:val="9"/>
    <w:semiHidden/>
    <w:rsid w:val="00584768"/>
    <w:rPr>
      <w:rFonts w:asciiTheme="majorHAnsi" w:eastAsiaTheme="majorEastAsia" w:hAnsiTheme="majorHAnsi" w:cstheme="majorBidi"/>
      <w:i/>
      <w:iCs/>
      <w:color w:val="404040" w:themeColor="text1" w:themeTint="BF"/>
      <w:sz w:val="22"/>
      <w:lang w:val="en-GB" w:eastAsia="en-US"/>
    </w:rPr>
  </w:style>
  <w:style w:type="character" w:customStyle="1" w:styleId="Heading8Char">
    <w:name w:val="Heading 8 Char"/>
    <w:basedOn w:val="DefaultParagraphFont"/>
    <w:link w:val="Heading8"/>
    <w:uiPriority w:val="9"/>
    <w:semiHidden/>
    <w:rsid w:val="00584768"/>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584768"/>
    <w:rPr>
      <w:rFonts w:asciiTheme="majorHAnsi" w:eastAsiaTheme="majorEastAsia" w:hAnsiTheme="majorHAnsi" w:cstheme="majorBidi"/>
      <w:i/>
      <w:iCs/>
      <w:color w:val="404040" w:themeColor="text1" w:themeTint="BF"/>
      <w:lang w:val="en-GB" w:eastAsia="en-US"/>
    </w:rPr>
  </w:style>
  <w:style w:type="paragraph" w:styleId="Footer">
    <w:name w:val="footer"/>
    <w:basedOn w:val="Normal"/>
    <w:link w:val="FooterChar"/>
    <w:uiPriority w:val="99"/>
    <w:qFormat/>
    <w:rsid w:val="00800A38"/>
  </w:style>
  <w:style w:type="character" w:customStyle="1" w:styleId="FooterChar">
    <w:name w:val="Footer Char"/>
    <w:basedOn w:val="DefaultParagraphFont"/>
    <w:link w:val="Footer"/>
    <w:uiPriority w:val="99"/>
    <w:rsid w:val="00584768"/>
    <w:rPr>
      <w:sz w:val="22"/>
      <w:lang w:val="en-GB" w:eastAsia="en-US"/>
    </w:rPr>
  </w:style>
  <w:style w:type="paragraph" w:styleId="Header">
    <w:name w:val="header"/>
    <w:basedOn w:val="Normal"/>
    <w:link w:val="HeaderChar"/>
    <w:uiPriority w:val="99"/>
    <w:rsid w:val="00800A38"/>
  </w:style>
  <w:style w:type="character" w:customStyle="1" w:styleId="HeaderChar">
    <w:name w:val="Header Char"/>
    <w:basedOn w:val="DefaultParagraphFont"/>
    <w:link w:val="Header"/>
    <w:uiPriority w:val="99"/>
    <w:semiHidden/>
    <w:rsid w:val="00584768"/>
    <w:rPr>
      <w:sz w:val="22"/>
      <w:lang w:val="en-GB" w:eastAsia="en-US"/>
    </w:rPr>
  </w:style>
  <w:style w:type="paragraph" w:customStyle="1" w:styleId="quotes">
    <w:name w:val="quotes"/>
    <w:basedOn w:val="Normal"/>
    <w:next w:val="Normal"/>
    <w:rsid w:val="00800A38"/>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qFormat/>
    <w:rsid w:val="00800A38"/>
    <w:rPr>
      <w:sz w:val="24"/>
      <w:vertAlign w:val="superscript"/>
    </w:rPr>
  </w:style>
  <w:style w:type="paragraph" w:customStyle="1" w:styleId="LOGO">
    <w:name w:val="LOGO"/>
    <w:basedOn w:val="Normal"/>
    <w:pPr>
      <w:spacing w:line="240" w:lineRule="auto"/>
      <w:jc w:val="center"/>
    </w:pPr>
    <w:rPr>
      <w:rFonts w:ascii="Arial" w:hAnsi="Arial"/>
      <w:b/>
      <w:i/>
      <w:sz w:val="20"/>
    </w:rPr>
  </w:style>
  <w:style w:type="paragraph" w:styleId="TOC1">
    <w:name w:val="toc 1"/>
    <w:basedOn w:val="Normal"/>
    <w:next w:val="Normal"/>
    <w:autoRedefine/>
    <w:uiPriority w:val="39"/>
    <w:rsid w:val="00C95A0A"/>
    <w:pPr>
      <w:tabs>
        <w:tab w:val="left" w:pos="567"/>
        <w:tab w:val="right" w:leader="dot" w:pos="9061"/>
      </w:tabs>
      <w:spacing w:after="100"/>
      <w:ind w:left="567" w:hanging="567"/>
    </w:pPr>
  </w:style>
  <w:style w:type="paragraph" w:styleId="FootnoteText">
    <w:name w:val="footnote text"/>
    <w:basedOn w:val="Normal"/>
    <w:link w:val="FootnoteTextChar"/>
    <w:qFormat/>
    <w:rsid w:val="00426670"/>
    <w:pPr>
      <w:keepLines/>
      <w:spacing w:after="60" w:line="240" w:lineRule="auto"/>
      <w:ind w:left="720" w:hanging="720"/>
    </w:pPr>
    <w:rPr>
      <w:sz w:val="16"/>
      <w:lang w:val="sl-SI" w:eastAsia="sl-SI" w:bidi="sl-SI"/>
    </w:rPr>
  </w:style>
  <w:style w:type="character" w:customStyle="1" w:styleId="FootnoteTextChar">
    <w:name w:val="Footnote Text Char"/>
    <w:basedOn w:val="DefaultParagraphFont"/>
    <w:link w:val="FootnoteText"/>
    <w:qFormat/>
    <w:rsid w:val="00426670"/>
    <w:rPr>
      <w:sz w:val="16"/>
      <w:lang w:val="sl-SI" w:eastAsia="sl-SI" w:bidi="sl-SI"/>
    </w:rPr>
  </w:style>
  <w:style w:type="paragraph" w:styleId="ListParagraph">
    <w:name w:val="List Paragraph"/>
    <w:basedOn w:val="Normal"/>
    <w:uiPriority w:val="34"/>
    <w:qFormat/>
    <w:rsid w:val="002C5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alexander.alexandrov@eesc.europa.eu" TargetMode="External"/><Relationship Id="rId26" Type="http://schemas.openxmlformats.org/officeDocument/2006/relationships/hyperlink" Target="mailto:Maarit.Laurila@eesc.europa.eu"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Adam.Plezer@eesc.europa.eu" TargetMode="External"/><Relationship Id="rId34" Type="http://schemas.openxmlformats.org/officeDocument/2006/relationships/hyperlink" Target="mailto:Lucia.MendezDelRioCabra@eesc.europa.eu"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Helena.Polomik@eesc.europa.eu" TargetMode="External"/><Relationship Id="rId25" Type="http://schemas.openxmlformats.org/officeDocument/2006/relationships/hyperlink" Target="mailto:Conrad.Ganslandt@eesc.europa.eu" TargetMode="External"/><Relationship Id="rId33" Type="http://schemas.openxmlformats.org/officeDocument/2006/relationships/hyperlink" Target="mailto:Tzonka.Iotzova@eesc.europa.eu"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Adam.Plezer@eesc.europa.eu" TargetMode="External"/><Relationship Id="rId29" Type="http://schemas.openxmlformats.org/officeDocument/2006/relationships/hyperlink" Target="mailto:judite.berkemeier@eesc.europa.e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Stella.BrozekEveraert@eesc.europa.eu" TargetMode="External"/><Relationship Id="rId32" Type="http://schemas.openxmlformats.org/officeDocument/2006/relationships/hyperlink" Target="mailto:Rafael.BellonGomez@eesc.europa.eu" TargetMode="External"/><Relationship Id="rId37" Type="http://schemas.openxmlformats.org/officeDocument/2006/relationships/footer" Target="footer2.xml"/><Relationship Id="rId40"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dm.eesc.europa.eu/EESCDocumentSearch/Pages/opinionssearch.aspx" TargetMode="External"/><Relationship Id="rId23" Type="http://schemas.openxmlformats.org/officeDocument/2006/relationships/hyperlink" Target="mailto:Antonio.RibeiroPereira@eesc.europa.eu" TargetMode="External"/><Relationship Id="rId28" Type="http://schemas.openxmlformats.org/officeDocument/2006/relationships/hyperlink" Target="mailto:mariajudite.berkemeier@eesc.europa.eu" TargetMode="External"/><Relationship Id="rId36"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mailto:patrick.feve@eesc.europa.eu" TargetMode="External"/><Relationship Id="rId31" Type="http://schemas.openxmlformats.org/officeDocument/2006/relationships/hyperlink" Target="mailto:Laura.Ernsteina@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sl/our-work/opinions-information-reports/plenary-session-summaries" TargetMode="External"/><Relationship Id="rId22" Type="http://schemas.openxmlformats.org/officeDocument/2006/relationships/hyperlink" Target="mailto:Agota.Bazsik@eesc.europa.eu" TargetMode="External"/><Relationship Id="rId27" Type="http://schemas.openxmlformats.org/officeDocument/2006/relationships/hyperlink" Target="mailto:Monica.Guarinoni@eesc.europa.eu" TargetMode="External"/><Relationship Id="rId30" Type="http://schemas.openxmlformats.org/officeDocument/2006/relationships/hyperlink" Target="mailto:annemarie.wiersma@eesc.europa.eu" TargetMode="External"/><Relationship Id="rId35" Type="http://schemas.openxmlformats.org/officeDocument/2006/relationships/header" Target="header1.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3FE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WTPCSN73YJ26-8-5098</_dlc_DocId>
    <_dlc_DocIdUrl xmlns="8a3471f6-0f36-4ccf-b5ee-1ca67ea797ef">
      <Url>http://dm/EESC/2017/_layouts/DocIdRedir.aspx?ID=WTPCSN73YJ26-8-5098</Url>
      <Description>WTPCSN73YJ26-8-5098</Description>
    </_dlc_DocIdUrl>
    <MeetingNumber xmlns="aec2565f-fa8c-45b6-95fc-3f27706042d7">530</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2018-01-04T12:00:00+00:00</ProductionDate>
    <DocumentNumber xmlns="aec2565f-fa8c-45b6-95fc-3f27706042d7">5092</DocumentNumber>
    <FicheYear xmlns="8a3471f6-0f36-4ccf-b5ee-1ca67ea797ef">2017</FicheYear>
    <DocumentVersion xmlns="8a3471f6-0f36-4ccf-b5ee-1ca67ea797ef">2</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Date xmlns="8a3471f6-0f36-4ccf-b5ee-1ca67ea797ef">2017-12-06T12:00:00+00:00</MeetingDate>
    <TaxCatchAll xmlns="8a3471f6-0f36-4ccf-b5ee-1ca67ea797ef">
      <Value>31</Value>
      <Value>38</Value>
      <Value>37</Value>
      <Value>36</Value>
      <Value>35</Value>
      <Value>34</Value>
      <Value>33</Value>
      <Value>32</Value>
      <Value>27</Value>
      <Value>30</Value>
      <Value>29</Value>
      <Value>28</Value>
      <Value>25</Value>
      <Value>26</Value>
      <Value>72</Value>
      <Value>24</Value>
      <Value>23</Value>
      <Value>22</Value>
      <Value>18</Value>
      <Value>17</Value>
      <Value>15</Value>
      <Value>14</Value>
      <Value>12</Value>
      <Value>8</Value>
      <Value>6</Value>
      <Value>5</Value>
      <Value>4</Value>
      <Value>2</Value>
      <Value>1</Value>
    </TaxCatchAll>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2</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98B203C585D2E54E8477D21D46703D0B" ma:contentTypeVersion="4" ma:contentTypeDescription="Defines the documents for Document Manager V2" ma:contentTypeScope="" ma:versionID="3f64119e6ef0341831616a1b03f5ae53">
  <xsd:schema xmlns:xsd="http://www.w3.org/2001/XMLSchema" xmlns:xs="http://www.w3.org/2001/XMLSchema" xmlns:p="http://schemas.microsoft.com/office/2006/metadata/properties" xmlns:ns2="8a3471f6-0f36-4ccf-b5ee-1ca67ea797ef" xmlns:ns3="http://schemas.microsoft.com/sharepoint/v3/fields" xmlns:ns4="aec2565f-fa8c-45b6-95fc-3f27706042d7" targetNamespace="http://schemas.microsoft.com/office/2006/metadata/properties" ma:root="true" ma:fieldsID="d5014c4f35df7613a330b0d3999c5d27" ns2:_="" ns3:_="" ns4:_="">
    <xsd:import namespace="8a3471f6-0f36-4ccf-b5ee-1ca67ea797ef"/>
    <xsd:import namespace="http://schemas.microsoft.com/sharepoint/v3/fields"/>
    <xsd:import namespace="aec2565f-fa8c-45b6-95fc-3f27706042d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c2565f-fa8c-45b6-95fc-3f27706042d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B68EC-7A9E-4852-8801-758B82951C4B}"/>
</file>

<file path=customXml/itemProps2.xml><?xml version="1.0" encoding="utf-8"?>
<ds:datastoreItem xmlns:ds="http://schemas.openxmlformats.org/officeDocument/2006/customXml" ds:itemID="{0FCF9918-9A3F-41F2-90DD-47E9E17DEA8B}"/>
</file>

<file path=customXml/itemProps3.xml><?xml version="1.0" encoding="utf-8"?>
<ds:datastoreItem xmlns:ds="http://schemas.openxmlformats.org/officeDocument/2006/customXml" ds:itemID="{4502B059-599C-4882-B6AE-92BF7DA5D82A}"/>
</file>

<file path=customXml/itemProps4.xml><?xml version="1.0" encoding="utf-8"?>
<ds:datastoreItem xmlns:ds="http://schemas.openxmlformats.org/officeDocument/2006/customXml" ds:itemID="{17F4C6D7-B1B0-4C8B-8E69-0C35C01BED01}"/>
</file>

<file path=customXml/itemProps5.xml><?xml version="1.0" encoding="utf-8"?>
<ds:datastoreItem xmlns:ds="http://schemas.openxmlformats.org/officeDocument/2006/customXml" ds:itemID="{7ABA7383-C02E-4B09-BA43-2BAD0415595F}"/>
</file>

<file path=docProps/app.xml><?xml version="1.0" encoding="utf-8"?>
<Properties xmlns="http://schemas.openxmlformats.org/officeDocument/2006/extended-properties" xmlns:vt="http://schemas.openxmlformats.org/officeDocument/2006/docPropsVTypes">
  <Template>Styles.dotm</Template>
  <TotalTime>65</TotalTime>
  <Pages>24</Pages>
  <Words>6963</Words>
  <Characters>38301</Characters>
  <Application>Microsoft Office Word</Application>
  <DocSecurity>0</DocSecurity>
  <Lines>319</Lines>
  <Paragraphs>90</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Obvestilo o povzetku sprejetih mnenj z julijskega plenarnega zasedanja</vt:lpstr>
      <vt:lpstr>EVROPSKO POVEZOVANJE</vt:lpstr>
      <vt:lpstr>Ekonomska in socialna kohezija</vt:lpstr>
      <vt:lpstr>Ekonomske in socialne neenakosti</vt:lpstr>
      <vt:lpstr>INSTITUCIONALNE ZADEVE</vt:lpstr>
      <vt:lpstr>INDUSTRIJA / OBRAMBA</vt:lpstr>
      <vt:lpstr>Promet</vt:lpstr>
      <vt:lpstr>OKOLJE</vt:lpstr>
      <vt:lpstr>Prehranska politika</vt:lpstr>
      <vt:lpstr>Socialne zadeve</vt:lpstr>
      <vt:lpstr>    </vt:lpstr>
      <vt:lpstr>    EESO podpira sprejetje večagencijskega pristopa k preprečevanju radikalizacije, </vt:lpstr>
      <vt:lpstr>    Države članice bi morale v celoti izkoriščati instrumente in programe EU za prep</vt:lpstr>
      <vt:lpstr>    </vt:lpstr>
      <vt:lpstr>    Sindikati morajo igrati pomembno vlogo, saj med drugim predstavljajo zaposlene v</vt:lpstr>
      <vt:lpstr>    EESO poudarja pomen vključujočega formalnega in neformalnega izobraževanja, ki j</vt:lpstr>
      <vt:lpstr>    </vt:lpstr>
      <vt:lpstr>Zunanji odnosi</vt:lpstr>
    </vt:vector>
  </TitlesOfParts>
  <Company>CESE-CdR</Company>
  <LinksUpToDate>false</LinksUpToDate>
  <CharactersWithSpaces>45174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Povzetek sprejetih mnenj s plenarnega zasedanja decembra 2017</dc:title>
  <dc:creator>Metka Turel</dc:creator>
  <cp:keywords>EESC-2017-05092-00-02-TCD-TRA-FR</cp:keywords>
  <dc:description>Rapporteur:  - Original language: FR, EN - Date of document: 04/01/2018 - Date of meeting: 06/12/2017 - External documents:  - Administrator: MME Tamasauskiene Julija</dc:description>
  <cp:lastModifiedBy>Metka Turel</cp:lastModifiedBy>
  <cp:revision>89</cp:revision>
  <dcterms:created xsi:type="dcterms:W3CDTF">2018-01-04T09:31:00Z</dcterms:created>
  <dcterms:modified xsi:type="dcterms:W3CDTF">2018-01-04T10:42:00Z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0x010100EA97B91038054C99906057A708A1480A0098B203C585D2E54E8477D21D46703D0B</vt:lpwstr>
  </property>
  <property fmtid="{D5CDD505-2E9C-101B-9397-08002B2CF9AE}" pid="3" name="_dlc_DocIdItemGuid">
    <vt:lpwstr>a9187030-82aa-41e8-9731-76d0ab550326</vt:lpwstr>
  </property>
  <property fmtid="{D5CDD505-2E9C-101B-9397-08002B2CF9AE}" pid="4" name="MeetingNumber">
    <vt:i4>530</vt:i4>
  </property>
  <property fmtid="{D5CDD505-2E9C-101B-9397-08002B2CF9AE}" pid="5" name="DocumentType_0">
    <vt:lpwstr>TCD|cd9d6eb6-3f4f-424a-b2d1-57c9d450eaaf</vt:lpwstr>
  </property>
  <property fmtid="{D5CDD505-2E9C-101B-9397-08002B2CF9AE}" pid="6" name="AvailableTranslations">
    <vt:lpwstr>37;#RO|feb747a2-64cd-4299-af12-4833ddc30497;#28;#ET|ff6c3f4c-b02c-4c3c-ab07-2c37995a7a0a;#24;#EL|6d4f4d51-af9b-4650-94b4-4276bee85c91;#36;#BG|1a1b3951-7821-4e6a-85f5-5673fc08bd2c;#18;#DE|f6b31e5a-26fa-4935-b661-318e46daf27e;#4;#EN|f2175f21-25d7-44a3-96da-d6a61b075e1b;#22;#IT|0774613c-01ed-4e5d-a25d-11d2388de825;#14;#ES|e7a6b05b-ae16-40c8-add9-68b64b03aeba;#25;#FI|87606a43-d45f-42d6-b8c9-e1a3457db5b7;#30;#LV|46f7e311-5d9f-4663-b433-18aeccb7ace7;#26;#SV|c2ed69e7-a339-43d7-8f22-d93680a92aa0;#23;#DA|5d49c027-8956-412b-aa16-e85a0f96ad0e;#34;#SK|46d9fce0-ef79-4f71-b89b-cd6aa82426b8;#35;#SL|98a412ae-eb01-49e9-ae3d-585a81724cfc;#29;#HU|6b229040-c589-4408-b4c1-4285663d20a8;#12;#NL|55c6556c-b4f4-441d-9acf-c498d4f838bd;#27;#CS|72f9705b-0217-4fd3-bea2-cbc7ed80e26e;#15;#PT|50ccc04a-eadd-42ae-a0cb-acaf45f812ba;#33;#PL|1e03da61-4678-4e07-b136-b5024ca9197b;#32;#MT|7df99101-6854-4a26-b53a-b88c0da02c26;#38;#HR|2f555653-ed1a-4fe6-8362-9082d95989e5;#8;#FR|d2afafd3-4c81-4f60-8f52-ee33f2f54ff3;#31;#LT|a7ff5ce7-6123-4f68-865a-a57c31810414</vt:lpwstr>
  </property>
  <property fmtid="{D5CDD505-2E9C-101B-9397-08002B2CF9AE}" pid="7" name="DossierName_0">
    <vt:lpwstr/>
  </property>
  <property fmtid="{D5CDD505-2E9C-101B-9397-08002B2CF9AE}" pid="8" name="DocumentSource_0">
    <vt:lpwstr>EESC|422833ec-8d7e-4e65-8e4e-8bed07ffb729</vt:lpwstr>
  </property>
  <property fmtid="{D5CDD505-2E9C-101B-9397-08002B2CF9AE}" pid="9" name="FicheYear">
    <vt:i4>2017</vt:i4>
  </property>
  <property fmtid="{D5CDD505-2E9C-101B-9397-08002B2CF9AE}" pid="10" name="DocumentNumber">
    <vt:i4>5092</vt:i4>
  </property>
  <property fmtid="{D5CDD505-2E9C-101B-9397-08002B2CF9AE}" pid="11" name="FicheNumber">
    <vt:i4>2</vt:i4>
  </property>
  <property fmtid="{D5CDD505-2E9C-101B-9397-08002B2CF9AE}" pid="12" name="DocumentVersion">
    <vt:i4>2</vt:i4>
  </property>
  <property fmtid="{D5CDD505-2E9C-101B-9397-08002B2CF9AE}" pid="13" name="DocumentYear">
    <vt:i4>2017</vt:i4>
  </property>
  <property fmtid="{D5CDD505-2E9C-101B-9397-08002B2CF9AE}" pid="14" name="DocumentSource">
    <vt:lpwstr>1;#EESC|422833ec-8d7e-4e65-8e4e-8bed07ffb729</vt:lpwstr>
  </property>
  <property fmtid="{D5CDD505-2E9C-101B-9397-08002B2CF9AE}" pid="16" name="DocumentType">
    <vt:lpwstr>17;#TCD|cd9d6eb6-3f4f-424a-b2d1-57c9d450eaaf</vt:lpwstr>
  </property>
  <property fmtid="{D5CDD505-2E9C-101B-9397-08002B2CF9AE}" pid="17" name="DocumentStatus">
    <vt:lpwstr>2;#TRA|150d2a88-1431-44e6-a8ca-0bb753ab8672</vt:lpwstr>
  </property>
  <property fmtid="{D5CDD505-2E9C-101B-9397-08002B2CF9AE}" pid="18" name="DossierName">
    <vt:lpwstr/>
  </property>
  <property fmtid="{D5CDD505-2E9C-101B-9397-08002B2CF9AE}" pid="19" name="DocumentPart">
    <vt:i4>0</vt:i4>
  </property>
  <property fmtid="{D5CDD505-2E9C-101B-9397-08002B2CF9AE}" pid="20" name="RequestingService">
    <vt:lpwstr>Greffe</vt:lpwstr>
  </property>
  <property fmtid="{D5CDD505-2E9C-101B-9397-08002B2CF9AE}" pid="21" name="Confidentiality">
    <vt:lpwstr>5;#Unrestricted|826e22d7-d029-4ec0-a450-0c28ff673572</vt:lpwstr>
  </property>
  <property fmtid="{D5CDD505-2E9C-101B-9397-08002B2CF9AE}" pid="22" name="Confidentiality_0">
    <vt:lpwstr>Unrestricted|826e22d7-d029-4ec0-a450-0c28ff673572</vt:lpwstr>
  </property>
  <property fmtid="{D5CDD505-2E9C-101B-9397-08002B2CF9AE}" pid="23" name="MeetingName_0">
    <vt:lpwstr>SPL-CES|32d8cb1f-c9ec-4365-95c7-8385a18618ac</vt:lpwstr>
  </property>
  <property fmtid="{D5CDD505-2E9C-101B-9397-08002B2CF9AE}" pid="24" name="OriginalLanguage">
    <vt:lpwstr>8;#FR|d2afafd3-4c81-4f60-8f52-ee33f2f54ff3;#4;#EN|f2175f21-25d7-44a3-96da-d6a61b075e1b</vt:lpwstr>
  </property>
  <property fmtid="{D5CDD505-2E9C-101B-9397-08002B2CF9AE}" pid="25" name="MeetingName">
    <vt:lpwstr>72;#SPL-CES|32d8cb1f-c9ec-4365-95c7-8385a18618ac</vt:lpwstr>
  </property>
  <property fmtid="{D5CDD505-2E9C-101B-9397-08002B2CF9AE}" pid="26" name="DocumentStatus_0">
    <vt:lpwstr>TRA|150d2a88-1431-44e6-a8ca-0bb753ab8672</vt:lpwstr>
  </property>
  <property fmtid="{D5CDD505-2E9C-101B-9397-08002B2CF9AE}" pid="27" name="OriginalLanguage_0">
    <vt:lpwstr>FR|d2afafd3-4c81-4f60-8f52-ee33f2f54ff3;EN|f2175f21-25d7-44a3-96da-d6a61b075e1b</vt:lpwstr>
  </property>
  <property fmtid="{D5CDD505-2E9C-101B-9397-08002B2CF9AE}" pid="28" name="MeetingDate">
    <vt:filetime>2017-12-06T12:00:00Z</vt:filetime>
  </property>
  <property fmtid="{D5CDD505-2E9C-101B-9397-08002B2CF9AE}" pid="29" name="TaxCatchAll">
    <vt:lpwstr>38;#HR|2f555653-ed1a-4fe6-8362-9082d95989e5;#37;#RO|feb747a2-64cd-4299-af12-4833ddc30497;#36;#BG|1a1b3951-7821-4e6a-85f5-5673fc08bd2c;#31;#LT|a7ff5ce7-6123-4f68-865a-a57c31810414;#33;#PL|1e03da61-4678-4e07-b136-b5024ca9197b;#27;#CS|72f9705b-0217-4fd3-bea2-cbc7ed80e26e;#29;#HU|6b229040-c589-4408-b4c1-4285663d20a8;#25;#FI|87606a43-d45f-42d6-b8c9-e1a3457db5b7;#72;#SPL-CES|32d8cb1f-c9ec-4365-95c7-8385a18618ac;#24;#EL|6d4f4d51-af9b-4650-94b4-4276bee85c91;#23;#DA|5d49c027-8956-412b-aa16-e85a0f96ad0e;#22;#IT|0774613c-01ed-4e5d-a25d-11d2388de825;#18;#DE|f6b31e5a-26fa-4935-b661-318e46daf27e;#17;#TCD|cd9d6eb6-3f4f-424a-b2d1-57c9d450eaaf;#14;#ES|e7a6b05b-ae16-40c8-add9-68b64b03aeba;#12;#NL|55c6556c-b4f4-441d-9acf-c498d4f838bd;#8;#FR|d2afafd3-4c81-4f60-8f52-ee33f2f54ff3;#6;#Final|ea5e6674-7b27-4bac-b091-73adbb394efe;#5;#Unrestricted|826e22d7-d029-4ec0-a450-0c28ff673572;#4;#EN|f2175f21-25d7-44a3-96da-d6a61b075e1b;#2;#TRA|150d2a88-1431-44e6-a8ca-0bb753ab8672;#1;#EESC|422833ec-8d7e-4e65-8e4e-8bed07ffb729</vt:lpwstr>
  </property>
  <property fmtid="{D5CDD505-2E9C-101B-9397-08002B2CF9AE}" pid="30" name="AvailableTranslations_0">
    <vt:lpwstr>RO|feb747a2-64cd-4299-af12-4833ddc30497;EL|6d4f4d51-af9b-4650-94b4-4276bee85c91;BG|1a1b3951-7821-4e6a-85f5-5673fc08bd2c;DE|f6b31e5a-26fa-4935-b661-318e46daf27e;IT|0774613c-01ed-4e5d-a25d-11d2388de825;ES|e7a6b05b-ae16-40c8-add9-68b64b03aeba;FI|87606a43-d45f-42d6-b8c9-e1a3457db5b7;DA|5d49c027-8956-412b-aa16-e85a0f96ad0e;HU|6b229040-c589-4408-b4c1-4285663d20a8;NL|55c6556c-b4f4-441d-9acf-c498d4f838bd;CS|72f9705b-0217-4fd3-bea2-cbc7ed80e26e;PL|1e03da61-4678-4e07-b136-b5024ca9197b;HR|2f555653-ed1a-4fe6-8362-9082d95989e5;LT|a7ff5ce7-6123-4f68-865a-a57c31810414</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DocumentLanguage">
    <vt:lpwstr>35;#SL|98a412ae-eb01-49e9-ae3d-585a81724cfc</vt:lpwstr>
  </property>
</Properties>
</file>