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05A0" w:rsidRPr="00266093" w:rsidRDefault="006A08D5" w:rsidP="00C83E94">
      <w:pPr>
        <w:overflowPunct/>
        <w:adjustRightInd/>
        <w:snapToGrid w:val="0"/>
        <w:jc w:val="center"/>
        <w:textAlignment w:val="auto"/>
        <w:rPr>
          <w:lang w:val="it-IT"/>
        </w:rPr>
      </w:pPr>
      <w:r w:rsidRPr="00266093">
        <w:rPr>
          <w:lang w:val="it-IT"/>
        </w:rPr>
        <w:fldChar w:fldCharType="begin"/>
      </w:r>
      <w:r w:rsidRPr="00266093">
        <w:rPr>
          <w:lang w:val="it-IT"/>
        </w:rPr>
        <w:instrText xml:space="preserve">  </w:instrText>
      </w:r>
      <w:r w:rsidRPr="00266093">
        <w:rPr>
          <w:lang w:val="it-IT"/>
        </w:rPr>
        <w:fldChar w:fldCharType="end"/>
      </w:r>
      <w:r w:rsidRPr="00266093">
        <w:rPr>
          <w:lang w:val="it-IT" w:eastAsia="en-US" w:bidi="ar-SA"/>
        </w:rPr>
        <mc:AlternateContent>
          <mc:Choice Requires="wps">
            <w:drawing>
              <wp:anchor distT="0" distB="0" distL="114300" distR="114300" simplePos="0" relativeHeight="251659264" behindDoc="1" locked="0" layoutInCell="0" allowOverlap="1" wp14:anchorId="5C188C2B" wp14:editId="34C6406A">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2FF" w:rsidRPr="009C5C0C" w:rsidRDefault="005072FF" w:rsidP="003415D2">
                            <w:pPr>
                              <w:overflowPunct/>
                              <w:adjustRightInd/>
                              <w:jc w:val="center"/>
                              <w:textAlignment w:val="auto"/>
                              <w:rPr>
                                <w:rFonts w:ascii="Arial" w:hAnsi="Arial" w:cs="Arial"/>
                                <w:b/>
                                <w:sz w:val="48"/>
                              </w:rPr>
                            </w:pPr>
                            <w:r w:rsidRPr="009C5C0C">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5072FF" w:rsidRPr="009C5C0C" w:rsidRDefault="005072FF" w:rsidP="003415D2">
                      <w:pPr>
                        <w:overflowPunct/>
                        <w:adjustRightInd/>
                        <w:jc w:val="center"/>
                        <w:textAlignment w:val="auto"/>
                        <w:rPr>
                          <w:rFonts w:ascii="Arial" w:hAnsi="Arial" w:cs="Arial"/>
                          <w:b/>
                          <w:sz w:val="48"/>
                        </w:rPr>
                      </w:pPr>
                      <w:r w:rsidRPr="009C5C0C">
                        <w:rPr>
                          <w:rFonts w:ascii="Arial" w:hAnsi="Arial"/>
                          <w:b/>
                          <w:sz w:val="48"/>
                        </w:rPr>
                        <w:t>IT</w:t>
                      </w:r>
                    </w:p>
                  </w:txbxContent>
                </v:textbox>
                <w10:wrap anchorx="page" anchory="page"/>
              </v:shape>
            </w:pict>
          </mc:Fallback>
        </mc:AlternateContent>
      </w:r>
      <w:r w:rsidRPr="00266093">
        <w:rPr>
          <w:lang w:val="it-IT" w:eastAsia="en-US" w:bidi="ar-SA"/>
        </w:rPr>
        <w:drawing>
          <wp:inline distT="0" distB="0" distL="0" distR="0" wp14:anchorId="34A1E079" wp14:editId="412D641D">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266093" w:rsidRDefault="008405A0" w:rsidP="00C83E94">
      <w:pPr>
        <w:overflowPunct/>
        <w:adjustRightInd/>
        <w:snapToGrid w:val="0"/>
        <w:jc w:val="center"/>
        <w:textAlignment w:val="auto"/>
        <w:rPr>
          <w:rFonts w:ascii="Arial" w:eastAsia="MS Mincho" w:hAnsi="Arial" w:cs="Arial"/>
          <w:b/>
          <w:i/>
          <w:sz w:val="20"/>
          <w:lang w:val="it-IT"/>
        </w:rPr>
      </w:pPr>
      <w:r w:rsidRPr="00266093">
        <w:rPr>
          <w:rFonts w:ascii="Arial" w:hAnsi="Arial"/>
          <w:b/>
          <w:i/>
          <w:sz w:val="20"/>
          <w:lang w:val="it-IT"/>
        </w:rPr>
        <w:t>Comitato economico e sociale europeo</w:t>
      </w:r>
    </w:p>
    <w:p w:rsidR="008405A0" w:rsidRPr="00266093" w:rsidRDefault="008405A0" w:rsidP="00C83E94">
      <w:pPr>
        <w:overflowPunct/>
        <w:adjustRightInd/>
        <w:snapToGrid w:val="0"/>
        <w:textAlignment w:val="auto"/>
        <w:rPr>
          <w:lang w:val="it-IT"/>
        </w:rPr>
      </w:pPr>
    </w:p>
    <w:p w:rsidR="008405A0" w:rsidRPr="00266093" w:rsidRDefault="008405A0" w:rsidP="00C83E94">
      <w:pPr>
        <w:overflowPunct/>
        <w:adjustRightInd/>
        <w:snapToGrid w:val="0"/>
        <w:textAlignment w:val="auto"/>
        <w:rPr>
          <w:lang w:val="it-IT"/>
        </w:rPr>
      </w:pPr>
    </w:p>
    <w:p w:rsidR="008405A0" w:rsidRPr="00266093" w:rsidRDefault="008405A0" w:rsidP="00C83E94">
      <w:pPr>
        <w:overflowPunct/>
        <w:adjustRightInd/>
        <w:snapToGrid w:val="0"/>
        <w:jc w:val="right"/>
        <w:textAlignment w:val="auto"/>
        <w:rPr>
          <w:rFonts w:eastAsia="MS Mincho"/>
          <w:lang w:val="it-IT"/>
        </w:rPr>
      </w:pPr>
      <w:r w:rsidRPr="00266093">
        <w:rPr>
          <w:lang w:val="it-IT"/>
        </w:rPr>
        <w:t>Bruxelles, 8 dicembre 2017</w:t>
      </w:r>
    </w:p>
    <w:p w:rsidR="008405A0" w:rsidRPr="00266093" w:rsidRDefault="008405A0" w:rsidP="00C83E94">
      <w:pPr>
        <w:overflowPunct/>
        <w:adjustRightInd/>
        <w:snapToGrid w:val="0"/>
        <w:textAlignment w:val="auto"/>
        <w:rPr>
          <w:lang w:val="it-IT"/>
        </w:rPr>
      </w:pPr>
    </w:p>
    <w:p w:rsidR="008405A0" w:rsidRPr="00266093" w:rsidRDefault="008405A0" w:rsidP="00C83E94">
      <w:pPr>
        <w:overflowPunct/>
        <w:adjustRightInd/>
        <w:snapToGrid w:val="0"/>
        <w:textAlignment w:val="auto"/>
        <w:rPr>
          <w:lang w:val="it-IT"/>
        </w:rPr>
      </w:pPr>
    </w:p>
    <w:p w:rsidR="00AF6F3E" w:rsidRPr="00266093" w:rsidRDefault="00AF6F3E" w:rsidP="00C83E94">
      <w:pPr>
        <w:overflowPunct/>
        <w:adjustRightInd/>
        <w:snapToGrid w:val="0"/>
        <w:textAlignment w:val="auto"/>
        <w:rPr>
          <w:lang w:val="it-IT"/>
        </w:rPr>
      </w:pPr>
    </w:p>
    <w:p w:rsidR="006819C8" w:rsidRPr="00266093" w:rsidRDefault="006819C8" w:rsidP="00C83E94">
      <w:pPr>
        <w:overflowPunct/>
        <w:adjustRightInd/>
        <w:snapToGrid w:val="0"/>
        <w:textAlignment w:val="auto"/>
        <w:rPr>
          <w:lang w:val="it-IT"/>
        </w:rPr>
      </w:pPr>
    </w:p>
    <w:tbl>
      <w:tblPr>
        <w:tblW w:w="0" w:type="auto"/>
        <w:tblLayout w:type="fixed"/>
        <w:tblLook w:val="0000" w:firstRow="0" w:lastRow="0" w:firstColumn="0" w:lastColumn="0" w:noHBand="0" w:noVBand="0"/>
      </w:tblPr>
      <w:tblGrid>
        <w:gridCol w:w="9289"/>
      </w:tblGrid>
      <w:tr w:rsidR="008405A0" w:rsidRPr="00266093" w:rsidTr="00A72D7A">
        <w:tc>
          <w:tcPr>
            <w:tcW w:w="9289" w:type="dxa"/>
            <w:tcBorders>
              <w:top w:val="nil"/>
              <w:left w:val="nil"/>
              <w:bottom w:val="double" w:sz="4" w:space="0" w:color="auto"/>
              <w:right w:val="nil"/>
            </w:tcBorders>
          </w:tcPr>
          <w:p w:rsidR="008405A0" w:rsidRPr="00266093" w:rsidRDefault="0072400C" w:rsidP="00C83E94">
            <w:pPr>
              <w:overflowPunct/>
              <w:adjustRightInd/>
              <w:snapToGrid w:val="0"/>
              <w:jc w:val="center"/>
              <w:textAlignment w:val="auto"/>
              <w:rPr>
                <w:rFonts w:eastAsia="MS Mincho"/>
                <w:b/>
                <w:sz w:val="32"/>
                <w:lang w:val="it-IT"/>
              </w:rPr>
            </w:pPr>
            <w:r w:rsidRPr="00266093">
              <w:rPr>
                <w:b/>
                <w:sz w:val="32"/>
                <w:lang w:val="it-IT"/>
              </w:rPr>
              <w:t xml:space="preserve">SESSIONE PLENARIA </w:t>
            </w:r>
            <w:r w:rsidRPr="00266093">
              <w:rPr>
                <w:b/>
                <w:sz w:val="32"/>
                <w:lang w:val="it-IT"/>
              </w:rPr>
              <w:br/>
              <w:t xml:space="preserve"> </w:t>
            </w:r>
            <w:r w:rsidRPr="00266093">
              <w:rPr>
                <w:b/>
                <w:sz w:val="32"/>
                <w:lang w:val="it-IT"/>
              </w:rPr>
              <w:br/>
              <w:t xml:space="preserve">DEL 6 </w:t>
            </w:r>
            <w:r w:rsidR="00266093" w:rsidRPr="00266093">
              <w:rPr>
                <w:b/>
                <w:sz w:val="32"/>
                <w:lang w:val="it-IT"/>
              </w:rPr>
              <w:t>E</w:t>
            </w:r>
            <w:r w:rsidRPr="00266093">
              <w:rPr>
                <w:b/>
                <w:sz w:val="32"/>
                <w:lang w:val="it-IT"/>
              </w:rPr>
              <w:t xml:space="preserve"> 7 DICEMBRE 2017 </w:t>
            </w:r>
            <w:r w:rsidRPr="00266093">
              <w:rPr>
                <w:b/>
                <w:sz w:val="32"/>
                <w:lang w:val="it-IT"/>
              </w:rPr>
              <w:br/>
              <w:t xml:space="preserve"> </w:t>
            </w:r>
            <w:r w:rsidRPr="00266093">
              <w:rPr>
                <w:b/>
                <w:sz w:val="32"/>
                <w:lang w:val="it-IT"/>
              </w:rPr>
              <w:br/>
              <w:t>SINTESI DEI PARERI ADOTTATI</w:t>
            </w:r>
          </w:p>
          <w:p w:rsidR="008405A0" w:rsidRPr="00266093" w:rsidRDefault="008405A0" w:rsidP="00C83E94">
            <w:pPr>
              <w:overflowPunct/>
              <w:adjustRightInd/>
              <w:textAlignment w:val="auto"/>
              <w:rPr>
                <w:lang w:val="it-IT"/>
              </w:rPr>
            </w:pPr>
          </w:p>
          <w:p w:rsidR="008405A0" w:rsidRPr="00266093" w:rsidRDefault="008405A0" w:rsidP="00C83E94">
            <w:pPr>
              <w:overflowPunct/>
              <w:adjustRightInd/>
              <w:textAlignment w:val="auto"/>
              <w:rPr>
                <w:szCs w:val="22"/>
                <w:lang w:val="it-IT"/>
              </w:rPr>
            </w:pPr>
          </w:p>
        </w:tc>
      </w:tr>
      <w:tr w:rsidR="008405A0" w:rsidRPr="00266093" w:rsidTr="00A72D7A">
        <w:tc>
          <w:tcPr>
            <w:tcW w:w="9289" w:type="dxa"/>
            <w:tcBorders>
              <w:top w:val="double" w:sz="4" w:space="0" w:color="auto"/>
              <w:left w:val="double" w:sz="4" w:space="0" w:color="auto"/>
              <w:bottom w:val="double" w:sz="4" w:space="0" w:color="auto"/>
              <w:right w:val="double" w:sz="4" w:space="0" w:color="auto"/>
            </w:tcBorders>
          </w:tcPr>
          <w:p w:rsidR="00FF15DA" w:rsidRPr="00266093" w:rsidRDefault="00FF15DA" w:rsidP="00C83E94">
            <w:pPr>
              <w:overflowPunct/>
              <w:adjustRightInd/>
              <w:snapToGrid w:val="0"/>
              <w:jc w:val="center"/>
              <w:textAlignment w:val="auto"/>
              <w:rPr>
                <w:b/>
                <w:lang w:val="it-IT"/>
              </w:rPr>
            </w:pPr>
          </w:p>
          <w:p w:rsidR="008405A0" w:rsidRPr="00266093" w:rsidRDefault="00A31921" w:rsidP="00C83E94">
            <w:pPr>
              <w:overflowPunct/>
              <w:adjustRightInd/>
              <w:snapToGrid w:val="0"/>
              <w:jc w:val="center"/>
              <w:textAlignment w:val="auto"/>
              <w:rPr>
                <w:rFonts w:eastAsia="MS Mincho"/>
                <w:b/>
                <w:lang w:val="it-IT"/>
              </w:rPr>
            </w:pPr>
            <w:r w:rsidRPr="00266093">
              <w:rPr>
                <w:b/>
                <w:lang w:val="it-IT"/>
              </w:rPr>
              <w:t>Il presente documento è accessibile nelle lingue ufficiali sul sito Internet del CESE al seguente indirizzo:</w:t>
            </w:r>
          </w:p>
          <w:p w:rsidR="008405A0" w:rsidRPr="00266093" w:rsidRDefault="008405A0" w:rsidP="00C83E94">
            <w:pPr>
              <w:overflowPunct/>
              <w:adjustRightInd/>
              <w:snapToGrid w:val="0"/>
              <w:jc w:val="center"/>
              <w:textAlignment w:val="auto"/>
              <w:rPr>
                <w:b/>
                <w:lang w:val="it-IT"/>
              </w:rPr>
            </w:pPr>
          </w:p>
          <w:p w:rsidR="008405A0" w:rsidRPr="00266093" w:rsidRDefault="005072FF" w:rsidP="00C83E94">
            <w:pPr>
              <w:overflowPunct/>
              <w:adjustRightInd/>
              <w:jc w:val="center"/>
              <w:textAlignment w:val="auto"/>
              <w:rPr>
                <w:rStyle w:val="Hyperlink"/>
                <w:b/>
                <w:lang w:val="it-IT"/>
              </w:rPr>
            </w:pPr>
            <w:hyperlink r:id="rId14">
              <w:r w:rsidR="001D4F9D" w:rsidRPr="00266093">
                <w:rPr>
                  <w:rStyle w:val="Hyperlink"/>
                  <w:lang w:val="it-IT"/>
                </w:rPr>
                <w:t>http://www.eesc.europa.eu/it/our-work/opinions-information-reports/plenary-session-summaries</w:t>
              </w:r>
            </w:hyperlink>
          </w:p>
          <w:p w:rsidR="008405A0" w:rsidRPr="00266093" w:rsidRDefault="008405A0" w:rsidP="00F852B3">
            <w:pPr>
              <w:overflowPunct/>
              <w:adjustRightInd/>
              <w:snapToGrid w:val="0"/>
              <w:jc w:val="center"/>
              <w:textAlignment w:val="auto"/>
              <w:rPr>
                <w:b/>
                <w:lang w:val="it-IT"/>
              </w:rPr>
            </w:pPr>
          </w:p>
          <w:p w:rsidR="008405A0" w:rsidRPr="00266093" w:rsidRDefault="008405A0">
            <w:pPr>
              <w:overflowPunct/>
              <w:adjustRightInd/>
              <w:snapToGrid w:val="0"/>
              <w:jc w:val="center"/>
              <w:textAlignment w:val="auto"/>
              <w:rPr>
                <w:rFonts w:eastAsia="SimSun"/>
                <w:b/>
                <w:lang w:val="it-IT"/>
              </w:rPr>
            </w:pPr>
          </w:p>
          <w:p w:rsidR="008405A0" w:rsidRPr="00266093" w:rsidRDefault="008405A0">
            <w:pPr>
              <w:overflowPunct/>
              <w:adjustRightInd/>
              <w:snapToGrid w:val="0"/>
              <w:jc w:val="center"/>
              <w:textAlignment w:val="auto"/>
              <w:rPr>
                <w:rFonts w:eastAsia="MS Mincho"/>
                <w:b/>
                <w:lang w:val="it-IT"/>
              </w:rPr>
            </w:pPr>
            <w:r w:rsidRPr="00266093">
              <w:rPr>
                <w:b/>
                <w:lang w:val="it-IT"/>
              </w:rPr>
              <w:t>I pareri menzionati possono essere consultati online tramite il motore di ricerca del Comitato:</w:t>
            </w:r>
          </w:p>
          <w:p w:rsidR="008405A0" w:rsidRPr="00266093" w:rsidRDefault="008405A0">
            <w:pPr>
              <w:overflowPunct/>
              <w:adjustRightInd/>
              <w:snapToGrid w:val="0"/>
              <w:jc w:val="center"/>
              <w:textAlignment w:val="auto"/>
              <w:rPr>
                <w:b/>
                <w:lang w:val="it-IT"/>
              </w:rPr>
            </w:pPr>
          </w:p>
          <w:p w:rsidR="008405A0" w:rsidRPr="00266093" w:rsidRDefault="005072FF">
            <w:pPr>
              <w:overflowPunct/>
              <w:adjustRightInd/>
              <w:jc w:val="center"/>
              <w:textAlignment w:val="auto"/>
              <w:rPr>
                <w:rStyle w:val="Hyperlink"/>
                <w:b/>
                <w:lang w:val="it-IT"/>
              </w:rPr>
            </w:pPr>
            <w:hyperlink r:id="rId15">
              <w:r w:rsidR="001D4F9D" w:rsidRPr="00266093">
                <w:rPr>
                  <w:rStyle w:val="Hyperlink"/>
                  <w:lang w:val="it-IT"/>
                </w:rPr>
                <w:t>http://dm.eesc.europa.eu/EESCDocumentSearch/Pages/opinionssearch.aspx</w:t>
              </w:r>
            </w:hyperlink>
          </w:p>
          <w:p w:rsidR="008405A0" w:rsidRPr="00266093" w:rsidRDefault="008405A0">
            <w:pPr>
              <w:overflowPunct/>
              <w:adjustRightInd/>
              <w:snapToGrid w:val="0"/>
              <w:jc w:val="center"/>
              <w:textAlignment w:val="auto"/>
              <w:rPr>
                <w:b/>
                <w:bCs/>
                <w:szCs w:val="22"/>
                <w:lang w:val="it-IT"/>
              </w:rPr>
            </w:pPr>
          </w:p>
        </w:tc>
      </w:tr>
    </w:tbl>
    <w:p w:rsidR="008F7791" w:rsidRPr="00266093" w:rsidRDefault="008F7791" w:rsidP="00C83E94">
      <w:pPr>
        <w:overflowPunct/>
        <w:adjustRightInd/>
        <w:textAlignment w:val="auto"/>
        <w:rPr>
          <w:rFonts w:eastAsia="SimSun"/>
          <w:lang w:val="it-IT"/>
        </w:rPr>
      </w:pPr>
    </w:p>
    <w:p w:rsidR="00A9340A" w:rsidRPr="00266093" w:rsidRDefault="00A9340A">
      <w:pPr>
        <w:overflowPunct/>
        <w:adjustRightInd/>
        <w:textAlignment w:val="auto"/>
        <w:rPr>
          <w:rFonts w:eastAsia="SimSun"/>
          <w:lang w:val="it-IT"/>
        </w:rPr>
        <w:sectPr w:rsidR="00A9340A" w:rsidRPr="00266093" w:rsidSect="009C5C0C">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266093" w:rsidRDefault="008405A0">
      <w:pPr>
        <w:overflowPunct/>
        <w:adjustRightInd/>
        <w:snapToGrid w:val="0"/>
        <w:textAlignment w:val="auto"/>
        <w:rPr>
          <w:b/>
          <w:lang w:val="it-IT"/>
        </w:rPr>
      </w:pPr>
      <w:r w:rsidRPr="00266093">
        <w:rPr>
          <w:b/>
          <w:lang w:val="it-IT"/>
        </w:rPr>
        <w:lastRenderedPageBreak/>
        <w:t>Indice:</w:t>
      </w:r>
    </w:p>
    <w:p w:rsidR="00D16D76" w:rsidRPr="00266093" w:rsidRDefault="00D16D76">
      <w:pPr>
        <w:overflowPunct/>
        <w:adjustRightInd/>
        <w:textAlignment w:val="auto"/>
        <w:rPr>
          <w:lang w:val="it-IT"/>
        </w:rPr>
      </w:pPr>
    </w:p>
    <w:p w:rsidR="004D5BE2" w:rsidRPr="00266093" w:rsidRDefault="003353E8">
      <w:pPr>
        <w:pStyle w:val="TOC1"/>
        <w:rPr>
          <w:rFonts w:asciiTheme="minorHAnsi" w:eastAsiaTheme="minorEastAsia" w:hAnsiTheme="minorHAnsi" w:cstheme="minorBidi"/>
          <w:szCs w:val="22"/>
          <w:lang w:val="it-IT" w:eastAsia="en-US" w:bidi="ar-SA"/>
        </w:rPr>
      </w:pPr>
      <w:r w:rsidRPr="00266093">
        <w:rPr>
          <w:lang w:val="it-IT"/>
        </w:rPr>
        <w:fldChar w:fldCharType="begin"/>
      </w:r>
      <w:r w:rsidRPr="00266093">
        <w:rPr>
          <w:lang w:val="it-IT"/>
        </w:rPr>
        <w:instrText xml:space="preserve"> TOC \o "1-1" \h \z \u </w:instrText>
      </w:r>
      <w:r w:rsidRPr="00266093">
        <w:rPr>
          <w:lang w:val="it-IT"/>
        </w:rPr>
        <w:fldChar w:fldCharType="separate"/>
      </w:r>
      <w:hyperlink w:anchor="_Toc501014826" w:history="1">
        <w:r w:rsidR="004D5BE2" w:rsidRPr="00266093">
          <w:rPr>
            <w:rStyle w:val="Hyperlink"/>
            <w:caps/>
            <w:lang w:val="it-IT"/>
          </w:rPr>
          <w:t>1.</w:t>
        </w:r>
        <w:r w:rsidR="004D5BE2" w:rsidRPr="00266093">
          <w:rPr>
            <w:rFonts w:asciiTheme="minorHAnsi" w:eastAsiaTheme="minorEastAsia" w:hAnsiTheme="minorHAnsi" w:cstheme="minorBidi"/>
            <w:szCs w:val="22"/>
            <w:lang w:val="it-IT" w:eastAsia="en-US" w:bidi="ar-SA"/>
          </w:rPr>
          <w:tab/>
        </w:r>
        <w:r w:rsidR="004D5BE2" w:rsidRPr="00266093">
          <w:rPr>
            <w:rStyle w:val="Hyperlink"/>
            <w:b/>
            <w:caps/>
            <w:lang w:val="it-IT"/>
          </w:rPr>
          <w:t>Coesione economica e sociale</w:t>
        </w:r>
        <w:r w:rsidR="004D5BE2" w:rsidRPr="00266093">
          <w:rPr>
            <w:webHidden/>
            <w:lang w:val="it-IT"/>
          </w:rPr>
          <w:tab/>
        </w:r>
        <w:r w:rsidR="004D5BE2" w:rsidRPr="00266093">
          <w:rPr>
            <w:webHidden/>
            <w:lang w:val="it-IT"/>
          </w:rPr>
          <w:fldChar w:fldCharType="begin"/>
        </w:r>
        <w:r w:rsidR="004D5BE2" w:rsidRPr="00266093">
          <w:rPr>
            <w:webHidden/>
            <w:lang w:val="it-IT"/>
          </w:rPr>
          <w:instrText xml:space="preserve"> PAGEREF _Toc501014826 \h </w:instrText>
        </w:r>
        <w:r w:rsidR="004D5BE2" w:rsidRPr="00266093">
          <w:rPr>
            <w:webHidden/>
            <w:lang w:val="it-IT"/>
          </w:rPr>
        </w:r>
        <w:r w:rsidR="004D5BE2" w:rsidRPr="00266093">
          <w:rPr>
            <w:webHidden/>
            <w:lang w:val="it-IT"/>
          </w:rPr>
          <w:fldChar w:fldCharType="separate"/>
        </w:r>
        <w:r w:rsidR="00361DF0" w:rsidRPr="00266093">
          <w:rPr>
            <w:webHidden/>
            <w:lang w:val="it-IT"/>
          </w:rPr>
          <w:t>3</w:t>
        </w:r>
        <w:r w:rsidR="004D5BE2" w:rsidRPr="00266093">
          <w:rPr>
            <w:webHidden/>
            <w:lang w:val="it-IT"/>
          </w:rPr>
          <w:fldChar w:fldCharType="end"/>
        </w:r>
      </w:hyperlink>
    </w:p>
    <w:p w:rsidR="004D5BE2" w:rsidRPr="00266093" w:rsidRDefault="005072FF">
      <w:pPr>
        <w:pStyle w:val="TOC1"/>
        <w:rPr>
          <w:rFonts w:asciiTheme="minorHAnsi" w:eastAsiaTheme="minorEastAsia" w:hAnsiTheme="minorHAnsi" w:cstheme="minorBidi"/>
          <w:szCs w:val="22"/>
          <w:lang w:val="it-IT" w:eastAsia="en-US" w:bidi="ar-SA"/>
        </w:rPr>
      </w:pPr>
      <w:hyperlink w:anchor="_Toc501014827" w:history="1">
        <w:r w:rsidR="004D5BE2" w:rsidRPr="00266093">
          <w:rPr>
            <w:rStyle w:val="Hyperlink"/>
            <w:caps/>
            <w:lang w:val="it-IT"/>
          </w:rPr>
          <w:t>2.</w:t>
        </w:r>
        <w:r w:rsidR="004D5BE2" w:rsidRPr="00266093">
          <w:rPr>
            <w:rFonts w:asciiTheme="minorHAnsi" w:eastAsiaTheme="minorEastAsia" w:hAnsiTheme="minorHAnsi" w:cstheme="minorBidi"/>
            <w:szCs w:val="22"/>
            <w:lang w:val="it-IT" w:eastAsia="en-US" w:bidi="ar-SA"/>
          </w:rPr>
          <w:tab/>
        </w:r>
        <w:r w:rsidR="004D5BE2" w:rsidRPr="00266093">
          <w:rPr>
            <w:rStyle w:val="Hyperlink"/>
            <w:b/>
            <w:caps/>
            <w:lang w:val="it-IT"/>
          </w:rPr>
          <w:t>Disparità economiche e sociali</w:t>
        </w:r>
        <w:r w:rsidR="004D5BE2" w:rsidRPr="00266093">
          <w:rPr>
            <w:webHidden/>
            <w:lang w:val="it-IT"/>
          </w:rPr>
          <w:tab/>
        </w:r>
        <w:r w:rsidR="004D5BE2" w:rsidRPr="00266093">
          <w:rPr>
            <w:webHidden/>
            <w:lang w:val="it-IT"/>
          </w:rPr>
          <w:fldChar w:fldCharType="begin"/>
        </w:r>
        <w:r w:rsidR="004D5BE2" w:rsidRPr="00266093">
          <w:rPr>
            <w:webHidden/>
            <w:lang w:val="it-IT"/>
          </w:rPr>
          <w:instrText xml:space="preserve"> PAGEREF _Toc501014827 \h </w:instrText>
        </w:r>
        <w:r w:rsidR="004D5BE2" w:rsidRPr="00266093">
          <w:rPr>
            <w:webHidden/>
            <w:lang w:val="it-IT"/>
          </w:rPr>
        </w:r>
        <w:r w:rsidR="004D5BE2" w:rsidRPr="00266093">
          <w:rPr>
            <w:webHidden/>
            <w:lang w:val="it-IT"/>
          </w:rPr>
          <w:fldChar w:fldCharType="separate"/>
        </w:r>
        <w:r w:rsidR="00361DF0" w:rsidRPr="00266093">
          <w:rPr>
            <w:webHidden/>
            <w:lang w:val="it-IT"/>
          </w:rPr>
          <w:t>4</w:t>
        </w:r>
        <w:r w:rsidR="004D5BE2" w:rsidRPr="00266093">
          <w:rPr>
            <w:webHidden/>
            <w:lang w:val="it-IT"/>
          </w:rPr>
          <w:fldChar w:fldCharType="end"/>
        </w:r>
      </w:hyperlink>
    </w:p>
    <w:p w:rsidR="004D5BE2" w:rsidRPr="00266093" w:rsidRDefault="005072FF">
      <w:pPr>
        <w:pStyle w:val="TOC1"/>
        <w:rPr>
          <w:rFonts w:asciiTheme="minorHAnsi" w:eastAsiaTheme="minorEastAsia" w:hAnsiTheme="minorHAnsi" w:cstheme="minorBidi"/>
          <w:szCs w:val="22"/>
          <w:lang w:val="it-IT" w:eastAsia="en-US" w:bidi="ar-SA"/>
        </w:rPr>
      </w:pPr>
      <w:hyperlink w:anchor="_Toc501014828" w:history="1">
        <w:r w:rsidR="004D5BE2" w:rsidRPr="00266093">
          <w:rPr>
            <w:rStyle w:val="Hyperlink"/>
            <w:caps/>
            <w:lang w:val="it-IT"/>
          </w:rPr>
          <w:t>3.</w:t>
        </w:r>
        <w:r w:rsidR="004D5BE2" w:rsidRPr="00266093">
          <w:rPr>
            <w:rFonts w:asciiTheme="minorHAnsi" w:eastAsiaTheme="minorEastAsia" w:hAnsiTheme="minorHAnsi" w:cstheme="minorBidi"/>
            <w:szCs w:val="22"/>
            <w:lang w:val="it-IT" w:eastAsia="en-US" w:bidi="ar-SA"/>
          </w:rPr>
          <w:tab/>
        </w:r>
        <w:r w:rsidR="004D5BE2" w:rsidRPr="00266093">
          <w:rPr>
            <w:rStyle w:val="Hyperlink"/>
            <w:b/>
            <w:caps/>
            <w:lang w:val="it-IT"/>
          </w:rPr>
          <w:t>Affari istituzionali</w:t>
        </w:r>
        <w:r w:rsidR="004D5BE2" w:rsidRPr="00266093">
          <w:rPr>
            <w:webHidden/>
            <w:lang w:val="it-IT"/>
          </w:rPr>
          <w:tab/>
        </w:r>
        <w:r w:rsidR="004D5BE2" w:rsidRPr="00266093">
          <w:rPr>
            <w:webHidden/>
            <w:lang w:val="it-IT"/>
          </w:rPr>
          <w:fldChar w:fldCharType="begin"/>
        </w:r>
        <w:r w:rsidR="004D5BE2" w:rsidRPr="00266093">
          <w:rPr>
            <w:webHidden/>
            <w:lang w:val="it-IT"/>
          </w:rPr>
          <w:instrText xml:space="preserve"> PAGEREF _Toc501014828 \h </w:instrText>
        </w:r>
        <w:r w:rsidR="004D5BE2" w:rsidRPr="00266093">
          <w:rPr>
            <w:webHidden/>
            <w:lang w:val="it-IT"/>
          </w:rPr>
        </w:r>
        <w:r w:rsidR="004D5BE2" w:rsidRPr="00266093">
          <w:rPr>
            <w:webHidden/>
            <w:lang w:val="it-IT"/>
          </w:rPr>
          <w:fldChar w:fldCharType="separate"/>
        </w:r>
        <w:r w:rsidR="00361DF0" w:rsidRPr="00266093">
          <w:rPr>
            <w:webHidden/>
            <w:lang w:val="it-IT"/>
          </w:rPr>
          <w:t>5</w:t>
        </w:r>
        <w:r w:rsidR="004D5BE2" w:rsidRPr="00266093">
          <w:rPr>
            <w:webHidden/>
            <w:lang w:val="it-IT"/>
          </w:rPr>
          <w:fldChar w:fldCharType="end"/>
        </w:r>
      </w:hyperlink>
    </w:p>
    <w:p w:rsidR="004D5BE2" w:rsidRPr="00266093" w:rsidRDefault="005072FF">
      <w:pPr>
        <w:pStyle w:val="TOC1"/>
        <w:rPr>
          <w:rFonts w:asciiTheme="minorHAnsi" w:eastAsiaTheme="minorEastAsia" w:hAnsiTheme="minorHAnsi" w:cstheme="minorBidi"/>
          <w:szCs w:val="22"/>
          <w:lang w:val="it-IT" w:eastAsia="en-US" w:bidi="ar-SA"/>
        </w:rPr>
      </w:pPr>
      <w:hyperlink w:anchor="_Toc501014829" w:history="1">
        <w:r w:rsidR="004D5BE2" w:rsidRPr="00266093">
          <w:rPr>
            <w:rStyle w:val="Hyperlink"/>
            <w:caps/>
            <w:lang w:val="it-IT"/>
          </w:rPr>
          <w:t>4.</w:t>
        </w:r>
        <w:r w:rsidR="004D5BE2" w:rsidRPr="00266093">
          <w:rPr>
            <w:rFonts w:asciiTheme="minorHAnsi" w:eastAsiaTheme="minorEastAsia" w:hAnsiTheme="minorHAnsi" w:cstheme="minorBidi"/>
            <w:szCs w:val="22"/>
            <w:lang w:val="it-IT" w:eastAsia="en-US" w:bidi="ar-SA"/>
          </w:rPr>
          <w:tab/>
        </w:r>
        <w:r w:rsidR="004D5BE2" w:rsidRPr="00266093">
          <w:rPr>
            <w:rStyle w:val="Hyperlink"/>
            <w:b/>
            <w:caps/>
            <w:lang w:val="it-IT"/>
          </w:rPr>
          <w:t>Industria / Difesa</w:t>
        </w:r>
        <w:r w:rsidR="004D5BE2" w:rsidRPr="00266093">
          <w:rPr>
            <w:webHidden/>
            <w:lang w:val="it-IT"/>
          </w:rPr>
          <w:tab/>
        </w:r>
        <w:r w:rsidR="004D5BE2" w:rsidRPr="00266093">
          <w:rPr>
            <w:webHidden/>
            <w:lang w:val="it-IT"/>
          </w:rPr>
          <w:fldChar w:fldCharType="begin"/>
        </w:r>
        <w:r w:rsidR="004D5BE2" w:rsidRPr="00266093">
          <w:rPr>
            <w:webHidden/>
            <w:lang w:val="it-IT"/>
          </w:rPr>
          <w:instrText xml:space="preserve"> PAGEREF _Toc501014829 \h </w:instrText>
        </w:r>
        <w:r w:rsidR="004D5BE2" w:rsidRPr="00266093">
          <w:rPr>
            <w:webHidden/>
            <w:lang w:val="it-IT"/>
          </w:rPr>
        </w:r>
        <w:r w:rsidR="004D5BE2" w:rsidRPr="00266093">
          <w:rPr>
            <w:webHidden/>
            <w:lang w:val="it-IT"/>
          </w:rPr>
          <w:fldChar w:fldCharType="separate"/>
        </w:r>
        <w:r w:rsidR="00361DF0" w:rsidRPr="00266093">
          <w:rPr>
            <w:webHidden/>
            <w:lang w:val="it-IT"/>
          </w:rPr>
          <w:t>6</w:t>
        </w:r>
        <w:r w:rsidR="004D5BE2" w:rsidRPr="00266093">
          <w:rPr>
            <w:webHidden/>
            <w:lang w:val="it-IT"/>
          </w:rPr>
          <w:fldChar w:fldCharType="end"/>
        </w:r>
      </w:hyperlink>
    </w:p>
    <w:p w:rsidR="004D5BE2" w:rsidRPr="00266093" w:rsidRDefault="005072FF">
      <w:pPr>
        <w:pStyle w:val="TOC1"/>
        <w:rPr>
          <w:rFonts w:asciiTheme="minorHAnsi" w:eastAsiaTheme="minorEastAsia" w:hAnsiTheme="minorHAnsi" w:cstheme="minorBidi"/>
          <w:szCs w:val="22"/>
          <w:lang w:val="it-IT" w:eastAsia="en-US" w:bidi="ar-SA"/>
        </w:rPr>
      </w:pPr>
      <w:hyperlink w:anchor="_Toc501014830" w:history="1">
        <w:r w:rsidR="004D5BE2" w:rsidRPr="00266093">
          <w:rPr>
            <w:rStyle w:val="Hyperlink"/>
            <w:caps/>
            <w:lang w:val="it-IT"/>
          </w:rPr>
          <w:t>5.</w:t>
        </w:r>
        <w:r w:rsidR="004D5BE2" w:rsidRPr="00266093">
          <w:rPr>
            <w:rFonts w:asciiTheme="minorHAnsi" w:eastAsiaTheme="minorEastAsia" w:hAnsiTheme="minorHAnsi" w:cstheme="minorBidi"/>
            <w:szCs w:val="22"/>
            <w:lang w:val="it-IT" w:eastAsia="en-US" w:bidi="ar-SA"/>
          </w:rPr>
          <w:tab/>
        </w:r>
        <w:r w:rsidR="004D5BE2" w:rsidRPr="00266093">
          <w:rPr>
            <w:rStyle w:val="Hyperlink"/>
            <w:b/>
            <w:caps/>
            <w:lang w:val="it-IT"/>
          </w:rPr>
          <w:t>Trasporti</w:t>
        </w:r>
        <w:r w:rsidR="004D5BE2" w:rsidRPr="00266093">
          <w:rPr>
            <w:webHidden/>
            <w:lang w:val="it-IT"/>
          </w:rPr>
          <w:tab/>
        </w:r>
        <w:r w:rsidR="004D5BE2" w:rsidRPr="00266093">
          <w:rPr>
            <w:webHidden/>
            <w:lang w:val="it-IT"/>
          </w:rPr>
          <w:fldChar w:fldCharType="begin"/>
        </w:r>
        <w:r w:rsidR="004D5BE2" w:rsidRPr="00266093">
          <w:rPr>
            <w:webHidden/>
            <w:lang w:val="it-IT"/>
          </w:rPr>
          <w:instrText xml:space="preserve"> PAGEREF _Toc501014830 \h </w:instrText>
        </w:r>
        <w:r w:rsidR="004D5BE2" w:rsidRPr="00266093">
          <w:rPr>
            <w:webHidden/>
            <w:lang w:val="it-IT"/>
          </w:rPr>
        </w:r>
        <w:r w:rsidR="004D5BE2" w:rsidRPr="00266093">
          <w:rPr>
            <w:webHidden/>
            <w:lang w:val="it-IT"/>
          </w:rPr>
          <w:fldChar w:fldCharType="separate"/>
        </w:r>
        <w:r w:rsidR="00361DF0" w:rsidRPr="00266093">
          <w:rPr>
            <w:webHidden/>
            <w:lang w:val="it-IT"/>
          </w:rPr>
          <w:t>9</w:t>
        </w:r>
        <w:r w:rsidR="004D5BE2" w:rsidRPr="00266093">
          <w:rPr>
            <w:webHidden/>
            <w:lang w:val="it-IT"/>
          </w:rPr>
          <w:fldChar w:fldCharType="end"/>
        </w:r>
      </w:hyperlink>
    </w:p>
    <w:p w:rsidR="004D5BE2" w:rsidRPr="00266093" w:rsidRDefault="005072FF">
      <w:pPr>
        <w:pStyle w:val="TOC1"/>
        <w:rPr>
          <w:rFonts w:asciiTheme="minorHAnsi" w:eastAsiaTheme="minorEastAsia" w:hAnsiTheme="minorHAnsi" w:cstheme="minorBidi"/>
          <w:szCs w:val="22"/>
          <w:lang w:val="it-IT" w:eastAsia="en-US" w:bidi="ar-SA"/>
        </w:rPr>
      </w:pPr>
      <w:hyperlink w:anchor="_Toc501014831" w:history="1">
        <w:r w:rsidR="004D5BE2" w:rsidRPr="00266093">
          <w:rPr>
            <w:rStyle w:val="Hyperlink"/>
            <w:caps/>
            <w:lang w:val="it-IT"/>
          </w:rPr>
          <w:t>6.</w:t>
        </w:r>
        <w:r w:rsidR="004D5BE2" w:rsidRPr="00266093">
          <w:rPr>
            <w:rFonts w:asciiTheme="minorHAnsi" w:eastAsiaTheme="minorEastAsia" w:hAnsiTheme="minorHAnsi" w:cstheme="minorBidi"/>
            <w:szCs w:val="22"/>
            <w:lang w:val="it-IT" w:eastAsia="en-US" w:bidi="ar-SA"/>
          </w:rPr>
          <w:tab/>
        </w:r>
        <w:r w:rsidR="004D5BE2" w:rsidRPr="00266093">
          <w:rPr>
            <w:rStyle w:val="Hyperlink"/>
            <w:b/>
            <w:caps/>
            <w:lang w:val="it-IT"/>
          </w:rPr>
          <w:t>Ambiente</w:t>
        </w:r>
        <w:r w:rsidR="004D5BE2" w:rsidRPr="00266093">
          <w:rPr>
            <w:webHidden/>
            <w:lang w:val="it-IT"/>
          </w:rPr>
          <w:tab/>
        </w:r>
        <w:r w:rsidR="004D5BE2" w:rsidRPr="00266093">
          <w:rPr>
            <w:webHidden/>
            <w:lang w:val="it-IT"/>
          </w:rPr>
          <w:fldChar w:fldCharType="begin"/>
        </w:r>
        <w:r w:rsidR="004D5BE2" w:rsidRPr="00266093">
          <w:rPr>
            <w:webHidden/>
            <w:lang w:val="it-IT"/>
          </w:rPr>
          <w:instrText xml:space="preserve"> PAGEREF _Toc501014831 \h </w:instrText>
        </w:r>
        <w:r w:rsidR="004D5BE2" w:rsidRPr="00266093">
          <w:rPr>
            <w:webHidden/>
            <w:lang w:val="it-IT"/>
          </w:rPr>
        </w:r>
        <w:r w:rsidR="004D5BE2" w:rsidRPr="00266093">
          <w:rPr>
            <w:webHidden/>
            <w:lang w:val="it-IT"/>
          </w:rPr>
          <w:fldChar w:fldCharType="separate"/>
        </w:r>
        <w:r w:rsidR="00361DF0" w:rsidRPr="00266093">
          <w:rPr>
            <w:webHidden/>
            <w:lang w:val="it-IT"/>
          </w:rPr>
          <w:t>11</w:t>
        </w:r>
        <w:r w:rsidR="004D5BE2" w:rsidRPr="00266093">
          <w:rPr>
            <w:webHidden/>
            <w:lang w:val="it-IT"/>
          </w:rPr>
          <w:fldChar w:fldCharType="end"/>
        </w:r>
      </w:hyperlink>
    </w:p>
    <w:p w:rsidR="004D5BE2" w:rsidRPr="00266093" w:rsidRDefault="005072FF">
      <w:pPr>
        <w:pStyle w:val="TOC1"/>
        <w:rPr>
          <w:rFonts w:asciiTheme="minorHAnsi" w:eastAsiaTheme="minorEastAsia" w:hAnsiTheme="minorHAnsi" w:cstheme="minorBidi"/>
          <w:szCs w:val="22"/>
          <w:lang w:val="it-IT" w:eastAsia="en-US" w:bidi="ar-SA"/>
        </w:rPr>
      </w:pPr>
      <w:hyperlink w:anchor="_Toc501014832" w:history="1">
        <w:r w:rsidR="004D5BE2" w:rsidRPr="00266093">
          <w:rPr>
            <w:rStyle w:val="Hyperlink"/>
            <w:caps/>
            <w:lang w:val="it-IT"/>
          </w:rPr>
          <w:t>7.</w:t>
        </w:r>
        <w:r w:rsidR="004D5BE2" w:rsidRPr="00266093">
          <w:rPr>
            <w:rFonts w:asciiTheme="minorHAnsi" w:eastAsiaTheme="minorEastAsia" w:hAnsiTheme="minorHAnsi" w:cstheme="minorBidi"/>
            <w:szCs w:val="22"/>
            <w:lang w:val="it-IT" w:eastAsia="en-US" w:bidi="ar-SA"/>
          </w:rPr>
          <w:tab/>
        </w:r>
        <w:r w:rsidR="004D5BE2" w:rsidRPr="00266093">
          <w:rPr>
            <w:rStyle w:val="Hyperlink"/>
            <w:b/>
            <w:caps/>
            <w:lang w:val="it-IT"/>
          </w:rPr>
          <w:t>Politica alimentare</w:t>
        </w:r>
        <w:r w:rsidR="004D5BE2" w:rsidRPr="00266093">
          <w:rPr>
            <w:webHidden/>
            <w:lang w:val="it-IT"/>
          </w:rPr>
          <w:tab/>
        </w:r>
        <w:r w:rsidR="004D5BE2" w:rsidRPr="00266093">
          <w:rPr>
            <w:webHidden/>
            <w:lang w:val="it-IT"/>
          </w:rPr>
          <w:fldChar w:fldCharType="begin"/>
        </w:r>
        <w:r w:rsidR="004D5BE2" w:rsidRPr="00266093">
          <w:rPr>
            <w:webHidden/>
            <w:lang w:val="it-IT"/>
          </w:rPr>
          <w:instrText xml:space="preserve"> PAGEREF _Toc501014832 \h </w:instrText>
        </w:r>
        <w:r w:rsidR="004D5BE2" w:rsidRPr="00266093">
          <w:rPr>
            <w:webHidden/>
            <w:lang w:val="it-IT"/>
          </w:rPr>
        </w:r>
        <w:r w:rsidR="004D5BE2" w:rsidRPr="00266093">
          <w:rPr>
            <w:webHidden/>
            <w:lang w:val="it-IT"/>
          </w:rPr>
          <w:fldChar w:fldCharType="separate"/>
        </w:r>
        <w:r w:rsidR="00361DF0" w:rsidRPr="00266093">
          <w:rPr>
            <w:webHidden/>
            <w:lang w:val="it-IT"/>
          </w:rPr>
          <w:t>15</w:t>
        </w:r>
        <w:r w:rsidR="004D5BE2" w:rsidRPr="00266093">
          <w:rPr>
            <w:webHidden/>
            <w:lang w:val="it-IT"/>
          </w:rPr>
          <w:fldChar w:fldCharType="end"/>
        </w:r>
      </w:hyperlink>
    </w:p>
    <w:p w:rsidR="004D5BE2" w:rsidRPr="00266093" w:rsidRDefault="005072FF">
      <w:pPr>
        <w:pStyle w:val="TOC1"/>
        <w:rPr>
          <w:rFonts w:asciiTheme="minorHAnsi" w:eastAsiaTheme="minorEastAsia" w:hAnsiTheme="minorHAnsi" w:cstheme="minorBidi"/>
          <w:szCs w:val="22"/>
          <w:lang w:val="it-IT" w:eastAsia="en-US" w:bidi="ar-SA"/>
        </w:rPr>
      </w:pPr>
      <w:hyperlink w:anchor="_Toc501014833" w:history="1">
        <w:r w:rsidR="004D5BE2" w:rsidRPr="00266093">
          <w:rPr>
            <w:rStyle w:val="Hyperlink"/>
            <w:caps/>
            <w:lang w:val="it-IT"/>
          </w:rPr>
          <w:t>8.</w:t>
        </w:r>
        <w:r w:rsidR="004D5BE2" w:rsidRPr="00266093">
          <w:rPr>
            <w:rFonts w:asciiTheme="minorHAnsi" w:eastAsiaTheme="minorEastAsia" w:hAnsiTheme="minorHAnsi" w:cstheme="minorBidi"/>
            <w:szCs w:val="22"/>
            <w:lang w:val="it-IT" w:eastAsia="en-US" w:bidi="ar-SA"/>
          </w:rPr>
          <w:tab/>
        </w:r>
        <w:r w:rsidR="004D5BE2" w:rsidRPr="00266093">
          <w:rPr>
            <w:rStyle w:val="Hyperlink"/>
            <w:b/>
            <w:caps/>
            <w:lang w:val="it-IT"/>
          </w:rPr>
          <w:t>Affari sociali</w:t>
        </w:r>
        <w:r w:rsidR="004D5BE2" w:rsidRPr="00266093">
          <w:rPr>
            <w:webHidden/>
            <w:lang w:val="it-IT"/>
          </w:rPr>
          <w:tab/>
        </w:r>
        <w:r w:rsidR="004D5BE2" w:rsidRPr="00266093">
          <w:rPr>
            <w:webHidden/>
            <w:lang w:val="it-IT"/>
          </w:rPr>
          <w:fldChar w:fldCharType="begin"/>
        </w:r>
        <w:r w:rsidR="004D5BE2" w:rsidRPr="00266093">
          <w:rPr>
            <w:webHidden/>
            <w:lang w:val="it-IT"/>
          </w:rPr>
          <w:instrText xml:space="preserve"> PAGEREF _Toc501014833 \h </w:instrText>
        </w:r>
        <w:r w:rsidR="004D5BE2" w:rsidRPr="00266093">
          <w:rPr>
            <w:webHidden/>
            <w:lang w:val="it-IT"/>
          </w:rPr>
        </w:r>
        <w:r w:rsidR="004D5BE2" w:rsidRPr="00266093">
          <w:rPr>
            <w:webHidden/>
            <w:lang w:val="it-IT"/>
          </w:rPr>
          <w:fldChar w:fldCharType="separate"/>
        </w:r>
        <w:r w:rsidR="00361DF0" w:rsidRPr="00266093">
          <w:rPr>
            <w:webHidden/>
            <w:lang w:val="it-IT"/>
          </w:rPr>
          <w:t>17</w:t>
        </w:r>
        <w:r w:rsidR="004D5BE2" w:rsidRPr="00266093">
          <w:rPr>
            <w:webHidden/>
            <w:lang w:val="it-IT"/>
          </w:rPr>
          <w:fldChar w:fldCharType="end"/>
        </w:r>
      </w:hyperlink>
    </w:p>
    <w:p w:rsidR="004D5BE2" w:rsidRPr="00266093" w:rsidRDefault="005072FF">
      <w:pPr>
        <w:pStyle w:val="TOC1"/>
        <w:rPr>
          <w:rFonts w:asciiTheme="minorHAnsi" w:eastAsiaTheme="minorEastAsia" w:hAnsiTheme="minorHAnsi" w:cstheme="minorBidi"/>
          <w:szCs w:val="22"/>
          <w:lang w:val="it-IT" w:eastAsia="en-US" w:bidi="ar-SA"/>
        </w:rPr>
      </w:pPr>
      <w:hyperlink w:anchor="_Toc501014834" w:history="1">
        <w:r w:rsidR="004D5BE2" w:rsidRPr="00266093">
          <w:rPr>
            <w:rStyle w:val="Hyperlink"/>
            <w:caps/>
            <w:lang w:val="it-IT"/>
          </w:rPr>
          <w:t>9.</w:t>
        </w:r>
        <w:r w:rsidR="004D5BE2" w:rsidRPr="00266093">
          <w:rPr>
            <w:rFonts w:asciiTheme="minorHAnsi" w:eastAsiaTheme="minorEastAsia" w:hAnsiTheme="minorHAnsi" w:cstheme="minorBidi"/>
            <w:szCs w:val="22"/>
            <w:lang w:val="it-IT" w:eastAsia="en-US" w:bidi="ar-SA"/>
          </w:rPr>
          <w:tab/>
        </w:r>
        <w:r w:rsidR="004D5BE2" w:rsidRPr="00266093">
          <w:rPr>
            <w:rStyle w:val="Hyperlink"/>
            <w:b/>
            <w:caps/>
            <w:lang w:val="it-IT"/>
          </w:rPr>
          <w:t>Relazioni esterne</w:t>
        </w:r>
        <w:r w:rsidR="004D5BE2" w:rsidRPr="00266093">
          <w:rPr>
            <w:webHidden/>
            <w:lang w:val="it-IT"/>
          </w:rPr>
          <w:tab/>
        </w:r>
        <w:r w:rsidR="004D5BE2" w:rsidRPr="00266093">
          <w:rPr>
            <w:webHidden/>
            <w:lang w:val="it-IT"/>
          </w:rPr>
          <w:fldChar w:fldCharType="begin"/>
        </w:r>
        <w:r w:rsidR="004D5BE2" w:rsidRPr="00266093">
          <w:rPr>
            <w:webHidden/>
            <w:lang w:val="it-IT"/>
          </w:rPr>
          <w:instrText xml:space="preserve"> PAGEREF _Toc501014834 \h </w:instrText>
        </w:r>
        <w:r w:rsidR="004D5BE2" w:rsidRPr="00266093">
          <w:rPr>
            <w:webHidden/>
            <w:lang w:val="it-IT"/>
          </w:rPr>
        </w:r>
        <w:r w:rsidR="004D5BE2" w:rsidRPr="00266093">
          <w:rPr>
            <w:webHidden/>
            <w:lang w:val="it-IT"/>
          </w:rPr>
          <w:fldChar w:fldCharType="separate"/>
        </w:r>
        <w:r w:rsidR="00361DF0" w:rsidRPr="00266093">
          <w:rPr>
            <w:webHidden/>
            <w:lang w:val="it-IT"/>
          </w:rPr>
          <w:t>21</w:t>
        </w:r>
        <w:r w:rsidR="004D5BE2" w:rsidRPr="00266093">
          <w:rPr>
            <w:webHidden/>
            <w:lang w:val="it-IT"/>
          </w:rPr>
          <w:fldChar w:fldCharType="end"/>
        </w:r>
      </w:hyperlink>
    </w:p>
    <w:p w:rsidR="00503FE7" w:rsidRPr="00266093" w:rsidRDefault="003353E8">
      <w:pPr>
        <w:pStyle w:val="TOC1"/>
        <w:rPr>
          <w:rFonts w:asciiTheme="minorHAnsi" w:eastAsiaTheme="minorEastAsia" w:hAnsiTheme="minorHAnsi" w:cstheme="minorBidi"/>
          <w:szCs w:val="22"/>
          <w:lang w:val="it-IT"/>
        </w:rPr>
      </w:pPr>
      <w:r w:rsidRPr="00266093">
        <w:rPr>
          <w:lang w:val="it-IT"/>
        </w:rPr>
        <w:fldChar w:fldCharType="end"/>
      </w:r>
    </w:p>
    <w:p w:rsidR="008405A0" w:rsidRPr="00266093" w:rsidRDefault="008405A0">
      <w:pPr>
        <w:overflowPunct/>
        <w:adjustRightInd/>
        <w:textAlignment w:val="auto"/>
        <w:rPr>
          <w:lang w:val="it-IT"/>
        </w:rPr>
      </w:pPr>
      <w:r w:rsidRPr="00266093">
        <w:rPr>
          <w:lang w:val="it-IT"/>
        </w:rPr>
        <w:br w:type="page"/>
      </w:r>
    </w:p>
    <w:p w:rsidR="003445DE" w:rsidRPr="00266093" w:rsidRDefault="006C1861" w:rsidP="00FE0D9A">
      <w:pPr>
        <w:overflowPunct/>
        <w:textAlignment w:val="auto"/>
        <w:rPr>
          <w:b/>
          <w:bCs/>
          <w:lang w:val="it-IT"/>
        </w:rPr>
      </w:pPr>
      <w:r w:rsidRPr="00266093">
        <w:rPr>
          <w:lang w:val="it-IT"/>
        </w:rPr>
        <w:lastRenderedPageBreak/>
        <w:t xml:space="preserve">La sessione plenaria del 6 e 7 dicembre 2017 è stata contraddistinta dalla presenza di </w:t>
      </w:r>
      <w:r w:rsidRPr="00266093">
        <w:rPr>
          <w:b/>
          <w:lang w:val="it-IT"/>
        </w:rPr>
        <w:t>Vytenis ANDRIUKAITIS</w:t>
      </w:r>
      <w:r w:rsidRPr="00266093">
        <w:rPr>
          <w:lang w:val="it-IT"/>
        </w:rPr>
        <w:t xml:space="preserve">, commissario europeo per la salute e la sicurezza alimentare, e dalla consegna del </w:t>
      </w:r>
      <w:r w:rsidRPr="00266093">
        <w:rPr>
          <w:b/>
          <w:lang w:val="it-IT"/>
        </w:rPr>
        <w:t>premio CESE per la società civile</w:t>
      </w:r>
      <w:r w:rsidRPr="00266093">
        <w:rPr>
          <w:lang w:val="it-IT"/>
        </w:rPr>
        <w:t>.</w:t>
      </w:r>
    </w:p>
    <w:p w:rsidR="00065751" w:rsidRPr="00266093" w:rsidRDefault="00065751" w:rsidP="000E26A2">
      <w:pPr>
        <w:overflowPunct/>
        <w:adjustRightInd/>
        <w:textAlignment w:val="auto"/>
        <w:rPr>
          <w:lang w:val="it-IT"/>
        </w:rPr>
      </w:pPr>
    </w:p>
    <w:p w:rsidR="00421682" w:rsidRPr="00266093" w:rsidRDefault="00421682">
      <w:pPr>
        <w:overflowPunct/>
        <w:adjustRightInd/>
        <w:textAlignment w:val="auto"/>
        <w:rPr>
          <w:lang w:val="it-IT"/>
        </w:rPr>
      </w:pPr>
      <w:r w:rsidRPr="00266093">
        <w:rPr>
          <w:lang w:val="it-IT"/>
        </w:rPr>
        <w:t>Nel corso della sessione il CESE ha adottato i seguenti pareri:</w:t>
      </w:r>
    </w:p>
    <w:p w:rsidR="00FC1BAB" w:rsidRPr="00266093" w:rsidRDefault="00FC1BAB">
      <w:pPr>
        <w:overflowPunct/>
        <w:adjustRightInd/>
        <w:textAlignment w:val="auto"/>
        <w:rPr>
          <w:lang w:val="it-IT"/>
        </w:rPr>
      </w:pPr>
    </w:p>
    <w:p w:rsidR="00B50F6E" w:rsidRPr="00266093" w:rsidRDefault="00B50F6E">
      <w:pPr>
        <w:overflowPunct/>
        <w:adjustRightInd/>
        <w:textAlignment w:val="auto"/>
        <w:rPr>
          <w:lang w:val="it-IT"/>
        </w:rPr>
      </w:pPr>
    </w:p>
    <w:p w:rsidR="00234CD4" w:rsidRPr="00266093" w:rsidRDefault="00760E25" w:rsidP="00E97DE3">
      <w:pPr>
        <w:pStyle w:val="Heading1"/>
        <w:rPr>
          <w:b/>
          <w:caps/>
          <w:lang w:val="it-IT"/>
        </w:rPr>
      </w:pPr>
      <w:r w:rsidRPr="00266093">
        <w:rPr>
          <w:lang w:val="it-IT"/>
        </w:rPr>
        <w:tab/>
      </w:r>
      <w:bookmarkStart w:id="1" w:name="_Toc499892041"/>
      <w:bookmarkStart w:id="2" w:name="_Toc501014826"/>
      <w:r w:rsidRPr="00266093">
        <w:rPr>
          <w:b/>
          <w:caps/>
          <w:lang w:val="it-IT"/>
        </w:rPr>
        <w:t>Coesione economica e sociale</w:t>
      </w:r>
      <w:bookmarkEnd w:id="1"/>
      <w:bookmarkEnd w:id="2"/>
    </w:p>
    <w:p w:rsidR="000747E4" w:rsidRPr="00266093" w:rsidRDefault="000747E4" w:rsidP="000747E4">
      <w:pPr>
        <w:rPr>
          <w:i/>
          <w:iCs/>
          <w:u w:val="single"/>
          <w:lang w:val="it-IT"/>
        </w:rPr>
      </w:pPr>
    </w:p>
    <w:p w:rsidR="000747E4" w:rsidRPr="00266093" w:rsidRDefault="000747E4" w:rsidP="000747E4">
      <w:pPr>
        <w:pStyle w:val="ListParagraph"/>
        <w:widowControl w:val="0"/>
        <w:numPr>
          <w:ilvl w:val="0"/>
          <w:numId w:val="30"/>
        </w:numPr>
        <w:rPr>
          <w:b/>
          <w:i/>
          <w:sz w:val="28"/>
          <w:szCs w:val="28"/>
          <w:lang w:val="it-IT"/>
        </w:rPr>
      </w:pPr>
      <w:proofErr w:type="gramStart"/>
      <w:r w:rsidRPr="00266093">
        <w:rPr>
          <w:b/>
          <w:i/>
          <w:sz w:val="28"/>
          <w:lang w:val="it-IT"/>
        </w:rPr>
        <w:t>Adeguamento delle risorse per il conseguimento degli obiettivi della politica di coesione</w:t>
      </w:r>
      <w:proofErr w:type="gramEnd"/>
    </w:p>
    <w:p w:rsidR="000747E4" w:rsidRPr="00266093" w:rsidRDefault="000747E4" w:rsidP="000747E4">
      <w:pPr>
        <w:tabs>
          <w:tab w:val="center" w:pos="284"/>
        </w:tabs>
        <w:ind w:left="266" w:hanging="266"/>
        <w:rPr>
          <w:b/>
          <w:lang w:val="it-IT"/>
        </w:rPr>
      </w:pPr>
    </w:p>
    <w:p w:rsidR="000747E4" w:rsidRPr="00266093" w:rsidRDefault="000747E4" w:rsidP="000747E4">
      <w:pPr>
        <w:tabs>
          <w:tab w:val="center" w:pos="284"/>
        </w:tabs>
        <w:ind w:left="266" w:hanging="266"/>
        <w:rPr>
          <w:b/>
          <w:lang w:val="it-IT"/>
        </w:rPr>
      </w:pPr>
      <w:r w:rsidRPr="00266093">
        <w:rPr>
          <w:b/>
          <w:lang w:val="it-IT"/>
        </w:rPr>
        <w:t>Categoria C</w:t>
      </w:r>
    </w:p>
    <w:p w:rsidR="000747E4" w:rsidRPr="00266093" w:rsidRDefault="000747E4" w:rsidP="000747E4">
      <w:pPr>
        <w:tabs>
          <w:tab w:val="center" w:pos="284"/>
        </w:tabs>
        <w:ind w:left="266" w:hanging="266"/>
        <w:rPr>
          <w:lang w:val="it-IT"/>
        </w:rPr>
      </w:pPr>
    </w:p>
    <w:p w:rsidR="000747E4" w:rsidRPr="00266093" w:rsidRDefault="000747E4" w:rsidP="000747E4">
      <w:pPr>
        <w:tabs>
          <w:tab w:val="left" w:pos="1701"/>
        </w:tabs>
        <w:ind w:left="-5"/>
        <w:rPr>
          <w:lang w:val="it-IT"/>
        </w:rPr>
      </w:pPr>
      <w:r w:rsidRPr="00266093">
        <w:rPr>
          <w:b/>
          <w:lang w:val="it-IT"/>
        </w:rPr>
        <w:t>Riferimenti:</w:t>
      </w:r>
      <w:r w:rsidRPr="00266093">
        <w:rPr>
          <w:lang w:val="it-IT"/>
        </w:rPr>
        <w:tab/>
        <w:t>COM</w:t>
      </w:r>
      <w:proofErr w:type="gramStart"/>
      <w:r w:rsidRPr="00266093">
        <w:rPr>
          <w:lang w:val="it-IT"/>
        </w:rPr>
        <w:t>(</w:t>
      </w:r>
      <w:proofErr w:type="gramEnd"/>
      <w:r w:rsidRPr="00266093">
        <w:rPr>
          <w:lang w:val="it-IT"/>
        </w:rPr>
        <w:t>2017) 565 final – 2017/0247 (COD)</w:t>
      </w:r>
    </w:p>
    <w:p w:rsidR="000747E4" w:rsidRPr="00266093" w:rsidRDefault="000747E4" w:rsidP="000747E4">
      <w:pPr>
        <w:tabs>
          <w:tab w:val="left" w:pos="1701"/>
        </w:tabs>
        <w:ind w:left="-5"/>
        <w:rPr>
          <w:lang w:val="it-IT"/>
        </w:rPr>
      </w:pPr>
      <w:r w:rsidRPr="00266093">
        <w:rPr>
          <w:lang w:val="it-IT"/>
        </w:rPr>
        <w:tab/>
      </w:r>
      <w:proofErr w:type="gramStart"/>
      <w:r w:rsidRPr="00266093">
        <w:rPr>
          <w:lang w:val="it-IT"/>
        </w:rPr>
        <w:t>EESC-2017-05609-00-00-AC-TRA</w:t>
      </w:r>
      <w:proofErr w:type="gramEnd"/>
    </w:p>
    <w:p w:rsidR="000747E4" w:rsidRPr="00266093" w:rsidRDefault="000747E4" w:rsidP="000747E4">
      <w:pPr>
        <w:tabs>
          <w:tab w:val="center" w:pos="284"/>
        </w:tabs>
        <w:ind w:left="266" w:hanging="266"/>
        <w:rPr>
          <w:lang w:val="it-IT"/>
        </w:rPr>
      </w:pPr>
    </w:p>
    <w:p w:rsidR="000747E4" w:rsidRPr="00266093" w:rsidRDefault="000747E4" w:rsidP="000747E4">
      <w:pPr>
        <w:keepNext/>
        <w:keepLines/>
        <w:tabs>
          <w:tab w:val="center" w:pos="284"/>
        </w:tabs>
        <w:ind w:left="266" w:hanging="266"/>
        <w:rPr>
          <w:b/>
          <w:lang w:val="it-IT"/>
        </w:rPr>
      </w:pPr>
      <w:r w:rsidRPr="00266093">
        <w:rPr>
          <w:b/>
          <w:lang w:val="it-IT"/>
        </w:rPr>
        <w:t>Punti salienti del parere:</w:t>
      </w:r>
    </w:p>
    <w:p w:rsidR="000747E4" w:rsidRPr="00266093" w:rsidRDefault="000747E4" w:rsidP="000747E4">
      <w:pPr>
        <w:spacing w:line="22" w:lineRule="atLeast"/>
        <w:outlineLvl w:val="1"/>
        <w:rPr>
          <w:lang w:val="it-IT"/>
        </w:rPr>
      </w:pPr>
    </w:p>
    <w:p w:rsidR="000747E4" w:rsidRPr="00266093" w:rsidRDefault="000747E4" w:rsidP="000747E4">
      <w:pPr>
        <w:pStyle w:val="Heading2"/>
        <w:numPr>
          <w:ilvl w:val="0"/>
          <w:numId w:val="0"/>
        </w:numPr>
        <w:rPr>
          <w:lang w:val="it-IT"/>
        </w:rPr>
      </w:pPr>
      <w:r w:rsidRPr="00266093">
        <w:rPr>
          <w:lang w:val="it-IT"/>
        </w:rPr>
        <w:t xml:space="preserve">Avendo </w:t>
      </w:r>
      <w:proofErr w:type="gramStart"/>
      <w:r w:rsidRPr="00266093">
        <w:rPr>
          <w:lang w:val="it-IT"/>
        </w:rPr>
        <w:t>concluso</w:t>
      </w:r>
      <w:proofErr w:type="gramEnd"/>
      <w:r w:rsidRPr="00266093">
        <w:rPr>
          <w:lang w:val="it-IT"/>
        </w:rPr>
        <w:t xml:space="preserve"> che il contenuto della proposta della Commissione è soddisfacente e non richiede alcun commento da parte sua, il Comitato ha deciso di esprimere parere favorevole al testo proposto.</w:t>
      </w:r>
    </w:p>
    <w:p w:rsidR="000747E4" w:rsidRPr="00266093" w:rsidRDefault="000747E4" w:rsidP="000747E4">
      <w:pPr>
        <w:rPr>
          <w:lang w:val="it-IT"/>
        </w:rPr>
      </w:pPr>
    </w:p>
    <w:p w:rsidR="000747E4" w:rsidRPr="00266093" w:rsidRDefault="000747E4" w:rsidP="000747E4">
      <w:pPr>
        <w:tabs>
          <w:tab w:val="left" w:pos="770"/>
          <w:tab w:val="left" w:pos="1418"/>
        </w:tabs>
        <w:ind w:left="1430" w:hanging="1430"/>
        <w:rPr>
          <w:rFonts w:eastAsia="Calibri"/>
          <w:i/>
          <w:iCs/>
          <w:lang w:val="it-IT"/>
        </w:rPr>
      </w:pPr>
      <w:r w:rsidRPr="00266093">
        <w:rPr>
          <w:b/>
          <w:i/>
          <w:lang w:val="it-IT"/>
        </w:rPr>
        <w:t xml:space="preserve">Persona da </w:t>
      </w:r>
      <w:proofErr w:type="gramStart"/>
      <w:r w:rsidRPr="00266093">
        <w:rPr>
          <w:b/>
          <w:i/>
          <w:lang w:val="it-IT"/>
        </w:rPr>
        <w:t>contattare</w:t>
      </w:r>
      <w:proofErr w:type="gramEnd"/>
      <w:r w:rsidRPr="00266093">
        <w:rPr>
          <w:lang w:val="it-IT"/>
        </w:rPr>
        <w:t>:</w:t>
      </w:r>
      <w:r w:rsidR="00FE0D9A" w:rsidRPr="00266093">
        <w:rPr>
          <w:lang w:val="it-IT"/>
        </w:rPr>
        <w:tab/>
      </w:r>
      <w:r w:rsidRPr="00266093">
        <w:rPr>
          <w:i/>
          <w:lang w:val="it-IT"/>
        </w:rPr>
        <w:t>Helena POLOMIK</w:t>
      </w:r>
    </w:p>
    <w:p w:rsidR="000747E4" w:rsidRPr="00266093" w:rsidRDefault="000747E4" w:rsidP="00FE0D9A">
      <w:pPr>
        <w:tabs>
          <w:tab w:val="left" w:pos="2127"/>
        </w:tabs>
        <w:rPr>
          <w:i/>
          <w:iCs/>
          <w:caps/>
          <w:lang w:val="it-IT"/>
        </w:rPr>
      </w:pPr>
      <w:r w:rsidRPr="00266093">
        <w:rPr>
          <w:lang w:val="it-IT"/>
        </w:rPr>
        <w:tab/>
      </w:r>
      <w:r w:rsidRPr="00266093">
        <w:rPr>
          <w:i/>
          <w:lang w:val="it-IT"/>
        </w:rPr>
        <w:t>(</w:t>
      </w:r>
      <w:r w:rsidR="00266093" w:rsidRPr="00266093">
        <w:rPr>
          <w:i/>
          <w:lang w:val="it-IT"/>
        </w:rPr>
        <w:t>Tel.:</w:t>
      </w:r>
      <w:r w:rsidRPr="00266093">
        <w:rPr>
          <w:i/>
          <w:lang w:val="it-IT"/>
        </w:rPr>
        <w:t xml:space="preserve"> 00 32 2 546 90 63 – </w:t>
      </w:r>
      <w:r w:rsidR="00C832D8" w:rsidRPr="00266093">
        <w:rPr>
          <w:i/>
          <w:lang w:val="it-IT"/>
        </w:rPr>
        <w:t>e</w:t>
      </w:r>
      <w:r w:rsidR="00EF04E2" w:rsidRPr="00266093">
        <w:rPr>
          <w:i/>
          <w:lang w:val="it-IT"/>
        </w:rPr>
        <w:t>-</w:t>
      </w:r>
      <w:r w:rsidR="00C832D8" w:rsidRPr="00266093">
        <w:rPr>
          <w:i/>
          <w:lang w:val="it-IT"/>
        </w:rPr>
        <w:t>mail</w:t>
      </w:r>
      <w:r w:rsidRPr="00266093">
        <w:rPr>
          <w:i/>
          <w:lang w:val="it-IT"/>
        </w:rPr>
        <w:t xml:space="preserve">: </w:t>
      </w:r>
      <w:hyperlink r:id="rId22">
        <w:r w:rsidRPr="00266093">
          <w:rPr>
            <w:i/>
            <w:color w:val="0000FF"/>
            <w:u w:val="single"/>
            <w:lang w:val="it-IT"/>
          </w:rPr>
          <w:t>Helena.Polomik@eesc.europa.eu</w:t>
        </w:r>
      </w:hyperlink>
      <w:r w:rsidRPr="00266093">
        <w:rPr>
          <w:i/>
          <w:lang w:val="it-IT"/>
        </w:rPr>
        <w:t>)</w:t>
      </w:r>
    </w:p>
    <w:p w:rsidR="000747E4" w:rsidRPr="00266093" w:rsidRDefault="000747E4" w:rsidP="00C83E94">
      <w:pPr>
        <w:rPr>
          <w:iCs/>
          <w:caps/>
          <w:lang w:val="it-IT"/>
        </w:rPr>
      </w:pPr>
    </w:p>
    <w:p w:rsidR="00E631B5" w:rsidRPr="00266093" w:rsidRDefault="00E631B5" w:rsidP="00C83E94">
      <w:pPr>
        <w:rPr>
          <w:iCs/>
          <w:caps/>
          <w:lang w:val="it-IT"/>
        </w:rPr>
      </w:pPr>
    </w:p>
    <w:p w:rsidR="00E631B5" w:rsidRPr="00266093" w:rsidRDefault="00E631B5">
      <w:pPr>
        <w:overflowPunct/>
        <w:autoSpaceDE/>
        <w:autoSpaceDN/>
        <w:adjustRightInd/>
        <w:spacing w:line="240" w:lineRule="auto"/>
        <w:jc w:val="left"/>
        <w:textAlignment w:val="auto"/>
        <w:rPr>
          <w:iCs/>
          <w:caps/>
          <w:lang w:val="it-IT"/>
        </w:rPr>
      </w:pPr>
      <w:r w:rsidRPr="00266093">
        <w:rPr>
          <w:lang w:val="it-IT"/>
        </w:rPr>
        <w:br w:type="page"/>
      </w:r>
    </w:p>
    <w:p w:rsidR="00C45A67" w:rsidRPr="00266093" w:rsidRDefault="00760E25" w:rsidP="00E97DE3">
      <w:pPr>
        <w:pStyle w:val="Heading1"/>
        <w:rPr>
          <w:b/>
          <w:caps/>
          <w:lang w:val="it-IT"/>
        </w:rPr>
      </w:pPr>
      <w:r w:rsidRPr="00266093">
        <w:rPr>
          <w:lang w:val="it-IT"/>
        </w:rPr>
        <w:tab/>
      </w:r>
      <w:bookmarkStart w:id="3" w:name="_Toc499892042"/>
      <w:bookmarkStart w:id="4" w:name="_Toc501014827"/>
      <w:r w:rsidRPr="00266093">
        <w:rPr>
          <w:b/>
          <w:caps/>
          <w:lang w:val="it-IT"/>
        </w:rPr>
        <w:t>Disparità economiche e sociali</w:t>
      </w:r>
      <w:bookmarkEnd w:id="3"/>
      <w:bookmarkEnd w:id="4"/>
    </w:p>
    <w:p w:rsidR="000747E4" w:rsidRPr="00266093" w:rsidRDefault="000747E4" w:rsidP="000747E4">
      <w:pPr>
        <w:rPr>
          <w:b/>
          <w:iCs/>
          <w:u w:val="single"/>
          <w:lang w:val="it-IT"/>
        </w:rPr>
      </w:pPr>
    </w:p>
    <w:p w:rsidR="000747E4" w:rsidRPr="00266093" w:rsidRDefault="000747E4" w:rsidP="00983AF9">
      <w:pPr>
        <w:pStyle w:val="ListParagraph"/>
        <w:widowControl w:val="0"/>
        <w:numPr>
          <w:ilvl w:val="0"/>
          <w:numId w:val="37"/>
        </w:numPr>
        <w:rPr>
          <w:b/>
          <w:bCs/>
          <w:i/>
          <w:iCs/>
          <w:sz w:val="28"/>
          <w:szCs w:val="28"/>
          <w:lang w:val="it-IT"/>
        </w:rPr>
      </w:pPr>
      <w:r w:rsidRPr="00266093">
        <w:rPr>
          <w:b/>
          <w:i/>
          <w:sz w:val="28"/>
          <w:lang w:val="it-IT"/>
        </w:rPr>
        <w:t>Distribuzione ineguale della ricchezza in Europa</w:t>
      </w:r>
    </w:p>
    <w:p w:rsidR="000747E4" w:rsidRPr="00266093" w:rsidRDefault="000747E4" w:rsidP="000747E4">
      <w:pPr>
        <w:ind w:firstLine="17"/>
        <w:rPr>
          <w:lang w:val="it-IT"/>
        </w:rPr>
      </w:pPr>
    </w:p>
    <w:p w:rsidR="000747E4" w:rsidRPr="00266093" w:rsidRDefault="00266093" w:rsidP="000747E4">
      <w:pPr>
        <w:tabs>
          <w:tab w:val="left" w:pos="1701"/>
        </w:tabs>
        <w:rPr>
          <w:lang w:val="it-IT"/>
        </w:rPr>
      </w:pPr>
      <w:r w:rsidRPr="00266093">
        <w:rPr>
          <w:b/>
          <w:lang w:val="it-IT"/>
        </w:rPr>
        <w:t>Relatore</w:t>
      </w:r>
      <w:r w:rsidR="000747E4" w:rsidRPr="00266093">
        <w:rPr>
          <w:b/>
          <w:lang w:val="it-IT"/>
        </w:rPr>
        <w:t>:</w:t>
      </w:r>
      <w:r w:rsidR="000747E4" w:rsidRPr="00266093">
        <w:rPr>
          <w:lang w:val="it-IT"/>
        </w:rPr>
        <w:tab/>
        <w:t>Plamen DIMITROV (Lavoratori - BG)</w:t>
      </w:r>
    </w:p>
    <w:p w:rsidR="000747E4" w:rsidRPr="00266093" w:rsidRDefault="000747E4" w:rsidP="000747E4">
      <w:pPr>
        <w:tabs>
          <w:tab w:val="left" w:pos="1701"/>
        </w:tabs>
        <w:rPr>
          <w:lang w:val="it-IT"/>
        </w:rPr>
      </w:pPr>
    </w:p>
    <w:p w:rsidR="000747E4" w:rsidRPr="00266093" w:rsidRDefault="000747E4" w:rsidP="000747E4">
      <w:pPr>
        <w:tabs>
          <w:tab w:val="left" w:pos="1701"/>
        </w:tabs>
        <w:ind w:left="-5"/>
        <w:rPr>
          <w:lang w:val="it-IT"/>
        </w:rPr>
      </w:pPr>
      <w:r w:rsidRPr="00266093">
        <w:rPr>
          <w:b/>
          <w:lang w:val="it-IT"/>
        </w:rPr>
        <w:t>Riferimento:</w:t>
      </w:r>
      <w:r w:rsidRPr="00266093">
        <w:rPr>
          <w:lang w:val="it-IT"/>
        </w:rPr>
        <w:tab/>
        <w:t>Parere d'iniziativa</w:t>
      </w:r>
    </w:p>
    <w:p w:rsidR="000747E4" w:rsidRPr="00266093" w:rsidRDefault="000747E4" w:rsidP="000747E4">
      <w:pPr>
        <w:tabs>
          <w:tab w:val="left" w:pos="1701"/>
        </w:tabs>
        <w:ind w:left="-5"/>
        <w:rPr>
          <w:iCs/>
          <w:lang w:val="it-IT"/>
        </w:rPr>
      </w:pPr>
      <w:r w:rsidRPr="00266093">
        <w:rPr>
          <w:lang w:val="it-IT"/>
        </w:rPr>
        <w:tab/>
      </w:r>
      <w:proofErr w:type="gramStart"/>
      <w:r w:rsidRPr="00266093">
        <w:rPr>
          <w:lang w:val="it-IT"/>
        </w:rPr>
        <w:t>EESC-2016-05712-00-00-AC-TRA</w:t>
      </w:r>
      <w:proofErr w:type="gramEnd"/>
    </w:p>
    <w:p w:rsidR="000747E4" w:rsidRPr="00266093" w:rsidRDefault="000747E4" w:rsidP="000747E4">
      <w:pPr>
        <w:ind w:left="-5"/>
        <w:rPr>
          <w:b/>
          <w:lang w:val="it-IT"/>
        </w:rPr>
      </w:pPr>
      <w:r w:rsidRPr="00266093">
        <w:rPr>
          <w:lang w:val="it-IT"/>
        </w:rPr>
        <w:tab/>
      </w:r>
    </w:p>
    <w:p w:rsidR="000747E4" w:rsidRPr="00266093" w:rsidRDefault="000747E4" w:rsidP="000747E4">
      <w:pPr>
        <w:ind w:left="-5"/>
        <w:rPr>
          <w:b/>
          <w:lang w:val="it-IT"/>
        </w:rPr>
      </w:pPr>
      <w:r w:rsidRPr="00266093">
        <w:rPr>
          <w:b/>
          <w:lang w:val="it-IT"/>
        </w:rPr>
        <w:t>Punti salienti del parere:</w:t>
      </w:r>
    </w:p>
    <w:p w:rsidR="009E5586" w:rsidRPr="00266093" w:rsidRDefault="009E5586" w:rsidP="000747E4">
      <w:pPr>
        <w:keepNext/>
        <w:spacing w:line="240" w:lineRule="auto"/>
        <w:rPr>
          <w:color w:val="000000" w:themeColor="text1"/>
          <w:lang w:val="it-IT"/>
        </w:rPr>
      </w:pPr>
    </w:p>
    <w:p w:rsidR="000747E4" w:rsidRPr="00266093" w:rsidRDefault="000747E4" w:rsidP="000747E4">
      <w:pPr>
        <w:rPr>
          <w:lang w:val="it-IT"/>
        </w:rPr>
      </w:pPr>
      <w:r w:rsidRPr="00266093">
        <w:rPr>
          <w:lang w:val="it-IT"/>
        </w:rPr>
        <w:t>Il CESE:</w:t>
      </w:r>
    </w:p>
    <w:p w:rsidR="000747E4" w:rsidRPr="00266093" w:rsidRDefault="000747E4" w:rsidP="000747E4">
      <w:pPr>
        <w:pStyle w:val="ListParagraph"/>
        <w:rPr>
          <w:lang w:val="it-IT"/>
        </w:rPr>
      </w:pPr>
    </w:p>
    <w:p w:rsidR="000747E4" w:rsidRPr="00266093" w:rsidRDefault="000747E4" w:rsidP="00F13CFD">
      <w:pPr>
        <w:pStyle w:val="ListParagraph"/>
        <w:numPr>
          <w:ilvl w:val="0"/>
          <w:numId w:val="27"/>
        </w:numPr>
        <w:rPr>
          <w:lang w:val="it-IT"/>
        </w:rPr>
      </w:pPr>
      <w:proofErr w:type="gramStart"/>
      <w:r w:rsidRPr="00266093">
        <w:rPr>
          <w:lang w:val="it-IT"/>
        </w:rPr>
        <w:t>ritiene</w:t>
      </w:r>
      <w:proofErr w:type="gramEnd"/>
      <w:r w:rsidRPr="00266093">
        <w:rPr>
          <w:lang w:val="it-IT"/>
        </w:rPr>
        <w:t xml:space="preserve"> che la distribuzione ineguale del reddito e della ricchezza nell'Unione europea costituisca oggi una sfida economica e sociale che dovrebbe essere affrontata con provvedimenti adeguati, tanto a livello nazionale quanto con il sostegno di un'azione in ambito UE;</w:t>
      </w:r>
    </w:p>
    <w:p w:rsidR="000747E4" w:rsidRPr="00266093" w:rsidRDefault="000747E4" w:rsidP="000747E4">
      <w:pPr>
        <w:pStyle w:val="ListParagraph"/>
        <w:rPr>
          <w:lang w:val="it-IT"/>
        </w:rPr>
      </w:pPr>
    </w:p>
    <w:p w:rsidR="000747E4" w:rsidRPr="00266093" w:rsidRDefault="000747E4" w:rsidP="00F13CFD">
      <w:pPr>
        <w:pStyle w:val="ListParagraph"/>
        <w:numPr>
          <w:ilvl w:val="0"/>
          <w:numId w:val="27"/>
        </w:numPr>
        <w:rPr>
          <w:lang w:val="it-IT"/>
        </w:rPr>
      </w:pPr>
      <w:proofErr w:type="gramStart"/>
      <w:r w:rsidRPr="00266093">
        <w:rPr>
          <w:lang w:val="it-IT"/>
        </w:rPr>
        <w:t>ritiene</w:t>
      </w:r>
      <w:proofErr w:type="gramEnd"/>
      <w:r w:rsidRPr="00266093">
        <w:rPr>
          <w:lang w:val="it-IT"/>
        </w:rPr>
        <w:t xml:space="preserve"> indispensabile un sistema ben funzionante di trasferimenti sociali e assistenza sociale. La ridistribuzione fiscale dovrebbe colmare le lacune del sistema basato sul mercato. I beni pubblici dovrebbero essere sviluppati </w:t>
      </w:r>
      <w:proofErr w:type="gramStart"/>
      <w:r w:rsidRPr="00266093">
        <w:rPr>
          <w:lang w:val="it-IT"/>
        </w:rPr>
        <w:t>in quanto</w:t>
      </w:r>
      <w:proofErr w:type="gramEnd"/>
      <w:r w:rsidRPr="00266093">
        <w:rPr>
          <w:lang w:val="it-IT"/>
        </w:rPr>
        <w:t xml:space="preserve"> strumento per lottare contro le disuguaglianze. L'imposizione e, quindi, </w:t>
      </w:r>
      <w:proofErr w:type="gramStart"/>
      <w:r w:rsidRPr="00266093">
        <w:rPr>
          <w:lang w:val="it-IT"/>
        </w:rPr>
        <w:t>il gettito fiscali</w:t>
      </w:r>
      <w:proofErr w:type="gramEnd"/>
      <w:r w:rsidRPr="00266093">
        <w:rPr>
          <w:lang w:val="it-IT"/>
        </w:rPr>
        <w:t xml:space="preserve"> dovrebbero essere riorientati dal lavoro verso la ricchezza;</w:t>
      </w:r>
    </w:p>
    <w:p w:rsidR="000747E4" w:rsidRPr="00266093" w:rsidRDefault="000747E4" w:rsidP="000747E4">
      <w:pPr>
        <w:pStyle w:val="ListParagraph"/>
        <w:rPr>
          <w:sz w:val="12"/>
          <w:szCs w:val="12"/>
          <w:lang w:val="it-IT"/>
        </w:rPr>
      </w:pPr>
    </w:p>
    <w:p w:rsidR="000747E4" w:rsidRPr="00266093" w:rsidRDefault="000747E4" w:rsidP="00F13CFD">
      <w:pPr>
        <w:pStyle w:val="ListParagraph"/>
        <w:numPr>
          <w:ilvl w:val="0"/>
          <w:numId w:val="27"/>
        </w:numPr>
        <w:rPr>
          <w:lang w:val="it-IT"/>
        </w:rPr>
      </w:pPr>
      <w:proofErr w:type="gramStart"/>
      <w:r w:rsidRPr="00266093">
        <w:rPr>
          <w:lang w:val="it-IT"/>
        </w:rPr>
        <w:t>è</w:t>
      </w:r>
      <w:proofErr w:type="gramEnd"/>
      <w:r w:rsidRPr="00266093">
        <w:rPr>
          <w:lang w:val="it-IT"/>
        </w:rPr>
        <w:t xml:space="preserve"> convinto che una crescita economica intensiva sia di fondamentale importanza per ridurre la povertà e le disparità di ricchezza. Tale crescita dovrebbe essere </w:t>
      </w:r>
      <w:proofErr w:type="gramStart"/>
      <w:r w:rsidRPr="00266093">
        <w:rPr>
          <w:lang w:val="it-IT"/>
        </w:rPr>
        <w:t>incentivata</w:t>
      </w:r>
      <w:proofErr w:type="gramEnd"/>
      <w:r w:rsidRPr="00266093">
        <w:rPr>
          <w:lang w:val="it-IT"/>
        </w:rPr>
        <w:t xml:space="preserve"> utilizzando in modo più efficace i fondi strutturali e di coesione, promuovendo l'imprenditorialità, tutelando la concorrenza, introducendo programmi di sostegno delle PMI e attuando politiche di lotta alla discriminazione delle donne e delle persone in condizioni svantaggiate;</w:t>
      </w:r>
    </w:p>
    <w:p w:rsidR="000747E4" w:rsidRPr="00266093" w:rsidRDefault="000747E4" w:rsidP="000747E4">
      <w:pPr>
        <w:pStyle w:val="ListParagraph"/>
        <w:rPr>
          <w:sz w:val="12"/>
          <w:szCs w:val="12"/>
          <w:lang w:val="it-IT"/>
        </w:rPr>
      </w:pPr>
    </w:p>
    <w:p w:rsidR="000747E4" w:rsidRPr="00266093" w:rsidRDefault="000747E4" w:rsidP="00F13CFD">
      <w:pPr>
        <w:pStyle w:val="ListParagraph"/>
        <w:numPr>
          <w:ilvl w:val="0"/>
          <w:numId w:val="27"/>
        </w:numPr>
        <w:rPr>
          <w:lang w:val="it-IT"/>
        </w:rPr>
      </w:pPr>
      <w:proofErr w:type="gramStart"/>
      <w:r w:rsidRPr="00266093">
        <w:rPr>
          <w:lang w:val="it-IT"/>
        </w:rPr>
        <w:t>raccomanda</w:t>
      </w:r>
      <w:proofErr w:type="gramEnd"/>
      <w:r w:rsidRPr="00266093">
        <w:rPr>
          <w:lang w:val="it-IT"/>
        </w:rPr>
        <w:t xml:space="preserve"> lo sviluppo di politiche a livello europeo per promuovere una crescita più inclusiva e con un approccio integrato. Il pilastro europeo dei diritti sociali e il semestre europeo dovrebbero avere collegamenti molto più stretti tra loro e</w:t>
      </w:r>
      <w:r w:rsidR="00BD20B9" w:rsidRPr="00266093">
        <w:rPr>
          <w:lang w:val="it-IT"/>
        </w:rPr>
        <w:t xml:space="preserve"> </w:t>
      </w:r>
      <w:r w:rsidRPr="00266093">
        <w:rPr>
          <w:lang w:val="it-IT"/>
        </w:rPr>
        <w:t>con la strategia Europa 2020;</w:t>
      </w:r>
    </w:p>
    <w:p w:rsidR="000747E4" w:rsidRPr="00266093" w:rsidRDefault="000747E4" w:rsidP="000747E4">
      <w:pPr>
        <w:pStyle w:val="ListParagraph"/>
        <w:rPr>
          <w:sz w:val="12"/>
          <w:szCs w:val="12"/>
          <w:lang w:val="it-IT"/>
        </w:rPr>
      </w:pPr>
    </w:p>
    <w:p w:rsidR="000747E4" w:rsidRPr="00266093" w:rsidRDefault="000747E4" w:rsidP="00F13CFD">
      <w:pPr>
        <w:pStyle w:val="ListParagraph"/>
        <w:numPr>
          <w:ilvl w:val="0"/>
          <w:numId w:val="27"/>
        </w:numPr>
        <w:rPr>
          <w:lang w:val="it-IT"/>
        </w:rPr>
      </w:pPr>
      <w:proofErr w:type="gramStart"/>
      <w:r w:rsidRPr="00266093">
        <w:rPr>
          <w:lang w:val="it-IT"/>
        </w:rPr>
        <w:t>sottolinea</w:t>
      </w:r>
      <w:proofErr w:type="gramEnd"/>
      <w:r w:rsidRPr="00266093">
        <w:rPr>
          <w:lang w:val="it-IT"/>
        </w:rPr>
        <w:t xml:space="preserve"> la necessità di misure mirate per il mercato del lavoro concentrate sulla promozione dell'occupazione e sulla protezione della forza lavoro. È molto importante </w:t>
      </w:r>
      <w:proofErr w:type="gramStart"/>
      <w:r w:rsidRPr="00266093">
        <w:rPr>
          <w:lang w:val="it-IT"/>
        </w:rPr>
        <w:t>disporre di</w:t>
      </w:r>
      <w:proofErr w:type="gramEnd"/>
      <w:r w:rsidRPr="00266093">
        <w:rPr>
          <w:lang w:val="it-IT"/>
        </w:rPr>
        <w:t xml:space="preserve"> norme sociali minime che garantiscano retribuzioni e condizioni di lavoro dignitose. L'accento dovrebbe essere posto sull'agevolazione delle transizioni nel corso della vita lavorativa e sulla garanzia</w:t>
      </w:r>
      <w:r w:rsidR="00BD20B9" w:rsidRPr="00266093">
        <w:rPr>
          <w:lang w:val="it-IT"/>
        </w:rPr>
        <w:t xml:space="preserve"> </w:t>
      </w:r>
      <w:r w:rsidRPr="00266093">
        <w:rPr>
          <w:lang w:val="it-IT"/>
        </w:rPr>
        <w:t>di diritti del lavoro e sociali comuni;</w:t>
      </w:r>
    </w:p>
    <w:p w:rsidR="000747E4" w:rsidRPr="00266093" w:rsidRDefault="000747E4" w:rsidP="000747E4">
      <w:pPr>
        <w:pStyle w:val="ListParagraph"/>
        <w:rPr>
          <w:sz w:val="12"/>
          <w:szCs w:val="12"/>
          <w:lang w:val="it-IT"/>
        </w:rPr>
      </w:pPr>
    </w:p>
    <w:p w:rsidR="000747E4" w:rsidRPr="00266093" w:rsidRDefault="000747E4" w:rsidP="00F13CFD">
      <w:pPr>
        <w:pStyle w:val="ListParagraph"/>
        <w:numPr>
          <w:ilvl w:val="0"/>
          <w:numId w:val="28"/>
        </w:numPr>
        <w:rPr>
          <w:lang w:val="it-IT"/>
        </w:rPr>
      </w:pPr>
      <w:proofErr w:type="gramStart"/>
      <w:r w:rsidRPr="00266093">
        <w:rPr>
          <w:lang w:val="it-IT"/>
        </w:rPr>
        <w:t>raccomanda</w:t>
      </w:r>
      <w:proofErr w:type="gramEnd"/>
      <w:r w:rsidRPr="00266093">
        <w:rPr>
          <w:lang w:val="it-IT"/>
        </w:rPr>
        <w:t xml:space="preserve"> di mettere in atto un meccanismo trasparente per monitorare e consolidare sistematicamente i dati relativi a tutte le entrate e al patrimonio. In </w:t>
      </w:r>
      <w:proofErr w:type="gramStart"/>
      <w:r w:rsidRPr="00266093">
        <w:rPr>
          <w:lang w:val="it-IT"/>
        </w:rPr>
        <w:t>questo</w:t>
      </w:r>
      <w:proofErr w:type="gramEnd"/>
      <w:r w:rsidRPr="00266093">
        <w:rPr>
          <w:lang w:val="it-IT"/>
        </w:rPr>
        <w:t xml:space="preserve"> ambito un passo importante consisterà nell'istituire un registro delle società azioniste su scala europea.</w:t>
      </w:r>
    </w:p>
    <w:p w:rsidR="000747E4" w:rsidRPr="00266093" w:rsidRDefault="000747E4" w:rsidP="000747E4">
      <w:pPr>
        <w:tabs>
          <w:tab w:val="left" w:pos="1418"/>
        </w:tabs>
        <w:rPr>
          <w:lang w:val="it-IT"/>
        </w:rPr>
      </w:pPr>
    </w:p>
    <w:p w:rsidR="000747E4" w:rsidRPr="00266093" w:rsidRDefault="000747E4" w:rsidP="000747E4">
      <w:pPr>
        <w:tabs>
          <w:tab w:val="left" w:pos="770"/>
          <w:tab w:val="left" w:pos="1418"/>
        </w:tabs>
        <w:ind w:left="1430" w:hanging="1430"/>
        <w:rPr>
          <w:i/>
          <w:iCs/>
          <w:lang w:val="it-IT"/>
        </w:rPr>
      </w:pPr>
      <w:r w:rsidRPr="00266093">
        <w:rPr>
          <w:b/>
          <w:i/>
          <w:lang w:val="it-IT"/>
        </w:rPr>
        <w:t xml:space="preserve">Persona da </w:t>
      </w:r>
      <w:proofErr w:type="gramStart"/>
      <w:r w:rsidRPr="00266093">
        <w:rPr>
          <w:b/>
          <w:i/>
          <w:lang w:val="it-IT"/>
        </w:rPr>
        <w:t>contattare</w:t>
      </w:r>
      <w:proofErr w:type="gramEnd"/>
      <w:r w:rsidRPr="00266093">
        <w:rPr>
          <w:lang w:val="it-IT"/>
        </w:rPr>
        <w:t>:</w:t>
      </w:r>
      <w:r w:rsidR="00BD20B9" w:rsidRPr="00266093">
        <w:rPr>
          <w:lang w:val="it-IT"/>
        </w:rPr>
        <w:t xml:space="preserve"> </w:t>
      </w:r>
      <w:r w:rsidRPr="00266093">
        <w:rPr>
          <w:i/>
          <w:lang w:val="it-IT"/>
        </w:rPr>
        <w:t>Alexander</w:t>
      </w:r>
      <w:r w:rsidRPr="00266093">
        <w:rPr>
          <w:lang w:val="it-IT"/>
        </w:rPr>
        <w:t xml:space="preserve"> </w:t>
      </w:r>
      <w:r w:rsidRPr="00266093">
        <w:rPr>
          <w:i/>
          <w:lang w:val="it-IT"/>
        </w:rPr>
        <w:t>ALEXANDROV</w:t>
      </w:r>
    </w:p>
    <w:p w:rsidR="00E631B5" w:rsidRPr="00266093" w:rsidRDefault="000747E4" w:rsidP="00FE0D9A">
      <w:pPr>
        <w:tabs>
          <w:tab w:val="left" w:pos="2127"/>
        </w:tabs>
        <w:jc w:val="left"/>
        <w:rPr>
          <w:caps/>
          <w:lang w:val="it-IT"/>
        </w:rPr>
      </w:pPr>
      <w:r w:rsidRPr="00266093">
        <w:rPr>
          <w:lang w:val="it-IT"/>
        </w:rPr>
        <w:tab/>
      </w:r>
      <w:r w:rsidRPr="00266093">
        <w:rPr>
          <w:i/>
          <w:lang w:val="it-IT"/>
        </w:rPr>
        <w:t>(</w:t>
      </w:r>
      <w:r w:rsidR="00266093" w:rsidRPr="00266093">
        <w:rPr>
          <w:i/>
          <w:lang w:val="it-IT"/>
        </w:rPr>
        <w:t>Tel.:</w:t>
      </w:r>
      <w:r w:rsidRPr="00266093">
        <w:rPr>
          <w:i/>
          <w:lang w:val="it-IT"/>
        </w:rPr>
        <w:t xml:space="preserve"> 00 32 2 546 98 05 – </w:t>
      </w:r>
      <w:r w:rsidR="00387F53" w:rsidRPr="00266093">
        <w:rPr>
          <w:i/>
          <w:lang w:val="it-IT"/>
        </w:rPr>
        <w:t>e-mail</w:t>
      </w:r>
      <w:r w:rsidRPr="00266093">
        <w:rPr>
          <w:i/>
          <w:lang w:val="it-IT"/>
        </w:rPr>
        <w:t xml:space="preserve">: </w:t>
      </w:r>
      <w:hyperlink r:id="rId23">
        <w:r w:rsidRPr="00266093">
          <w:rPr>
            <w:rStyle w:val="Hyperlink"/>
            <w:i/>
            <w:lang w:val="it-IT"/>
          </w:rPr>
          <w:t>alexander.alexandrov@eesc.europa.eu</w:t>
        </w:r>
      </w:hyperlink>
      <w:r w:rsidRPr="00266093">
        <w:rPr>
          <w:i/>
          <w:lang w:val="it-IT"/>
        </w:rPr>
        <w:t>)</w:t>
      </w:r>
    </w:p>
    <w:p w:rsidR="00C45A67" w:rsidRPr="00266093" w:rsidRDefault="00760E25" w:rsidP="00E97DE3">
      <w:pPr>
        <w:pStyle w:val="Heading1"/>
        <w:rPr>
          <w:b/>
          <w:caps/>
          <w:lang w:val="it-IT"/>
        </w:rPr>
      </w:pPr>
      <w:r w:rsidRPr="00266093">
        <w:rPr>
          <w:lang w:val="it-IT"/>
        </w:rPr>
        <w:tab/>
      </w:r>
      <w:bookmarkStart w:id="5" w:name="_Toc499892043"/>
      <w:bookmarkStart w:id="6" w:name="_Toc501014828"/>
      <w:r w:rsidRPr="00266093">
        <w:rPr>
          <w:b/>
          <w:caps/>
          <w:lang w:val="it-IT"/>
        </w:rPr>
        <w:t>Affari istituzionali</w:t>
      </w:r>
      <w:bookmarkEnd w:id="5"/>
      <w:bookmarkEnd w:id="6"/>
    </w:p>
    <w:p w:rsidR="002532B5" w:rsidRPr="00266093" w:rsidRDefault="002532B5">
      <w:pPr>
        <w:jc w:val="left"/>
        <w:rPr>
          <w:caps/>
          <w:lang w:val="it-IT"/>
        </w:rPr>
      </w:pPr>
    </w:p>
    <w:p w:rsidR="006C15CE" w:rsidRPr="00266093" w:rsidRDefault="006C15CE" w:rsidP="006C15CE">
      <w:pPr>
        <w:pStyle w:val="ListParagraph"/>
        <w:widowControl w:val="0"/>
        <w:numPr>
          <w:ilvl w:val="0"/>
          <w:numId w:val="40"/>
        </w:numPr>
        <w:rPr>
          <w:rFonts w:eastAsia="Calibri"/>
          <w:b/>
          <w:i/>
          <w:sz w:val="28"/>
          <w:lang w:val="it-IT"/>
        </w:rPr>
      </w:pPr>
      <w:proofErr w:type="gramStart"/>
      <w:r w:rsidRPr="00266093">
        <w:rPr>
          <w:b/>
          <w:i/>
          <w:sz w:val="28"/>
          <w:lang w:val="it-IT"/>
        </w:rPr>
        <w:t>Statuto e finanziamento dei partiti politici europei e delle fondazioni politiche europee</w:t>
      </w:r>
      <w:proofErr w:type="gramEnd"/>
    </w:p>
    <w:p w:rsidR="006C15CE" w:rsidRPr="00266093" w:rsidRDefault="006C15CE" w:rsidP="006C15CE">
      <w:pPr>
        <w:tabs>
          <w:tab w:val="center" w:pos="284"/>
        </w:tabs>
        <w:ind w:left="266" w:hanging="266"/>
        <w:rPr>
          <w:rFonts w:eastAsia="Calibri"/>
          <w:b/>
          <w:lang w:val="it-IT"/>
        </w:rPr>
      </w:pPr>
    </w:p>
    <w:p w:rsidR="006C15CE" w:rsidRPr="00266093" w:rsidRDefault="00266093" w:rsidP="006C15CE">
      <w:pPr>
        <w:tabs>
          <w:tab w:val="left" w:pos="1985"/>
        </w:tabs>
        <w:rPr>
          <w:rFonts w:eastAsia="Calibri"/>
          <w:lang w:val="it-IT"/>
        </w:rPr>
      </w:pPr>
      <w:r w:rsidRPr="00266093">
        <w:rPr>
          <w:b/>
          <w:lang w:val="it-IT"/>
        </w:rPr>
        <w:t>Relatore</w:t>
      </w:r>
      <w:r w:rsidR="006C15CE" w:rsidRPr="00266093">
        <w:rPr>
          <w:b/>
          <w:lang w:val="it-IT"/>
        </w:rPr>
        <w:t>:</w:t>
      </w:r>
      <w:r w:rsidR="006C15CE" w:rsidRPr="00266093">
        <w:rPr>
          <w:lang w:val="it-IT"/>
        </w:rPr>
        <w:tab/>
        <w:t>Graham WATSON (Attività diverse - UK)</w:t>
      </w:r>
    </w:p>
    <w:p w:rsidR="006C15CE" w:rsidRPr="00266093" w:rsidRDefault="006C15CE" w:rsidP="006C15CE">
      <w:pPr>
        <w:tabs>
          <w:tab w:val="left" w:pos="1985"/>
        </w:tabs>
        <w:rPr>
          <w:lang w:val="it-IT"/>
        </w:rPr>
      </w:pPr>
      <w:r w:rsidRPr="00266093">
        <w:rPr>
          <w:b/>
          <w:lang w:val="it-IT"/>
        </w:rPr>
        <w:t>Correlatori:</w:t>
      </w:r>
      <w:r w:rsidRPr="00266093">
        <w:rPr>
          <w:lang w:val="it-IT"/>
        </w:rPr>
        <w:t xml:space="preserve"> </w:t>
      </w:r>
      <w:r w:rsidRPr="00266093">
        <w:rPr>
          <w:lang w:val="it-IT"/>
        </w:rPr>
        <w:tab/>
        <w:t>Anne DEMELENNE (Lavoratori - BE)</w:t>
      </w:r>
    </w:p>
    <w:p w:rsidR="006C15CE" w:rsidRPr="00266093" w:rsidRDefault="006C15CE" w:rsidP="006C15CE">
      <w:pPr>
        <w:tabs>
          <w:tab w:val="left" w:pos="1985"/>
        </w:tabs>
        <w:rPr>
          <w:rFonts w:eastAsia="Calibri"/>
          <w:lang w:val="it-IT"/>
        </w:rPr>
      </w:pPr>
      <w:r w:rsidRPr="00266093">
        <w:rPr>
          <w:lang w:val="it-IT"/>
        </w:rPr>
        <w:tab/>
        <w:t>Stéphane BUFFETAUT (Datori di lavoro – FR)</w:t>
      </w:r>
    </w:p>
    <w:p w:rsidR="006C15CE" w:rsidRPr="00266093" w:rsidRDefault="006C15CE" w:rsidP="006C15CE">
      <w:pPr>
        <w:rPr>
          <w:rFonts w:eastAsia="Calibri"/>
          <w:b/>
          <w:lang w:val="it-IT"/>
        </w:rPr>
      </w:pPr>
    </w:p>
    <w:p w:rsidR="006C15CE" w:rsidRPr="00266093" w:rsidRDefault="006C15CE" w:rsidP="006C15CE">
      <w:pPr>
        <w:tabs>
          <w:tab w:val="left" w:pos="1985"/>
        </w:tabs>
        <w:rPr>
          <w:rFonts w:eastAsia="Calibri"/>
          <w:lang w:val="it-IT"/>
        </w:rPr>
      </w:pPr>
      <w:r w:rsidRPr="00266093">
        <w:rPr>
          <w:b/>
          <w:lang w:val="it-IT"/>
        </w:rPr>
        <w:t>Riferimenti:</w:t>
      </w:r>
      <w:r w:rsidRPr="00266093">
        <w:rPr>
          <w:lang w:val="it-IT"/>
        </w:rPr>
        <w:tab/>
        <w:t>COM</w:t>
      </w:r>
      <w:proofErr w:type="gramStart"/>
      <w:r w:rsidRPr="00266093">
        <w:rPr>
          <w:lang w:val="it-IT"/>
        </w:rPr>
        <w:t>(</w:t>
      </w:r>
      <w:proofErr w:type="gramEnd"/>
      <w:r w:rsidRPr="00266093">
        <w:rPr>
          <w:lang w:val="it-IT"/>
        </w:rPr>
        <w:t>2017) 481 final – 2017/0219 (COD)</w:t>
      </w:r>
    </w:p>
    <w:p w:rsidR="006C15CE" w:rsidRPr="00266093" w:rsidRDefault="00AC57B6" w:rsidP="006C15CE">
      <w:pPr>
        <w:tabs>
          <w:tab w:val="left" w:pos="1985"/>
        </w:tabs>
        <w:rPr>
          <w:rFonts w:eastAsia="Calibri"/>
          <w:lang w:val="it-IT"/>
        </w:rPr>
      </w:pPr>
      <w:r w:rsidRPr="00266093">
        <w:rPr>
          <w:lang w:val="it-IT"/>
        </w:rPr>
        <w:tab/>
      </w:r>
      <w:proofErr w:type="gramStart"/>
      <w:r w:rsidRPr="00266093">
        <w:rPr>
          <w:lang w:val="it-IT"/>
        </w:rPr>
        <w:t>EESC-2017-05706-00-00-</w:t>
      </w:r>
      <w:r w:rsidR="006C15CE" w:rsidRPr="00266093">
        <w:rPr>
          <w:lang w:val="it-IT"/>
        </w:rPr>
        <w:t>AC-TRA</w:t>
      </w:r>
      <w:proofErr w:type="gramEnd"/>
    </w:p>
    <w:p w:rsidR="006C15CE" w:rsidRPr="00266093" w:rsidRDefault="006C15CE" w:rsidP="006C15CE">
      <w:pPr>
        <w:tabs>
          <w:tab w:val="center" w:pos="284"/>
        </w:tabs>
        <w:ind w:left="266" w:hanging="266"/>
        <w:rPr>
          <w:rFonts w:eastAsia="Calibri"/>
          <w:lang w:val="it-IT"/>
        </w:rPr>
      </w:pPr>
    </w:p>
    <w:p w:rsidR="006C15CE" w:rsidRPr="00266093" w:rsidRDefault="006C15CE" w:rsidP="006C15CE">
      <w:pPr>
        <w:tabs>
          <w:tab w:val="center" w:pos="284"/>
        </w:tabs>
        <w:ind w:left="266" w:hanging="266"/>
        <w:rPr>
          <w:rFonts w:eastAsia="Calibri"/>
          <w:b/>
          <w:lang w:val="it-IT"/>
        </w:rPr>
      </w:pPr>
      <w:r w:rsidRPr="00266093">
        <w:rPr>
          <w:b/>
          <w:lang w:val="it-IT"/>
        </w:rPr>
        <w:t>Punti salienti del parere:</w:t>
      </w:r>
    </w:p>
    <w:p w:rsidR="006C15CE" w:rsidRPr="00266093" w:rsidRDefault="006C15CE" w:rsidP="006C15CE">
      <w:pPr>
        <w:tabs>
          <w:tab w:val="center" w:pos="284"/>
        </w:tabs>
        <w:ind w:left="266" w:hanging="266"/>
        <w:rPr>
          <w:rFonts w:eastAsia="Calibri"/>
          <w:lang w:val="it-IT"/>
        </w:rPr>
      </w:pPr>
    </w:p>
    <w:p w:rsidR="006C15CE" w:rsidRPr="00266093" w:rsidRDefault="006C15CE" w:rsidP="006C15CE">
      <w:pPr>
        <w:tabs>
          <w:tab w:val="center" w:pos="284"/>
        </w:tabs>
        <w:ind w:left="266" w:hanging="266"/>
        <w:rPr>
          <w:rFonts w:eastAsia="Calibri"/>
          <w:lang w:val="it-IT"/>
        </w:rPr>
      </w:pPr>
      <w:r w:rsidRPr="00266093">
        <w:rPr>
          <w:lang w:val="it-IT"/>
        </w:rPr>
        <w:t>Il CESE:</w:t>
      </w:r>
    </w:p>
    <w:p w:rsidR="006C15CE" w:rsidRPr="00266093" w:rsidRDefault="006C15CE" w:rsidP="006C15CE">
      <w:pPr>
        <w:tabs>
          <w:tab w:val="center" w:pos="284"/>
        </w:tabs>
        <w:ind w:left="266" w:hanging="266"/>
        <w:rPr>
          <w:rFonts w:eastAsia="Calibri"/>
          <w:lang w:val="it-IT"/>
        </w:rPr>
      </w:pPr>
    </w:p>
    <w:p w:rsidR="006C15CE" w:rsidRPr="00266093" w:rsidRDefault="006C15CE">
      <w:pPr>
        <w:pStyle w:val="ListParagraph"/>
        <w:numPr>
          <w:ilvl w:val="0"/>
          <w:numId w:val="39"/>
        </w:numPr>
        <w:tabs>
          <w:tab w:val="center" w:pos="284"/>
        </w:tabs>
        <w:autoSpaceDE w:val="0"/>
        <w:autoSpaceDN w:val="0"/>
        <w:rPr>
          <w:rFonts w:eastAsia="Calibri"/>
          <w:szCs w:val="20"/>
          <w:lang w:val="it-IT"/>
        </w:rPr>
      </w:pPr>
      <w:proofErr w:type="gramStart"/>
      <w:r w:rsidRPr="00266093">
        <w:rPr>
          <w:lang w:val="it-IT"/>
        </w:rPr>
        <w:t>riconosce</w:t>
      </w:r>
      <w:proofErr w:type="gramEnd"/>
      <w:r w:rsidRPr="00266093">
        <w:rPr>
          <w:lang w:val="it-IT"/>
        </w:rPr>
        <w:t xml:space="preserve"> che il regolamento n. 1141/2014 relativo allo statuto e al finanziamento dei partiti politici europei e delle fondazioni politiche europee ha contribuito ad accrescere la visibilità, il riconoscimento, l'efficacia e la trasparenza dei partiti politici europei e delle fondazioni politiche ad essi affiliate, nonché l'obbligo per gli stessi di renderne conto, ma conviene con la Commissione sul fatto che le norme esistenti presentino delle lacune da colmare;</w:t>
      </w:r>
    </w:p>
    <w:p w:rsidR="006C15CE" w:rsidRPr="00266093" w:rsidRDefault="006C15CE">
      <w:pPr>
        <w:tabs>
          <w:tab w:val="center" w:pos="284"/>
        </w:tabs>
        <w:rPr>
          <w:rFonts w:eastAsia="Calibri"/>
          <w:lang w:val="it-IT"/>
        </w:rPr>
      </w:pPr>
    </w:p>
    <w:p w:rsidR="00EF04E2" w:rsidRPr="00266093" w:rsidRDefault="006C15CE" w:rsidP="00FE0D9A">
      <w:pPr>
        <w:pStyle w:val="ListParagraph"/>
        <w:numPr>
          <w:ilvl w:val="0"/>
          <w:numId w:val="39"/>
        </w:numPr>
        <w:tabs>
          <w:tab w:val="center" w:pos="284"/>
        </w:tabs>
        <w:autoSpaceDE w:val="0"/>
        <w:autoSpaceDN w:val="0"/>
        <w:rPr>
          <w:caps/>
          <w:lang w:val="it-IT"/>
        </w:rPr>
      </w:pPr>
      <w:proofErr w:type="gramStart"/>
      <w:r w:rsidRPr="00266093">
        <w:rPr>
          <w:lang w:val="it-IT"/>
        </w:rPr>
        <w:t>sostiene</w:t>
      </w:r>
      <w:proofErr w:type="gramEnd"/>
      <w:r w:rsidRPr="00266093">
        <w:rPr>
          <w:lang w:val="it-IT"/>
        </w:rPr>
        <w:t xml:space="preserve"> le proposte della Commissione volte a modificare il regolamento, ma desidera tuttavia che (i) il periodo durante il quale il programma di un partito politico europeo deve poter essere consultabile sui siti web dei partiti nazionali membri sia ridotto da 12 a 3 mesi e che (ii) le informazioni da fornire, per ciascuno dei partiti membri, relative alla diversità dei candidati riguardino non solo la rappresentanza uomini/donne, ma anche la diversità etnica e linguistica;</w:t>
      </w:r>
    </w:p>
    <w:p w:rsidR="00EF04E2" w:rsidRPr="00266093" w:rsidRDefault="00EF04E2" w:rsidP="00FE0D9A">
      <w:pPr>
        <w:tabs>
          <w:tab w:val="center" w:pos="284"/>
        </w:tabs>
        <w:ind w:left="360"/>
        <w:rPr>
          <w:caps/>
          <w:lang w:val="it-IT"/>
        </w:rPr>
      </w:pPr>
    </w:p>
    <w:p w:rsidR="00983AF9" w:rsidRPr="00266093" w:rsidRDefault="006C15CE" w:rsidP="00FE0D9A">
      <w:pPr>
        <w:pStyle w:val="ListParagraph"/>
        <w:numPr>
          <w:ilvl w:val="0"/>
          <w:numId w:val="39"/>
        </w:numPr>
        <w:tabs>
          <w:tab w:val="center" w:pos="284"/>
        </w:tabs>
        <w:autoSpaceDE w:val="0"/>
        <w:autoSpaceDN w:val="0"/>
        <w:rPr>
          <w:caps/>
          <w:lang w:val="it-IT"/>
        </w:rPr>
      </w:pPr>
      <w:proofErr w:type="gramStart"/>
      <w:r w:rsidRPr="00266093">
        <w:rPr>
          <w:lang w:val="it-IT"/>
        </w:rPr>
        <w:t>si</w:t>
      </w:r>
      <w:proofErr w:type="gramEnd"/>
      <w:r w:rsidRPr="00266093">
        <w:rPr>
          <w:lang w:val="it-IT"/>
        </w:rPr>
        <w:t xml:space="preserve"> rammarica nuovamente dell'aggravarsi delle disparità di trattamento tra, da un lato, i partiti politici e le fondazioni politiche europei e, dall'altro, le associazioni e le fondazioni europee che perseguono obiettivi più generali, e ribadisce il suo invito alla Commissione a presentare quanto prima un regolamento europeo equivalente relativo allo statuto e al finanziamento delle associazioni europee non affiliate a un partito politico.</w:t>
      </w:r>
    </w:p>
    <w:p w:rsidR="006C15CE" w:rsidRPr="00266093" w:rsidRDefault="006C15CE">
      <w:pPr>
        <w:jc w:val="left"/>
        <w:rPr>
          <w:lang w:val="it-IT"/>
        </w:rPr>
      </w:pPr>
    </w:p>
    <w:p w:rsidR="006C15CE" w:rsidRPr="00266093" w:rsidRDefault="006C15CE" w:rsidP="006C15CE">
      <w:pPr>
        <w:tabs>
          <w:tab w:val="left" w:pos="1418"/>
        </w:tabs>
        <w:jc w:val="left"/>
        <w:rPr>
          <w:i/>
          <w:caps/>
          <w:lang w:val="it-IT"/>
        </w:rPr>
      </w:pPr>
      <w:r w:rsidRPr="00266093">
        <w:rPr>
          <w:b/>
          <w:i/>
          <w:lang w:val="it-IT"/>
        </w:rPr>
        <w:t xml:space="preserve">Persona da </w:t>
      </w:r>
      <w:proofErr w:type="gramStart"/>
      <w:r w:rsidRPr="00266093">
        <w:rPr>
          <w:b/>
          <w:i/>
          <w:lang w:val="it-IT"/>
        </w:rPr>
        <w:t>contattare</w:t>
      </w:r>
      <w:proofErr w:type="gramEnd"/>
      <w:r w:rsidRPr="00266093">
        <w:rPr>
          <w:lang w:val="it-IT"/>
        </w:rPr>
        <w:t>:</w:t>
      </w:r>
      <w:r w:rsidR="00FE0D9A" w:rsidRPr="00266093">
        <w:rPr>
          <w:lang w:val="it-IT"/>
        </w:rPr>
        <w:tab/>
      </w:r>
      <w:r w:rsidRPr="00266093">
        <w:rPr>
          <w:i/>
          <w:lang w:val="it-IT"/>
        </w:rPr>
        <w:t>Patrick FEVE</w:t>
      </w:r>
    </w:p>
    <w:p w:rsidR="006C15CE" w:rsidRPr="00266093" w:rsidRDefault="006C15CE" w:rsidP="00FE0D9A">
      <w:pPr>
        <w:tabs>
          <w:tab w:val="left" w:pos="2127"/>
        </w:tabs>
        <w:jc w:val="left"/>
        <w:rPr>
          <w:i/>
          <w:caps/>
          <w:lang w:val="it-IT"/>
        </w:rPr>
      </w:pPr>
      <w:r w:rsidRPr="00266093">
        <w:rPr>
          <w:lang w:val="it-IT"/>
        </w:rPr>
        <w:tab/>
      </w:r>
      <w:r w:rsidRPr="00266093">
        <w:rPr>
          <w:i/>
          <w:lang w:val="it-IT"/>
        </w:rPr>
        <w:t xml:space="preserve">(Tel.00 32 2 546 9616 - e-mail: </w:t>
      </w:r>
      <w:hyperlink r:id="rId24">
        <w:r w:rsidRPr="00266093">
          <w:rPr>
            <w:rStyle w:val="Hyperlink"/>
            <w:i/>
            <w:lang w:val="it-IT"/>
          </w:rPr>
          <w:t>patrick.feve@eesc.europa.eu</w:t>
        </w:r>
      </w:hyperlink>
      <w:r w:rsidRPr="00266093">
        <w:rPr>
          <w:i/>
          <w:lang w:val="it-IT"/>
        </w:rPr>
        <w:t>)</w:t>
      </w:r>
    </w:p>
    <w:p w:rsidR="006C15CE" w:rsidRPr="00266093" w:rsidRDefault="006C15CE">
      <w:pPr>
        <w:jc w:val="left"/>
        <w:rPr>
          <w:i/>
          <w:lang w:val="it-IT"/>
        </w:rPr>
      </w:pPr>
    </w:p>
    <w:p w:rsidR="00E631B5" w:rsidRPr="00266093" w:rsidRDefault="00E631B5">
      <w:pPr>
        <w:overflowPunct/>
        <w:autoSpaceDE/>
        <w:autoSpaceDN/>
        <w:adjustRightInd/>
        <w:spacing w:line="240" w:lineRule="auto"/>
        <w:jc w:val="left"/>
        <w:textAlignment w:val="auto"/>
        <w:rPr>
          <w:caps/>
          <w:lang w:val="it-IT"/>
        </w:rPr>
      </w:pPr>
      <w:r w:rsidRPr="00266093">
        <w:rPr>
          <w:lang w:val="it-IT"/>
        </w:rPr>
        <w:br w:type="page"/>
      </w:r>
    </w:p>
    <w:p w:rsidR="00C45A67" w:rsidRPr="00266093" w:rsidRDefault="00760E25" w:rsidP="00E97DE3">
      <w:pPr>
        <w:pStyle w:val="Heading1"/>
        <w:rPr>
          <w:b/>
          <w:caps/>
          <w:lang w:val="it-IT"/>
        </w:rPr>
      </w:pPr>
      <w:r w:rsidRPr="00266093">
        <w:rPr>
          <w:lang w:val="it-IT"/>
        </w:rPr>
        <w:tab/>
      </w:r>
      <w:bookmarkStart w:id="7" w:name="_Toc499892044"/>
      <w:bookmarkStart w:id="8" w:name="_Toc501014829"/>
      <w:r w:rsidRPr="00266093">
        <w:rPr>
          <w:b/>
          <w:caps/>
          <w:lang w:val="it-IT"/>
        </w:rPr>
        <w:t>Industria / Difesa</w:t>
      </w:r>
      <w:bookmarkEnd w:id="7"/>
      <w:bookmarkEnd w:id="8"/>
    </w:p>
    <w:p w:rsidR="009E5586" w:rsidRPr="00266093" w:rsidRDefault="009E5586" w:rsidP="00DB6DF3">
      <w:pPr>
        <w:ind w:left="-567"/>
        <w:rPr>
          <w:b/>
          <w:bCs/>
          <w:lang w:val="it-IT"/>
        </w:rPr>
      </w:pPr>
    </w:p>
    <w:p w:rsidR="00DB6DF3" w:rsidRPr="00266093" w:rsidRDefault="00DB6DF3" w:rsidP="000C56D4">
      <w:pPr>
        <w:pStyle w:val="ListParagraph"/>
        <w:numPr>
          <w:ilvl w:val="0"/>
          <w:numId w:val="14"/>
        </w:numPr>
        <w:rPr>
          <w:b/>
          <w:i/>
          <w:sz w:val="28"/>
          <w:szCs w:val="28"/>
          <w:lang w:val="it-IT"/>
        </w:rPr>
      </w:pPr>
      <w:r w:rsidRPr="00266093">
        <w:rPr>
          <w:b/>
          <w:i/>
          <w:sz w:val="28"/>
          <w:lang w:val="it-IT"/>
        </w:rPr>
        <w:t xml:space="preserve">Programma europeo di sviluppo del settore industriale </w:t>
      </w:r>
      <w:proofErr w:type="gramStart"/>
      <w:r w:rsidRPr="00266093">
        <w:rPr>
          <w:b/>
          <w:i/>
          <w:sz w:val="28"/>
          <w:lang w:val="it-IT"/>
        </w:rPr>
        <w:t>della</w:t>
      </w:r>
      <w:proofErr w:type="gramEnd"/>
      <w:r w:rsidRPr="00266093">
        <w:rPr>
          <w:b/>
          <w:i/>
          <w:sz w:val="28"/>
          <w:lang w:val="it-IT"/>
        </w:rPr>
        <w:t xml:space="preserve"> difesa</w:t>
      </w:r>
    </w:p>
    <w:p w:rsidR="00DB6DF3" w:rsidRPr="00266093" w:rsidRDefault="00DB6DF3" w:rsidP="00DB6DF3">
      <w:pPr>
        <w:ind w:left="-39"/>
        <w:rPr>
          <w:b/>
          <w:i/>
          <w:sz w:val="28"/>
          <w:lang w:val="it-IT"/>
        </w:rPr>
      </w:pPr>
    </w:p>
    <w:p w:rsidR="00DB6DF3" w:rsidRPr="00266093" w:rsidRDefault="00266093" w:rsidP="00E97DE3">
      <w:pPr>
        <w:tabs>
          <w:tab w:val="left" w:pos="1701"/>
        </w:tabs>
        <w:ind w:left="-39"/>
        <w:rPr>
          <w:lang w:val="it-IT"/>
        </w:rPr>
      </w:pPr>
      <w:r w:rsidRPr="00266093">
        <w:rPr>
          <w:b/>
          <w:lang w:val="it-IT"/>
        </w:rPr>
        <w:t>Relatore</w:t>
      </w:r>
      <w:r w:rsidR="00DB6DF3" w:rsidRPr="00266093">
        <w:rPr>
          <w:b/>
          <w:lang w:val="it-IT"/>
        </w:rPr>
        <w:t>:</w:t>
      </w:r>
      <w:r w:rsidR="00DB6DF3" w:rsidRPr="00266093">
        <w:rPr>
          <w:lang w:val="it-IT"/>
        </w:rPr>
        <w:tab/>
        <w:t>Antonello PEZZINI (Datori di lavoro – IT)</w:t>
      </w:r>
    </w:p>
    <w:p w:rsidR="00DB6DF3" w:rsidRPr="00266093" w:rsidRDefault="00266093" w:rsidP="00E97DE3">
      <w:pPr>
        <w:tabs>
          <w:tab w:val="left" w:pos="1701"/>
        </w:tabs>
        <w:ind w:left="-39"/>
        <w:rPr>
          <w:lang w:val="it-IT"/>
        </w:rPr>
      </w:pPr>
      <w:r w:rsidRPr="00266093">
        <w:rPr>
          <w:b/>
          <w:lang w:val="it-IT"/>
        </w:rPr>
        <w:t>Correlatore</w:t>
      </w:r>
      <w:r w:rsidR="00DB6DF3" w:rsidRPr="00266093">
        <w:rPr>
          <w:b/>
          <w:lang w:val="it-IT"/>
        </w:rPr>
        <w:t>:</w:t>
      </w:r>
      <w:r w:rsidR="00EF04E2" w:rsidRPr="00266093">
        <w:rPr>
          <w:b/>
          <w:lang w:val="it-IT"/>
        </w:rPr>
        <w:tab/>
      </w:r>
      <w:r w:rsidR="00DB6DF3" w:rsidRPr="00266093">
        <w:rPr>
          <w:lang w:val="it-IT"/>
        </w:rPr>
        <w:t>Eric BRUNE (Cat.2 – FR)</w:t>
      </w:r>
    </w:p>
    <w:p w:rsidR="000C56D4" w:rsidRPr="00266093" w:rsidRDefault="000C56D4" w:rsidP="00E97DE3">
      <w:pPr>
        <w:tabs>
          <w:tab w:val="left" w:pos="1701"/>
        </w:tabs>
        <w:ind w:left="-39"/>
        <w:rPr>
          <w:lang w:val="it-IT"/>
        </w:rPr>
      </w:pPr>
    </w:p>
    <w:p w:rsidR="00DB6DF3" w:rsidRPr="00266093" w:rsidRDefault="00DB6DF3" w:rsidP="00E97DE3">
      <w:pPr>
        <w:tabs>
          <w:tab w:val="left" w:pos="1701"/>
        </w:tabs>
        <w:ind w:left="-39"/>
        <w:rPr>
          <w:lang w:val="it-IT"/>
        </w:rPr>
      </w:pPr>
      <w:r w:rsidRPr="00266093">
        <w:rPr>
          <w:b/>
          <w:lang w:val="it-IT"/>
        </w:rPr>
        <w:t>Riferimento:</w:t>
      </w:r>
      <w:r w:rsidRPr="00266093">
        <w:rPr>
          <w:lang w:val="it-IT"/>
        </w:rPr>
        <w:tab/>
        <w:t xml:space="preserve">CCMI/154 – </w:t>
      </w:r>
      <w:proofErr w:type="gramStart"/>
      <w:r w:rsidRPr="00266093">
        <w:rPr>
          <w:lang w:val="it-IT"/>
        </w:rPr>
        <w:t>EESC-2017-03593-00-00-A</w:t>
      </w:r>
      <w:r w:rsidR="00813951" w:rsidRPr="00266093">
        <w:rPr>
          <w:lang w:val="it-IT"/>
        </w:rPr>
        <w:t>C</w:t>
      </w:r>
      <w:r w:rsidRPr="00266093">
        <w:rPr>
          <w:lang w:val="it-IT"/>
        </w:rPr>
        <w:t>-TRA</w:t>
      </w:r>
      <w:proofErr w:type="gramEnd"/>
    </w:p>
    <w:p w:rsidR="000C56D4" w:rsidRPr="00266093" w:rsidRDefault="000C56D4" w:rsidP="00E97DE3">
      <w:pPr>
        <w:tabs>
          <w:tab w:val="left" w:pos="1701"/>
        </w:tabs>
        <w:ind w:left="-39"/>
        <w:rPr>
          <w:lang w:val="it-IT"/>
        </w:rPr>
      </w:pPr>
    </w:p>
    <w:p w:rsidR="00DB6DF3" w:rsidRPr="00266093" w:rsidRDefault="00DB6DF3" w:rsidP="00DB6DF3">
      <w:pPr>
        <w:ind w:left="-39"/>
        <w:rPr>
          <w:b/>
          <w:lang w:val="it-IT"/>
        </w:rPr>
      </w:pPr>
      <w:r w:rsidRPr="00266093">
        <w:rPr>
          <w:b/>
          <w:lang w:val="it-IT"/>
        </w:rPr>
        <w:t>Punti salienti del parere:</w:t>
      </w:r>
    </w:p>
    <w:p w:rsidR="000C56D4" w:rsidRPr="00266093" w:rsidRDefault="000C56D4" w:rsidP="00DB6DF3">
      <w:pPr>
        <w:ind w:left="-39"/>
        <w:rPr>
          <w:b/>
          <w:lang w:val="it-IT"/>
        </w:rPr>
      </w:pPr>
    </w:p>
    <w:p w:rsidR="00DB6DF3" w:rsidRPr="00266093" w:rsidRDefault="00DB6DF3" w:rsidP="00FE0D9A">
      <w:pPr>
        <w:pStyle w:val="Heading2"/>
        <w:numPr>
          <w:ilvl w:val="0"/>
          <w:numId w:val="9"/>
        </w:numPr>
        <w:overflowPunct/>
        <w:autoSpaceDE/>
        <w:autoSpaceDN/>
        <w:adjustRightInd/>
        <w:ind w:left="851" w:hanging="284"/>
        <w:textAlignment w:val="auto"/>
        <w:rPr>
          <w:lang w:val="it-IT"/>
        </w:rPr>
      </w:pPr>
      <w:r w:rsidRPr="00266093">
        <w:rPr>
          <w:lang w:val="it-IT"/>
        </w:rPr>
        <w:t xml:space="preserve">Il Comitato economico e sociale europeo sostiene con forza il lancio di un Programma europeo di sviluppo </w:t>
      </w:r>
      <w:proofErr w:type="gramStart"/>
      <w:r w:rsidRPr="00266093">
        <w:rPr>
          <w:lang w:val="it-IT"/>
        </w:rPr>
        <w:t>del</w:t>
      </w:r>
      <w:proofErr w:type="gramEnd"/>
      <w:r w:rsidRPr="00266093">
        <w:rPr>
          <w:lang w:val="it-IT"/>
        </w:rPr>
        <w:t xml:space="preserve"> settore industriale della difesa (EDIDP).</w:t>
      </w:r>
    </w:p>
    <w:p w:rsidR="00DB6DF3" w:rsidRPr="00266093" w:rsidRDefault="00DB6DF3">
      <w:pPr>
        <w:rPr>
          <w:lang w:val="it-IT"/>
        </w:rPr>
      </w:pPr>
    </w:p>
    <w:p w:rsidR="00DB6DF3" w:rsidRPr="00266093" w:rsidRDefault="00DB6DF3" w:rsidP="00FE0D9A">
      <w:pPr>
        <w:pStyle w:val="Heading2"/>
        <w:numPr>
          <w:ilvl w:val="0"/>
          <w:numId w:val="9"/>
        </w:numPr>
        <w:overflowPunct/>
        <w:autoSpaceDE/>
        <w:autoSpaceDN/>
        <w:adjustRightInd/>
        <w:ind w:left="851" w:hanging="284"/>
        <w:textAlignment w:val="auto"/>
        <w:rPr>
          <w:lang w:val="it-IT"/>
        </w:rPr>
      </w:pPr>
      <w:r w:rsidRPr="00266093">
        <w:rPr>
          <w:lang w:val="it-IT"/>
        </w:rPr>
        <w:t xml:space="preserve">Il CESE ritiene essenziale un nuovo approccio che vede </w:t>
      </w:r>
      <w:proofErr w:type="gramStart"/>
      <w:r w:rsidRPr="00266093">
        <w:rPr>
          <w:lang w:val="it-IT"/>
        </w:rPr>
        <w:t>nel quadro di</w:t>
      </w:r>
      <w:proofErr w:type="gramEnd"/>
      <w:r w:rsidRPr="00266093">
        <w:rPr>
          <w:lang w:val="it-IT"/>
        </w:rPr>
        <w:t xml:space="preserve"> una Cooperazione strutturale permanente (CPS\PESCO) il dispositivo principe del Trattato di Lisbona, in grado di agire come incubatore politico, in cui costruire un'Europa della difesa, per catalizzare disponibilità e impegni degli Stati membri, in conformità agli artt. 42, par. 6, e </w:t>
      </w:r>
      <w:proofErr w:type="gramStart"/>
      <w:r w:rsidRPr="00266093">
        <w:rPr>
          <w:lang w:val="it-IT"/>
        </w:rPr>
        <w:t>46</w:t>
      </w:r>
      <w:proofErr w:type="gramEnd"/>
      <w:r w:rsidRPr="00266093">
        <w:rPr>
          <w:lang w:val="it-IT"/>
        </w:rPr>
        <w:t xml:space="preserve"> del TUE e al protocollo 10 del Trattato.</w:t>
      </w:r>
    </w:p>
    <w:p w:rsidR="00DB6DF3" w:rsidRPr="00266093" w:rsidRDefault="00DB6DF3">
      <w:pPr>
        <w:rPr>
          <w:lang w:val="it-IT"/>
        </w:rPr>
      </w:pPr>
    </w:p>
    <w:p w:rsidR="00DB6DF3" w:rsidRPr="00266093" w:rsidRDefault="00DB6DF3" w:rsidP="00FE0D9A">
      <w:pPr>
        <w:pStyle w:val="Heading2"/>
        <w:numPr>
          <w:ilvl w:val="0"/>
          <w:numId w:val="9"/>
        </w:numPr>
        <w:overflowPunct/>
        <w:autoSpaceDE/>
        <w:autoSpaceDN/>
        <w:adjustRightInd/>
        <w:ind w:left="851" w:hanging="284"/>
        <w:textAlignment w:val="auto"/>
        <w:rPr>
          <w:lang w:val="it-IT"/>
        </w:rPr>
      </w:pPr>
      <w:r w:rsidRPr="00266093">
        <w:rPr>
          <w:lang w:val="it-IT"/>
        </w:rPr>
        <w:t xml:space="preserve">Il CESE ritiene che il regolamento EDIDP debba essere inquadrato in una visione strategica industriale comune, che sappia procedere verso </w:t>
      </w:r>
      <w:r w:rsidR="00266093" w:rsidRPr="00266093">
        <w:rPr>
          <w:lang w:val="it-IT"/>
        </w:rPr>
        <w:t>un'</w:t>
      </w:r>
      <w:r w:rsidRPr="00266093">
        <w:rPr>
          <w:lang w:val="it-IT"/>
        </w:rPr>
        <w:t>integrazione effettiva di produttori e utilizzatori europei, con almeno tre Stati membri, nei progetti finanziati e negli acquisti dei prodotti e servizi.</w:t>
      </w:r>
    </w:p>
    <w:p w:rsidR="00DB6DF3" w:rsidRPr="00266093" w:rsidRDefault="00DB6DF3">
      <w:pPr>
        <w:rPr>
          <w:lang w:val="it-IT"/>
        </w:rPr>
      </w:pPr>
    </w:p>
    <w:p w:rsidR="00DB6DF3" w:rsidRPr="00266093" w:rsidRDefault="00DB6DF3" w:rsidP="00FE0D9A">
      <w:pPr>
        <w:pStyle w:val="Heading2"/>
        <w:numPr>
          <w:ilvl w:val="0"/>
          <w:numId w:val="9"/>
        </w:numPr>
        <w:overflowPunct/>
        <w:autoSpaceDE/>
        <w:autoSpaceDN/>
        <w:adjustRightInd/>
        <w:ind w:left="851" w:hanging="284"/>
        <w:textAlignment w:val="auto"/>
        <w:rPr>
          <w:lang w:val="it-IT"/>
        </w:rPr>
      </w:pPr>
      <w:r w:rsidRPr="00266093">
        <w:rPr>
          <w:lang w:val="it-IT"/>
        </w:rPr>
        <w:t>Il CESE ritiene indispensabile assicurare una governance dell'EDIDP in grado di definire obiettivi condivisi e concreti, attraverso:</w:t>
      </w:r>
    </w:p>
    <w:p w:rsidR="00DB6DF3" w:rsidRPr="00266093" w:rsidRDefault="00DB6DF3" w:rsidP="00DB6DF3">
      <w:pPr>
        <w:rPr>
          <w:lang w:val="it-IT"/>
        </w:rPr>
      </w:pPr>
    </w:p>
    <w:p w:rsidR="00DB6DF3" w:rsidRPr="00266093" w:rsidRDefault="00DB6DF3" w:rsidP="00FE0D9A">
      <w:pPr>
        <w:pStyle w:val="Heading2"/>
        <w:numPr>
          <w:ilvl w:val="0"/>
          <w:numId w:val="50"/>
        </w:numPr>
        <w:overflowPunct/>
        <w:autoSpaceDE/>
        <w:autoSpaceDN/>
        <w:adjustRightInd/>
        <w:textAlignment w:val="auto"/>
        <w:rPr>
          <w:lang w:val="it-IT"/>
        </w:rPr>
      </w:pPr>
      <w:proofErr w:type="gramStart"/>
      <w:r w:rsidRPr="00266093">
        <w:rPr>
          <w:lang w:val="it-IT"/>
        </w:rPr>
        <w:t>un</w:t>
      </w:r>
      <w:proofErr w:type="gramEnd"/>
      <w:r w:rsidRPr="00266093">
        <w:rPr>
          <w:lang w:val="it-IT"/>
        </w:rPr>
        <w:t xml:space="preserve"> comitato consultivo di esperti industriali, per le scelte prioritarie da inserire nel programma di lavoro, e un comitato di gestione con la presenza degli Stati membri.</w:t>
      </w:r>
    </w:p>
    <w:p w:rsidR="00DB6DF3" w:rsidRPr="00266093" w:rsidRDefault="00DB6DF3" w:rsidP="00DB6DF3">
      <w:pPr>
        <w:rPr>
          <w:lang w:val="it-IT"/>
        </w:rPr>
      </w:pPr>
    </w:p>
    <w:p w:rsidR="00DB6DF3" w:rsidRPr="00266093" w:rsidRDefault="00DB6DF3" w:rsidP="00FE0D9A">
      <w:pPr>
        <w:pStyle w:val="Heading2"/>
        <w:numPr>
          <w:ilvl w:val="0"/>
          <w:numId w:val="9"/>
        </w:numPr>
        <w:overflowPunct/>
        <w:autoSpaceDE/>
        <w:autoSpaceDN/>
        <w:adjustRightInd/>
        <w:ind w:left="851" w:hanging="284"/>
        <w:textAlignment w:val="auto"/>
        <w:rPr>
          <w:lang w:val="it-IT"/>
        </w:rPr>
      </w:pPr>
      <w:r w:rsidRPr="00266093">
        <w:rPr>
          <w:lang w:val="it-IT"/>
        </w:rPr>
        <w:t>Il regolamento dovrebbe garantire:</w:t>
      </w:r>
    </w:p>
    <w:p w:rsidR="00DB6DF3" w:rsidRPr="00266093" w:rsidRDefault="00DB6DF3" w:rsidP="00DB6DF3">
      <w:pPr>
        <w:keepNext/>
        <w:keepLines/>
        <w:rPr>
          <w:lang w:val="it-IT"/>
        </w:rPr>
      </w:pPr>
    </w:p>
    <w:p w:rsidR="00DB6DF3" w:rsidRPr="00266093" w:rsidRDefault="00DB6DF3" w:rsidP="00FE0D9A">
      <w:pPr>
        <w:pStyle w:val="Heading2"/>
        <w:numPr>
          <w:ilvl w:val="0"/>
          <w:numId w:val="50"/>
        </w:numPr>
        <w:overflowPunct/>
        <w:autoSpaceDE/>
        <w:autoSpaceDN/>
        <w:adjustRightInd/>
        <w:textAlignment w:val="auto"/>
        <w:rPr>
          <w:lang w:val="it-IT"/>
        </w:rPr>
      </w:pPr>
      <w:proofErr w:type="gramStart"/>
      <w:r w:rsidRPr="00266093">
        <w:rPr>
          <w:lang w:val="it-IT"/>
        </w:rPr>
        <w:t>un</w:t>
      </w:r>
      <w:proofErr w:type="gramEnd"/>
      <w:r w:rsidRPr="00266093">
        <w:rPr>
          <w:lang w:val="it-IT"/>
        </w:rPr>
        <w:t xml:space="preserve"> adeguato equilibrio geografico tra paesi europei;</w:t>
      </w:r>
    </w:p>
    <w:p w:rsidR="00DB6DF3" w:rsidRPr="00266093" w:rsidRDefault="00DB6DF3" w:rsidP="00FE0D9A">
      <w:pPr>
        <w:pStyle w:val="Heading2"/>
        <w:numPr>
          <w:ilvl w:val="0"/>
          <w:numId w:val="50"/>
        </w:numPr>
        <w:overflowPunct/>
        <w:autoSpaceDE/>
        <w:autoSpaceDN/>
        <w:adjustRightInd/>
        <w:textAlignment w:val="auto"/>
        <w:rPr>
          <w:lang w:val="it-IT"/>
        </w:rPr>
      </w:pPr>
      <w:proofErr w:type="gramStart"/>
      <w:r w:rsidRPr="00266093">
        <w:rPr>
          <w:lang w:val="it-IT"/>
        </w:rPr>
        <w:t>una</w:t>
      </w:r>
      <w:proofErr w:type="gramEnd"/>
      <w:r w:rsidRPr="00266093">
        <w:rPr>
          <w:lang w:val="it-IT"/>
        </w:rPr>
        <w:t xml:space="preserve"> quota consistente di partecipazione delle imprese minori;</w:t>
      </w:r>
    </w:p>
    <w:p w:rsidR="00DB6DF3" w:rsidRPr="00266093" w:rsidRDefault="00DB6DF3" w:rsidP="00FE0D9A">
      <w:pPr>
        <w:pStyle w:val="Heading2"/>
        <w:numPr>
          <w:ilvl w:val="0"/>
          <w:numId w:val="50"/>
        </w:numPr>
        <w:overflowPunct/>
        <w:autoSpaceDE/>
        <w:autoSpaceDN/>
        <w:adjustRightInd/>
        <w:textAlignment w:val="auto"/>
        <w:rPr>
          <w:lang w:val="it-IT"/>
        </w:rPr>
      </w:pPr>
      <w:proofErr w:type="gramStart"/>
      <w:r w:rsidRPr="00266093">
        <w:rPr>
          <w:lang w:val="it-IT"/>
        </w:rPr>
        <w:t>il</w:t>
      </w:r>
      <w:proofErr w:type="gramEnd"/>
      <w:r w:rsidRPr="00266093">
        <w:rPr>
          <w:lang w:val="it-IT"/>
        </w:rPr>
        <w:t xml:space="preserve"> superamento della precarietà dei lavoratori della base industriale e tecnologica di difesa europea (BITDE) per confermare la validità dei finanziamenti UE;</w:t>
      </w:r>
    </w:p>
    <w:p w:rsidR="00DB6DF3" w:rsidRPr="00266093" w:rsidRDefault="00DB6DF3" w:rsidP="00FE0D9A">
      <w:pPr>
        <w:pStyle w:val="Heading2"/>
        <w:numPr>
          <w:ilvl w:val="0"/>
          <w:numId w:val="50"/>
        </w:numPr>
        <w:overflowPunct/>
        <w:autoSpaceDE/>
        <w:autoSpaceDN/>
        <w:adjustRightInd/>
        <w:textAlignment w:val="auto"/>
        <w:rPr>
          <w:lang w:val="it-IT"/>
        </w:rPr>
      </w:pPr>
      <w:proofErr w:type="gramStart"/>
      <w:r w:rsidRPr="00266093">
        <w:rPr>
          <w:lang w:val="it-IT"/>
        </w:rPr>
        <w:t>il</w:t>
      </w:r>
      <w:proofErr w:type="gramEnd"/>
      <w:r w:rsidRPr="00266093">
        <w:rPr>
          <w:lang w:val="it-IT"/>
        </w:rPr>
        <w:t xml:space="preserve"> rispetto di norme sociali e ambientali, specie in tema di eco-concezione e sicurezza del lavoro</w:t>
      </w:r>
      <w:r w:rsidRPr="00266093">
        <w:rPr>
          <w:lang w:val="it-IT"/>
        </w:rPr>
        <w:footnoteReference w:id="2"/>
      </w:r>
      <w:r w:rsidRPr="00266093">
        <w:rPr>
          <w:lang w:val="it-IT"/>
        </w:rPr>
        <w:t>, al fine di garantire la sicurezza delle competenze dell'industria;</w:t>
      </w:r>
    </w:p>
    <w:p w:rsidR="00DB6DF3" w:rsidRPr="00266093" w:rsidRDefault="00DB6DF3" w:rsidP="00FE0D9A">
      <w:pPr>
        <w:pStyle w:val="Heading2"/>
        <w:numPr>
          <w:ilvl w:val="0"/>
          <w:numId w:val="50"/>
        </w:numPr>
        <w:overflowPunct/>
        <w:autoSpaceDE/>
        <w:autoSpaceDN/>
        <w:adjustRightInd/>
        <w:textAlignment w:val="auto"/>
        <w:rPr>
          <w:lang w:val="it-IT"/>
        </w:rPr>
      </w:pPr>
      <w:proofErr w:type="gramStart"/>
      <w:r w:rsidRPr="00266093">
        <w:rPr>
          <w:lang w:val="it-IT"/>
        </w:rPr>
        <w:t>che</w:t>
      </w:r>
      <w:proofErr w:type="gramEnd"/>
      <w:r w:rsidRPr="00266093">
        <w:rPr>
          <w:lang w:val="it-IT"/>
        </w:rPr>
        <w:t xml:space="preserve"> tutte le imprese UE, indipendentemente dalla loro ubicazione e dalla loro dimensione, abbiano trasparenti opportunità di partecipare al programma EDIPD.</w:t>
      </w:r>
    </w:p>
    <w:p w:rsidR="00DB6DF3" w:rsidRPr="00266093" w:rsidRDefault="00DB6DF3" w:rsidP="00DB6DF3">
      <w:pPr>
        <w:spacing w:line="240" w:lineRule="auto"/>
        <w:jc w:val="left"/>
        <w:rPr>
          <w:sz w:val="24"/>
          <w:lang w:val="it-IT"/>
        </w:rPr>
      </w:pPr>
    </w:p>
    <w:p w:rsidR="000747E4" w:rsidRPr="00266093" w:rsidRDefault="00DB6DF3" w:rsidP="00FE0D9A">
      <w:pPr>
        <w:pStyle w:val="Heading2"/>
        <w:numPr>
          <w:ilvl w:val="0"/>
          <w:numId w:val="9"/>
        </w:numPr>
        <w:overflowPunct/>
        <w:autoSpaceDE/>
        <w:autoSpaceDN/>
        <w:adjustRightInd/>
        <w:ind w:left="851" w:hanging="284"/>
        <w:textAlignment w:val="auto"/>
        <w:rPr>
          <w:lang w:val="it-IT"/>
        </w:rPr>
      </w:pPr>
      <w:r w:rsidRPr="00266093">
        <w:rPr>
          <w:lang w:val="it-IT"/>
        </w:rPr>
        <w:t xml:space="preserve">Il CESE conviene sul fatto che l'EDIPD dovrebbe insistere sullo sviluppo di prodotti e </w:t>
      </w:r>
      <w:r w:rsidR="005D2872" w:rsidRPr="00266093">
        <w:rPr>
          <w:lang w:val="it-IT"/>
        </w:rPr>
        <w:t>servizi e sulla prototipazione.</w:t>
      </w:r>
    </w:p>
    <w:p w:rsidR="000747E4" w:rsidRPr="00266093" w:rsidRDefault="000747E4" w:rsidP="000747E4">
      <w:pPr>
        <w:rPr>
          <w:lang w:val="it-IT"/>
        </w:rPr>
      </w:pPr>
    </w:p>
    <w:p w:rsidR="000C56D4" w:rsidRPr="00266093" w:rsidRDefault="00DB6DF3" w:rsidP="00FE0D9A">
      <w:pPr>
        <w:tabs>
          <w:tab w:val="left" w:pos="2268"/>
        </w:tabs>
        <w:jc w:val="left"/>
        <w:rPr>
          <w:i/>
          <w:lang w:val="it-IT"/>
        </w:rPr>
      </w:pPr>
      <w:r w:rsidRPr="00266093">
        <w:rPr>
          <w:b/>
          <w:i/>
          <w:lang w:val="it-IT"/>
        </w:rPr>
        <w:t xml:space="preserve">Persona da </w:t>
      </w:r>
      <w:proofErr w:type="gramStart"/>
      <w:r w:rsidRPr="00266093">
        <w:rPr>
          <w:b/>
          <w:i/>
          <w:lang w:val="it-IT"/>
        </w:rPr>
        <w:t>contattare</w:t>
      </w:r>
      <w:proofErr w:type="gramEnd"/>
      <w:r w:rsidRPr="00266093">
        <w:rPr>
          <w:b/>
          <w:i/>
          <w:lang w:val="it-IT"/>
        </w:rPr>
        <w:t>:</w:t>
      </w:r>
      <w:r w:rsidR="00034443" w:rsidRPr="00266093">
        <w:rPr>
          <w:b/>
          <w:i/>
          <w:lang w:val="it-IT"/>
        </w:rPr>
        <w:t xml:space="preserve"> </w:t>
      </w:r>
      <w:r w:rsidR="00EF04E2" w:rsidRPr="00266093">
        <w:rPr>
          <w:b/>
          <w:i/>
          <w:lang w:val="it-IT"/>
        </w:rPr>
        <w:tab/>
      </w:r>
      <w:r w:rsidRPr="00266093">
        <w:rPr>
          <w:i/>
          <w:lang w:val="it-IT"/>
        </w:rPr>
        <w:t>Adam PLEZER</w:t>
      </w:r>
    </w:p>
    <w:p w:rsidR="000F0D21" w:rsidRPr="00266093" w:rsidRDefault="000C56D4" w:rsidP="00FE0D9A">
      <w:pPr>
        <w:ind w:left="2268" w:hanging="2268"/>
        <w:rPr>
          <w:b/>
          <w:bCs/>
          <w:sz w:val="16"/>
          <w:lang w:val="it-IT"/>
        </w:rPr>
      </w:pPr>
      <w:r w:rsidRPr="00266093">
        <w:rPr>
          <w:lang w:val="it-IT"/>
        </w:rPr>
        <w:tab/>
      </w:r>
      <w:r w:rsidRPr="00266093">
        <w:rPr>
          <w:i/>
          <w:lang w:val="it-IT"/>
        </w:rPr>
        <w:t xml:space="preserve">Tel.00 32 2 546 8628 - e-mail: </w:t>
      </w:r>
      <w:hyperlink r:id="rId25">
        <w:r w:rsidRPr="00266093">
          <w:rPr>
            <w:rStyle w:val="Hyperlink"/>
            <w:i/>
            <w:lang w:val="it-IT"/>
          </w:rPr>
          <w:t>Adam.Plezer@eesc.europa.eu</w:t>
        </w:r>
      </w:hyperlink>
      <w:r w:rsidRPr="00266093">
        <w:rPr>
          <w:i/>
          <w:lang w:val="it-IT"/>
        </w:rPr>
        <w:t>)</w:t>
      </w:r>
    </w:p>
    <w:p w:rsidR="00A87190" w:rsidRPr="00266093" w:rsidRDefault="00A87190" w:rsidP="00DB6DF3">
      <w:pPr>
        <w:rPr>
          <w:b/>
          <w:bCs/>
          <w:sz w:val="20"/>
          <w:lang w:val="it-IT"/>
        </w:rPr>
      </w:pPr>
    </w:p>
    <w:p w:rsidR="00DB6DF3" w:rsidRPr="00266093" w:rsidRDefault="00DB6DF3" w:rsidP="000C56D4">
      <w:pPr>
        <w:pStyle w:val="ListParagraph"/>
        <w:numPr>
          <w:ilvl w:val="0"/>
          <w:numId w:val="15"/>
        </w:numPr>
        <w:rPr>
          <w:b/>
          <w:i/>
          <w:sz w:val="28"/>
          <w:szCs w:val="28"/>
          <w:lang w:val="it-IT"/>
        </w:rPr>
      </w:pPr>
      <w:r w:rsidRPr="00266093">
        <w:rPr>
          <w:b/>
          <w:i/>
          <w:sz w:val="28"/>
          <w:lang w:val="it-IT"/>
        </w:rPr>
        <w:t>Istituzione del Fondo europeo per la difesa</w:t>
      </w:r>
    </w:p>
    <w:p w:rsidR="00DB6DF3" w:rsidRPr="00266093" w:rsidRDefault="00DB6DF3" w:rsidP="00DB6DF3">
      <w:pPr>
        <w:ind w:left="-39"/>
        <w:rPr>
          <w:b/>
          <w:i/>
          <w:sz w:val="28"/>
          <w:lang w:val="it-IT"/>
        </w:rPr>
      </w:pPr>
    </w:p>
    <w:p w:rsidR="00DB6DF3" w:rsidRPr="00266093" w:rsidRDefault="00266093" w:rsidP="000C56D4">
      <w:pPr>
        <w:tabs>
          <w:tab w:val="left" w:pos="1701"/>
        </w:tabs>
        <w:ind w:left="-39"/>
        <w:rPr>
          <w:lang w:val="it-IT"/>
        </w:rPr>
      </w:pPr>
      <w:r w:rsidRPr="00266093">
        <w:rPr>
          <w:b/>
          <w:lang w:val="it-IT"/>
        </w:rPr>
        <w:t>Relatore</w:t>
      </w:r>
      <w:r w:rsidR="00DB6DF3" w:rsidRPr="00266093">
        <w:rPr>
          <w:b/>
          <w:lang w:val="it-IT"/>
        </w:rPr>
        <w:t>:</w:t>
      </w:r>
      <w:r w:rsidR="00DB6DF3" w:rsidRPr="00266093">
        <w:rPr>
          <w:lang w:val="it-IT"/>
        </w:rPr>
        <w:tab/>
        <w:t>Mihai IVAȘCU (Attività diverse - RO)</w:t>
      </w:r>
    </w:p>
    <w:p w:rsidR="00DB6DF3" w:rsidRPr="00266093" w:rsidRDefault="00266093" w:rsidP="000C56D4">
      <w:pPr>
        <w:tabs>
          <w:tab w:val="left" w:pos="1701"/>
        </w:tabs>
        <w:ind w:left="-39"/>
        <w:rPr>
          <w:color w:val="000000"/>
          <w:lang w:val="it-IT"/>
        </w:rPr>
      </w:pPr>
      <w:r w:rsidRPr="00266093">
        <w:rPr>
          <w:b/>
          <w:lang w:val="it-IT"/>
        </w:rPr>
        <w:t>Correlatore</w:t>
      </w:r>
      <w:r w:rsidR="00DB6DF3" w:rsidRPr="00266093">
        <w:rPr>
          <w:b/>
          <w:lang w:val="it-IT"/>
        </w:rPr>
        <w:t>:</w:t>
      </w:r>
      <w:r w:rsidR="005908F7" w:rsidRPr="00266093">
        <w:rPr>
          <w:b/>
          <w:lang w:val="it-IT"/>
        </w:rPr>
        <w:tab/>
      </w:r>
      <w:r w:rsidR="00DB6DF3" w:rsidRPr="00266093">
        <w:rPr>
          <w:color w:val="000000"/>
          <w:lang w:val="it-IT"/>
        </w:rPr>
        <w:t>Fabien COUDERC (Cat.2 – FR)</w:t>
      </w:r>
    </w:p>
    <w:p w:rsidR="000C56D4" w:rsidRPr="00266093" w:rsidRDefault="000C56D4" w:rsidP="000C56D4">
      <w:pPr>
        <w:tabs>
          <w:tab w:val="left" w:pos="1701"/>
        </w:tabs>
        <w:ind w:left="-39"/>
        <w:rPr>
          <w:lang w:val="it-IT"/>
        </w:rPr>
      </w:pPr>
    </w:p>
    <w:p w:rsidR="00DB6DF3" w:rsidRPr="00266093" w:rsidRDefault="00DB6DF3" w:rsidP="000C56D4">
      <w:pPr>
        <w:tabs>
          <w:tab w:val="left" w:pos="1701"/>
        </w:tabs>
        <w:ind w:left="-39"/>
        <w:rPr>
          <w:lang w:val="it-IT"/>
        </w:rPr>
      </w:pPr>
      <w:r w:rsidRPr="00266093">
        <w:rPr>
          <w:b/>
          <w:lang w:val="it-IT"/>
        </w:rPr>
        <w:t>Riferimento:</w:t>
      </w:r>
      <w:r w:rsidRPr="00266093">
        <w:rPr>
          <w:lang w:val="it-IT"/>
        </w:rPr>
        <w:tab/>
        <w:t xml:space="preserve">CCMI/155 – </w:t>
      </w:r>
      <w:proofErr w:type="gramStart"/>
      <w:r w:rsidRPr="00266093">
        <w:rPr>
          <w:lang w:val="it-IT"/>
        </w:rPr>
        <w:t>EESC-2017-03598-00-00-A</w:t>
      </w:r>
      <w:r w:rsidR="008728DE" w:rsidRPr="00266093">
        <w:rPr>
          <w:lang w:val="it-IT"/>
        </w:rPr>
        <w:t>C</w:t>
      </w:r>
      <w:r w:rsidRPr="00266093">
        <w:rPr>
          <w:lang w:val="it-IT"/>
        </w:rPr>
        <w:t>-TRA</w:t>
      </w:r>
      <w:proofErr w:type="gramEnd"/>
    </w:p>
    <w:p w:rsidR="000C56D4" w:rsidRPr="00266093" w:rsidRDefault="000C56D4" w:rsidP="000C56D4">
      <w:pPr>
        <w:tabs>
          <w:tab w:val="left" w:pos="1701"/>
        </w:tabs>
        <w:ind w:left="-39"/>
        <w:rPr>
          <w:lang w:val="it-IT"/>
        </w:rPr>
      </w:pPr>
    </w:p>
    <w:p w:rsidR="00DB6DF3" w:rsidRPr="00266093" w:rsidRDefault="00DB6DF3" w:rsidP="00DB6DF3">
      <w:pPr>
        <w:ind w:left="-39"/>
        <w:rPr>
          <w:b/>
          <w:lang w:val="it-IT"/>
        </w:rPr>
      </w:pPr>
      <w:r w:rsidRPr="00266093">
        <w:rPr>
          <w:b/>
          <w:lang w:val="it-IT"/>
        </w:rPr>
        <w:t>Punti salienti del parere:</w:t>
      </w:r>
    </w:p>
    <w:p w:rsidR="00DB6DF3" w:rsidRPr="00266093" w:rsidRDefault="00DB6DF3" w:rsidP="00DB6DF3">
      <w:pPr>
        <w:ind w:left="-567"/>
        <w:rPr>
          <w:b/>
          <w:i/>
          <w:lang w:val="it-IT"/>
        </w:rPr>
      </w:pPr>
    </w:p>
    <w:p w:rsidR="00DB6DF3" w:rsidRPr="00266093" w:rsidRDefault="00DB6DF3" w:rsidP="00FE0D9A">
      <w:pPr>
        <w:pStyle w:val="Heading2"/>
        <w:numPr>
          <w:ilvl w:val="0"/>
          <w:numId w:val="9"/>
        </w:numPr>
        <w:overflowPunct/>
        <w:autoSpaceDE/>
        <w:autoSpaceDN/>
        <w:adjustRightInd/>
        <w:ind w:left="851" w:hanging="284"/>
        <w:textAlignment w:val="auto"/>
        <w:rPr>
          <w:lang w:val="it-IT"/>
        </w:rPr>
      </w:pPr>
      <w:r w:rsidRPr="00266093">
        <w:rPr>
          <w:lang w:val="it-IT"/>
        </w:rPr>
        <w:t xml:space="preserve">Il CESE raccomanda vivamente che gli Stati membri e la Commissione europea utilizzino il fondo per mantenere sul suolo europeo </w:t>
      </w:r>
      <w:proofErr w:type="gramStart"/>
      <w:r w:rsidRPr="00266093">
        <w:rPr>
          <w:lang w:val="it-IT"/>
        </w:rPr>
        <w:t>capacità industriali chiave</w:t>
      </w:r>
      <w:proofErr w:type="gramEnd"/>
      <w:r w:rsidRPr="00266093">
        <w:rPr>
          <w:lang w:val="it-IT"/>
        </w:rPr>
        <w:t xml:space="preserve"> e garantire che le risorse finanziarie dell'Unione siano impiegate nelle attività europee di ricerca e sviluppo (R&amp;S) e nell'acquisto di sistemi d'arma europei.</w:t>
      </w:r>
    </w:p>
    <w:p w:rsidR="00DB6DF3" w:rsidRPr="00266093" w:rsidRDefault="00DB6DF3">
      <w:pPr>
        <w:rPr>
          <w:lang w:val="it-IT"/>
        </w:rPr>
      </w:pPr>
    </w:p>
    <w:p w:rsidR="00DB6DF3" w:rsidRPr="00266093" w:rsidRDefault="00DB6DF3" w:rsidP="00FE0D9A">
      <w:pPr>
        <w:pStyle w:val="Heading2"/>
        <w:numPr>
          <w:ilvl w:val="0"/>
          <w:numId w:val="9"/>
        </w:numPr>
        <w:overflowPunct/>
        <w:autoSpaceDE/>
        <w:autoSpaceDN/>
        <w:adjustRightInd/>
        <w:ind w:left="851" w:hanging="284"/>
        <w:textAlignment w:val="auto"/>
        <w:rPr>
          <w:lang w:val="it-IT"/>
        </w:rPr>
      </w:pPr>
      <w:r w:rsidRPr="00266093">
        <w:rPr>
          <w:lang w:val="it-IT"/>
        </w:rPr>
        <w:t>Il Comitato appoggia l'orientamento alla competitività del Fondo europeo per la difesa, che porterà sia a garantire l'accesso a tutti gli Stati membri sia a finanziare progetti destinati a produrre valore aggiunto e tecnologie di punta.</w:t>
      </w:r>
    </w:p>
    <w:p w:rsidR="00DB6DF3" w:rsidRPr="00266093" w:rsidRDefault="00DB6DF3">
      <w:pPr>
        <w:rPr>
          <w:lang w:val="it-IT"/>
        </w:rPr>
      </w:pPr>
    </w:p>
    <w:p w:rsidR="00DB6DF3" w:rsidRPr="00266093" w:rsidRDefault="00DB6DF3" w:rsidP="00FE0D9A">
      <w:pPr>
        <w:pStyle w:val="Heading2"/>
        <w:numPr>
          <w:ilvl w:val="0"/>
          <w:numId w:val="9"/>
        </w:numPr>
        <w:overflowPunct/>
        <w:autoSpaceDE/>
        <w:autoSpaceDN/>
        <w:adjustRightInd/>
        <w:ind w:left="851" w:hanging="284"/>
        <w:textAlignment w:val="auto"/>
        <w:rPr>
          <w:lang w:val="it-IT"/>
        </w:rPr>
      </w:pPr>
      <w:r w:rsidRPr="00266093">
        <w:rPr>
          <w:lang w:val="it-IT"/>
        </w:rPr>
        <w:t>Il Comitato apprezza la particolare attenzione rivolta dalla proposta in esame alle piccole e medie imprese (PMI), a prescindere dal loro paese di origine. Il CESE sarebbe inoltre favorevole a meccanismi di coinvolgimento delle PMI, quali ad esempio un sistema di bonus, che intensificherebbero la cooperazione transfrontaliera tra le piccole e medie imprese.</w:t>
      </w:r>
    </w:p>
    <w:p w:rsidR="00DB6DF3" w:rsidRPr="00266093" w:rsidRDefault="00DB6DF3">
      <w:pPr>
        <w:rPr>
          <w:lang w:val="it-IT"/>
        </w:rPr>
      </w:pPr>
    </w:p>
    <w:p w:rsidR="00DB6DF3" w:rsidRPr="00266093" w:rsidRDefault="00DB6DF3" w:rsidP="00FE0D9A">
      <w:pPr>
        <w:pStyle w:val="Heading2"/>
        <w:numPr>
          <w:ilvl w:val="0"/>
          <w:numId w:val="9"/>
        </w:numPr>
        <w:overflowPunct/>
        <w:autoSpaceDE/>
        <w:autoSpaceDN/>
        <w:adjustRightInd/>
        <w:ind w:left="851" w:hanging="284"/>
        <w:textAlignment w:val="auto"/>
        <w:rPr>
          <w:lang w:val="it-IT"/>
        </w:rPr>
      </w:pPr>
      <w:r w:rsidRPr="00266093">
        <w:rPr>
          <w:lang w:val="it-IT"/>
        </w:rPr>
        <w:t>Il Comitato è fermamente convinto che sia necessario sviluppare capacità fondamentali forti a sostegno degli interessi europei.</w:t>
      </w:r>
    </w:p>
    <w:p w:rsidR="00DB6DF3" w:rsidRPr="00266093" w:rsidRDefault="00DB6DF3">
      <w:pPr>
        <w:rPr>
          <w:lang w:val="it-IT"/>
        </w:rPr>
      </w:pPr>
    </w:p>
    <w:p w:rsidR="00DB6DF3" w:rsidRPr="00266093" w:rsidRDefault="00DB6DF3" w:rsidP="00FE0D9A">
      <w:pPr>
        <w:pStyle w:val="Heading2"/>
        <w:numPr>
          <w:ilvl w:val="0"/>
          <w:numId w:val="9"/>
        </w:numPr>
        <w:overflowPunct/>
        <w:autoSpaceDE/>
        <w:autoSpaceDN/>
        <w:adjustRightInd/>
        <w:ind w:left="851" w:hanging="284"/>
        <w:textAlignment w:val="auto"/>
        <w:rPr>
          <w:lang w:val="it-IT"/>
        </w:rPr>
      </w:pPr>
      <w:r w:rsidRPr="00266093">
        <w:rPr>
          <w:lang w:val="it-IT"/>
        </w:rPr>
        <w:t>Il CESE raccomanda che, nell'ambito degli inviti a presentare proposte, la procedura di aggiudicazione tenga conto di rigorosi standard obbligatori in materia sociale e ambientale.</w:t>
      </w:r>
    </w:p>
    <w:p w:rsidR="00DB6DF3" w:rsidRPr="00266093" w:rsidRDefault="00DB6DF3">
      <w:pPr>
        <w:rPr>
          <w:lang w:val="it-IT"/>
        </w:rPr>
      </w:pPr>
    </w:p>
    <w:p w:rsidR="00DB6DF3" w:rsidRPr="00266093" w:rsidRDefault="00DB6DF3" w:rsidP="00FE0D9A">
      <w:pPr>
        <w:pStyle w:val="Heading2"/>
        <w:numPr>
          <w:ilvl w:val="0"/>
          <w:numId w:val="9"/>
        </w:numPr>
        <w:overflowPunct/>
        <w:autoSpaceDE/>
        <w:autoSpaceDN/>
        <w:adjustRightInd/>
        <w:ind w:left="851" w:hanging="284"/>
        <w:textAlignment w:val="auto"/>
        <w:rPr>
          <w:lang w:val="it-IT"/>
        </w:rPr>
      </w:pPr>
      <w:r w:rsidRPr="00266093">
        <w:rPr>
          <w:lang w:val="it-IT"/>
        </w:rPr>
        <w:t xml:space="preserve">Il Comitato reputa che la governance del Fondo europeo per la difesa debba essere decisa al più presto e che ne </w:t>
      </w:r>
      <w:proofErr w:type="gramStart"/>
      <w:r w:rsidRPr="00266093">
        <w:rPr>
          <w:lang w:val="it-IT"/>
        </w:rPr>
        <w:t>debbano</w:t>
      </w:r>
      <w:proofErr w:type="gramEnd"/>
      <w:r w:rsidRPr="00266093">
        <w:rPr>
          <w:lang w:val="it-IT"/>
        </w:rPr>
        <w:t xml:space="preserve"> far parte, oltre all'industria, l'Unione europea, l'Agenzia europea per la difesa (AED) e gli Stati membri.</w:t>
      </w:r>
    </w:p>
    <w:p w:rsidR="00DB6DF3" w:rsidRPr="00266093" w:rsidRDefault="00DB6DF3">
      <w:pPr>
        <w:rPr>
          <w:lang w:val="it-IT"/>
        </w:rPr>
      </w:pPr>
    </w:p>
    <w:p w:rsidR="00DB6DF3" w:rsidRPr="00266093" w:rsidRDefault="00DB6DF3" w:rsidP="00FE0D9A">
      <w:pPr>
        <w:pStyle w:val="Heading2"/>
        <w:numPr>
          <w:ilvl w:val="0"/>
          <w:numId w:val="9"/>
        </w:numPr>
        <w:overflowPunct/>
        <w:autoSpaceDE/>
        <w:autoSpaceDN/>
        <w:adjustRightInd/>
        <w:ind w:left="851" w:hanging="284"/>
        <w:textAlignment w:val="auto"/>
        <w:rPr>
          <w:lang w:val="it-IT"/>
        </w:rPr>
      </w:pPr>
      <w:r w:rsidRPr="00266093">
        <w:rPr>
          <w:lang w:val="it-IT"/>
        </w:rPr>
        <w:t xml:space="preserve">Il CESE raccomanda di esaminare la possibilità di portare a </w:t>
      </w:r>
      <w:proofErr w:type="gramStart"/>
      <w:r w:rsidRPr="00266093">
        <w:rPr>
          <w:lang w:val="it-IT"/>
        </w:rPr>
        <w:t>3</w:t>
      </w:r>
      <w:proofErr w:type="gramEnd"/>
      <w:r w:rsidRPr="00266093">
        <w:rPr>
          <w:lang w:val="it-IT"/>
        </w:rPr>
        <w:t xml:space="preserve"> il numero minimo dei paesi partecipanti a un progetto ammissibile in una fase di evoluzione successiva del fondo.</w:t>
      </w:r>
    </w:p>
    <w:p w:rsidR="00DB6DF3" w:rsidRPr="00266093" w:rsidRDefault="00DB6DF3" w:rsidP="00DB6DF3">
      <w:pPr>
        <w:rPr>
          <w:lang w:val="it-IT"/>
        </w:rPr>
      </w:pPr>
    </w:p>
    <w:p w:rsidR="00DB6DF3" w:rsidRPr="00266093" w:rsidRDefault="00DB6DF3" w:rsidP="00DB6DF3">
      <w:pPr>
        <w:rPr>
          <w:lang w:val="it-IT"/>
        </w:rPr>
      </w:pPr>
    </w:p>
    <w:p w:rsidR="00DB6DF3" w:rsidRPr="00266093" w:rsidRDefault="00DB6DF3" w:rsidP="00FE0D9A">
      <w:pPr>
        <w:pStyle w:val="Heading2"/>
        <w:numPr>
          <w:ilvl w:val="0"/>
          <w:numId w:val="9"/>
        </w:numPr>
        <w:overflowPunct/>
        <w:autoSpaceDE/>
        <w:autoSpaceDN/>
        <w:adjustRightInd/>
        <w:ind w:left="851" w:hanging="284"/>
        <w:textAlignment w:val="auto"/>
        <w:rPr>
          <w:lang w:val="it-IT"/>
        </w:rPr>
      </w:pPr>
      <w:r w:rsidRPr="00266093">
        <w:rPr>
          <w:lang w:val="it-IT"/>
        </w:rPr>
        <w:t xml:space="preserve">Il CESE raccomanda che sia data la possibilità di ricorrere a programmi di formazione cofinanziati dall'Unione europea nelle prime fasi di sviluppo dei progetti finanziati nell'ambito </w:t>
      </w:r>
      <w:proofErr w:type="gramStart"/>
      <w:r w:rsidRPr="00266093">
        <w:rPr>
          <w:lang w:val="it-IT"/>
        </w:rPr>
        <w:t>della</w:t>
      </w:r>
      <w:proofErr w:type="gramEnd"/>
      <w:r w:rsidRPr="00266093">
        <w:rPr>
          <w:lang w:val="it-IT"/>
        </w:rPr>
        <w:t xml:space="preserve"> sezione capacità.</w:t>
      </w:r>
    </w:p>
    <w:p w:rsidR="00DB6DF3" w:rsidRPr="00266093" w:rsidRDefault="00DB6DF3" w:rsidP="00DB6DF3">
      <w:pPr>
        <w:ind w:left="-567"/>
        <w:rPr>
          <w:b/>
          <w:i/>
          <w:lang w:val="it-IT"/>
        </w:rPr>
      </w:pPr>
    </w:p>
    <w:p w:rsidR="000C56D4" w:rsidRPr="00266093" w:rsidRDefault="00DB6DF3" w:rsidP="000C56D4">
      <w:pPr>
        <w:tabs>
          <w:tab w:val="left" w:pos="1418"/>
        </w:tabs>
        <w:jc w:val="left"/>
        <w:rPr>
          <w:i/>
          <w:lang w:val="it-IT"/>
        </w:rPr>
      </w:pPr>
      <w:r w:rsidRPr="00266093">
        <w:rPr>
          <w:b/>
          <w:i/>
          <w:lang w:val="it-IT"/>
        </w:rPr>
        <w:t xml:space="preserve">Persona da </w:t>
      </w:r>
      <w:proofErr w:type="gramStart"/>
      <w:r w:rsidRPr="00266093">
        <w:rPr>
          <w:b/>
          <w:i/>
          <w:lang w:val="it-IT"/>
        </w:rPr>
        <w:t>contattare</w:t>
      </w:r>
      <w:proofErr w:type="gramEnd"/>
      <w:r w:rsidRPr="00266093">
        <w:rPr>
          <w:b/>
          <w:i/>
          <w:lang w:val="it-IT"/>
        </w:rPr>
        <w:t>:</w:t>
      </w:r>
      <w:r w:rsidR="00FE0D9A" w:rsidRPr="00266093">
        <w:rPr>
          <w:b/>
          <w:i/>
          <w:lang w:val="it-IT"/>
        </w:rPr>
        <w:tab/>
      </w:r>
      <w:r w:rsidRPr="00266093">
        <w:rPr>
          <w:i/>
          <w:lang w:val="it-IT"/>
        </w:rPr>
        <w:t>Adam PLEZER</w:t>
      </w:r>
    </w:p>
    <w:p w:rsidR="00DB6DF3" w:rsidRPr="00266093" w:rsidRDefault="000C56D4" w:rsidP="00FE0D9A">
      <w:pPr>
        <w:tabs>
          <w:tab w:val="left" w:pos="2127"/>
        </w:tabs>
        <w:jc w:val="left"/>
        <w:rPr>
          <w:caps/>
          <w:lang w:val="it-IT"/>
        </w:rPr>
      </w:pPr>
      <w:r w:rsidRPr="00266093">
        <w:rPr>
          <w:lang w:val="it-IT"/>
        </w:rPr>
        <w:tab/>
      </w:r>
      <w:r w:rsidRPr="00266093">
        <w:rPr>
          <w:i/>
          <w:lang w:val="it-IT"/>
        </w:rPr>
        <w:t>(Tel.</w:t>
      </w:r>
      <w:r w:rsidR="0043757A" w:rsidRPr="00266093">
        <w:rPr>
          <w:i/>
          <w:lang w:val="it-IT"/>
        </w:rPr>
        <w:t xml:space="preserve"> </w:t>
      </w:r>
      <w:r w:rsidRPr="00266093">
        <w:rPr>
          <w:i/>
          <w:lang w:val="it-IT"/>
        </w:rPr>
        <w:t xml:space="preserve">00 32 2 546 8628 - e-mail: </w:t>
      </w:r>
      <w:hyperlink r:id="rId26">
        <w:r w:rsidRPr="00266093">
          <w:rPr>
            <w:rStyle w:val="Hyperlink"/>
            <w:i/>
            <w:lang w:val="it-IT"/>
          </w:rPr>
          <w:t>Adam.Plezer@eesc.europa.eu</w:t>
        </w:r>
      </w:hyperlink>
      <w:r w:rsidRPr="00266093">
        <w:rPr>
          <w:i/>
          <w:lang w:val="it-IT"/>
        </w:rPr>
        <w:t>)</w:t>
      </w:r>
    </w:p>
    <w:p w:rsidR="00C45A67" w:rsidRPr="00266093" w:rsidRDefault="00C45A67">
      <w:pPr>
        <w:jc w:val="left"/>
        <w:rPr>
          <w:caps/>
          <w:lang w:val="it-IT"/>
        </w:rPr>
      </w:pPr>
    </w:p>
    <w:p w:rsidR="00E631B5" w:rsidRPr="00266093" w:rsidRDefault="00E631B5">
      <w:pPr>
        <w:overflowPunct/>
        <w:autoSpaceDE/>
        <w:autoSpaceDN/>
        <w:adjustRightInd/>
        <w:spacing w:line="240" w:lineRule="auto"/>
        <w:jc w:val="left"/>
        <w:textAlignment w:val="auto"/>
        <w:rPr>
          <w:caps/>
          <w:lang w:val="it-IT"/>
        </w:rPr>
      </w:pPr>
      <w:r w:rsidRPr="00266093">
        <w:rPr>
          <w:lang w:val="it-IT"/>
        </w:rPr>
        <w:br w:type="page"/>
      </w:r>
    </w:p>
    <w:p w:rsidR="00C45A67" w:rsidRPr="00266093" w:rsidRDefault="00760E25" w:rsidP="00E97DE3">
      <w:pPr>
        <w:pStyle w:val="Heading1"/>
        <w:rPr>
          <w:b/>
          <w:caps/>
          <w:lang w:val="it-IT"/>
        </w:rPr>
      </w:pPr>
      <w:r w:rsidRPr="00266093">
        <w:rPr>
          <w:lang w:val="it-IT"/>
        </w:rPr>
        <w:tab/>
      </w:r>
      <w:bookmarkStart w:id="9" w:name="_Toc499892045"/>
      <w:bookmarkStart w:id="10" w:name="_Toc501014830"/>
      <w:r w:rsidRPr="00266093">
        <w:rPr>
          <w:b/>
          <w:caps/>
          <w:lang w:val="it-IT"/>
        </w:rPr>
        <w:t>Trasporti</w:t>
      </w:r>
      <w:bookmarkEnd w:id="9"/>
      <w:bookmarkEnd w:id="10"/>
    </w:p>
    <w:p w:rsidR="00DB6DF3" w:rsidRPr="00266093" w:rsidRDefault="00DB6DF3" w:rsidP="00DB6DF3">
      <w:pPr>
        <w:widowControl w:val="0"/>
        <w:ind w:left="-567"/>
        <w:rPr>
          <w:lang w:val="it-IT"/>
        </w:rPr>
      </w:pPr>
    </w:p>
    <w:p w:rsidR="00DB6DF3" w:rsidRPr="00266093" w:rsidRDefault="00DB6DF3" w:rsidP="00760E25">
      <w:pPr>
        <w:pStyle w:val="ListParagraph"/>
        <w:widowControl w:val="0"/>
        <w:numPr>
          <w:ilvl w:val="0"/>
          <w:numId w:val="16"/>
        </w:numPr>
        <w:spacing w:line="240" w:lineRule="auto"/>
        <w:rPr>
          <w:bCs/>
          <w:i/>
          <w:sz w:val="28"/>
          <w:szCs w:val="28"/>
          <w:lang w:val="it-IT"/>
        </w:rPr>
      </w:pPr>
      <w:r w:rsidRPr="00266093">
        <w:rPr>
          <w:b/>
          <w:i/>
          <w:sz w:val="28"/>
          <w:lang w:val="it-IT"/>
        </w:rPr>
        <w:t>Statistiche dei trasporti ferroviari (rifusione)</w:t>
      </w:r>
    </w:p>
    <w:p w:rsidR="00DB6DF3" w:rsidRPr="00266093" w:rsidRDefault="00DB6DF3" w:rsidP="00DB6DF3">
      <w:pPr>
        <w:widowControl w:val="0"/>
        <w:spacing w:line="240" w:lineRule="auto"/>
        <w:rPr>
          <w:bCs/>
          <w:lang w:val="it-IT"/>
        </w:rPr>
      </w:pPr>
    </w:p>
    <w:p w:rsidR="00DB6DF3" w:rsidRPr="00266093" w:rsidRDefault="00266093" w:rsidP="00760E25">
      <w:pPr>
        <w:tabs>
          <w:tab w:val="left" w:pos="1701"/>
        </w:tabs>
        <w:rPr>
          <w:szCs w:val="22"/>
          <w:lang w:val="it-IT"/>
        </w:rPr>
      </w:pPr>
      <w:r w:rsidRPr="00266093">
        <w:rPr>
          <w:b/>
          <w:lang w:val="it-IT"/>
        </w:rPr>
        <w:t>Relatore</w:t>
      </w:r>
      <w:r w:rsidR="00DB6DF3" w:rsidRPr="00266093">
        <w:rPr>
          <w:b/>
          <w:lang w:val="it-IT"/>
        </w:rPr>
        <w:t>:</w:t>
      </w:r>
      <w:r w:rsidR="00DB6DF3" w:rsidRPr="00266093">
        <w:rPr>
          <w:lang w:val="it-IT"/>
        </w:rPr>
        <w:tab/>
        <w:t>Raymond HENCKS (Lavoratori - LU)</w:t>
      </w:r>
    </w:p>
    <w:p w:rsidR="00760E25" w:rsidRPr="00266093" w:rsidRDefault="00760E25" w:rsidP="00760E25">
      <w:pPr>
        <w:tabs>
          <w:tab w:val="left" w:pos="1701"/>
        </w:tabs>
        <w:rPr>
          <w:szCs w:val="22"/>
          <w:lang w:val="it-IT"/>
        </w:rPr>
      </w:pPr>
    </w:p>
    <w:p w:rsidR="00760E25" w:rsidRPr="00266093" w:rsidRDefault="00DB6DF3" w:rsidP="00760E25">
      <w:pPr>
        <w:tabs>
          <w:tab w:val="num" w:pos="550"/>
          <w:tab w:val="left" w:pos="1701"/>
        </w:tabs>
        <w:rPr>
          <w:lang w:val="it-IT"/>
        </w:rPr>
      </w:pPr>
      <w:r w:rsidRPr="00266093">
        <w:rPr>
          <w:b/>
          <w:lang w:val="it-IT"/>
        </w:rPr>
        <w:t>Riferimenti:</w:t>
      </w:r>
      <w:r w:rsidRPr="00266093">
        <w:rPr>
          <w:lang w:val="it-IT"/>
        </w:rPr>
        <w:tab/>
        <w:t>COM</w:t>
      </w:r>
      <w:proofErr w:type="gramStart"/>
      <w:r w:rsidRPr="00266093">
        <w:rPr>
          <w:lang w:val="it-IT"/>
        </w:rPr>
        <w:t>(</w:t>
      </w:r>
      <w:proofErr w:type="gramEnd"/>
      <w:r w:rsidRPr="00266093">
        <w:rPr>
          <w:lang w:val="it-IT"/>
        </w:rPr>
        <w:t>2017) 353 final - 2017/0146 (COD)</w:t>
      </w:r>
    </w:p>
    <w:p w:rsidR="00DB6DF3" w:rsidRPr="00266093" w:rsidRDefault="00760E25" w:rsidP="00760E25">
      <w:pPr>
        <w:tabs>
          <w:tab w:val="left" w:pos="1701"/>
        </w:tabs>
        <w:rPr>
          <w:lang w:val="it-IT"/>
        </w:rPr>
      </w:pPr>
      <w:r w:rsidRPr="00266093">
        <w:rPr>
          <w:lang w:val="it-IT"/>
        </w:rPr>
        <w:tab/>
      </w:r>
      <w:proofErr w:type="gramStart"/>
      <w:r w:rsidRPr="00266093">
        <w:rPr>
          <w:lang w:val="it-IT"/>
        </w:rPr>
        <w:t>EESC-2017-04449-00-00-A</w:t>
      </w:r>
      <w:r w:rsidR="001F06C8" w:rsidRPr="00266093">
        <w:rPr>
          <w:lang w:val="it-IT"/>
        </w:rPr>
        <w:t>C</w:t>
      </w:r>
      <w:r w:rsidRPr="00266093">
        <w:rPr>
          <w:lang w:val="it-IT"/>
        </w:rPr>
        <w:t>-TRA</w:t>
      </w:r>
      <w:proofErr w:type="gramEnd"/>
    </w:p>
    <w:p w:rsidR="00DB6DF3" w:rsidRPr="00266093" w:rsidRDefault="00DB6DF3" w:rsidP="00DB6DF3">
      <w:pPr>
        <w:rPr>
          <w:b/>
          <w:szCs w:val="22"/>
          <w:lang w:val="it-IT"/>
        </w:rPr>
      </w:pPr>
    </w:p>
    <w:p w:rsidR="00DB6DF3" w:rsidRPr="00266093" w:rsidRDefault="00DB6DF3" w:rsidP="00A87190">
      <w:pPr>
        <w:rPr>
          <w:lang w:val="it-IT"/>
        </w:rPr>
      </w:pPr>
      <w:r w:rsidRPr="00266093">
        <w:rPr>
          <w:b/>
          <w:lang w:val="it-IT"/>
        </w:rPr>
        <w:t>Punti salienti del parere:</w:t>
      </w:r>
    </w:p>
    <w:p w:rsidR="00DB6DF3" w:rsidRPr="00266093" w:rsidRDefault="00DB6DF3" w:rsidP="00DB6DF3">
      <w:pPr>
        <w:spacing w:line="240" w:lineRule="auto"/>
        <w:rPr>
          <w:color w:val="000000"/>
          <w:lang w:val="it-IT"/>
        </w:rPr>
      </w:pPr>
    </w:p>
    <w:p w:rsidR="00DB6DF3" w:rsidRPr="00266093" w:rsidRDefault="00DB6DF3" w:rsidP="00FE0D9A">
      <w:pPr>
        <w:numPr>
          <w:ilvl w:val="0"/>
          <w:numId w:val="2"/>
        </w:numPr>
        <w:spacing w:line="276" w:lineRule="auto"/>
        <w:rPr>
          <w:color w:val="000000"/>
          <w:lang w:val="it-IT"/>
        </w:rPr>
      </w:pPr>
      <w:r w:rsidRPr="00266093">
        <w:rPr>
          <w:color w:val="000000"/>
          <w:lang w:val="it-IT"/>
        </w:rPr>
        <w:t>La Commissione utilizza la rilevazione statistica dei trasporti ferroviari per valutare gli effetti delle azioni condotte dall'UE in questo settore e predisporre, se del caso, nuovi interventi.</w:t>
      </w:r>
    </w:p>
    <w:p w:rsidR="00DB6DF3" w:rsidRPr="00266093" w:rsidRDefault="00DB6DF3" w:rsidP="00FE0D9A">
      <w:pPr>
        <w:spacing w:line="276" w:lineRule="auto"/>
        <w:rPr>
          <w:color w:val="000000"/>
          <w:lang w:val="it-IT"/>
        </w:rPr>
      </w:pPr>
    </w:p>
    <w:p w:rsidR="00DB6DF3" w:rsidRPr="00266093" w:rsidRDefault="00DB6DF3" w:rsidP="00FE0D9A">
      <w:pPr>
        <w:numPr>
          <w:ilvl w:val="0"/>
          <w:numId w:val="2"/>
        </w:numPr>
        <w:spacing w:line="276" w:lineRule="auto"/>
        <w:rPr>
          <w:color w:val="000000"/>
          <w:lang w:val="it-IT"/>
        </w:rPr>
      </w:pPr>
      <w:r w:rsidRPr="00266093">
        <w:rPr>
          <w:color w:val="000000"/>
          <w:lang w:val="it-IT"/>
        </w:rPr>
        <w:t xml:space="preserve">Tali statistiche, esistenti dal 1980, all'inizio erano parziali e poco dettagliate. Nel 2003 un nuovo atto giuridico, più precisamente il regolamento CE n. 91/2003, ha introdotto delle modifiche e delle aggiunte di contenuto. Da allora gli Stati membri devono raccogliere e trasmettere statistiche annuali, trimestrali o quinquennali relative alle prestazioni del trasporto di merci e di passeggeri, </w:t>
      </w:r>
      <w:proofErr w:type="gramStart"/>
      <w:r w:rsidRPr="00266093">
        <w:rPr>
          <w:color w:val="000000"/>
          <w:lang w:val="it-IT"/>
        </w:rPr>
        <w:t>sulla base di</w:t>
      </w:r>
      <w:proofErr w:type="gramEnd"/>
      <w:r w:rsidRPr="00266093">
        <w:rPr>
          <w:color w:val="000000"/>
          <w:lang w:val="it-IT"/>
        </w:rPr>
        <w:t xml:space="preserve"> indicatori specifici.</w:t>
      </w:r>
    </w:p>
    <w:p w:rsidR="00DB6DF3" w:rsidRPr="00266093" w:rsidRDefault="00DB6DF3" w:rsidP="00DB6DF3">
      <w:pPr>
        <w:spacing w:line="240" w:lineRule="auto"/>
        <w:rPr>
          <w:color w:val="000000"/>
          <w:lang w:val="it-IT"/>
        </w:rPr>
      </w:pPr>
    </w:p>
    <w:p w:rsidR="00DB6DF3" w:rsidRPr="00266093" w:rsidRDefault="00DB6DF3" w:rsidP="00FE0D9A">
      <w:pPr>
        <w:numPr>
          <w:ilvl w:val="0"/>
          <w:numId w:val="2"/>
        </w:numPr>
        <w:spacing w:line="276" w:lineRule="auto"/>
        <w:rPr>
          <w:color w:val="000000"/>
          <w:lang w:val="it-IT"/>
        </w:rPr>
      </w:pPr>
      <w:r w:rsidRPr="00266093">
        <w:rPr>
          <w:color w:val="000000"/>
          <w:lang w:val="it-IT"/>
        </w:rPr>
        <w:t xml:space="preserve">Nel frattempo, il regolamento (CE) n. 91/2003 </w:t>
      </w:r>
      <w:proofErr w:type="gramStart"/>
      <w:r w:rsidRPr="00266093">
        <w:rPr>
          <w:color w:val="000000"/>
          <w:lang w:val="it-IT"/>
        </w:rPr>
        <w:t>è</w:t>
      </w:r>
      <w:proofErr w:type="gramEnd"/>
      <w:r w:rsidRPr="00266093">
        <w:rPr>
          <w:color w:val="000000"/>
          <w:lang w:val="it-IT"/>
        </w:rPr>
        <w:t xml:space="preserve"> stato modificato e completato dai regolamenti </w:t>
      </w:r>
      <w:r w:rsidRPr="00266093">
        <w:rPr>
          <w:lang w:val="it-IT"/>
        </w:rPr>
        <w:t>n. 1192/2003, 219/2009 e 2016/2032, al punto che un gran numero di disposizioni si trovano ora disseminate altrove.</w:t>
      </w:r>
    </w:p>
    <w:p w:rsidR="00DB6DF3" w:rsidRPr="00266093" w:rsidRDefault="00DB6DF3" w:rsidP="00DB6DF3">
      <w:pPr>
        <w:spacing w:line="240" w:lineRule="auto"/>
        <w:rPr>
          <w:color w:val="000000"/>
          <w:lang w:val="it-IT"/>
        </w:rPr>
      </w:pPr>
    </w:p>
    <w:p w:rsidR="00DB6DF3" w:rsidRPr="00266093" w:rsidRDefault="00DB6DF3" w:rsidP="00FE0D9A">
      <w:pPr>
        <w:numPr>
          <w:ilvl w:val="0"/>
          <w:numId w:val="2"/>
        </w:numPr>
        <w:spacing w:line="276" w:lineRule="auto"/>
        <w:rPr>
          <w:color w:val="000000"/>
          <w:lang w:val="it-IT"/>
        </w:rPr>
      </w:pPr>
      <w:r w:rsidRPr="00266093">
        <w:rPr>
          <w:color w:val="000000"/>
          <w:lang w:val="it-IT"/>
        </w:rPr>
        <w:t xml:space="preserve">La Commissione si è limitata </w:t>
      </w:r>
      <w:proofErr w:type="gramStart"/>
      <w:r w:rsidRPr="00266093">
        <w:rPr>
          <w:color w:val="000000"/>
          <w:lang w:val="it-IT"/>
        </w:rPr>
        <w:t>ad</w:t>
      </w:r>
      <w:proofErr w:type="gramEnd"/>
      <w:r w:rsidRPr="00266093">
        <w:rPr>
          <w:color w:val="000000"/>
          <w:lang w:val="it-IT"/>
        </w:rPr>
        <w:t xml:space="preserve"> effettuare una semplice "</w:t>
      </w:r>
      <w:r w:rsidR="00266093" w:rsidRPr="00266093">
        <w:rPr>
          <w:color w:val="000000"/>
          <w:lang w:val="it-IT"/>
        </w:rPr>
        <w:t>codificazione</w:t>
      </w:r>
      <w:r w:rsidRPr="00266093">
        <w:rPr>
          <w:color w:val="000000"/>
          <w:lang w:val="it-IT"/>
        </w:rPr>
        <w:t xml:space="preserve">", integrando il contenuto dei vari regolamenti precedenti in un insieme armonizzato e coerente. L'unica eccezione è la soppressione del paragrafo </w:t>
      </w:r>
      <w:proofErr w:type="gramStart"/>
      <w:r w:rsidRPr="00266093">
        <w:rPr>
          <w:color w:val="000000"/>
          <w:lang w:val="it-IT"/>
        </w:rPr>
        <w:t>5</w:t>
      </w:r>
      <w:proofErr w:type="gramEnd"/>
      <w:r w:rsidRPr="00266093">
        <w:rPr>
          <w:color w:val="000000"/>
          <w:lang w:val="it-IT"/>
        </w:rPr>
        <w:t xml:space="preserve"> dell'articolo 4 del regolamento n. 91/2003.</w:t>
      </w:r>
    </w:p>
    <w:p w:rsidR="00DB6DF3" w:rsidRPr="00266093" w:rsidRDefault="00DB6DF3" w:rsidP="00FE0D9A">
      <w:pPr>
        <w:spacing w:line="276" w:lineRule="auto"/>
        <w:rPr>
          <w:color w:val="000000"/>
          <w:lang w:val="it-IT"/>
        </w:rPr>
      </w:pPr>
    </w:p>
    <w:p w:rsidR="00DB6DF3" w:rsidRPr="00266093" w:rsidRDefault="00DB6DF3" w:rsidP="00FE0D9A">
      <w:pPr>
        <w:spacing w:line="276" w:lineRule="auto"/>
        <w:ind w:left="720"/>
        <w:rPr>
          <w:color w:val="000000"/>
          <w:lang w:val="it-IT"/>
        </w:rPr>
      </w:pPr>
      <w:r w:rsidRPr="00266093">
        <w:rPr>
          <w:color w:val="000000"/>
          <w:lang w:val="it-IT"/>
        </w:rPr>
        <w:t xml:space="preserve">Il CESE esprime soddisfazione per il contenuto generale della proposta della Commissione </w:t>
      </w:r>
      <w:proofErr w:type="gramStart"/>
      <w:r w:rsidRPr="00266093">
        <w:rPr>
          <w:color w:val="000000"/>
          <w:lang w:val="it-IT"/>
        </w:rPr>
        <w:t>relativa alle</w:t>
      </w:r>
      <w:proofErr w:type="gramEnd"/>
      <w:r w:rsidRPr="00266093">
        <w:rPr>
          <w:color w:val="000000"/>
          <w:lang w:val="it-IT"/>
        </w:rPr>
        <w:t xml:space="preserve"> statistiche dei trasporti ferroviari e approva la rifusione orizzontale dei quattro regolamenti in vigore.</w:t>
      </w:r>
    </w:p>
    <w:p w:rsidR="00DB6DF3" w:rsidRPr="00266093" w:rsidRDefault="00DB6DF3" w:rsidP="00DB6DF3">
      <w:pPr>
        <w:keepNext/>
        <w:spacing w:line="240" w:lineRule="auto"/>
        <w:ind w:left="-567"/>
        <w:rPr>
          <w:color w:val="000000"/>
          <w:lang w:val="it-IT"/>
        </w:rPr>
      </w:pPr>
    </w:p>
    <w:p w:rsidR="005D2872" w:rsidRPr="00266093" w:rsidRDefault="005D2872" w:rsidP="00DB6DF3">
      <w:pPr>
        <w:keepNext/>
        <w:spacing w:line="240" w:lineRule="auto"/>
        <w:ind w:left="-567"/>
        <w:rPr>
          <w:color w:val="000000"/>
          <w:lang w:val="it-IT"/>
        </w:rPr>
      </w:pPr>
    </w:p>
    <w:p w:rsidR="00DB6DF3" w:rsidRPr="00266093" w:rsidRDefault="00DB6DF3" w:rsidP="00760E25">
      <w:pPr>
        <w:tabs>
          <w:tab w:val="left" w:pos="1418"/>
        </w:tabs>
        <w:rPr>
          <w:i/>
          <w:szCs w:val="22"/>
          <w:lang w:val="it-IT"/>
        </w:rPr>
      </w:pPr>
      <w:r w:rsidRPr="00266093">
        <w:rPr>
          <w:b/>
          <w:i/>
          <w:lang w:val="it-IT"/>
        </w:rPr>
        <w:t xml:space="preserve">Persona da </w:t>
      </w:r>
      <w:proofErr w:type="gramStart"/>
      <w:r w:rsidRPr="00266093">
        <w:rPr>
          <w:b/>
          <w:i/>
          <w:lang w:val="it-IT"/>
        </w:rPr>
        <w:t>contattare</w:t>
      </w:r>
      <w:proofErr w:type="gramEnd"/>
      <w:r w:rsidRPr="00266093">
        <w:rPr>
          <w:b/>
          <w:i/>
          <w:lang w:val="it-IT"/>
        </w:rPr>
        <w:t>:</w:t>
      </w:r>
      <w:r w:rsidR="00034443" w:rsidRPr="00266093">
        <w:rPr>
          <w:b/>
          <w:i/>
          <w:lang w:val="it-IT"/>
        </w:rPr>
        <w:t xml:space="preserve"> </w:t>
      </w:r>
      <w:r w:rsidRPr="00266093">
        <w:rPr>
          <w:i/>
          <w:lang w:val="it-IT"/>
        </w:rPr>
        <w:t>Agota BAZSIK</w:t>
      </w:r>
    </w:p>
    <w:p w:rsidR="00DB6DF3" w:rsidRPr="00266093" w:rsidRDefault="00760E25" w:rsidP="00FE0D9A">
      <w:pPr>
        <w:tabs>
          <w:tab w:val="left" w:pos="2127"/>
        </w:tabs>
        <w:jc w:val="left"/>
        <w:rPr>
          <w:caps/>
          <w:lang w:val="it-IT"/>
        </w:rPr>
      </w:pPr>
      <w:r w:rsidRPr="00266093">
        <w:rPr>
          <w:lang w:val="it-IT"/>
        </w:rPr>
        <w:tab/>
      </w:r>
      <w:r w:rsidRPr="00266093">
        <w:rPr>
          <w:i/>
          <w:lang w:val="it-IT"/>
        </w:rPr>
        <w:t>(</w:t>
      </w:r>
      <w:r w:rsidR="00266093" w:rsidRPr="00266093">
        <w:rPr>
          <w:i/>
          <w:lang w:val="it-IT"/>
        </w:rPr>
        <w:t>Tel.:</w:t>
      </w:r>
      <w:r w:rsidRPr="00266093">
        <w:rPr>
          <w:i/>
          <w:lang w:val="it-IT"/>
        </w:rPr>
        <w:t xml:space="preserve"> 00 32 2 546 8658 - e-mail: </w:t>
      </w:r>
      <w:hyperlink r:id="rId27">
        <w:r w:rsidRPr="00266093">
          <w:rPr>
            <w:rStyle w:val="Hyperlink"/>
            <w:i/>
            <w:lang w:val="it-IT"/>
          </w:rPr>
          <w:t>Agota.Bazsik@eesc.europa.eu</w:t>
        </w:r>
      </w:hyperlink>
      <w:r w:rsidRPr="00266093">
        <w:rPr>
          <w:i/>
          <w:lang w:val="it-IT"/>
        </w:rPr>
        <w:t>)</w:t>
      </w:r>
    </w:p>
    <w:p w:rsidR="00DB6DF3" w:rsidRPr="00266093" w:rsidRDefault="00DB6DF3">
      <w:pPr>
        <w:jc w:val="left"/>
        <w:rPr>
          <w:caps/>
          <w:lang w:val="it-IT"/>
        </w:rPr>
      </w:pPr>
    </w:p>
    <w:p w:rsidR="00DB6DF3" w:rsidRPr="00266093" w:rsidRDefault="00983AF9" w:rsidP="00A87190">
      <w:pPr>
        <w:overflowPunct/>
        <w:autoSpaceDE/>
        <w:autoSpaceDN/>
        <w:adjustRightInd/>
        <w:spacing w:line="240" w:lineRule="auto"/>
        <w:jc w:val="left"/>
        <w:textAlignment w:val="auto"/>
        <w:rPr>
          <w:caps/>
          <w:lang w:val="it-IT"/>
        </w:rPr>
      </w:pPr>
      <w:r w:rsidRPr="00266093">
        <w:rPr>
          <w:lang w:val="it-IT"/>
        </w:rPr>
        <w:br w:type="page"/>
      </w:r>
    </w:p>
    <w:p w:rsidR="00DB6DF3" w:rsidRPr="00266093" w:rsidRDefault="00DB6DF3" w:rsidP="00760E25">
      <w:pPr>
        <w:pStyle w:val="ListParagraph"/>
        <w:widowControl w:val="0"/>
        <w:numPr>
          <w:ilvl w:val="0"/>
          <w:numId w:val="17"/>
        </w:numPr>
        <w:spacing w:line="240" w:lineRule="auto"/>
        <w:rPr>
          <w:bCs/>
          <w:i/>
          <w:lang w:val="it-IT"/>
        </w:rPr>
      </w:pPr>
      <w:r w:rsidRPr="00266093">
        <w:rPr>
          <w:b/>
          <w:i/>
          <w:sz w:val="28"/>
          <w:lang w:val="it-IT"/>
        </w:rPr>
        <w:t xml:space="preserve">Veicoli noleggiati senza conducente per il trasporto di merci su </w:t>
      </w:r>
      <w:proofErr w:type="gramStart"/>
      <w:r w:rsidRPr="00266093">
        <w:rPr>
          <w:b/>
          <w:i/>
          <w:sz w:val="28"/>
          <w:lang w:val="it-IT"/>
        </w:rPr>
        <w:t>strada</w:t>
      </w:r>
      <w:proofErr w:type="gramEnd"/>
    </w:p>
    <w:p w:rsidR="00DB6DF3" w:rsidRPr="00266093" w:rsidRDefault="00DB6DF3" w:rsidP="00DB6DF3">
      <w:pPr>
        <w:widowControl w:val="0"/>
        <w:spacing w:line="240" w:lineRule="auto"/>
        <w:rPr>
          <w:bCs/>
          <w:lang w:val="it-IT"/>
        </w:rPr>
      </w:pPr>
    </w:p>
    <w:p w:rsidR="00DB6DF3" w:rsidRPr="00266093" w:rsidRDefault="00DB6DF3" w:rsidP="00DB6DF3">
      <w:pPr>
        <w:widowControl w:val="0"/>
        <w:spacing w:line="240" w:lineRule="auto"/>
        <w:rPr>
          <w:bCs/>
          <w:lang w:val="it-IT"/>
        </w:rPr>
      </w:pPr>
    </w:p>
    <w:p w:rsidR="00DB6DF3" w:rsidRPr="00266093" w:rsidRDefault="00266093" w:rsidP="00760E25">
      <w:pPr>
        <w:tabs>
          <w:tab w:val="left" w:pos="1701"/>
        </w:tabs>
        <w:rPr>
          <w:szCs w:val="22"/>
          <w:lang w:val="it-IT"/>
        </w:rPr>
      </w:pPr>
      <w:r w:rsidRPr="00266093">
        <w:rPr>
          <w:b/>
          <w:lang w:val="it-IT"/>
        </w:rPr>
        <w:t>Relatore</w:t>
      </w:r>
      <w:r w:rsidR="00DB6DF3" w:rsidRPr="00266093">
        <w:rPr>
          <w:b/>
          <w:lang w:val="it-IT"/>
        </w:rPr>
        <w:t>:</w:t>
      </w:r>
      <w:r w:rsidR="00DB6DF3" w:rsidRPr="00266093">
        <w:rPr>
          <w:lang w:val="it-IT"/>
        </w:rPr>
        <w:tab/>
        <w:t>Brian CURTIS (Lavoratori - UK)</w:t>
      </w:r>
    </w:p>
    <w:p w:rsidR="00760E25" w:rsidRPr="00266093" w:rsidRDefault="00760E25" w:rsidP="00760E25">
      <w:pPr>
        <w:tabs>
          <w:tab w:val="left" w:pos="1701"/>
        </w:tabs>
        <w:rPr>
          <w:szCs w:val="22"/>
          <w:lang w:val="it-IT"/>
        </w:rPr>
      </w:pPr>
    </w:p>
    <w:p w:rsidR="00760E25" w:rsidRPr="00266093" w:rsidRDefault="00DB6DF3" w:rsidP="00760E25">
      <w:pPr>
        <w:tabs>
          <w:tab w:val="num" w:pos="550"/>
          <w:tab w:val="left" w:pos="1701"/>
        </w:tabs>
        <w:rPr>
          <w:lang w:val="it-IT"/>
        </w:rPr>
      </w:pPr>
      <w:r w:rsidRPr="00266093">
        <w:rPr>
          <w:b/>
          <w:lang w:val="it-IT"/>
        </w:rPr>
        <w:t>Riferimenti:</w:t>
      </w:r>
      <w:r w:rsidRPr="00266093">
        <w:rPr>
          <w:lang w:val="it-IT"/>
        </w:rPr>
        <w:tab/>
        <w:t>COM</w:t>
      </w:r>
      <w:proofErr w:type="gramStart"/>
      <w:r w:rsidRPr="00266093">
        <w:rPr>
          <w:lang w:val="it-IT"/>
        </w:rPr>
        <w:t>(</w:t>
      </w:r>
      <w:proofErr w:type="gramEnd"/>
      <w:r w:rsidRPr="00266093">
        <w:rPr>
          <w:lang w:val="it-IT"/>
        </w:rPr>
        <w:t>2017) 282 final - 2017/0113 (COD)</w:t>
      </w:r>
    </w:p>
    <w:p w:rsidR="00DB6DF3" w:rsidRPr="00266093" w:rsidRDefault="00760E25" w:rsidP="00760E25">
      <w:pPr>
        <w:tabs>
          <w:tab w:val="left" w:pos="1701"/>
        </w:tabs>
        <w:rPr>
          <w:lang w:val="it-IT"/>
        </w:rPr>
      </w:pPr>
      <w:r w:rsidRPr="00266093">
        <w:rPr>
          <w:lang w:val="it-IT"/>
        </w:rPr>
        <w:tab/>
      </w:r>
      <w:proofErr w:type="gramStart"/>
      <w:r w:rsidRPr="00266093">
        <w:rPr>
          <w:lang w:val="it-IT"/>
        </w:rPr>
        <w:t>EESC-2017-2882-00-00-A</w:t>
      </w:r>
      <w:r w:rsidR="009523ED" w:rsidRPr="00266093">
        <w:rPr>
          <w:lang w:val="it-IT"/>
        </w:rPr>
        <w:t>C</w:t>
      </w:r>
      <w:r w:rsidRPr="00266093">
        <w:rPr>
          <w:lang w:val="it-IT"/>
        </w:rPr>
        <w:t>-TRA</w:t>
      </w:r>
      <w:proofErr w:type="gramEnd"/>
    </w:p>
    <w:p w:rsidR="00DB6DF3" w:rsidRPr="00266093" w:rsidRDefault="00DB6DF3" w:rsidP="00DB6DF3">
      <w:pPr>
        <w:tabs>
          <w:tab w:val="num" w:pos="550"/>
        </w:tabs>
        <w:rPr>
          <w:b/>
          <w:szCs w:val="22"/>
          <w:lang w:val="it-IT"/>
        </w:rPr>
      </w:pPr>
    </w:p>
    <w:p w:rsidR="00DB6DF3" w:rsidRPr="00266093" w:rsidRDefault="00DB6DF3" w:rsidP="00DB6DF3">
      <w:pPr>
        <w:rPr>
          <w:b/>
          <w:szCs w:val="22"/>
          <w:lang w:val="it-IT"/>
        </w:rPr>
      </w:pPr>
      <w:r w:rsidRPr="00266093">
        <w:rPr>
          <w:b/>
          <w:lang w:val="it-IT"/>
        </w:rPr>
        <w:t>Punti salienti del parere:</w:t>
      </w:r>
    </w:p>
    <w:p w:rsidR="009E5586" w:rsidRPr="00266093" w:rsidRDefault="009E5586" w:rsidP="00DB6DF3">
      <w:pPr>
        <w:rPr>
          <w:lang w:val="it-IT"/>
        </w:rPr>
      </w:pPr>
    </w:p>
    <w:p w:rsidR="00DB6DF3" w:rsidRPr="00266093" w:rsidRDefault="00DB6DF3" w:rsidP="00FE0D9A">
      <w:pPr>
        <w:numPr>
          <w:ilvl w:val="0"/>
          <w:numId w:val="2"/>
        </w:numPr>
        <w:ind w:left="714" w:hanging="357"/>
        <w:rPr>
          <w:color w:val="000000"/>
          <w:lang w:val="it-IT"/>
        </w:rPr>
      </w:pPr>
      <w:r w:rsidRPr="00266093">
        <w:rPr>
          <w:color w:val="000000"/>
          <w:lang w:val="it-IT"/>
        </w:rPr>
        <w:t xml:space="preserve">Il CESE accoglie con favore </w:t>
      </w:r>
      <w:proofErr w:type="gramStart"/>
      <w:r w:rsidRPr="00266093">
        <w:rPr>
          <w:color w:val="000000"/>
          <w:lang w:val="it-IT"/>
        </w:rPr>
        <w:t>questo</w:t>
      </w:r>
      <w:proofErr w:type="gramEnd"/>
      <w:r w:rsidRPr="00266093">
        <w:rPr>
          <w:color w:val="000000"/>
          <w:lang w:val="it-IT"/>
        </w:rPr>
        <w:t xml:space="preserve"> ulteriore passo in avanti nell'eliminazione di alcuni degli ostacoli residui a un mercato unico efficace ed equo nel settore dell'autotrasporto europeo. In questo caso la direttiva di modifica è intesa a facilitare l'uso ottimale dei parchi veicoli in tutta Europa, in particolare durante i picchi stagionali, e attua un livello minimo di liberalizzazione. L'uso di un veicolo noleggiato in un altro Stato membro dovrebbe inoltre essere ammesso per un periodo di almeno quattro mesi in modo da consentire alle imprese di far fronte a picchi di domanda temporanei o stagionali e/o di sostituire veicoli difettosi o guasti.</w:t>
      </w:r>
    </w:p>
    <w:p w:rsidR="00DB6DF3" w:rsidRPr="00266093" w:rsidRDefault="00DB6DF3" w:rsidP="00E53332">
      <w:pPr>
        <w:spacing w:line="240" w:lineRule="auto"/>
        <w:rPr>
          <w:color w:val="000000"/>
          <w:lang w:val="it-IT"/>
        </w:rPr>
      </w:pPr>
    </w:p>
    <w:p w:rsidR="00DB6DF3" w:rsidRPr="00266093" w:rsidRDefault="00DB6DF3" w:rsidP="00FE0D9A">
      <w:pPr>
        <w:numPr>
          <w:ilvl w:val="0"/>
          <w:numId w:val="2"/>
        </w:numPr>
        <w:ind w:left="714" w:hanging="357"/>
        <w:rPr>
          <w:color w:val="000000"/>
          <w:lang w:val="it-IT"/>
        </w:rPr>
      </w:pPr>
      <w:r w:rsidRPr="00266093">
        <w:rPr>
          <w:color w:val="000000"/>
          <w:lang w:val="it-IT"/>
        </w:rPr>
        <w:t xml:space="preserve">Occorrerebbe applicare </w:t>
      </w:r>
      <w:proofErr w:type="gramStart"/>
      <w:r w:rsidRPr="00266093">
        <w:rPr>
          <w:color w:val="000000"/>
          <w:lang w:val="it-IT"/>
        </w:rPr>
        <w:t>ulteriori</w:t>
      </w:r>
      <w:proofErr w:type="gramEnd"/>
      <w:r w:rsidRPr="00266093">
        <w:rPr>
          <w:color w:val="000000"/>
          <w:lang w:val="it-IT"/>
        </w:rPr>
        <w:t xml:space="preserve"> misure per dissuadere gli operatori dall'approfittare delle differenze nelle tasse di immatricolazione dei veicoli che intercorrono tra gli Stati membri, ad esempio fissando un massimale relativo alla parte del parco veicoli di proprietà di un operatore che può essere trasferita temporaneamente a un affiliato in un altro Stato membro.</w:t>
      </w:r>
    </w:p>
    <w:p w:rsidR="00DB6DF3" w:rsidRPr="00266093" w:rsidRDefault="00DB6DF3" w:rsidP="00E53332">
      <w:pPr>
        <w:spacing w:line="240" w:lineRule="auto"/>
        <w:rPr>
          <w:color w:val="000000"/>
          <w:lang w:val="it-IT"/>
        </w:rPr>
      </w:pPr>
    </w:p>
    <w:p w:rsidR="00DB6DF3" w:rsidRPr="00266093" w:rsidRDefault="00DB6DF3" w:rsidP="00FE0D9A">
      <w:pPr>
        <w:numPr>
          <w:ilvl w:val="0"/>
          <w:numId w:val="2"/>
        </w:numPr>
        <w:ind w:left="714" w:hanging="357"/>
        <w:rPr>
          <w:color w:val="000000"/>
          <w:lang w:val="it-IT"/>
        </w:rPr>
      </w:pPr>
      <w:r w:rsidRPr="00266093">
        <w:rPr>
          <w:color w:val="000000"/>
          <w:lang w:val="it-IT"/>
        </w:rPr>
        <w:t xml:space="preserve">Il Comitato </w:t>
      </w:r>
      <w:proofErr w:type="gramStart"/>
      <w:r w:rsidRPr="00266093">
        <w:rPr>
          <w:color w:val="000000"/>
          <w:lang w:val="it-IT"/>
        </w:rPr>
        <w:t>constata</w:t>
      </w:r>
      <w:proofErr w:type="gramEnd"/>
      <w:r w:rsidRPr="00266093">
        <w:rPr>
          <w:color w:val="000000"/>
          <w:lang w:val="it-IT"/>
        </w:rPr>
        <w:t xml:space="preserve"> che, malgrado l'impiego di metodi di tracciatura sempre più efficaci, il cabotaggio illegale rimane un serio problema nel settore del trasporto di merci su strada. Sussiste il rischio che la sua individuazione possa essere resa ancora più difficile dall'attuazione delle misure contenute nella direttiva in esame.</w:t>
      </w:r>
    </w:p>
    <w:p w:rsidR="00DB6DF3" w:rsidRPr="00266093" w:rsidRDefault="00DB6DF3" w:rsidP="00E53332">
      <w:pPr>
        <w:spacing w:line="240" w:lineRule="auto"/>
        <w:ind w:left="-567"/>
        <w:rPr>
          <w:color w:val="000000"/>
          <w:lang w:val="it-IT"/>
        </w:rPr>
      </w:pPr>
    </w:p>
    <w:p w:rsidR="00DB6DF3" w:rsidRPr="00266093" w:rsidRDefault="00DB6DF3" w:rsidP="00E53332">
      <w:pPr>
        <w:tabs>
          <w:tab w:val="left" w:pos="1418"/>
        </w:tabs>
        <w:spacing w:line="240" w:lineRule="auto"/>
        <w:ind w:left="-567"/>
        <w:rPr>
          <w:color w:val="000000"/>
          <w:lang w:val="it-IT"/>
        </w:rPr>
      </w:pPr>
    </w:p>
    <w:p w:rsidR="00DB6DF3" w:rsidRPr="00266093" w:rsidRDefault="00DB6DF3" w:rsidP="00E53332">
      <w:pPr>
        <w:tabs>
          <w:tab w:val="left" w:pos="1418"/>
        </w:tabs>
        <w:rPr>
          <w:i/>
          <w:szCs w:val="22"/>
          <w:lang w:val="it-IT"/>
        </w:rPr>
      </w:pPr>
      <w:r w:rsidRPr="00266093">
        <w:rPr>
          <w:b/>
          <w:i/>
          <w:lang w:val="it-IT"/>
        </w:rPr>
        <w:t xml:space="preserve">Persona da </w:t>
      </w:r>
      <w:proofErr w:type="gramStart"/>
      <w:r w:rsidRPr="00266093">
        <w:rPr>
          <w:b/>
          <w:i/>
          <w:lang w:val="it-IT"/>
        </w:rPr>
        <w:t>contattare</w:t>
      </w:r>
      <w:proofErr w:type="gramEnd"/>
      <w:r w:rsidRPr="00266093">
        <w:rPr>
          <w:b/>
          <w:i/>
          <w:lang w:val="it-IT"/>
        </w:rPr>
        <w:t>:</w:t>
      </w:r>
      <w:r w:rsidR="00B75CCE" w:rsidRPr="00266093">
        <w:rPr>
          <w:b/>
          <w:i/>
          <w:lang w:val="it-IT"/>
        </w:rPr>
        <w:t xml:space="preserve"> </w:t>
      </w:r>
      <w:r w:rsidRPr="00266093">
        <w:rPr>
          <w:i/>
          <w:lang w:val="it-IT"/>
        </w:rPr>
        <w:t>Antonio RIBEIRO PEREIRA</w:t>
      </w:r>
    </w:p>
    <w:p w:rsidR="00DB6DF3" w:rsidRPr="00266093" w:rsidRDefault="00760E25" w:rsidP="00FE0D9A">
      <w:pPr>
        <w:tabs>
          <w:tab w:val="left" w:pos="2127"/>
        </w:tabs>
        <w:jc w:val="left"/>
        <w:rPr>
          <w:caps/>
          <w:lang w:val="it-IT"/>
        </w:rPr>
      </w:pPr>
      <w:r w:rsidRPr="00266093">
        <w:rPr>
          <w:lang w:val="it-IT"/>
        </w:rPr>
        <w:tab/>
      </w:r>
      <w:r w:rsidRPr="00266093">
        <w:rPr>
          <w:i/>
          <w:lang w:val="it-IT"/>
        </w:rPr>
        <w:t>(</w:t>
      </w:r>
      <w:r w:rsidR="00266093" w:rsidRPr="00266093">
        <w:rPr>
          <w:i/>
          <w:lang w:val="it-IT"/>
        </w:rPr>
        <w:t>Tel.:</w:t>
      </w:r>
      <w:r w:rsidRPr="00266093">
        <w:rPr>
          <w:i/>
          <w:lang w:val="it-IT"/>
        </w:rPr>
        <w:t xml:space="preserve"> 00 32 2 546 9363 - e-mail: </w:t>
      </w:r>
      <w:hyperlink r:id="rId28">
        <w:r w:rsidRPr="00266093">
          <w:rPr>
            <w:rStyle w:val="Hyperlink"/>
            <w:i/>
            <w:lang w:val="it-IT"/>
          </w:rPr>
          <w:t>Antonio.RibeiroPereira@eesc.europa.eu</w:t>
        </w:r>
      </w:hyperlink>
      <w:r w:rsidRPr="00266093">
        <w:rPr>
          <w:i/>
          <w:lang w:val="it-IT"/>
        </w:rPr>
        <w:t>)</w:t>
      </w:r>
    </w:p>
    <w:p w:rsidR="00DB6DF3" w:rsidRPr="00266093" w:rsidRDefault="00DB6DF3">
      <w:pPr>
        <w:jc w:val="left"/>
        <w:rPr>
          <w:caps/>
          <w:lang w:val="it-IT"/>
        </w:rPr>
      </w:pPr>
    </w:p>
    <w:p w:rsidR="00E631B5" w:rsidRPr="00266093" w:rsidRDefault="00E631B5">
      <w:pPr>
        <w:overflowPunct/>
        <w:autoSpaceDE/>
        <w:autoSpaceDN/>
        <w:adjustRightInd/>
        <w:spacing w:line="240" w:lineRule="auto"/>
        <w:jc w:val="left"/>
        <w:textAlignment w:val="auto"/>
        <w:rPr>
          <w:caps/>
          <w:lang w:val="it-IT"/>
        </w:rPr>
      </w:pPr>
      <w:r w:rsidRPr="00266093">
        <w:rPr>
          <w:lang w:val="it-IT"/>
        </w:rPr>
        <w:br w:type="page"/>
      </w:r>
    </w:p>
    <w:p w:rsidR="00C45A67" w:rsidRPr="00266093" w:rsidRDefault="00760E25" w:rsidP="00E97DE3">
      <w:pPr>
        <w:pStyle w:val="Heading1"/>
        <w:rPr>
          <w:b/>
          <w:caps/>
          <w:lang w:val="it-IT"/>
        </w:rPr>
      </w:pPr>
      <w:r w:rsidRPr="00266093">
        <w:rPr>
          <w:lang w:val="it-IT"/>
        </w:rPr>
        <w:tab/>
      </w:r>
      <w:bookmarkStart w:id="11" w:name="_Toc499892046"/>
      <w:bookmarkStart w:id="12" w:name="_Toc501014831"/>
      <w:r w:rsidRPr="00266093">
        <w:rPr>
          <w:b/>
          <w:caps/>
          <w:lang w:val="it-IT"/>
        </w:rPr>
        <w:t>Ambiente</w:t>
      </w:r>
      <w:bookmarkEnd w:id="11"/>
      <w:bookmarkEnd w:id="12"/>
    </w:p>
    <w:p w:rsidR="00035B58" w:rsidRPr="00266093" w:rsidRDefault="00035B58" w:rsidP="00035B58">
      <w:pPr>
        <w:rPr>
          <w:b/>
          <w:iCs/>
          <w:u w:val="single"/>
          <w:lang w:val="it-IT"/>
        </w:rPr>
      </w:pPr>
    </w:p>
    <w:p w:rsidR="00035B58" w:rsidRPr="00266093" w:rsidRDefault="00035B58" w:rsidP="00BD37E2">
      <w:pPr>
        <w:pStyle w:val="ListParagraph"/>
        <w:numPr>
          <w:ilvl w:val="0"/>
          <w:numId w:val="32"/>
        </w:numPr>
        <w:rPr>
          <w:b/>
          <w:bCs/>
          <w:i/>
          <w:iCs/>
          <w:sz w:val="28"/>
          <w:szCs w:val="28"/>
          <w:lang w:val="it-IT"/>
        </w:rPr>
      </w:pPr>
      <w:r w:rsidRPr="00266093">
        <w:rPr>
          <w:b/>
          <w:i/>
          <w:sz w:val="28"/>
          <w:lang w:val="it-IT"/>
        </w:rPr>
        <w:t xml:space="preserve">Accesso alla giustizia a livello nazionale </w:t>
      </w:r>
      <w:proofErr w:type="gramStart"/>
      <w:r w:rsidRPr="00266093">
        <w:rPr>
          <w:b/>
          <w:i/>
          <w:sz w:val="28"/>
          <w:lang w:val="it-IT"/>
        </w:rPr>
        <w:t>relativamente alle</w:t>
      </w:r>
      <w:proofErr w:type="gramEnd"/>
      <w:r w:rsidRPr="00266093">
        <w:rPr>
          <w:b/>
          <w:i/>
          <w:sz w:val="28"/>
          <w:lang w:val="it-IT"/>
        </w:rPr>
        <w:t xml:space="preserve"> misure di attuazione del diritto ambientale dell'UE</w:t>
      </w:r>
    </w:p>
    <w:p w:rsidR="00035B58" w:rsidRPr="00266093" w:rsidRDefault="00035B58" w:rsidP="00035B58">
      <w:pPr>
        <w:widowControl w:val="0"/>
        <w:ind w:left="567"/>
        <w:rPr>
          <w:b/>
          <w:bCs/>
          <w:i/>
          <w:iCs/>
          <w:sz w:val="24"/>
          <w:szCs w:val="28"/>
          <w:lang w:val="it-IT"/>
        </w:rPr>
      </w:pPr>
    </w:p>
    <w:p w:rsidR="00035B58" w:rsidRPr="00266093" w:rsidRDefault="00266093" w:rsidP="000807B6">
      <w:pPr>
        <w:tabs>
          <w:tab w:val="left" w:pos="1701"/>
        </w:tabs>
        <w:rPr>
          <w:lang w:val="it-IT"/>
        </w:rPr>
      </w:pPr>
      <w:r w:rsidRPr="00266093">
        <w:rPr>
          <w:b/>
          <w:lang w:val="it-IT"/>
        </w:rPr>
        <w:t>Relatore</w:t>
      </w:r>
      <w:r w:rsidR="00035B58" w:rsidRPr="00266093">
        <w:rPr>
          <w:b/>
          <w:lang w:val="it-IT"/>
        </w:rPr>
        <w:t>:</w:t>
      </w:r>
      <w:r w:rsidR="00035B58" w:rsidRPr="00266093">
        <w:rPr>
          <w:lang w:val="it-IT"/>
        </w:rPr>
        <w:tab/>
        <w:t>Cillian LOHAN (Attività diverse - IE)</w:t>
      </w:r>
    </w:p>
    <w:p w:rsidR="00035B58" w:rsidRPr="00266093" w:rsidRDefault="00035B58" w:rsidP="000807B6">
      <w:pPr>
        <w:tabs>
          <w:tab w:val="left" w:pos="1701"/>
        </w:tabs>
        <w:rPr>
          <w:lang w:val="it-IT"/>
        </w:rPr>
      </w:pPr>
    </w:p>
    <w:p w:rsidR="00035B58" w:rsidRPr="00266093" w:rsidRDefault="00035B58" w:rsidP="000807B6">
      <w:pPr>
        <w:tabs>
          <w:tab w:val="left" w:pos="1701"/>
        </w:tabs>
        <w:rPr>
          <w:lang w:val="it-IT"/>
        </w:rPr>
      </w:pPr>
      <w:r w:rsidRPr="00266093">
        <w:rPr>
          <w:b/>
          <w:lang w:val="it-IT"/>
        </w:rPr>
        <w:t>Riferimenti:</w:t>
      </w:r>
      <w:r w:rsidRPr="00266093">
        <w:rPr>
          <w:lang w:val="it-IT"/>
        </w:rPr>
        <w:tab/>
        <w:t>C</w:t>
      </w:r>
      <w:proofErr w:type="gramStart"/>
      <w:r w:rsidRPr="00266093">
        <w:rPr>
          <w:lang w:val="it-IT"/>
        </w:rPr>
        <w:t>(</w:t>
      </w:r>
      <w:proofErr w:type="gramEnd"/>
      <w:r w:rsidRPr="00266093">
        <w:rPr>
          <w:lang w:val="it-IT"/>
        </w:rPr>
        <w:t>2017) 2616 final</w:t>
      </w:r>
    </w:p>
    <w:p w:rsidR="00035B58" w:rsidRPr="00266093" w:rsidRDefault="00035B58" w:rsidP="000807B6">
      <w:pPr>
        <w:tabs>
          <w:tab w:val="left" w:pos="1701"/>
        </w:tabs>
        <w:rPr>
          <w:lang w:val="it-IT"/>
        </w:rPr>
      </w:pPr>
      <w:r w:rsidRPr="00266093">
        <w:rPr>
          <w:lang w:val="it-IT"/>
        </w:rPr>
        <w:tab/>
      </w:r>
      <w:proofErr w:type="gramStart"/>
      <w:r w:rsidRPr="00266093">
        <w:rPr>
          <w:lang w:val="it-IT"/>
        </w:rPr>
        <w:t>EESC-2017-02820-00-00-A</w:t>
      </w:r>
      <w:r w:rsidR="0073619F" w:rsidRPr="00266093">
        <w:rPr>
          <w:lang w:val="it-IT"/>
        </w:rPr>
        <w:t>C</w:t>
      </w:r>
      <w:r w:rsidRPr="00266093">
        <w:rPr>
          <w:lang w:val="it-IT"/>
        </w:rPr>
        <w:t>-TRA</w:t>
      </w:r>
      <w:proofErr w:type="gramEnd"/>
    </w:p>
    <w:p w:rsidR="00BD37E2" w:rsidRPr="00266093" w:rsidRDefault="00BD37E2" w:rsidP="00BD37E2">
      <w:pPr>
        <w:rPr>
          <w:lang w:val="it-IT"/>
        </w:rPr>
      </w:pPr>
    </w:p>
    <w:p w:rsidR="00035B58" w:rsidRPr="00266093" w:rsidRDefault="00035B58" w:rsidP="00035B58">
      <w:pPr>
        <w:ind w:left="-5"/>
        <w:rPr>
          <w:bCs/>
          <w:iCs/>
          <w:lang w:val="it-IT"/>
        </w:rPr>
      </w:pPr>
      <w:r w:rsidRPr="00266093">
        <w:rPr>
          <w:b/>
          <w:lang w:val="it-IT"/>
        </w:rPr>
        <w:t>Punti salienti del parere:</w:t>
      </w:r>
    </w:p>
    <w:p w:rsidR="00035B58" w:rsidRPr="00266093" w:rsidRDefault="00035B58" w:rsidP="00035B58">
      <w:pPr>
        <w:rPr>
          <w:sz w:val="20"/>
          <w:lang w:val="it-IT"/>
        </w:rPr>
      </w:pPr>
    </w:p>
    <w:p w:rsidR="00035B58" w:rsidRPr="00266093" w:rsidRDefault="00035B58" w:rsidP="00FE0D9A">
      <w:pPr>
        <w:numPr>
          <w:ilvl w:val="0"/>
          <w:numId w:val="2"/>
        </w:numPr>
        <w:ind w:left="714" w:hanging="357"/>
        <w:rPr>
          <w:color w:val="000000"/>
          <w:lang w:val="it-IT"/>
        </w:rPr>
      </w:pPr>
      <w:r w:rsidRPr="00266093">
        <w:rPr>
          <w:color w:val="000000"/>
          <w:lang w:val="it-IT"/>
        </w:rPr>
        <w:t xml:space="preserve">Se </w:t>
      </w:r>
      <w:proofErr w:type="gramStart"/>
      <w:r w:rsidRPr="00266093">
        <w:rPr>
          <w:color w:val="000000"/>
          <w:lang w:val="it-IT"/>
        </w:rPr>
        <w:t>verrà</w:t>
      </w:r>
      <w:proofErr w:type="gramEnd"/>
      <w:r w:rsidRPr="00266093">
        <w:rPr>
          <w:color w:val="000000"/>
          <w:lang w:val="it-IT"/>
        </w:rPr>
        <w:t xml:space="preserve"> opportunamente divulgata, la comunicazione interpretativa della Commissione europea è destinata a recare ulteriori benefici, in termini di maggiore certezza e chiarezza, ai responsabili delle decisioni nell'ambito degli organi giurisdizionali e delle strutture amministrative nazionali, nonché alle imprese e ai cittadini. Un accesso coerente alla giustizia su tutto il territorio dell'UE costituisce un fattore essenziale a sostegno del mercato unico e di un'applicazione coerente dei diritti previsti dal </w:t>
      </w:r>
      <w:proofErr w:type="gramStart"/>
      <w:r w:rsidRPr="00266093">
        <w:rPr>
          <w:color w:val="000000"/>
          <w:lang w:val="it-IT"/>
        </w:rPr>
        <w:t>diritto</w:t>
      </w:r>
      <w:proofErr w:type="gramEnd"/>
      <w:r w:rsidRPr="00266093">
        <w:rPr>
          <w:color w:val="000000"/>
          <w:lang w:val="it-IT"/>
        </w:rPr>
        <w:t xml:space="preserve"> dell'UE sul suo territorio, oltre a fornire ai mercati e agli investitori la chiarezza e la certezza del diritto necessarie.</w:t>
      </w:r>
    </w:p>
    <w:p w:rsidR="00035B58" w:rsidRPr="00266093" w:rsidRDefault="00035B58" w:rsidP="00035B58">
      <w:pPr>
        <w:spacing w:line="240" w:lineRule="auto"/>
        <w:rPr>
          <w:lang w:val="it-IT"/>
        </w:rPr>
      </w:pPr>
    </w:p>
    <w:p w:rsidR="00035B58" w:rsidRPr="00266093" w:rsidRDefault="00035B58" w:rsidP="00FE0D9A">
      <w:pPr>
        <w:numPr>
          <w:ilvl w:val="0"/>
          <w:numId w:val="2"/>
        </w:numPr>
        <w:ind w:left="714" w:hanging="357"/>
        <w:rPr>
          <w:color w:val="000000"/>
          <w:lang w:val="it-IT"/>
        </w:rPr>
      </w:pPr>
      <w:r w:rsidRPr="00266093">
        <w:rPr>
          <w:color w:val="000000"/>
          <w:lang w:val="it-IT"/>
        </w:rPr>
        <w:t>Il CESE invoca una legislazione europea esaustiva e vincolante, necessaria per garantire un'esecuzione coerente e completa dell'accesso alla giustizia in tutta l'UE, come accompagnamento al positivo passo avanti segnato dalla comunicazione in materia di accesso alla giustizia.</w:t>
      </w:r>
    </w:p>
    <w:p w:rsidR="00035B58" w:rsidRPr="00266093" w:rsidRDefault="00035B58" w:rsidP="00035B58">
      <w:pPr>
        <w:spacing w:line="240" w:lineRule="auto"/>
        <w:rPr>
          <w:lang w:val="it-IT"/>
        </w:rPr>
      </w:pPr>
    </w:p>
    <w:p w:rsidR="00035B58" w:rsidRPr="00266093" w:rsidRDefault="00035B58" w:rsidP="00FE0D9A">
      <w:pPr>
        <w:numPr>
          <w:ilvl w:val="0"/>
          <w:numId w:val="2"/>
        </w:numPr>
        <w:ind w:left="714" w:hanging="357"/>
        <w:rPr>
          <w:color w:val="000000"/>
          <w:lang w:val="it-IT"/>
        </w:rPr>
      </w:pPr>
      <w:r w:rsidRPr="00266093">
        <w:rPr>
          <w:color w:val="000000"/>
          <w:lang w:val="it-IT"/>
        </w:rPr>
        <w:t>Affinché la comunicazione in esame abbia un effetto concreto, essa deve essere affiancata da interventi di formazione professionale e istruzione a livello di Stati membri che raggiungano tutti i destinatari previsti, e in particolare gli organi di ricorso giudiziari, quelli amministrativi e i cittadini.</w:t>
      </w:r>
    </w:p>
    <w:p w:rsidR="00035B58" w:rsidRPr="00266093" w:rsidRDefault="00035B58" w:rsidP="00035B58">
      <w:pPr>
        <w:spacing w:line="240" w:lineRule="auto"/>
        <w:rPr>
          <w:lang w:val="it-IT"/>
        </w:rPr>
      </w:pPr>
    </w:p>
    <w:p w:rsidR="00035B58" w:rsidRPr="00266093" w:rsidRDefault="00035B58" w:rsidP="00FE0D9A">
      <w:pPr>
        <w:numPr>
          <w:ilvl w:val="0"/>
          <w:numId w:val="2"/>
        </w:numPr>
        <w:ind w:left="714" w:hanging="357"/>
        <w:rPr>
          <w:color w:val="000000"/>
          <w:lang w:val="it-IT"/>
        </w:rPr>
      </w:pPr>
      <w:r w:rsidRPr="00266093">
        <w:rPr>
          <w:color w:val="000000"/>
          <w:lang w:val="it-IT"/>
        </w:rPr>
        <w:t xml:space="preserve">L'assegnazione di risorse e finanziamenti in quantità sufficiente a sostenere in modo efficace tali piani </w:t>
      </w:r>
      <w:proofErr w:type="gramStart"/>
      <w:r w:rsidRPr="00266093">
        <w:rPr>
          <w:color w:val="000000"/>
          <w:lang w:val="it-IT"/>
        </w:rPr>
        <w:t>deve</w:t>
      </w:r>
      <w:proofErr w:type="gramEnd"/>
      <w:r w:rsidRPr="00266093">
        <w:rPr>
          <w:color w:val="000000"/>
          <w:lang w:val="it-IT"/>
        </w:rPr>
        <w:t xml:space="preserve"> costituire una priorità per la Commissione così come per gli Stati membri.</w:t>
      </w:r>
    </w:p>
    <w:p w:rsidR="00035B58" w:rsidRPr="00266093" w:rsidRDefault="00035B58" w:rsidP="00035B58">
      <w:pPr>
        <w:spacing w:line="240" w:lineRule="auto"/>
        <w:rPr>
          <w:lang w:val="it-IT"/>
        </w:rPr>
      </w:pPr>
    </w:p>
    <w:p w:rsidR="00035B58" w:rsidRPr="00266093" w:rsidRDefault="00035B58" w:rsidP="00FE0D9A">
      <w:pPr>
        <w:numPr>
          <w:ilvl w:val="0"/>
          <w:numId w:val="2"/>
        </w:numPr>
        <w:ind w:left="714" w:hanging="357"/>
        <w:rPr>
          <w:lang w:val="it-IT"/>
        </w:rPr>
      </w:pPr>
      <w:r w:rsidRPr="00266093">
        <w:rPr>
          <w:color w:val="000000"/>
          <w:lang w:val="it-IT"/>
        </w:rPr>
        <w:t>La comunicazione interpretativa dovrà essere continuamente aggiornata. Sarà</w:t>
      </w:r>
      <w:proofErr w:type="gramStart"/>
      <w:r w:rsidRPr="00266093">
        <w:rPr>
          <w:color w:val="000000"/>
          <w:lang w:val="it-IT"/>
        </w:rPr>
        <w:t xml:space="preserve"> infatti</w:t>
      </w:r>
      <w:proofErr w:type="gramEnd"/>
      <w:r w:rsidRPr="00266093">
        <w:rPr>
          <w:color w:val="000000"/>
          <w:lang w:val="it-IT"/>
        </w:rPr>
        <w:t xml:space="preserve"> essenziale aggiornarne puntualmente il contenuto - e informarne i destinatari - al fine di tener conto di eventuali sviluppi nella giurisprudenza della Corte. Si dovrebbe esplorare la possibilità di uno strumento dinamico e aggiornato per la società civile, le pubbliche amministrazioni e gli organi giudiziari.</w:t>
      </w:r>
    </w:p>
    <w:p w:rsidR="00035B58" w:rsidRPr="00266093" w:rsidRDefault="00035B58" w:rsidP="00035B58">
      <w:pPr>
        <w:spacing w:line="240" w:lineRule="auto"/>
        <w:rPr>
          <w:lang w:val="it-IT"/>
        </w:rPr>
      </w:pPr>
    </w:p>
    <w:p w:rsidR="00035B58" w:rsidRPr="00266093" w:rsidRDefault="00035B58" w:rsidP="00FE0D9A">
      <w:pPr>
        <w:numPr>
          <w:ilvl w:val="0"/>
          <w:numId w:val="2"/>
        </w:numPr>
        <w:ind w:left="714" w:hanging="357"/>
        <w:rPr>
          <w:lang w:val="it-IT"/>
        </w:rPr>
      </w:pPr>
      <w:r w:rsidRPr="00266093">
        <w:rPr>
          <w:color w:val="000000"/>
          <w:lang w:val="it-IT"/>
        </w:rPr>
        <w:t xml:space="preserve">Ci si dovrebbe in primo luogo avvalere dei riscontri forniti dalle comunità di esperti, </w:t>
      </w:r>
      <w:proofErr w:type="gramStart"/>
      <w:r w:rsidRPr="00266093">
        <w:rPr>
          <w:color w:val="000000"/>
          <w:lang w:val="it-IT"/>
        </w:rPr>
        <w:t>nonché</w:t>
      </w:r>
      <w:proofErr w:type="gramEnd"/>
      <w:r w:rsidRPr="00266093">
        <w:rPr>
          <w:color w:val="000000"/>
          <w:lang w:val="it-IT"/>
        </w:rPr>
        <w:t xml:space="preserve"> affrontare, in ordine di priorità, le carenze e le omissioni nella comunicazione per gli Stati membri, considerando tra l'altro come affrontare gli ambiti in cui la giurisprudenza della Corte si presenta ancora lacunosa.</w:t>
      </w:r>
    </w:p>
    <w:p w:rsidR="00035B58" w:rsidRPr="00266093" w:rsidRDefault="00035B58" w:rsidP="00035B58">
      <w:pPr>
        <w:spacing w:line="240" w:lineRule="auto"/>
        <w:rPr>
          <w:lang w:val="it-IT"/>
        </w:rPr>
      </w:pPr>
    </w:p>
    <w:p w:rsidR="00035B58" w:rsidRPr="00266093" w:rsidRDefault="00035B58" w:rsidP="00FE0D9A">
      <w:pPr>
        <w:numPr>
          <w:ilvl w:val="0"/>
          <w:numId w:val="2"/>
        </w:numPr>
        <w:ind w:left="714" w:hanging="357"/>
        <w:rPr>
          <w:color w:val="000000"/>
          <w:lang w:val="it-IT"/>
        </w:rPr>
      </w:pPr>
      <w:r w:rsidRPr="00266093">
        <w:rPr>
          <w:color w:val="000000"/>
          <w:lang w:val="it-IT"/>
        </w:rPr>
        <w:t xml:space="preserve">Il CESE pone in evidenza i limiti della comunicazione interpretativa, che non ha tenuto conto delle conclusioni del comitato </w:t>
      </w:r>
      <w:proofErr w:type="gramStart"/>
      <w:r w:rsidRPr="00266093">
        <w:rPr>
          <w:color w:val="000000"/>
          <w:lang w:val="it-IT"/>
        </w:rPr>
        <w:t>di</w:t>
      </w:r>
      <w:proofErr w:type="gramEnd"/>
      <w:r w:rsidRPr="00266093">
        <w:rPr>
          <w:color w:val="000000"/>
          <w:lang w:val="it-IT"/>
        </w:rPr>
        <w:t xml:space="preserve"> controllo dell'osservanza della convenzione di Århus. Quest'importante e utile opera, che può affiancare la comunicazione della Commissione e assistere i responsabili politici e i cittadini nell'accesso alla giustizia, andrebbe senz'altro menzionata. Il CESE sostiene la convenzione di Århus e la sua piena applicazione da parte e all'interno dell'UE. È pertanto essenziale che le conclusioni in materia di conformità raggiunte dal comitato di controllo nominato dalle parti contraenti siano pienamente</w:t>
      </w:r>
      <w:r w:rsidR="000F0D21" w:rsidRPr="00266093">
        <w:rPr>
          <w:color w:val="000000"/>
          <w:lang w:val="it-IT"/>
        </w:rPr>
        <w:t xml:space="preserve"> appoggiate dalle </w:t>
      </w:r>
      <w:proofErr w:type="gramStart"/>
      <w:r w:rsidR="000F0D21" w:rsidRPr="00266093">
        <w:rPr>
          <w:color w:val="000000"/>
          <w:lang w:val="it-IT"/>
        </w:rPr>
        <w:t>parti</w:t>
      </w:r>
      <w:proofErr w:type="gramEnd"/>
      <w:r w:rsidR="000F0D21" w:rsidRPr="00266093">
        <w:rPr>
          <w:color w:val="000000"/>
          <w:lang w:val="it-IT"/>
        </w:rPr>
        <w:t xml:space="preserve"> stesse.</w:t>
      </w:r>
    </w:p>
    <w:p w:rsidR="00035B58" w:rsidRPr="00266093" w:rsidRDefault="00035B58" w:rsidP="00BD37E2">
      <w:pPr>
        <w:tabs>
          <w:tab w:val="left" w:pos="1418"/>
        </w:tabs>
        <w:rPr>
          <w:lang w:val="it-IT"/>
        </w:rPr>
      </w:pPr>
    </w:p>
    <w:p w:rsidR="00035B58" w:rsidRPr="00266093" w:rsidRDefault="00035B58" w:rsidP="00BD37E2">
      <w:pPr>
        <w:tabs>
          <w:tab w:val="left" w:pos="1418"/>
        </w:tabs>
        <w:rPr>
          <w:i/>
          <w:iCs/>
          <w:lang w:val="it-IT"/>
        </w:rPr>
      </w:pPr>
      <w:r w:rsidRPr="00266093">
        <w:rPr>
          <w:b/>
          <w:i/>
          <w:lang w:val="it-IT"/>
        </w:rPr>
        <w:t xml:space="preserve">Persona da </w:t>
      </w:r>
      <w:proofErr w:type="gramStart"/>
      <w:r w:rsidRPr="00266093">
        <w:rPr>
          <w:b/>
          <w:i/>
          <w:lang w:val="it-IT"/>
        </w:rPr>
        <w:t>contattare</w:t>
      </w:r>
      <w:proofErr w:type="gramEnd"/>
      <w:r w:rsidRPr="00266093">
        <w:rPr>
          <w:b/>
          <w:i/>
          <w:lang w:val="it-IT"/>
        </w:rPr>
        <w:t>:</w:t>
      </w:r>
      <w:r w:rsidR="00BD20B9" w:rsidRPr="00266093">
        <w:rPr>
          <w:b/>
          <w:i/>
          <w:lang w:val="it-IT"/>
        </w:rPr>
        <w:t xml:space="preserve"> </w:t>
      </w:r>
      <w:r w:rsidRPr="00266093">
        <w:rPr>
          <w:i/>
          <w:lang w:val="it-IT"/>
        </w:rPr>
        <w:t>Stella BROZEK-EVERAERT</w:t>
      </w:r>
    </w:p>
    <w:p w:rsidR="00035B58" w:rsidRPr="00266093" w:rsidRDefault="00BD37E2" w:rsidP="00FE0D9A">
      <w:pPr>
        <w:tabs>
          <w:tab w:val="left" w:pos="2127"/>
        </w:tabs>
        <w:jc w:val="left"/>
        <w:rPr>
          <w:i/>
          <w:lang w:val="it-IT"/>
        </w:rPr>
      </w:pPr>
      <w:r w:rsidRPr="00266093">
        <w:rPr>
          <w:lang w:val="it-IT"/>
        </w:rPr>
        <w:tab/>
      </w:r>
      <w:r w:rsidR="0073619F" w:rsidRPr="00266093">
        <w:rPr>
          <w:lang w:val="it-IT"/>
        </w:rPr>
        <w:t xml:space="preserve"> </w:t>
      </w:r>
      <w:r w:rsidRPr="00266093">
        <w:rPr>
          <w:i/>
          <w:lang w:val="it-IT"/>
        </w:rPr>
        <w:t>(</w:t>
      </w:r>
      <w:r w:rsidR="00266093" w:rsidRPr="00266093">
        <w:rPr>
          <w:i/>
          <w:lang w:val="it-IT"/>
        </w:rPr>
        <w:t>Tel.:</w:t>
      </w:r>
      <w:r w:rsidRPr="00266093">
        <w:rPr>
          <w:i/>
          <w:lang w:val="it-IT"/>
        </w:rPr>
        <w:t xml:space="preserve"> 00 32 2 546 92 02– </w:t>
      </w:r>
      <w:r w:rsidR="00387F53" w:rsidRPr="00266093">
        <w:rPr>
          <w:i/>
          <w:lang w:val="it-IT"/>
        </w:rPr>
        <w:t>e-mail</w:t>
      </w:r>
      <w:r w:rsidRPr="00266093">
        <w:rPr>
          <w:i/>
          <w:lang w:val="it-IT"/>
        </w:rPr>
        <w:t xml:space="preserve">: </w:t>
      </w:r>
      <w:hyperlink r:id="rId29">
        <w:r w:rsidRPr="00266093">
          <w:rPr>
            <w:rStyle w:val="Hyperlink"/>
            <w:i/>
            <w:lang w:val="it-IT"/>
          </w:rPr>
          <w:t>Stella.BrozekEveraert@eesc.europa.eu</w:t>
        </w:r>
      </w:hyperlink>
      <w:r w:rsidR="00266093" w:rsidRPr="00266093">
        <w:rPr>
          <w:i/>
          <w:lang w:val="it-IT"/>
        </w:rPr>
        <w:t xml:space="preserve"> )</w:t>
      </w:r>
    </w:p>
    <w:p w:rsidR="00220978" w:rsidRPr="00266093" w:rsidRDefault="00220978" w:rsidP="000F0D21">
      <w:pPr>
        <w:tabs>
          <w:tab w:val="left" w:pos="1418"/>
        </w:tabs>
        <w:jc w:val="left"/>
        <w:rPr>
          <w:i/>
          <w:lang w:val="it-IT"/>
        </w:rPr>
      </w:pPr>
    </w:p>
    <w:p w:rsidR="00220978" w:rsidRPr="00266093" w:rsidRDefault="00220978" w:rsidP="000F0D21">
      <w:pPr>
        <w:tabs>
          <w:tab w:val="left" w:pos="1418"/>
        </w:tabs>
        <w:jc w:val="left"/>
        <w:rPr>
          <w:caps/>
          <w:lang w:val="it-IT"/>
        </w:rPr>
      </w:pPr>
    </w:p>
    <w:p w:rsidR="00035B58" w:rsidRPr="00266093" w:rsidRDefault="00035B58" w:rsidP="00BD37E2">
      <w:pPr>
        <w:pStyle w:val="ListParagraph"/>
        <w:numPr>
          <w:ilvl w:val="0"/>
          <w:numId w:val="33"/>
        </w:numPr>
        <w:rPr>
          <w:b/>
          <w:bCs/>
          <w:i/>
          <w:iCs/>
          <w:sz w:val="28"/>
          <w:szCs w:val="28"/>
          <w:lang w:val="it-IT"/>
        </w:rPr>
      </w:pPr>
      <w:r w:rsidRPr="00266093">
        <w:rPr>
          <w:b/>
          <w:i/>
          <w:sz w:val="28"/>
          <w:lang w:val="it-IT"/>
        </w:rPr>
        <w:t>Piano d'azione per la natura, i cittadini e l'economia</w:t>
      </w:r>
    </w:p>
    <w:p w:rsidR="00035B58" w:rsidRPr="00266093" w:rsidRDefault="00035B58" w:rsidP="00035B58">
      <w:pPr>
        <w:rPr>
          <w:lang w:val="it-IT"/>
        </w:rPr>
      </w:pPr>
    </w:p>
    <w:p w:rsidR="00035B58" w:rsidRPr="00266093" w:rsidRDefault="00266093" w:rsidP="000807B6">
      <w:pPr>
        <w:tabs>
          <w:tab w:val="left" w:pos="1701"/>
        </w:tabs>
        <w:rPr>
          <w:lang w:val="it-IT"/>
        </w:rPr>
      </w:pPr>
      <w:r w:rsidRPr="00266093">
        <w:rPr>
          <w:b/>
          <w:lang w:val="it-IT"/>
        </w:rPr>
        <w:t>Relatore</w:t>
      </w:r>
      <w:r w:rsidR="00035B58" w:rsidRPr="00266093">
        <w:rPr>
          <w:b/>
          <w:lang w:val="it-IT"/>
        </w:rPr>
        <w:t>:</w:t>
      </w:r>
      <w:r w:rsidR="00035B58" w:rsidRPr="00266093">
        <w:rPr>
          <w:lang w:val="it-IT"/>
        </w:rPr>
        <w:tab/>
        <w:t xml:space="preserve">Lutz </w:t>
      </w:r>
      <w:r w:rsidR="00035B58" w:rsidRPr="00266093">
        <w:rPr>
          <w:i/>
          <w:lang w:val="it-IT"/>
        </w:rPr>
        <w:t>RIBBE</w:t>
      </w:r>
      <w:r w:rsidR="00035B58" w:rsidRPr="00266093">
        <w:rPr>
          <w:lang w:val="it-IT"/>
        </w:rPr>
        <w:t xml:space="preserve"> (Attività diverse - </w:t>
      </w:r>
      <w:proofErr w:type="gramStart"/>
      <w:r w:rsidR="00035B58" w:rsidRPr="00266093">
        <w:rPr>
          <w:lang w:val="it-IT"/>
        </w:rPr>
        <w:t>DE</w:t>
      </w:r>
      <w:proofErr w:type="gramEnd"/>
      <w:r w:rsidR="00035B58" w:rsidRPr="00266093">
        <w:rPr>
          <w:lang w:val="it-IT"/>
        </w:rPr>
        <w:t>)</w:t>
      </w:r>
    </w:p>
    <w:p w:rsidR="00035B58" w:rsidRPr="00266093" w:rsidRDefault="00035B58" w:rsidP="000807B6">
      <w:pPr>
        <w:tabs>
          <w:tab w:val="left" w:pos="1701"/>
        </w:tabs>
        <w:rPr>
          <w:lang w:val="it-IT"/>
        </w:rPr>
      </w:pPr>
    </w:p>
    <w:p w:rsidR="00035B58" w:rsidRPr="00266093" w:rsidRDefault="00035B58" w:rsidP="000807B6">
      <w:pPr>
        <w:tabs>
          <w:tab w:val="left" w:pos="1701"/>
        </w:tabs>
        <w:rPr>
          <w:lang w:val="it-IT"/>
        </w:rPr>
      </w:pPr>
      <w:r w:rsidRPr="00266093">
        <w:rPr>
          <w:b/>
          <w:lang w:val="it-IT"/>
        </w:rPr>
        <w:t>Riferimenti:</w:t>
      </w:r>
      <w:r w:rsidRPr="00266093">
        <w:rPr>
          <w:lang w:val="it-IT"/>
        </w:rPr>
        <w:tab/>
        <w:t>COM</w:t>
      </w:r>
      <w:proofErr w:type="gramStart"/>
      <w:r w:rsidRPr="00266093">
        <w:rPr>
          <w:lang w:val="it-IT"/>
        </w:rPr>
        <w:t>(</w:t>
      </w:r>
      <w:proofErr w:type="gramEnd"/>
      <w:r w:rsidRPr="00266093">
        <w:rPr>
          <w:lang w:val="it-IT"/>
        </w:rPr>
        <w:t>2017) 198 final</w:t>
      </w:r>
    </w:p>
    <w:p w:rsidR="00035B58" w:rsidRPr="00266093" w:rsidRDefault="00035B58" w:rsidP="000807B6">
      <w:pPr>
        <w:tabs>
          <w:tab w:val="left" w:pos="1701"/>
        </w:tabs>
        <w:rPr>
          <w:lang w:val="it-IT"/>
        </w:rPr>
      </w:pPr>
      <w:r w:rsidRPr="00266093">
        <w:rPr>
          <w:lang w:val="it-IT"/>
        </w:rPr>
        <w:tab/>
      </w:r>
      <w:proofErr w:type="gramStart"/>
      <w:r w:rsidRPr="00266093">
        <w:rPr>
          <w:lang w:val="it-IT"/>
        </w:rPr>
        <w:t>EESC-2017-03013-00-00-A</w:t>
      </w:r>
      <w:r w:rsidR="00220978" w:rsidRPr="00266093">
        <w:rPr>
          <w:lang w:val="it-IT"/>
        </w:rPr>
        <w:t>C</w:t>
      </w:r>
      <w:r w:rsidRPr="00266093">
        <w:rPr>
          <w:lang w:val="it-IT"/>
        </w:rPr>
        <w:t>-TRA</w:t>
      </w:r>
      <w:proofErr w:type="gramEnd"/>
    </w:p>
    <w:p w:rsidR="00035B58" w:rsidRPr="00266093" w:rsidRDefault="00035B58" w:rsidP="00035B58">
      <w:pPr>
        <w:ind w:left="-5"/>
        <w:rPr>
          <w:lang w:val="it-IT"/>
        </w:rPr>
      </w:pPr>
    </w:p>
    <w:p w:rsidR="009E5586" w:rsidRPr="00266093" w:rsidRDefault="00035B58" w:rsidP="001D4F9D">
      <w:pPr>
        <w:rPr>
          <w:b/>
          <w:iCs/>
          <w:u w:val="single"/>
          <w:lang w:val="it-IT"/>
        </w:rPr>
      </w:pPr>
      <w:r w:rsidRPr="00266093">
        <w:rPr>
          <w:b/>
          <w:lang w:val="it-IT"/>
        </w:rPr>
        <w:t>Punti salienti del parere:</w:t>
      </w:r>
    </w:p>
    <w:p w:rsidR="00035B58" w:rsidRPr="00266093" w:rsidRDefault="00035B58" w:rsidP="00035B58">
      <w:pPr>
        <w:ind w:left="142"/>
        <w:rPr>
          <w:b/>
          <w:iCs/>
          <w:u w:val="single"/>
          <w:lang w:val="it-IT"/>
        </w:rPr>
      </w:pPr>
    </w:p>
    <w:p w:rsidR="00035B58" w:rsidRPr="00266093" w:rsidRDefault="00035B58" w:rsidP="00FE0D9A">
      <w:pPr>
        <w:numPr>
          <w:ilvl w:val="0"/>
          <w:numId w:val="2"/>
        </w:numPr>
        <w:ind w:left="714" w:hanging="357"/>
        <w:rPr>
          <w:lang w:val="it-IT"/>
        </w:rPr>
      </w:pPr>
      <w:r w:rsidRPr="00266093">
        <w:rPr>
          <w:color w:val="000000"/>
          <w:lang w:val="it-IT"/>
        </w:rPr>
        <w:t xml:space="preserve">In linea di massima, il CESE accoglie con favore i risultati del controllo dell'adeguatezza delle </w:t>
      </w:r>
      <w:r w:rsidR="00266093" w:rsidRPr="00266093">
        <w:rPr>
          <w:color w:val="000000"/>
          <w:lang w:val="it-IT"/>
        </w:rPr>
        <w:t>Direttive</w:t>
      </w:r>
      <w:r w:rsidRPr="00266093">
        <w:rPr>
          <w:color w:val="000000"/>
          <w:lang w:val="it-IT"/>
        </w:rPr>
        <w:t xml:space="preserve"> </w:t>
      </w:r>
      <w:r w:rsidR="00C97B61" w:rsidRPr="00266093">
        <w:rPr>
          <w:color w:val="000000"/>
          <w:lang w:val="it-IT"/>
        </w:rPr>
        <w:t>Uccelli e Habitat</w:t>
      </w:r>
      <w:r w:rsidRPr="00266093">
        <w:rPr>
          <w:color w:val="000000"/>
          <w:lang w:val="it-IT"/>
        </w:rPr>
        <w:t xml:space="preserve">, da cui risulta che queste sono adeguate allo scopo </w:t>
      </w:r>
      <w:proofErr w:type="gramStart"/>
      <w:r w:rsidRPr="00266093">
        <w:rPr>
          <w:color w:val="000000"/>
          <w:lang w:val="it-IT"/>
        </w:rPr>
        <w:t>in quanto</w:t>
      </w:r>
      <w:proofErr w:type="gramEnd"/>
      <w:r w:rsidRPr="00266093">
        <w:rPr>
          <w:color w:val="000000"/>
          <w:lang w:val="it-IT"/>
        </w:rPr>
        <w:t xml:space="preserve"> pilastri di una più ampia politica in materia di biodiversità, ma che la loro applicazione deve essere notevolmente migliorata.</w:t>
      </w:r>
    </w:p>
    <w:p w:rsidR="00035B58" w:rsidRPr="00266093" w:rsidRDefault="00035B58" w:rsidP="00035B58">
      <w:pPr>
        <w:spacing w:line="240" w:lineRule="auto"/>
        <w:rPr>
          <w:lang w:val="it-IT"/>
        </w:rPr>
      </w:pPr>
    </w:p>
    <w:p w:rsidR="00035B58" w:rsidRPr="00266093" w:rsidRDefault="00035B58" w:rsidP="00FE0D9A">
      <w:pPr>
        <w:numPr>
          <w:ilvl w:val="0"/>
          <w:numId w:val="2"/>
        </w:numPr>
        <w:ind w:left="714" w:hanging="357"/>
        <w:rPr>
          <w:lang w:val="it-IT"/>
        </w:rPr>
      </w:pPr>
      <w:r w:rsidRPr="00266093">
        <w:rPr>
          <w:color w:val="000000"/>
          <w:lang w:val="it-IT"/>
        </w:rPr>
        <w:t xml:space="preserve">Non è ancora chiaro quale rapporto abbia tale piano d'azione con l'attuale strategia sulla biodiversità, tanto più che molte sono le sovrapposizioni di contenuti, ma soltanto marginali le novità. Secondo il CESE, sarebbe stato più utile </w:t>
      </w:r>
      <w:proofErr w:type="gramStart"/>
      <w:r w:rsidRPr="00266093">
        <w:rPr>
          <w:color w:val="000000"/>
          <w:lang w:val="it-IT"/>
        </w:rPr>
        <w:t>effettuare</w:t>
      </w:r>
      <w:proofErr w:type="gramEnd"/>
      <w:r w:rsidRPr="00266093">
        <w:rPr>
          <w:color w:val="000000"/>
          <w:lang w:val="it-IT"/>
        </w:rPr>
        <w:t xml:space="preserve"> una valutazione e</w:t>
      </w:r>
      <w:r w:rsidR="00220978" w:rsidRPr="00266093">
        <w:rPr>
          <w:color w:val="000000"/>
          <w:lang w:val="it-IT"/>
        </w:rPr>
        <w:t xml:space="preserve"> </w:t>
      </w:r>
      <w:r w:rsidRPr="00266093">
        <w:rPr>
          <w:color w:val="000000"/>
          <w:lang w:val="it-IT"/>
        </w:rPr>
        <w:t>un'integrazione di tale strategia.</w:t>
      </w:r>
    </w:p>
    <w:p w:rsidR="00035B58" w:rsidRPr="00266093" w:rsidRDefault="00035B58" w:rsidP="00035B58">
      <w:pPr>
        <w:spacing w:line="240" w:lineRule="auto"/>
        <w:rPr>
          <w:lang w:val="it-IT"/>
        </w:rPr>
      </w:pPr>
    </w:p>
    <w:p w:rsidR="00035B58" w:rsidRPr="00266093" w:rsidRDefault="00035B58" w:rsidP="00FE0D9A">
      <w:pPr>
        <w:numPr>
          <w:ilvl w:val="0"/>
          <w:numId w:val="2"/>
        </w:numPr>
        <w:ind w:left="714" w:hanging="357"/>
        <w:rPr>
          <w:lang w:val="it-IT"/>
        </w:rPr>
      </w:pPr>
      <w:r w:rsidRPr="00266093">
        <w:rPr>
          <w:color w:val="000000"/>
          <w:lang w:val="it-IT"/>
        </w:rPr>
        <w:t xml:space="preserve">Ai fini di una politica efficace in materia di biodiversità, il problema decisivo è che </w:t>
      </w:r>
      <w:proofErr w:type="gramStart"/>
      <w:r w:rsidRPr="00266093">
        <w:rPr>
          <w:color w:val="000000"/>
          <w:lang w:val="it-IT"/>
        </w:rPr>
        <w:t>ad</w:t>
      </w:r>
      <w:proofErr w:type="gramEnd"/>
      <w:r w:rsidRPr="00266093">
        <w:rPr>
          <w:color w:val="000000"/>
          <w:lang w:val="it-IT"/>
        </w:rPr>
        <w:t xml:space="preserve"> oggi, per i proprietari e gli utilizzatori dei terreni, le misure volte a promuovere la biodiversità rappresentano perlopiù non una fonte di introiti bensì un fattore di costo. Bisogna invece che le misure siano economicamente redditizie per coloro ai quali spetta attuarle. Nessuno dei programmi finora varati dall'UE e dagli Stati membri è riuscito a risolvere questo dilemma fondamentale; e </w:t>
      </w:r>
      <w:r w:rsidR="00220978" w:rsidRPr="00266093">
        <w:rPr>
          <w:color w:val="000000"/>
          <w:lang w:val="it-IT"/>
        </w:rPr>
        <w:t>ne</w:t>
      </w:r>
      <w:r w:rsidRPr="00266093">
        <w:rPr>
          <w:color w:val="000000"/>
          <w:lang w:val="it-IT"/>
        </w:rPr>
        <w:t>anche il piano d'azione in esame</w:t>
      </w:r>
      <w:r w:rsidR="00220978" w:rsidRPr="00266093">
        <w:rPr>
          <w:color w:val="000000"/>
          <w:lang w:val="it-IT"/>
        </w:rPr>
        <w:t>.</w:t>
      </w:r>
      <w:r w:rsidRPr="00266093">
        <w:rPr>
          <w:color w:val="000000"/>
          <w:lang w:val="it-IT"/>
        </w:rPr>
        <w:t xml:space="preserve"> </w:t>
      </w:r>
    </w:p>
    <w:p w:rsidR="00035B58" w:rsidRPr="00266093" w:rsidRDefault="00035B58" w:rsidP="00035B58">
      <w:pPr>
        <w:spacing w:line="240" w:lineRule="auto"/>
        <w:rPr>
          <w:lang w:val="it-IT"/>
        </w:rPr>
      </w:pPr>
    </w:p>
    <w:p w:rsidR="00035B58" w:rsidRPr="00266093" w:rsidRDefault="00035B58" w:rsidP="00FE0D9A">
      <w:pPr>
        <w:numPr>
          <w:ilvl w:val="0"/>
          <w:numId w:val="2"/>
        </w:numPr>
        <w:ind w:left="714" w:hanging="357"/>
        <w:rPr>
          <w:color w:val="000000"/>
          <w:lang w:val="it-IT"/>
        </w:rPr>
      </w:pPr>
      <w:r w:rsidRPr="00266093">
        <w:rPr>
          <w:color w:val="000000"/>
          <w:lang w:val="it-IT"/>
        </w:rPr>
        <w:t xml:space="preserve">La mancanza di finanziamenti non è solo un problema capitale per il conseguimento degli obiettivi concordati in materia di biodiversità, ma è altresì un chiaro sintomo delle </w:t>
      </w:r>
      <w:proofErr w:type="gramStart"/>
      <w:r w:rsidRPr="00266093">
        <w:rPr>
          <w:color w:val="000000"/>
          <w:lang w:val="it-IT"/>
        </w:rPr>
        <w:t>carenze</w:t>
      </w:r>
      <w:proofErr w:type="gramEnd"/>
      <w:r w:rsidRPr="00266093">
        <w:rPr>
          <w:color w:val="000000"/>
          <w:lang w:val="it-IT"/>
        </w:rPr>
        <w:t xml:space="preserve"> della politica europea. Vengono</w:t>
      </w:r>
      <w:proofErr w:type="gramStart"/>
      <w:r w:rsidRPr="00266093">
        <w:rPr>
          <w:color w:val="000000"/>
          <w:lang w:val="it-IT"/>
        </w:rPr>
        <w:t xml:space="preserve"> infatti</w:t>
      </w:r>
      <w:proofErr w:type="gramEnd"/>
      <w:r w:rsidRPr="00266093">
        <w:rPr>
          <w:color w:val="000000"/>
          <w:lang w:val="it-IT"/>
        </w:rPr>
        <w:t xml:space="preserve"> adottate normative che generano dei costi, ma non si trova un accordo su chi debba sostenerli e/o sui modi in cui debbano essere coperti.</w:t>
      </w:r>
    </w:p>
    <w:p w:rsidR="00035B58" w:rsidRPr="00266093" w:rsidRDefault="00035B58" w:rsidP="00035B58">
      <w:pPr>
        <w:spacing w:line="240" w:lineRule="auto"/>
        <w:rPr>
          <w:lang w:val="it-IT"/>
        </w:rPr>
      </w:pPr>
    </w:p>
    <w:p w:rsidR="00035B58" w:rsidRPr="00266093" w:rsidRDefault="00035B58" w:rsidP="00FE0D9A">
      <w:pPr>
        <w:numPr>
          <w:ilvl w:val="0"/>
          <w:numId w:val="2"/>
        </w:numPr>
        <w:ind w:left="714" w:hanging="357"/>
        <w:rPr>
          <w:color w:val="000000"/>
          <w:lang w:val="it-IT"/>
        </w:rPr>
      </w:pPr>
      <w:r w:rsidRPr="00266093">
        <w:rPr>
          <w:color w:val="000000"/>
          <w:lang w:val="it-IT"/>
        </w:rPr>
        <w:t>Il CESE rinnova il suo invito alla Commissione a presentare una stima aggiornata dei costi della rete Natura 2000. Il CESE reputa che l'ammontare indicato nell'ordine dei 6,1 miliardi di euro non rappresenti in modo adeguato il fabbisogno di risorse finanziarie della rete, il quale è piuttosto pari al doppio o al triplo di questo importo.</w:t>
      </w:r>
    </w:p>
    <w:p w:rsidR="00035B58" w:rsidRPr="00266093" w:rsidRDefault="00035B58" w:rsidP="00035B58">
      <w:pPr>
        <w:spacing w:line="240" w:lineRule="auto"/>
        <w:rPr>
          <w:lang w:val="it-IT"/>
        </w:rPr>
      </w:pPr>
    </w:p>
    <w:p w:rsidR="00035B58" w:rsidRPr="00266093" w:rsidRDefault="00035B58" w:rsidP="00FE0D9A">
      <w:pPr>
        <w:numPr>
          <w:ilvl w:val="0"/>
          <w:numId w:val="2"/>
        </w:numPr>
        <w:ind w:left="714" w:hanging="357"/>
        <w:rPr>
          <w:color w:val="000000"/>
          <w:lang w:val="it-IT"/>
        </w:rPr>
      </w:pPr>
      <w:r w:rsidRPr="00266093">
        <w:rPr>
          <w:color w:val="000000"/>
          <w:lang w:val="it-IT"/>
        </w:rPr>
        <w:t xml:space="preserve">Il CESE ritiene pertanto indispensabile che sia presentata una strategia a lungo termine per la copertura del fabbisogno finanziario della politica in materia </w:t>
      </w:r>
      <w:proofErr w:type="gramStart"/>
      <w:r w:rsidRPr="00266093">
        <w:rPr>
          <w:color w:val="000000"/>
          <w:lang w:val="it-IT"/>
        </w:rPr>
        <w:t>di</w:t>
      </w:r>
      <w:proofErr w:type="gramEnd"/>
      <w:r w:rsidRPr="00266093">
        <w:rPr>
          <w:color w:val="000000"/>
          <w:lang w:val="it-IT"/>
        </w:rPr>
        <w:t xml:space="preserve"> biodiversità. Il dibattito sulle prospettive finanziarie per il dopo 2021 dovrebbe fornire il quadro pertinente, sennonché né il piano d'azione né </w:t>
      </w:r>
      <w:proofErr w:type="gramStart"/>
      <w:r w:rsidRPr="00266093">
        <w:rPr>
          <w:color w:val="000000"/>
          <w:lang w:val="it-IT"/>
        </w:rPr>
        <w:t>l'approccio finora annunciati</w:t>
      </w:r>
      <w:proofErr w:type="gramEnd"/>
      <w:r w:rsidRPr="00266093">
        <w:rPr>
          <w:color w:val="000000"/>
          <w:lang w:val="it-IT"/>
        </w:rPr>
        <w:t>, da ultimo nel documento di riflessione sul futuro delle finanze dell'UE, fanno presagire un miglioramento decisivo di tale situazione.</w:t>
      </w:r>
    </w:p>
    <w:p w:rsidR="00F413E3" w:rsidRPr="00266093" w:rsidRDefault="00F413E3" w:rsidP="00035B58">
      <w:pPr>
        <w:rPr>
          <w:lang w:val="it-IT"/>
        </w:rPr>
      </w:pPr>
    </w:p>
    <w:p w:rsidR="00035B58" w:rsidRPr="00266093" w:rsidRDefault="00035B58" w:rsidP="00035B58">
      <w:pPr>
        <w:rPr>
          <w:b/>
          <w:iCs/>
          <w:u w:val="single"/>
          <w:lang w:val="it-IT"/>
        </w:rPr>
      </w:pPr>
    </w:p>
    <w:p w:rsidR="00B23945" w:rsidRPr="00266093" w:rsidRDefault="00035B58" w:rsidP="00B23945">
      <w:pPr>
        <w:tabs>
          <w:tab w:val="left" w:pos="1418"/>
        </w:tabs>
        <w:ind w:hanging="12"/>
        <w:rPr>
          <w:bCs/>
          <w:i/>
          <w:iCs/>
          <w:lang w:val="it-IT"/>
        </w:rPr>
      </w:pPr>
      <w:r w:rsidRPr="00266093">
        <w:rPr>
          <w:b/>
          <w:i/>
          <w:lang w:val="it-IT"/>
        </w:rPr>
        <w:t xml:space="preserve">Persona da </w:t>
      </w:r>
      <w:proofErr w:type="gramStart"/>
      <w:r w:rsidRPr="00266093">
        <w:rPr>
          <w:b/>
          <w:i/>
          <w:lang w:val="it-IT"/>
        </w:rPr>
        <w:t>contattare</w:t>
      </w:r>
      <w:proofErr w:type="gramEnd"/>
      <w:r w:rsidRPr="00266093">
        <w:rPr>
          <w:b/>
          <w:i/>
          <w:lang w:val="it-IT"/>
        </w:rPr>
        <w:t>:</w:t>
      </w:r>
      <w:r w:rsidR="00BD20B9" w:rsidRPr="00266093">
        <w:rPr>
          <w:b/>
          <w:i/>
          <w:lang w:val="it-IT"/>
        </w:rPr>
        <w:t xml:space="preserve"> </w:t>
      </w:r>
      <w:r w:rsidRPr="00266093">
        <w:rPr>
          <w:i/>
          <w:lang w:val="it-IT"/>
        </w:rPr>
        <w:t>Conrad GANSLANDT</w:t>
      </w:r>
    </w:p>
    <w:p w:rsidR="00F413E3" w:rsidRPr="00266093" w:rsidRDefault="00B23945" w:rsidP="00FE0D9A">
      <w:pPr>
        <w:tabs>
          <w:tab w:val="left" w:pos="2127"/>
          <w:tab w:val="left" w:pos="2268"/>
        </w:tabs>
        <w:rPr>
          <w:i/>
          <w:lang w:val="it-IT"/>
        </w:rPr>
      </w:pPr>
      <w:r w:rsidRPr="00266093">
        <w:rPr>
          <w:lang w:val="it-IT"/>
        </w:rPr>
        <w:tab/>
      </w:r>
      <w:r w:rsidR="00220978" w:rsidRPr="00266093">
        <w:rPr>
          <w:lang w:val="it-IT"/>
        </w:rPr>
        <w:t xml:space="preserve"> </w:t>
      </w:r>
      <w:r w:rsidRPr="00266093">
        <w:rPr>
          <w:i/>
          <w:lang w:val="it-IT"/>
        </w:rPr>
        <w:t>(</w:t>
      </w:r>
      <w:r w:rsidR="00266093" w:rsidRPr="00266093">
        <w:rPr>
          <w:i/>
          <w:lang w:val="it-IT"/>
        </w:rPr>
        <w:t>Tel.:</w:t>
      </w:r>
      <w:r w:rsidRPr="00266093">
        <w:rPr>
          <w:i/>
          <w:lang w:val="it-IT"/>
        </w:rPr>
        <w:t xml:space="preserve"> 00 32 2 546 82 75 – </w:t>
      </w:r>
      <w:r w:rsidR="00387F53" w:rsidRPr="00266093">
        <w:rPr>
          <w:i/>
          <w:lang w:val="it-IT"/>
        </w:rPr>
        <w:t>e-mail</w:t>
      </w:r>
      <w:r w:rsidRPr="00266093">
        <w:rPr>
          <w:i/>
          <w:lang w:val="it-IT"/>
        </w:rPr>
        <w:t xml:space="preserve">: </w:t>
      </w:r>
      <w:hyperlink r:id="rId30">
        <w:r w:rsidRPr="00266093">
          <w:rPr>
            <w:rStyle w:val="Hyperlink"/>
            <w:i/>
            <w:lang w:val="it-IT"/>
          </w:rPr>
          <w:t>Conrad.Ganslandt</w:t>
        </w:r>
        <w:r w:rsidRPr="00266093">
          <w:rPr>
            <w:rStyle w:val="Hyperlink"/>
            <w:lang w:val="it-IT"/>
          </w:rPr>
          <w:t>@eesc.europa.eu</w:t>
        </w:r>
      </w:hyperlink>
      <w:r w:rsidR="00C832D8" w:rsidRPr="00266093">
        <w:rPr>
          <w:i/>
          <w:lang w:val="it-IT"/>
        </w:rPr>
        <w:t>)</w:t>
      </w:r>
    </w:p>
    <w:p w:rsidR="000F0D21" w:rsidRPr="00266093" w:rsidRDefault="000F0D21" w:rsidP="001D4F9D">
      <w:pPr>
        <w:tabs>
          <w:tab w:val="left" w:pos="1418"/>
        </w:tabs>
        <w:rPr>
          <w:i/>
          <w:lang w:val="it-IT"/>
        </w:rPr>
      </w:pPr>
    </w:p>
    <w:p w:rsidR="000F0D21" w:rsidRPr="00266093" w:rsidRDefault="000F0D21" w:rsidP="001D4F9D">
      <w:pPr>
        <w:tabs>
          <w:tab w:val="left" w:pos="1418"/>
        </w:tabs>
        <w:rPr>
          <w:i/>
          <w:lang w:val="it-IT"/>
        </w:rPr>
      </w:pPr>
    </w:p>
    <w:p w:rsidR="00035B58" w:rsidRPr="00266093" w:rsidRDefault="00035B58" w:rsidP="00035B58">
      <w:pPr>
        <w:ind w:left="-567"/>
        <w:rPr>
          <w:i/>
          <w:iCs/>
          <w:lang w:val="it-IT"/>
        </w:rPr>
      </w:pPr>
    </w:p>
    <w:p w:rsidR="00035B58" w:rsidRPr="00266093" w:rsidRDefault="00035B58" w:rsidP="00B23945">
      <w:pPr>
        <w:pStyle w:val="ListParagraph"/>
        <w:numPr>
          <w:ilvl w:val="0"/>
          <w:numId w:val="34"/>
        </w:numPr>
        <w:rPr>
          <w:b/>
          <w:bCs/>
          <w:i/>
          <w:iCs/>
          <w:sz w:val="28"/>
          <w:szCs w:val="28"/>
          <w:lang w:val="it-IT"/>
        </w:rPr>
      </w:pPr>
      <w:r w:rsidRPr="00266093">
        <w:rPr>
          <w:b/>
          <w:i/>
          <w:sz w:val="28"/>
          <w:lang w:val="it-IT"/>
        </w:rPr>
        <w:t>Vantaggi di un approccio di sviluppo locale di tipo partecipativo (parere esplorativo richiesto dalla presidenza estone</w:t>
      </w:r>
      <w:proofErr w:type="gramStart"/>
      <w:r w:rsidRPr="00266093">
        <w:rPr>
          <w:b/>
          <w:i/>
          <w:sz w:val="28"/>
          <w:lang w:val="it-IT"/>
        </w:rPr>
        <w:t>)</w:t>
      </w:r>
      <w:proofErr w:type="gramEnd"/>
    </w:p>
    <w:p w:rsidR="00035B58" w:rsidRPr="00266093" w:rsidRDefault="00035B58" w:rsidP="00503FE7">
      <w:pPr>
        <w:pStyle w:val="ListParagraph"/>
        <w:tabs>
          <w:tab w:val="left" w:pos="1701"/>
        </w:tabs>
        <w:ind w:left="360"/>
        <w:rPr>
          <w:sz w:val="20"/>
          <w:lang w:val="it-IT"/>
        </w:rPr>
      </w:pPr>
    </w:p>
    <w:p w:rsidR="00035B58" w:rsidRPr="00266093" w:rsidRDefault="00266093" w:rsidP="00503FE7">
      <w:pPr>
        <w:tabs>
          <w:tab w:val="left" w:pos="1701"/>
        </w:tabs>
        <w:rPr>
          <w:lang w:val="it-IT"/>
        </w:rPr>
      </w:pPr>
      <w:r w:rsidRPr="00266093">
        <w:rPr>
          <w:b/>
          <w:lang w:val="it-IT"/>
        </w:rPr>
        <w:t>Relatore</w:t>
      </w:r>
      <w:r w:rsidR="00035B58" w:rsidRPr="00266093">
        <w:rPr>
          <w:b/>
          <w:lang w:val="it-IT"/>
        </w:rPr>
        <w:t>:</w:t>
      </w:r>
      <w:r w:rsidR="00035B58" w:rsidRPr="00266093">
        <w:rPr>
          <w:lang w:val="it-IT"/>
        </w:rPr>
        <w:tab/>
        <w:t>Roman HAKEN (Attività diverse – CZ)</w:t>
      </w:r>
    </w:p>
    <w:p w:rsidR="00035B58" w:rsidRPr="00266093" w:rsidRDefault="00035B58" w:rsidP="00503FE7">
      <w:pPr>
        <w:tabs>
          <w:tab w:val="left" w:pos="1701"/>
        </w:tabs>
        <w:rPr>
          <w:sz w:val="20"/>
          <w:lang w:val="it-IT"/>
        </w:rPr>
      </w:pPr>
    </w:p>
    <w:p w:rsidR="00035B58" w:rsidRPr="00266093" w:rsidRDefault="00035B58" w:rsidP="00503FE7">
      <w:pPr>
        <w:tabs>
          <w:tab w:val="left" w:pos="1701"/>
        </w:tabs>
        <w:rPr>
          <w:lang w:val="it-IT"/>
        </w:rPr>
      </w:pPr>
      <w:r w:rsidRPr="00266093">
        <w:rPr>
          <w:b/>
          <w:lang w:val="it-IT"/>
        </w:rPr>
        <w:t>Riferimento:</w:t>
      </w:r>
      <w:r w:rsidRPr="00266093">
        <w:rPr>
          <w:lang w:val="it-IT"/>
        </w:rPr>
        <w:tab/>
      </w:r>
      <w:proofErr w:type="gramStart"/>
      <w:r w:rsidRPr="00266093">
        <w:rPr>
          <w:lang w:val="it-IT"/>
        </w:rPr>
        <w:t>EESC-2017-04384-00-00-A</w:t>
      </w:r>
      <w:r w:rsidR="00F605DC" w:rsidRPr="00266093">
        <w:rPr>
          <w:lang w:val="it-IT"/>
        </w:rPr>
        <w:t>C</w:t>
      </w:r>
      <w:r w:rsidRPr="00266093">
        <w:rPr>
          <w:lang w:val="it-IT"/>
        </w:rPr>
        <w:t>-TRA</w:t>
      </w:r>
      <w:proofErr w:type="gramEnd"/>
    </w:p>
    <w:p w:rsidR="00035B58" w:rsidRPr="00266093" w:rsidRDefault="00035B58" w:rsidP="00035B58">
      <w:pPr>
        <w:pStyle w:val="Heading1"/>
        <w:numPr>
          <w:ilvl w:val="0"/>
          <w:numId w:val="0"/>
        </w:numPr>
        <w:rPr>
          <w:b/>
          <w:bCs/>
          <w:sz w:val="20"/>
          <w:lang w:val="it-IT"/>
        </w:rPr>
      </w:pPr>
    </w:p>
    <w:p w:rsidR="00035B58" w:rsidRPr="00266093" w:rsidRDefault="00035B58" w:rsidP="00035B58">
      <w:pPr>
        <w:rPr>
          <w:b/>
          <w:lang w:val="it-IT"/>
        </w:rPr>
      </w:pPr>
      <w:r w:rsidRPr="00266093">
        <w:rPr>
          <w:b/>
          <w:lang w:val="it-IT"/>
        </w:rPr>
        <w:t>Punti salienti del parere:</w:t>
      </w:r>
    </w:p>
    <w:p w:rsidR="009E5586" w:rsidRPr="00266093" w:rsidRDefault="009E5586" w:rsidP="00035B58">
      <w:pPr>
        <w:ind w:left="-567"/>
        <w:rPr>
          <w:sz w:val="20"/>
          <w:lang w:val="it-IT"/>
        </w:rPr>
      </w:pPr>
    </w:p>
    <w:p w:rsidR="00035B58" w:rsidRPr="00266093" w:rsidRDefault="00035B58" w:rsidP="00FE0D9A">
      <w:pPr>
        <w:spacing w:line="276" w:lineRule="auto"/>
        <w:rPr>
          <w:lang w:val="it-IT"/>
        </w:rPr>
      </w:pPr>
      <w:r w:rsidRPr="00266093">
        <w:rPr>
          <w:lang w:val="it-IT"/>
        </w:rPr>
        <w:t>Il CESE è convinto che il CLLD possa essere uno strumento europeo efficace di sviluppo locale, in grado di offrire numerosi vantaggi.</w:t>
      </w:r>
    </w:p>
    <w:p w:rsidR="00035B58" w:rsidRPr="00266093" w:rsidRDefault="00035B58" w:rsidP="00035B58">
      <w:pPr>
        <w:spacing w:line="240" w:lineRule="auto"/>
        <w:rPr>
          <w:sz w:val="20"/>
          <w:lang w:val="it-IT"/>
        </w:rPr>
      </w:pPr>
    </w:p>
    <w:p w:rsidR="00035B58" w:rsidRPr="00266093" w:rsidRDefault="00035B58" w:rsidP="00035B58">
      <w:pPr>
        <w:spacing w:line="240" w:lineRule="auto"/>
        <w:rPr>
          <w:lang w:val="it-IT"/>
        </w:rPr>
      </w:pPr>
      <w:r w:rsidRPr="00266093">
        <w:rPr>
          <w:lang w:val="it-IT"/>
        </w:rPr>
        <w:t>Il CESE formula le seguenti raccomandazioni:</w:t>
      </w:r>
    </w:p>
    <w:p w:rsidR="00035B58" w:rsidRPr="00266093" w:rsidRDefault="00035B58" w:rsidP="00035B58">
      <w:pPr>
        <w:spacing w:line="240" w:lineRule="auto"/>
        <w:rPr>
          <w:sz w:val="20"/>
          <w:lang w:val="it-IT"/>
        </w:rPr>
      </w:pPr>
    </w:p>
    <w:p w:rsidR="00035B58" w:rsidRPr="00266093" w:rsidRDefault="00035B58" w:rsidP="00FE0D9A">
      <w:pPr>
        <w:numPr>
          <w:ilvl w:val="0"/>
          <w:numId w:val="2"/>
        </w:numPr>
        <w:ind w:left="714" w:hanging="357"/>
        <w:rPr>
          <w:color w:val="000000"/>
          <w:lang w:val="it-IT"/>
        </w:rPr>
      </w:pPr>
      <w:proofErr w:type="gramStart"/>
      <w:r w:rsidRPr="00266093">
        <w:rPr>
          <w:color w:val="000000"/>
          <w:lang w:val="it-IT"/>
        </w:rPr>
        <w:t>definire</w:t>
      </w:r>
      <w:proofErr w:type="gramEnd"/>
      <w:r w:rsidRPr="00266093">
        <w:rPr>
          <w:color w:val="000000"/>
          <w:lang w:val="it-IT"/>
        </w:rPr>
        <w:t xml:space="preserve"> una visione chiara relativamente all'attuazione obbligatoria multifondo del CLLD nell'Unione europea, facendo in modo che sia applicato un approccio CLLD a tutti i tipi di territorio: rurale (incluse le zone remote, montane e insulari), urbano e costiero;</w:t>
      </w:r>
    </w:p>
    <w:p w:rsidR="00035B58" w:rsidRPr="00266093" w:rsidRDefault="00035B58" w:rsidP="00FE0D9A">
      <w:pPr>
        <w:numPr>
          <w:ilvl w:val="0"/>
          <w:numId w:val="2"/>
        </w:numPr>
        <w:ind w:left="714" w:hanging="357"/>
        <w:rPr>
          <w:color w:val="000000"/>
          <w:lang w:val="it-IT"/>
        </w:rPr>
      </w:pPr>
      <w:proofErr w:type="gramStart"/>
      <w:r w:rsidRPr="00266093">
        <w:rPr>
          <w:color w:val="000000"/>
          <w:lang w:val="it-IT"/>
        </w:rPr>
        <w:t>procedere</w:t>
      </w:r>
      <w:proofErr w:type="gramEnd"/>
      <w:r w:rsidRPr="00266093">
        <w:rPr>
          <w:color w:val="000000"/>
          <w:lang w:val="it-IT"/>
        </w:rPr>
        <w:t xml:space="preserve"> in tempi brevi da parte della Commissione europea a uno studio e un'analisi approfondita delle possibilità di creare un fondo di riserva per il CLLD a livello dell'UE. Indipendentemente da tali possibilità, la Commissione europea dovrà garantire che tutti gli Stati membri </w:t>
      </w:r>
      <w:proofErr w:type="gramStart"/>
      <w:r w:rsidRPr="00266093">
        <w:rPr>
          <w:color w:val="000000"/>
          <w:lang w:val="it-IT"/>
        </w:rPr>
        <w:t>dispongano di</w:t>
      </w:r>
      <w:proofErr w:type="gramEnd"/>
      <w:r w:rsidRPr="00266093">
        <w:rPr>
          <w:color w:val="000000"/>
          <w:lang w:val="it-IT"/>
        </w:rPr>
        <w:t xml:space="preserve"> un fondo nazionale per il CLLD, con contributi a valere su tutti e quattro i fondi SIE (FEASR, FESR, FSE e FEAMP);</w:t>
      </w:r>
    </w:p>
    <w:p w:rsidR="00035B58" w:rsidRPr="00266093" w:rsidRDefault="00035B58" w:rsidP="00FE0D9A">
      <w:pPr>
        <w:numPr>
          <w:ilvl w:val="0"/>
          <w:numId w:val="2"/>
        </w:numPr>
        <w:ind w:left="714" w:hanging="357"/>
        <w:rPr>
          <w:color w:val="000000"/>
          <w:lang w:val="it-IT"/>
        </w:rPr>
      </w:pPr>
      <w:proofErr w:type="gramStart"/>
      <w:r w:rsidRPr="00266093">
        <w:rPr>
          <w:color w:val="000000"/>
          <w:lang w:val="it-IT"/>
        </w:rPr>
        <w:t>definire</w:t>
      </w:r>
      <w:proofErr w:type="gramEnd"/>
      <w:r w:rsidRPr="00266093">
        <w:rPr>
          <w:color w:val="000000"/>
          <w:lang w:val="it-IT"/>
        </w:rPr>
        <w:t xml:space="preserve"> un quadro armonizzato di tutti i fondi SIE e istituire regole semplici di attuazione del fondo CLLD a livello dell'UE;</w:t>
      </w:r>
    </w:p>
    <w:p w:rsidR="00035B58" w:rsidRPr="00266093" w:rsidRDefault="00035B58" w:rsidP="00FE0D9A">
      <w:pPr>
        <w:numPr>
          <w:ilvl w:val="0"/>
          <w:numId w:val="2"/>
        </w:numPr>
        <w:ind w:left="714" w:hanging="357"/>
        <w:rPr>
          <w:color w:val="000000"/>
          <w:lang w:val="it-IT"/>
        </w:rPr>
      </w:pPr>
      <w:proofErr w:type="gramStart"/>
      <w:r w:rsidRPr="00266093">
        <w:rPr>
          <w:color w:val="000000"/>
          <w:lang w:val="it-IT"/>
        </w:rPr>
        <w:t>riconoscere</w:t>
      </w:r>
      <w:proofErr w:type="gramEnd"/>
      <w:r w:rsidRPr="00266093">
        <w:rPr>
          <w:color w:val="000000"/>
          <w:lang w:val="it-IT"/>
        </w:rPr>
        <w:t xml:space="preserve"> che il CLLD, che costituisce un rafforzamento del metodo Leader, offre agli Stati membri un'opportunità unica di sviluppare le loro regioni in una maniera più inclusiva, sostenibile e integrata in partenariato con le parti interessate. Allo scopo di conseguire un maggiore impatto, devono essere messi a disposizione mezzi finanziari sufficienti per l'attuazione del CLLD nel periodo di programmazione 2021-2027. A tal fine, il CESE sollecita la Commissione a imporre agli Stati membri l'obbligo di destinare almeno il 15 % della dotazione di ciascun fondo SIE al </w:t>
      </w:r>
      <w:proofErr w:type="gramStart"/>
      <w:r w:rsidRPr="00266093">
        <w:rPr>
          <w:color w:val="000000"/>
          <w:lang w:val="it-IT"/>
        </w:rPr>
        <w:t>fondo</w:t>
      </w:r>
      <w:proofErr w:type="gramEnd"/>
      <w:r w:rsidRPr="00266093">
        <w:rPr>
          <w:color w:val="000000"/>
          <w:lang w:val="it-IT"/>
        </w:rPr>
        <w:t xml:space="preserve"> CLLD e di integrare tale stanziamento con risorse nazionali sufficienti;</w:t>
      </w:r>
    </w:p>
    <w:p w:rsidR="00035B58" w:rsidRPr="00266093" w:rsidRDefault="00035B58" w:rsidP="00FE0D9A">
      <w:pPr>
        <w:numPr>
          <w:ilvl w:val="0"/>
          <w:numId w:val="2"/>
        </w:numPr>
        <w:ind w:left="714" w:hanging="357"/>
        <w:rPr>
          <w:color w:val="000000"/>
          <w:lang w:val="it-IT"/>
        </w:rPr>
      </w:pPr>
      <w:proofErr w:type="gramStart"/>
      <w:r w:rsidRPr="00266093">
        <w:rPr>
          <w:color w:val="000000"/>
          <w:lang w:val="it-IT"/>
        </w:rPr>
        <w:t>evitare</w:t>
      </w:r>
      <w:proofErr w:type="gramEnd"/>
      <w:r w:rsidRPr="00266093">
        <w:rPr>
          <w:color w:val="000000"/>
          <w:lang w:val="it-IT"/>
        </w:rPr>
        <w:t xml:space="preserve"> ogni interruzione tra i periodi di programmazione e garantire un migliore avvio del periodo 2021-2027;</w:t>
      </w:r>
    </w:p>
    <w:p w:rsidR="00035B58" w:rsidRPr="00266093" w:rsidRDefault="00035B58" w:rsidP="00FE0D9A">
      <w:pPr>
        <w:numPr>
          <w:ilvl w:val="0"/>
          <w:numId w:val="2"/>
        </w:numPr>
        <w:ind w:left="714" w:hanging="357"/>
        <w:rPr>
          <w:color w:val="000000"/>
          <w:lang w:val="it-IT"/>
        </w:rPr>
      </w:pPr>
      <w:proofErr w:type="gramStart"/>
      <w:r w:rsidRPr="00266093">
        <w:rPr>
          <w:color w:val="000000"/>
          <w:lang w:val="it-IT"/>
        </w:rPr>
        <w:t>semplificare</w:t>
      </w:r>
      <w:proofErr w:type="gramEnd"/>
      <w:r w:rsidRPr="00266093">
        <w:rPr>
          <w:color w:val="000000"/>
          <w:lang w:val="it-IT"/>
        </w:rPr>
        <w:t xml:space="preserve"> in misura sostanziale il quadro giuridico per il CLLD, le relative procedure di attuazione e il modello per il periodo di programmazione 2021-2027;</w:t>
      </w:r>
    </w:p>
    <w:p w:rsidR="00035B58" w:rsidRPr="00266093" w:rsidRDefault="00035B58" w:rsidP="00FE0D9A">
      <w:pPr>
        <w:numPr>
          <w:ilvl w:val="0"/>
          <w:numId w:val="2"/>
        </w:numPr>
        <w:ind w:left="714" w:hanging="357"/>
        <w:rPr>
          <w:color w:val="000000"/>
          <w:lang w:val="it-IT"/>
        </w:rPr>
      </w:pPr>
      <w:proofErr w:type="gramStart"/>
      <w:r w:rsidRPr="00266093">
        <w:rPr>
          <w:color w:val="000000"/>
          <w:lang w:val="it-IT"/>
        </w:rPr>
        <w:t>consentire</w:t>
      </w:r>
      <w:proofErr w:type="gramEnd"/>
      <w:r w:rsidRPr="00266093">
        <w:rPr>
          <w:color w:val="000000"/>
          <w:lang w:val="it-IT"/>
        </w:rPr>
        <w:t xml:space="preserve"> uno stretto dialogo tra tutti gli attori del CLLD a livello europeo, nazionale, regionale e locale nel quadro della preparazione del prossimo periodo di programmazione per rafforzare la fiducia e per l'attuazione di un approccio integrato per lo sviluppo locale di tipo partecipativo multifondo; consentire una costante formazione delle capacità di tutti gli attori (autorità, i GAL del CLLD, LEADER e delle reti rurali, organismi pagatori, ecc.) per quanto riguarda lo sviluppo locale di tipo partecipativo multifondo;</w:t>
      </w:r>
    </w:p>
    <w:p w:rsidR="00035B58" w:rsidRPr="00266093" w:rsidRDefault="00035B58" w:rsidP="00FE0D9A">
      <w:pPr>
        <w:numPr>
          <w:ilvl w:val="0"/>
          <w:numId w:val="2"/>
        </w:numPr>
        <w:ind w:left="714" w:hanging="357"/>
        <w:rPr>
          <w:color w:val="000000"/>
          <w:lang w:val="it-IT"/>
        </w:rPr>
      </w:pPr>
      <w:proofErr w:type="gramStart"/>
      <w:r w:rsidRPr="00266093">
        <w:rPr>
          <w:color w:val="000000"/>
          <w:lang w:val="it-IT"/>
        </w:rPr>
        <w:t>sfruttare</w:t>
      </w:r>
      <w:proofErr w:type="gramEnd"/>
      <w:r w:rsidRPr="00266093">
        <w:rPr>
          <w:color w:val="000000"/>
          <w:lang w:val="it-IT"/>
        </w:rPr>
        <w:t xml:space="preserve"> il potenziale offerto dalle soluzioni informatiche al fine di semplificare e automatizzare la raccolta dei dati a livello nazionale e locale;</w:t>
      </w:r>
    </w:p>
    <w:p w:rsidR="00035B58" w:rsidRPr="00266093" w:rsidRDefault="00035B58" w:rsidP="00FE0D9A">
      <w:pPr>
        <w:numPr>
          <w:ilvl w:val="0"/>
          <w:numId w:val="2"/>
        </w:numPr>
        <w:ind w:left="714" w:hanging="357"/>
        <w:rPr>
          <w:color w:val="000000"/>
          <w:lang w:val="it-IT"/>
        </w:rPr>
      </w:pPr>
      <w:proofErr w:type="gramStart"/>
      <w:r w:rsidRPr="00266093">
        <w:rPr>
          <w:color w:val="000000"/>
          <w:lang w:val="it-IT"/>
        </w:rPr>
        <w:t>adottare</w:t>
      </w:r>
      <w:proofErr w:type="gramEnd"/>
      <w:r w:rsidRPr="00266093">
        <w:rPr>
          <w:color w:val="000000"/>
          <w:lang w:val="it-IT"/>
        </w:rPr>
        <w:t xml:space="preserve"> un approccio partecipativo allineando e adattando le strategie di sviluppo locale all'evolversi delle condizioni locali, e trarre vantaggio dalla rivoluzione delle nuove tecnologie e delle tecnologie dell'informazione;</w:t>
      </w:r>
    </w:p>
    <w:p w:rsidR="000F0D21" w:rsidRPr="00266093" w:rsidRDefault="00035B58" w:rsidP="00FE0D9A">
      <w:pPr>
        <w:numPr>
          <w:ilvl w:val="0"/>
          <w:numId w:val="2"/>
        </w:numPr>
        <w:ind w:left="714" w:hanging="357"/>
        <w:rPr>
          <w:color w:val="000000"/>
          <w:lang w:val="it-IT"/>
        </w:rPr>
      </w:pPr>
      <w:proofErr w:type="gramStart"/>
      <w:r w:rsidRPr="00266093">
        <w:rPr>
          <w:color w:val="000000"/>
          <w:lang w:val="it-IT"/>
        </w:rPr>
        <w:t>dare</w:t>
      </w:r>
      <w:proofErr w:type="gramEnd"/>
      <w:r w:rsidRPr="00266093">
        <w:rPr>
          <w:color w:val="000000"/>
          <w:lang w:val="it-IT"/>
        </w:rPr>
        <w:t xml:space="preserve"> visibilità e ampia diffusione ai risultati conseguiti dai gruppi di azione locale; occorre inoltre effettuare una valutazione costante dell'attuazione delle strategie di sviluppo locale e spostare l'attenzione dai meccanismi di controllo dell'ammissibilità verso l'ottenimento di risultati e la valutazione delle prestazioni e degli effetti a lungo termine;</w:t>
      </w:r>
    </w:p>
    <w:p w:rsidR="00035B58" w:rsidRPr="00266093" w:rsidRDefault="00035B58" w:rsidP="00FE0D9A">
      <w:pPr>
        <w:numPr>
          <w:ilvl w:val="0"/>
          <w:numId w:val="2"/>
        </w:numPr>
        <w:ind w:left="714" w:hanging="357"/>
        <w:rPr>
          <w:color w:val="000000"/>
          <w:lang w:val="it-IT"/>
        </w:rPr>
      </w:pPr>
      <w:proofErr w:type="gramStart"/>
      <w:r w:rsidRPr="00266093">
        <w:rPr>
          <w:color w:val="000000"/>
          <w:lang w:val="it-IT"/>
        </w:rPr>
        <w:t>raccogliere</w:t>
      </w:r>
      <w:proofErr w:type="gramEnd"/>
      <w:r w:rsidRPr="00266093">
        <w:rPr>
          <w:color w:val="000000"/>
          <w:lang w:val="it-IT"/>
        </w:rPr>
        <w:t xml:space="preserve"> i dati relativi ai progetti pilota di CLLD realizzati nelle aree urbane e periurbane con esiti positivi e organizzare campagne di informazione e motivazione per dare loro più ampia diffusione.</w:t>
      </w:r>
    </w:p>
    <w:p w:rsidR="00035B58" w:rsidRPr="00266093" w:rsidRDefault="00035B58" w:rsidP="00035B58">
      <w:pPr>
        <w:rPr>
          <w:b/>
          <w:lang w:val="it-IT"/>
        </w:rPr>
      </w:pPr>
    </w:p>
    <w:p w:rsidR="00C832D8" w:rsidRPr="00266093" w:rsidRDefault="00035B58" w:rsidP="000C6F0E">
      <w:pPr>
        <w:ind w:left="1430" w:hanging="1430"/>
        <w:rPr>
          <w:i/>
          <w:iCs/>
          <w:lang w:val="it-IT"/>
        </w:rPr>
      </w:pPr>
      <w:r w:rsidRPr="00266093">
        <w:rPr>
          <w:b/>
          <w:i/>
          <w:lang w:val="it-IT"/>
        </w:rPr>
        <w:t xml:space="preserve">Persona da </w:t>
      </w:r>
      <w:proofErr w:type="gramStart"/>
      <w:r w:rsidRPr="00266093">
        <w:rPr>
          <w:b/>
          <w:i/>
          <w:lang w:val="it-IT"/>
        </w:rPr>
        <w:t>contattare</w:t>
      </w:r>
      <w:proofErr w:type="gramEnd"/>
      <w:r w:rsidRPr="00266093">
        <w:rPr>
          <w:lang w:val="it-IT"/>
        </w:rPr>
        <w:t>:</w:t>
      </w:r>
      <w:r w:rsidR="00BD20B9" w:rsidRPr="00266093">
        <w:rPr>
          <w:lang w:val="it-IT"/>
        </w:rPr>
        <w:t xml:space="preserve"> </w:t>
      </w:r>
      <w:r w:rsidRPr="00266093">
        <w:rPr>
          <w:i/>
          <w:lang w:val="it-IT"/>
        </w:rPr>
        <w:t>Maarit LAURILA</w:t>
      </w:r>
    </w:p>
    <w:p w:rsidR="002532B5" w:rsidRPr="00266093" w:rsidRDefault="00F80928" w:rsidP="00FE0D9A">
      <w:pPr>
        <w:tabs>
          <w:tab w:val="left" w:pos="2127"/>
        </w:tabs>
        <w:ind w:left="1430"/>
        <w:jc w:val="left"/>
        <w:rPr>
          <w:i/>
          <w:iCs/>
          <w:lang w:val="it-IT"/>
        </w:rPr>
      </w:pPr>
      <w:r w:rsidRPr="00266093">
        <w:rPr>
          <w:i/>
          <w:lang w:val="it-IT"/>
        </w:rPr>
        <w:tab/>
      </w:r>
      <w:r w:rsidR="00035B58" w:rsidRPr="00266093">
        <w:rPr>
          <w:i/>
          <w:lang w:val="it-IT"/>
        </w:rPr>
        <w:t>(</w:t>
      </w:r>
      <w:r w:rsidR="00266093" w:rsidRPr="00266093">
        <w:rPr>
          <w:i/>
          <w:lang w:val="it-IT"/>
        </w:rPr>
        <w:t>Tel.:</w:t>
      </w:r>
      <w:r w:rsidR="00035B58" w:rsidRPr="00266093">
        <w:rPr>
          <w:i/>
          <w:lang w:val="it-IT"/>
        </w:rPr>
        <w:t xml:space="preserve"> 00 32 2 546 97 39 </w:t>
      </w:r>
      <w:r w:rsidR="00387F53" w:rsidRPr="00266093">
        <w:rPr>
          <w:i/>
          <w:lang w:val="it-IT"/>
        </w:rPr>
        <w:t>e-mail</w:t>
      </w:r>
      <w:r w:rsidR="00035B58" w:rsidRPr="00266093">
        <w:rPr>
          <w:i/>
          <w:lang w:val="it-IT"/>
        </w:rPr>
        <w:t>:</w:t>
      </w:r>
      <w:r w:rsidR="00035B58" w:rsidRPr="00266093">
        <w:rPr>
          <w:lang w:val="it-IT"/>
        </w:rPr>
        <w:t xml:space="preserve"> </w:t>
      </w:r>
      <w:hyperlink r:id="rId31">
        <w:r w:rsidR="00035B58" w:rsidRPr="00266093">
          <w:rPr>
            <w:rStyle w:val="Hyperlink"/>
            <w:i/>
            <w:lang w:val="it-IT"/>
          </w:rPr>
          <w:t>Maarit.Laurila@eesc.europa.eu</w:t>
        </w:r>
      </w:hyperlink>
      <w:r w:rsidR="00035B58" w:rsidRPr="00266093">
        <w:rPr>
          <w:i/>
          <w:lang w:val="it-IT"/>
        </w:rPr>
        <w:t>)</w:t>
      </w:r>
    </w:p>
    <w:p w:rsidR="00E631B5" w:rsidRPr="00266093" w:rsidRDefault="00E631B5" w:rsidP="00035B58">
      <w:pPr>
        <w:jc w:val="left"/>
        <w:rPr>
          <w:i/>
          <w:iCs/>
          <w:lang w:val="it-IT"/>
        </w:rPr>
      </w:pPr>
    </w:p>
    <w:p w:rsidR="00E631B5" w:rsidRPr="00266093" w:rsidRDefault="00E631B5">
      <w:pPr>
        <w:overflowPunct/>
        <w:autoSpaceDE/>
        <w:autoSpaceDN/>
        <w:adjustRightInd/>
        <w:spacing w:line="240" w:lineRule="auto"/>
        <w:jc w:val="left"/>
        <w:textAlignment w:val="auto"/>
        <w:rPr>
          <w:i/>
          <w:iCs/>
          <w:lang w:val="it-IT"/>
        </w:rPr>
      </w:pPr>
      <w:r w:rsidRPr="00266093">
        <w:rPr>
          <w:lang w:val="it-IT"/>
        </w:rPr>
        <w:br w:type="page"/>
      </w:r>
    </w:p>
    <w:p w:rsidR="00C45A67" w:rsidRPr="00266093" w:rsidRDefault="00760E25" w:rsidP="00E97DE3">
      <w:pPr>
        <w:pStyle w:val="Heading1"/>
        <w:rPr>
          <w:b/>
          <w:caps/>
          <w:lang w:val="it-IT"/>
        </w:rPr>
      </w:pPr>
      <w:r w:rsidRPr="00266093">
        <w:rPr>
          <w:lang w:val="it-IT"/>
        </w:rPr>
        <w:tab/>
      </w:r>
      <w:bookmarkStart w:id="13" w:name="_Toc499892047"/>
      <w:bookmarkStart w:id="14" w:name="_Toc501014832"/>
      <w:r w:rsidRPr="00266093">
        <w:rPr>
          <w:b/>
          <w:caps/>
          <w:lang w:val="it-IT"/>
        </w:rPr>
        <w:t xml:space="preserve">Politica </w:t>
      </w:r>
      <w:proofErr w:type="gramStart"/>
      <w:r w:rsidRPr="00266093">
        <w:rPr>
          <w:b/>
          <w:caps/>
          <w:lang w:val="it-IT"/>
        </w:rPr>
        <w:t>alimentare</w:t>
      </w:r>
      <w:bookmarkEnd w:id="13"/>
      <w:bookmarkEnd w:id="14"/>
      <w:proofErr w:type="gramEnd"/>
    </w:p>
    <w:p w:rsidR="009E5586" w:rsidRPr="00266093" w:rsidRDefault="009E5586" w:rsidP="00035B58">
      <w:pPr>
        <w:ind w:left="-567"/>
        <w:rPr>
          <w:i/>
          <w:iCs/>
          <w:lang w:val="it-IT"/>
        </w:rPr>
      </w:pPr>
    </w:p>
    <w:p w:rsidR="00035B58" w:rsidRPr="00266093" w:rsidRDefault="00035B58" w:rsidP="00B23945">
      <w:pPr>
        <w:pStyle w:val="ListParagraph"/>
        <w:numPr>
          <w:ilvl w:val="0"/>
          <w:numId w:val="35"/>
        </w:numPr>
        <w:rPr>
          <w:b/>
          <w:bCs/>
          <w:i/>
          <w:iCs/>
          <w:sz w:val="28"/>
          <w:szCs w:val="28"/>
          <w:lang w:val="it-IT"/>
        </w:rPr>
      </w:pPr>
      <w:proofErr w:type="gramStart"/>
      <w:r w:rsidRPr="00266093">
        <w:rPr>
          <w:b/>
          <w:i/>
          <w:sz w:val="28"/>
          <w:lang w:val="it-IT"/>
        </w:rPr>
        <w:t>Il contributo della società civile allo sviluppo di una politica alimentare globale nell'UE (parere d'iniziativa)</w:t>
      </w:r>
      <w:proofErr w:type="gramEnd"/>
    </w:p>
    <w:p w:rsidR="00035B58" w:rsidRPr="00266093" w:rsidRDefault="00035B58" w:rsidP="00035B58">
      <w:pPr>
        <w:pStyle w:val="ListParagraph"/>
        <w:ind w:left="567"/>
        <w:rPr>
          <w:bCs/>
          <w:i/>
          <w:iCs/>
          <w:lang w:val="it-IT"/>
        </w:rPr>
      </w:pPr>
    </w:p>
    <w:p w:rsidR="00035B58" w:rsidRPr="00266093" w:rsidRDefault="00266093" w:rsidP="00B23945">
      <w:pPr>
        <w:tabs>
          <w:tab w:val="left" w:pos="1701"/>
        </w:tabs>
        <w:rPr>
          <w:lang w:val="it-IT"/>
        </w:rPr>
      </w:pPr>
      <w:r w:rsidRPr="00266093">
        <w:rPr>
          <w:b/>
          <w:lang w:val="it-IT"/>
        </w:rPr>
        <w:t>Relatore</w:t>
      </w:r>
      <w:r w:rsidR="00035B58" w:rsidRPr="00266093">
        <w:rPr>
          <w:b/>
          <w:lang w:val="it-IT"/>
        </w:rPr>
        <w:t>:</w:t>
      </w:r>
      <w:r w:rsidR="00035B58" w:rsidRPr="00266093">
        <w:rPr>
          <w:lang w:val="it-IT"/>
        </w:rPr>
        <w:tab/>
        <w:t xml:space="preserve">Peter SCHMIDT (Datori di lavoro - </w:t>
      </w:r>
      <w:proofErr w:type="gramStart"/>
      <w:r w:rsidR="00035B58" w:rsidRPr="00266093">
        <w:rPr>
          <w:lang w:val="it-IT"/>
        </w:rPr>
        <w:t>DE</w:t>
      </w:r>
      <w:proofErr w:type="gramEnd"/>
      <w:r w:rsidR="00035B58" w:rsidRPr="00266093">
        <w:rPr>
          <w:lang w:val="it-IT"/>
        </w:rPr>
        <w:t>)</w:t>
      </w:r>
    </w:p>
    <w:p w:rsidR="00035B58" w:rsidRPr="00266093" w:rsidRDefault="00035B58" w:rsidP="00B23945">
      <w:pPr>
        <w:tabs>
          <w:tab w:val="left" w:pos="1701"/>
        </w:tabs>
        <w:rPr>
          <w:lang w:val="it-IT"/>
        </w:rPr>
      </w:pPr>
    </w:p>
    <w:p w:rsidR="00035B58" w:rsidRPr="00266093" w:rsidRDefault="00035B58" w:rsidP="00B23945">
      <w:pPr>
        <w:tabs>
          <w:tab w:val="left" w:pos="1701"/>
        </w:tabs>
        <w:ind w:left="-5"/>
        <w:rPr>
          <w:lang w:val="it-IT"/>
        </w:rPr>
      </w:pPr>
      <w:r w:rsidRPr="00266093">
        <w:rPr>
          <w:b/>
          <w:lang w:val="it-IT"/>
        </w:rPr>
        <w:t>Riferimento:</w:t>
      </w:r>
      <w:r w:rsidRPr="00266093">
        <w:rPr>
          <w:lang w:val="it-IT"/>
        </w:rPr>
        <w:tab/>
      </w:r>
      <w:proofErr w:type="gramStart"/>
      <w:r w:rsidRPr="00266093">
        <w:rPr>
          <w:lang w:val="it-IT"/>
        </w:rPr>
        <w:t>EESC-2017-02234-00-00-A</w:t>
      </w:r>
      <w:r w:rsidR="00E4306F" w:rsidRPr="00266093">
        <w:rPr>
          <w:lang w:val="it-IT"/>
        </w:rPr>
        <w:t>C</w:t>
      </w:r>
      <w:r w:rsidRPr="00266093">
        <w:rPr>
          <w:lang w:val="it-IT"/>
        </w:rPr>
        <w:t>-TRA</w:t>
      </w:r>
      <w:proofErr w:type="gramEnd"/>
    </w:p>
    <w:p w:rsidR="00035B58" w:rsidRPr="00266093" w:rsidRDefault="00035B58" w:rsidP="00035B58">
      <w:pPr>
        <w:ind w:left="-5"/>
        <w:rPr>
          <w:lang w:val="it-IT"/>
        </w:rPr>
      </w:pPr>
    </w:p>
    <w:p w:rsidR="00035B58" w:rsidRPr="00266093" w:rsidRDefault="00035B58" w:rsidP="00035B58">
      <w:pPr>
        <w:rPr>
          <w:b/>
          <w:iCs/>
          <w:u w:val="single"/>
          <w:lang w:val="it-IT"/>
        </w:rPr>
      </w:pPr>
      <w:r w:rsidRPr="00266093">
        <w:rPr>
          <w:b/>
          <w:lang w:val="it-IT"/>
        </w:rPr>
        <w:t>Punti salienti del parere:</w:t>
      </w:r>
    </w:p>
    <w:p w:rsidR="00035B58" w:rsidRPr="00266093" w:rsidRDefault="00035B58" w:rsidP="00035B58">
      <w:pPr>
        <w:ind w:left="-567"/>
        <w:rPr>
          <w:b/>
          <w:iCs/>
          <w:u w:val="single"/>
          <w:lang w:val="it-IT"/>
        </w:rPr>
      </w:pPr>
    </w:p>
    <w:p w:rsidR="00035B58" w:rsidRPr="00266093" w:rsidRDefault="00035B58" w:rsidP="00FE0D9A">
      <w:pPr>
        <w:numPr>
          <w:ilvl w:val="0"/>
          <w:numId w:val="2"/>
        </w:numPr>
        <w:ind w:left="714" w:hanging="357"/>
        <w:rPr>
          <w:color w:val="000000"/>
          <w:lang w:val="it-IT"/>
        </w:rPr>
      </w:pPr>
      <w:r w:rsidRPr="00266093">
        <w:rPr>
          <w:color w:val="000000"/>
          <w:lang w:val="it-IT"/>
        </w:rPr>
        <w:t xml:space="preserve">L'attuale quadro politico dell'UE non è adatto a permettere quella transizione verso sistemi alimentari più sostenibili che è necessaria per garantire l'efficace attuazione degli obiettivi di sviluppo sostenibile </w:t>
      </w:r>
      <w:proofErr w:type="gramStart"/>
      <w:r w:rsidRPr="00266093">
        <w:rPr>
          <w:color w:val="000000"/>
          <w:lang w:val="it-IT"/>
        </w:rPr>
        <w:t>delle</w:t>
      </w:r>
      <w:proofErr w:type="gramEnd"/>
      <w:r w:rsidRPr="00266093">
        <w:rPr>
          <w:color w:val="000000"/>
          <w:lang w:val="it-IT"/>
        </w:rPr>
        <w:t xml:space="preserve"> Nazioni Unite (OSS) come pure del diritto all'alimentazione e degli altri diritti umani.</w:t>
      </w:r>
      <w:r w:rsidR="00FC1BAB" w:rsidRPr="00266093">
        <w:rPr>
          <w:color w:val="000000"/>
          <w:lang w:val="it-IT"/>
        </w:rPr>
        <w:t xml:space="preserve"> </w:t>
      </w:r>
      <w:r w:rsidRPr="00266093">
        <w:rPr>
          <w:color w:val="000000"/>
          <w:lang w:val="it-IT"/>
        </w:rPr>
        <w:t xml:space="preserve">Il CESE </w:t>
      </w:r>
      <w:proofErr w:type="gramStart"/>
      <w:r w:rsidRPr="00266093">
        <w:rPr>
          <w:color w:val="000000"/>
          <w:lang w:val="it-IT"/>
        </w:rPr>
        <w:t>ribadisce</w:t>
      </w:r>
      <w:proofErr w:type="gramEnd"/>
      <w:r w:rsidRPr="00266093">
        <w:rPr>
          <w:color w:val="000000"/>
          <w:lang w:val="it-IT"/>
        </w:rPr>
        <w:t xml:space="preserve"> l'invito a sviluppare una politica alimentare globale dell'UE, con l'obiettivo di fornire un'alimentazione sana a partire da sistemi alimentari sostenibili, di collegare l'agricoltura all'alimentazione e ai servizi ecosistemici, nonché di garantire catene di approvvigionamento che tutelino la salute pubblica per tutti i settori della società europea. Una politica alimentare globale dell'UE dovrebbe aumentare la coerenza tra gli ambiti politici legati all'alimentazione, ripristinare il valore del cibo e promuovere una transizione a lungo termine dal produttivismo e consumismo alimentare alla cittadinanza </w:t>
      </w:r>
      <w:proofErr w:type="gramStart"/>
      <w:r w:rsidRPr="00266093">
        <w:rPr>
          <w:color w:val="000000"/>
          <w:lang w:val="it-IT"/>
        </w:rPr>
        <w:t>alimentare</w:t>
      </w:r>
      <w:proofErr w:type="gramEnd"/>
      <w:r w:rsidRPr="00266093">
        <w:rPr>
          <w:color w:val="000000"/>
          <w:lang w:val="it-IT"/>
        </w:rPr>
        <w:t xml:space="preserve">. Inoltre, il CESE </w:t>
      </w:r>
      <w:proofErr w:type="gramStart"/>
      <w:r w:rsidRPr="00266093">
        <w:rPr>
          <w:color w:val="000000"/>
          <w:lang w:val="it-IT"/>
        </w:rPr>
        <w:t>ribadisce</w:t>
      </w:r>
      <w:proofErr w:type="gramEnd"/>
      <w:r w:rsidRPr="00266093">
        <w:rPr>
          <w:color w:val="000000"/>
          <w:lang w:val="it-IT"/>
        </w:rPr>
        <w:t xml:space="preserve"> che una politica alimentare globale dovrebbe essere complementare, e non alternativa, ad una PAC riformata in profondità.</w:t>
      </w:r>
    </w:p>
    <w:p w:rsidR="00035B58" w:rsidRPr="00266093" w:rsidRDefault="00035B58" w:rsidP="00035B58">
      <w:pPr>
        <w:spacing w:line="240" w:lineRule="auto"/>
        <w:ind w:left="-567"/>
        <w:rPr>
          <w:lang w:val="it-IT"/>
        </w:rPr>
      </w:pPr>
    </w:p>
    <w:p w:rsidR="00035B58" w:rsidRPr="00266093" w:rsidRDefault="00035B58" w:rsidP="00FE0D9A">
      <w:pPr>
        <w:numPr>
          <w:ilvl w:val="0"/>
          <w:numId w:val="2"/>
        </w:numPr>
        <w:ind w:left="714" w:hanging="357"/>
        <w:rPr>
          <w:color w:val="000000"/>
          <w:lang w:val="it-IT"/>
        </w:rPr>
      </w:pPr>
      <w:r w:rsidRPr="00266093">
        <w:rPr>
          <w:color w:val="000000"/>
          <w:lang w:val="it-IT"/>
        </w:rPr>
        <w:t xml:space="preserve">Il CESE </w:t>
      </w:r>
      <w:proofErr w:type="gramStart"/>
      <w:r w:rsidRPr="00266093">
        <w:rPr>
          <w:color w:val="000000"/>
          <w:lang w:val="it-IT"/>
        </w:rPr>
        <w:t>sottolinea</w:t>
      </w:r>
      <w:proofErr w:type="gramEnd"/>
      <w:r w:rsidRPr="00266093">
        <w:rPr>
          <w:color w:val="000000"/>
          <w:lang w:val="it-IT"/>
        </w:rPr>
        <w:t xml:space="preserve"> la necessità di mantenere una cultura che tenga conto dell'importanza nutrizionale e culturale degli alimenti, nonché del loro impatto sociale ed ambientale. A tale riguardo, la grande varietà di alimenti e specialità regionali/locali disponibili nell'UE è una vera e propria risorsa e, </w:t>
      </w:r>
      <w:proofErr w:type="gramStart"/>
      <w:r w:rsidRPr="00266093">
        <w:rPr>
          <w:color w:val="000000"/>
          <w:lang w:val="it-IT"/>
        </w:rPr>
        <w:t>in quanto</w:t>
      </w:r>
      <w:proofErr w:type="gramEnd"/>
      <w:r w:rsidRPr="00266093">
        <w:rPr>
          <w:color w:val="000000"/>
          <w:lang w:val="it-IT"/>
        </w:rPr>
        <w:t xml:space="preserve"> tale, dovrebbe essere ulteriormente valorizzata. Un numero crescente </w:t>
      </w:r>
      <w:proofErr w:type="gramStart"/>
      <w:r w:rsidRPr="00266093">
        <w:rPr>
          <w:color w:val="000000"/>
          <w:lang w:val="it-IT"/>
        </w:rPr>
        <w:t xml:space="preserve">di </w:t>
      </w:r>
      <w:proofErr w:type="gramEnd"/>
      <w:r w:rsidRPr="00266093">
        <w:rPr>
          <w:color w:val="000000"/>
          <w:lang w:val="it-IT"/>
        </w:rPr>
        <w:t xml:space="preserve">iniziative è stato attuato a livello regionale e locale per sostenere sistemi alimentari alternativi. Una politica alimentare globale dovrebbe basarsi su una governance comune a tutti i livelli (locale, regionale, nazionale ed europeo), </w:t>
      </w:r>
      <w:proofErr w:type="gramStart"/>
      <w:r w:rsidRPr="00266093">
        <w:rPr>
          <w:color w:val="000000"/>
          <w:lang w:val="it-IT"/>
        </w:rPr>
        <w:t>nonché</w:t>
      </w:r>
      <w:proofErr w:type="gramEnd"/>
      <w:r w:rsidRPr="00266093">
        <w:rPr>
          <w:color w:val="000000"/>
          <w:lang w:val="it-IT"/>
        </w:rPr>
        <w:t xml:space="preserve"> stimolarla e svilupparla.</w:t>
      </w:r>
      <w:r w:rsidR="00FC1BAB" w:rsidRPr="00266093">
        <w:rPr>
          <w:color w:val="000000"/>
          <w:lang w:val="it-IT"/>
        </w:rPr>
        <w:t xml:space="preserve"> </w:t>
      </w:r>
      <w:r w:rsidRPr="00266093">
        <w:rPr>
          <w:color w:val="000000"/>
          <w:lang w:val="it-IT"/>
        </w:rPr>
        <w:t xml:space="preserve">Il CESE </w:t>
      </w:r>
      <w:proofErr w:type="gramStart"/>
      <w:r w:rsidRPr="00266093">
        <w:rPr>
          <w:color w:val="000000"/>
          <w:lang w:val="it-IT"/>
        </w:rPr>
        <w:t>sottolinea</w:t>
      </w:r>
      <w:proofErr w:type="gramEnd"/>
      <w:r w:rsidRPr="00266093">
        <w:rPr>
          <w:color w:val="000000"/>
          <w:lang w:val="it-IT"/>
        </w:rPr>
        <w:t xml:space="preserve"> che tutte le parti interessate della catena di approvvigionamento (o filiera) alimentare devono partecipare allo sviluppo di un quadro globale che consenta di ottenere una distribuzione equa lungo la filiera.</w:t>
      </w:r>
    </w:p>
    <w:p w:rsidR="00035B58" w:rsidRPr="00266093" w:rsidRDefault="00035B58" w:rsidP="00035B58">
      <w:pPr>
        <w:spacing w:line="240" w:lineRule="auto"/>
        <w:rPr>
          <w:lang w:val="it-IT"/>
        </w:rPr>
      </w:pPr>
    </w:p>
    <w:p w:rsidR="00035B58" w:rsidRPr="00266093" w:rsidRDefault="00035B58" w:rsidP="00FE0D9A">
      <w:pPr>
        <w:numPr>
          <w:ilvl w:val="0"/>
          <w:numId w:val="2"/>
        </w:numPr>
        <w:ind w:left="714" w:hanging="357"/>
        <w:rPr>
          <w:color w:val="000000"/>
          <w:lang w:val="it-IT"/>
        </w:rPr>
      </w:pPr>
      <w:r w:rsidRPr="00266093">
        <w:rPr>
          <w:color w:val="000000"/>
          <w:lang w:val="it-IT"/>
        </w:rPr>
        <w:t>Al fine di sostenere l'instaurazione di un quadro globale che riunisca le politiche in materia alimentare dell'UE, il CESE propone, nel breve/medio termine, di creare una task force intersettoriale e interistituzionale, con la partecipazione di diverse direzioni generali della Commissione e di altre istituzioni dell'UE. La task force avrà il compito di elaborare un piano d'azione sulla sostenibilità alimentare al fine di aiutare l'UE ad attuare gli obiettivi di sviluppo sostenibile legati all'alimentazione.</w:t>
      </w:r>
    </w:p>
    <w:p w:rsidR="00035B58" w:rsidRPr="00266093" w:rsidRDefault="00035B58" w:rsidP="00035B58">
      <w:pPr>
        <w:spacing w:line="240" w:lineRule="auto"/>
        <w:rPr>
          <w:lang w:val="it-IT"/>
        </w:rPr>
      </w:pPr>
    </w:p>
    <w:p w:rsidR="00035B58" w:rsidRPr="00266093" w:rsidRDefault="00035B58" w:rsidP="00FE0D9A">
      <w:pPr>
        <w:numPr>
          <w:ilvl w:val="0"/>
          <w:numId w:val="2"/>
        </w:numPr>
        <w:ind w:left="714" w:hanging="357"/>
        <w:rPr>
          <w:color w:val="000000"/>
          <w:lang w:val="it-IT"/>
        </w:rPr>
      </w:pPr>
      <w:r w:rsidRPr="00266093">
        <w:rPr>
          <w:color w:val="000000"/>
          <w:lang w:val="it-IT"/>
        </w:rPr>
        <w:t xml:space="preserve">A più lungo termine, e in funzione delle conclusioni della task force, il CESE incoraggia la Commissione a valutare l'opportunità di creare una DG specificamente dedicata all'alimentazione, che accentrerebbe le responsabilità dell'UE per tutte le politiche in materia alimentare e, </w:t>
      </w:r>
      <w:proofErr w:type="gramStart"/>
      <w:r w:rsidRPr="00266093">
        <w:rPr>
          <w:color w:val="000000"/>
          <w:lang w:val="it-IT"/>
        </w:rPr>
        <w:t>a seconda dei</w:t>
      </w:r>
      <w:proofErr w:type="gramEnd"/>
      <w:r w:rsidRPr="00266093">
        <w:rPr>
          <w:color w:val="000000"/>
          <w:lang w:val="it-IT"/>
        </w:rPr>
        <w:t xml:space="preserve"> casi, svolgerebbe compiti di regolazione, legislazione ed attuazione.</w:t>
      </w:r>
    </w:p>
    <w:p w:rsidR="00035B58" w:rsidRPr="00266093" w:rsidRDefault="00035B58" w:rsidP="00035B58">
      <w:pPr>
        <w:rPr>
          <w:b/>
          <w:iCs/>
          <w:u w:val="single"/>
          <w:lang w:val="it-IT"/>
        </w:rPr>
      </w:pPr>
    </w:p>
    <w:p w:rsidR="005D2872" w:rsidRPr="00266093" w:rsidRDefault="005D2872" w:rsidP="00035B58">
      <w:pPr>
        <w:rPr>
          <w:b/>
          <w:iCs/>
          <w:u w:val="single"/>
          <w:lang w:val="it-IT"/>
        </w:rPr>
      </w:pPr>
    </w:p>
    <w:p w:rsidR="00035B58" w:rsidRPr="00266093" w:rsidRDefault="00035B58" w:rsidP="00B23945">
      <w:pPr>
        <w:tabs>
          <w:tab w:val="left" w:pos="1418"/>
        </w:tabs>
        <w:rPr>
          <w:i/>
          <w:iCs/>
          <w:lang w:val="it-IT"/>
        </w:rPr>
      </w:pPr>
      <w:r w:rsidRPr="00266093">
        <w:rPr>
          <w:b/>
          <w:i/>
          <w:lang w:val="it-IT"/>
        </w:rPr>
        <w:t xml:space="preserve">Persona da </w:t>
      </w:r>
      <w:proofErr w:type="gramStart"/>
      <w:r w:rsidRPr="00266093">
        <w:rPr>
          <w:b/>
          <w:i/>
          <w:lang w:val="it-IT"/>
        </w:rPr>
        <w:t>contattare</w:t>
      </w:r>
      <w:proofErr w:type="gramEnd"/>
      <w:r w:rsidRPr="00266093">
        <w:rPr>
          <w:lang w:val="it-IT"/>
        </w:rPr>
        <w:t>:</w:t>
      </w:r>
      <w:r w:rsidR="00BD20B9" w:rsidRPr="00266093">
        <w:rPr>
          <w:lang w:val="it-IT"/>
        </w:rPr>
        <w:t xml:space="preserve"> </w:t>
      </w:r>
      <w:r w:rsidRPr="00266093">
        <w:rPr>
          <w:i/>
          <w:lang w:val="it-IT"/>
        </w:rPr>
        <w:t>Monica GUARINONI</w:t>
      </w:r>
    </w:p>
    <w:p w:rsidR="00035B58" w:rsidRPr="00266093" w:rsidRDefault="00B23945" w:rsidP="00FE0D9A">
      <w:pPr>
        <w:tabs>
          <w:tab w:val="left" w:pos="2127"/>
        </w:tabs>
        <w:jc w:val="left"/>
        <w:rPr>
          <w:caps/>
          <w:lang w:val="it-IT"/>
        </w:rPr>
      </w:pPr>
      <w:r w:rsidRPr="00266093">
        <w:rPr>
          <w:lang w:val="it-IT"/>
        </w:rPr>
        <w:tab/>
      </w:r>
      <w:r w:rsidRPr="00266093">
        <w:rPr>
          <w:i/>
          <w:lang w:val="it-IT"/>
        </w:rPr>
        <w:t>(</w:t>
      </w:r>
      <w:r w:rsidR="00266093" w:rsidRPr="00266093">
        <w:rPr>
          <w:i/>
          <w:lang w:val="it-IT"/>
        </w:rPr>
        <w:t>Tel.:</w:t>
      </w:r>
      <w:r w:rsidRPr="00266093">
        <w:rPr>
          <w:i/>
          <w:lang w:val="it-IT"/>
        </w:rPr>
        <w:t xml:space="preserve"> 00 32 2 546 81 27– </w:t>
      </w:r>
      <w:r w:rsidR="00387F53" w:rsidRPr="00266093">
        <w:rPr>
          <w:i/>
          <w:lang w:val="it-IT"/>
        </w:rPr>
        <w:t>e-mail</w:t>
      </w:r>
      <w:r w:rsidRPr="00266093">
        <w:rPr>
          <w:i/>
          <w:lang w:val="it-IT"/>
        </w:rPr>
        <w:t>:</w:t>
      </w:r>
      <w:r w:rsidRPr="00266093">
        <w:rPr>
          <w:lang w:val="it-IT"/>
        </w:rPr>
        <w:t xml:space="preserve"> </w:t>
      </w:r>
      <w:hyperlink r:id="rId32">
        <w:r w:rsidRPr="00266093">
          <w:rPr>
            <w:rStyle w:val="Hyperlink"/>
            <w:i/>
            <w:lang w:val="it-IT"/>
          </w:rPr>
          <w:t>Monica.Guarinoni@eesc.europa.eu</w:t>
        </w:r>
      </w:hyperlink>
      <w:r w:rsidR="00C832D8" w:rsidRPr="00266093">
        <w:rPr>
          <w:i/>
          <w:lang w:val="it-IT"/>
        </w:rPr>
        <w:t>)</w:t>
      </w:r>
    </w:p>
    <w:p w:rsidR="00E631B5" w:rsidRPr="00266093" w:rsidRDefault="00E631B5">
      <w:pPr>
        <w:overflowPunct/>
        <w:autoSpaceDE/>
        <w:autoSpaceDN/>
        <w:adjustRightInd/>
        <w:spacing w:line="240" w:lineRule="auto"/>
        <w:jc w:val="left"/>
        <w:textAlignment w:val="auto"/>
        <w:rPr>
          <w:caps/>
          <w:lang w:val="it-IT"/>
        </w:rPr>
      </w:pPr>
      <w:r w:rsidRPr="00266093">
        <w:rPr>
          <w:lang w:val="it-IT"/>
        </w:rPr>
        <w:br w:type="page"/>
      </w:r>
    </w:p>
    <w:p w:rsidR="00C45A67" w:rsidRPr="00266093" w:rsidRDefault="00760E25" w:rsidP="00E97DE3">
      <w:pPr>
        <w:pStyle w:val="Heading1"/>
        <w:rPr>
          <w:b/>
          <w:caps/>
          <w:lang w:val="it-IT"/>
        </w:rPr>
      </w:pPr>
      <w:r w:rsidRPr="00266093">
        <w:rPr>
          <w:lang w:val="it-IT"/>
        </w:rPr>
        <w:tab/>
      </w:r>
      <w:bookmarkStart w:id="15" w:name="_Toc499892048"/>
      <w:bookmarkStart w:id="16" w:name="_Toc501014833"/>
      <w:r w:rsidRPr="00266093">
        <w:rPr>
          <w:b/>
          <w:caps/>
          <w:lang w:val="it-IT"/>
        </w:rPr>
        <w:t>Affari sociali</w:t>
      </w:r>
      <w:bookmarkEnd w:id="15"/>
      <w:bookmarkEnd w:id="16"/>
    </w:p>
    <w:p w:rsidR="009E5586" w:rsidRPr="00266093" w:rsidRDefault="009E5586" w:rsidP="00947A7A">
      <w:pPr>
        <w:rPr>
          <w:b/>
          <w:u w:val="single"/>
          <w:lang w:val="it-IT"/>
        </w:rPr>
      </w:pPr>
    </w:p>
    <w:p w:rsidR="00947A7A" w:rsidRPr="00266093" w:rsidRDefault="00947A7A" w:rsidP="00947A7A">
      <w:pPr>
        <w:pStyle w:val="ListParagraph"/>
        <w:numPr>
          <w:ilvl w:val="0"/>
          <w:numId w:val="4"/>
        </w:numPr>
        <w:rPr>
          <w:b/>
          <w:i/>
          <w:sz w:val="28"/>
          <w:szCs w:val="28"/>
          <w:lang w:val="it-IT"/>
        </w:rPr>
      </w:pPr>
      <w:proofErr w:type="gramStart"/>
      <w:r w:rsidRPr="00266093">
        <w:rPr>
          <w:b/>
          <w:i/>
          <w:sz w:val="28"/>
          <w:lang w:val="it-IT"/>
        </w:rPr>
        <w:t>Equilibrio tra attività professionale e vita familiare per i genitori e altri prestatori di assistenza</w:t>
      </w:r>
      <w:proofErr w:type="gramEnd"/>
    </w:p>
    <w:p w:rsidR="00947A7A" w:rsidRPr="00266093" w:rsidRDefault="00947A7A" w:rsidP="00947A7A">
      <w:pPr>
        <w:rPr>
          <w:lang w:val="it-IT"/>
        </w:rPr>
      </w:pPr>
    </w:p>
    <w:p w:rsidR="00947A7A" w:rsidRPr="00266093" w:rsidRDefault="00266093" w:rsidP="00760E25">
      <w:pPr>
        <w:tabs>
          <w:tab w:val="left" w:pos="1701"/>
        </w:tabs>
        <w:rPr>
          <w:color w:val="000000"/>
          <w:lang w:val="it-IT"/>
        </w:rPr>
      </w:pPr>
      <w:r w:rsidRPr="00266093">
        <w:rPr>
          <w:b/>
          <w:lang w:val="it-IT"/>
        </w:rPr>
        <w:t>Relatrice</w:t>
      </w:r>
      <w:r w:rsidR="00947A7A" w:rsidRPr="00266093">
        <w:rPr>
          <w:b/>
          <w:lang w:val="it-IT"/>
        </w:rPr>
        <w:t>:</w:t>
      </w:r>
      <w:r w:rsidR="005908F7" w:rsidRPr="00266093">
        <w:rPr>
          <w:b/>
          <w:lang w:val="it-IT"/>
        </w:rPr>
        <w:tab/>
      </w:r>
      <w:r w:rsidR="00947A7A" w:rsidRPr="00266093">
        <w:rPr>
          <w:color w:val="000000"/>
          <w:lang w:val="it-IT"/>
        </w:rPr>
        <w:t xml:space="preserve">Erika KOLLER (Lavoratori </w:t>
      </w:r>
      <w:r w:rsidR="00947A7A" w:rsidRPr="00266093">
        <w:rPr>
          <w:lang w:val="it-IT"/>
        </w:rPr>
        <w:t>- HU)</w:t>
      </w:r>
    </w:p>
    <w:p w:rsidR="00947A7A" w:rsidRPr="00266093" w:rsidRDefault="00266093" w:rsidP="00760E25">
      <w:pPr>
        <w:tabs>
          <w:tab w:val="left" w:pos="1701"/>
        </w:tabs>
        <w:rPr>
          <w:color w:val="000000"/>
          <w:lang w:val="it-IT"/>
        </w:rPr>
      </w:pPr>
      <w:r w:rsidRPr="00266093">
        <w:rPr>
          <w:b/>
          <w:color w:val="000000"/>
          <w:lang w:val="it-IT"/>
        </w:rPr>
        <w:t>Correlatrice</w:t>
      </w:r>
      <w:r w:rsidR="00947A7A" w:rsidRPr="00266093">
        <w:rPr>
          <w:b/>
          <w:color w:val="000000"/>
          <w:lang w:val="it-IT"/>
        </w:rPr>
        <w:t>:</w:t>
      </w:r>
      <w:r w:rsidR="005908F7" w:rsidRPr="00266093">
        <w:rPr>
          <w:b/>
          <w:color w:val="000000"/>
          <w:lang w:val="it-IT"/>
        </w:rPr>
        <w:tab/>
      </w:r>
      <w:r w:rsidR="00947A7A" w:rsidRPr="00266093">
        <w:rPr>
          <w:color w:val="000000"/>
          <w:lang w:val="it-IT"/>
        </w:rPr>
        <w:t xml:space="preserve">Vladimíra DRBALOVÁ (Datori di lavoro </w:t>
      </w:r>
      <w:r w:rsidR="00947A7A" w:rsidRPr="00266093">
        <w:rPr>
          <w:lang w:val="it-IT"/>
        </w:rPr>
        <w:t>- CZ)</w:t>
      </w:r>
    </w:p>
    <w:p w:rsidR="00760E25" w:rsidRPr="00266093" w:rsidRDefault="00760E25" w:rsidP="00760E25">
      <w:pPr>
        <w:tabs>
          <w:tab w:val="left" w:pos="1701"/>
        </w:tabs>
        <w:rPr>
          <w:lang w:val="it-IT"/>
        </w:rPr>
      </w:pPr>
    </w:p>
    <w:p w:rsidR="00947A7A" w:rsidRPr="00266093" w:rsidRDefault="00947A7A" w:rsidP="00760E25">
      <w:pPr>
        <w:tabs>
          <w:tab w:val="left" w:pos="1701"/>
        </w:tabs>
        <w:rPr>
          <w:b/>
          <w:lang w:val="it-IT"/>
        </w:rPr>
      </w:pPr>
      <w:r w:rsidRPr="00266093">
        <w:rPr>
          <w:b/>
          <w:lang w:val="it-IT"/>
        </w:rPr>
        <w:t>Riferimenti:</w:t>
      </w:r>
      <w:r w:rsidRPr="00266093">
        <w:rPr>
          <w:lang w:val="it-IT"/>
        </w:rPr>
        <w:tab/>
      </w:r>
      <w:proofErr w:type="gramStart"/>
      <w:r w:rsidR="005072FF" w:rsidRPr="00266093">
        <w:rPr>
          <w:lang w:val="it-IT"/>
        </w:rPr>
        <w:t>EESC-2017-02275-00-01</w:t>
      </w:r>
      <w:r w:rsidRPr="00266093">
        <w:rPr>
          <w:lang w:val="it-IT"/>
        </w:rPr>
        <w:t>-A</w:t>
      </w:r>
      <w:r w:rsidR="00482F1C" w:rsidRPr="00266093">
        <w:rPr>
          <w:lang w:val="it-IT"/>
        </w:rPr>
        <w:t>C</w:t>
      </w:r>
      <w:r w:rsidRPr="00266093">
        <w:rPr>
          <w:lang w:val="it-IT"/>
        </w:rPr>
        <w:t>-TRA</w:t>
      </w:r>
      <w:proofErr w:type="gramEnd"/>
    </w:p>
    <w:p w:rsidR="00947A7A" w:rsidRPr="00266093" w:rsidRDefault="00947A7A" w:rsidP="00947A7A">
      <w:pPr>
        <w:rPr>
          <w:lang w:val="it-IT"/>
        </w:rPr>
      </w:pPr>
    </w:p>
    <w:p w:rsidR="005072FF" w:rsidRPr="00266093" w:rsidRDefault="005072FF" w:rsidP="005072FF">
      <w:pPr>
        <w:rPr>
          <w:b/>
          <w:iCs/>
          <w:u w:val="single"/>
          <w:lang w:val="it-IT"/>
        </w:rPr>
      </w:pPr>
      <w:r w:rsidRPr="00266093">
        <w:rPr>
          <w:b/>
          <w:lang w:val="it-IT"/>
        </w:rPr>
        <w:t>Punti salienti del parere:</w:t>
      </w:r>
    </w:p>
    <w:p w:rsidR="005072FF" w:rsidRPr="00266093" w:rsidRDefault="005072FF" w:rsidP="00947A7A">
      <w:pPr>
        <w:spacing w:line="240" w:lineRule="auto"/>
        <w:rPr>
          <w:lang w:val="it-IT"/>
        </w:rPr>
      </w:pPr>
    </w:p>
    <w:p w:rsidR="00947A7A" w:rsidRPr="00266093" w:rsidRDefault="00947A7A" w:rsidP="00947A7A">
      <w:pPr>
        <w:spacing w:line="240" w:lineRule="auto"/>
        <w:rPr>
          <w:lang w:val="it-IT"/>
        </w:rPr>
      </w:pPr>
      <w:r w:rsidRPr="00266093">
        <w:rPr>
          <w:lang w:val="it-IT"/>
        </w:rPr>
        <w:t>Il CESE:</w:t>
      </w:r>
    </w:p>
    <w:p w:rsidR="00947A7A" w:rsidRPr="00266093" w:rsidRDefault="00947A7A" w:rsidP="00947A7A">
      <w:pPr>
        <w:spacing w:line="240" w:lineRule="auto"/>
        <w:rPr>
          <w:lang w:val="it-IT"/>
        </w:rPr>
      </w:pPr>
    </w:p>
    <w:p w:rsidR="00947A7A" w:rsidRPr="00266093" w:rsidRDefault="00947A7A" w:rsidP="00FE0D9A">
      <w:pPr>
        <w:numPr>
          <w:ilvl w:val="0"/>
          <w:numId w:val="2"/>
        </w:numPr>
        <w:ind w:left="714" w:hanging="357"/>
        <w:rPr>
          <w:color w:val="000000"/>
          <w:lang w:val="it-IT"/>
        </w:rPr>
      </w:pPr>
      <w:proofErr w:type="gramStart"/>
      <w:r w:rsidRPr="00266093">
        <w:rPr>
          <w:color w:val="000000"/>
          <w:lang w:val="it-IT"/>
        </w:rPr>
        <w:t>accoglie</w:t>
      </w:r>
      <w:proofErr w:type="gramEnd"/>
      <w:r w:rsidRPr="00266093">
        <w:rPr>
          <w:color w:val="000000"/>
          <w:lang w:val="it-IT"/>
        </w:rPr>
        <w:t xml:space="preserve"> con favore l'iniziativa della Commissione europea volta a incrementare la partecipazione delle persone con figli, e in particolare delle donne, al mercato del lavoro, aiutandole a conseguire un migliore equilibrio tra attività professionale e vita familiare, in modo da liberare pienamente il loro potenziale di competenze;</w:t>
      </w:r>
    </w:p>
    <w:p w:rsidR="00947A7A" w:rsidRPr="00266093" w:rsidRDefault="00947A7A" w:rsidP="00947A7A">
      <w:pPr>
        <w:spacing w:line="240" w:lineRule="auto"/>
        <w:rPr>
          <w:lang w:val="it-IT"/>
        </w:rPr>
      </w:pPr>
    </w:p>
    <w:p w:rsidR="00947A7A" w:rsidRPr="00266093" w:rsidRDefault="00947A7A" w:rsidP="00FE0D9A">
      <w:pPr>
        <w:numPr>
          <w:ilvl w:val="0"/>
          <w:numId w:val="2"/>
        </w:numPr>
        <w:ind w:left="714" w:hanging="357"/>
        <w:rPr>
          <w:color w:val="000000"/>
          <w:lang w:val="it-IT"/>
        </w:rPr>
      </w:pPr>
      <w:proofErr w:type="gramStart"/>
      <w:r w:rsidRPr="00266093">
        <w:rPr>
          <w:color w:val="000000"/>
          <w:lang w:val="it-IT"/>
        </w:rPr>
        <w:t>è</w:t>
      </w:r>
      <w:proofErr w:type="gramEnd"/>
      <w:r w:rsidRPr="00266093">
        <w:rPr>
          <w:color w:val="000000"/>
          <w:lang w:val="it-IT"/>
        </w:rPr>
        <w:t xml:space="preserve"> del parere che il pacchetto sull'equilibrio tra attività professionale e vita privata rappresenti un passo nella giusta direzione, ma ritiene opportuno migliorarlo in futuro, alla luce di adeguate valutazioni d'impatto;</w:t>
      </w:r>
    </w:p>
    <w:p w:rsidR="00947A7A" w:rsidRPr="00266093" w:rsidRDefault="00947A7A" w:rsidP="00947A7A">
      <w:pPr>
        <w:spacing w:line="240" w:lineRule="auto"/>
        <w:rPr>
          <w:lang w:val="it-IT"/>
        </w:rPr>
      </w:pPr>
    </w:p>
    <w:p w:rsidR="00947A7A" w:rsidRPr="00266093" w:rsidRDefault="00947A7A" w:rsidP="00FE0D9A">
      <w:pPr>
        <w:numPr>
          <w:ilvl w:val="0"/>
          <w:numId w:val="2"/>
        </w:numPr>
        <w:ind w:left="714" w:hanging="357"/>
        <w:rPr>
          <w:color w:val="000000"/>
          <w:lang w:val="it-IT"/>
        </w:rPr>
      </w:pPr>
      <w:proofErr w:type="gramStart"/>
      <w:r w:rsidRPr="00266093">
        <w:rPr>
          <w:color w:val="000000"/>
          <w:lang w:val="it-IT"/>
        </w:rPr>
        <w:t>ritiene</w:t>
      </w:r>
      <w:proofErr w:type="gramEnd"/>
      <w:r w:rsidRPr="00266093">
        <w:rPr>
          <w:color w:val="000000"/>
          <w:lang w:val="it-IT"/>
        </w:rPr>
        <w:t xml:space="preserve"> inoltre che le proposte contenute nel pacchetto meritino di essere oggetto di un ulteriore lavoro di analisi, alla luce dell'effettiva situazione esistente in ciascuno Stato membro, nonché dei costi e del lavoro organizzativo che comportano per le imprese, e in particolare per le PMI. Si dovrebbero inoltre adottare misure dirette ad affrontare gli stereotipi, diffondere le buone pratiche e </w:t>
      </w:r>
      <w:proofErr w:type="gramStart"/>
      <w:r w:rsidRPr="00266093">
        <w:rPr>
          <w:color w:val="000000"/>
          <w:lang w:val="it-IT"/>
        </w:rPr>
        <w:t>mettere a punto</w:t>
      </w:r>
      <w:proofErr w:type="gramEnd"/>
      <w:r w:rsidRPr="00266093">
        <w:rPr>
          <w:color w:val="000000"/>
          <w:lang w:val="it-IT"/>
        </w:rPr>
        <w:t xml:space="preserve"> piani d'azione nazionali in materia di equilibrio tra attività professionale e vita privata;</w:t>
      </w:r>
    </w:p>
    <w:p w:rsidR="00947A7A" w:rsidRPr="00266093" w:rsidRDefault="00947A7A" w:rsidP="00947A7A">
      <w:pPr>
        <w:spacing w:line="240" w:lineRule="auto"/>
        <w:rPr>
          <w:lang w:val="it-IT"/>
        </w:rPr>
      </w:pPr>
    </w:p>
    <w:p w:rsidR="00947A7A" w:rsidRPr="00266093" w:rsidRDefault="00947A7A" w:rsidP="00FE0D9A">
      <w:pPr>
        <w:numPr>
          <w:ilvl w:val="0"/>
          <w:numId w:val="2"/>
        </w:numPr>
        <w:ind w:left="714" w:hanging="357"/>
        <w:rPr>
          <w:color w:val="000000"/>
          <w:lang w:val="it-IT"/>
        </w:rPr>
      </w:pPr>
      <w:proofErr w:type="gramStart"/>
      <w:r w:rsidRPr="00266093">
        <w:rPr>
          <w:color w:val="000000"/>
          <w:lang w:val="it-IT"/>
        </w:rPr>
        <w:t>incoraggia</w:t>
      </w:r>
      <w:proofErr w:type="gramEnd"/>
      <w:r w:rsidRPr="00266093">
        <w:rPr>
          <w:color w:val="000000"/>
          <w:lang w:val="it-IT"/>
        </w:rPr>
        <w:t xml:space="preserve"> le parti sociali in tutta Europa ad esaminare ulteriori soluzioni pratiche per promuovere un equilibrio tra vita professionale e vita privata che sia adeguato alle specificità dello specifico luogo di lavoro;</w:t>
      </w:r>
    </w:p>
    <w:p w:rsidR="00947A7A" w:rsidRPr="00266093" w:rsidRDefault="00947A7A" w:rsidP="00947A7A">
      <w:pPr>
        <w:spacing w:line="240" w:lineRule="auto"/>
        <w:rPr>
          <w:lang w:val="it-IT"/>
        </w:rPr>
      </w:pPr>
    </w:p>
    <w:p w:rsidR="00947A7A" w:rsidRPr="00266093" w:rsidRDefault="00947A7A" w:rsidP="00FE0D9A">
      <w:pPr>
        <w:numPr>
          <w:ilvl w:val="0"/>
          <w:numId w:val="2"/>
        </w:numPr>
        <w:ind w:left="714" w:hanging="357"/>
        <w:rPr>
          <w:color w:val="000000"/>
          <w:lang w:val="it-IT"/>
        </w:rPr>
      </w:pPr>
      <w:proofErr w:type="gramStart"/>
      <w:r w:rsidRPr="00266093">
        <w:rPr>
          <w:color w:val="000000"/>
          <w:lang w:val="it-IT"/>
        </w:rPr>
        <w:t>è</w:t>
      </w:r>
      <w:proofErr w:type="gramEnd"/>
      <w:r w:rsidRPr="00266093">
        <w:rPr>
          <w:color w:val="000000"/>
          <w:lang w:val="it-IT"/>
        </w:rPr>
        <w:t xml:space="preserve"> certo che i benefici a lungo termine saranno superiori ai costi aggiuntivi a breve termine. Tuttavia le misure atte a sostenere le piccole e medie imprese dovrebbero essere oggetto di un </w:t>
      </w:r>
      <w:proofErr w:type="gramStart"/>
      <w:r w:rsidRPr="00266093">
        <w:rPr>
          <w:color w:val="000000"/>
          <w:lang w:val="it-IT"/>
        </w:rPr>
        <w:t>ulteriore</w:t>
      </w:r>
      <w:proofErr w:type="gramEnd"/>
      <w:r w:rsidRPr="00266093">
        <w:rPr>
          <w:color w:val="000000"/>
          <w:lang w:val="it-IT"/>
        </w:rPr>
        <w:t xml:space="preserve"> esame;</w:t>
      </w:r>
    </w:p>
    <w:p w:rsidR="00947A7A" w:rsidRPr="00266093" w:rsidRDefault="00947A7A" w:rsidP="00947A7A">
      <w:pPr>
        <w:spacing w:line="240" w:lineRule="auto"/>
        <w:rPr>
          <w:lang w:val="it-IT"/>
        </w:rPr>
      </w:pPr>
    </w:p>
    <w:p w:rsidR="00947A7A" w:rsidRPr="00266093" w:rsidRDefault="00947A7A" w:rsidP="00FE0D9A">
      <w:pPr>
        <w:numPr>
          <w:ilvl w:val="0"/>
          <w:numId w:val="2"/>
        </w:numPr>
        <w:ind w:left="714" w:hanging="357"/>
        <w:rPr>
          <w:color w:val="000000"/>
          <w:lang w:val="it-IT"/>
        </w:rPr>
      </w:pPr>
      <w:proofErr w:type="gramStart"/>
      <w:r w:rsidRPr="00266093">
        <w:rPr>
          <w:color w:val="000000"/>
          <w:lang w:val="it-IT"/>
        </w:rPr>
        <w:t>sottolinea</w:t>
      </w:r>
      <w:proofErr w:type="gramEnd"/>
      <w:r w:rsidRPr="00266093">
        <w:rPr>
          <w:color w:val="000000"/>
          <w:lang w:val="it-IT"/>
        </w:rPr>
        <w:t xml:space="preserve"> la necessità di investire maggiormente nei servizi e nelle strutture di assistenza di alta qualità, a prezzi accessibili e disponibili per ogni famiglia, e invita la Commissione a utilizzare le raccomandazioni specifiche per paese (RSP) nel quadro del semestre europeo, nonché i fondi destinati allo sviluppo regionale, per incoraggiare gli Stati membri a intensificare i loro sforzi;</w:t>
      </w:r>
    </w:p>
    <w:p w:rsidR="00947A7A" w:rsidRPr="00266093" w:rsidRDefault="00947A7A" w:rsidP="00947A7A">
      <w:pPr>
        <w:spacing w:line="240" w:lineRule="auto"/>
        <w:rPr>
          <w:lang w:val="it-IT"/>
        </w:rPr>
      </w:pPr>
    </w:p>
    <w:p w:rsidR="00947A7A" w:rsidRPr="00266093" w:rsidRDefault="00947A7A" w:rsidP="00FE0D9A">
      <w:pPr>
        <w:numPr>
          <w:ilvl w:val="0"/>
          <w:numId w:val="2"/>
        </w:numPr>
        <w:ind w:left="714" w:hanging="357"/>
        <w:rPr>
          <w:lang w:val="it-IT"/>
        </w:rPr>
      </w:pPr>
      <w:proofErr w:type="gramStart"/>
      <w:r w:rsidRPr="00266093">
        <w:rPr>
          <w:color w:val="000000"/>
          <w:lang w:val="it-IT"/>
        </w:rPr>
        <w:t>infine</w:t>
      </w:r>
      <w:proofErr w:type="gramEnd"/>
      <w:r w:rsidRPr="00266093">
        <w:rPr>
          <w:color w:val="000000"/>
          <w:lang w:val="it-IT"/>
        </w:rPr>
        <w:t xml:space="preserve">, si rammarica del fatto che la proposta non sia sufficientemente ambiziosa per quanto riguarda il sostegno offerto dai sistemi fiscali all'equilibrio tra vita professionale e vita privata. Dovrebbe essere valutata l'opportunità di introdurre detrazioni fiscali per aiutare i genitori che lavorano a continuare a </w:t>
      </w:r>
      <w:proofErr w:type="gramStart"/>
      <w:r w:rsidRPr="00266093">
        <w:rPr>
          <w:color w:val="000000"/>
          <w:lang w:val="it-IT"/>
        </w:rPr>
        <w:t>lavorare</w:t>
      </w:r>
      <w:proofErr w:type="gramEnd"/>
      <w:r w:rsidRPr="00266093">
        <w:rPr>
          <w:color w:val="000000"/>
          <w:lang w:val="it-IT"/>
        </w:rPr>
        <w:t>.</w:t>
      </w:r>
    </w:p>
    <w:p w:rsidR="00947A7A" w:rsidRPr="00266093" w:rsidRDefault="00947A7A" w:rsidP="00760E25">
      <w:pPr>
        <w:tabs>
          <w:tab w:val="left" w:pos="1418"/>
        </w:tabs>
        <w:rPr>
          <w:lang w:val="it-IT"/>
        </w:rPr>
      </w:pPr>
    </w:p>
    <w:p w:rsidR="00947A7A" w:rsidRPr="00266093" w:rsidRDefault="00947A7A" w:rsidP="00760E25">
      <w:pPr>
        <w:tabs>
          <w:tab w:val="left" w:pos="1418"/>
        </w:tabs>
        <w:spacing w:line="240" w:lineRule="exact"/>
        <w:rPr>
          <w:i/>
          <w:lang w:val="it-IT"/>
        </w:rPr>
      </w:pPr>
      <w:r w:rsidRPr="00266093">
        <w:rPr>
          <w:b/>
          <w:i/>
          <w:lang w:val="it-IT"/>
        </w:rPr>
        <w:t xml:space="preserve">Persona da </w:t>
      </w:r>
      <w:proofErr w:type="gramStart"/>
      <w:r w:rsidRPr="00266093">
        <w:rPr>
          <w:b/>
          <w:i/>
          <w:lang w:val="it-IT"/>
        </w:rPr>
        <w:t>contattare</w:t>
      </w:r>
      <w:proofErr w:type="gramEnd"/>
      <w:r w:rsidR="00C44387" w:rsidRPr="00266093">
        <w:rPr>
          <w:lang w:val="it-IT"/>
        </w:rPr>
        <w:t>:</w:t>
      </w:r>
      <w:r w:rsidR="00BD20B9" w:rsidRPr="00266093">
        <w:rPr>
          <w:lang w:val="it-IT"/>
        </w:rPr>
        <w:t xml:space="preserve"> </w:t>
      </w:r>
      <w:r w:rsidRPr="00266093">
        <w:rPr>
          <w:i/>
          <w:lang w:val="it-IT"/>
        </w:rPr>
        <w:t>Maria Judite BERKEMEIER</w:t>
      </w:r>
    </w:p>
    <w:p w:rsidR="00CE7C4C" w:rsidRPr="00266093" w:rsidRDefault="00CE7C4C" w:rsidP="00FE0D9A">
      <w:pPr>
        <w:tabs>
          <w:tab w:val="left" w:pos="2127"/>
          <w:tab w:val="left" w:pos="2268"/>
        </w:tabs>
        <w:jc w:val="left"/>
        <w:rPr>
          <w:i/>
          <w:lang w:val="it-IT"/>
        </w:rPr>
      </w:pPr>
      <w:r w:rsidRPr="00266093">
        <w:rPr>
          <w:lang w:val="it-IT"/>
        </w:rPr>
        <w:tab/>
      </w:r>
      <w:r w:rsidR="00760E25" w:rsidRPr="00266093">
        <w:rPr>
          <w:i/>
          <w:lang w:val="it-IT"/>
        </w:rPr>
        <w:t>(</w:t>
      </w:r>
      <w:r w:rsidR="00266093" w:rsidRPr="00266093">
        <w:rPr>
          <w:i/>
          <w:lang w:val="it-IT"/>
        </w:rPr>
        <w:t>Tel.:</w:t>
      </w:r>
      <w:r w:rsidR="00760E25" w:rsidRPr="00266093">
        <w:rPr>
          <w:i/>
          <w:lang w:val="it-IT"/>
        </w:rPr>
        <w:t xml:space="preserve"> 00 32 2 546 98 97 – e-mail: </w:t>
      </w:r>
      <w:hyperlink r:id="rId33">
        <w:r w:rsidR="00760E25" w:rsidRPr="00266093">
          <w:rPr>
            <w:rStyle w:val="Hyperlink"/>
            <w:i/>
            <w:lang w:val="it-IT"/>
          </w:rPr>
          <w:t>mariajudite.berkemeier@eesc.europa.eu</w:t>
        </w:r>
      </w:hyperlink>
      <w:r w:rsidR="00C832D8" w:rsidRPr="00266093">
        <w:rPr>
          <w:i/>
          <w:lang w:val="it-IT"/>
        </w:rPr>
        <w:t>)</w:t>
      </w:r>
    </w:p>
    <w:p w:rsidR="005072FF" w:rsidRPr="00266093" w:rsidRDefault="005072FF" w:rsidP="00FE0D9A">
      <w:pPr>
        <w:tabs>
          <w:tab w:val="left" w:pos="2127"/>
          <w:tab w:val="left" w:pos="2268"/>
        </w:tabs>
        <w:jc w:val="left"/>
        <w:rPr>
          <w:caps/>
          <w:lang w:val="it-IT"/>
        </w:rPr>
      </w:pPr>
    </w:p>
    <w:p w:rsidR="005D2872" w:rsidRPr="00266093" w:rsidRDefault="005D2872" w:rsidP="004F2819">
      <w:pPr>
        <w:spacing w:line="276" w:lineRule="auto"/>
        <w:ind w:left="-567"/>
        <w:rPr>
          <w:b/>
          <w:i/>
          <w:sz w:val="6"/>
          <w:lang w:val="it-IT"/>
        </w:rPr>
      </w:pPr>
    </w:p>
    <w:p w:rsidR="00E360C0" w:rsidRPr="00266093" w:rsidRDefault="00E360C0" w:rsidP="004F2819">
      <w:pPr>
        <w:spacing w:line="276" w:lineRule="auto"/>
        <w:ind w:left="-567"/>
        <w:rPr>
          <w:b/>
          <w:i/>
          <w:sz w:val="6"/>
          <w:lang w:val="it-IT"/>
        </w:rPr>
      </w:pPr>
    </w:p>
    <w:p w:rsidR="00947A7A" w:rsidRPr="00266093" w:rsidRDefault="00947A7A" w:rsidP="00E631B5">
      <w:pPr>
        <w:pStyle w:val="ListParagraph"/>
        <w:numPr>
          <w:ilvl w:val="0"/>
          <w:numId w:val="36"/>
        </w:numPr>
        <w:spacing w:line="276" w:lineRule="auto"/>
        <w:rPr>
          <w:b/>
          <w:i/>
          <w:sz w:val="28"/>
          <w:lang w:val="it-IT"/>
        </w:rPr>
      </w:pPr>
      <w:r w:rsidRPr="00266093">
        <w:rPr>
          <w:b/>
          <w:i/>
          <w:sz w:val="28"/>
          <w:lang w:val="it-IT"/>
        </w:rPr>
        <w:t>Sistemi sostenibili di sicurezza e protezione social</w:t>
      </w:r>
      <w:r w:rsidR="00361DF0" w:rsidRPr="00266093">
        <w:rPr>
          <w:b/>
          <w:i/>
          <w:sz w:val="28"/>
          <w:lang w:val="it-IT"/>
        </w:rPr>
        <w:t>e</w:t>
      </w:r>
      <w:r w:rsidRPr="00266093">
        <w:rPr>
          <w:b/>
          <w:i/>
          <w:lang w:val="it-IT"/>
        </w:rPr>
        <w:t xml:space="preserve"> </w:t>
      </w:r>
      <w:r w:rsidRPr="00266093">
        <w:rPr>
          <w:b/>
          <w:i/>
          <w:sz w:val="28"/>
          <w:lang w:val="it-IT"/>
        </w:rPr>
        <w:t>nell'era digitale</w:t>
      </w:r>
    </w:p>
    <w:p w:rsidR="00947A7A" w:rsidRPr="00266093" w:rsidRDefault="00947A7A" w:rsidP="00947A7A">
      <w:pPr>
        <w:spacing w:line="276" w:lineRule="auto"/>
        <w:rPr>
          <w:b/>
          <w:i/>
          <w:sz w:val="20"/>
          <w:lang w:val="it-IT"/>
        </w:rPr>
      </w:pPr>
    </w:p>
    <w:p w:rsidR="00947A7A" w:rsidRPr="00266093" w:rsidRDefault="00266093" w:rsidP="00947A7A">
      <w:pPr>
        <w:tabs>
          <w:tab w:val="left" w:pos="1701"/>
        </w:tabs>
        <w:rPr>
          <w:lang w:val="it-IT"/>
        </w:rPr>
      </w:pPr>
      <w:r w:rsidRPr="00266093">
        <w:rPr>
          <w:b/>
          <w:lang w:val="it-IT"/>
        </w:rPr>
        <w:t>Relatore</w:t>
      </w:r>
      <w:r w:rsidR="00947A7A" w:rsidRPr="00266093">
        <w:rPr>
          <w:b/>
          <w:lang w:val="it-IT"/>
        </w:rPr>
        <w:t>:</w:t>
      </w:r>
      <w:r w:rsidR="00947A7A" w:rsidRPr="00266093">
        <w:rPr>
          <w:lang w:val="it-IT"/>
        </w:rPr>
        <w:tab/>
        <w:t>Petru Sorin DANDEA (Lavoratori - RO)</w:t>
      </w:r>
    </w:p>
    <w:p w:rsidR="00947A7A" w:rsidRPr="00266093" w:rsidRDefault="00947A7A" w:rsidP="00947A7A">
      <w:pPr>
        <w:rPr>
          <w:b/>
          <w:sz w:val="20"/>
          <w:lang w:val="it-IT"/>
        </w:rPr>
      </w:pPr>
    </w:p>
    <w:p w:rsidR="00947A7A" w:rsidRPr="00266093" w:rsidRDefault="00947A7A" w:rsidP="00947A7A">
      <w:pPr>
        <w:tabs>
          <w:tab w:val="left" w:pos="1701"/>
        </w:tabs>
        <w:rPr>
          <w:lang w:val="it-IT"/>
        </w:rPr>
      </w:pPr>
      <w:r w:rsidRPr="00266093">
        <w:rPr>
          <w:b/>
          <w:lang w:val="it-IT"/>
        </w:rPr>
        <w:t>Riferimento:</w:t>
      </w:r>
      <w:r w:rsidRPr="00266093">
        <w:rPr>
          <w:lang w:val="it-IT"/>
        </w:rPr>
        <w:tab/>
      </w:r>
      <w:proofErr w:type="gramStart"/>
      <w:r w:rsidRPr="00266093">
        <w:rPr>
          <w:lang w:val="it-IT"/>
        </w:rPr>
        <w:t>EESC-2017-01220-00-00-A</w:t>
      </w:r>
      <w:r w:rsidR="003D6675" w:rsidRPr="00266093">
        <w:rPr>
          <w:lang w:val="it-IT"/>
        </w:rPr>
        <w:t>C</w:t>
      </w:r>
      <w:r w:rsidRPr="00266093">
        <w:rPr>
          <w:lang w:val="it-IT"/>
        </w:rPr>
        <w:t>-TRA</w:t>
      </w:r>
      <w:proofErr w:type="gramEnd"/>
    </w:p>
    <w:p w:rsidR="00947A7A" w:rsidRPr="00266093" w:rsidRDefault="00947A7A" w:rsidP="00947A7A">
      <w:pPr>
        <w:rPr>
          <w:b/>
          <w:sz w:val="20"/>
          <w:lang w:val="it-IT"/>
        </w:rPr>
      </w:pPr>
    </w:p>
    <w:p w:rsidR="00947A7A" w:rsidRPr="00266093" w:rsidRDefault="00947A7A" w:rsidP="00947A7A">
      <w:pPr>
        <w:rPr>
          <w:b/>
          <w:lang w:val="it-IT"/>
        </w:rPr>
      </w:pPr>
      <w:r w:rsidRPr="00266093">
        <w:rPr>
          <w:b/>
          <w:lang w:val="it-IT"/>
        </w:rPr>
        <w:t>Punti salienti del parere:</w:t>
      </w:r>
    </w:p>
    <w:p w:rsidR="00947A7A" w:rsidRPr="00266093" w:rsidRDefault="00947A7A" w:rsidP="00947A7A">
      <w:pPr>
        <w:rPr>
          <w:b/>
          <w:sz w:val="20"/>
          <w:lang w:val="it-IT"/>
        </w:rPr>
      </w:pPr>
    </w:p>
    <w:p w:rsidR="00947A7A" w:rsidRPr="00266093" w:rsidRDefault="00947A7A" w:rsidP="00947A7A">
      <w:pPr>
        <w:rPr>
          <w:lang w:val="it-IT"/>
        </w:rPr>
      </w:pPr>
      <w:r w:rsidRPr="00266093">
        <w:rPr>
          <w:lang w:val="it-IT"/>
        </w:rPr>
        <w:t>Alla luce dell'attuale situazione, il CESE:</w:t>
      </w:r>
    </w:p>
    <w:p w:rsidR="009E5586" w:rsidRPr="00266093" w:rsidRDefault="009E5586" w:rsidP="00947A7A">
      <w:pPr>
        <w:ind w:left="-567"/>
        <w:rPr>
          <w:lang w:val="it-IT"/>
        </w:rPr>
      </w:pPr>
    </w:p>
    <w:p w:rsidR="00947A7A" w:rsidRPr="00266093" w:rsidRDefault="00947A7A" w:rsidP="00947A7A">
      <w:pPr>
        <w:pStyle w:val="ListParagraph"/>
        <w:numPr>
          <w:ilvl w:val="0"/>
          <w:numId w:val="11"/>
        </w:numPr>
        <w:ind w:left="851" w:hanging="284"/>
        <w:rPr>
          <w:lang w:val="it-IT"/>
        </w:rPr>
      </w:pPr>
      <w:proofErr w:type="gramStart"/>
      <w:r w:rsidRPr="00266093">
        <w:rPr>
          <w:lang w:val="it-IT"/>
        </w:rPr>
        <w:t>raccomanda</w:t>
      </w:r>
      <w:proofErr w:type="gramEnd"/>
      <w:r w:rsidRPr="00266093">
        <w:rPr>
          <w:lang w:val="it-IT"/>
        </w:rPr>
        <w:t xml:space="preserve"> agli Stati membri, oltre che alle corti europee, di regolamentare le nuove forme di occupazione, in modo che sia possibile identificare chiaramente sia il datore di lavoro che il lavoratore. In quest'ottica, il CESE raccomanda di fare riferimento alla giurisprudenza della Corte di giustizia dell'Unione europea, che ha riconosciuto lo status di lavoratore alle persone che, seppure prive di un contratto standard di lavoro, </w:t>
      </w:r>
      <w:proofErr w:type="gramStart"/>
      <w:r w:rsidRPr="00266093">
        <w:rPr>
          <w:lang w:val="it-IT"/>
        </w:rPr>
        <w:t>svolgevano</w:t>
      </w:r>
      <w:proofErr w:type="gramEnd"/>
      <w:r w:rsidRPr="00266093">
        <w:rPr>
          <w:lang w:val="it-IT"/>
        </w:rPr>
        <w:t xml:space="preserve"> un'attività remunerata sulla base di un rapporto di dipendenza;</w:t>
      </w:r>
    </w:p>
    <w:p w:rsidR="00947A7A" w:rsidRPr="00266093" w:rsidRDefault="00947A7A" w:rsidP="00947A7A">
      <w:pPr>
        <w:pStyle w:val="ListParagraph"/>
        <w:ind w:left="851"/>
        <w:rPr>
          <w:sz w:val="16"/>
          <w:lang w:val="it-IT"/>
        </w:rPr>
      </w:pPr>
    </w:p>
    <w:p w:rsidR="00947A7A" w:rsidRPr="00266093" w:rsidRDefault="00947A7A" w:rsidP="00947A7A">
      <w:pPr>
        <w:pStyle w:val="ListParagraph"/>
        <w:numPr>
          <w:ilvl w:val="0"/>
          <w:numId w:val="11"/>
        </w:numPr>
        <w:ind w:left="851" w:hanging="284"/>
        <w:rPr>
          <w:lang w:val="it-IT"/>
        </w:rPr>
      </w:pPr>
      <w:proofErr w:type="gramStart"/>
      <w:r w:rsidRPr="00266093">
        <w:rPr>
          <w:lang w:val="it-IT"/>
        </w:rPr>
        <w:t>ritiene</w:t>
      </w:r>
      <w:proofErr w:type="gramEnd"/>
      <w:r w:rsidRPr="00266093">
        <w:rPr>
          <w:lang w:val="it-IT"/>
        </w:rPr>
        <w:t xml:space="preserve"> che, nel quadro dei dibattiti avviati dalla Commissione europea sulla definizione del pilastro europeo dei diritti sociali, si debba obbligatoriamente prendere in considerazione anche la situazione dei lavoratori riconducibili alle nuove forme di occupazione e, in particolare, il modo per riconoscere il loro status nonché per garantirne un adeguato accesso ai regimi di sicurezza e protezione sociale;</w:t>
      </w:r>
    </w:p>
    <w:p w:rsidR="00947A7A" w:rsidRPr="00266093" w:rsidRDefault="00947A7A" w:rsidP="00947A7A">
      <w:pPr>
        <w:pStyle w:val="ListParagraph"/>
        <w:ind w:left="851"/>
        <w:rPr>
          <w:sz w:val="16"/>
          <w:lang w:val="it-IT"/>
        </w:rPr>
      </w:pPr>
    </w:p>
    <w:p w:rsidR="00947A7A" w:rsidRPr="00266093" w:rsidRDefault="00947A7A" w:rsidP="00947A7A">
      <w:pPr>
        <w:pStyle w:val="ListParagraph"/>
        <w:numPr>
          <w:ilvl w:val="0"/>
          <w:numId w:val="11"/>
        </w:numPr>
        <w:ind w:left="851" w:hanging="284"/>
        <w:rPr>
          <w:lang w:val="it-IT"/>
        </w:rPr>
      </w:pPr>
      <w:proofErr w:type="gramStart"/>
      <w:r w:rsidRPr="00266093">
        <w:rPr>
          <w:lang w:val="it-IT"/>
        </w:rPr>
        <w:t>raccomanda</w:t>
      </w:r>
      <w:proofErr w:type="gramEnd"/>
      <w:r w:rsidRPr="00266093">
        <w:rPr>
          <w:lang w:val="it-IT"/>
        </w:rPr>
        <w:t xml:space="preserve"> agli Stati membri di prendere in considerazione l'idea di collegare i sistemi elettronici dell'amministrazione competente per il regime pensionistico nazionale, oppure i sistemi dell'amministrazione competente per il sistema di assicurazione sanitaria, con quelli dell'amministrazione fiscale. Questo permetterebbe agli Stati membri di individuare rapidamente le persone che, pur dichiarando redditi da prestazione lavorativa, non hanno lo status di assicurato </w:t>
      </w:r>
      <w:proofErr w:type="gramStart"/>
      <w:r w:rsidRPr="00266093">
        <w:rPr>
          <w:lang w:val="it-IT"/>
        </w:rPr>
        <w:t>nel quadro del</w:t>
      </w:r>
      <w:proofErr w:type="gramEnd"/>
      <w:r w:rsidRPr="00266093">
        <w:rPr>
          <w:lang w:val="it-IT"/>
        </w:rPr>
        <w:t xml:space="preserve"> sistema pensionistico pubblico o del regime di assicurazione sanitaria;</w:t>
      </w:r>
    </w:p>
    <w:p w:rsidR="00947A7A" w:rsidRPr="00266093" w:rsidRDefault="00947A7A" w:rsidP="00947A7A">
      <w:pPr>
        <w:pStyle w:val="ListParagraph"/>
        <w:ind w:left="851"/>
        <w:rPr>
          <w:sz w:val="16"/>
          <w:lang w:val="it-IT"/>
        </w:rPr>
      </w:pPr>
    </w:p>
    <w:p w:rsidR="00947A7A" w:rsidRPr="00266093" w:rsidRDefault="00947A7A" w:rsidP="00947A7A">
      <w:pPr>
        <w:pStyle w:val="ListParagraph"/>
        <w:numPr>
          <w:ilvl w:val="0"/>
          <w:numId w:val="11"/>
        </w:numPr>
        <w:ind w:left="851" w:hanging="284"/>
        <w:rPr>
          <w:lang w:val="it-IT"/>
        </w:rPr>
      </w:pPr>
      <w:proofErr w:type="gramStart"/>
      <w:r w:rsidRPr="00266093">
        <w:rPr>
          <w:lang w:val="it-IT"/>
        </w:rPr>
        <w:t>ritiene</w:t>
      </w:r>
      <w:proofErr w:type="gramEnd"/>
      <w:r w:rsidRPr="00266093">
        <w:rPr>
          <w:lang w:val="it-IT"/>
        </w:rPr>
        <w:t xml:space="preserve"> che gli Stati membri debbano considerare di introdurre, nelle rispettive legislazioni che disciplinano i regimi pensionistici, l'obbligatorietà del pagamento dei contributi per tutte le persone che percepiscono un reddito da prestazione lavorativa;</w:t>
      </w:r>
    </w:p>
    <w:p w:rsidR="00947A7A" w:rsidRPr="00266093" w:rsidRDefault="00947A7A" w:rsidP="00947A7A">
      <w:pPr>
        <w:pStyle w:val="ListParagraph"/>
        <w:ind w:left="851"/>
        <w:rPr>
          <w:sz w:val="16"/>
          <w:lang w:val="it-IT"/>
        </w:rPr>
      </w:pPr>
    </w:p>
    <w:p w:rsidR="00947A7A" w:rsidRPr="00266093" w:rsidRDefault="00947A7A" w:rsidP="00947A7A">
      <w:pPr>
        <w:pStyle w:val="ListParagraph"/>
        <w:numPr>
          <w:ilvl w:val="0"/>
          <w:numId w:val="11"/>
        </w:numPr>
        <w:ind w:left="851" w:hanging="284"/>
        <w:rPr>
          <w:lang w:val="it-IT"/>
        </w:rPr>
      </w:pPr>
      <w:proofErr w:type="gramStart"/>
      <w:r w:rsidRPr="00266093">
        <w:rPr>
          <w:lang w:val="it-IT"/>
        </w:rPr>
        <w:t>invita</w:t>
      </w:r>
      <w:proofErr w:type="gramEnd"/>
      <w:r w:rsidRPr="00266093">
        <w:rPr>
          <w:lang w:val="it-IT"/>
        </w:rPr>
        <w:t xml:space="preserve"> gli Stati membri a cercare soluzioni per il finanziamento dei sistemi di sicurezza sociale attraverso strumenti che non solo ne assicurino la sostenibilità, ma forniscano anche una risposta alla necessità di permettere che a tali sistemi accedano anche coloro che svolgono un'attività lavorativa nel quadro delle nuove forme di occupazione. Per assicurare anche in futuro la sostenibilità dei sistemi di sicurezza sociale e per ridurre l'onere sul fattore lavoro, si potrebbe pensare di utilizzare una parte dei dividendi </w:t>
      </w:r>
      <w:proofErr w:type="gramStart"/>
      <w:r w:rsidRPr="00266093">
        <w:rPr>
          <w:lang w:val="it-IT"/>
        </w:rPr>
        <w:t>della</w:t>
      </w:r>
      <w:proofErr w:type="gramEnd"/>
      <w:r w:rsidRPr="00266093">
        <w:rPr>
          <w:lang w:val="it-IT"/>
        </w:rPr>
        <w:t xml:space="preserve"> digitalizzazione;</w:t>
      </w:r>
    </w:p>
    <w:p w:rsidR="00947A7A" w:rsidRPr="00266093" w:rsidRDefault="00947A7A" w:rsidP="00947A7A">
      <w:pPr>
        <w:pStyle w:val="ListParagraph"/>
        <w:ind w:left="851"/>
        <w:rPr>
          <w:sz w:val="16"/>
          <w:lang w:val="it-IT"/>
        </w:rPr>
      </w:pPr>
    </w:p>
    <w:p w:rsidR="00947A7A" w:rsidRPr="00266093" w:rsidRDefault="00947A7A" w:rsidP="00947A7A">
      <w:pPr>
        <w:pStyle w:val="ListParagraph"/>
        <w:numPr>
          <w:ilvl w:val="0"/>
          <w:numId w:val="11"/>
        </w:numPr>
        <w:ind w:left="851" w:hanging="284"/>
        <w:rPr>
          <w:lang w:val="it-IT"/>
        </w:rPr>
      </w:pPr>
      <w:proofErr w:type="gramStart"/>
      <w:r w:rsidRPr="00266093">
        <w:rPr>
          <w:lang w:val="it-IT"/>
        </w:rPr>
        <w:t>infine</w:t>
      </w:r>
      <w:proofErr w:type="gramEnd"/>
      <w:r w:rsidRPr="00266093">
        <w:rPr>
          <w:lang w:val="it-IT"/>
        </w:rPr>
        <w:t>, raccomanda di riesaminare l'attuale proposta relativa all'istituzione di un'assicurazione di disoccupazione valida a livello dell'UE.</w:t>
      </w:r>
    </w:p>
    <w:p w:rsidR="00947A7A" w:rsidRPr="00266093" w:rsidRDefault="00947A7A" w:rsidP="00947A7A">
      <w:pPr>
        <w:pStyle w:val="Heading2"/>
        <w:numPr>
          <w:ilvl w:val="0"/>
          <w:numId w:val="0"/>
        </w:numPr>
        <w:rPr>
          <w:color w:val="222222"/>
          <w:sz w:val="16"/>
          <w:lang w:val="it-IT"/>
        </w:rPr>
      </w:pPr>
    </w:p>
    <w:p w:rsidR="00947A7A" w:rsidRPr="00266093" w:rsidRDefault="00947A7A" w:rsidP="004F2819">
      <w:pPr>
        <w:tabs>
          <w:tab w:val="left" w:pos="1418"/>
        </w:tabs>
        <w:spacing w:line="276" w:lineRule="auto"/>
        <w:rPr>
          <w:i/>
          <w:lang w:val="it-IT"/>
        </w:rPr>
      </w:pPr>
      <w:r w:rsidRPr="00266093">
        <w:rPr>
          <w:b/>
          <w:i/>
          <w:lang w:val="it-IT"/>
        </w:rPr>
        <w:t xml:space="preserve">Persona da </w:t>
      </w:r>
      <w:proofErr w:type="gramStart"/>
      <w:r w:rsidRPr="00266093">
        <w:rPr>
          <w:b/>
          <w:i/>
          <w:lang w:val="it-IT"/>
        </w:rPr>
        <w:t>contattare</w:t>
      </w:r>
      <w:proofErr w:type="gramEnd"/>
      <w:r w:rsidRPr="00266093">
        <w:rPr>
          <w:lang w:val="it-IT"/>
        </w:rPr>
        <w:t>:</w:t>
      </w:r>
      <w:r w:rsidR="00BD20B9" w:rsidRPr="00266093">
        <w:rPr>
          <w:lang w:val="it-IT"/>
        </w:rPr>
        <w:t xml:space="preserve"> </w:t>
      </w:r>
      <w:r w:rsidRPr="00266093">
        <w:rPr>
          <w:i/>
          <w:lang w:val="it-IT"/>
        </w:rPr>
        <w:t>Maria Judite BERKEMEIER</w:t>
      </w:r>
    </w:p>
    <w:p w:rsidR="001036E0" w:rsidRPr="00266093" w:rsidRDefault="00947A7A" w:rsidP="00FE0D9A">
      <w:pPr>
        <w:tabs>
          <w:tab w:val="left" w:pos="2127"/>
        </w:tabs>
        <w:jc w:val="left"/>
        <w:rPr>
          <w:i/>
          <w:lang w:val="it-IT"/>
        </w:rPr>
      </w:pPr>
      <w:r w:rsidRPr="00266093">
        <w:rPr>
          <w:lang w:val="it-IT"/>
        </w:rPr>
        <w:tab/>
      </w:r>
      <w:r w:rsidRPr="00266093">
        <w:rPr>
          <w:i/>
          <w:lang w:val="it-IT"/>
        </w:rPr>
        <w:t>(</w:t>
      </w:r>
      <w:r w:rsidR="00266093" w:rsidRPr="00266093">
        <w:rPr>
          <w:i/>
          <w:lang w:val="it-IT"/>
        </w:rPr>
        <w:t>Tel.:</w:t>
      </w:r>
      <w:r w:rsidRPr="00266093">
        <w:rPr>
          <w:i/>
          <w:lang w:val="it-IT"/>
        </w:rPr>
        <w:t xml:space="preserve"> 00 32 2 546 9897 – </w:t>
      </w:r>
      <w:r w:rsidR="00387F53" w:rsidRPr="00266093">
        <w:rPr>
          <w:i/>
          <w:lang w:val="it-IT"/>
        </w:rPr>
        <w:t>e-mail</w:t>
      </w:r>
      <w:r w:rsidRPr="00266093">
        <w:rPr>
          <w:i/>
          <w:lang w:val="it-IT"/>
        </w:rPr>
        <w:t xml:space="preserve">: </w:t>
      </w:r>
      <w:hyperlink r:id="rId34">
        <w:r w:rsidRPr="00266093">
          <w:rPr>
            <w:rStyle w:val="Hyperlink"/>
            <w:i/>
            <w:lang w:val="it-IT"/>
          </w:rPr>
          <w:t>judite.berkemeier@eesc.europa.eu</w:t>
        </w:r>
      </w:hyperlink>
      <w:r w:rsidRPr="00266093">
        <w:rPr>
          <w:i/>
          <w:lang w:val="it-IT"/>
        </w:rPr>
        <w:t>)</w:t>
      </w:r>
    </w:p>
    <w:p w:rsidR="003D6675" w:rsidRPr="00266093" w:rsidRDefault="003D6675" w:rsidP="000F0D21">
      <w:pPr>
        <w:tabs>
          <w:tab w:val="left" w:pos="1418"/>
        </w:tabs>
        <w:jc w:val="left"/>
        <w:rPr>
          <w:i/>
          <w:sz w:val="18"/>
          <w:lang w:val="it-IT"/>
        </w:rPr>
      </w:pPr>
    </w:p>
    <w:p w:rsidR="007E61FB" w:rsidRPr="00266093" w:rsidRDefault="007E61FB" w:rsidP="000F0D21">
      <w:pPr>
        <w:tabs>
          <w:tab w:val="left" w:pos="1418"/>
        </w:tabs>
        <w:jc w:val="left"/>
        <w:rPr>
          <w:i/>
          <w:sz w:val="18"/>
          <w:lang w:val="it-IT"/>
        </w:rPr>
      </w:pPr>
    </w:p>
    <w:p w:rsidR="003D6675" w:rsidRPr="00266093" w:rsidRDefault="003D6675" w:rsidP="000F0D21">
      <w:pPr>
        <w:tabs>
          <w:tab w:val="left" w:pos="1418"/>
        </w:tabs>
        <w:jc w:val="left"/>
        <w:rPr>
          <w:caps/>
          <w:sz w:val="18"/>
          <w:lang w:val="it-IT"/>
        </w:rPr>
      </w:pPr>
    </w:p>
    <w:p w:rsidR="001036E0" w:rsidRPr="00266093" w:rsidRDefault="001036E0" w:rsidP="001036E0">
      <w:pPr>
        <w:pStyle w:val="ListParagraph"/>
        <w:widowControl w:val="0"/>
        <w:numPr>
          <w:ilvl w:val="0"/>
          <w:numId w:val="25"/>
        </w:numPr>
        <w:rPr>
          <w:sz w:val="24"/>
          <w:szCs w:val="24"/>
          <w:lang w:val="it-IT"/>
        </w:rPr>
      </w:pPr>
      <w:r w:rsidRPr="00266093">
        <w:rPr>
          <w:b/>
          <w:i/>
          <w:sz w:val="28"/>
          <w:lang w:val="it-IT"/>
        </w:rPr>
        <w:t xml:space="preserve">Cooperare con la società civile per impedire la radicalizzazione dei </w:t>
      </w:r>
      <w:proofErr w:type="gramStart"/>
      <w:r w:rsidRPr="00266093">
        <w:rPr>
          <w:b/>
          <w:i/>
          <w:sz w:val="28"/>
          <w:lang w:val="it-IT"/>
        </w:rPr>
        <w:t>giovani</w:t>
      </w:r>
      <w:proofErr w:type="gramEnd"/>
    </w:p>
    <w:p w:rsidR="001036E0" w:rsidRPr="00266093" w:rsidRDefault="001036E0" w:rsidP="001036E0">
      <w:pPr>
        <w:tabs>
          <w:tab w:val="center" w:pos="284"/>
        </w:tabs>
        <w:ind w:left="266" w:hanging="266"/>
        <w:rPr>
          <w:b/>
          <w:sz w:val="20"/>
          <w:lang w:val="it-IT"/>
        </w:rPr>
      </w:pPr>
    </w:p>
    <w:p w:rsidR="001036E0" w:rsidRPr="00266093" w:rsidRDefault="00266093" w:rsidP="001036E0">
      <w:pPr>
        <w:tabs>
          <w:tab w:val="left" w:pos="1701"/>
        </w:tabs>
        <w:rPr>
          <w:lang w:val="it-IT"/>
        </w:rPr>
      </w:pPr>
      <w:r w:rsidRPr="00266093">
        <w:rPr>
          <w:b/>
          <w:lang w:val="it-IT"/>
        </w:rPr>
        <w:t>Relatore</w:t>
      </w:r>
      <w:r w:rsidR="001036E0" w:rsidRPr="00266093">
        <w:rPr>
          <w:b/>
          <w:lang w:val="it-IT"/>
        </w:rPr>
        <w:t>:</w:t>
      </w:r>
      <w:r w:rsidR="001036E0" w:rsidRPr="00266093">
        <w:rPr>
          <w:lang w:val="it-IT"/>
        </w:rPr>
        <w:tab/>
        <w:t xml:space="preserve">Christian MOOS (Attività diverse - </w:t>
      </w:r>
      <w:proofErr w:type="gramStart"/>
      <w:r w:rsidR="001036E0" w:rsidRPr="00266093">
        <w:rPr>
          <w:lang w:val="it-IT"/>
        </w:rPr>
        <w:t>DE</w:t>
      </w:r>
      <w:proofErr w:type="gramEnd"/>
      <w:r w:rsidR="001036E0" w:rsidRPr="00266093">
        <w:rPr>
          <w:lang w:val="it-IT"/>
        </w:rPr>
        <w:t>)</w:t>
      </w:r>
    </w:p>
    <w:p w:rsidR="001036E0" w:rsidRPr="00266093" w:rsidRDefault="001036E0" w:rsidP="001036E0">
      <w:pPr>
        <w:tabs>
          <w:tab w:val="left" w:pos="1701"/>
        </w:tabs>
        <w:rPr>
          <w:sz w:val="20"/>
          <w:lang w:val="it-IT"/>
        </w:rPr>
      </w:pPr>
    </w:p>
    <w:p w:rsidR="001036E0" w:rsidRPr="00266093" w:rsidRDefault="001036E0" w:rsidP="001036E0">
      <w:pPr>
        <w:pStyle w:val="Footer"/>
        <w:tabs>
          <w:tab w:val="left" w:pos="1701"/>
        </w:tabs>
        <w:rPr>
          <w:lang w:val="it-IT"/>
        </w:rPr>
      </w:pPr>
      <w:r w:rsidRPr="00266093">
        <w:rPr>
          <w:b/>
          <w:lang w:val="it-IT"/>
        </w:rPr>
        <w:t>Riferimento:</w:t>
      </w:r>
      <w:r w:rsidR="005072FF" w:rsidRPr="00266093">
        <w:rPr>
          <w:lang w:val="it-IT"/>
        </w:rPr>
        <w:tab/>
      </w:r>
      <w:proofErr w:type="gramStart"/>
      <w:r w:rsidR="005072FF" w:rsidRPr="00266093">
        <w:rPr>
          <w:lang w:val="it-IT"/>
        </w:rPr>
        <w:t>EESC-2017-02650-00-</w:t>
      </w:r>
      <w:r w:rsidR="0047703E" w:rsidRPr="00266093">
        <w:rPr>
          <w:lang w:val="it-IT"/>
        </w:rPr>
        <w:t>00</w:t>
      </w:r>
      <w:r w:rsidRPr="00266093">
        <w:rPr>
          <w:lang w:val="it-IT"/>
        </w:rPr>
        <w:t>-A</w:t>
      </w:r>
      <w:r w:rsidR="001A0E3F" w:rsidRPr="00266093">
        <w:rPr>
          <w:lang w:val="it-IT"/>
        </w:rPr>
        <w:t>C</w:t>
      </w:r>
      <w:r w:rsidRPr="00266093">
        <w:rPr>
          <w:lang w:val="it-IT"/>
        </w:rPr>
        <w:t>-TRA</w:t>
      </w:r>
      <w:proofErr w:type="gramEnd"/>
      <w:r w:rsidRPr="00266093">
        <w:rPr>
          <w:lang w:val="it-IT"/>
        </w:rPr>
        <w:t xml:space="preserve"> (EN)</w:t>
      </w:r>
    </w:p>
    <w:p w:rsidR="001036E0" w:rsidRPr="00266093" w:rsidRDefault="001036E0" w:rsidP="001036E0">
      <w:pPr>
        <w:pStyle w:val="Footer"/>
        <w:rPr>
          <w:sz w:val="20"/>
          <w:lang w:val="it-IT"/>
        </w:rPr>
      </w:pPr>
    </w:p>
    <w:p w:rsidR="001036E0" w:rsidRPr="00266093" w:rsidRDefault="001036E0" w:rsidP="001036E0">
      <w:pPr>
        <w:spacing w:line="240" w:lineRule="auto"/>
        <w:rPr>
          <w:b/>
          <w:szCs w:val="22"/>
          <w:lang w:val="it-IT"/>
        </w:rPr>
      </w:pPr>
      <w:r w:rsidRPr="00266093">
        <w:rPr>
          <w:b/>
          <w:lang w:val="it-IT"/>
        </w:rPr>
        <w:t>Punti salienti del parere:</w:t>
      </w:r>
    </w:p>
    <w:p w:rsidR="001036E0" w:rsidRPr="00266093" w:rsidRDefault="001036E0" w:rsidP="001036E0">
      <w:pPr>
        <w:pStyle w:val="Footer"/>
        <w:rPr>
          <w:sz w:val="20"/>
          <w:lang w:val="it-IT"/>
        </w:rPr>
      </w:pPr>
    </w:p>
    <w:p w:rsidR="001036E0" w:rsidRPr="00266093" w:rsidRDefault="001036E0" w:rsidP="00FE0D9A">
      <w:pPr>
        <w:pStyle w:val="ListParagraph"/>
        <w:numPr>
          <w:ilvl w:val="0"/>
          <w:numId w:val="11"/>
        </w:numPr>
        <w:ind w:left="851" w:hanging="284"/>
        <w:rPr>
          <w:lang w:val="it-IT"/>
        </w:rPr>
      </w:pPr>
      <w:r w:rsidRPr="00266093">
        <w:rPr>
          <w:lang w:val="it-IT"/>
        </w:rPr>
        <w:t>Nella prevenzione della radicalizzazione, il CESE è favorevole ad adottare un approccio multiagenzia nel quale le organizzazioni della società civile svolgano un ruolo fondamentale. L'UE e i suoi Stati membri dovrebbero dimostrare un forte interesse nella prevenzione della radicalizzazione e cooperare più strettamente con le organizzazioni della società civile nell'UE e nei paesi terzi. Essi devono inoltre incrementare in maniera durevole e a lungo termine il sostegno finanziario per le organizzazioni della società civile e per il coordinamento, la creazione di reti e l'attuazione delle politiche a livello UE.</w:t>
      </w:r>
    </w:p>
    <w:p w:rsidR="001036E0" w:rsidRPr="00266093" w:rsidRDefault="001036E0" w:rsidP="001036E0">
      <w:pPr>
        <w:overflowPunct/>
        <w:adjustRightInd/>
        <w:textAlignment w:val="auto"/>
        <w:rPr>
          <w:sz w:val="20"/>
          <w:lang w:val="it-IT"/>
        </w:rPr>
      </w:pPr>
    </w:p>
    <w:p w:rsidR="001036E0" w:rsidRPr="00266093" w:rsidRDefault="001036E0" w:rsidP="00FE0D9A">
      <w:pPr>
        <w:pStyle w:val="ListParagraph"/>
        <w:numPr>
          <w:ilvl w:val="0"/>
          <w:numId w:val="11"/>
        </w:numPr>
        <w:ind w:left="851" w:hanging="284"/>
        <w:rPr>
          <w:lang w:val="it-IT"/>
        </w:rPr>
      </w:pPr>
      <w:r w:rsidRPr="00266093">
        <w:rPr>
          <w:lang w:val="it-IT"/>
        </w:rPr>
        <w:t>Gli Stati membri dovrebbero sfruttare appieno gli strumenti dell'UE e i programmi volti a prevenire la radicalizzazione. La Rete di sensibilizzazione al problema della radicalizzazione (RAN), messa a disposizione dalla Commissione, deve essere maggiormente orientata verso le strutture locali della società civile ed essere dotata di maggiori risorse umane e materiali. Le strutture della società civile e delle parti sociali devono essere maggiormente coinvolte nella RAN e gli Stati membri dovrebbero essere più proattivi nell'incoraggiare le strutture simili a tale rete a livello regionale o locale.</w:t>
      </w:r>
    </w:p>
    <w:p w:rsidR="001036E0" w:rsidRPr="00266093" w:rsidRDefault="001036E0" w:rsidP="00F13CFD">
      <w:pPr>
        <w:pStyle w:val="Heading2"/>
        <w:numPr>
          <w:ilvl w:val="0"/>
          <w:numId w:val="0"/>
        </w:numPr>
        <w:overflowPunct/>
        <w:adjustRightInd/>
        <w:textAlignment w:val="auto"/>
        <w:rPr>
          <w:sz w:val="20"/>
          <w:lang w:val="it-IT"/>
        </w:rPr>
      </w:pPr>
    </w:p>
    <w:p w:rsidR="001036E0" w:rsidRPr="00266093" w:rsidRDefault="001036E0" w:rsidP="00FE0D9A">
      <w:pPr>
        <w:pStyle w:val="ListParagraph"/>
        <w:numPr>
          <w:ilvl w:val="0"/>
          <w:numId w:val="11"/>
        </w:numPr>
        <w:ind w:left="851" w:hanging="284"/>
        <w:rPr>
          <w:lang w:val="it-IT"/>
        </w:rPr>
      </w:pPr>
      <w:r w:rsidRPr="00266093">
        <w:rPr>
          <w:lang w:val="it-IT"/>
        </w:rPr>
        <w:t xml:space="preserve">I sindacati </w:t>
      </w:r>
      <w:proofErr w:type="gramStart"/>
      <w:r w:rsidRPr="00266093">
        <w:rPr>
          <w:lang w:val="it-IT"/>
        </w:rPr>
        <w:t>svolgono</w:t>
      </w:r>
      <w:proofErr w:type="gramEnd"/>
      <w:r w:rsidRPr="00266093">
        <w:rPr>
          <w:lang w:val="it-IT"/>
        </w:rPr>
        <w:t xml:space="preserve"> un ruolo importante, in quanto rappresentano i lavoratori di tutti i settori pubblici pertinenti. Gli operatori in prima linea devono essere particolarmente preparati in materia di prevenzione della radicalizzazione. Occorre investire nelle organizzazioni giovanili che forniscono strutture </w:t>
      </w:r>
      <w:proofErr w:type="gramStart"/>
      <w:r w:rsidRPr="00266093">
        <w:rPr>
          <w:lang w:val="it-IT"/>
        </w:rPr>
        <w:t xml:space="preserve">di </w:t>
      </w:r>
      <w:proofErr w:type="gramEnd"/>
      <w:r w:rsidRPr="00266093">
        <w:rPr>
          <w:lang w:val="it-IT"/>
        </w:rPr>
        <w:t xml:space="preserve">identificazione alternative, e bisogna garantire uno spazio sicuro di dialogo, incentrato sull'ascolto attivo, e di espressione personale. Il CESE </w:t>
      </w:r>
      <w:proofErr w:type="gramStart"/>
      <w:r w:rsidRPr="00266093">
        <w:rPr>
          <w:lang w:val="it-IT"/>
        </w:rPr>
        <w:t>sottolinea</w:t>
      </w:r>
      <w:proofErr w:type="gramEnd"/>
      <w:r w:rsidRPr="00266093">
        <w:rPr>
          <w:lang w:val="it-IT"/>
        </w:rPr>
        <w:t xml:space="preserve"> il ruolo fondamentale svolto dalle comunità religiose e chiede un maggiore impegno strategico nel difendere le regole e i valori della democrazia liberale. I partenariati attivi con le imprese possono contribuire a prevenire la radicalizzazione, e bisogna coinvolgere anche </w:t>
      </w:r>
      <w:proofErr w:type="gramStart"/>
      <w:r w:rsidRPr="00266093">
        <w:rPr>
          <w:lang w:val="it-IT"/>
        </w:rPr>
        <w:t>i</w:t>
      </w:r>
      <w:proofErr w:type="gramEnd"/>
      <w:r w:rsidRPr="00266093">
        <w:rPr>
          <w:lang w:val="it-IT"/>
        </w:rPr>
        <w:t xml:space="preserve"> social media affinché contrastino l'incitamento all'odio, i "fatti alternativi" e la retorica estremistica.</w:t>
      </w:r>
    </w:p>
    <w:p w:rsidR="001036E0" w:rsidRPr="00266093" w:rsidRDefault="001036E0" w:rsidP="001036E0">
      <w:pPr>
        <w:overflowPunct/>
        <w:adjustRightInd/>
        <w:textAlignment w:val="auto"/>
        <w:rPr>
          <w:sz w:val="20"/>
          <w:lang w:val="it-IT"/>
        </w:rPr>
      </w:pPr>
    </w:p>
    <w:p w:rsidR="001036E0" w:rsidRPr="00266093" w:rsidRDefault="001036E0" w:rsidP="00FE0D9A">
      <w:pPr>
        <w:pStyle w:val="ListParagraph"/>
        <w:numPr>
          <w:ilvl w:val="0"/>
          <w:numId w:val="11"/>
        </w:numPr>
        <w:ind w:left="851" w:hanging="284"/>
        <w:rPr>
          <w:lang w:val="it-IT"/>
        </w:rPr>
      </w:pPr>
      <w:r w:rsidRPr="00266093">
        <w:rPr>
          <w:lang w:val="it-IT"/>
        </w:rPr>
        <w:t xml:space="preserve">Il CESE </w:t>
      </w:r>
      <w:proofErr w:type="gramStart"/>
      <w:r w:rsidRPr="00266093">
        <w:rPr>
          <w:lang w:val="it-IT"/>
        </w:rPr>
        <w:t>sottolinea</w:t>
      </w:r>
      <w:proofErr w:type="gramEnd"/>
      <w:r w:rsidRPr="00266093">
        <w:rPr>
          <w:lang w:val="it-IT"/>
        </w:rPr>
        <w:t xml:space="preserve"> l'importanza di un'istruzione formale e non formale inclusiva,</w:t>
      </w:r>
      <w:r w:rsidR="00BD20B9" w:rsidRPr="00266093">
        <w:rPr>
          <w:lang w:val="it-IT"/>
        </w:rPr>
        <w:t xml:space="preserve"> </w:t>
      </w:r>
      <w:r w:rsidRPr="00266093">
        <w:rPr>
          <w:lang w:val="it-IT"/>
        </w:rPr>
        <w:t xml:space="preserve">essenziale per la partecipazione attiva ad una società eterogenea, che insegni a pensare in modo critico e garantisca un'alfabetizzazione mediatica. Inoltre, il CESE chiede di accordare una più alta priorità all'aumento degli investimenti nella lotta alla povertà e all'integrazione dei giovani nella società, nei sistemi </w:t>
      </w:r>
      <w:proofErr w:type="gramStart"/>
      <w:r w:rsidRPr="00266093">
        <w:rPr>
          <w:lang w:val="it-IT"/>
        </w:rPr>
        <w:t xml:space="preserve">di </w:t>
      </w:r>
      <w:proofErr w:type="gramEnd"/>
      <w:r w:rsidRPr="00266093">
        <w:rPr>
          <w:lang w:val="it-IT"/>
        </w:rPr>
        <w:t>istruzione e nel mercato del lavoro.</w:t>
      </w:r>
    </w:p>
    <w:p w:rsidR="001036E0" w:rsidRPr="00266093" w:rsidRDefault="001036E0" w:rsidP="00F13CFD">
      <w:pPr>
        <w:pStyle w:val="Heading2"/>
        <w:numPr>
          <w:ilvl w:val="0"/>
          <w:numId w:val="0"/>
        </w:numPr>
        <w:overflowPunct/>
        <w:adjustRightInd/>
        <w:textAlignment w:val="auto"/>
        <w:rPr>
          <w:sz w:val="20"/>
          <w:lang w:val="it-IT"/>
        </w:rPr>
      </w:pPr>
    </w:p>
    <w:p w:rsidR="001036E0" w:rsidRPr="00266093" w:rsidRDefault="001036E0" w:rsidP="00FE0D9A">
      <w:pPr>
        <w:pStyle w:val="ListParagraph"/>
        <w:numPr>
          <w:ilvl w:val="0"/>
          <w:numId w:val="11"/>
        </w:numPr>
        <w:ind w:left="851" w:hanging="284"/>
        <w:rPr>
          <w:lang w:val="it-IT"/>
        </w:rPr>
      </w:pPr>
      <w:r w:rsidRPr="00266093">
        <w:rPr>
          <w:lang w:val="it-IT"/>
        </w:rPr>
        <w:t xml:space="preserve">È importante arrestare i flussi finanziari che sostengono le strutture estremiste provenienti sia dall'interno dell'UE </w:t>
      </w:r>
      <w:proofErr w:type="gramStart"/>
      <w:r w:rsidRPr="00266093">
        <w:rPr>
          <w:lang w:val="it-IT"/>
        </w:rPr>
        <w:t>che</w:t>
      </w:r>
      <w:proofErr w:type="gramEnd"/>
      <w:r w:rsidRPr="00266093">
        <w:rPr>
          <w:lang w:val="it-IT"/>
        </w:rPr>
        <w:t xml:space="preserve"> da paesi terzi e che vanificano gli sforzi messi in campo dalle autorità pubbliche e dalla società civile per prevenire la radicalizzazione.</w:t>
      </w:r>
    </w:p>
    <w:p w:rsidR="001036E0" w:rsidRPr="00266093" w:rsidRDefault="001036E0" w:rsidP="001036E0">
      <w:pPr>
        <w:rPr>
          <w:sz w:val="20"/>
          <w:lang w:val="it-IT"/>
        </w:rPr>
      </w:pPr>
    </w:p>
    <w:p w:rsidR="001036E0" w:rsidRPr="00266093" w:rsidRDefault="001036E0" w:rsidP="001036E0">
      <w:pPr>
        <w:tabs>
          <w:tab w:val="left" w:pos="1418"/>
        </w:tabs>
        <w:rPr>
          <w:i/>
          <w:lang w:val="it-IT"/>
        </w:rPr>
      </w:pPr>
      <w:r w:rsidRPr="00266093">
        <w:rPr>
          <w:b/>
          <w:i/>
          <w:lang w:val="it-IT"/>
        </w:rPr>
        <w:t xml:space="preserve">Persona da </w:t>
      </w:r>
      <w:proofErr w:type="gramStart"/>
      <w:r w:rsidRPr="00266093">
        <w:rPr>
          <w:b/>
          <w:i/>
          <w:lang w:val="it-IT"/>
        </w:rPr>
        <w:t>contattare</w:t>
      </w:r>
      <w:proofErr w:type="gramEnd"/>
      <w:r w:rsidRPr="00266093">
        <w:rPr>
          <w:lang w:val="it-IT"/>
        </w:rPr>
        <w:t>:</w:t>
      </w:r>
      <w:r w:rsidRPr="00266093">
        <w:rPr>
          <w:i/>
          <w:lang w:val="it-IT"/>
        </w:rPr>
        <w:t xml:space="preserve"> </w:t>
      </w:r>
      <w:r w:rsidRPr="00266093">
        <w:rPr>
          <w:lang w:val="it-IT"/>
        </w:rPr>
        <w:tab/>
      </w:r>
      <w:r w:rsidRPr="00266093">
        <w:rPr>
          <w:i/>
          <w:lang w:val="it-IT"/>
        </w:rPr>
        <w:t>Annemarie WIERSMA</w:t>
      </w:r>
    </w:p>
    <w:p w:rsidR="001036E0" w:rsidRPr="00266093" w:rsidRDefault="001036E0" w:rsidP="00FE0D9A">
      <w:pPr>
        <w:tabs>
          <w:tab w:val="left" w:pos="2268"/>
        </w:tabs>
        <w:rPr>
          <w:i/>
          <w:iCs/>
          <w:szCs w:val="22"/>
          <w:u w:val="single"/>
          <w:lang w:val="it-IT"/>
        </w:rPr>
      </w:pPr>
      <w:r w:rsidRPr="00266093">
        <w:rPr>
          <w:lang w:val="it-IT"/>
        </w:rPr>
        <w:tab/>
      </w:r>
      <w:r w:rsidRPr="00266093">
        <w:rPr>
          <w:i/>
          <w:lang w:val="it-IT"/>
        </w:rPr>
        <w:t>(</w:t>
      </w:r>
      <w:r w:rsidR="00266093" w:rsidRPr="00266093">
        <w:rPr>
          <w:i/>
          <w:lang w:val="it-IT"/>
        </w:rPr>
        <w:t>Tel.:</w:t>
      </w:r>
      <w:r w:rsidRPr="00266093">
        <w:rPr>
          <w:i/>
          <w:lang w:val="it-IT"/>
        </w:rPr>
        <w:t xml:space="preserve"> 00 32 2 546 93 76 – e-mail: </w:t>
      </w:r>
      <w:hyperlink r:id="rId35">
        <w:r w:rsidRPr="00266093">
          <w:rPr>
            <w:rStyle w:val="Hyperlink"/>
            <w:i/>
            <w:lang w:val="it-IT"/>
          </w:rPr>
          <w:t>annemarie.wiersma@eesc.europa.eu</w:t>
        </w:r>
      </w:hyperlink>
      <w:r w:rsidRPr="00266093">
        <w:rPr>
          <w:i/>
          <w:lang w:val="it-IT"/>
        </w:rPr>
        <w:t>)</w:t>
      </w:r>
    </w:p>
    <w:p w:rsidR="004F2819" w:rsidRPr="00266093" w:rsidRDefault="004F2819">
      <w:pPr>
        <w:overflowPunct/>
        <w:autoSpaceDE/>
        <w:autoSpaceDN/>
        <w:adjustRightInd/>
        <w:spacing w:line="240" w:lineRule="auto"/>
        <w:jc w:val="left"/>
        <w:textAlignment w:val="auto"/>
        <w:rPr>
          <w:caps/>
          <w:lang w:val="it-IT"/>
        </w:rPr>
      </w:pPr>
      <w:r w:rsidRPr="00266093">
        <w:rPr>
          <w:lang w:val="it-IT"/>
        </w:rPr>
        <w:br w:type="page"/>
      </w:r>
    </w:p>
    <w:p w:rsidR="00C45A67" w:rsidRPr="00266093" w:rsidRDefault="004F2819" w:rsidP="00E97DE3">
      <w:pPr>
        <w:pStyle w:val="Heading1"/>
        <w:rPr>
          <w:b/>
          <w:caps/>
          <w:lang w:val="it-IT"/>
        </w:rPr>
      </w:pPr>
      <w:r w:rsidRPr="00266093">
        <w:rPr>
          <w:lang w:val="it-IT"/>
        </w:rPr>
        <w:tab/>
      </w:r>
      <w:bookmarkStart w:id="17" w:name="_Toc499892049"/>
      <w:bookmarkStart w:id="18" w:name="_Toc501014834"/>
      <w:proofErr w:type="gramStart"/>
      <w:r w:rsidRPr="00266093">
        <w:rPr>
          <w:b/>
          <w:caps/>
          <w:lang w:val="it-IT"/>
        </w:rPr>
        <w:t>Relazioni</w:t>
      </w:r>
      <w:proofErr w:type="gramEnd"/>
      <w:r w:rsidRPr="00266093">
        <w:rPr>
          <w:b/>
          <w:caps/>
          <w:lang w:val="it-IT"/>
        </w:rPr>
        <w:t xml:space="preserve"> esterne</w:t>
      </w:r>
      <w:bookmarkEnd w:id="17"/>
      <w:bookmarkEnd w:id="18"/>
    </w:p>
    <w:p w:rsidR="00DB6DF3" w:rsidRPr="00266093" w:rsidRDefault="00DB6DF3">
      <w:pPr>
        <w:jc w:val="left"/>
        <w:rPr>
          <w:lang w:val="it-IT"/>
        </w:rPr>
      </w:pPr>
    </w:p>
    <w:p w:rsidR="00DB6DF3" w:rsidRPr="00266093" w:rsidRDefault="00DB6DF3" w:rsidP="004F2819">
      <w:pPr>
        <w:pStyle w:val="ListParagraph"/>
        <w:widowControl w:val="0"/>
        <w:numPr>
          <w:ilvl w:val="0"/>
          <w:numId w:val="21"/>
        </w:numPr>
        <w:rPr>
          <w:b/>
          <w:i/>
          <w:spacing w:val="-2"/>
          <w:sz w:val="28"/>
          <w:szCs w:val="28"/>
          <w:lang w:val="it-IT"/>
        </w:rPr>
      </w:pPr>
      <w:r w:rsidRPr="00266093">
        <w:rPr>
          <w:b/>
          <w:i/>
          <w:spacing w:val="-2"/>
          <w:sz w:val="28"/>
          <w:lang w:val="it-IT"/>
        </w:rPr>
        <w:t>Economia blu nel Mediterraneo occidentale</w:t>
      </w:r>
    </w:p>
    <w:p w:rsidR="00DB6DF3" w:rsidRPr="00266093" w:rsidRDefault="00DB6DF3" w:rsidP="00DB6DF3">
      <w:pPr>
        <w:widowControl w:val="0"/>
        <w:rPr>
          <w:lang w:val="it-IT"/>
        </w:rPr>
      </w:pPr>
    </w:p>
    <w:p w:rsidR="00DB6DF3" w:rsidRPr="00266093" w:rsidRDefault="00266093" w:rsidP="00DB6DF3">
      <w:pPr>
        <w:rPr>
          <w:lang w:val="it-IT"/>
        </w:rPr>
      </w:pPr>
      <w:r w:rsidRPr="00266093">
        <w:rPr>
          <w:b/>
          <w:lang w:val="it-IT"/>
        </w:rPr>
        <w:t>Relatore</w:t>
      </w:r>
      <w:r w:rsidR="00DB6DF3" w:rsidRPr="00266093">
        <w:rPr>
          <w:b/>
          <w:lang w:val="it-IT"/>
        </w:rPr>
        <w:t>:</w:t>
      </w:r>
      <w:r w:rsidR="00DB6DF3" w:rsidRPr="00266093">
        <w:rPr>
          <w:lang w:val="it-IT"/>
        </w:rPr>
        <w:tab/>
      </w:r>
      <w:r w:rsidR="00EE79C1" w:rsidRPr="00266093">
        <w:rPr>
          <w:lang w:val="it-IT"/>
        </w:rPr>
        <w:tab/>
      </w:r>
      <w:r w:rsidR="00DB6DF3" w:rsidRPr="00266093">
        <w:rPr>
          <w:lang w:val="it-IT"/>
        </w:rPr>
        <w:t>Dimitris DIMITRIADIS (Datori di lavoro - EL)</w:t>
      </w:r>
    </w:p>
    <w:p w:rsidR="004F2819" w:rsidRPr="00266093" w:rsidRDefault="004F2819" w:rsidP="00DB6DF3">
      <w:pPr>
        <w:rPr>
          <w:b/>
          <w:i/>
          <w:lang w:val="it-IT"/>
        </w:rPr>
      </w:pPr>
    </w:p>
    <w:p w:rsidR="00DB6DF3" w:rsidRPr="00266093" w:rsidRDefault="004F2819" w:rsidP="00DB6DF3">
      <w:pPr>
        <w:jc w:val="left"/>
        <w:rPr>
          <w:lang w:val="it-IT"/>
        </w:rPr>
      </w:pPr>
      <w:r w:rsidRPr="00266093">
        <w:rPr>
          <w:b/>
          <w:lang w:val="it-IT"/>
        </w:rPr>
        <w:t>Riferimento</w:t>
      </w:r>
      <w:r w:rsidR="00AD318F" w:rsidRPr="00266093">
        <w:rPr>
          <w:lang w:val="it-IT"/>
        </w:rPr>
        <w:t>:</w:t>
      </w:r>
      <w:r w:rsidR="00EE79C1" w:rsidRPr="00266093">
        <w:rPr>
          <w:lang w:val="it-IT"/>
        </w:rPr>
        <w:tab/>
      </w:r>
      <w:proofErr w:type="gramStart"/>
      <w:r w:rsidRPr="00266093">
        <w:rPr>
          <w:lang w:val="it-IT"/>
        </w:rPr>
        <w:t>EESC-2017-03128-00-00-A</w:t>
      </w:r>
      <w:r w:rsidR="00B51622" w:rsidRPr="00266093">
        <w:rPr>
          <w:lang w:val="it-IT"/>
        </w:rPr>
        <w:t>C</w:t>
      </w:r>
      <w:r w:rsidRPr="00266093">
        <w:rPr>
          <w:lang w:val="it-IT"/>
        </w:rPr>
        <w:t>-TRA</w:t>
      </w:r>
      <w:proofErr w:type="gramEnd"/>
    </w:p>
    <w:p w:rsidR="004F2819" w:rsidRPr="00266093" w:rsidRDefault="004F2819" w:rsidP="00DB6DF3">
      <w:pPr>
        <w:jc w:val="left"/>
        <w:rPr>
          <w:lang w:val="it-IT"/>
        </w:rPr>
      </w:pPr>
    </w:p>
    <w:p w:rsidR="00DB6DF3" w:rsidRPr="00266093" w:rsidRDefault="00DB6DF3" w:rsidP="00DB6DF3">
      <w:pPr>
        <w:rPr>
          <w:lang w:val="it-IT"/>
        </w:rPr>
      </w:pPr>
      <w:r w:rsidRPr="00266093">
        <w:rPr>
          <w:b/>
          <w:lang w:val="it-IT"/>
        </w:rPr>
        <w:t>Punti salienti del parere:</w:t>
      </w:r>
    </w:p>
    <w:p w:rsidR="00DB6DF3" w:rsidRPr="00266093" w:rsidRDefault="00DB6DF3" w:rsidP="00DB6DF3">
      <w:pPr>
        <w:widowControl w:val="0"/>
        <w:rPr>
          <w:lang w:val="it-IT"/>
        </w:rPr>
      </w:pPr>
    </w:p>
    <w:p w:rsidR="00DB6DF3" w:rsidRPr="00266093" w:rsidRDefault="00DB6DF3" w:rsidP="00FE0D9A">
      <w:pPr>
        <w:pStyle w:val="ListParagraph"/>
        <w:numPr>
          <w:ilvl w:val="0"/>
          <w:numId w:val="11"/>
        </w:numPr>
        <w:ind w:left="851" w:hanging="284"/>
        <w:rPr>
          <w:lang w:val="it-IT"/>
        </w:rPr>
      </w:pPr>
      <w:r w:rsidRPr="00266093">
        <w:rPr>
          <w:lang w:val="it-IT"/>
        </w:rPr>
        <w:t xml:space="preserve">L'evoluzione socialmente e ambientalmente sostenibile dei bacini marittimi e delle zone costiere, per contrastare le disparità esistenti e garantire la conservazione della diversità culturale e della biodiversità, riveste enorme importanza. Il CESE fornisce pieno supporto all'iniziativa specifica per lo sviluppo sostenibile dell'economia blu nel Mediterraneo occidentale e sollecita le istituzioni europee a </w:t>
      </w:r>
      <w:proofErr w:type="gramStart"/>
      <w:r w:rsidRPr="00266093">
        <w:rPr>
          <w:lang w:val="it-IT"/>
        </w:rPr>
        <w:t>concludere</w:t>
      </w:r>
      <w:proofErr w:type="gramEnd"/>
      <w:r w:rsidRPr="00266093">
        <w:rPr>
          <w:lang w:val="it-IT"/>
        </w:rPr>
        <w:t xml:space="preserve"> il ciclo di consultazioni e a istituire la task force pertinente.</w:t>
      </w:r>
    </w:p>
    <w:p w:rsidR="00DB6DF3" w:rsidRPr="00266093" w:rsidRDefault="00DB6DF3" w:rsidP="00DB6DF3">
      <w:pPr>
        <w:pStyle w:val="NoSpacing"/>
        <w:ind w:left="720"/>
      </w:pPr>
    </w:p>
    <w:p w:rsidR="00DB6DF3" w:rsidRPr="00266093" w:rsidRDefault="00DB6DF3" w:rsidP="00FE0D9A">
      <w:pPr>
        <w:pStyle w:val="ListParagraph"/>
        <w:numPr>
          <w:ilvl w:val="0"/>
          <w:numId w:val="11"/>
        </w:numPr>
        <w:ind w:left="851" w:hanging="284"/>
        <w:rPr>
          <w:lang w:val="it-IT"/>
        </w:rPr>
      </w:pPr>
      <w:r w:rsidRPr="00266093">
        <w:rPr>
          <w:lang w:val="it-IT"/>
        </w:rPr>
        <w:t>Il CESE ritiene che il successo di tale iniziativa presupponga una buona comunicazione e un ambiente idoneo per la collaborazione tra gli Stati interessati dal progetto e, in secondo luogo, le istituzioni europee. L'Unione per il Mediterraneo (UpM) è esortata a svolgere un ruolo importante nel collegare in modo efficiente tutte le parti coinvolte.</w:t>
      </w:r>
    </w:p>
    <w:p w:rsidR="00DB6DF3" w:rsidRPr="00266093" w:rsidRDefault="00DB6DF3" w:rsidP="00DB6DF3">
      <w:pPr>
        <w:pStyle w:val="NoSpacing"/>
        <w:ind w:left="720"/>
      </w:pPr>
    </w:p>
    <w:p w:rsidR="00DB6DF3" w:rsidRPr="00266093" w:rsidRDefault="00DB6DF3" w:rsidP="00FE0D9A">
      <w:pPr>
        <w:pStyle w:val="ListParagraph"/>
        <w:numPr>
          <w:ilvl w:val="0"/>
          <w:numId w:val="11"/>
        </w:numPr>
        <w:ind w:left="851" w:hanging="284"/>
        <w:rPr>
          <w:lang w:val="it-IT"/>
        </w:rPr>
      </w:pPr>
      <w:r w:rsidRPr="00266093">
        <w:rPr>
          <w:lang w:val="it-IT"/>
        </w:rPr>
        <w:t xml:space="preserve">Il CESE riconosce la necessità di espandere l'iniziativa proponendo un </w:t>
      </w:r>
      <w:proofErr w:type="gramStart"/>
      <w:r w:rsidRPr="00266093">
        <w:rPr>
          <w:lang w:val="it-IT"/>
        </w:rPr>
        <w:t>ulteriore</w:t>
      </w:r>
      <w:proofErr w:type="gramEnd"/>
      <w:r w:rsidRPr="00266093">
        <w:rPr>
          <w:lang w:val="it-IT"/>
        </w:rPr>
        <w:t xml:space="preserve"> ampliamento tematico, per includere, oltre ai settori di intervento già previsti nell'iniziativa – (1) uno spazio marittimo più sicuro e protetto, (2) un'economia blu intelligente e resiliente e l'attenzione focalizzata sullo sviluppo delle competenze, sulla ricerca e sull'innovazione, (3) una migliore governance del mare – anche la biodiversità e la conservazione, nonché la comunicazione interculturale, e raccomandando una strategia più concreta per sostenere le attività produttive su piccola scala e su scala molto ridotta.</w:t>
      </w:r>
    </w:p>
    <w:p w:rsidR="00DB6DF3" w:rsidRPr="00266093" w:rsidRDefault="00DB6DF3" w:rsidP="00DB6DF3">
      <w:pPr>
        <w:pStyle w:val="NoSpacing"/>
        <w:ind w:left="720"/>
      </w:pPr>
    </w:p>
    <w:p w:rsidR="00DB6DF3" w:rsidRPr="00266093" w:rsidRDefault="00DB6DF3" w:rsidP="00FE0D9A">
      <w:pPr>
        <w:pStyle w:val="ListParagraph"/>
        <w:numPr>
          <w:ilvl w:val="0"/>
          <w:numId w:val="11"/>
        </w:numPr>
        <w:ind w:left="851" w:hanging="284"/>
        <w:rPr>
          <w:lang w:val="it-IT"/>
        </w:rPr>
      </w:pPr>
      <w:r w:rsidRPr="00266093">
        <w:rPr>
          <w:lang w:val="it-IT"/>
        </w:rPr>
        <w:t xml:space="preserve">In aggiunta, il CESE è dell'opinione che sarà di grande importanza includere l'evoluzione progressiva e la collaborazione transnazionale tra i sistemi di formazione accademici e professionali come area </w:t>
      </w:r>
      <w:proofErr w:type="gramStart"/>
      <w:r w:rsidRPr="00266093">
        <w:rPr>
          <w:lang w:val="it-IT"/>
        </w:rPr>
        <w:t xml:space="preserve">di </w:t>
      </w:r>
      <w:proofErr w:type="gramEnd"/>
      <w:r w:rsidRPr="00266093">
        <w:rPr>
          <w:lang w:val="it-IT"/>
        </w:rPr>
        <w:t>intervento orizzontale, per incrementare così l'efficienza di altri settori dell'economia blu.</w:t>
      </w:r>
    </w:p>
    <w:p w:rsidR="00DB6DF3" w:rsidRPr="00266093" w:rsidRDefault="00DB6DF3" w:rsidP="00DB6DF3">
      <w:pPr>
        <w:pStyle w:val="NoSpacing"/>
        <w:ind w:left="720"/>
      </w:pPr>
    </w:p>
    <w:p w:rsidR="00DB6DF3" w:rsidRPr="00266093" w:rsidRDefault="00DB6DF3" w:rsidP="00FE0D9A">
      <w:pPr>
        <w:pStyle w:val="ListParagraph"/>
        <w:numPr>
          <w:ilvl w:val="0"/>
          <w:numId w:val="11"/>
        </w:numPr>
        <w:ind w:left="851" w:hanging="284"/>
        <w:rPr>
          <w:lang w:val="it-IT"/>
        </w:rPr>
      </w:pPr>
      <w:r w:rsidRPr="00266093">
        <w:rPr>
          <w:lang w:val="it-IT"/>
        </w:rPr>
        <w:t xml:space="preserve">La sicurezza dei trasporti marittimi, le questioni legate alla sicurezza, la crescita economica sostenibile e la conservazione culturale e ambientale non saranno affrontate in modo efficiente nel lungo termine se si </w:t>
      </w:r>
      <w:proofErr w:type="gramStart"/>
      <w:r w:rsidRPr="00266093">
        <w:rPr>
          <w:lang w:val="it-IT"/>
        </w:rPr>
        <w:t>trascura il fatto che</w:t>
      </w:r>
      <w:proofErr w:type="gramEnd"/>
      <w:r w:rsidRPr="00266093">
        <w:rPr>
          <w:lang w:val="it-IT"/>
        </w:rPr>
        <w:t xml:space="preserve"> il Mediterraneo costituisce un'unità storica, economica e ambientale. Pertanto, se, da un lato, l'intensificarsi delle tensioni geopolitiche e l'inasprirsi dei conflitti nella parte orientale del bacino marittimo hanno indotto ad avviare l'iniziativa nel Mediterraneo occidentale, quest'ultima deve essere considerata come un progetto pilota che può fornire esperienze utili e migliori prassi e può essere estesa </w:t>
      </w:r>
      <w:proofErr w:type="gramStart"/>
      <w:r w:rsidRPr="00266093">
        <w:rPr>
          <w:lang w:val="it-IT"/>
        </w:rPr>
        <w:t>sulla base di</w:t>
      </w:r>
      <w:proofErr w:type="gramEnd"/>
      <w:r w:rsidRPr="00266093">
        <w:rPr>
          <w:lang w:val="it-IT"/>
        </w:rPr>
        <w:t xml:space="preserve"> un approccio olistico in tutto il Mediterraneo.</w:t>
      </w:r>
    </w:p>
    <w:p w:rsidR="00DB6DF3" w:rsidRPr="00266093" w:rsidRDefault="00DB6DF3" w:rsidP="00DB6DF3">
      <w:pPr>
        <w:pStyle w:val="NoSpacing"/>
        <w:ind w:left="720"/>
      </w:pPr>
    </w:p>
    <w:p w:rsidR="00DB6DF3" w:rsidRPr="00266093" w:rsidRDefault="00DB6DF3" w:rsidP="00FE0D9A">
      <w:pPr>
        <w:pStyle w:val="ListParagraph"/>
        <w:numPr>
          <w:ilvl w:val="0"/>
          <w:numId w:val="11"/>
        </w:numPr>
        <w:ind w:left="851" w:hanging="284"/>
        <w:rPr>
          <w:lang w:val="it-IT"/>
        </w:rPr>
      </w:pPr>
      <w:r w:rsidRPr="00266093">
        <w:rPr>
          <w:lang w:val="it-IT"/>
        </w:rPr>
        <w:t xml:space="preserve">Il CESE prevede che il successo di questa iniziativa richiederà un alto livello di coordinamento transnazionale e trasversale. Ciò comporta la necessità di un sottoprogetto di assistenza tecnica che includa i seguenti aspetti: 1) un'analisi comparativa approfondita che determini con esattezza i settori di sovrapposizione nella marea esistente </w:t>
      </w:r>
      <w:proofErr w:type="gramStart"/>
      <w:r w:rsidRPr="00266093">
        <w:rPr>
          <w:lang w:val="it-IT"/>
        </w:rPr>
        <w:t xml:space="preserve">di </w:t>
      </w:r>
      <w:proofErr w:type="gramEnd"/>
      <w:r w:rsidRPr="00266093">
        <w:rPr>
          <w:lang w:val="it-IT"/>
        </w:rPr>
        <w:t>iniziative con priorità simili (se non identiche), al fine di risparmiare risorse e potenziare i risultati finali; 2) un piano generale operativo, che definisca le competenze della task force per l'economia blu, gli strumenti organizzativi/amministrativi specifici, i ruoli distinti delle istituzioni regionali, nazionali e internazionali coinvolte, oltre a una programmazione ben determinata; 3) la pianificazione e l'attuazione di una strategia di comunicazione sufficientemente ampia, che pubblicizzi il contenuto dell'iniziativa per l'economia blu e le opportunità e prospettive risultanti.</w:t>
      </w:r>
    </w:p>
    <w:p w:rsidR="00DB6DF3" w:rsidRPr="00266093" w:rsidRDefault="00DB6DF3" w:rsidP="00DB6DF3">
      <w:pPr>
        <w:pStyle w:val="NoSpacing"/>
        <w:ind w:left="720"/>
      </w:pPr>
    </w:p>
    <w:p w:rsidR="00DB6DF3" w:rsidRPr="00266093" w:rsidRDefault="00DB6DF3" w:rsidP="00FE0D9A">
      <w:pPr>
        <w:pStyle w:val="ListParagraph"/>
        <w:numPr>
          <w:ilvl w:val="0"/>
          <w:numId w:val="11"/>
        </w:numPr>
        <w:ind w:left="851" w:hanging="284"/>
        <w:rPr>
          <w:lang w:val="it-IT"/>
        </w:rPr>
      </w:pPr>
      <w:r w:rsidRPr="00266093">
        <w:rPr>
          <w:lang w:val="it-IT"/>
        </w:rPr>
        <w:t xml:space="preserve">Il CESE, inoltre, concorda con l'opinione secondo cui nella lotta contro il terrorismo e la criminalità, sussiste la necessità di una collaborazione in rete più efficiente tra le autorità delle frontiere marittime e terrestri sulle due sponde, </w:t>
      </w:r>
      <w:proofErr w:type="gramStart"/>
      <w:r w:rsidRPr="00266093">
        <w:rPr>
          <w:lang w:val="it-IT"/>
        </w:rPr>
        <w:t>nonché</w:t>
      </w:r>
      <w:proofErr w:type="gramEnd"/>
      <w:r w:rsidRPr="00266093">
        <w:rPr>
          <w:lang w:val="it-IT"/>
        </w:rPr>
        <w:t xml:space="preserve"> uno scambio sistematico e un'analisi dei dati, in stretta cooperazione con Frontex e con altre istituzioni globali transazionali come l'Organizzazione marittima internazionale (IMO).</w:t>
      </w:r>
    </w:p>
    <w:p w:rsidR="00DB6DF3" w:rsidRPr="00266093" w:rsidRDefault="00DB6DF3" w:rsidP="00DB6DF3">
      <w:pPr>
        <w:pStyle w:val="NoSpacing"/>
        <w:ind w:left="720"/>
      </w:pPr>
    </w:p>
    <w:p w:rsidR="00DB6DF3" w:rsidRPr="00266093" w:rsidRDefault="00DB6DF3" w:rsidP="00FE0D9A">
      <w:pPr>
        <w:pStyle w:val="ListParagraph"/>
        <w:numPr>
          <w:ilvl w:val="0"/>
          <w:numId w:val="11"/>
        </w:numPr>
        <w:ind w:left="851" w:hanging="284"/>
        <w:rPr>
          <w:lang w:val="it-IT"/>
        </w:rPr>
      </w:pPr>
      <w:r w:rsidRPr="00266093">
        <w:rPr>
          <w:lang w:val="it-IT"/>
        </w:rPr>
        <w:t xml:space="preserve">Infine, il CESE ritiene che, affinché la pianificazione spaziale e la gestione delle zone costiere possano essere efficienti, dovrebbe essere adottato l'approccio della "quadrupla elica", a livello transnazionale e, in particolare, a </w:t>
      </w:r>
      <w:proofErr w:type="gramStart"/>
      <w:r w:rsidRPr="00266093">
        <w:rPr>
          <w:lang w:val="it-IT"/>
        </w:rPr>
        <w:t>livello</w:t>
      </w:r>
      <w:proofErr w:type="gramEnd"/>
      <w:r w:rsidRPr="00266093">
        <w:rPr>
          <w:lang w:val="it-IT"/>
        </w:rPr>
        <w:t xml:space="preserve"> regionale/locale. In tal senso, è necessario un maggiore coinvolgimento delle autorità locali (comuni e regioni), </w:t>
      </w:r>
      <w:proofErr w:type="gramStart"/>
      <w:r w:rsidRPr="00266093">
        <w:rPr>
          <w:lang w:val="it-IT"/>
        </w:rPr>
        <w:t>nonché</w:t>
      </w:r>
      <w:proofErr w:type="gramEnd"/>
      <w:r w:rsidRPr="00266093">
        <w:rPr>
          <w:lang w:val="it-IT"/>
        </w:rPr>
        <w:t xml:space="preserve"> delle parti sociali e delle organizzazioni della società civile, nell'ambito del rispettivo campo di attività. A tal fine, la Commissione dovrebbe invitare i soggetti interessati del settore privato e pubblico locale a partecipare alle consultazioni sulla comunicazione e sui settori </w:t>
      </w:r>
      <w:proofErr w:type="gramStart"/>
      <w:r w:rsidRPr="00266093">
        <w:rPr>
          <w:lang w:val="it-IT"/>
        </w:rPr>
        <w:t xml:space="preserve">di </w:t>
      </w:r>
      <w:proofErr w:type="gramEnd"/>
      <w:r w:rsidRPr="00266093">
        <w:rPr>
          <w:lang w:val="it-IT"/>
        </w:rPr>
        <w:t>intervento specifici: protezione e sicurezza dei trasporti, pesca, turismo ed energia, coesione sociale e sostenibilità ambientale.</w:t>
      </w:r>
    </w:p>
    <w:p w:rsidR="00DB6DF3" w:rsidRPr="00266093" w:rsidRDefault="00DB6DF3" w:rsidP="00DB6DF3">
      <w:pPr>
        <w:pStyle w:val="NoSpacing"/>
      </w:pPr>
    </w:p>
    <w:p w:rsidR="00DB6DF3" w:rsidRPr="00266093" w:rsidRDefault="00DB6DF3" w:rsidP="00491D54">
      <w:pPr>
        <w:tabs>
          <w:tab w:val="left" w:pos="1418"/>
        </w:tabs>
        <w:rPr>
          <w:i/>
          <w:lang w:val="it-IT"/>
        </w:rPr>
      </w:pPr>
      <w:r w:rsidRPr="00266093">
        <w:rPr>
          <w:b/>
          <w:i/>
          <w:lang w:val="it-IT"/>
        </w:rPr>
        <w:t xml:space="preserve">Persona da </w:t>
      </w:r>
      <w:proofErr w:type="gramStart"/>
      <w:r w:rsidRPr="00266093">
        <w:rPr>
          <w:b/>
          <w:i/>
          <w:lang w:val="it-IT"/>
        </w:rPr>
        <w:t>contattare</w:t>
      </w:r>
      <w:proofErr w:type="gramEnd"/>
      <w:r w:rsidRPr="00266093">
        <w:rPr>
          <w:lang w:val="it-IT"/>
        </w:rPr>
        <w:t>:</w:t>
      </w:r>
      <w:r w:rsidR="00BD20B9" w:rsidRPr="00266093">
        <w:rPr>
          <w:lang w:val="it-IT"/>
        </w:rPr>
        <w:t xml:space="preserve"> </w:t>
      </w:r>
      <w:r w:rsidRPr="00266093">
        <w:rPr>
          <w:i/>
          <w:lang w:val="it-IT"/>
        </w:rPr>
        <w:t>Laura ERNSTEINA</w:t>
      </w:r>
    </w:p>
    <w:p w:rsidR="009E5586" w:rsidRPr="00266093" w:rsidRDefault="00491D54" w:rsidP="00FE0D9A">
      <w:pPr>
        <w:tabs>
          <w:tab w:val="left" w:pos="2127"/>
        </w:tabs>
        <w:jc w:val="left"/>
        <w:rPr>
          <w:lang w:val="it-IT"/>
        </w:rPr>
      </w:pPr>
      <w:r w:rsidRPr="00266093">
        <w:rPr>
          <w:lang w:val="it-IT"/>
        </w:rPr>
        <w:tab/>
      </w:r>
      <w:r w:rsidRPr="00266093">
        <w:rPr>
          <w:i/>
          <w:lang w:val="it-IT"/>
        </w:rPr>
        <w:t>(</w:t>
      </w:r>
      <w:r w:rsidR="00266093" w:rsidRPr="00266093">
        <w:rPr>
          <w:i/>
          <w:lang w:val="it-IT"/>
        </w:rPr>
        <w:t>Tel.:</w:t>
      </w:r>
      <w:r w:rsidRPr="00266093">
        <w:rPr>
          <w:i/>
          <w:lang w:val="it-IT"/>
        </w:rPr>
        <w:t xml:space="preserve"> 00 32 2 546 9194 - e-mail: </w:t>
      </w:r>
      <w:hyperlink r:id="rId36">
        <w:r w:rsidRPr="00266093">
          <w:rPr>
            <w:rStyle w:val="Hyperlink"/>
            <w:i/>
            <w:lang w:val="it-IT"/>
          </w:rPr>
          <w:t>Laura.Ernsteina@eesc.europa.eu</w:t>
        </w:r>
      </w:hyperlink>
      <w:r w:rsidRPr="00266093">
        <w:rPr>
          <w:i/>
          <w:lang w:val="it-IT"/>
        </w:rPr>
        <w:t>)</w:t>
      </w:r>
    </w:p>
    <w:p w:rsidR="006E6BB8" w:rsidRPr="00266093" w:rsidRDefault="006E6BB8" w:rsidP="006E6BB8">
      <w:pPr>
        <w:tabs>
          <w:tab w:val="left" w:pos="1418"/>
        </w:tabs>
        <w:jc w:val="left"/>
        <w:rPr>
          <w:sz w:val="28"/>
          <w:lang w:val="it-IT"/>
        </w:rPr>
      </w:pPr>
    </w:p>
    <w:p w:rsidR="009E5586" w:rsidRPr="00266093" w:rsidRDefault="009E5586" w:rsidP="00302FF6">
      <w:pPr>
        <w:widowControl w:val="0"/>
        <w:ind w:left="-567"/>
        <w:rPr>
          <w:b/>
          <w:i/>
          <w:spacing w:val="-2"/>
          <w:sz w:val="28"/>
          <w:szCs w:val="22"/>
          <w:lang w:val="it-IT"/>
        </w:rPr>
      </w:pPr>
    </w:p>
    <w:p w:rsidR="00302FF6" w:rsidRPr="00266093" w:rsidRDefault="00302FF6" w:rsidP="0005077B">
      <w:pPr>
        <w:pStyle w:val="ListParagraph"/>
        <w:widowControl w:val="0"/>
        <w:numPr>
          <w:ilvl w:val="0"/>
          <w:numId w:val="22"/>
        </w:numPr>
        <w:rPr>
          <w:b/>
          <w:i/>
          <w:spacing w:val="-2"/>
          <w:sz w:val="28"/>
          <w:szCs w:val="28"/>
          <w:lang w:val="it-IT"/>
        </w:rPr>
      </w:pPr>
      <w:r w:rsidRPr="00266093">
        <w:rPr>
          <w:b/>
          <w:i/>
          <w:spacing w:val="-2"/>
          <w:sz w:val="28"/>
          <w:lang w:val="it-IT"/>
        </w:rPr>
        <w:t xml:space="preserve">Un partenariato rinnovato con i paesi dell'Africa, dei Caraibi e del </w:t>
      </w:r>
      <w:proofErr w:type="gramStart"/>
      <w:r w:rsidRPr="00266093">
        <w:rPr>
          <w:b/>
          <w:i/>
          <w:spacing w:val="-2"/>
          <w:sz w:val="28"/>
          <w:lang w:val="it-IT"/>
        </w:rPr>
        <w:t>Pacifico</w:t>
      </w:r>
      <w:proofErr w:type="gramEnd"/>
    </w:p>
    <w:p w:rsidR="00302FF6" w:rsidRPr="00266093" w:rsidRDefault="00302FF6" w:rsidP="00302FF6">
      <w:pPr>
        <w:widowControl w:val="0"/>
        <w:rPr>
          <w:lang w:val="it-IT"/>
        </w:rPr>
      </w:pPr>
    </w:p>
    <w:p w:rsidR="00302FF6" w:rsidRPr="00266093" w:rsidRDefault="00266093" w:rsidP="0005077B">
      <w:pPr>
        <w:tabs>
          <w:tab w:val="left" w:pos="1701"/>
        </w:tabs>
        <w:rPr>
          <w:lang w:val="it-IT"/>
        </w:rPr>
      </w:pPr>
      <w:r w:rsidRPr="00266093">
        <w:rPr>
          <w:b/>
          <w:lang w:val="it-IT"/>
        </w:rPr>
        <w:t>Relatrice</w:t>
      </w:r>
      <w:r w:rsidR="00302FF6" w:rsidRPr="00266093">
        <w:rPr>
          <w:b/>
          <w:lang w:val="it-IT"/>
        </w:rPr>
        <w:t>:</w:t>
      </w:r>
      <w:r w:rsidR="00302FF6" w:rsidRPr="00266093">
        <w:rPr>
          <w:lang w:val="it-IT"/>
        </w:rPr>
        <w:tab/>
        <w:t>Brenda KING (Datori di lavoro - UK)</w:t>
      </w:r>
    </w:p>
    <w:p w:rsidR="00302FF6" w:rsidRPr="00266093" w:rsidRDefault="00302FF6" w:rsidP="0005077B">
      <w:pPr>
        <w:tabs>
          <w:tab w:val="left" w:pos="1701"/>
        </w:tabs>
        <w:rPr>
          <w:lang w:val="it-IT"/>
        </w:rPr>
      </w:pPr>
    </w:p>
    <w:p w:rsidR="00302FF6" w:rsidRPr="00266093" w:rsidRDefault="00302FF6" w:rsidP="0005077B">
      <w:pPr>
        <w:tabs>
          <w:tab w:val="num" w:pos="550"/>
          <w:tab w:val="left" w:pos="1701"/>
        </w:tabs>
        <w:rPr>
          <w:bCs/>
          <w:lang w:val="it-IT"/>
        </w:rPr>
      </w:pPr>
      <w:r w:rsidRPr="00266093">
        <w:rPr>
          <w:b/>
          <w:lang w:val="it-IT"/>
        </w:rPr>
        <w:t>Riferimento</w:t>
      </w:r>
      <w:r w:rsidRPr="00266093">
        <w:rPr>
          <w:lang w:val="it-IT"/>
        </w:rPr>
        <w:t>:</w:t>
      </w:r>
      <w:r w:rsidR="004D617E" w:rsidRPr="00266093">
        <w:rPr>
          <w:lang w:val="it-IT"/>
        </w:rPr>
        <w:tab/>
      </w:r>
      <w:proofErr w:type="gramStart"/>
      <w:r w:rsidRPr="00266093">
        <w:rPr>
          <w:color w:val="000000"/>
          <w:lang w:val="it-IT"/>
        </w:rPr>
        <w:t>EESC-2017-00788-00-00-A</w:t>
      </w:r>
      <w:r w:rsidR="00B51622" w:rsidRPr="00266093">
        <w:rPr>
          <w:color w:val="000000"/>
          <w:lang w:val="it-IT"/>
        </w:rPr>
        <w:t>C</w:t>
      </w:r>
      <w:r w:rsidRPr="00266093">
        <w:rPr>
          <w:color w:val="000000"/>
          <w:lang w:val="it-IT"/>
        </w:rPr>
        <w:t>-TRA</w:t>
      </w:r>
      <w:proofErr w:type="gramEnd"/>
    </w:p>
    <w:p w:rsidR="00302FF6" w:rsidRPr="00266093" w:rsidRDefault="00302FF6" w:rsidP="00302FF6">
      <w:pPr>
        <w:jc w:val="left"/>
        <w:rPr>
          <w:lang w:val="it-IT"/>
        </w:rPr>
      </w:pPr>
    </w:p>
    <w:p w:rsidR="009E5586" w:rsidRPr="00266093" w:rsidRDefault="006E6BB8" w:rsidP="006E6BB8">
      <w:pPr>
        <w:spacing w:line="240" w:lineRule="auto"/>
        <w:rPr>
          <w:b/>
          <w:lang w:val="it-IT"/>
        </w:rPr>
      </w:pPr>
      <w:r w:rsidRPr="00266093">
        <w:rPr>
          <w:b/>
          <w:lang w:val="it-IT"/>
        </w:rPr>
        <w:t>Punti salienti del parere:</w:t>
      </w:r>
    </w:p>
    <w:p w:rsidR="009E5586" w:rsidRPr="00266093" w:rsidRDefault="009E5586" w:rsidP="00302FF6">
      <w:pPr>
        <w:spacing w:line="240" w:lineRule="auto"/>
        <w:ind w:left="-567"/>
        <w:rPr>
          <w:lang w:val="it-IT"/>
        </w:rPr>
      </w:pPr>
    </w:p>
    <w:p w:rsidR="00302FF6" w:rsidRPr="00266093" w:rsidRDefault="00302FF6" w:rsidP="00FE0D9A">
      <w:pPr>
        <w:pStyle w:val="ListParagraph"/>
        <w:numPr>
          <w:ilvl w:val="0"/>
          <w:numId w:val="11"/>
        </w:numPr>
        <w:ind w:left="851" w:hanging="284"/>
        <w:rPr>
          <w:lang w:val="it-IT"/>
        </w:rPr>
      </w:pPr>
      <w:r w:rsidRPr="00266093">
        <w:rPr>
          <w:lang w:val="it-IT"/>
        </w:rPr>
        <w:t xml:space="preserve">Il CESE accoglie con favore la comunicazione congiunta, </w:t>
      </w:r>
      <w:proofErr w:type="gramStart"/>
      <w:r w:rsidRPr="00266093">
        <w:rPr>
          <w:lang w:val="it-IT"/>
        </w:rPr>
        <w:t>nonché</w:t>
      </w:r>
      <w:proofErr w:type="gramEnd"/>
      <w:r w:rsidRPr="00266093">
        <w:rPr>
          <w:lang w:val="it-IT"/>
        </w:rPr>
        <w:t xml:space="preserve"> l'opzione - preferita dalla Commissione - di un accordo quadro con specifiche priorità regionali, che dovrebbero essere giuridicamente vincolanti. A giudizio del CESE, serve un nuovo accordo aggiornato che tenga conto delle nuove realtà, tra cui la preoccupazione dell'opinione pubblica europea circa l'aumento del rischio di attacchi terroristici, la percezione di flussi migratori incontrollati, il rischio di afflusso di rifugiati climatici a causa </w:t>
      </w:r>
      <w:proofErr w:type="gramStart"/>
      <w:r w:rsidRPr="00266093">
        <w:rPr>
          <w:lang w:val="it-IT"/>
        </w:rPr>
        <w:t>del</w:t>
      </w:r>
      <w:proofErr w:type="gramEnd"/>
      <w:r w:rsidRPr="00266093">
        <w:rPr>
          <w:lang w:val="it-IT"/>
        </w:rPr>
        <w:t xml:space="preserve"> drammatico aumento della popolazione africana, la crescente influenza di altre potenze regionali e le azioni imprevedibili dell'attuale Presidente degli Stati Uniti.</w:t>
      </w:r>
    </w:p>
    <w:p w:rsidR="00302FF6" w:rsidRPr="00266093" w:rsidRDefault="00302FF6" w:rsidP="00302FF6">
      <w:pPr>
        <w:spacing w:line="240" w:lineRule="auto"/>
        <w:rPr>
          <w:lang w:val="it-IT"/>
        </w:rPr>
      </w:pPr>
    </w:p>
    <w:p w:rsidR="00302FF6" w:rsidRPr="00266093" w:rsidRDefault="00302FF6" w:rsidP="00FE0D9A">
      <w:pPr>
        <w:pStyle w:val="ListParagraph"/>
        <w:numPr>
          <w:ilvl w:val="0"/>
          <w:numId w:val="11"/>
        </w:numPr>
        <w:ind w:left="851" w:hanging="284"/>
        <w:rPr>
          <w:lang w:val="it-IT"/>
        </w:rPr>
      </w:pPr>
      <w:r w:rsidRPr="00266093">
        <w:rPr>
          <w:lang w:val="it-IT"/>
        </w:rPr>
        <w:t xml:space="preserve">Il CESE chiede inoltre che la società civile sia integrata meglio nel prossimo quadro, e dotata di un ruolo più incisivo, che vada </w:t>
      </w:r>
      <w:proofErr w:type="gramStart"/>
      <w:r w:rsidRPr="00266093">
        <w:rPr>
          <w:lang w:val="it-IT"/>
        </w:rPr>
        <w:t>al di là della</w:t>
      </w:r>
      <w:proofErr w:type="gramEnd"/>
      <w:r w:rsidRPr="00266093">
        <w:rPr>
          <w:lang w:val="it-IT"/>
        </w:rPr>
        <w:t xml:space="preserve"> consultazione. Ciò è importante per garantire il principio della coerenza delle politiche per lo sviluppo (CPS).</w:t>
      </w:r>
    </w:p>
    <w:p w:rsidR="00302FF6" w:rsidRPr="00266093" w:rsidRDefault="00302FF6" w:rsidP="00302FF6">
      <w:pPr>
        <w:spacing w:line="240" w:lineRule="auto"/>
        <w:rPr>
          <w:lang w:val="it-IT"/>
        </w:rPr>
      </w:pPr>
    </w:p>
    <w:p w:rsidR="00302FF6" w:rsidRPr="00266093" w:rsidRDefault="00302FF6" w:rsidP="00FE0D9A">
      <w:pPr>
        <w:pStyle w:val="ListParagraph"/>
        <w:numPr>
          <w:ilvl w:val="0"/>
          <w:numId w:val="11"/>
        </w:numPr>
        <w:ind w:left="851" w:hanging="284"/>
        <w:rPr>
          <w:lang w:val="it-IT"/>
        </w:rPr>
      </w:pPr>
      <w:r w:rsidRPr="00266093">
        <w:rPr>
          <w:lang w:val="it-IT"/>
        </w:rPr>
        <w:t>Il CESE accoglie con favore il proposito di basarsi sull'</w:t>
      </w:r>
      <w:r w:rsidR="00266093" w:rsidRPr="00266093">
        <w:rPr>
          <w:lang w:val="it-IT"/>
        </w:rPr>
        <w:t>Agenda</w:t>
      </w:r>
      <w:r w:rsidRPr="00266093">
        <w:rPr>
          <w:lang w:val="it-IT"/>
        </w:rPr>
        <w:t xml:space="preserve"> 2030 delle Nazioni Unite per lo sviluppo sostenibile (OSS), includendo caratteristiche specifiche dei </w:t>
      </w:r>
      <w:r w:rsidR="00266093" w:rsidRPr="00266093">
        <w:rPr>
          <w:lang w:val="it-IT"/>
        </w:rPr>
        <w:t>Fondi</w:t>
      </w:r>
      <w:r w:rsidRPr="00266093">
        <w:rPr>
          <w:lang w:val="it-IT"/>
        </w:rPr>
        <w:t xml:space="preserve"> europei di sviluppo. Il Comitato si rammarica tuttavia del fatto che l'</w:t>
      </w:r>
      <w:r w:rsidR="00266093" w:rsidRPr="00266093">
        <w:rPr>
          <w:lang w:val="it-IT"/>
        </w:rPr>
        <w:t>Agenda</w:t>
      </w:r>
      <w:r w:rsidRPr="00266093">
        <w:rPr>
          <w:lang w:val="it-IT"/>
        </w:rPr>
        <w:t xml:space="preserve"> 2030 non sia collocata al centro del futuro accordo, rinsaldando principi fondamentali quali l'universalità, la governance, le interconnessioni e l'indivisibilità degli obiettivi di sviluppo sostenibile.</w:t>
      </w:r>
    </w:p>
    <w:p w:rsidR="00302FF6" w:rsidRPr="00266093" w:rsidRDefault="00302FF6" w:rsidP="00302FF6">
      <w:pPr>
        <w:spacing w:line="240" w:lineRule="auto"/>
        <w:rPr>
          <w:lang w:val="it-IT"/>
        </w:rPr>
      </w:pPr>
    </w:p>
    <w:p w:rsidR="00302FF6" w:rsidRPr="00266093" w:rsidRDefault="00302FF6" w:rsidP="00FE0D9A">
      <w:pPr>
        <w:pStyle w:val="ListParagraph"/>
        <w:numPr>
          <w:ilvl w:val="0"/>
          <w:numId w:val="11"/>
        </w:numPr>
        <w:ind w:left="851" w:hanging="284"/>
        <w:rPr>
          <w:lang w:val="it-IT"/>
        </w:rPr>
      </w:pPr>
      <w:r w:rsidRPr="00266093">
        <w:rPr>
          <w:lang w:val="it-IT"/>
        </w:rPr>
        <w:t>Il CESE ritiene che qualsiasi futuro partenariato debba basarsi su un dialogo politico, piuttosto che su un rapporto donatore-beneficiario.</w:t>
      </w:r>
    </w:p>
    <w:p w:rsidR="00302FF6" w:rsidRPr="00266093" w:rsidRDefault="00302FF6" w:rsidP="00302FF6">
      <w:pPr>
        <w:spacing w:line="240" w:lineRule="auto"/>
        <w:rPr>
          <w:lang w:val="it-IT"/>
        </w:rPr>
      </w:pPr>
    </w:p>
    <w:p w:rsidR="00302FF6" w:rsidRPr="00266093" w:rsidRDefault="00302FF6" w:rsidP="00FE0D9A">
      <w:pPr>
        <w:pStyle w:val="ListParagraph"/>
        <w:numPr>
          <w:ilvl w:val="0"/>
          <w:numId w:val="11"/>
        </w:numPr>
        <w:ind w:left="851" w:hanging="284"/>
        <w:rPr>
          <w:lang w:val="it-IT"/>
        </w:rPr>
      </w:pPr>
      <w:r w:rsidRPr="00266093">
        <w:rPr>
          <w:lang w:val="it-IT"/>
        </w:rPr>
        <w:t xml:space="preserve">Il Comitato raccomanda anche che </w:t>
      </w:r>
      <w:proofErr w:type="gramStart"/>
      <w:r w:rsidRPr="00266093">
        <w:rPr>
          <w:lang w:val="it-IT"/>
        </w:rPr>
        <w:t>venga</w:t>
      </w:r>
      <w:proofErr w:type="gramEnd"/>
      <w:r w:rsidRPr="00266093">
        <w:rPr>
          <w:lang w:val="it-IT"/>
        </w:rPr>
        <w:t xml:space="preserve"> rafforzata la dimensione politica e che sia previsto un forte meccanismo di monitoraggio, comprendente la società civile. Il CESE </w:t>
      </w:r>
      <w:proofErr w:type="gramStart"/>
      <w:r w:rsidRPr="00266093">
        <w:rPr>
          <w:lang w:val="it-IT"/>
        </w:rPr>
        <w:t>constata</w:t>
      </w:r>
      <w:proofErr w:type="gramEnd"/>
      <w:r w:rsidRPr="00266093">
        <w:rPr>
          <w:lang w:val="it-IT"/>
        </w:rPr>
        <w:t xml:space="preserve"> con rammarico che la comunicazione congiunta non prende in considerazione, né a livello di accordo quadro, né nelle tre regioni, l'importanza delle organizzazioni della società civile. Il Comitato raccomanda di inserire nel futuro partenariato un meccanismo formale per il coinvolgimento delle organizzazioni della società civile nei processi di elaborazione, attuazione, monitoraggio e </w:t>
      </w:r>
      <w:proofErr w:type="gramStart"/>
      <w:r w:rsidRPr="00266093">
        <w:rPr>
          <w:lang w:val="it-IT"/>
        </w:rPr>
        <w:t>revisione</w:t>
      </w:r>
      <w:proofErr w:type="gramEnd"/>
      <w:r w:rsidRPr="00266093">
        <w:rPr>
          <w:lang w:val="it-IT"/>
        </w:rPr>
        <w:t>, nonché nella prossima fase di negoziati. Il CESE è pronto a svolgere un ruolo centrale in tale processo.</w:t>
      </w:r>
    </w:p>
    <w:p w:rsidR="00302FF6" w:rsidRPr="00266093" w:rsidRDefault="00302FF6" w:rsidP="00302FF6">
      <w:pPr>
        <w:spacing w:line="240" w:lineRule="auto"/>
        <w:rPr>
          <w:lang w:val="it-IT"/>
        </w:rPr>
      </w:pPr>
    </w:p>
    <w:p w:rsidR="00302FF6" w:rsidRPr="00266093" w:rsidRDefault="00302FF6" w:rsidP="00FE0D9A">
      <w:pPr>
        <w:pStyle w:val="ListParagraph"/>
        <w:numPr>
          <w:ilvl w:val="0"/>
          <w:numId w:val="11"/>
        </w:numPr>
        <w:ind w:left="851" w:hanging="284"/>
        <w:rPr>
          <w:lang w:val="it-IT"/>
        </w:rPr>
      </w:pPr>
      <w:r w:rsidRPr="00266093">
        <w:rPr>
          <w:lang w:val="it-IT"/>
        </w:rPr>
        <w:t xml:space="preserve">Il Comitato </w:t>
      </w:r>
      <w:proofErr w:type="gramStart"/>
      <w:r w:rsidRPr="00266093">
        <w:rPr>
          <w:lang w:val="it-IT"/>
        </w:rPr>
        <w:t>constata</w:t>
      </w:r>
      <w:proofErr w:type="gramEnd"/>
      <w:r w:rsidRPr="00266093">
        <w:rPr>
          <w:lang w:val="it-IT"/>
        </w:rPr>
        <w:t xml:space="preserve"> con soddisfazione che lo sviluppo umano è messo in rilievo come priorità specifica del futuro partenariato, e ritiene che debba essere una priorità per tutte e tre le regioni e che vada connesso agli obiettivi di sviluppo sostenibile.</w:t>
      </w:r>
    </w:p>
    <w:p w:rsidR="00302FF6" w:rsidRPr="00266093" w:rsidRDefault="00302FF6" w:rsidP="00302FF6">
      <w:pPr>
        <w:spacing w:line="240" w:lineRule="auto"/>
        <w:rPr>
          <w:lang w:val="it-IT"/>
        </w:rPr>
      </w:pPr>
    </w:p>
    <w:p w:rsidR="00302FF6" w:rsidRPr="00266093" w:rsidRDefault="00302FF6" w:rsidP="00FE0D9A">
      <w:pPr>
        <w:pStyle w:val="ListParagraph"/>
        <w:numPr>
          <w:ilvl w:val="0"/>
          <w:numId w:val="11"/>
        </w:numPr>
        <w:ind w:left="851" w:hanging="284"/>
        <w:rPr>
          <w:lang w:val="it-IT"/>
        </w:rPr>
      </w:pPr>
      <w:r w:rsidRPr="00266093">
        <w:rPr>
          <w:lang w:val="it-IT"/>
        </w:rPr>
        <w:t xml:space="preserve">Il CESE apprezza l'affermazione contenuta nella comunicazione circa la piena protezione, la promozione e la realizzazione dell'uguaglianza di genere e dell'emancipazione delle donne e delle ragazze, oltre che il riconoscimento del contributo fondamentale delle donne e delle ragazze alla pace e al consolidamento dello Stato, alla crescita economica, allo sviluppo tecnologico, alla riduzione della povertà, alla salute, al benessere, alla cultura e allo sviluppo umano. </w:t>
      </w:r>
      <w:proofErr w:type="gramStart"/>
      <w:r w:rsidRPr="00266093">
        <w:rPr>
          <w:lang w:val="it-IT"/>
        </w:rPr>
        <w:t>Constata</w:t>
      </w:r>
      <w:proofErr w:type="gramEnd"/>
      <w:r w:rsidRPr="00266093">
        <w:rPr>
          <w:lang w:val="it-IT"/>
        </w:rPr>
        <w:t xml:space="preserve"> tuttavia con rammarico che la comunicazione non spiega in dettaglio come sarà facilitata tale evoluzione.</w:t>
      </w:r>
    </w:p>
    <w:p w:rsidR="00302FF6" w:rsidRPr="00266093" w:rsidRDefault="00302FF6" w:rsidP="00302FF6">
      <w:pPr>
        <w:spacing w:line="240" w:lineRule="auto"/>
        <w:rPr>
          <w:lang w:val="it-IT"/>
        </w:rPr>
      </w:pPr>
    </w:p>
    <w:p w:rsidR="00302FF6" w:rsidRPr="00266093" w:rsidRDefault="00302FF6" w:rsidP="00FE0D9A">
      <w:pPr>
        <w:pStyle w:val="ListParagraph"/>
        <w:numPr>
          <w:ilvl w:val="0"/>
          <w:numId w:val="11"/>
        </w:numPr>
        <w:ind w:left="851" w:hanging="284"/>
        <w:rPr>
          <w:lang w:val="it-IT"/>
        </w:rPr>
      </w:pPr>
      <w:r w:rsidRPr="00266093">
        <w:rPr>
          <w:lang w:val="it-IT"/>
        </w:rPr>
        <w:t>Il CESE si compiace del fatto che il commercio e gli accordi di partenariato economico (APE) saranno pienamente integrati nel nuovo partenariato. Ritiene che gli accordi commerciali, compresi gli accordi di partenariato economico, debbano utilizzare l'</w:t>
      </w:r>
      <w:r w:rsidR="00266093" w:rsidRPr="00266093">
        <w:rPr>
          <w:lang w:val="it-IT"/>
        </w:rPr>
        <w:t>Agenda</w:t>
      </w:r>
      <w:r w:rsidRPr="00266093">
        <w:rPr>
          <w:lang w:val="it-IT"/>
        </w:rPr>
        <w:t xml:space="preserve"> 2030 dell'ONU e l'accordo di Parigi (sul clima) come quadro di riferimento. Il Comitato raccomanda che i negoziati </w:t>
      </w:r>
      <w:proofErr w:type="gramStart"/>
      <w:r w:rsidRPr="00266093">
        <w:rPr>
          <w:lang w:val="it-IT"/>
        </w:rPr>
        <w:t>relativi all'</w:t>
      </w:r>
      <w:proofErr w:type="gramEnd"/>
      <w:r w:rsidRPr="00266093">
        <w:rPr>
          <w:lang w:val="it-IT"/>
        </w:rPr>
        <w:t xml:space="preserve">accordo di partenariato economico ACP-UE siano condotti in modo trasparente e coinvolgano la società civile. Gli accordi di partenariato economico dovrebbero contenere un capitolo sullo sviluppo sostenibile, con un attivo coinvolgimento della società civile nei processi di attuazione, monitoraggio e </w:t>
      </w:r>
      <w:proofErr w:type="gramStart"/>
      <w:r w:rsidRPr="00266093">
        <w:rPr>
          <w:lang w:val="it-IT"/>
        </w:rPr>
        <w:t>revisione</w:t>
      </w:r>
      <w:proofErr w:type="gramEnd"/>
      <w:r w:rsidRPr="00266093">
        <w:rPr>
          <w:lang w:val="it-IT"/>
        </w:rPr>
        <w:t>.</w:t>
      </w:r>
    </w:p>
    <w:p w:rsidR="00302FF6" w:rsidRPr="00266093" w:rsidRDefault="00302FF6">
      <w:pPr>
        <w:jc w:val="left"/>
        <w:rPr>
          <w:lang w:val="it-IT"/>
        </w:rPr>
      </w:pPr>
    </w:p>
    <w:p w:rsidR="005676DC" w:rsidRPr="00266093" w:rsidRDefault="005676DC" w:rsidP="0005077B">
      <w:pPr>
        <w:tabs>
          <w:tab w:val="left" w:pos="1418"/>
        </w:tabs>
        <w:rPr>
          <w:i/>
          <w:lang w:val="it-IT"/>
        </w:rPr>
      </w:pPr>
    </w:p>
    <w:p w:rsidR="005676DC" w:rsidRPr="00266093" w:rsidRDefault="005676DC" w:rsidP="0005077B">
      <w:pPr>
        <w:tabs>
          <w:tab w:val="left" w:pos="1418"/>
        </w:tabs>
        <w:rPr>
          <w:i/>
          <w:lang w:val="it-IT"/>
        </w:rPr>
      </w:pPr>
      <w:r w:rsidRPr="00266093">
        <w:rPr>
          <w:b/>
          <w:i/>
          <w:lang w:val="it-IT"/>
        </w:rPr>
        <w:t xml:space="preserve">Persona da </w:t>
      </w:r>
      <w:proofErr w:type="gramStart"/>
      <w:r w:rsidRPr="00266093">
        <w:rPr>
          <w:b/>
          <w:i/>
          <w:lang w:val="it-IT"/>
        </w:rPr>
        <w:t>contattare</w:t>
      </w:r>
      <w:proofErr w:type="gramEnd"/>
      <w:r w:rsidRPr="00266093">
        <w:rPr>
          <w:lang w:val="it-IT"/>
        </w:rPr>
        <w:t>:</w:t>
      </w:r>
      <w:r w:rsidR="00BD20B9" w:rsidRPr="00266093">
        <w:rPr>
          <w:lang w:val="it-IT"/>
        </w:rPr>
        <w:t xml:space="preserve"> </w:t>
      </w:r>
      <w:r w:rsidRPr="00266093">
        <w:rPr>
          <w:i/>
          <w:lang w:val="it-IT"/>
        </w:rPr>
        <w:t>Rafael BELLON GOMEZ</w:t>
      </w:r>
    </w:p>
    <w:p w:rsidR="005676DC" w:rsidRPr="00266093" w:rsidRDefault="0005077B" w:rsidP="00FE0D9A">
      <w:pPr>
        <w:tabs>
          <w:tab w:val="left" w:pos="2127"/>
        </w:tabs>
        <w:jc w:val="left"/>
        <w:rPr>
          <w:i/>
          <w:iCs/>
          <w:lang w:val="it-IT"/>
        </w:rPr>
      </w:pPr>
      <w:r w:rsidRPr="00266093">
        <w:rPr>
          <w:lang w:val="it-IT"/>
        </w:rPr>
        <w:tab/>
      </w:r>
      <w:r w:rsidRPr="00266093">
        <w:rPr>
          <w:i/>
          <w:lang w:val="it-IT"/>
        </w:rPr>
        <w:t>(</w:t>
      </w:r>
      <w:r w:rsidR="00266093" w:rsidRPr="00266093">
        <w:rPr>
          <w:i/>
          <w:lang w:val="it-IT"/>
        </w:rPr>
        <w:t>Tel.:</w:t>
      </w:r>
      <w:r w:rsidRPr="00266093">
        <w:rPr>
          <w:i/>
          <w:lang w:val="it-IT"/>
        </w:rPr>
        <w:t xml:space="preserve"> 00 32 2 546 9095 - e-mail: </w:t>
      </w:r>
      <w:hyperlink r:id="rId37">
        <w:r w:rsidRPr="00266093">
          <w:rPr>
            <w:rStyle w:val="Hyperlink"/>
            <w:i/>
            <w:lang w:val="it-IT"/>
          </w:rPr>
          <w:t>Rafael.BellonGomez@eesc.europa.eu</w:t>
        </w:r>
      </w:hyperlink>
      <w:r w:rsidRPr="00266093">
        <w:rPr>
          <w:i/>
          <w:lang w:val="it-IT"/>
        </w:rPr>
        <w:t>)</w:t>
      </w:r>
    </w:p>
    <w:p w:rsidR="005676DC" w:rsidRPr="00266093" w:rsidRDefault="005676DC" w:rsidP="005676DC">
      <w:pPr>
        <w:jc w:val="left"/>
        <w:rPr>
          <w:i/>
          <w:iCs/>
          <w:lang w:val="it-IT"/>
        </w:rPr>
      </w:pPr>
    </w:p>
    <w:p w:rsidR="00DB6DF3" w:rsidRPr="00266093" w:rsidRDefault="00DB6DF3">
      <w:pPr>
        <w:jc w:val="left"/>
        <w:rPr>
          <w:lang w:val="it-IT"/>
        </w:rPr>
      </w:pPr>
    </w:p>
    <w:p w:rsidR="00DB6DF3" w:rsidRPr="00266093" w:rsidRDefault="00DB6DF3" w:rsidP="0005077B">
      <w:pPr>
        <w:pStyle w:val="ListParagraph"/>
        <w:widowControl w:val="0"/>
        <w:numPr>
          <w:ilvl w:val="0"/>
          <w:numId w:val="23"/>
        </w:numPr>
        <w:rPr>
          <w:b/>
          <w:i/>
          <w:spacing w:val="-2"/>
          <w:sz w:val="28"/>
          <w:szCs w:val="28"/>
          <w:lang w:val="it-IT"/>
        </w:rPr>
      </w:pPr>
      <w:r w:rsidRPr="00266093">
        <w:rPr>
          <w:b/>
          <w:i/>
          <w:spacing w:val="-2"/>
          <w:sz w:val="28"/>
          <w:lang w:val="it-IT"/>
        </w:rPr>
        <w:t xml:space="preserve">Il ruolo fondamentale del commercio e degli investimenti nel conseguire e attuare gli obiettivi di sviluppo </w:t>
      </w:r>
      <w:proofErr w:type="gramStart"/>
      <w:r w:rsidRPr="00266093">
        <w:rPr>
          <w:b/>
          <w:i/>
          <w:spacing w:val="-2"/>
          <w:sz w:val="28"/>
          <w:lang w:val="it-IT"/>
        </w:rPr>
        <w:t>sostenibile</w:t>
      </w:r>
      <w:proofErr w:type="gramEnd"/>
    </w:p>
    <w:p w:rsidR="00DB6DF3" w:rsidRPr="00266093" w:rsidRDefault="00DB6DF3" w:rsidP="00DB6DF3">
      <w:pPr>
        <w:widowControl w:val="0"/>
        <w:rPr>
          <w:lang w:val="it-IT"/>
        </w:rPr>
      </w:pPr>
    </w:p>
    <w:p w:rsidR="00DB6DF3" w:rsidRPr="00266093" w:rsidRDefault="00266093" w:rsidP="0005077B">
      <w:pPr>
        <w:tabs>
          <w:tab w:val="left" w:pos="1701"/>
        </w:tabs>
        <w:rPr>
          <w:b/>
          <w:lang w:val="it-IT"/>
        </w:rPr>
      </w:pPr>
      <w:r w:rsidRPr="00266093">
        <w:rPr>
          <w:b/>
          <w:lang w:val="it-IT"/>
        </w:rPr>
        <w:t>Relatore</w:t>
      </w:r>
      <w:r w:rsidR="00DB6DF3" w:rsidRPr="00266093">
        <w:rPr>
          <w:b/>
          <w:lang w:val="it-IT"/>
        </w:rPr>
        <w:t>:</w:t>
      </w:r>
      <w:r w:rsidR="00DB6DF3" w:rsidRPr="00266093">
        <w:rPr>
          <w:lang w:val="it-IT"/>
        </w:rPr>
        <w:tab/>
        <w:t>Jonathan PEEL (Datori di lavoro - UK)</w:t>
      </w:r>
    </w:p>
    <w:p w:rsidR="00DB6DF3" w:rsidRPr="00266093" w:rsidRDefault="00266093" w:rsidP="0005077B">
      <w:pPr>
        <w:tabs>
          <w:tab w:val="left" w:pos="1701"/>
        </w:tabs>
        <w:rPr>
          <w:b/>
          <w:lang w:val="it-IT"/>
        </w:rPr>
      </w:pPr>
      <w:r w:rsidRPr="00266093">
        <w:rPr>
          <w:b/>
          <w:lang w:val="it-IT"/>
        </w:rPr>
        <w:t>Correlatore</w:t>
      </w:r>
      <w:r w:rsidR="00DB6DF3" w:rsidRPr="00266093">
        <w:rPr>
          <w:lang w:val="it-IT"/>
        </w:rPr>
        <w:tab/>
        <w:t>Christophe QUAREZ (FR-II)</w:t>
      </w:r>
    </w:p>
    <w:p w:rsidR="00DB6DF3" w:rsidRPr="00266093" w:rsidRDefault="00DB6DF3" w:rsidP="00DB6DF3">
      <w:pPr>
        <w:rPr>
          <w:b/>
          <w:lang w:val="it-IT"/>
        </w:rPr>
      </w:pPr>
    </w:p>
    <w:p w:rsidR="001052AF" w:rsidRPr="00266093" w:rsidRDefault="001052AF" w:rsidP="001052AF">
      <w:pPr>
        <w:tabs>
          <w:tab w:val="num" w:pos="550"/>
          <w:tab w:val="left" w:pos="1701"/>
        </w:tabs>
        <w:rPr>
          <w:bCs/>
          <w:lang w:val="it-IT"/>
        </w:rPr>
      </w:pPr>
      <w:r w:rsidRPr="00266093">
        <w:rPr>
          <w:b/>
          <w:lang w:val="it-IT"/>
        </w:rPr>
        <w:t>Riferimento</w:t>
      </w:r>
      <w:r w:rsidRPr="00266093">
        <w:rPr>
          <w:lang w:val="it-IT"/>
        </w:rPr>
        <w:t>:</w:t>
      </w:r>
      <w:r w:rsidR="004D617E" w:rsidRPr="00266093">
        <w:rPr>
          <w:lang w:val="it-IT"/>
        </w:rPr>
        <w:tab/>
      </w:r>
      <w:proofErr w:type="gramStart"/>
      <w:r w:rsidRPr="00266093">
        <w:rPr>
          <w:color w:val="000000"/>
          <w:lang w:val="it-IT"/>
        </w:rPr>
        <w:t>EESC-2017-01072-00-00-A</w:t>
      </w:r>
      <w:r w:rsidR="00CF4020" w:rsidRPr="00266093">
        <w:rPr>
          <w:color w:val="000000"/>
          <w:lang w:val="it-IT"/>
        </w:rPr>
        <w:t>C</w:t>
      </w:r>
      <w:r w:rsidRPr="00266093">
        <w:rPr>
          <w:color w:val="000000"/>
          <w:lang w:val="it-IT"/>
        </w:rPr>
        <w:t>-TRA</w:t>
      </w:r>
      <w:proofErr w:type="gramEnd"/>
    </w:p>
    <w:p w:rsidR="001052AF" w:rsidRPr="00266093" w:rsidRDefault="001052AF" w:rsidP="00DB6DF3">
      <w:pPr>
        <w:rPr>
          <w:b/>
          <w:lang w:val="it-IT"/>
        </w:rPr>
      </w:pPr>
    </w:p>
    <w:p w:rsidR="00DB6DF3" w:rsidRPr="00266093" w:rsidRDefault="00DB6DF3" w:rsidP="00DB6DF3">
      <w:pPr>
        <w:rPr>
          <w:lang w:val="it-IT"/>
        </w:rPr>
      </w:pPr>
      <w:r w:rsidRPr="00266093">
        <w:rPr>
          <w:b/>
          <w:lang w:val="it-IT"/>
        </w:rPr>
        <w:t>Punti salienti del parere:</w:t>
      </w:r>
    </w:p>
    <w:p w:rsidR="00DB6DF3" w:rsidRPr="00266093" w:rsidRDefault="00DB6DF3" w:rsidP="00DB6DF3">
      <w:pPr>
        <w:widowControl w:val="0"/>
        <w:rPr>
          <w:lang w:val="it-IT"/>
        </w:rPr>
      </w:pPr>
    </w:p>
    <w:p w:rsidR="00DB6DF3" w:rsidRPr="00266093" w:rsidRDefault="00DB6DF3" w:rsidP="00FE0D9A">
      <w:pPr>
        <w:pStyle w:val="ListParagraph"/>
        <w:numPr>
          <w:ilvl w:val="0"/>
          <w:numId w:val="11"/>
        </w:numPr>
        <w:ind w:left="851" w:hanging="284"/>
        <w:rPr>
          <w:lang w:val="it-IT"/>
        </w:rPr>
      </w:pPr>
      <w:r w:rsidRPr="00266093">
        <w:rPr>
          <w:lang w:val="it-IT"/>
        </w:rPr>
        <w:t xml:space="preserve">Il Comitato ritiene che gli obiettivi di sviluppo sostenibile, insieme all'accordo di Parigi (COP21), provocheranno un mutamento radicale dell'agenda </w:t>
      </w:r>
      <w:proofErr w:type="gramStart"/>
      <w:r w:rsidRPr="00266093">
        <w:rPr>
          <w:lang w:val="it-IT"/>
        </w:rPr>
        <w:t>relativa al</w:t>
      </w:r>
      <w:proofErr w:type="gramEnd"/>
      <w:r w:rsidRPr="00266093">
        <w:rPr>
          <w:lang w:val="it-IT"/>
        </w:rPr>
        <w:t xml:space="preserve"> commercio mondiale, in particolare per quanto riguarda gli scambi di prodotti industriali e agricoli. La necessità di attuare questi accordi di vasta portata dev'essere al centro di tutti i futuri negoziati commerciali dell'UE.</w:t>
      </w:r>
    </w:p>
    <w:p w:rsidR="00DB6DF3" w:rsidRPr="00266093" w:rsidRDefault="00DB6DF3" w:rsidP="00DB6DF3">
      <w:pPr>
        <w:widowControl w:val="0"/>
        <w:rPr>
          <w:sz w:val="20"/>
          <w:lang w:val="it-IT"/>
        </w:rPr>
      </w:pPr>
    </w:p>
    <w:p w:rsidR="00DB6DF3" w:rsidRPr="00266093" w:rsidRDefault="00DB6DF3" w:rsidP="00FE0D9A">
      <w:pPr>
        <w:pStyle w:val="ListParagraph"/>
        <w:numPr>
          <w:ilvl w:val="0"/>
          <w:numId w:val="11"/>
        </w:numPr>
        <w:ind w:left="851" w:hanging="284"/>
        <w:rPr>
          <w:lang w:val="it-IT"/>
        </w:rPr>
      </w:pPr>
      <w:r w:rsidRPr="00266093">
        <w:rPr>
          <w:lang w:val="it-IT"/>
        </w:rPr>
        <w:t xml:space="preserve">L'UE si trova in una posizione privilegiata per promuovere la realizzazione degli obiettivi di sviluppo sostenibile. Essa ha la </w:t>
      </w:r>
      <w:proofErr w:type="gramStart"/>
      <w:r w:rsidRPr="00266093">
        <w:rPr>
          <w:lang w:val="it-IT"/>
        </w:rPr>
        <w:t>credibilità</w:t>
      </w:r>
      <w:proofErr w:type="gramEnd"/>
      <w:r w:rsidRPr="00266093">
        <w:rPr>
          <w:lang w:val="it-IT"/>
        </w:rPr>
        <w:t xml:space="preserve"> necessaria per svolgere un'efficace funzione di ponte tra paesi sviluppati e paesi in via di sviluppo. Occorre attribuire una priorità più elevata all'elaborazione delle politiche delineate nella comunicazione della Commissione Prossime tappe e dare maggiore rilievo alla piena integrazione degli obiettivi di sviluppo sostenibile "nel quadro strategico europeo e nelle attuali priorità della Commissione", ove necessario in cooperazione con gli Stati membri.</w:t>
      </w:r>
    </w:p>
    <w:p w:rsidR="00DB6DF3" w:rsidRPr="00266093" w:rsidRDefault="00DB6DF3" w:rsidP="00DB6DF3">
      <w:pPr>
        <w:widowControl w:val="0"/>
        <w:rPr>
          <w:sz w:val="20"/>
          <w:lang w:val="it-IT"/>
        </w:rPr>
      </w:pPr>
    </w:p>
    <w:p w:rsidR="00DB6DF3" w:rsidRPr="00266093" w:rsidRDefault="00DB6DF3" w:rsidP="00FE0D9A">
      <w:pPr>
        <w:pStyle w:val="ListParagraph"/>
        <w:numPr>
          <w:ilvl w:val="0"/>
          <w:numId w:val="11"/>
        </w:numPr>
        <w:ind w:left="851" w:hanging="284"/>
        <w:rPr>
          <w:lang w:val="it-IT"/>
        </w:rPr>
      </w:pPr>
      <w:r w:rsidRPr="00266093">
        <w:rPr>
          <w:lang w:val="it-IT"/>
        </w:rPr>
        <w:t xml:space="preserve">Negli obiettivi di sviluppo del Millennio il commercio è citato una sola volta, ma negli OSS esso </w:t>
      </w:r>
      <w:proofErr w:type="gramStart"/>
      <w:r w:rsidRPr="00266093">
        <w:rPr>
          <w:lang w:val="it-IT"/>
        </w:rPr>
        <w:t>viene</w:t>
      </w:r>
      <w:proofErr w:type="gramEnd"/>
      <w:r w:rsidRPr="00266093">
        <w:rPr>
          <w:lang w:val="it-IT"/>
        </w:rPr>
        <w:t xml:space="preserve"> espressamente menzionato nove volte. Il CESE invita l'UE a prevedere, accanto all'azione diretta per il conseguimento degli OSS, anche politiche commerciali e </w:t>
      </w:r>
      <w:proofErr w:type="gramStart"/>
      <w:r w:rsidRPr="00266093">
        <w:rPr>
          <w:lang w:val="it-IT"/>
        </w:rPr>
        <w:t xml:space="preserve">di </w:t>
      </w:r>
      <w:proofErr w:type="gramEnd"/>
      <w:r w:rsidRPr="00266093">
        <w:rPr>
          <w:lang w:val="it-IT"/>
        </w:rPr>
        <w:t>investimento favorevoli a tali obiettivi.</w:t>
      </w:r>
    </w:p>
    <w:p w:rsidR="00DB6DF3" w:rsidRPr="00266093" w:rsidRDefault="00DB6DF3" w:rsidP="00DB6DF3">
      <w:pPr>
        <w:widowControl w:val="0"/>
        <w:rPr>
          <w:sz w:val="20"/>
          <w:lang w:val="it-IT"/>
        </w:rPr>
      </w:pPr>
    </w:p>
    <w:p w:rsidR="00DB6DF3" w:rsidRPr="00266093" w:rsidRDefault="00DB6DF3" w:rsidP="00FE0D9A">
      <w:pPr>
        <w:pStyle w:val="ListParagraph"/>
        <w:numPr>
          <w:ilvl w:val="0"/>
          <w:numId w:val="11"/>
        </w:numPr>
        <w:ind w:left="851" w:hanging="284"/>
        <w:rPr>
          <w:lang w:val="it-IT"/>
        </w:rPr>
      </w:pPr>
      <w:r w:rsidRPr="00266093">
        <w:rPr>
          <w:lang w:val="it-IT"/>
        </w:rPr>
        <w:t>Il CESE osserva che, non essendo gli OSS giuridicamente vincolanti, e mancando un meccanismo di risoluzione delle controversie, per promuovere la realizzazione di tali obiettivi l'UE deve operare attraverso le proprie politiche e le proprie attività.</w:t>
      </w:r>
    </w:p>
    <w:p w:rsidR="00DB6DF3" w:rsidRPr="00266093" w:rsidRDefault="00DB6DF3" w:rsidP="00DB6DF3">
      <w:pPr>
        <w:widowControl w:val="0"/>
        <w:rPr>
          <w:sz w:val="20"/>
          <w:lang w:val="it-IT"/>
        </w:rPr>
      </w:pPr>
    </w:p>
    <w:p w:rsidR="00DB6DF3" w:rsidRPr="00266093" w:rsidRDefault="00DB6DF3" w:rsidP="00FE0D9A">
      <w:pPr>
        <w:pStyle w:val="ListParagraph"/>
        <w:numPr>
          <w:ilvl w:val="0"/>
          <w:numId w:val="11"/>
        </w:numPr>
        <w:ind w:left="851" w:hanging="284"/>
        <w:rPr>
          <w:lang w:val="it-IT"/>
        </w:rPr>
      </w:pPr>
      <w:r w:rsidRPr="00266093">
        <w:rPr>
          <w:lang w:val="it-IT"/>
        </w:rPr>
        <w:t xml:space="preserve">Il CESE apprezza l'intenzione dell'UE di fornire aggiornamenti annuali, ma continua a essere preoccupato </w:t>
      </w:r>
      <w:proofErr w:type="gramStart"/>
      <w:r w:rsidRPr="00266093">
        <w:rPr>
          <w:lang w:val="it-IT"/>
        </w:rPr>
        <w:t>per il fatto che</w:t>
      </w:r>
      <w:proofErr w:type="gramEnd"/>
      <w:r w:rsidRPr="00266093">
        <w:rPr>
          <w:lang w:val="it-IT"/>
        </w:rPr>
        <w:t xml:space="preserve"> l'UE appare più interessata a mostrare come le politiche esistenti coincidano e si sovrappongano con gli OSS che a massimizzare le sinergie, focalizzando e adattando tali politiche e attività. Un'attenzione più mirata dell'UE alla realizzazione degli OSS garantirebbe l'ottenimento di risultati migliori.</w:t>
      </w:r>
    </w:p>
    <w:p w:rsidR="00DB6DF3" w:rsidRPr="00266093" w:rsidRDefault="00DB6DF3" w:rsidP="00DB6DF3">
      <w:pPr>
        <w:widowControl w:val="0"/>
        <w:rPr>
          <w:sz w:val="20"/>
          <w:lang w:val="it-IT"/>
        </w:rPr>
      </w:pPr>
    </w:p>
    <w:p w:rsidR="00DB6DF3" w:rsidRPr="00266093" w:rsidRDefault="00DB6DF3" w:rsidP="00FE0D9A">
      <w:pPr>
        <w:pStyle w:val="ListParagraph"/>
        <w:numPr>
          <w:ilvl w:val="0"/>
          <w:numId w:val="11"/>
        </w:numPr>
        <w:ind w:left="851" w:hanging="284"/>
        <w:rPr>
          <w:lang w:val="it-IT"/>
        </w:rPr>
      </w:pPr>
      <w:r w:rsidRPr="00266093">
        <w:rPr>
          <w:lang w:val="it-IT"/>
        </w:rPr>
        <w:t xml:space="preserve">Per garantire una completa sinergia con gli OSS, l'UE deve, ad avviso del CESE, condurre una serie di azioni in alcuni ambiti </w:t>
      </w:r>
      <w:proofErr w:type="gramStart"/>
      <w:r w:rsidRPr="00266093">
        <w:rPr>
          <w:lang w:val="it-IT"/>
        </w:rPr>
        <w:t xml:space="preserve">di </w:t>
      </w:r>
      <w:proofErr w:type="gramEnd"/>
      <w:r w:rsidRPr="00266093">
        <w:rPr>
          <w:lang w:val="it-IT"/>
        </w:rPr>
        <w:t xml:space="preserve">intervento strategici. </w:t>
      </w:r>
      <w:proofErr w:type="gramStart"/>
      <w:r w:rsidRPr="00266093">
        <w:rPr>
          <w:lang w:val="it-IT"/>
        </w:rPr>
        <w:t>Tra questi, il rinnovo dell'accordo di partenariato ACP-UE (accordo di Cotonou) e, più in generale, la propria interazione con le regioni in</w:t>
      </w:r>
      <w:proofErr w:type="gramEnd"/>
      <w:r w:rsidRPr="00266093">
        <w:rPr>
          <w:lang w:val="it-IT"/>
        </w:rPr>
        <w:t xml:space="preserve">teressate da tale accordo. Tale interazione dovrebbe riguardare in modo specifico sia lo sviluppo mirato di capacità per sostenere l'accordo sull'agevolazione degli scambi e favorirne l'attuazione, sia la più ampia strategia congiunta UE/Stati membri in materia di aiuti al commercio. Si tratta di un contributo fondamentale per l'iniziativa di aiuti al commercio dell'OMC, </w:t>
      </w:r>
      <w:proofErr w:type="gramStart"/>
      <w:r w:rsidRPr="00266093">
        <w:rPr>
          <w:lang w:val="it-IT"/>
        </w:rPr>
        <w:t>nonché</w:t>
      </w:r>
      <w:proofErr w:type="gramEnd"/>
      <w:r w:rsidRPr="00266093">
        <w:rPr>
          <w:lang w:val="it-IT"/>
        </w:rPr>
        <w:t xml:space="preserve"> di una parte essenziale di tale iniziativa, che è intesa a rafforzare la capacità dei paesi in via di sviluppo di sfruttare le opportunità offerte dagli accordi commerciali. Sarà importante contribuire al sesto riesame globale degli aiuti al commercio da parte dell'OMC con un apporto incentrato sugli obiettivi di sviluppo sostenibile.</w:t>
      </w:r>
    </w:p>
    <w:p w:rsidR="00DB6DF3" w:rsidRPr="00266093" w:rsidRDefault="00DB6DF3" w:rsidP="00DB6DF3">
      <w:pPr>
        <w:widowControl w:val="0"/>
        <w:rPr>
          <w:sz w:val="20"/>
          <w:lang w:val="it-IT"/>
        </w:rPr>
      </w:pPr>
    </w:p>
    <w:p w:rsidR="00DB6DF3" w:rsidRPr="00266093" w:rsidRDefault="00DB6DF3" w:rsidP="00FE0D9A">
      <w:pPr>
        <w:pStyle w:val="ListParagraph"/>
        <w:numPr>
          <w:ilvl w:val="0"/>
          <w:numId w:val="11"/>
        </w:numPr>
        <w:ind w:left="851" w:hanging="284"/>
        <w:rPr>
          <w:lang w:val="it-IT"/>
        </w:rPr>
      </w:pPr>
      <w:r w:rsidRPr="00266093">
        <w:rPr>
          <w:lang w:val="it-IT"/>
        </w:rPr>
        <w:t xml:space="preserve">Occorrerebbe inoltre fornire un sostegno più specifico all'uso degli scambi commerciali </w:t>
      </w:r>
      <w:proofErr w:type="gramStart"/>
      <w:r w:rsidRPr="00266093">
        <w:rPr>
          <w:lang w:val="it-IT"/>
        </w:rPr>
        <w:t>come mezzo per</w:t>
      </w:r>
      <w:proofErr w:type="gramEnd"/>
      <w:r w:rsidRPr="00266093">
        <w:rPr>
          <w:lang w:val="it-IT"/>
        </w:rPr>
        <w:t xml:space="preserve"> promuovere l'integrazione regionale e gli OSS, specie nelle regioni in cui non sono ancora stati raggiunti accordi di partenariato economico, malgrado il fatto che tali accordi non abbiano ancora realizzato appieno le aspettative iniziali.</w:t>
      </w:r>
    </w:p>
    <w:p w:rsidR="00DB6DF3" w:rsidRPr="00266093" w:rsidRDefault="00DB6DF3" w:rsidP="00DB6DF3">
      <w:pPr>
        <w:widowControl w:val="0"/>
        <w:rPr>
          <w:sz w:val="20"/>
          <w:lang w:val="it-IT"/>
        </w:rPr>
      </w:pPr>
    </w:p>
    <w:p w:rsidR="00DB6DF3" w:rsidRPr="00266093" w:rsidRDefault="00DB6DF3" w:rsidP="00FE0D9A">
      <w:pPr>
        <w:pStyle w:val="ListParagraph"/>
        <w:numPr>
          <w:ilvl w:val="0"/>
          <w:numId w:val="11"/>
        </w:numPr>
        <w:ind w:left="851" w:hanging="284"/>
        <w:rPr>
          <w:lang w:val="it-IT"/>
        </w:rPr>
      </w:pPr>
      <w:r w:rsidRPr="00266093">
        <w:rPr>
          <w:lang w:val="it-IT"/>
        </w:rPr>
        <w:t xml:space="preserve">Nella misura in cui le sue competenze glielo consentano, l'UE dovrebbe anche cercare di sviluppare maggiori sinergie tra le </w:t>
      </w:r>
      <w:proofErr w:type="gramStart"/>
      <w:r w:rsidRPr="00266093">
        <w:rPr>
          <w:lang w:val="it-IT"/>
        </w:rPr>
        <w:t>27</w:t>
      </w:r>
      <w:proofErr w:type="gramEnd"/>
      <w:r w:rsidRPr="00266093">
        <w:rPr>
          <w:lang w:val="it-IT"/>
        </w:rPr>
        <w:t xml:space="preserve"> convenzioni fondamentali rilevanti per il suo programma di preferenze commerciali SPG+ e gli obiettivi di sviluppo sostenibile.</w:t>
      </w:r>
    </w:p>
    <w:p w:rsidR="00DB6DF3" w:rsidRPr="00266093" w:rsidRDefault="00DB6DF3" w:rsidP="00DB6DF3">
      <w:pPr>
        <w:widowControl w:val="0"/>
        <w:rPr>
          <w:sz w:val="20"/>
          <w:lang w:val="it-IT"/>
        </w:rPr>
      </w:pPr>
    </w:p>
    <w:p w:rsidR="00DB6DF3" w:rsidRPr="00266093" w:rsidRDefault="00DB6DF3" w:rsidP="00FE0D9A">
      <w:pPr>
        <w:pStyle w:val="ListParagraph"/>
        <w:numPr>
          <w:ilvl w:val="0"/>
          <w:numId w:val="11"/>
        </w:numPr>
        <w:ind w:left="851" w:hanging="284"/>
        <w:rPr>
          <w:lang w:val="it-IT"/>
        </w:rPr>
      </w:pPr>
      <w:r w:rsidRPr="00266093">
        <w:rPr>
          <w:lang w:val="it-IT"/>
        </w:rPr>
        <w:t xml:space="preserve">Il CESE </w:t>
      </w:r>
      <w:proofErr w:type="gramStart"/>
      <w:r w:rsidRPr="00266093">
        <w:rPr>
          <w:lang w:val="it-IT"/>
        </w:rPr>
        <w:t>sottolinea</w:t>
      </w:r>
      <w:proofErr w:type="gramEnd"/>
      <w:r w:rsidRPr="00266093">
        <w:rPr>
          <w:lang w:val="it-IT"/>
        </w:rPr>
        <w:t xml:space="preserve"> il ruolo essenziale della condotta responsabile delle imprese per contribuire a realizzare gli obiettivi di sviluppo sostenibile.</w:t>
      </w:r>
    </w:p>
    <w:p w:rsidR="00DB6DF3" w:rsidRPr="00266093" w:rsidRDefault="00DB6DF3" w:rsidP="00DB6DF3">
      <w:pPr>
        <w:widowControl w:val="0"/>
        <w:rPr>
          <w:sz w:val="20"/>
          <w:lang w:val="it-IT"/>
        </w:rPr>
      </w:pPr>
    </w:p>
    <w:p w:rsidR="00DB6DF3" w:rsidRPr="00266093" w:rsidRDefault="00DB6DF3" w:rsidP="00FE0D9A">
      <w:pPr>
        <w:pStyle w:val="ListParagraph"/>
        <w:numPr>
          <w:ilvl w:val="0"/>
          <w:numId w:val="11"/>
        </w:numPr>
        <w:ind w:left="851" w:hanging="284"/>
        <w:rPr>
          <w:lang w:val="it-IT"/>
        </w:rPr>
      </w:pPr>
      <w:r w:rsidRPr="00266093">
        <w:rPr>
          <w:lang w:val="it-IT"/>
        </w:rPr>
        <w:t xml:space="preserve">Il CESE chiede che in tutti i futuri mandati negoziali relativi a capitoli sul commercio e lo sviluppo sostenibile nell'ambito di accordi commerciali e di partenariato dell'UE sia inserita una specifica clausola che impone a entrambe le parti di ciascun meccanismo di monitoraggio </w:t>
      </w:r>
      <w:proofErr w:type="gramStart"/>
      <w:r w:rsidRPr="00266093">
        <w:rPr>
          <w:lang w:val="it-IT"/>
        </w:rPr>
        <w:t>ad opera</w:t>
      </w:r>
      <w:proofErr w:type="gramEnd"/>
      <w:r w:rsidRPr="00266093">
        <w:rPr>
          <w:lang w:val="it-IT"/>
        </w:rPr>
        <w:t xml:space="preserve"> della società civile di lavorare insieme per promuovere gli OSS e monitorare i relativi effetti.</w:t>
      </w:r>
    </w:p>
    <w:p w:rsidR="00DB6DF3" w:rsidRPr="00266093" w:rsidRDefault="00DB6DF3" w:rsidP="00DB6DF3">
      <w:pPr>
        <w:pStyle w:val="NoSpacing"/>
        <w:rPr>
          <w:sz w:val="20"/>
        </w:rPr>
      </w:pPr>
    </w:p>
    <w:p w:rsidR="00DB6DF3" w:rsidRPr="00266093" w:rsidRDefault="00DB6DF3" w:rsidP="0005077B">
      <w:pPr>
        <w:tabs>
          <w:tab w:val="left" w:pos="1418"/>
        </w:tabs>
        <w:rPr>
          <w:i/>
          <w:lang w:val="it-IT"/>
        </w:rPr>
      </w:pPr>
      <w:r w:rsidRPr="00266093">
        <w:rPr>
          <w:b/>
          <w:i/>
          <w:lang w:val="it-IT"/>
        </w:rPr>
        <w:t xml:space="preserve">Persona da </w:t>
      </w:r>
      <w:proofErr w:type="gramStart"/>
      <w:r w:rsidRPr="00266093">
        <w:rPr>
          <w:b/>
          <w:i/>
          <w:lang w:val="it-IT"/>
        </w:rPr>
        <w:t>contattare</w:t>
      </w:r>
      <w:proofErr w:type="gramEnd"/>
      <w:r w:rsidRPr="00266093">
        <w:rPr>
          <w:lang w:val="it-IT"/>
        </w:rPr>
        <w:t>:</w:t>
      </w:r>
      <w:r w:rsidR="00BD20B9" w:rsidRPr="00266093">
        <w:rPr>
          <w:lang w:val="it-IT"/>
        </w:rPr>
        <w:t xml:space="preserve"> </w:t>
      </w:r>
      <w:r w:rsidRPr="00266093">
        <w:rPr>
          <w:i/>
          <w:lang w:val="it-IT"/>
        </w:rPr>
        <w:t>Tzonka IOTZOVA</w:t>
      </w:r>
    </w:p>
    <w:p w:rsidR="00DB6DF3" w:rsidRPr="00266093" w:rsidRDefault="0005077B" w:rsidP="00FE0D9A">
      <w:pPr>
        <w:tabs>
          <w:tab w:val="left" w:pos="2127"/>
        </w:tabs>
        <w:jc w:val="left"/>
        <w:rPr>
          <w:lang w:val="it-IT"/>
        </w:rPr>
      </w:pPr>
      <w:r w:rsidRPr="00266093">
        <w:rPr>
          <w:lang w:val="it-IT"/>
        </w:rPr>
        <w:tab/>
      </w:r>
      <w:r w:rsidRPr="00266093">
        <w:rPr>
          <w:i/>
          <w:lang w:val="it-IT"/>
        </w:rPr>
        <w:t>(</w:t>
      </w:r>
      <w:r w:rsidR="00266093" w:rsidRPr="00266093">
        <w:rPr>
          <w:i/>
          <w:lang w:val="it-IT"/>
        </w:rPr>
        <w:t>Tel.:</w:t>
      </w:r>
      <w:r w:rsidRPr="00266093">
        <w:rPr>
          <w:i/>
          <w:lang w:val="it-IT"/>
        </w:rPr>
        <w:t xml:space="preserve"> 00 32 2 546 8978 - e-mail: </w:t>
      </w:r>
      <w:hyperlink r:id="rId38">
        <w:r w:rsidRPr="00266093">
          <w:rPr>
            <w:rStyle w:val="Hyperlink"/>
            <w:i/>
            <w:lang w:val="it-IT"/>
          </w:rPr>
          <w:t>Tzonka.Iotzova@eesc.europa.eu</w:t>
        </w:r>
      </w:hyperlink>
      <w:r w:rsidRPr="00266093">
        <w:rPr>
          <w:i/>
          <w:lang w:val="it-IT"/>
        </w:rPr>
        <w:t>)</w:t>
      </w:r>
    </w:p>
    <w:p w:rsidR="00DB6DF3" w:rsidRPr="00266093" w:rsidRDefault="00DB6DF3">
      <w:pPr>
        <w:jc w:val="left"/>
        <w:rPr>
          <w:sz w:val="18"/>
          <w:lang w:val="it-IT"/>
        </w:rPr>
      </w:pPr>
    </w:p>
    <w:p w:rsidR="002532B5" w:rsidRPr="00266093" w:rsidRDefault="002532B5">
      <w:pPr>
        <w:jc w:val="left"/>
        <w:rPr>
          <w:sz w:val="18"/>
          <w:lang w:val="it-IT"/>
        </w:rPr>
      </w:pPr>
    </w:p>
    <w:p w:rsidR="00302FF6" w:rsidRPr="00266093" w:rsidRDefault="00302FF6" w:rsidP="00302FF6">
      <w:pPr>
        <w:widowControl w:val="0"/>
        <w:rPr>
          <w:sz w:val="18"/>
          <w:lang w:val="it-IT"/>
        </w:rPr>
      </w:pPr>
    </w:p>
    <w:p w:rsidR="00302FF6" w:rsidRPr="00266093" w:rsidRDefault="00302FF6" w:rsidP="00241C29">
      <w:pPr>
        <w:pStyle w:val="ListParagraph"/>
        <w:widowControl w:val="0"/>
        <w:numPr>
          <w:ilvl w:val="0"/>
          <w:numId w:val="24"/>
        </w:numPr>
        <w:rPr>
          <w:b/>
          <w:i/>
          <w:spacing w:val="-2"/>
          <w:sz w:val="28"/>
          <w:szCs w:val="28"/>
          <w:lang w:val="it-IT"/>
        </w:rPr>
      </w:pPr>
      <w:proofErr w:type="gramStart"/>
      <w:r w:rsidRPr="00266093">
        <w:rPr>
          <w:b/>
          <w:i/>
          <w:spacing w:val="-2"/>
          <w:sz w:val="28"/>
          <w:lang w:val="it-IT"/>
        </w:rPr>
        <w:t>Le relazioni tra l'UE e Cuba: il ruolo della società civile organizzata</w:t>
      </w:r>
      <w:proofErr w:type="gramEnd"/>
    </w:p>
    <w:p w:rsidR="00302FF6" w:rsidRPr="00266093" w:rsidRDefault="00302FF6" w:rsidP="00241C29">
      <w:pPr>
        <w:widowControl w:val="0"/>
        <w:tabs>
          <w:tab w:val="left" w:pos="1701"/>
        </w:tabs>
        <w:rPr>
          <w:sz w:val="20"/>
          <w:lang w:val="it-IT"/>
        </w:rPr>
      </w:pPr>
    </w:p>
    <w:p w:rsidR="00302FF6" w:rsidRPr="00266093" w:rsidRDefault="00266093" w:rsidP="00241C29">
      <w:pPr>
        <w:tabs>
          <w:tab w:val="left" w:pos="1701"/>
        </w:tabs>
        <w:rPr>
          <w:lang w:val="it-IT"/>
        </w:rPr>
      </w:pPr>
      <w:r w:rsidRPr="00266093">
        <w:rPr>
          <w:b/>
          <w:lang w:val="it-IT"/>
        </w:rPr>
        <w:t>Relatore</w:t>
      </w:r>
      <w:r w:rsidR="00302FF6" w:rsidRPr="00266093">
        <w:rPr>
          <w:b/>
          <w:lang w:val="it-IT"/>
        </w:rPr>
        <w:t>:</w:t>
      </w:r>
      <w:r w:rsidR="00302FF6" w:rsidRPr="00266093">
        <w:rPr>
          <w:lang w:val="it-IT"/>
        </w:rPr>
        <w:tab/>
        <w:t>Giuseppe IULIANO (Lavoratori - IT)</w:t>
      </w:r>
    </w:p>
    <w:p w:rsidR="00241C29" w:rsidRPr="00266093" w:rsidRDefault="00241C29" w:rsidP="00241C29">
      <w:pPr>
        <w:tabs>
          <w:tab w:val="left" w:pos="1701"/>
        </w:tabs>
        <w:rPr>
          <w:b/>
          <w:i/>
          <w:sz w:val="18"/>
          <w:lang w:val="it-IT"/>
        </w:rPr>
      </w:pPr>
    </w:p>
    <w:p w:rsidR="00302FF6" w:rsidRPr="00266093" w:rsidRDefault="00241C29" w:rsidP="00241C29">
      <w:pPr>
        <w:tabs>
          <w:tab w:val="left" w:pos="1701"/>
        </w:tabs>
        <w:jc w:val="left"/>
        <w:rPr>
          <w:color w:val="FF0000"/>
          <w:lang w:val="it-IT"/>
        </w:rPr>
      </w:pPr>
      <w:r w:rsidRPr="00266093">
        <w:rPr>
          <w:b/>
          <w:lang w:val="it-IT"/>
        </w:rPr>
        <w:t>Riferimento:</w:t>
      </w:r>
      <w:r w:rsidRPr="00266093">
        <w:rPr>
          <w:lang w:val="it-IT"/>
        </w:rPr>
        <w:tab/>
      </w:r>
      <w:proofErr w:type="gramStart"/>
      <w:r w:rsidR="0047703E" w:rsidRPr="00266093">
        <w:rPr>
          <w:lang w:val="it-IT"/>
        </w:rPr>
        <w:t>EESC-2017-04479-00-00</w:t>
      </w:r>
      <w:r w:rsidRPr="00266093">
        <w:rPr>
          <w:lang w:val="it-IT"/>
        </w:rPr>
        <w:t>-RI-TRA</w:t>
      </w:r>
      <w:proofErr w:type="gramEnd"/>
    </w:p>
    <w:p w:rsidR="00241C29" w:rsidRPr="00266093" w:rsidRDefault="00241C29" w:rsidP="00241C29">
      <w:pPr>
        <w:tabs>
          <w:tab w:val="left" w:pos="1701"/>
        </w:tabs>
        <w:jc w:val="left"/>
        <w:rPr>
          <w:sz w:val="18"/>
          <w:lang w:val="it-IT"/>
        </w:rPr>
      </w:pPr>
    </w:p>
    <w:p w:rsidR="00302FF6" w:rsidRPr="00266093" w:rsidRDefault="00302FF6" w:rsidP="00302FF6">
      <w:pPr>
        <w:rPr>
          <w:lang w:val="it-IT"/>
        </w:rPr>
      </w:pPr>
      <w:r w:rsidRPr="00266093">
        <w:rPr>
          <w:b/>
          <w:lang w:val="it-IT"/>
        </w:rPr>
        <w:t>Punti salienti del parere:</w:t>
      </w:r>
    </w:p>
    <w:p w:rsidR="00302FF6" w:rsidRPr="00266093" w:rsidRDefault="00302FF6" w:rsidP="00302FF6">
      <w:pPr>
        <w:widowControl w:val="0"/>
        <w:rPr>
          <w:sz w:val="18"/>
          <w:lang w:val="it-IT"/>
        </w:rPr>
      </w:pPr>
    </w:p>
    <w:p w:rsidR="00302FF6" w:rsidRPr="00266093" w:rsidRDefault="00302FF6" w:rsidP="00FE0D9A">
      <w:pPr>
        <w:pStyle w:val="ListParagraph"/>
        <w:numPr>
          <w:ilvl w:val="0"/>
          <w:numId w:val="11"/>
        </w:numPr>
        <w:ind w:left="851" w:hanging="284"/>
        <w:rPr>
          <w:lang w:val="it-IT"/>
        </w:rPr>
      </w:pPr>
      <w:r w:rsidRPr="00266093">
        <w:rPr>
          <w:lang w:val="it-IT"/>
        </w:rPr>
        <w:t xml:space="preserve">Le relazioni UE-Cuba sono iniziate nel 1996, con l'adozione della "posizione comune". Nel maggio 2010 la Commissione europea ha adottato un documento di strategia per il periodo 2011-2013, </w:t>
      </w:r>
      <w:proofErr w:type="gramStart"/>
      <w:r w:rsidRPr="00266093">
        <w:rPr>
          <w:lang w:val="it-IT"/>
        </w:rPr>
        <w:t>periodo</w:t>
      </w:r>
      <w:proofErr w:type="gramEnd"/>
      <w:r w:rsidRPr="00266093">
        <w:rPr>
          <w:lang w:val="it-IT"/>
        </w:rPr>
        <w:t xml:space="preserve"> in cui l'UE ha erogato 20 milioni di euro per sostenere lo sviluppo di azioni di cooperazione nell'isola. Nel 2014 le parti hanno avviato negoziati per un accordo di dialogo politico e di cooperazione (ADPC), che è stato firmato nel 2016 ed è infine entrato in vigore </w:t>
      </w:r>
      <w:proofErr w:type="gramStart"/>
      <w:r w:rsidRPr="00266093">
        <w:rPr>
          <w:lang w:val="it-IT"/>
        </w:rPr>
        <w:t xml:space="preserve">il </w:t>
      </w:r>
      <w:proofErr w:type="gramEnd"/>
      <w:r w:rsidRPr="00266093">
        <w:rPr>
          <w:lang w:val="it-IT"/>
        </w:rPr>
        <w:t>1º novembre 2017.</w:t>
      </w:r>
    </w:p>
    <w:p w:rsidR="00302FF6" w:rsidRPr="00266093" w:rsidRDefault="00302FF6" w:rsidP="00302FF6">
      <w:pPr>
        <w:widowControl w:val="0"/>
        <w:rPr>
          <w:sz w:val="20"/>
          <w:lang w:val="it-IT"/>
        </w:rPr>
      </w:pPr>
    </w:p>
    <w:p w:rsidR="00302FF6" w:rsidRPr="00266093" w:rsidRDefault="00302FF6" w:rsidP="00FE0D9A">
      <w:pPr>
        <w:pStyle w:val="ListParagraph"/>
        <w:numPr>
          <w:ilvl w:val="0"/>
          <w:numId w:val="11"/>
        </w:numPr>
        <w:ind w:left="851" w:hanging="284"/>
        <w:rPr>
          <w:lang w:val="it-IT"/>
        </w:rPr>
      </w:pPr>
      <w:r w:rsidRPr="00266093">
        <w:rPr>
          <w:lang w:val="it-IT"/>
        </w:rPr>
        <w:t>L'articolo </w:t>
      </w:r>
      <w:proofErr w:type="gramStart"/>
      <w:r w:rsidRPr="00266093">
        <w:rPr>
          <w:lang w:val="it-IT"/>
        </w:rPr>
        <w:t>36</w:t>
      </w:r>
      <w:proofErr w:type="gramEnd"/>
      <w:r w:rsidRPr="00266093">
        <w:rPr>
          <w:lang w:val="it-IT"/>
        </w:rPr>
        <w:t xml:space="preserve"> dell'ADPC riconosce il potenziale contributo della società civile e concorda sulla promozione di azioni di sostegno per una maggiore partecipazione della società civile stessa alla definizione e all'attuazione delle politiche di sviluppo e di cooperazione. Il CESE rileva tuttavia che, a differenza di altri trattati o accordi di cooperazione firmati dall'UE, l'ADPC non prevede meccanismi specifici di partecipazione delle organizzazioni </w:t>
      </w:r>
      <w:proofErr w:type="gramStart"/>
      <w:r w:rsidRPr="00266093">
        <w:rPr>
          <w:lang w:val="it-IT"/>
        </w:rPr>
        <w:t>della</w:t>
      </w:r>
      <w:proofErr w:type="gramEnd"/>
      <w:r w:rsidRPr="00266093">
        <w:rPr>
          <w:lang w:val="it-IT"/>
        </w:rPr>
        <w:t xml:space="preserve"> società civile e richiama pertanto l'attenzione del Servizio europeo per l'azione esterna sulla necessità di istituire un qualche meccanismo che consenta alla società civile di entrambe le parti dell'accordo di controllarne e monitorarne l'attuazione (comitato consultivo misto).</w:t>
      </w:r>
    </w:p>
    <w:p w:rsidR="00302FF6" w:rsidRPr="00266093" w:rsidRDefault="00302FF6" w:rsidP="00302FF6">
      <w:pPr>
        <w:widowControl w:val="0"/>
        <w:rPr>
          <w:sz w:val="20"/>
          <w:lang w:val="it-IT"/>
        </w:rPr>
      </w:pPr>
    </w:p>
    <w:p w:rsidR="00302FF6" w:rsidRPr="00266093" w:rsidRDefault="00302FF6" w:rsidP="00FE0D9A">
      <w:pPr>
        <w:pStyle w:val="ListParagraph"/>
        <w:numPr>
          <w:ilvl w:val="0"/>
          <w:numId w:val="11"/>
        </w:numPr>
        <w:ind w:left="851" w:hanging="284"/>
        <w:rPr>
          <w:lang w:val="it-IT"/>
        </w:rPr>
      </w:pPr>
      <w:r w:rsidRPr="00266093">
        <w:rPr>
          <w:lang w:val="it-IT"/>
        </w:rPr>
        <w:t xml:space="preserve">Il CESE mette a disposizione delle parti dell'APDC l'esperienza della società civile organizzata europea nel campo dei diritti umani e dei diritti economici, sociali e culturali (dialogo sociale e dialogo civile), </w:t>
      </w:r>
      <w:proofErr w:type="gramStart"/>
      <w:r w:rsidRPr="00266093">
        <w:rPr>
          <w:lang w:val="it-IT"/>
        </w:rPr>
        <w:t>nel quadro dell'</w:t>
      </w:r>
      <w:proofErr w:type="gramEnd"/>
      <w:r w:rsidRPr="00266093">
        <w:rPr>
          <w:lang w:val="it-IT"/>
        </w:rPr>
        <w:t>articolo 36 dell'accordo.</w:t>
      </w:r>
    </w:p>
    <w:p w:rsidR="00302FF6" w:rsidRPr="00266093" w:rsidRDefault="00302FF6" w:rsidP="00302FF6">
      <w:pPr>
        <w:widowControl w:val="0"/>
        <w:rPr>
          <w:sz w:val="20"/>
          <w:lang w:val="it-IT"/>
        </w:rPr>
      </w:pPr>
    </w:p>
    <w:p w:rsidR="00302FF6" w:rsidRPr="00266093" w:rsidRDefault="00302FF6" w:rsidP="00FE0D9A">
      <w:pPr>
        <w:pStyle w:val="ListParagraph"/>
        <w:numPr>
          <w:ilvl w:val="0"/>
          <w:numId w:val="11"/>
        </w:numPr>
        <w:ind w:left="851" w:hanging="284"/>
        <w:rPr>
          <w:lang w:val="it-IT"/>
        </w:rPr>
      </w:pPr>
      <w:r w:rsidRPr="00266093">
        <w:rPr>
          <w:lang w:val="it-IT"/>
        </w:rPr>
        <w:t xml:space="preserve">Inoltre, il CESE offre la sua disponibilità anche per la condivisione delle esperienze europee in materia di gestione delle PMI, movimento cooperativo ed economia solidale - aspetti, questi, che potrebbero essere </w:t>
      </w:r>
      <w:proofErr w:type="gramStart"/>
      <w:r w:rsidRPr="00266093">
        <w:rPr>
          <w:lang w:val="it-IT"/>
        </w:rPr>
        <w:t xml:space="preserve">di </w:t>
      </w:r>
      <w:proofErr w:type="gramEnd"/>
      <w:r w:rsidRPr="00266093">
        <w:rPr>
          <w:lang w:val="it-IT"/>
        </w:rPr>
        <w:t>interesse per gli interlocutori cubani ai fini del processo di riforma economica avviato in quel paese.</w:t>
      </w:r>
    </w:p>
    <w:p w:rsidR="00302FF6" w:rsidRPr="00266093" w:rsidRDefault="00302FF6" w:rsidP="00302FF6">
      <w:pPr>
        <w:widowControl w:val="0"/>
        <w:rPr>
          <w:sz w:val="20"/>
          <w:lang w:val="it-IT"/>
        </w:rPr>
      </w:pPr>
    </w:p>
    <w:p w:rsidR="00302FF6" w:rsidRPr="00266093" w:rsidRDefault="00302FF6" w:rsidP="00FE0D9A">
      <w:pPr>
        <w:pStyle w:val="ListParagraph"/>
        <w:numPr>
          <w:ilvl w:val="0"/>
          <w:numId w:val="11"/>
        </w:numPr>
        <w:ind w:left="851" w:hanging="284"/>
        <w:rPr>
          <w:lang w:val="it-IT"/>
        </w:rPr>
      </w:pPr>
      <w:r w:rsidRPr="00266093">
        <w:rPr>
          <w:lang w:val="it-IT"/>
        </w:rPr>
        <w:t xml:space="preserve">Infine, </w:t>
      </w:r>
      <w:proofErr w:type="gramStart"/>
      <w:r w:rsidRPr="00266093">
        <w:rPr>
          <w:lang w:val="it-IT"/>
        </w:rPr>
        <w:t>considerato che</w:t>
      </w:r>
      <w:proofErr w:type="gramEnd"/>
      <w:r w:rsidRPr="00266093">
        <w:rPr>
          <w:lang w:val="it-IT"/>
        </w:rPr>
        <w:t xml:space="preserve"> il settore del volontariato, specialmente in campo sanitario, svolge un ruolo importante sia a Cuba che in Europa in tempi di crisi o in occasione di catastrofi naturali, fornendo sostegno alle popolazioni colpite, il CESE reputa che la valutazione delle esperienze acquisite in questo settore costituirebbe un ambito di elezione pe</w:t>
      </w:r>
      <w:r w:rsidR="005D2872" w:rsidRPr="00266093">
        <w:rPr>
          <w:lang w:val="it-IT"/>
        </w:rPr>
        <w:t>r i futuri scambi tra le parti.</w:t>
      </w:r>
    </w:p>
    <w:p w:rsidR="00302FF6" w:rsidRPr="00266093" w:rsidRDefault="00302FF6" w:rsidP="00302FF6">
      <w:pPr>
        <w:widowControl w:val="0"/>
        <w:rPr>
          <w:lang w:val="it-IT"/>
        </w:rPr>
      </w:pPr>
    </w:p>
    <w:p w:rsidR="00302FF6" w:rsidRPr="00266093" w:rsidRDefault="00302FF6" w:rsidP="00241C29">
      <w:pPr>
        <w:tabs>
          <w:tab w:val="left" w:pos="1418"/>
        </w:tabs>
        <w:rPr>
          <w:i/>
          <w:lang w:val="it-IT"/>
        </w:rPr>
      </w:pPr>
      <w:r w:rsidRPr="00266093">
        <w:rPr>
          <w:b/>
          <w:i/>
          <w:lang w:val="it-IT"/>
        </w:rPr>
        <w:t xml:space="preserve">Persona da </w:t>
      </w:r>
      <w:proofErr w:type="gramStart"/>
      <w:r w:rsidRPr="00266093">
        <w:rPr>
          <w:b/>
          <w:i/>
          <w:lang w:val="it-IT"/>
        </w:rPr>
        <w:t>contattare</w:t>
      </w:r>
      <w:proofErr w:type="gramEnd"/>
      <w:r w:rsidRPr="00266093">
        <w:rPr>
          <w:lang w:val="it-IT"/>
        </w:rPr>
        <w:t>:</w:t>
      </w:r>
      <w:r w:rsidR="00237F2B" w:rsidRPr="00266093">
        <w:rPr>
          <w:lang w:val="it-IT"/>
        </w:rPr>
        <w:t xml:space="preserve"> </w:t>
      </w:r>
      <w:r w:rsidRPr="00266093">
        <w:rPr>
          <w:i/>
          <w:lang w:val="it-IT"/>
        </w:rPr>
        <w:t>Lucia MENDEZ DEL RIO CABRA</w:t>
      </w:r>
    </w:p>
    <w:p w:rsidR="00302FF6" w:rsidRPr="00266093" w:rsidRDefault="00241C29" w:rsidP="00FE0D9A">
      <w:pPr>
        <w:tabs>
          <w:tab w:val="left" w:pos="1985"/>
        </w:tabs>
        <w:jc w:val="left"/>
        <w:rPr>
          <w:lang w:val="it-IT"/>
        </w:rPr>
      </w:pPr>
      <w:r w:rsidRPr="00266093">
        <w:rPr>
          <w:lang w:val="it-IT"/>
        </w:rPr>
        <w:tab/>
      </w:r>
      <w:r w:rsidRPr="00266093">
        <w:rPr>
          <w:i/>
          <w:lang w:val="it-IT"/>
        </w:rPr>
        <w:t>(</w:t>
      </w:r>
      <w:r w:rsidR="00266093" w:rsidRPr="00266093">
        <w:rPr>
          <w:i/>
          <w:lang w:val="it-IT"/>
        </w:rPr>
        <w:t>Tel.:</w:t>
      </w:r>
      <w:r w:rsidRPr="00266093">
        <w:rPr>
          <w:i/>
          <w:lang w:val="it-IT"/>
        </w:rPr>
        <w:t xml:space="preserve"> 00 32 2 546 9345 - e-mail: </w:t>
      </w:r>
      <w:hyperlink r:id="rId39">
        <w:r w:rsidRPr="00266093">
          <w:rPr>
            <w:rStyle w:val="Hyperlink"/>
            <w:i/>
            <w:lang w:val="it-IT"/>
          </w:rPr>
          <w:t>Lucia.MendezDelRioCabra@eesc.europa.eu</w:t>
        </w:r>
      </w:hyperlink>
      <w:r w:rsidRPr="00266093">
        <w:rPr>
          <w:i/>
          <w:lang w:val="it-IT"/>
        </w:rPr>
        <w:t>)</w:t>
      </w:r>
    </w:p>
    <w:sectPr w:rsidR="00302FF6" w:rsidRPr="00266093" w:rsidSect="009C5C0C">
      <w:headerReference w:type="even" r:id="rId40"/>
      <w:headerReference w:type="default" r:id="rId41"/>
      <w:footerReference w:type="even" r:id="rId42"/>
      <w:footerReference w:type="default" r:id="rId43"/>
      <w:headerReference w:type="first" r:id="rId44"/>
      <w:footerReference w:type="first" r:id="rId4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2FF" w:rsidRDefault="005072FF" w:rsidP="003B283B">
      <w:pPr>
        <w:spacing w:line="240" w:lineRule="auto"/>
      </w:pPr>
      <w:r>
        <w:separator/>
      </w:r>
    </w:p>
  </w:endnote>
  <w:endnote w:type="continuationSeparator" w:id="0">
    <w:p w:rsidR="005072FF" w:rsidRDefault="005072FF" w:rsidP="003B283B">
      <w:pPr>
        <w:spacing w:line="240" w:lineRule="auto"/>
      </w:pPr>
      <w:r>
        <w:continuationSeparator/>
      </w:r>
    </w:p>
  </w:endnote>
  <w:endnote w:type="continuationNotice" w:id="1">
    <w:p w:rsidR="005072FF" w:rsidRDefault="005072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FF" w:rsidRPr="009C5C0C" w:rsidRDefault="005072FF" w:rsidP="009C5C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FF" w:rsidRPr="009C5C0C" w:rsidRDefault="005072FF" w:rsidP="009C5C0C">
    <w:pPr>
      <w:pStyle w:val="Footer"/>
    </w:pPr>
    <w:r>
      <w:t xml:space="preserve">EESC-2017-05092-00-02-TCD-TRA (FR/EN) </w:t>
    </w:r>
    <w:r>
      <w:fldChar w:fldCharType="begin"/>
    </w:r>
    <w:r>
      <w:instrText xml:space="preserve"> PAGE  \* Arabic  \* MERGEFORMAT </w:instrText>
    </w:r>
    <w:r>
      <w:fldChar w:fldCharType="separate"/>
    </w:r>
    <w:r w:rsidR="00266093">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266093">
      <w:rPr>
        <w:noProof/>
      </w:rPr>
      <w:instrText>26</w:instrText>
    </w:r>
    <w:r>
      <w:fldChar w:fldCharType="end"/>
    </w:r>
    <w:r>
      <w:instrText xml:space="preserve"> -0 </w:instrText>
    </w:r>
    <w:r>
      <w:fldChar w:fldCharType="separate"/>
    </w:r>
    <w:r w:rsidR="00266093">
      <w:rPr>
        <w:noProof/>
      </w:rPr>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FF" w:rsidRPr="009C5C0C" w:rsidRDefault="005072FF" w:rsidP="009C5C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FF" w:rsidRPr="009C5C0C" w:rsidRDefault="005072FF" w:rsidP="009C5C0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FF" w:rsidRPr="009C5C0C" w:rsidRDefault="005072FF" w:rsidP="009C5C0C">
    <w:pPr>
      <w:pStyle w:val="Footer"/>
    </w:pPr>
    <w:r>
      <w:t xml:space="preserve">EESC-2017-05092-00-02-TCD-TRA (FR/EN) </w:t>
    </w:r>
    <w:r>
      <w:fldChar w:fldCharType="begin"/>
    </w:r>
    <w:r>
      <w:instrText xml:space="preserve"> PAGE  \* Arabic  \* MERGEFORMAT </w:instrText>
    </w:r>
    <w:r>
      <w:fldChar w:fldCharType="separate"/>
    </w:r>
    <w:r w:rsidR="00266093">
      <w:rPr>
        <w:noProof/>
      </w:rPr>
      <w:t>26</w:t>
    </w:r>
    <w:r>
      <w:fldChar w:fldCharType="end"/>
    </w:r>
    <w:r>
      <w:t>/</w:t>
    </w:r>
    <w:r>
      <w:fldChar w:fldCharType="begin"/>
    </w:r>
    <w:r>
      <w:instrText xml:space="preserve"> = </w:instrText>
    </w:r>
    <w:r>
      <w:fldChar w:fldCharType="begin"/>
    </w:r>
    <w:r>
      <w:instrText xml:space="preserve"> NUMPAGES </w:instrText>
    </w:r>
    <w:r>
      <w:fldChar w:fldCharType="separate"/>
    </w:r>
    <w:r w:rsidR="00266093">
      <w:rPr>
        <w:noProof/>
      </w:rPr>
      <w:instrText>26</w:instrText>
    </w:r>
    <w:r>
      <w:fldChar w:fldCharType="end"/>
    </w:r>
    <w:r>
      <w:instrText xml:space="preserve"> -0 </w:instrText>
    </w:r>
    <w:r>
      <w:fldChar w:fldCharType="separate"/>
    </w:r>
    <w:r w:rsidR="00266093">
      <w:rPr>
        <w:noProof/>
      </w:rPr>
      <w:t>26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FF" w:rsidRPr="009C5C0C" w:rsidRDefault="005072FF" w:rsidP="009C5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2FF" w:rsidRDefault="005072FF" w:rsidP="003B283B">
      <w:pPr>
        <w:spacing w:line="240" w:lineRule="auto"/>
      </w:pPr>
      <w:r>
        <w:separator/>
      </w:r>
    </w:p>
  </w:footnote>
  <w:footnote w:type="continuationSeparator" w:id="0">
    <w:p w:rsidR="005072FF" w:rsidRDefault="005072FF" w:rsidP="003B283B">
      <w:pPr>
        <w:spacing w:line="240" w:lineRule="auto"/>
      </w:pPr>
      <w:r>
        <w:continuationSeparator/>
      </w:r>
    </w:p>
  </w:footnote>
  <w:footnote w:type="continuationNotice" w:id="1">
    <w:p w:rsidR="005072FF" w:rsidRPr="00377A77" w:rsidRDefault="005072FF">
      <w:pPr>
        <w:spacing w:line="240" w:lineRule="auto"/>
        <w:rPr>
          <w:sz w:val="2"/>
          <w:szCs w:val="2"/>
        </w:rPr>
      </w:pPr>
    </w:p>
  </w:footnote>
  <w:footnote w:id="2">
    <w:p w:rsidR="005072FF" w:rsidRPr="009C5C0C" w:rsidRDefault="005072FF" w:rsidP="00DB6DF3">
      <w:pPr>
        <w:pStyle w:val="FootnoteText"/>
      </w:pPr>
      <w:r w:rsidRPr="009C5C0C">
        <w:rPr>
          <w:rStyle w:val="FootnoteReference"/>
        </w:rPr>
        <w:footnoteRef/>
      </w:r>
      <w:r w:rsidRPr="009C5C0C">
        <w:rPr>
          <w:sz w:val="24"/>
        </w:rPr>
        <w:t xml:space="preserve"> </w:t>
      </w:r>
      <w:r w:rsidRPr="009C5C0C">
        <w:tab/>
        <w:t>ISO 14000, ISO 18000, ISO14006, ISO 45001e ISO 14006.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FF" w:rsidRPr="009C5C0C" w:rsidRDefault="005072FF" w:rsidP="009C5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FF" w:rsidRPr="009C5C0C" w:rsidRDefault="005072FF" w:rsidP="009C5C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FF" w:rsidRPr="009C5C0C" w:rsidRDefault="005072FF" w:rsidP="009C5C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FF" w:rsidRPr="009C5C0C" w:rsidRDefault="005072FF" w:rsidP="009C5C0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FF" w:rsidRPr="009C5C0C" w:rsidRDefault="005072FF" w:rsidP="009C5C0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FF" w:rsidRPr="009C5C0C" w:rsidRDefault="005072FF" w:rsidP="009C5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5164B47"/>
    <w:multiLevelType w:val="hybridMultilevel"/>
    <w:tmpl w:val="328EF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F3CA7"/>
    <w:multiLevelType w:val="hybridMultilevel"/>
    <w:tmpl w:val="0A3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3B2E8C"/>
    <w:multiLevelType w:val="hybridMultilevel"/>
    <w:tmpl w:val="BF9E80C2"/>
    <w:lvl w:ilvl="0" w:tplc="080C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DE55B7"/>
    <w:multiLevelType w:val="hybridMultilevel"/>
    <w:tmpl w:val="B362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E7A14"/>
    <w:multiLevelType w:val="hybridMultilevel"/>
    <w:tmpl w:val="4B4883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65E40AD"/>
    <w:multiLevelType w:val="hybridMultilevel"/>
    <w:tmpl w:val="CC64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26CAC"/>
    <w:multiLevelType w:val="hybridMultilevel"/>
    <w:tmpl w:val="8A205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A0F6473"/>
    <w:multiLevelType w:val="hybridMultilevel"/>
    <w:tmpl w:val="BAC4A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B5A4D"/>
    <w:multiLevelType w:val="hybridMultilevel"/>
    <w:tmpl w:val="FF02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5143BB8"/>
    <w:multiLevelType w:val="hybridMultilevel"/>
    <w:tmpl w:val="D93C643A"/>
    <w:lvl w:ilvl="0" w:tplc="04100001">
      <w:start w:val="1"/>
      <w:numFmt w:val="bullet"/>
      <w:lvlText w:val=""/>
      <w:lvlJc w:val="left"/>
      <w:pPr>
        <w:ind w:left="1637" w:hanging="360"/>
      </w:pPr>
      <w:rPr>
        <w:rFonts w:ascii="Symbol" w:hAnsi="Symbol" w:hint="default"/>
      </w:rPr>
    </w:lvl>
    <w:lvl w:ilvl="1" w:tplc="04100003" w:tentative="1">
      <w:start w:val="1"/>
      <w:numFmt w:val="bullet"/>
      <w:lvlText w:val="o"/>
      <w:lvlJc w:val="left"/>
      <w:pPr>
        <w:ind w:left="2357" w:hanging="360"/>
      </w:pPr>
      <w:rPr>
        <w:rFonts w:ascii="Courier New" w:hAnsi="Courier New" w:cs="Courier New" w:hint="default"/>
      </w:rPr>
    </w:lvl>
    <w:lvl w:ilvl="2" w:tplc="04100005" w:tentative="1">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15">
    <w:nsid w:val="26B81550"/>
    <w:multiLevelType w:val="hybridMultilevel"/>
    <w:tmpl w:val="96C22F42"/>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6">
    <w:nsid w:val="27EC487E"/>
    <w:multiLevelType w:val="hybridMultilevel"/>
    <w:tmpl w:val="A15606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2B16239A"/>
    <w:multiLevelType w:val="hybridMultilevel"/>
    <w:tmpl w:val="1EE69E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nsid w:val="2EE6746A"/>
    <w:multiLevelType w:val="hybridMultilevel"/>
    <w:tmpl w:val="8CEC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2F24433F"/>
    <w:multiLevelType w:val="hybridMultilevel"/>
    <w:tmpl w:val="25D82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F52127E"/>
    <w:multiLevelType w:val="hybridMultilevel"/>
    <w:tmpl w:val="1EDC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3917166"/>
    <w:multiLevelType w:val="hybridMultilevel"/>
    <w:tmpl w:val="637AD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nsid w:val="37817FA8"/>
    <w:multiLevelType w:val="hybridMultilevel"/>
    <w:tmpl w:val="4C1EA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3DEA69AD"/>
    <w:multiLevelType w:val="hybridMultilevel"/>
    <w:tmpl w:val="A7C257C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nsid w:val="3E2B344B"/>
    <w:multiLevelType w:val="hybridMultilevel"/>
    <w:tmpl w:val="DA14D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46555EAD"/>
    <w:multiLevelType w:val="hybridMultilevel"/>
    <w:tmpl w:val="D0049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4B676028"/>
    <w:multiLevelType w:val="hybridMultilevel"/>
    <w:tmpl w:val="795C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BD4A71"/>
    <w:multiLevelType w:val="hybridMultilevel"/>
    <w:tmpl w:val="3334B91E"/>
    <w:lvl w:ilvl="0" w:tplc="080C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E56487"/>
    <w:multiLevelType w:val="hybridMultilevel"/>
    <w:tmpl w:val="A15A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7907E8"/>
    <w:multiLevelType w:val="hybridMultilevel"/>
    <w:tmpl w:val="F0D49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574F44"/>
    <w:multiLevelType w:val="hybridMultilevel"/>
    <w:tmpl w:val="76DA2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5">
    <w:nsid w:val="56344CC1"/>
    <w:multiLevelType w:val="hybridMultilevel"/>
    <w:tmpl w:val="87C4E8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5E0A654F"/>
    <w:multiLevelType w:val="hybridMultilevel"/>
    <w:tmpl w:val="ACD028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5E430C88"/>
    <w:multiLevelType w:val="hybridMultilevel"/>
    <w:tmpl w:val="C44AF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9">
    <w:nsid w:val="61752071"/>
    <w:multiLevelType w:val="hybridMultilevel"/>
    <w:tmpl w:val="88FEF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43477AA"/>
    <w:multiLevelType w:val="hybridMultilevel"/>
    <w:tmpl w:val="EEB66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A4535BF"/>
    <w:multiLevelType w:val="hybridMultilevel"/>
    <w:tmpl w:val="5DC6D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6AEB179E"/>
    <w:multiLevelType w:val="hybridMultilevel"/>
    <w:tmpl w:val="9752A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8F737D"/>
    <w:multiLevelType w:val="hybridMultilevel"/>
    <w:tmpl w:val="A61645D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46">
    <w:nsid w:val="7BF12615"/>
    <w:multiLevelType w:val="hybridMultilevel"/>
    <w:tmpl w:val="12743C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38"/>
  </w:num>
  <w:num w:numId="3">
    <w:abstractNumId w:val="5"/>
  </w:num>
  <w:num w:numId="4">
    <w:abstractNumId w:val="44"/>
  </w:num>
  <w:num w:numId="5">
    <w:abstractNumId w:val="8"/>
  </w:num>
  <w:num w:numId="6">
    <w:abstractNumId w:val="43"/>
  </w:num>
  <w:num w:numId="7">
    <w:abstractNumId w:val="0"/>
    <w:lvlOverride w:ilvl="0">
      <w:startOverride w:val="1"/>
    </w:lvlOverride>
    <w:lvlOverride w:ilvl="1">
      <w:startOverride w:val="4"/>
    </w:lvlOverride>
  </w:num>
  <w:num w:numId="8">
    <w:abstractNumId w:val="14"/>
  </w:num>
  <w:num w:numId="9">
    <w:abstractNumId w:val="46"/>
  </w:num>
  <w:num w:numId="10">
    <w:abstractNumId w:val="3"/>
  </w:num>
  <w:num w:numId="11">
    <w:abstractNumId w:val="17"/>
  </w:num>
  <w:num w:numId="12">
    <w:abstractNumId w:val="12"/>
  </w:num>
  <w:num w:numId="13">
    <w:abstractNumId w:val="28"/>
  </w:num>
  <w:num w:numId="14">
    <w:abstractNumId w:val="23"/>
  </w:num>
  <w:num w:numId="15">
    <w:abstractNumId w:val="41"/>
  </w:num>
  <w:num w:numId="16">
    <w:abstractNumId w:val="22"/>
  </w:num>
  <w:num w:numId="17">
    <w:abstractNumId w:val="24"/>
  </w:num>
  <w:num w:numId="18">
    <w:abstractNumId w:val="18"/>
  </w:num>
  <w:num w:numId="19">
    <w:abstractNumId w:val="45"/>
  </w:num>
  <w:num w:numId="20">
    <w:abstractNumId w:val="20"/>
  </w:num>
  <w:num w:numId="21">
    <w:abstractNumId w:val="25"/>
  </w:num>
  <w:num w:numId="22">
    <w:abstractNumId w:val="39"/>
  </w:num>
  <w:num w:numId="23">
    <w:abstractNumId w:val="19"/>
  </w:num>
  <w:num w:numId="24">
    <w:abstractNumId w:val="42"/>
  </w:num>
  <w:num w:numId="25">
    <w:abstractNumId w:val="40"/>
  </w:num>
  <w:num w:numId="2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6"/>
  </w:num>
  <w:num w:numId="28">
    <w:abstractNumId w:val="26"/>
  </w:num>
  <w:num w:numId="29">
    <w:abstractNumId w:val="27"/>
  </w:num>
  <w:num w:numId="30">
    <w:abstractNumId w:val="16"/>
  </w:num>
  <w:num w:numId="31">
    <w:abstractNumId w:val="21"/>
  </w:num>
  <w:num w:numId="32">
    <w:abstractNumId w:val="15"/>
  </w:num>
  <w:num w:numId="33">
    <w:abstractNumId w:val="7"/>
  </w:num>
  <w:num w:numId="34">
    <w:abstractNumId w:val="36"/>
  </w:num>
  <w:num w:numId="35">
    <w:abstractNumId w:val="35"/>
  </w:num>
  <w:num w:numId="36">
    <w:abstractNumId w:val="13"/>
  </w:num>
  <w:num w:numId="37">
    <w:abstractNumId w:val="37"/>
  </w:num>
  <w:num w:numId="38">
    <w:abstractNumId w:val="1"/>
    <w:lvlOverride w:ilvl="0">
      <w:lvl w:ilvl="0">
        <w:start w:val="1"/>
        <w:numFmt w:val="bullet"/>
        <w:lvlText w:val=""/>
        <w:lvlJc w:val="left"/>
        <w:pPr>
          <w:ind w:left="720" w:hanging="360"/>
        </w:pPr>
        <w:rPr>
          <w:rFonts w:ascii="Symbol" w:hAnsi="Symbol" w:hint="default"/>
        </w:rPr>
      </w:lvl>
    </w:lvlOverride>
  </w:num>
  <w:num w:numId="39">
    <w:abstractNumId w:val="33"/>
  </w:num>
  <w:num w:numId="40">
    <w:abstractNumId w:val="10"/>
  </w:num>
  <w:num w:numId="41">
    <w:abstractNumId w:val="11"/>
  </w:num>
  <w:num w:numId="42">
    <w:abstractNumId w:val="31"/>
  </w:num>
  <w:num w:numId="43">
    <w:abstractNumId w:val="32"/>
  </w:num>
  <w:num w:numId="44">
    <w:abstractNumId w:val="9"/>
  </w:num>
  <w:num w:numId="45">
    <w:abstractNumId w:val="2"/>
  </w:num>
  <w:num w:numId="46">
    <w:abstractNumId w:val="0"/>
  </w:num>
  <w:num w:numId="47">
    <w:abstractNumId w:val="0"/>
  </w:num>
  <w:num w:numId="48">
    <w:abstractNumId w:val="0"/>
  </w:num>
  <w:num w:numId="49">
    <w:abstractNumId w:val="0"/>
  </w:num>
  <w:num w:numId="50">
    <w:abstractNumId w:val="4"/>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30"/>
  </w:num>
  <w:num w:numId="69">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1CBC"/>
    <w:rsid w:val="00032E3A"/>
    <w:rsid w:val="000338E8"/>
    <w:rsid w:val="00033C6E"/>
    <w:rsid w:val="00033DA8"/>
    <w:rsid w:val="00033F8F"/>
    <w:rsid w:val="00034443"/>
    <w:rsid w:val="000349EE"/>
    <w:rsid w:val="00034A75"/>
    <w:rsid w:val="00035B58"/>
    <w:rsid w:val="00035EF4"/>
    <w:rsid w:val="00036976"/>
    <w:rsid w:val="000378CC"/>
    <w:rsid w:val="00037B11"/>
    <w:rsid w:val="0004006B"/>
    <w:rsid w:val="0004042B"/>
    <w:rsid w:val="00041C6C"/>
    <w:rsid w:val="00041EB7"/>
    <w:rsid w:val="00042751"/>
    <w:rsid w:val="000442E9"/>
    <w:rsid w:val="00044DCB"/>
    <w:rsid w:val="00045054"/>
    <w:rsid w:val="000451B3"/>
    <w:rsid w:val="0005077B"/>
    <w:rsid w:val="00051C81"/>
    <w:rsid w:val="0005250A"/>
    <w:rsid w:val="000529F2"/>
    <w:rsid w:val="00054BA6"/>
    <w:rsid w:val="00054E26"/>
    <w:rsid w:val="00055735"/>
    <w:rsid w:val="000559BE"/>
    <w:rsid w:val="000562AF"/>
    <w:rsid w:val="00060853"/>
    <w:rsid w:val="00060E5C"/>
    <w:rsid w:val="00065751"/>
    <w:rsid w:val="00067189"/>
    <w:rsid w:val="00067BC4"/>
    <w:rsid w:val="0007026C"/>
    <w:rsid w:val="00070C28"/>
    <w:rsid w:val="00070DC9"/>
    <w:rsid w:val="000714D6"/>
    <w:rsid w:val="00071E53"/>
    <w:rsid w:val="0007365D"/>
    <w:rsid w:val="00073A46"/>
    <w:rsid w:val="000747E4"/>
    <w:rsid w:val="00074A88"/>
    <w:rsid w:val="00074CD8"/>
    <w:rsid w:val="000807B6"/>
    <w:rsid w:val="000814F6"/>
    <w:rsid w:val="00081813"/>
    <w:rsid w:val="000818D4"/>
    <w:rsid w:val="000821ED"/>
    <w:rsid w:val="00082546"/>
    <w:rsid w:val="000836FE"/>
    <w:rsid w:val="000868DE"/>
    <w:rsid w:val="00086D04"/>
    <w:rsid w:val="00086E67"/>
    <w:rsid w:val="00087AE9"/>
    <w:rsid w:val="00094645"/>
    <w:rsid w:val="000967CA"/>
    <w:rsid w:val="00096999"/>
    <w:rsid w:val="00097F0D"/>
    <w:rsid w:val="000A2809"/>
    <w:rsid w:val="000A62E2"/>
    <w:rsid w:val="000B1EEE"/>
    <w:rsid w:val="000C07F0"/>
    <w:rsid w:val="000C0946"/>
    <w:rsid w:val="000C0AA0"/>
    <w:rsid w:val="000C2679"/>
    <w:rsid w:val="000C37E9"/>
    <w:rsid w:val="000C3BFD"/>
    <w:rsid w:val="000C3DF6"/>
    <w:rsid w:val="000C469F"/>
    <w:rsid w:val="000C56D4"/>
    <w:rsid w:val="000C6808"/>
    <w:rsid w:val="000C6F0E"/>
    <w:rsid w:val="000D007F"/>
    <w:rsid w:val="000D28F0"/>
    <w:rsid w:val="000D3F88"/>
    <w:rsid w:val="000D50A8"/>
    <w:rsid w:val="000D59D3"/>
    <w:rsid w:val="000D7F5A"/>
    <w:rsid w:val="000E26A2"/>
    <w:rsid w:val="000E4C16"/>
    <w:rsid w:val="000E6466"/>
    <w:rsid w:val="000E6F41"/>
    <w:rsid w:val="000F035E"/>
    <w:rsid w:val="000F0D21"/>
    <w:rsid w:val="000F16CE"/>
    <w:rsid w:val="000F181E"/>
    <w:rsid w:val="000F42C4"/>
    <w:rsid w:val="000F4A9A"/>
    <w:rsid w:val="000F77C3"/>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1BEA"/>
    <w:rsid w:val="00134B0D"/>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979F8"/>
    <w:rsid w:val="001A0E3F"/>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2BE"/>
    <w:rsid w:val="001C17BE"/>
    <w:rsid w:val="001C365D"/>
    <w:rsid w:val="001C4264"/>
    <w:rsid w:val="001C52C8"/>
    <w:rsid w:val="001C6C93"/>
    <w:rsid w:val="001C782A"/>
    <w:rsid w:val="001D00DF"/>
    <w:rsid w:val="001D013F"/>
    <w:rsid w:val="001D078A"/>
    <w:rsid w:val="001D4E3C"/>
    <w:rsid w:val="001D4F9D"/>
    <w:rsid w:val="001D52CB"/>
    <w:rsid w:val="001D69DD"/>
    <w:rsid w:val="001D6C48"/>
    <w:rsid w:val="001D74DC"/>
    <w:rsid w:val="001E0E97"/>
    <w:rsid w:val="001E2338"/>
    <w:rsid w:val="001E558F"/>
    <w:rsid w:val="001E5961"/>
    <w:rsid w:val="001E717B"/>
    <w:rsid w:val="001E74A2"/>
    <w:rsid w:val="001E76FC"/>
    <w:rsid w:val="001F06C8"/>
    <w:rsid w:val="001F0BC4"/>
    <w:rsid w:val="001F1D17"/>
    <w:rsid w:val="001F1F3D"/>
    <w:rsid w:val="001F4D66"/>
    <w:rsid w:val="001F59A5"/>
    <w:rsid w:val="00200F03"/>
    <w:rsid w:val="002013C3"/>
    <w:rsid w:val="00202634"/>
    <w:rsid w:val="00203A8F"/>
    <w:rsid w:val="00204864"/>
    <w:rsid w:val="002052D8"/>
    <w:rsid w:val="00205EFC"/>
    <w:rsid w:val="00211393"/>
    <w:rsid w:val="00211FAE"/>
    <w:rsid w:val="00211FF4"/>
    <w:rsid w:val="00212787"/>
    <w:rsid w:val="002138A9"/>
    <w:rsid w:val="00214451"/>
    <w:rsid w:val="0021639E"/>
    <w:rsid w:val="00220978"/>
    <w:rsid w:val="00221123"/>
    <w:rsid w:val="002236A6"/>
    <w:rsid w:val="00224DE6"/>
    <w:rsid w:val="00224E75"/>
    <w:rsid w:val="002259C0"/>
    <w:rsid w:val="00226823"/>
    <w:rsid w:val="002276DD"/>
    <w:rsid w:val="0023002B"/>
    <w:rsid w:val="002327D5"/>
    <w:rsid w:val="00233CAC"/>
    <w:rsid w:val="00234CD4"/>
    <w:rsid w:val="0023548F"/>
    <w:rsid w:val="00236FB9"/>
    <w:rsid w:val="00237F2B"/>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093"/>
    <w:rsid w:val="00266729"/>
    <w:rsid w:val="00266BC6"/>
    <w:rsid w:val="00266D4E"/>
    <w:rsid w:val="00267947"/>
    <w:rsid w:val="00267AB2"/>
    <w:rsid w:val="0027137C"/>
    <w:rsid w:val="00274585"/>
    <w:rsid w:val="002751DD"/>
    <w:rsid w:val="00276777"/>
    <w:rsid w:val="00276ED9"/>
    <w:rsid w:val="00281365"/>
    <w:rsid w:val="0028188E"/>
    <w:rsid w:val="002843D9"/>
    <w:rsid w:val="002903CB"/>
    <w:rsid w:val="00291252"/>
    <w:rsid w:val="002915A8"/>
    <w:rsid w:val="00291981"/>
    <w:rsid w:val="00291F64"/>
    <w:rsid w:val="00293159"/>
    <w:rsid w:val="0029435D"/>
    <w:rsid w:val="002A0707"/>
    <w:rsid w:val="002A17C4"/>
    <w:rsid w:val="002A2B5D"/>
    <w:rsid w:val="002A349B"/>
    <w:rsid w:val="002A3665"/>
    <w:rsid w:val="002A4A76"/>
    <w:rsid w:val="002A5E72"/>
    <w:rsid w:val="002A5F58"/>
    <w:rsid w:val="002B10EE"/>
    <w:rsid w:val="002B2798"/>
    <w:rsid w:val="002B3D21"/>
    <w:rsid w:val="002B4372"/>
    <w:rsid w:val="002B445D"/>
    <w:rsid w:val="002B5973"/>
    <w:rsid w:val="002C0F1F"/>
    <w:rsid w:val="002C1999"/>
    <w:rsid w:val="002C3DCC"/>
    <w:rsid w:val="002C41FF"/>
    <w:rsid w:val="002C43DB"/>
    <w:rsid w:val="002C5D72"/>
    <w:rsid w:val="002C6FCE"/>
    <w:rsid w:val="002C78B6"/>
    <w:rsid w:val="002D0F32"/>
    <w:rsid w:val="002D1B76"/>
    <w:rsid w:val="002D41B7"/>
    <w:rsid w:val="002D6E86"/>
    <w:rsid w:val="002D73EF"/>
    <w:rsid w:val="002D750B"/>
    <w:rsid w:val="002E5A78"/>
    <w:rsid w:val="002E64CB"/>
    <w:rsid w:val="002E7DDB"/>
    <w:rsid w:val="002F0044"/>
    <w:rsid w:val="002F0388"/>
    <w:rsid w:val="002F352C"/>
    <w:rsid w:val="002F3776"/>
    <w:rsid w:val="002F3FAF"/>
    <w:rsid w:val="003002D3"/>
    <w:rsid w:val="00302FF6"/>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45DE"/>
    <w:rsid w:val="003448C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1DF0"/>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AB0"/>
    <w:rsid w:val="0038496B"/>
    <w:rsid w:val="0038799C"/>
    <w:rsid w:val="00387CFB"/>
    <w:rsid w:val="00387F53"/>
    <w:rsid w:val="003909E1"/>
    <w:rsid w:val="0039178A"/>
    <w:rsid w:val="00392559"/>
    <w:rsid w:val="003931A5"/>
    <w:rsid w:val="003939EE"/>
    <w:rsid w:val="00393A41"/>
    <w:rsid w:val="00394196"/>
    <w:rsid w:val="0039485C"/>
    <w:rsid w:val="00394D69"/>
    <w:rsid w:val="00395564"/>
    <w:rsid w:val="00396F6E"/>
    <w:rsid w:val="00397835"/>
    <w:rsid w:val="00397A66"/>
    <w:rsid w:val="00397C0A"/>
    <w:rsid w:val="003A63B9"/>
    <w:rsid w:val="003A667F"/>
    <w:rsid w:val="003A7683"/>
    <w:rsid w:val="003B0F39"/>
    <w:rsid w:val="003B1165"/>
    <w:rsid w:val="003B20F1"/>
    <w:rsid w:val="003B283B"/>
    <w:rsid w:val="003B2AB5"/>
    <w:rsid w:val="003B2BA2"/>
    <w:rsid w:val="003B38AA"/>
    <w:rsid w:val="003B4824"/>
    <w:rsid w:val="003B48BF"/>
    <w:rsid w:val="003B5313"/>
    <w:rsid w:val="003B5456"/>
    <w:rsid w:val="003C1187"/>
    <w:rsid w:val="003C195A"/>
    <w:rsid w:val="003C2DB1"/>
    <w:rsid w:val="003C4AF5"/>
    <w:rsid w:val="003C4EF8"/>
    <w:rsid w:val="003C5357"/>
    <w:rsid w:val="003D05FE"/>
    <w:rsid w:val="003D35EF"/>
    <w:rsid w:val="003D3B49"/>
    <w:rsid w:val="003D3D9E"/>
    <w:rsid w:val="003D5DE9"/>
    <w:rsid w:val="003D5F81"/>
    <w:rsid w:val="003D6675"/>
    <w:rsid w:val="003D7FAF"/>
    <w:rsid w:val="003E0B8C"/>
    <w:rsid w:val="003E18E5"/>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CA9"/>
    <w:rsid w:val="00413EED"/>
    <w:rsid w:val="00414A4C"/>
    <w:rsid w:val="00415AAD"/>
    <w:rsid w:val="0041728F"/>
    <w:rsid w:val="00421682"/>
    <w:rsid w:val="004221CC"/>
    <w:rsid w:val="004235E7"/>
    <w:rsid w:val="00425526"/>
    <w:rsid w:val="004258F9"/>
    <w:rsid w:val="00426306"/>
    <w:rsid w:val="00427179"/>
    <w:rsid w:val="00427C97"/>
    <w:rsid w:val="0043072E"/>
    <w:rsid w:val="00430FC6"/>
    <w:rsid w:val="004331FF"/>
    <w:rsid w:val="00434AB9"/>
    <w:rsid w:val="00434C77"/>
    <w:rsid w:val="0043757A"/>
    <w:rsid w:val="00440808"/>
    <w:rsid w:val="00443153"/>
    <w:rsid w:val="0044401F"/>
    <w:rsid w:val="00444C4C"/>
    <w:rsid w:val="00444D44"/>
    <w:rsid w:val="004452E3"/>
    <w:rsid w:val="004460B4"/>
    <w:rsid w:val="00450993"/>
    <w:rsid w:val="004520DF"/>
    <w:rsid w:val="0045436B"/>
    <w:rsid w:val="00456257"/>
    <w:rsid w:val="00460A6B"/>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54D2"/>
    <w:rsid w:val="0047703E"/>
    <w:rsid w:val="00477B4B"/>
    <w:rsid w:val="00477C1C"/>
    <w:rsid w:val="0048090F"/>
    <w:rsid w:val="00480C50"/>
    <w:rsid w:val="00482F1C"/>
    <w:rsid w:val="00486144"/>
    <w:rsid w:val="00486C20"/>
    <w:rsid w:val="00486F07"/>
    <w:rsid w:val="00491D54"/>
    <w:rsid w:val="004929C8"/>
    <w:rsid w:val="00492EDB"/>
    <w:rsid w:val="00496EBA"/>
    <w:rsid w:val="004A58D1"/>
    <w:rsid w:val="004A7356"/>
    <w:rsid w:val="004A737C"/>
    <w:rsid w:val="004A7AEE"/>
    <w:rsid w:val="004A7C3A"/>
    <w:rsid w:val="004A7E85"/>
    <w:rsid w:val="004B0633"/>
    <w:rsid w:val="004B14C0"/>
    <w:rsid w:val="004B41EE"/>
    <w:rsid w:val="004B6415"/>
    <w:rsid w:val="004B6441"/>
    <w:rsid w:val="004B7790"/>
    <w:rsid w:val="004C05A5"/>
    <w:rsid w:val="004C0FE5"/>
    <w:rsid w:val="004C340A"/>
    <w:rsid w:val="004C4138"/>
    <w:rsid w:val="004C4D7B"/>
    <w:rsid w:val="004C56A4"/>
    <w:rsid w:val="004C6E55"/>
    <w:rsid w:val="004C745C"/>
    <w:rsid w:val="004C7B95"/>
    <w:rsid w:val="004D1F3E"/>
    <w:rsid w:val="004D5272"/>
    <w:rsid w:val="004D5BE2"/>
    <w:rsid w:val="004D617E"/>
    <w:rsid w:val="004D6D5B"/>
    <w:rsid w:val="004E0268"/>
    <w:rsid w:val="004E0985"/>
    <w:rsid w:val="004E1536"/>
    <w:rsid w:val="004E16EC"/>
    <w:rsid w:val="004E21A8"/>
    <w:rsid w:val="004E2B3E"/>
    <w:rsid w:val="004E3528"/>
    <w:rsid w:val="004E3A5B"/>
    <w:rsid w:val="004E46A8"/>
    <w:rsid w:val="004E4A42"/>
    <w:rsid w:val="004E7950"/>
    <w:rsid w:val="004F0B26"/>
    <w:rsid w:val="004F2819"/>
    <w:rsid w:val="004F3783"/>
    <w:rsid w:val="004F4E76"/>
    <w:rsid w:val="004F70F9"/>
    <w:rsid w:val="004F7A13"/>
    <w:rsid w:val="005021B6"/>
    <w:rsid w:val="005024F6"/>
    <w:rsid w:val="005029EB"/>
    <w:rsid w:val="00503FE7"/>
    <w:rsid w:val="00504096"/>
    <w:rsid w:val="00504A01"/>
    <w:rsid w:val="00505516"/>
    <w:rsid w:val="00505DD7"/>
    <w:rsid w:val="00506054"/>
    <w:rsid w:val="005072FF"/>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1720"/>
    <w:rsid w:val="005533A1"/>
    <w:rsid w:val="00553E31"/>
    <w:rsid w:val="00554364"/>
    <w:rsid w:val="00554B37"/>
    <w:rsid w:val="00556040"/>
    <w:rsid w:val="005563AF"/>
    <w:rsid w:val="00557587"/>
    <w:rsid w:val="00557A1C"/>
    <w:rsid w:val="00560546"/>
    <w:rsid w:val="00560AD6"/>
    <w:rsid w:val="00561C94"/>
    <w:rsid w:val="00561E5A"/>
    <w:rsid w:val="005632D7"/>
    <w:rsid w:val="0056359E"/>
    <w:rsid w:val="00565200"/>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8F7"/>
    <w:rsid w:val="00590A97"/>
    <w:rsid w:val="005918AB"/>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6A18"/>
    <w:rsid w:val="005A71E9"/>
    <w:rsid w:val="005B04CB"/>
    <w:rsid w:val="005B0683"/>
    <w:rsid w:val="005B0D29"/>
    <w:rsid w:val="005B1315"/>
    <w:rsid w:val="005B3C15"/>
    <w:rsid w:val="005B4236"/>
    <w:rsid w:val="005B46EE"/>
    <w:rsid w:val="005B50A3"/>
    <w:rsid w:val="005B5D2D"/>
    <w:rsid w:val="005B6FAD"/>
    <w:rsid w:val="005B70E6"/>
    <w:rsid w:val="005B7EAD"/>
    <w:rsid w:val="005C0D2A"/>
    <w:rsid w:val="005C119A"/>
    <w:rsid w:val="005C1435"/>
    <w:rsid w:val="005C2810"/>
    <w:rsid w:val="005C2BCF"/>
    <w:rsid w:val="005C4EEA"/>
    <w:rsid w:val="005C6AF2"/>
    <w:rsid w:val="005C6C52"/>
    <w:rsid w:val="005C6CC7"/>
    <w:rsid w:val="005C6FD3"/>
    <w:rsid w:val="005D060D"/>
    <w:rsid w:val="005D2872"/>
    <w:rsid w:val="005D2896"/>
    <w:rsid w:val="005D460E"/>
    <w:rsid w:val="005D4846"/>
    <w:rsid w:val="005D6008"/>
    <w:rsid w:val="005D652A"/>
    <w:rsid w:val="005D6D67"/>
    <w:rsid w:val="005E26CF"/>
    <w:rsid w:val="005E32A3"/>
    <w:rsid w:val="005E3865"/>
    <w:rsid w:val="005E531B"/>
    <w:rsid w:val="005E7516"/>
    <w:rsid w:val="005E75FA"/>
    <w:rsid w:val="005F3AFA"/>
    <w:rsid w:val="005F3E11"/>
    <w:rsid w:val="005F54A5"/>
    <w:rsid w:val="005F5722"/>
    <w:rsid w:val="005F5D74"/>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940"/>
    <w:rsid w:val="00630BE1"/>
    <w:rsid w:val="00630FCB"/>
    <w:rsid w:val="00632738"/>
    <w:rsid w:val="00633E90"/>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2B40"/>
    <w:rsid w:val="00664675"/>
    <w:rsid w:val="00664CC5"/>
    <w:rsid w:val="00664E83"/>
    <w:rsid w:val="00666847"/>
    <w:rsid w:val="006705FA"/>
    <w:rsid w:val="00671031"/>
    <w:rsid w:val="00673A39"/>
    <w:rsid w:val="006763EC"/>
    <w:rsid w:val="0067717C"/>
    <w:rsid w:val="00680159"/>
    <w:rsid w:val="006808D7"/>
    <w:rsid w:val="0068174F"/>
    <w:rsid w:val="00681787"/>
    <w:rsid w:val="006819C8"/>
    <w:rsid w:val="00683BD1"/>
    <w:rsid w:val="00683FED"/>
    <w:rsid w:val="00690AFD"/>
    <w:rsid w:val="0069185E"/>
    <w:rsid w:val="006927FA"/>
    <w:rsid w:val="00692AC9"/>
    <w:rsid w:val="00696261"/>
    <w:rsid w:val="00697507"/>
    <w:rsid w:val="0069782A"/>
    <w:rsid w:val="006A08D5"/>
    <w:rsid w:val="006A091D"/>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11D"/>
    <w:rsid w:val="006D3206"/>
    <w:rsid w:val="006D4380"/>
    <w:rsid w:val="006D698D"/>
    <w:rsid w:val="006D78FF"/>
    <w:rsid w:val="006D7E2A"/>
    <w:rsid w:val="006E058E"/>
    <w:rsid w:val="006E07C3"/>
    <w:rsid w:val="006E28A4"/>
    <w:rsid w:val="006E3C3D"/>
    <w:rsid w:val="006E4A32"/>
    <w:rsid w:val="006E4C0E"/>
    <w:rsid w:val="006E6132"/>
    <w:rsid w:val="006E6BB8"/>
    <w:rsid w:val="006E77C1"/>
    <w:rsid w:val="006F0D9E"/>
    <w:rsid w:val="006F170C"/>
    <w:rsid w:val="006F289E"/>
    <w:rsid w:val="006F2CA5"/>
    <w:rsid w:val="006F396D"/>
    <w:rsid w:val="006F3ADE"/>
    <w:rsid w:val="006F5B7B"/>
    <w:rsid w:val="006F6558"/>
    <w:rsid w:val="0070007A"/>
    <w:rsid w:val="007008B5"/>
    <w:rsid w:val="00701383"/>
    <w:rsid w:val="00701551"/>
    <w:rsid w:val="00701FE4"/>
    <w:rsid w:val="00704BB2"/>
    <w:rsid w:val="007056EF"/>
    <w:rsid w:val="007074EA"/>
    <w:rsid w:val="007078F0"/>
    <w:rsid w:val="007112FB"/>
    <w:rsid w:val="00712E5C"/>
    <w:rsid w:val="007149F9"/>
    <w:rsid w:val="0071714D"/>
    <w:rsid w:val="007200A7"/>
    <w:rsid w:val="00720A63"/>
    <w:rsid w:val="00721659"/>
    <w:rsid w:val="00722923"/>
    <w:rsid w:val="0072400C"/>
    <w:rsid w:val="0072636A"/>
    <w:rsid w:val="007272E6"/>
    <w:rsid w:val="007274A7"/>
    <w:rsid w:val="00730B8E"/>
    <w:rsid w:val="00732A09"/>
    <w:rsid w:val="0073619F"/>
    <w:rsid w:val="00736415"/>
    <w:rsid w:val="0073735F"/>
    <w:rsid w:val="007402B1"/>
    <w:rsid w:val="00740EA8"/>
    <w:rsid w:val="007424AC"/>
    <w:rsid w:val="00742995"/>
    <w:rsid w:val="0074514B"/>
    <w:rsid w:val="007456DC"/>
    <w:rsid w:val="007460DB"/>
    <w:rsid w:val="00746BC1"/>
    <w:rsid w:val="0074791C"/>
    <w:rsid w:val="0075085B"/>
    <w:rsid w:val="00750AF6"/>
    <w:rsid w:val="007511D1"/>
    <w:rsid w:val="0075179F"/>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D5C"/>
    <w:rsid w:val="00771B7B"/>
    <w:rsid w:val="007720EE"/>
    <w:rsid w:val="00772D4D"/>
    <w:rsid w:val="007738AC"/>
    <w:rsid w:val="00773CCB"/>
    <w:rsid w:val="00774A10"/>
    <w:rsid w:val="00774ED8"/>
    <w:rsid w:val="00776729"/>
    <w:rsid w:val="00780E20"/>
    <w:rsid w:val="0078178B"/>
    <w:rsid w:val="0078187B"/>
    <w:rsid w:val="007818AB"/>
    <w:rsid w:val="00782FDA"/>
    <w:rsid w:val="00785399"/>
    <w:rsid w:val="00785B79"/>
    <w:rsid w:val="00791C99"/>
    <w:rsid w:val="00792440"/>
    <w:rsid w:val="00793CC7"/>
    <w:rsid w:val="0079472F"/>
    <w:rsid w:val="007949E3"/>
    <w:rsid w:val="00794E1C"/>
    <w:rsid w:val="00795A2F"/>
    <w:rsid w:val="00795DA3"/>
    <w:rsid w:val="00796D74"/>
    <w:rsid w:val="00797036"/>
    <w:rsid w:val="00797F04"/>
    <w:rsid w:val="007A57F4"/>
    <w:rsid w:val="007B31B6"/>
    <w:rsid w:val="007B3529"/>
    <w:rsid w:val="007B5211"/>
    <w:rsid w:val="007C07C5"/>
    <w:rsid w:val="007C2D6B"/>
    <w:rsid w:val="007C3593"/>
    <w:rsid w:val="007D03DC"/>
    <w:rsid w:val="007D0DD1"/>
    <w:rsid w:val="007D114B"/>
    <w:rsid w:val="007D135C"/>
    <w:rsid w:val="007D2AA2"/>
    <w:rsid w:val="007D31F4"/>
    <w:rsid w:val="007D4275"/>
    <w:rsid w:val="007D4B5F"/>
    <w:rsid w:val="007E06C0"/>
    <w:rsid w:val="007E0816"/>
    <w:rsid w:val="007E134F"/>
    <w:rsid w:val="007E170F"/>
    <w:rsid w:val="007E2573"/>
    <w:rsid w:val="007E3E7F"/>
    <w:rsid w:val="007E61FB"/>
    <w:rsid w:val="007E6BCE"/>
    <w:rsid w:val="007E6DF2"/>
    <w:rsid w:val="007F00D3"/>
    <w:rsid w:val="007F0D28"/>
    <w:rsid w:val="007F0D84"/>
    <w:rsid w:val="007F15F7"/>
    <w:rsid w:val="007F16A2"/>
    <w:rsid w:val="007F2174"/>
    <w:rsid w:val="007F2384"/>
    <w:rsid w:val="007F2A89"/>
    <w:rsid w:val="007F556F"/>
    <w:rsid w:val="007F76AD"/>
    <w:rsid w:val="007F7E76"/>
    <w:rsid w:val="00800AE3"/>
    <w:rsid w:val="00801B7A"/>
    <w:rsid w:val="00802367"/>
    <w:rsid w:val="0080274C"/>
    <w:rsid w:val="00802AF7"/>
    <w:rsid w:val="008031D6"/>
    <w:rsid w:val="008038C5"/>
    <w:rsid w:val="00805F7C"/>
    <w:rsid w:val="00806324"/>
    <w:rsid w:val="00806DD0"/>
    <w:rsid w:val="00810910"/>
    <w:rsid w:val="0081158D"/>
    <w:rsid w:val="00811B34"/>
    <w:rsid w:val="00811B49"/>
    <w:rsid w:val="00811CDA"/>
    <w:rsid w:val="00813951"/>
    <w:rsid w:val="00814D3F"/>
    <w:rsid w:val="008157C9"/>
    <w:rsid w:val="008212B0"/>
    <w:rsid w:val="00821A37"/>
    <w:rsid w:val="00821C94"/>
    <w:rsid w:val="00822E71"/>
    <w:rsid w:val="00824BEE"/>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5EF"/>
    <w:rsid w:val="008549CE"/>
    <w:rsid w:val="0085624B"/>
    <w:rsid w:val="0085647C"/>
    <w:rsid w:val="00860B63"/>
    <w:rsid w:val="008615C4"/>
    <w:rsid w:val="008620C5"/>
    <w:rsid w:val="008634DC"/>
    <w:rsid w:val="00863940"/>
    <w:rsid w:val="00864DC6"/>
    <w:rsid w:val="008655DD"/>
    <w:rsid w:val="00867B02"/>
    <w:rsid w:val="00870187"/>
    <w:rsid w:val="008728DE"/>
    <w:rsid w:val="008731E1"/>
    <w:rsid w:val="008736DF"/>
    <w:rsid w:val="008741DB"/>
    <w:rsid w:val="00874B7D"/>
    <w:rsid w:val="00875E52"/>
    <w:rsid w:val="00875F60"/>
    <w:rsid w:val="00880B4D"/>
    <w:rsid w:val="008813F4"/>
    <w:rsid w:val="00881E5F"/>
    <w:rsid w:val="008829A4"/>
    <w:rsid w:val="008836DC"/>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3652"/>
    <w:rsid w:val="008A6D95"/>
    <w:rsid w:val="008A6EC0"/>
    <w:rsid w:val="008B1171"/>
    <w:rsid w:val="008B48E2"/>
    <w:rsid w:val="008B5152"/>
    <w:rsid w:val="008B5EA0"/>
    <w:rsid w:val="008B6EE1"/>
    <w:rsid w:val="008B7E27"/>
    <w:rsid w:val="008C0AEC"/>
    <w:rsid w:val="008C0CA5"/>
    <w:rsid w:val="008C0CB4"/>
    <w:rsid w:val="008C11BE"/>
    <w:rsid w:val="008C12A2"/>
    <w:rsid w:val="008C18C1"/>
    <w:rsid w:val="008C1CF5"/>
    <w:rsid w:val="008C3CE8"/>
    <w:rsid w:val="008C3DC9"/>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9D"/>
    <w:rsid w:val="008F1CB0"/>
    <w:rsid w:val="008F1D0A"/>
    <w:rsid w:val="008F1EF7"/>
    <w:rsid w:val="008F25E8"/>
    <w:rsid w:val="008F3933"/>
    <w:rsid w:val="008F405E"/>
    <w:rsid w:val="008F663E"/>
    <w:rsid w:val="008F6AB1"/>
    <w:rsid w:val="008F7791"/>
    <w:rsid w:val="00900EA0"/>
    <w:rsid w:val="00902891"/>
    <w:rsid w:val="009031A2"/>
    <w:rsid w:val="0090367E"/>
    <w:rsid w:val="00903E49"/>
    <w:rsid w:val="00903EBB"/>
    <w:rsid w:val="00904EB4"/>
    <w:rsid w:val="00904EBC"/>
    <w:rsid w:val="0090578F"/>
    <w:rsid w:val="00906027"/>
    <w:rsid w:val="009066D0"/>
    <w:rsid w:val="009110F8"/>
    <w:rsid w:val="00911883"/>
    <w:rsid w:val="00915485"/>
    <w:rsid w:val="00915EB8"/>
    <w:rsid w:val="00916A2C"/>
    <w:rsid w:val="00916ADD"/>
    <w:rsid w:val="009177C9"/>
    <w:rsid w:val="00917932"/>
    <w:rsid w:val="009207D3"/>
    <w:rsid w:val="00921023"/>
    <w:rsid w:val="00921C9B"/>
    <w:rsid w:val="00921E9F"/>
    <w:rsid w:val="0092229A"/>
    <w:rsid w:val="0092252C"/>
    <w:rsid w:val="00923DCD"/>
    <w:rsid w:val="009249E5"/>
    <w:rsid w:val="00924DDF"/>
    <w:rsid w:val="00925D18"/>
    <w:rsid w:val="009274AD"/>
    <w:rsid w:val="00927AA9"/>
    <w:rsid w:val="00927B5B"/>
    <w:rsid w:val="00930D55"/>
    <w:rsid w:val="00932F5A"/>
    <w:rsid w:val="00933610"/>
    <w:rsid w:val="009338CE"/>
    <w:rsid w:val="00933B07"/>
    <w:rsid w:val="00934561"/>
    <w:rsid w:val="00944F28"/>
    <w:rsid w:val="00947A7A"/>
    <w:rsid w:val="009523E9"/>
    <w:rsid w:val="009523ED"/>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5DEF"/>
    <w:rsid w:val="00976875"/>
    <w:rsid w:val="00977579"/>
    <w:rsid w:val="00977961"/>
    <w:rsid w:val="00977C46"/>
    <w:rsid w:val="009804DC"/>
    <w:rsid w:val="009814EC"/>
    <w:rsid w:val="0098230F"/>
    <w:rsid w:val="00982EDD"/>
    <w:rsid w:val="00983AF9"/>
    <w:rsid w:val="00983C32"/>
    <w:rsid w:val="0098597A"/>
    <w:rsid w:val="009860AD"/>
    <w:rsid w:val="009867C1"/>
    <w:rsid w:val="00987EAE"/>
    <w:rsid w:val="0099016F"/>
    <w:rsid w:val="00992591"/>
    <w:rsid w:val="00992739"/>
    <w:rsid w:val="0099424C"/>
    <w:rsid w:val="00994BA0"/>
    <w:rsid w:val="0099587F"/>
    <w:rsid w:val="009967CB"/>
    <w:rsid w:val="009A0DEA"/>
    <w:rsid w:val="009A1A95"/>
    <w:rsid w:val="009A1F1D"/>
    <w:rsid w:val="009A24AD"/>
    <w:rsid w:val="009A253D"/>
    <w:rsid w:val="009A495E"/>
    <w:rsid w:val="009A51F0"/>
    <w:rsid w:val="009A791D"/>
    <w:rsid w:val="009A7FA8"/>
    <w:rsid w:val="009B0BC4"/>
    <w:rsid w:val="009B0BC8"/>
    <w:rsid w:val="009B10FF"/>
    <w:rsid w:val="009B3504"/>
    <w:rsid w:val="009B4402"/>
    <w:rsid w:val="009B52D1"/>
    <w:rsid w:val="009B5536"/>
    <w:rsid w:val="009B5A72"/>
    <w:rsid w:val="009C1289"/>
    <w:rsid w:val="009C4B4E"/>
    <w:rsid w:val="009C5C0C"/>
    <w:rsid w:val="009C6421"/>
    <w:rsid w:val="009C7881"/>
    <w:rsid w:val="009D0DE4"/>
    <w:rsid w:val="009D383A"/>
    <w:rsid w:val="009D3AE0"/>
    <w:rsid w:val="009D5BAA"/>
    <w:rsid w:val="009D6AF9"/>
    <w:rsid w:val="009D77ED"/>
    <w:rsid w:val="009E15A0"/>
    <w:rsid w:val="009E1DC8"/>
    <w:rsid w:val="009E5563"/>
    <w:rsid w:val="009E5586"/>
    <w:rsid w:val="009E5C1F"/>
    <w:rsid w:val="009E6BE9"/>
    <w:rsid w:val="009F01E3"/>
    <w:rsid w:val="009F02EC"/>
    <w:rsid w:val="009F05CF"/>
    <w:rsid w:val="009F09F1"/>
    <w:rsid w:val="009F40D9"/>
    <w:rsid w:val="009F475D"/>
    <w:rsid w:val="009F4BE9"/>
    <w:rsid w:val="009F58A3"/>
    <w:rsid w:val="009F7736"/>
    <w:rsid w:val="00A0080F"/>
    <w:rsid w:val="00A0181D"/>
    <w:rsid w:val="00A02081"/>
    <w:rsid w:val="00A02258"/>
    <w:rsid w:val="00A02AB3"/>
    <w:rsid w:val="00A04281"/>
    <w:rsid w:val="00A0447D"/>
    <w:rsid w:val="00A04E10"/>
    <w:rsid w:val="00A05870"/>
    <w:rsid w:val="00A0670F"/>
    <w:rsid w:val="00A07E52"/>
    <w:rsid w:val="00A100FF"/>
    <w:rsid w:val="00A108CC"/>
    <w:rsid w:val="00A11345"/>
    <w:rsid w:val="00A11D42"/>
    <w:rsid w:val="00A12A28"/>
    <w:rsid w:val="00A134D8"/>
    <w:rsid w:val="00A14950"/>
    <w:rsid w:val="00A16EE4"/>
    <w:rsid w:val="00A1766C"/>
    <w:rsid w:val="00A17F1A"/>
    <w:rsid w:val="00A22001"/>
    <w:rsid w:val="00A222A7"/>
    <w:rsid w:val="00A24AFA"/>
    <w:rsid w:val="00A25D87"/>
    <w:rsid w:val="00A26386"/>
    <w:rsid w:val="00A31921"/>
    <w:rsid w:val="00A34ED8"/>
    <w:rsid w:val="00A353BC"/>
    <w:rsid w:val="00A355C7"/>
    <w:rsid w:val="00A36716"/>
    <w:rsid w:val="00A36A65"/>
    <w:rsid w:val="00A36BDD"/>
    <w:rsid w:val="00A372EE"/>
    <w:rsid w:val="00A429DA"/>
    <w:rsid w:val="00A43163"/>
    <w:rsid w:val="00A4405B"/>
    <w:rsid w:val="00A44AE9"/>
    <w:rsid w:val="00A45CD8"/>
    <w:rsid w:val="00A45EE9"/>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4327"/>
    <w:rsid w:val="00A7436E"/>
    <w:rsid w:val="00A76812"/>
    <w:rsid w:val="00A76B23"/>
    <w:rsid w:val="00A80AAC"/>
    <w:rsid w:val="00A81584"/>
    <w:rsid w:val="00A86D47"/>
    <w:rsid w:val="00A87190"/>
    <w:rsid w:val="00A91E1F"/>
    <w:rsid w:val="00A9340A"/>
    <w:rsid w:val="00A944F3"/>
    <w:rsid w:val="00A96E05"/>
    <w:rsid w:val="00A97E15"/>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C57B6"/>
    <w:rsid w:val="00AD173D"/>
    <w:rsid w:val="00AD2465"/>
    <w:rsid w:val="00AD318F"/>
    <w:rsid w:val="00AD442D"/>
    <w:rsid w:val="00AD6554"/>
    <w:rsid w:val="00AE0A04"/>
    <w:rsid w:val="00AE14F3"/>
    <w:rsid w:val="00AE20D3"/>
    <w:rsid w:val="00AE22F2"/>
    <w:rsid w:val="00AE2392"/>
    <w:rsid w:val="00AE24DF"/>
    <w:rsid w:val="00AE3428"/>
    <w:rsid w:val="00AE5B1E"/>
    <w:rsid w:val="00AE79CA"/>
    <w:rsid w:val="00AF310D"/>
    <w:rsid w:val="00AF328F"/>
    <w:rsid w:val="00AF4582"/>
    <w:rsid w:val="00AF6B3D"/>
    <w:rsid w:val="00AF6F3E"/>
    <w:rsid w:val="00AF7639"/>
    <w:rsid w:val="00AF7B73"/>
    <w:rsid w:val="00B01399"/>
    <w:rsid w:val="00B03922"/>
    <w:rsid w:val="00B04ACF"/>
    <w:rsid w:val="00B053C6"/>
    <w:rsid w:val="00B07386"/>
    <w:rsid w:val="00B10030"/>
    <w:rsid w:val="00B104E7"/>
    <w:rsid w:val="00B108E3"/>
    <w:rsid w:val="00B14DAA"/>
    <w:rsid w:val="00B16E80"/>
    <w:rsid w:val="00B17D6B"/>
    <w:rsid w:val="00B234E3"/>
    <w:rsid w:val="00B23945"/>
    <w:rsid w:val="00B24A09"/>
    <w:rsid w:val="00B274CC"/>
    <w:rsid w:val="00B32641"/>
    <w:rsid w:val="00B33A06"/>
    <w:rsid w:val="00B34AF2"/>
    <w:rsid w:val="00B35253"/>
    <w:rsid w:val="00B40107"/>
    <w:rsid w:val="00B4093A"/>
    <w:rsid w:val="00B419F8"/>
    <w:rsid w:val="00B4246E"/>
    <w:rsid w:val="00B42904"/>
    <w:rsid w:val="00B43B74"/>
    <w:rsid w:val="00B44DE2"/>
    <w:rsid w:val="00B4742A"/>
    <w:rsid w:val="00B50DEE"/>
    <w:rsid w:val="00B50F6E"/>
    <w:rsid w:val="00B51622"/>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4D5F"/>
    <w:rsid w:val="00B75A56"/>
    <w:rsid w:val="00B75A7B"/>
    <w:rsid w:val="00B75CCE"/>
    <w:rsid w:val="00B77EB1"/>
    <w:rsid w:val="00B811E0"/>
    <w:rsid w:val="00B811EC"/>
    <w:rsid w:val="00B81ED2"/>
    <w:rsid w:val="00B822F3"/>
    <w:rsid w:val="00B82F3D"/>
    <w:rsid w:val="00B83530"/>
    <w:rsid w:val="00B84123"/>
    <w:rsid w:val="00B85972"/>
    <w:rsid w:val="00B87120"/>
    <w:rsid w:val="00B92979"/>
    <w:rsid w:val="00B929A5"/>
    <w:rsid w:val="00B939A6"/>
    <w:rsid w:val="00B94955"/>
    <w:rsid w:val="00B97C33"/>
    <w:rsid w:val="00B97F73"/>
    <w:rsid w:val="00BA020D"/>
    <w:rsid w:val="00BA0A81"/>
    <w:rsid w:val="00BA0C8A"/>
    <w:rsid w:val="00BA1E37"/>
    <w:rsid w:val="00BA4901"/>
    <w:rsid w:val="00BA49CA"/>
    <w:rsid w:val="00BA4C14"/>
    <w:rsid w:val="00BA5F2A"/>
    <w:rsid w:val="00BA6C29"/>
    <w:rsid w:val="00BA72BD"/>
    <w:rsid w:val="00BB026F"/>
    <w:rsid w:val="00BB087C"/>
    <w:rsid w:val="00BB3388"/>
    <w:rsid w:val="00BB3FB2"/>
    <w:rsid w:val="00BB5370"/>
    <w:rsid w:val="00BB6031"/>
    <w:rsid w:val="00BB64B0"/>
    <w:rsid w:val="00BB65C4"/>
    <w:rsid w:val="00BB7B9D"/>
    <w:rsid w:val="00BC4431"/>
    <w:rsid w:val="00BC4B7F"/>
    <w:rsid w:val="00BC5473"/>
    <w:rsid w:val="00BC6E2E"/>
    <w:rsid w:val="00BC7DE7"/>
    <w:rsid w:val="00BD097C"/>
    <w:rsid w:val="00BD20B9"/>
    <w:rsid w:val="00BD2639"/>
    <w:rsid w:val="00BD37E2"/>
    <w:rsid w:val="00BD4CC9"/>
    <w:rsid w:val="00BD4EB5"/>
    <w:rsid w:val="00BD5B6F"/>
    <w:rsid w:val="00BD620F"/>
    <w:rsid w:val="00BE364C"/>
    <w:rsid w:val="00BE37BA"/>
    <w:rsid w:val="00BE50AC"/>
    <w:rsid w:val="00BF1785"/>
    <w:rsid w:val="00BF2010"/>
    <w:rsid w:val="00BF2365"/>
    <w:rsid w:val="00BF2E5D"/>
    <w:rsid w:val="00BF384C"/>
    <w:rsid w:val="00BF4496"/>
    <w:rsid w:val="00BF4BCD"/>
    <w:rsid w:val="00BF688B"/>
    <w:rsid w:val="00C01120"/>
    <w:rsid w:val="00C01A8A"/>
    <w:rsid w:val="00C0229B"/>
    <w:rsid w:val="00C04263"/>
    <w:rsid w:val="00C04273"/>
    <w:rsid w:val="00C044F5"/>
    <w:rsid w:val="00C04732"/>
    <w:rsid w:val="00C07936"/>
    <w:rsid w:val="00C07E13"/>
    <w:rsid w:val="00C1115F"/>
    <w:rsid w:val="00C1160A"/>
    <w:rsid w:val="00C11D42"/>
    <w:rsid w:val="00C12328"/>
    <w:rsid w:val="00C12A12"/>
    <w:rsid w:val="00C12B67"/>
    <w:rsid w:val="00C13825"/>
    <w:rsid w:val="00C1391E"/>
    <w:rsid w:val="00C13A7D"/>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4387"/>
    <w:rsid w:val="00C454C8"/>
    <w:rsid w:val="00C45A67"/>
    <w:rsid w:val="00C46454"/>
    <w:rsid w:val="00C47D9F"/>
    <w:rsid w:val="00C515E0"/>
    <w:rsid w:val="00C5183B"/>
    <w:rsid w:val="00C522C9"/>
    <w:rsid w:val="00C57333"/>
    <w:rsid w:val="00C57A19"/>
    <w:rsid w:val="00C61790"/>
    <w:rsid w:val="00C62955"/>
    <w:rsid w:val="00C64256"/>
    <w:rsid w:val="00C64815"/>
    <w:rsid w:val="00C64A18"/>
    <w:rsid w:val="00C64C12"/>
    <w:rsid w:val="00C66947"/>
    <w:rsid w:val="00C703D4"/>
    <w:rsid w:val="00C7096C"/>
    <w:rsid w:val="00C70A83"/>
    <w:rsid w:val="00C726AA"/>
    <w:rsid w:val="00C72F05"/>
    <w:rsid w:val="00C73BEF"/>
    <w:rsid w:val="00C74BBA"/>
    <w:rsid w:val="00C74EB7"/>
    <w:rsid w:val="00C7512A"/>
    <w:rsid w:val="00C761B3"/>
    <w:rsid w:val="00C8222D"/>
    <w:rsid w:val="00C832D8"/>
    <w:rsid w:val="00C835B2"/>
    <w:rsid w:val="00C83E94"/>
    <w:rsid w:val="00C85AC8"/>
    <w:rsid w:val="00C87EFC"/>
    <w:rsid w:val="00C90593"/>
    <w:rsid w:val="00C90C12"/>
    <w:rsid w:val="00C92ED9"/>
    <w:rsid w:val="00C937E3"/>
    <w:rsid w:val="00C938A2"/>
    <w:rsid w:val="00C97992"/>
    <w:rsid w:val="00C97B34"/>
    <w:rsid w:val="00C97B61"/>
    <w:rsid w:val="00CA1241"/>
    <w:rsid w:val="00CA1941"/>
    <w:rsid w:val="00CA3753"/>
    <w:rsid w:val="00CA3D9A"/>
    <w:rsid w:val="00CB10E5"/>
    <w:rsid w:val="00CB1D32"/>
    <w:rsid w:val="00CB40EE"/>
    <w:rsid w:val="00CB4F00"/>
    <w:rsid w:val="00CB5CC4"/>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D6860"/>
    <w:rsid w:val="00CE24C9"/>
    <w:rsid w:val="00CE27BF"/>
    <w:rsid w:val="00CE2C06"/>
    <w:rsid w:val="00CE5779"/>
    <w:rsid w:val="00CE653A"/>
    <w:rsid w:val="00CE7C4C"/>
    <w:rsid w:val="00CF2663"/>
    <w:rsid w:val="00CF35FC"/>
    <w:rsid w:val="00CF4020"/>
    <w:rsid w:val="00CF53C8"/>
    <w:rsid w:val="00CF5F66"/>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A22"/>
    <w:rsid w:val="00D40A15"/>
    <w:rsid w:val="00D40BA4"/>
    <w:rsid w:val="00D4141E"/>
    <w:rsid w:val="00D416D2"/>
    <w:rsid w:val="00D4227C"/>
    <w:rsid w:val="00D468AB"/>
    <w:rsid w:val="00D502B8"/>
    <w:rsid w:val="00D504C3"/>
    <w:rsid w:val="00D51474"/>
    <w:rsid w:val="00D538D3"/>
    <w:rsid w:val="00D56136"/>
    <w:rsid w:val="00D56D1A"/>
    <w:rsid w:val="00D601FC"/>
    <w:rsid w:val="00D606E2"/>
    <w:rsid w:val="00D62387"/>
    <w:rsid w:val="00D62A5F"/>
    <w:rsid w:val="00D64CA3"/>
    <w:rsid w:val="00D668D4"/>
    <w:rsid w:val="00D67A5D"/>
    <w:rsid w:val="00D67BBB"/>
    <w:rsid w:val="00D67C7B"/>
    <w:rsid w:val="00D71342"/>
    <w:rsid w:val="00D73B1E"/>
    <w:rsid w:val="00D7472A"/>
    <w:rsid w:val="00D74A5E"/>
    <w:rsid w:val="00D81307"/>
    <w:rsid w:val="00D82C94"/>
    <w:rsid w:val="00D83969"/>
    <w:rsid w:val="00D84D1C"/>
    <w:rsid w:val="00D86311"/>
    <w:rsid w:val="00D87BF1"/>
    <w:rsid w:val="00D90188"/>
    <w:rsid w:val="00D92D5B"/>
    <w:rsid w:val="00D93206"/>
    <w:rsid w:val="00D95007"/>
    <w:rsid w:val="00D96879"/>
    <w:rsid w:val="00D97E9B"/>
    <w:rsid w:val="00D97EA9"/>
    <w:rsid w:val="00DA0BA0"/>
    <w:rsid w:val="00DA21B4"/>
    <w:rsid w:val="00DA38CE"/>
    <w:rsid w:val="00DA6571"/>
    <w:rsid w:val="00DB0D67"/>
    <w:rsid w:val="00DB4472"/>
    <w:rsid w:val="00DB4A7C"/>
    <w:rsid w:val="00DB4B5E"/>
    <w:rsid w:val="00DB564E"/>
    <w:rsid w:val="00DB69D2"/>
    <w:rsid w:val="00DB6DF3"/>
    <w:rsid w:val="00DB73A9"/>
    <w:rsid w:val="00DC21B2"/>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490E"/>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E8C"/>
    <w:rsid w:val="00E30A3C"/>
    <w:rsid w:val="00E30C86"/>
    <w:rsid w:val="00E32722"/>
    <w:rsid w:val="00E33B33"/>
    <w:rsid w:val="00E34658"/>
    <w:rsid w:val="00E3526B"/>
    <w:rsid w:val="00E360C0"/>
    <w:rsid w:val="00E37047"/>
    <w:rsid w:val="00E37661"/>
    <w:rsid w:val="00E407DD"/>
    <w:rsid w:val="00E41308"/>
    <w:rsid w:val="00E41633"/>
    <w:rsid w:val="00E417E3"/>
    <w:rsid w:val="00E4306F"/>
    <w:rsid w:val="00E4347A"/>
    <w:rsid w:val="00E435F2"/>
    <w:rsid w:val="00E44AB4"/>
    <w:rsid w:val="00E44B09"/>
    <w:rsid w:val="00E44C79"/>
    <w:rsid w:val="00E45BEF"/>
    <w:rsid w:val="00E46012"/>
    <w:rsid w:val="00E50405"/>
    <w:rsid w:val="00E51A34"/>
    <w:rsid w:val="00E53230"/>
    <w:rsid w:val="00E53332"/>
    <w:rsid w:val="00E5375C"/>
    <w:rsid w:val="00E53AE5"/>
    <w:rsid w:val="00E54FA7"/>
    <w:rsid w:val="00E55CC0"/>
    <w:rsid w:val="00E55EF4"/>
    <w:rsid w:val="00E568E7"/>
    <w:rsid w:val="00E57F1B"/>
    <w:rsid w:val="00E602DF"/>
    <w:rsid w:val="00E6048D"/>
    <w:rsid w:val="00E62608"/>
    <w:rsid w:val="00E631B5"/>
    <w:rsid w:val="00E63E28"/>
    <w:rsid w:val="00E643F2"/>
    <w:rsid w:val="00E6444F"/>
    <w:rsid w:val="00E6466A"/>
    <w:rsid w:val="00E65473"/>
    <w:rsid w:val="00E655A4"/>
    <w:rsid w:val="00E6566F"/>
    <w:rsid w:val="00E66299"/>
    <w:rsid w:val="00E66BA2"/>
    <w:rsid w:val="00E70827"/>
    <w:rsid w:val="00E70DF7"/>
    <w:rsid w:val="00E71C7E"/>
    <w:rsid w:val="00E752BD"/>
    <w:rsid w:val="00E75D87"/>
    <w:rsid w:val="00E80D97"/>
    <w:rsid w:val="00E81A13"/>
    <w:rsid w:val="00E82F78"/>
    <w:rsid w:val="00E83647"/>
    <w:rsid w:val="00E83C53"/>
    <w:rsid w:val="00E83F3B"/>
    <w:rsid w:val="00E84AF3"/>
    <w:rsid w:val="00E850CE"/>
    <w:rsid w:val="00E850FE"/>
    <w:rsid w:val="00E855C2"/>
    <w:rsid w:val="00E918FA"/>
    <w:rsid w:val="00E94287"/>
    <w:rsid w:val="00E9483D"/>
    <w:rsid w:val="00E9527E"/>
    <w:rsid w:val="00E97693"/>
    <w:rsid w:val="00E97DE3"/>
    <w:rsid w:val="00EA005D"/>
    <w:rsid w:val="00EA0FAF"/>
    <w:rsid w:val="00EA33A4"/>
    <w:rsid w:val="00EA3B47"/>
    <w:rsid w:val="00EA45D8"/>
    <w:rsid w:val="00EA5C24"/>
    <w:rsid w:val="00EA5F81"/>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E79C1"/>
    <w:rsid w:val="00EF04E2"/>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1602"/>
    <w:rsid w:val="00F139A5"/>
    <w:rsid w:val="00F13AE7"/>
    <w:rsid w:val="00F13CFD"/>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10EA"/>
    <w:rsid w:val="00F413C3"/>
    <w:rsid w:val="00F413E3"/>
    <w:rsid w:val="00F42FBF"/>
    <w:rsid w:val="00F44F7C"/>
    <w:rsid w:val="00F4567B"/>
    <w:rsid w:val="00F47577"/>
    <w:rsid w:val="00F513F7"/>
    <w:rsid w:val="00F5294A"/>
    <w:rsid w:val="00F533AD"/>
    <w:rsid w:val="00F533C5"/>
    <w:rsid w:val="00F534B9"/>
    <w:rsid w:val="00F5728B"/>
    <w:rsid w:val="00F605DC"/>
    <w:rsid w:val="00F61B63"/>
    <w:rsid w:val="00F61E0A"/>
    <w:rsid w:val="00F6430A"/>
    <w:rsid w:val="00F6454D"/>
    <w:rsid w:val="00F671B2"/>
    <w:rsid w:val="00F672FE"/>
    <w:rsid w:val="00F673C4"/>
    <w:rsid w:val="00F7022D"/>
    <w:rsid w:val="00F70FF1"/>
    <w:rsid w:val="00F70FFA"/>
    <w:rsid w:val="00F71A9C"/>
    <w:rsid w:val="00F71B1B"/>
    <w:rsid w:val="00F728F6"/>
    <w:rsid w:val="00F73B1E"/>
    <w:rsid w:val="00F74BB3"/>
    <w:rsid w:val="00F75B41"/>
    <w:rsid w:val="00F75E35"/>
    <w:rsid w:val="00F76EFE"/>
    <w:rsid w:val="00F77554"/>
    <w:rsid w:val="00F80928"/>
    <w:rsid w:val="00F8102D"/>
    <w:rsid w:val="00F81B41"/>
    <w:rsid w:val="00F82F52"/>
    <w:rsid w:val="00F83F52"/>
    <w:rsid w:val="00F84C0F"/>
    <w:rsid w:val="00F852B3"/>
    <w:rsid w:val="00F86641"/>
    <w:rsid w:val="00F86EB4"/>
    <w:rsid w:val="00F86ED1"/>
    <w:rsid w:val="00F87901"/>
    <w:rsid w:val="00F91945"/>
    <w:rsid w:val="00F91FCF"/>
    <w:rsid w:val="00F92923"/>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732"/>
    <w:rsid w:val="00FB5355"/>
    <w:rsid w:val="00FB5CC0"/>
    <w:rsid w:val="00FB6FED"/>
    <w:rsid w:val="00FB72FC"/>
    <w:rsid w:val="00FB7F26"/>
    <w:rsid w:val="00FC1BAB"/>
    <w:rsid w:val="00FC3325"/>
    <w:rsid w:val="00FC4239"/>
    <w:rsid w:val="00FC45F0"/>
    <w:rsid w:val="00FC4F4E"/>
    <w:rsid w:val="00FC5610"/>
    <w:rsid w:val="00FD126B"/>
    <w:rsid w:val="00FD183E"/>
    <w:rsid w:val="00FD1A59"/>
    <w:rsid w:val="00FD1EF9"/>
    <w:rsid w:val="00FD3802"/>
    <w:rsid w:val="00FD5998"/>
    <w:rsid w:val="00FD5BD5"/>
    <w:rsid w:val="00FD6793"/>
    <w:rsid w:val="00FD75DA"/>
    <w:rsid w:val="00FD7DA4"/>
    <w:rsid w:val="00FD7E01"/>
    <w:rsid w:val="00FE0D9A"/>
    <w:rsid w:val="00FE16FC"/>
    <w:rsid w:val="00FE21A5"/>
    <w:rsid w:val="00FE2B7E"/>
    <w:rsid w:val="00FE33DE"/>
    <w:rsid w:val="00FE57C9"/>
    <w:rsid w:val="00FE7485"/>
    <w:rsid w:val="00FF0753"/>
    <w:rsid w:val="00FF15DA"/>
    <w:rsid w:val="00FF1B46"/>
    <w:rsid w:val="00FF2067"/>
    <w:rsid w:val="00FF27A9"/>
    <w:rsid w:val="00FF3A9F"/>
    <w:rsid w:val="00FF3F1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lang w:val="en-GB"/>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it-IT" w:eastAsia="it-IT" w:bidi="it-IT"/>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it-IT" w:eastAsia="it-IT" w:bidi="it-IT"/>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lang w:val="en-GB"/>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it-IT" w:eastAsia="it-IT" w:bidi="it-IT"/>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it-IT" w:eastAsia="it-IT" w:bidi="it-IT"/>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Adam.Plezer@eesc.europa.eu" TargetMode="External"/><Relationship Id="rId39" Type="http://schemas.openxmlformats.org/officeDocument/2006/relationships/hyperlink" Target="mailto:Lucia.MendezDelRioCabra@eesc.europa.eu"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judite.berkemeier@eesc.europa.eu"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dam.Plezer@eesc.europa.eu" TargetMode="External"/><Relationship Id="rId33" Type="http://schemas.openxmlformats.org/officeDocument/2006/relationships/hyperlink" Target="mailto:mariajudite.berkemeier@eesc.europa.eu" TargetMode="External"/><Relationship Id="rId38" Type="http://schemas.openxmlformats.org/officeDocument/2006/relationships/hyperlink" Target="mailto:Tzonka.Iotzova@eesc.europa.e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Stella.BrozekEveraert@eesc.europa.eu"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patrick.feve@eesc.europa.eu" TargetMode="External"/><Relationship Id="rId32" Type="http://schemas.openxmlformats.org/officeDocument/2006/relationships/hyperlink" Target="mailto:Monica.Guarinoni@eesc.europa.eu" TargetMode="External"/><Relationship Id="rId37" Type="http://schemas.openxmlformats.org/officeDocument/2006/relationships/hyperlink" Target="mailto:Rafael.BellonGomez@eesc.europa.eu" TargetMode="External"/><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alexander.alexandrov@eesc.europa.eu" TargetMode="External"/><Relationship Id="rId28" Type="http://schemas.openxmlformats.org/officeDocument/2006/relationships/hyperlink" Target="mailto:Antonio.RibeiroPereira@eesc.europa.eu" TargetMode="External"/><Relationship Id="rId36" Type="http://schemas.openxmlformats.org/officeDocument/2006/relationships/hyperlink" Target="mailto:Laura.Ernsteina@eesc.europa.eu"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Maarit.Laurila@eesc.europa.eu"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t/our-work/opinions-information-reports/plenary-session-summaries" TargetMode="External"/><Relationship Id="rId22" Type="http://schemas.openxmlformats.org/officeDocument/2006/relationships/hyperlink" Target="mailto:Helena.Polomik@eesc.europa.eu" TargetMode="External"/><Relationship Id="rId27" Type="http://schemas.openxmlformats.org/officeDocument/2006/relationships/hyperlink" Target="mailto:Agota.Bazsik@eesc.europa.eu" TargetMode="External"/><Relationship Id="rId30" Type="http://schemas.openxmlformats.org/officeDocument/2006/relationships/hyperlink" Target="mailto:Conrad.Ganslandt@eesc.europa.eu" TargetMode="External"/><Relationship Id="rId35" Type="http://schemas.openxmlformats.org/officeDocument/2006/relationships/hyperlink" Target="mailto:barbara.walentynowicz@eesc.europa.eu" TargetMode="External"/><Relationship Id="rId43" Type="http://schemas.openxmlformats.org/officeDocument/2006/relationships/footer" Target="footer5.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WTPCSN73YJ26-8-5052</_dlc_DocId>
    <_dlc_DocIdUrl xmlns="8a3471f6-0f36-4ccf-b5ee-1ca67ea797ef">
      <Url>http://dm/EESC/2017/_layouts/DocIdRedir.aspx?ID=WTPCSN73YJ26-8-5052</Url>
      <Description>WTPCSN73YJ26-8-5052</Description>
    </_dlc_DocIdUrl>
    <MeetingNumber xmlns="aec2565f-fa8c-45b6-95fc-3f27706042d7">530</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2018-01-03T12:00:00+00:00</ProductionDate>
    <DocumentNumber xmlns="aec2565f-fa8c-45b6-95fc-3f27706042d7">5092</DocumentNumber>
    <FicheYear xmlns="8a3471f6-0f36-4ccf-b5ee-1ca67ea797ef">2017</FicheYea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2017-12-06T12:00:00+00:00</MeetingDate>
    <TaxCatchAll xmlns="8a3471f6-0f36-4ccf-b5ee-1ca67ea797ef">
      <Value>31</Value>
      <Value>38</Value>
      <Value>37</Value>
      <Value>36</Value>
      <Value>35</Value>
      <Value>34</Value>
      <Value>33</Value>
      <Value>32</Value>
      <Value>27</Value>
      <Value>30</Value>
      <Value>29</Value>
      <Value>28</Value>
      <Value>25</Value>
      <Value>26</Value>
      <Value>72</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2</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11BAD-65F9-469C-966B-57FC612CD63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7659020E-AE8D-4826-A566-BFC3490FD1B1}"/>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2272B315-18A8-418C-AEDB-0DE6F18C5CA7}"/>
</file>

<file path=docProps/app.xml><?xml version="1.0" encoding="utf-8"?>
<Properties xmlns="http://schemas.openxmlformats.org/officeDocument/2006/extended-properties" xmlns:vt="http://schemas.openxmlformats.org/officeDocument/2006/docPropsVTypes">
  <Template>Styles</Template>
  <TotalTime>242</TotalTime>
  <Pages>26</Pages>
  <Words>7185</Words>
  <Characters>45760</Characters>
  <Application>Microsoft Office Word</Application>
  <DocSecurity>0</DocSecurity>
  <Lines>381</Lines>
  <Paragraphs>105</Paragraphs>
  <ScaleCrop>false</ScaleCrop>
  <HeadingPairs>
    <vt:vector size="2" baseType="variant">
      <vt:variant>
        <vt:lpstr>Title</vt:lpstr>
      </vt:variant>
      <vt:variant>
        <vt:i4>1</vt:i4>
      </vt:variant>
    </vt:vector>
  </HeadingPairs>
  <TitlesOfParts>
    <vt:vector size="1" baseType="lpstr">
      <vt:lpstr>Synthèse des avis - Session Plénière d'octobre 2017</vt:lpstr>
    </vt:vector>
  </TitlesOfParts>
  <Company>CESE-CdR</Company>
  <LinksUpToDate>false</LinksUpToDate>
  <CharactersWithSpaces>52840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dei pareri della sessione plenaria di dicembre 2017</dc:title>
  <dc:subject>Lavori consultivi, varie</dc:subject>
  <dc:creator>Marcos Jaime Tornin</dc:creator>
  <cp:keywords>EESC-2017-05092-00-02-TCD-TRA-FR</cp:keywords>
  <dc:description>Rapporteur:  - Original language: FR, EN - Date of document: 03/01/2018 - Date of meeting: 06/12/2017 - External documents:  - Administrator: MME Tamasauskiene Julija</dc:description>
  <cp:lastModifiedBy>Federica Fotia</cp:lastModifiedBy>
  <cp:revision>66</cp:revision>
  <cp:lastPrinted>2017-12-01T13:20:00Z</cp:lastPrinted>
  <dcterms:created xsi:type="dcterms:W3CDTF">2017-12-01T14:14:00Z</dcterms:created>
  <dcterms:modified xsi:type="dcterms:W3CDTF">2018-01-03T14:15:00Z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01/12/2017, 16/11/2017, 15/11/2017, 17/10/2017, 13/09/2017, 03/07/2017, 12/06/2017, 02/06/2017, 24/04/2017, 23/03/2017, 13/12/2016, 15/09/2016, 14/09/2016, 14/09/2016, 12/07/2016, 30/06/2016, 29/06/2016, 23/05/2016, 23/05/2016, 25/04/2016, 25/04/2016, 14/</vt:lpwstr>
  </property>
  <property fmtid="{D5CDD505-2E9C-101B-9397-08002B2CF9AE}" pid="4" name="Pref_Time">
    <vt:lpwstr>15:00:14, 15:49:39, 15:47:16, 10:48:52, 11:23:50, 09:51:12, 14:43:57, 12:54:34, 12:22:33, 12:08:44, 12:23:59, 18:12:41, 09:48:43, 08:36:59, 11:43:50, 09:30:52, 17:35:55, 17:02:49, 16:30:20, 11:28:20, 09:54:52, 08:31:22, 17:08:54, 15:59:23, 12:27:50, 12:09</vt:lpwstr>
  </property>
  <property fmtid="{D5CDD505-2E9C-101B-9397-08002B2CF9AE}" pid="5" name="Pref_User">
    <vt:lpwstr>jhvi, amett, tvoc, tvoc, tvoc, amett, hnic, mreg, mreg, enied, mreg, jhvi, tvoc, htoo, mreg, tvoc, hnic, mreg, hnic, amett, nmcg, amett, enied, nmcg, amett, enied, ymur, tvoc, nmcg, vvos, ssex, vvos, vvos, mkop, nmcg, amett, htoo, tvoc, dtai, nmcg, amett,</vt:lpwstr>
  </property>
  <property fmtid="{D5CDD505-2E9C-101B-9397-08002B2CF9AE}" pid="6" name="Pref_FileName">
    <vt:lpwstr>EESC-2017-05092-00-00-TCD-ORI.docx, EESC-2017-04270-00-02-TCD-ORI.docx, EESC-2017-04270-00-01-TCD-ORI.docx, EESC-2017-04270-00-00-TCD-ORI.docx, EESC-2017-03479-00-00-TCD-ORI.docx, EESC-2017-02707-00-00-TCD-ORI.docx, EESC-2017-02321-00-01-TCD-ORI.docx, EES</vt:lpwstr>
  </property>
  <property fmtid="{D5CDD505-2E9C-101B-9397-08002B2CF9AE}" pid="7" name="ContentTypeId">
    <vt:lpwstr>0x010100EA97B91038054C99906057A708A1480A0098B203C585D2E54E8477D21D46703D0B</vt:lpwstr>
  </property>
  <property fmtid="{D5CDD505-2E9C-101B-9397-08002B2CF9AE}" pid="8" name="_dlc_DocIdItemGuid">
    <vt:lpwstr>ce3f19c0-30df-4fe7-831e-3d6cfd14b827</vt:lpwstr>
  </property>
  <property fmtid="{D5CDD505-2E9C-101B-9397-08002B2CF9AE}" pid="9" name="MeetingNumber">
    <vt:i4>530</vt:i4>
  </property>
  <property fmtid="{D5CDD505-2E9C-101B-9397-08002B2CF9AE}" pid="10" name="DocumentType_0">
    <vt:lpwstr>TCD|cd9d6eb6-3f4f-424a-b2d1-57c9d450eaaf</vt:lpwstr>
  </property>
  <property fmtid="{D5CDD505-2E9C-101B-9397-08002B2CF9AE}" pid="11" name="AvailableTranslations">
    <vt:lpwstr>37;#RO|feb747a2-64cd-4299-af12-4833ddc30497;#28;#ET|ff6c3f4c-b02c-4c3c-ab07-2c37995a7a0a;#24;#EL|6d4f4d51-af9b-4650-94b4-4276bee85c91;#36;#BG|1a1b3951-7821-4e6a-85f5-5673fc08bd2c;#18;#DE|f6b31e5a-26fa-4935-b661-318e46daf27e;#4;#EN|f2175f21-25d7-44a3-96da-d6a61b075e1b;#22;#IT|0774613c-01ed-4e5d-a25d-11d2388de825;#14;#ES|e7a6b05b-ae16-40c8-add9-68b64b03aeba;#25;#FI|87606a43-d45f-42d6-b8c9-e1a3457db5b7;#30;#LV|46f7e311-5d9f-4663-b433-18aeccb7ace7;#26;#SV|c2ed69e7-a339-43d7-8f22-d93680a92aa0;#23;#DA|5d49c027-8956-412b-aa16-e85a0f96ad0e;#34;#SK|46d9fce0-ef79-4f71-b89b-cd6aa82426b8;#35;#SL|98a412ae-eb01-49e9-ae3d-585a81724cfc;#29;#HU|6b229040-c589-4408-b4c1-4285663d20a8;#12;#NL|55c6556c-b4f4-441d-9acf-c498d4f838bd;#27;#CS|72f9705b-0217-4fd3-bea2-cbc7ed80e26e;#15;#PT|50ccc04a-eadd-42ae-a0cb-acaf45f812ba;#33;#PL|1e03da61-4678-4e07-b136-b5024ca9197b;#32;#MT|7df99101-6854-4a26-b53a-b88c0da02c26;#38;#HR|2f555653-ed1a-4fe6-8362-9082d95989e5;#8;#FR|d2afafd3-4c81-4f60-8f52-ee33f2f54ff3;#31;#LT|a7ff5ce7-6123-4f68-865a-a57c31810414</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5092</vt:i4>
  </property>
  <property fmtid="{D5CDD505-2E9C-101B-9397-08002B2CF9AE}" pid="16" name="DocumentVersion">
    <vt:i4>2</vt:i4>
  </property>
  <property fmtid="{D5CDD505-2E9C-101B-9397-08002B2CF9AE}" pid="17" name="DocumentSource">
    <vt:lpwstr>1;#EESC|422833ec-8d7e-4e65-8e4e-8bed07ffb729</vt:lpwstr>
  </property>
  <property fmtid="{D5CDD505-2E9C-101B-9397-08002B2CF9AE}" pid="19" name="DocumentType">
    <vt:lpwstr>17;#TCD|cd9d6eb6-3f4f-424a-b2d1-57c9d450eaaf</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8;#FR|d2afafd3-4c81-4f60-8f52-ee33f2f54ff3;#4;#EN|f2175f21-25d7-44a3-96da-d6a61b075e1b</vt:lpwstr>
  </property>
  <property fmtid="{D5CDD505-2E9C-101B-9397-08002B2CF9AE}" pid="28" name="MeetingName">
    <vt:lpwstr>72;#SPL-CES|32d8cb1f-c9ec-4365-95c7-8385a18618ac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FR|d2afafd3-4c81-4f60-8f52-ee33f2f54ff3;EN|f2175f21-25d7-44a3-96da-d6a61b075e1b</vt:lpwstr>
  </property>
  <property fmtid="{D5CDD505-2E9C-101B-9397-08002B2CF9AE}" pid="31" name="MeetingDate">
    <vt:filetime>2017-12-06T12:00:00Z</vt:filetime>
  </property>
  <property fmtid="{D5CDD505-2E9C-101B-9397-08002B2CF9AE}" pid="32" name="TaxCatchAll">
    <vt:lpwstr>17;#TCD|cd9d6eb6-3f4f-424a-b2d1-57c9d450eaaf;#31;#LT|a7ff5ce7-6123-4f68-865a-a57c31810414;#12;#NL|55c6556c-b4f4-441d-9acf-c498d4f838bd;#33;#PL|1e03da61-4678-4e07-b136-b5024ca9197b;#29;#HU|6b229040-c589-4408-b4c1-4285663d20a8;#25;#FI|87606a43-d45f-42d6-b8c9-e1a3457db5b7;#8;#FR|d2afafd3-4c81-4f60-8f52-ee33f2f54ff3;#24;#EL|6d4f4d51-af9b-4650-94b4-4276bee85c91;#6;#Final|ea5e6674-7b27-4bac-b091-73adbb394efe;#5;#Unrestricted|826e22d7-d029-4ec0-a450-0c28ff673572;#4;#EN|f2175f21-25d7-44a3-96da-d6a61b075e1b;#72;#SPL-CES|32d8cb1f-c9ec-4365-95c7-8385a18618ac;#2;#TRA|150d2a88-1431-44e6-a8ca-0bb753ab8672;#1;#EESC|422833ec-8d7e-4e65-8e4e-8bed07ffb729</vt:lpwstr>
  </property>
  <property fmtid="{D5CDD505-2E9C-101B-9397-08002B2CF9AE}" pid="33" name="AvailableTranslations_0">
    <vt:lpwstr>EL|6d4f4d51-af9b-4650-94b4-4276bee85c91;FI|87606a43-d45f-42d6-b8c9-e1a3457db5b7;HU|6b229040-c589-4408-b4c1-4285663d20a8;NL|55c6556c-b4f4-441d-9acf-c498d4f838bd;PL|1e03da61-4678-4e07-b136-b5024ca9197b;LT|a7ff5ce7-6123-4f68-865a-a57c31810414</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2</vt:i4>
  </property>
  <property fmtid="{D5CDD505-2E9C-101B-9397-08002B2CF9AE}" pid="37" name="DocumentYear">
    <vt:i4>2017</vt:i4>
  </property>
  <property fmtid="{D5CDD505-2E9C-101B-9397-08002B2CF9AE}" pid="38" name="DocumentLanguage">
    <vt:lpwstr>22;#IT|0774613c-01ed-4e5d-a25d-11d2388de825</vt:lpwstr>
  </property>
</Properties>
</file>