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0B5E2" w14:textId="77777777" w:rsidR="00DD1DD0" w:rsidRPr="002809A9" w:rsidRDefault="00DD1DD0" w:rsidP="00DD1DD0">
      <w:pPr>
        <w:spacing w:after="0" w:line="240" w:lineRule="auto"/>
        <w:rPr>
          <w:rFonts w:ascii="Century Gothic" w:hAnsi="Century Gothic"/>
          <w:b/>
          <w:sz w:val="8"/>
          <w:szCs w:val="28"/>
        </w:rPr>
      </w:pPr>
      <w:r w:rsidRPr="002809A9">
        <w:rPr>
          <w:rFonts w:ascii="Century Gothic" w:hAnsi="Century Gothic"/>
          <w:b/>
          <w:noProof/>
          <w:sz w:val="8"/>
          <w:szCs w:val="28"/>
          <w:lang w:val="en-US" w:eastAsia="en-US" w:bidi="ar-SA"/>
        </w:rPr>
        <mc:AlternateContent>
          <mc:Choice Requires="wps">
            <w:drawing>
              <wp:anchor distT="0" distB="0" distL="114300" distR="114300" simplePos="0" relativeHeight="251659264" behindDoc="1" locked="0" layoutInCell="0" allowOverlap="1" wp14:anchorId="7DD5487C" wp14:editId="7A4ABAC6">
                <wp:simplePos x="0" y="0"/>
                <wp:positionH relativeFrom="page">
                  <wp:posOffset>9901555</wp:posOffset>
                </wp:positionH>
                <wp:positionV relativeFrom="page">
                  <wp:posOffset>6985000</wp:posOffset>
                </wp:positionV>
                <wp:extent cx="647700" cy="396240"/>
                <wp:effectExtent l="0" t="3175"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749FB" w14:textId="77777777" w:rsidR="00DD1DD0" w:rsidRDefault="00DD1DD0">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65pt;margin-top:550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b0swIAALg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" o:allowincell="f" filled="f" stroked="f">
                <v:textbox>
                  <w:txbxContent>
                    <w:p w14:paraId="387749FB" w14:textId="77777777" w:rsidR="00DD1DD0" w:rsidRDefault="00DD1DD0">
                      <w:pPr>
                        <w:jc w:val="center"/>
                        <w:rPr>
                          <w:rFonts w:ascii="Arial" w:hAnsi="Arial" w:cs="Arial"/>
                          <w:b/>
                          <w:bCs/>
                          <w:sz w:val="48"/>
                        </w:rPr>
                      </w:pPr>
                      <w:r>
                        <w:rPr>
                          <w:rFonts w:ascii="Arial" w:hAnsi="Arial"/>
                          <w:b/>
                          <w:sz w:val="48"/>
                        </w:rPr>
                        <w:t>EN</w:t>
                      </w:r>
                    </w:p>
                  </w:txbxContent>
                </v:textbox>
                <w10:wrap anchorx="page" anchory="page"/>
              </v:shape>
            </w:pict>
          </mc:Fallback>
        </mc:AlternateContent>
      </w:r>
    </w:p>
    <w:p w14:paraId="59DE87C6" w14:textId="3D0F80CB" w:rsidR="00E96655" w:rsidRPr="002809A9" w:rsidRDefault="000A5A63">
      <w:pPr>
        <w:rPr>
          <w:rFonts w:ascii="Century Gothic" w:hAnsi="Century Gothic"/>
          <w:b/>
          <w:sz w:val="28"/>
          <w:szCs w:val="28"/>
        </w:rPr>
      </w:pPr>
      <w:r w:rsidRPr="002809A9">
        <w:rPr>
          <w:rFonts w:ascii="Century Gothic" w:hAnsi="Century Gothic"/>
          <w:b/>
          <w:sz w:val="28"/>
        </w:rPr>
        <w:t>Manifesto of liberal professions at European level</w:t>
      </w:r>
    </w:p>
    <w:p w14:paraId="490BAD9E" w14:textId="23283173" w:rsidR="00F91C87" w:rsidRPr="002809A9" w:rsidRDefault="000A5A63">
      <w:pPr>
        <w:rPr>
          <w:rFonts w:ascii="Century Gothic" w:hAnsi="Century Gothic"/>
          <w:i/>
          <w:sz w:val="20"/>
          <w:szCs w:val="20"/>
        </w:rPr>
      </w:pPr>
      <w:r w:rsidRPr="002809A9">
        <w:rPr>
          <w:rFonts w:ascii="Century Gothic" w:hAnsi="Century Gothic"/>
          <w:i/>
          <w:sz w:val="20"/>
        </w:rPr>
        <w:t>The Capitoline Hill, Rome, 4 December 2017</w:t>
      </w:r>
    </w:p>
    <w:p w14:paraId="60105572" w14:textId="46B252C9" w:rsidR="00CF198F" w:rsidRPr="002809A9" w:rsidRDefault="00CF198F" w:rsidP="00001B48">
      <w:pPr>
        <w:jc w:val="both"/>
        <w:rPr>
          <w:rFonts w:ascii="Century Gothic" w:hAnsi="Century Gothic"/>
          <w:i/>
          <w:sz w:val="20"/>
          <w:szCs w:val="20"/>
        </w:rPr>
      </w:pPr>
      <w:r w:rsidRPr="002809A9">
        <w:rPr>
          <w:rFonts w:ascii="Century Gothic" w:hAnsi="Century Gothic"/>
          <w:i/>
          <w:sz w:val="20"/>
        </w:rPr>
        <w:t>Since the Treaties of Rome were signed on this historical site, the liberal professions have been a recognised element of European civil society. In addition to being important economically, they also have constitutive significance for the overall liberal system underpinning European civil society, and the civil rights it guarantees.</w:t>
      </w:r>
      <w:r w:rsidR="002809A9">
        <w:rPr>
          <w:rFonts w:ascii="Century Gothic" w:hAnsi="Century Gothic"/>
          <w:i/>
          <w:sz w:val="20"/>
        </w:rPr>
        <w:t xml:space="preserve"> </w:t>
      </w:r>
      <w:r w:rsidRPr="002809A9">
        <w:rPr>
          <w:rFonts w:ascii="Century Gothic" w:hAnsi="Century Gothic"/>
          <w:i/>
          <w:sz w:val="20"/>
        </w:rPr>
        <w:t>In this connection, the key elements of the liberal professions are subject to professional regulations of varying intensity and with different characteristics. These rules may come into conflict with one another when services are provided across borders. This has resulted in various measures to standardise the rules and attempts to cut regulation applying to specific countries. According to the European Commission, less regulation means more border traffic and more growth based on professional services.</w:t>
      </w:r>
    </w:p>
    <w:p w14:paraId="6DAAE874" w14:textId="77777777" w:rsidR="000336D2" w:rsidRPr="001910B7" w:rsidRDefault="000336D2" w:rsidP="00001B48">
      <w:pPr>
        <w:jc w:val="both"/>
        <w:rPr>
          <w:rFonts w:ascii="Century Gothic" w:hAnsi="Century Gothic"/>
          <w:sz w:val="24"/>
        </w:rPr>
      </w:pPr>
      <w:r w:rsidRPr="001910B7">
        <w:rPr>
          <w:rFonts w:ascii="Century Gothic" w:hAnsi="Century Gothic"/>
          <w:sz w:val="24"/>
        </w:rPr>
        <w:t>Since the beginning of the internal market for services and the European Commission’s efforts to implement it, the liberal professions have been struggling with the European institutions to find out what these economic rules mean, and whether they are transferable.</w:t>
      </w:r>
      <w:bookmarkStart w:id="0" w:name="_GoBack"/>
      <w:bookmarkEnd w:id="0"/>
    </w:p>
    <w:p w14:paraId="50A49583" w14:textId="77777777" w:rsidR="00036244" w:rsidRPr="002809A9" w:rsidRDefault="00036244" w:rsidP="000336D2">
      <w:pPr>
        <w:rPr>
          <w:rFonts w:ascii="Century Gothic" w:hAnsi="Century Gothic"/>
          <w:b/>
          <w:sz w:val="24"/>
          <w:szCs w:val="24"/>
        </w:rPr>
      </w:pPr>
      <w:r w:rsidRPr="002809A9">
        <w:rPr>
          <w:rFonts w:ascii="Century Gothic" w:hAnsi="Century Gothic"/>
          <w:b/>
          <w:sz w:val="24"/>
        </w:rPr>
        <w:t>Background</w:t>
      </w:r>
    </w:p>
    <w:p w14:paraId="5508A7AB" w14:textId="77777777" w:rsidR="007F2A60" w:rsidRPr="002809A9" w:rsidRDefault="008E519B" w:rsidP="008E519B">
      <w:pPr>
        <w:jc w:val="both"/>
        <w:rPr>
          <w:rFonts w:ascii="Century Gothic" w:hAnsi="Century Gothic"/>
          <w:sz w:val="24"/>
          <w:szCs w:val="24"/>
        </w:rPr>
      </w:pPr>
      <w:r w:rsidRPr="002809A9">
        <w:rPr>
          <w:rFonts w:ascii="Century Gothic" w:hAnsi="Century Gothic"/>
          <w:sz w:val="24"/>
        </w:rPr>
        <w:t xml:space="preserve">This struggle is reflected in several current developments, including the various infringement procedures and the services </w:t>
      </w:r>
      <w:proofErr w:type="gramStart"/>
      <w:r w:rsidRPr="002809A9">
        <w:rPr>
          <w:rFonts w:ascii="Century Gothic" w:hAnsi="Century Gothic"/>
          <w:sz w:val="24"/>
        </w:rPr>
        <w:t>package</w:t>
      </w:r>
      <w:proofErr w:type="gramEnd"/>
      <w:r w:rsidRPr="002809A9">
        <w:rPr>
          <w:rFonts w:ascii="Century Gothic" w:hAnsi="Century Gothic"/>
          <w:sz w:val="24"/>
        </w:rPr>
        <w:t xml:space="preserve"> presented in January 2017. From the European Commission’s perspective, the liberal professions are part of the regulated professions. No distinction is made between the liberal professions and other regulated professions. </w:t>
      </w:r>
    </w:p>
    <w:p w14:paraId="4815263C" w14:textId="77777777" w:rsidR="00525920" w:rsidRPr="002809A9" w:rsidRDefault="008E519B" w:rsidP="008E519B">
      <w:pPr>
        <w:jc w:val="both"/>
        <w:rPr>
          <w:rFonts w:ascii="Century Gothic" w:hAnsi="Century Gothic"/>
          <w:sz w:val="24"/>
          <w:szCs w:val="24"/>
        </w:rPr>
      </w:pPr>
      <w:r w:rsidRPr="002809A9">
        <w:rPr>
          <w:rFonts w:ascii="Century Gothic" w:hAnsi="Century Gothic"/>
          <w:sz w:val="24"/>
        </w:rPr>
        <w:t xml:space="preserve">It is likely that this debate will continue, and that the pressure on these professions to cut regulation in the interests of more economic growth will become much more intense. If we want to shed light on the specific characteristics of the liberal professions in general and, more specifically, as regards the tension between regulation and liberalisation, we need to work towards a common understanding of the liberal professions and an appropriate definition at European level. To date, various European legislative documents, European Parliament resolutions, rulings of the European Court of Justice (ECJ) and other EU initiatives have made reference to the liberal professions but without providing an exhaustive definition of this concept. Examples include the mention in Article 57(d) TFEU relating to the provision of services, and Recital 43 of the Professional Qualifications Directive adopted in 2005. </w:t>
      </w:r>
    </w:p>
    <w:p w14:paraId="6E68A0D7" w14:textId="391E2ADF" w:rsidR="00AB195D" w:rsidRPr="002809A9" w:rsidRDefault="007F2A60" w:rsidP="005F7F40">
      <w:pPr>
        <w:jc w:val="both"/>
        <w:rPr>
          <w:rFonts w:ascii="Century Gothic" w:hAnsi="Century Gothic"/>
          <w:sz w:val="24"/>
          <w:szCs w:val="24"/>
        </w:rPr>
      </w:pPr>
      <w:r w:rsidRPr="002809A9">
        <w:rPr>
          <w:rFonts w:ascii="Century Gothic" w:hAnsi="Century Gothic"/>
          <w:sz w:val="24"/>
        </w:rPr>
        <w:lastRenderedPageBreak/>
        <w:t xml:space="preserve">A common European definition of the liberal professions could be added to, and combined with, existing legal definitions under national law as well as other definitions. In particular, these include the list of criteria drawn up by the ECJ in 2001, Recital 43 of the 2005 Professional Qualifications Directive as well as definitions developed by various European (umbrella) associations in recent years. </w:t>
      </w:r>
    </w:p>
    <w:p w14:paraId="3EEF382A" w14:textId="3006D087" w:rsidR="005F7F40" w:rsidRPr="002809A9" w:rsidRDefault="007F2A60" w:rsidP="005F7F40">
      <w:pPr>
        <w:jc w:val="both"/>
        <w:rPr>
          <w:rFonts w:ascii="Century Gothic" w:hAnsi="Century Gothic"/>
          <w:sz w:val="24"/>
          <w:szCs w:val="24"/>
        </w:rPr>
      </w:pPr>
      <w:r w:rsidRPr="002809A9">
        <w:rPr>
          <w:rFonts w:ascii="Century Gothic" w:hAnsi="Century Gothic"/>
          <w:sz w:val="24"/>
        </w:rPr>
        <w:t>A common European definition should be based on existing definitions and key common elements, without being overly rigid, especially so that it can accommodate changes to the world of work and the emergence of new professions. It could lead to efforts in the European institutions to build consensus around which social interests service providers require specific regulation because of the distinct nature of their work.</w:t>
      </w:r>
      <w:r w:rsidR="002809A9">
        <w:rPr>
          <w:rFonts w:ascii="Century Gothic" w:hAnsi="Century Gothic"/>
          <w:sz w:val="24"/>
        </w:rPr>
        <w:t xml:space="preserve"> </w:t>
      </w:r>
      <w:r w:rsidRPr="002809A9">
        <w:rPr>
          <w:rFonts w:ascii="Century Gothic" w:hAnsi="Century Gothic"/>
          <w:sz w:val="24"/>
        </w:rPr>
        <w:t>Such regulation would frame the areas of European competition applicable to service providers in such a way that they are able to fulfil their specific requirements and tasks and can grow.</w:t>
      </w:r>
    </w:p>
    <w:p w14:paraId="7A4A77D9" w14:textId="77777777" w:rsidR="00D83802" w:rsidRPr="002809A9" w:rsidRDefault="00D83802" w:rsidP="005F7F40">
      <w:pPr>
        <w:jc w:val="both"/>
        <w:rPr>
          <w:rFonts w:ascii="Century Gothic" w:hAnsi="Century Gothic"/>
          <w:sz w:val="24"/>
          <w:szCs w:val="24"/>
        </w:rPr>
      </w:pPr>
      <w:r w:rsidRPr="002809A9">
        <w:rPr>
          <w:rFonts w:ascii="Century Gothic" w:hAnsi="Century Gothic"/>
          <w:sz w:val="24"/>
        </w:rPr>
        <w:t>By proceeding in this way, the EESC has met its advisory responsibilities vis-à-vis the European Commission, the Council and the Parliament with the aim of rebuilding trust in Europe and strengthening the Single Market.</w:t>
      </w:r>
    </w:p>
    <w:p w14:paraId="15E4C2CF" w14:textId="77777777" w:rsidR="00BC0B3B" w:rsidRPr="002809A9" w:rsidRDefault="00BC0B3B" w:rsidP="00BC0B3B">
      <w:pPr>
        <w:jc w:val="both"/>
        <w:rPr>
          <w:rFonts w:ascii="Century Gothic" w:hAnsi="Century Gothic"/>
          <w:b/>
          <w:sz w:val="24"/>
          <w:szCs w:val="24"/>
        </w:rPr>
      </w:pPr>
    </w:p>
    <w:p w14:paraId="04124629" w14:textId="77777777" w:rsidR="00BC0B3B" w:rsidRPr="002809A9" w:rsidRDefault="00036244" w:rsidP="00001B48">
      <w:pPr>
        <w:pStyle w:val="ListParagraph"/>
        <w:numPr>
          <w:ilvl w:val="0"/>
          <w:numId w:val="4"/>
        </w:numPr>
        <w:ind w:left="567" w:hanging="567"/>
        <w:jc w:val="both"/>
        <w:rPr>
          <w:rFonts w:ascii="Century Gothic" w:hAnsi="Century Gothic"/>
          <w:b/>
          <w:sz w:val="24"/>
          <w:szCs w:val="24"/>
        </w:rPr>
      </w:pPr>
      <w:r w:rsidRPr="002809A9">
        <w:rPr>
          <w:rFonts w:ascii="Century Gothic" w:hAnsi="Century Gothic"/>
          <w:b/>
          <w:sz w:val="24"/>
        </w:rPr>
        <w:t>Outcomes of the conference: description of the liberal professions in the past, present and future</w:t>
      </w:r>
    </w:p>
    <w:p w14:paraId="4C1A46E5" w14:textId="77777777" w:rsidR="00036244" w:rsidRPr="002809A9" w:rsidRDefault="00036244" w:rsidP="00036244">
      <w:pPr>
        <w:jc w:val="both"/>
        <w:rPr>
          <w:rFonts w:ascii="Century Gothic" w:hAnsi="Century Gothic"/>
          <w:b/>
          <w:sz w:val="24"/>
          <w:szCs w:val="24"/>
        </w:rPr>
      </w:pPr>
      <w:r w:rsidRPr="002809A9">
        <w:rPr>
          <w:rFonts w:ascii="Century Gothic" w:hAnsi="Century Gothic"/>
          <w:b/>
          <w:sz w:val="24"/>
        </w:rPr>
        <w:t>European criteria for the definition of the liberal professions</w:t>
      </w:r>
    </w:p>
    <w:p w14:paraId="271E9B48" w14:textId="165A970B" w:rsidR="00036244" w:rsidRPr="002809A9" w:rsidRDefault="00036244" w:rsidP="00036244">
      <w:pPr>
        <w:jc w:val="both"/>
        <w:rPr>
          <w:rFonts w:ascii="Century Gothic" w:hAnsi="Century Gothic"/>
          <w:sz w:val="24"/>
          <w:szCs w:val="24"/>
        </w:rPr>
      </w:pPr>
      <w:r w:rsidRPr="002809A9">
        <w:rPr>
          <w:rFonts w:ascii="Century Gothic" w:hAnsi="Century Gothic"/>
          <w:sz w:val="24"/>
        </w:rPr>
        <w:t xml:space="preserve">Drawing on the discussions taking place in Europe, the conference highlighted that the concept of liberal professions consisted of various elements that could be used for a European definition. </w:t>
      </w:r>
    </w:p>
    <w:p w14:paraId="5C37D5B2" w14:textId="099CC535" w:rsidR="00036244" w:rsidRPr="002809A9" w:rsidRDefault="00036244" w:rsidP="00E03D55">
      <w:pPr>
        <w:keepNext/>
        <w:jc w:val="both"/>
        <w:rPr>
          <w:rFonts w:ascii="Century Gothic" w:hAnsi="Century Gothic"/>
          <w:b/>
          <w:sz w:val="24"/>
          <w:szCs w:val="24"/>
        </w:rPr>
      </w:pPr>
      <w:r w:rsidRPr="002809A9">
        <w:rPr>
          <w:rFonts w:ascii="Century Gothic" w:hAnsi="Century Gothic"/>
          <w:sz w:val="24"/>
        </w:rPr>
        <w:t xml:space="preserve">The liberal professions can be characterised as follows: </w:t>
      </w:r>
    </w:p>
    <w:p w14:paraId="650E04DF" w14:textId="77777777" w:rsidR="00036244" w:rsidRPr="002809A9" w:rsidRDefault="00036244" w:rsidP="00036244">
      <w:pPr>
        <w:pStyle w:val="ListParagraph"/>
        <w:numPr>
          <w:ilvl w:val="0"/>
          <w:numId w:val="2"/>
        </w:numPr>
        <w:rPr>
          <w:rFonts w:ascii="Century Gothic" w:hAnsi="Century Gothic"/>
          <w:sz w:val="24"/>
          <w:szCs w:val="24"/>
        </w:rPr>
      </w:pPr>
      <w:r w:rsidRPr="002809A9">
        <w:rPr>
          <w:rFonts w:ascii="Century Gothic" w:hAnsi="Century Gothic"/>
          <w:sz w:val="24"/>
        </w:rPr>
        <w:t xml:space="preserve">they provide intellectual services based on a specific professional qualification or skill, </w:t>
      </w:r>
    </w:p>
    <w:p w14:paraId="65DDDED6" w14:textId="77777777" w:rsidR="00036244" w:rsidRPr="002809A9" w:rsidRDefault="00036244" w:rsidP="00036244">
      <w:pPr>
        <w:pStyle w:val="ListParagraph"/>
        <w:numPr>
          <w:ilvl w:val="0"/>
          <w:numId w:val="2"/>
        </w:numPr>
        <w:rPr>
          <w:rFonts w:ascii="Century Gothic" w:hAnsi="Century Gothic"/>
          <w:sz w:val="24"/>
          <w:szCs w:val="24"/>
        </w:rPr>
      </w:pPr>
      <w:r w:rsidRPr="002809A9">
        <w:rPr>
          <w:rFonts w:ascii="Century Gothic" w:hAnsi="Century Gothic"/>
          <w:sz w:val="24"/>
        </w:rPr>
        <w:t>these services are provided personally and are based on a relationship of trust,</w:t>
      </w:r>
    </w:p>
    <w:p w14:paraId="0BBAB34D" w14:textId="77777777" w:rsidR="00036244" w:rsidRPr="002809A9" w:rsidRDefault="00036244" w:rsidP="00036244">
      <w:pPr>
        <w:pStyle w:val="ListParagraph"/>
        <w:numPr>
          <w:ilvl w:val="0"/>
          <w:numId w:val="2"/>
        </w:numPr>
        <w:rPr>
          <w:rFonts w:ascii="Century Gothic" w:hAnsi="Century Gothic"/>
          <w:sz w:val="24"/>
          <w:szCs w:val="24"/>
        </w:rPr>
      </w:pPr>
      <w:r w:rsidRPr="002809A9">
        <w:rPr>
          <w:rFonts w:ascii="Century Gothic" w:hAnsi="Century Gothic"/>
          <w:sz w:val="24"/>
        </w:rPr>
        <w:t>the activity is carried out autonomously and on a professionally independently basis,</w:t>
      </w:r>
    </w:p>
    <w:p w14:paraId="147D589B" w14:textId="77777777" w:rsidR="00036244" w:rsidRPr="002809A9" w:rsidRDefault="00036244" w:rsidP="00036244">
      <w:pPr>
        <w:pStyle w:val="ListParagraph"/>
        <w:numPr>
          <w:ilvl w:val="0"/>
          <w:numId w:val="2"/>
        </w:numPr>
        <w:rPr>
          <w:rFonts w:ascii="Century Gothic" w:hAnsi="Century Gothic"/>
          <w:sz w:val="24"/>
          <w:szCs w:val="24"/>
        </w:rPr>
      </w:pPr>
      <w:r w:rsidRPr="002809A9">
        <w:rPr>
          <w:rFonts w:ascii="Century Gothic" w:hAnsi="Century Gothic"/>
          <w:sz w:val="24"/>
        </w:rPr>
        <w:lastRenderedPageBreak/>
        <w:t xml:space="preserve">the liberal professions are characterised by a professional ethos, they have an obligation to the contracting authority and are required to act in the public interest, </w:t>
      </w:r>
    </w:p>
    <w:p w14:paraId="27BCFEAA" w14:textId="2C613466" w:rsidR="00036244" w:rsidRPr="002809A9" w:rsidRDefault="00036244" w:rsidP="00036244">
      <w:pPr>
        <w:pStyle w:val="ListParagraph"/>
        <w:numPr>
          <w:ilvl w:val="0"/>
          <w:numId w:val="2"/>
        </w:numPr>
        <w:rPr>
          <w:rFonts w:ascii="Century Gothic" w:hAnsi="Century Gothic"/>
          <w:sz w:val="24"/>
          <w:szCs w:val="24"/>
        </w:rPr>
      </w:pPr>
      <w:proofErr w:type="gramStart"/>
      <w:r w:rsidRPr="002809A9">
        <w:rPr>
          <w:rFonts w:ascii="Century Gothic" w:hAnsi="Century Gothic"/>
          <w:sz w:val="24"/>
        </w:rPr>
        <w:t>and</w:t>
      </w:r>
      <w:proofErr w:type="gramEnd"/>
      <w:r w:rsidRPr="002809A9">
        <w:rPr>
          <w:rFonts w:ascii="Century Gothic" w:hAnsi="Century Gothic"/>
          <w:sz w:val="24"/>
        </w:rPr>
        <w:t xml:space="preserve"> they are subject to a system of professional organisation and oversight.</w:t>
      </w:r>
    </w:p>
    <w:p w14:paraId="188276C2" w14:textId="77777777" w:rsidR="00C8022A" w:rsidRPr="002809A9" w:rsidRDefault="0053546F" w:rsidP="0053546F">
      <w:pPr>
        <w:pStyle w:val="ListParagraph"/>
        <w:numPr>
          <w:ilvl w:val="0"/>
          <w:numId w:val="2"/>
        </w:numPr>
        <w:jc w:val="both"/>
        <w:rPr>
          <w:rFonts w:ascii="Century Gothic" w:hAnsi="Century Gothic"/>
          <w:sz w:val="24"/>
          <w:szCs w:val="24"/>
        </w:rPr>
      </w:pPr>
      <w:r w:rsidRPr="002809A9">
        <w:rPr>
          <w:rFonts w:ascii="Century Gothic" w:hAnsi="Century Gothic"/>
          <w:sz w:val="24"/>
        </w:rPr>
        <w:t xml:space="preserve">The above characteristics do not appear altogether in every definition. Some features are increasingly commonly, while others appear only occasionally or are worded differently with varying levels of significance attached. Relatively often, mention is made of particular qualifications, the intellectual nature of the service provided and the autonomy/independence of those belonging to a liberal profession. Reference to a special relationship of trust and public service obligations is also to be found in some definitions. </w:t>
      </w:r>
    </w:p>
    <w:p w14:paraId="2037154E" w14:textId="08267517" w:rsidR="000A5A63" w:rsidRPr="002809A9" w:rsidRDefault="0053546F" w:rsidP="0053546F">
      <w:pPr>
        <w:pStyle w:val="ListParagraph"/>
        <w:numPr>
          <w:ilvl w:val="0"/>
          <w:numId w:val="2"/>
        </w:numPr>
        <w:jc w:val="both"/>
        <w:rPr>
          <w:rFonts w:ascii="Century Gothic" w:hAnsi="Century Gothic"/>
          <w:sz w:val="24"/>
          <w:szCs w:val="24"/>
        </w:rPr>
      </w:pPr>
      <w:r w:rsidRPr="002809A9">
        <w:rPr>
          <w:rFonts w:ascii="Century Gothic" w:hAnsi="Century Gothic"/>
          <w:sz w:val="24"/>
        </w:rPr>
        <w:t>The same applies to the idea of personal provision. Fewer matches are found with regard to laws governing professions, professional self-governance, the need for registration, a professional code of conduct and ethical principles. Definitions from the German-speaking world are generally more comprehensive and include more criteria than definitions from other EU Member States. A European definition should include a sufficient number of criteria, without being too unwieldy or overly complicated.</w:t>
      </w:r>
    </w:p>
    <w:p w14:paraId="552C5070" w14:textId="10B8D4FD" w:rsidR="0053546F" w:rsidRPr="002809A9" w:rsidRDefault="0053546F" w:rsidP="003F66F0">
      <w:pPr>
        <w:pStyle w:val="ListParagraph"/>
        <w:jc w:val="both"/>
        <w:rPr>
          <w:rFonts w:ascii="Century Gothic" w:hAnsi="Century Gothic"/>
          <w:sz w:val="24"/>
          <w:szCs w:val="24"/>
        </w:rPr>
      </w:pPr>
    </w:p>
    <w:p w14:paraId="2480778D" w14:textId="14CBFD1E" w:rsidR="00036244" w:rsidRPr="002809A9" w:rsidRDefault="00036244" w:rsidP="00001B48">
      <w:pPr>
        <w:rPr>
          <w:rFonts w:ascii="Century Gothic" w:hAnsi="Century Gothic"/>
          <w:b/>
          <w:sz w:val="24"/>
          <w:szCs w:val="24"/>
        </w:rPr>
      </w:pPr>
      <w:r w:rsidRPr="002809A9">
        <w:rPr>
          <w:rFonts w:ascii="Century Gothic" w:hAnsi="Century Gothic"/>
          <w:b/>
          <w:sz w:val="24"/>
        </w:rPr>
        <w:t xml:space="preserve">Questions for the future </w:t>
      </w:r>
      <w:proofErr w:type="gramStart"/>
      <w:r w:rsidRPr="002809A9">
        <w:rPr>
          <w:rFonts w:ascii="Century Gothic" w:hAnsi="Century Gothic"/>
          <w:b/>
          <w:sz w:val="24"/>
        </w:rPr>
        <w:t>raised</w:t>
      </w:r>
      <w:proofErr w:type="gramEnd"/>
      <w:r w:rsidRPr="002809A9">
        <w:rPr>
          <w:rFonts w:ascii="Century Gothic" w:hAnsi="Century Gothic"/>
          <w:b/>
          <w:sz w:val="24"/>
        </w:rPr>
        <w:t xml:space="preserve"> at the conference and to be further explored by the EESC:</w:t>
      </w:r>
    </w:p>
    <w:p w14:paraId="6F771384" w14:textId="4A87959F" w:rsidR="0053546F" w:rsidRPr="002809A9" w:rsidRDefault="0053546F" w:rsidP="007F2A60">
      <w:pPr>
        <w:jc w:val="both"/>
        <w:rPr>
          <w:rFonts w:ascii="Century Gothic" w:hAnsi="Century Gothic"/>
          <w:sz w:val="24"/>
          <w:szCs w:val="24"/>
        </w:rPr>
      </w:pPr>
      <w:r w:rsidRPr="002809A9">
        <w:rPr>
          <w:rFonts w:ascii="Century Gothic" w:hAnsi="Century Gothic"/>
          <w:sz w:val="24"/>
        </w:rPr>
        <w:t>Support in an institutional crisis of confidence: according to socio-epidemiological surveys, are liberal professions the trusted partners of European citizens, underpinned by the various regulatory approaches taken by the EU Member States?</w:t>
      </w:r>
      <w:r w:rsidR="002809A9">
        <w:rPr>
          <w:rFonts w:ascii="Century Gothic" w:hAnsi="Century Gothic"/>
          <w:sz w:val="24"/>
        </w:rPr>
        <w:t xml:space="preserve"> </w:t>
      </w:r>
      <w:r w:rsidRPr="002809A9">
        <w:rPr>
          <w:rFonts w:ascii="Century Gothic" w:hAnsi="Century Gothic"/>
          <w:sz w:val="24"/>
        </w:rPr>
        <w:t>Could they be a key pillar of future efforts to build confidence in the EU?</w:t>
      </w:r>
    </w:p>
    <w:p w14:paraId="4634B11B" w14:textId="77777777" w:rsidR="0053546F" w:rsidRPr="002809A9" w:rsidRDefault="00E070D3" w:rsidP="007F2A60">
      <w:pPr>
        <w:jc w:val="both"/>
        <w:rPr>
          <w:rFonts w:ascii="Century Gothic" w:hAnsi="Century Gothic"/>
          <w:sz w:val="24"/>
          <w:szCs w:val="24"/>
        </w:rPr>
      </w:pPr>
      <w:r w:rsidRPr="002809A9">
        <w:rPr>
          <w:rFonts w:ascii="Century Gothic" w:hAnsi="Century Gothic"/>
          <w:sz w:val="24"/>
        </w:rPr>
        <w:t>Ethics as a guiding principle: is it an inherent feature of the liberal professions that they, in accordance with ethical principles, act both in the public interest and the interest of the direct contractor? Would this need to be a key element of the education and training of the liberal professions!?</w:t>
      </w:r>
    </w:p>
    <w:p w14:paraId="6E7B1FEA" w14:textId="70BA221D" w:rsidR="0053546F" w:rsidRPr="002809A9" w:rsidRDefault="00E070D3" w:rsidP="007F2A60">
      <w:pPr>
        <w:jc w:val="both"/>
        <w:rPr>
          <w:rFonts w:ascii="Century Gothic" w:hAnsi="Century Gothic"/>
          <w:sz w:val="24"/>
          <w:szCs w:val="24"/>
        </w:rPr>
      </w:pPr>
      <w:r w:rsidRPr="002809A9">
        <w:rPr>
          <w:rFonts w:ascii="Century Gothic" w:hAnsi="Century Gothic"/>
          <w:sz w:val="24"/>
        </w:rPr>
        <w:t>Changing society: new demands and needs require the creation of new liberal professions as part of a living and breathing system.</w:t>
      </w:r>
    </w:p>
    <w:p w14:paraId="04843C50" w14:textId="77777777" w:rsidR="0053546F" w:rsidRPr="002809A9" w:rsidRDefault="00BC0B3B" w:rsidP="0053546F">
      <w:pPr>
        <w:jc w:val="both"/>
        <w:rPr>
          <w:rFonts w:ascii="Century Gothic" w:hAnsi="Century Gothic"/>
          <w:sz w:val="24"/>
          <w:szCs w:val="24"/>
        </w:rPr>
      </w:pPr>
      <w:r w:rsidRPr="002809A9">
        <w:rPr>
          <w:rFonts w:ascii="Century Gothic" w:hAnsi="Century Gothic"/>
          <w:sz w:val="24"/>
        </w:rPr>
        <w:lastRenderedPageBreak/>
        <w:t>Industrial society 4.0/digitalisation: the liberal professions must continuously refine their own activities and it is essential to evaluate the (potential) effects of digitalisation on all liberal professions and the scope of the services they provide, their areas of activity and the special relationship of trust with their customers, clients and patients.</w:t>
      </w:r>
    </w:p>
    <w:p w14:paraId="22F71FF9" w14:textId="3085C809" w:rsidR="0053546F" w:rsidRPr="002809A9" w:rsidRDefault="00E070D3" w:rsidP="007F2A60">
      <w:pPr>
        <w:jc w:val="both"/>
        <w:rPr>
          <w:rFonts w:ascii="Century Gothic" w:hAnsi="Century Gothic"/>
          <w:sz w:val="24"/>
          <w:szCs w:val="24"/>
        </w:rPr>
      </w:pPr>
      <w:r w:rsidRPr="002809A9">
        <w:rPr>
          <w:rFonts w:ascii="Century Gothic" w:hAnsi="Century Gothic"/>
          <w:sz w:val="24"/>
        </w:rPr>
        <w:t>The impact of cost-efficiency measures and interest-related (foreign) capitalisation: potential for conflict as regards safeguards for a high level of customer, consumer and patient protection.</w:t>
      </w:r>
      <w:r w:rsidR="002809A9">
        <w:rPr>
          <w:rFonts w:ascii="Century Gothic" w:hAnsi="Century Gothic"/>
          <w:sz w:val="24"/>
        </w:rPr>
        <w:t xml:space="preserve"> </w:t>
      </w:r>
      <w:proofErr w:type="gramStart"/>
      <w:r w:rsidRPr="002809A9">
        <w:rPr>
          <w:rFonts w:ascii="Century Gothic" w:hAnsi="Century Gothic"/>
          <w:sz w:val="24"/>
        </w:rPr>
        <w:t>Proposal to combine with the results of the Gothenburg summit on the social pillar.</w:t>
      </w:r>
      <w:proofErr w:type="gramEnd"/>
      <w:r w:rsidRPr="002809A9">
        <w:rPr>
          <w:rFonts w:ascii="Century Gothic" w:hAnsi="Century Gothic"/>
          <w:sz w:val="24"/>
        </w:rPr>
        <w:t xml:space="preserve"> </w:t>
      </w:r>
    </w:p>
    <w:p w14:paraId="7D926A12" w14:textId="77777777" w:rsidR="0053546F" w:rsidRPr="002809A9" w:rsidRDefault="00470D21" w:rsidP="007F2A60">
      <w:pPr>
        <w:jc w:val="both"/>
        <w:rPr>
          <w:rFonts w:ascii="Century Gothic" w:hAnsi="Century Gothic"/>
          <w:sz w:val="24"/>
          <w:szCs w:val="24"/>
        </w:rPr>
      </w:pPr>
      <w:r w:rsidRPr="002809A9">
        <w:rPr>
          <w:rFonts w:ascii="Century Gothic" w:hAnsi="Century Gothic"/>
          <w:sz w:val="24"/>
        </w:rPr>
        <w:t>Self-regulation and administration: protection of self-regulation and administration due to market proximity and the need for “special regulation” because of the proven, asymmetric knowledge advantage vis-à-vis the state, on the one hand, and clients, customers and patients, on the other.</w:t>
      </w:r>
    </w:p>
    <w:p w14:paraId="74FC33D7" w14:textId="4152BB88" w:rsidR="0053546F" w:rsidRPr="002809A9" w:rsidRDefault="0039300D" w:rsidP="007F2A60">
      <w:pPr>
        <w:jc w:val="both"/>
        <w:rPr>
          <w:rFonts w:ascii="Century Gothic" w:hAnsi="Century Gothic"/>
          <w:sz w:val="24"/>
          <w:szCs w:val="24"/>
        </w:rPr>
      </w:pPr>
      <w:r w:rsidRPr="002809A9">
        <w:rPr>
          <w:rFonts w:ascii="Century Gothic" w:hAnsi="Century Gothic"/>
          <w:sz w:val="24"/>
        </w:rPr>
        <w:t>Quality and price: Analysis of the connection,</w:t>
      </w:r>
      <w:r w:rsidR="002809A9">
        <w:rPr>
          <w:rFonts w:ascii="Century Gothic" w:hAnsi="Century Gothic"/>
          <w:sz w:val="24"/>
        </w:rPr>
        <w:t xml:space="preserve"> </w:t>
      </w:r>
      <w:r w:rsidRPr="002809A9">
        <w:rPr>
          <w:rFonts w:ascii="Century Gothic" w:hAnsi="Century Gothic"/>
          <w:sz w:val="24"/>
        </w:rPr>
        <w:t xml:space="preserve">in line with the current study by Heinrich Heine University in Düsseldorf. </w:t>
      </w:r>
    </w:p>
    <w:p w14:paraId="0A5DB053" w14:textId="77777777" w:rsidR="00486230" w:rsidRPr="002809A9" w:rsidRDefault="00470D21" w:rsidP="007F2A60">
      <w:pPr>
        <w:jc w:val="both"/>
        <w:rPr>
          <w:rFonts w:ascii="Century Gothic" w:hAnsi="Century Gothic"/>
          <w:sz w:val="24"/>
          <w:szCs w:val="24"/>
        </w:rPr>
      </w:pPr>
      <w:r w:rsidRPr="002809A9">
        <w:rPr>
          <w:rFonts w:ascii="Century Gothic" w:hAnsi="Century Gothic"/>
          <w:sz w:val="24"/>
        </w:rPr>
        <w:t xml:space="preserve">Gender: are there particular, gender-specific conditions regulating access to certain professions? </w:t>
      </w:r>
      <w:proofErr w:type="gramStart"/>
      <w:r w:rsidRPr="002809A9">
        <w:rPr>
          <w:rFonts w:ascii="Century Gothic" w:hAnsi="Century Gothic"/>
          <w:sz w:val="24"/>
        </w:rPr>
        <w:t>Is</w:t>
      </w:r>
      <w:proofErr w:type="gramEnd"/>
      <w:r w:rsidRPr="002809A9">
        <w:rPr>
          <w:rFonts w:ascii="Century Gothic" w:hAnsi="Century Gothic"/>
          <w:sz w:val="24"/>
        </w:rPr>
        <w:t xml:space="preserve"> there a much higher proportion of women than in other service sectors?</w:t>
      </w:r>
    </w:p>
    <w:p w14:paraId="47422550" w14:textId="2FBBB7E9" w:rsidR="00470D21" w:rsidRPr="002809A9" w:rsidRDefault="0053546F" w:rsidP="003F66F0">
      <w:pPr>
        <w:jc w:val="both"/>
        <w:rPr>
          <w:rFonts w:ascii="Century Gothic" w:hAnsi="Century Gothic"/>
          <w:sz w:val="24"/>
        </w:rPr>
      </w:pPr>
      <w:r w:rsidRPr="002809A9">
        <w:rPr>
          <w:rFonts w:ascii="Century Gothic" w:hAnsi="Century Gothic"/>
          <w:sz w:val="24"/>
        </w:rPr>
        <w:t>Codes of conduct: over and above existing regulatory systems at national level, are there suitable and complementary approaches at European level that could be pursued to enhance the rights of the liberal professions and their clients, customers and patients?</w:t>
      </w:r>
    </w:p>
    <w:p w14:paraId="1DDA559A" w14:textId="77777777" w:rsidR="00C8022A" w:rsidRPr="002809A9" w:rsidRDefault="000A5A63" w:rsidP="0053546F">
      <w:pPr>
        <w:jc w:val="both"/>
        <w:rPr>
          <w:rFonts w:ascii="Century Gothic" w:hAnsi="Century Gothic"/>
          <w:sz w:val="24"/>
          <w:szCs w:val="24"/>
        </w:rPr>
      </w:pPr>
      <w:r w:rsidRPr="002809A9">
        <w:rPr>
          <w:rFonts w:ascii="Century Gothic" w:hAnsi="Century Gothic"/>
          <w:sz w:val="24"/>
        </w:rPr>
        <w:t>Liability for professional activities: do the various liability frameworks and legal systems that determine the liability of the liberal professions in Europe constitute a major obstacle in the internal market and how could this be overcome?</w:t>
      </w:r>
    </w:p>
    <w:p w14:paraId="46FFE76C" w14:textId="77777777" w:rsidR="00C8022A" w:rsidRPr="002809A9" w:rsidRDefault="00C8022A" w:rsidP="0053546F">
      <w:pPr>
        <w:jc w:val="both"/>
        <w:rPr>
          <w:rFonts w:ascii="Century Gothic" w:hAnsi="Century Gothic"/>
          <w:sz w:val="24"/>
          <w:szCs w:val="24"/>
        </w:rPr>
      </w:pPr>
      <w:r w:rsidRPr="002809A9">
        <w:rPr>
          <w:rFonts w:ascii="Century Gothic" w:hAnsi="Century Gothic"/>
          <w:sz w:val="24"/>
        </w:rPr>
        <w:t>From among its members, the EESC has created a new category and working instrument entitled “liberal professions”.</w:t>
      </w:r>
    </w:p>
    <w:p w14:paraId="7A76837E" w14:textId="6D76AFE4" w:rsidR="00D53D10" w:rsidRPr="002809A9" w:rsidRDefault="00566F5E" w:rsidP="003F66F0">
      <w:pPr>
        <w:jc w:val="both"/>
        <w:rPr>
          <w:rFonts w:ascii="Century Gothic" w:hAnsi="Century Gothic"/>
          <w:sz w:val="24"/>
        </w:rPr>
      </w:pPr>
      <w:r w:rsidRPr="002809A9">
        <w:rPr>
          <w:rFonts w:ascii="Century Gothic" w:hAnsi="Century Gothic"/>
          <w:sz w:val="24"/>
        </w:rPr>
        <w:t>Participants called on the Committee to press ahead with efforts to strengthen the liberal professions as trusted partners and catalysts of growth in European civil society 4.0/2030 by developing a European stakeholder platform.</w:t>
      </w:r>
    </w:p>
    <w:p w14:paraId="23C16E25" w14:textId="77777777" w:rsidR="002809A9" w:rsidRPr="002809A9" w:rsidRDefault="002809A9">
      <w:pPr>
        <w:jc w:val="center"/>
      </w:pPr>
      <w:r w:rsidRPr="002809A9">
        <w:t>_____________</w:t>
      </w:r>
    </w:p>
    <w:sectPr w:rsidR="002809A9" w:rsidRPr="002809A9" w:rsidSect="00001B48">
      <w:footerReference w:type="default" r:id="rId13"/>
      <w:pgSz w:w="16838" w:h="11906" w:orient="landscape"/>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AB36D" w14:textId="77777777" w:rsidR="00752246" w:rsidRDefault="00752246" w:rsidP="00D53D10">
      <w:pPr>
        <w:spacing w:after="0" w:line="240" w:lineRule="auto"/>
      </w:pPr>
      <w:r>
        <w:separator/>
      </w:r>
    </w:p>
  </w:endnote>
  <w:endnote w:type="continuationSeparator" w:id="0">
    <w:p w14:paraId="5F07D7F8" w14:textId="77777777" w:rsidR="00752246" w:rsidRDefault="00752246" w:rsidP="00D53D10">
      <w:pPr>
        <w:spacing w:after="0" w:line="240" w:lineRule="auto"/>
      </w:pPr>
      <w:r>
        <w:continuationSeparator/>
      </w:r>
    </w:p>
  </w:endnote>
  <w:endnote w:type="continuationNotice" w:id="1">
    <w:p w14:paraId="3C84BC65" w14:textId="77777777" w:rsidR="00752246" w:rsidRDefault="00752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7395" w14:textId="4AE5A6E8" w:rsidR="00D53D10" w:rsidRPr="00001B48" w:rsidRDefault="00001B48" w:rsidP="00001B48">
    <w:pPr>
      <w:pStyle w:val="Footer"/>
    </w:pPr>
    <w:r>
      <w:t xml:space="preserve">EESC-2017-04775-00-01-INFO-TRA (DE) </w:t>
    </w:r>
    <w:r>
      <w:fldChar w:fldCharType="begin"/>
    </w:r>
    <w:r>
      <w:instrText xml:space="preserve"> PAGE  \* Arabic  \* MERGEFORMAT </w:instrText>
    </w:r>
    <w:r>
      <w:fldChar w:fldCharType="separate"/>
    </w:r>
    <w:r w:rsidR="001910B7">
      <w:rPr>
        <w:noProof/>
      </w:rPr>
      <w:t>1</w:t>
    </w:r>
    <w:r>
      <w:fldChar w:fldCharType="end"/>
    </w:r>
    <w:r>
      <w:t>/</w:t>
    </w:r>
    <w:r>
      <w:fldChar w:fldCharType="begin"/>
    </w:r>
    <w:r>
      <w:instrText xml:space="preserve"> = </w:instrText>
    </w:r>
    <w:r w:rsidR="001910B7">
      <w:fldChar w:fldCharType="begin"/>
    </w:r>
    <w:r w:rsidR="001910B7">
      <w:instrText xml:space="preserve"> NUMPAGES </w:instrText>
    </w:r>
    <w:r w:rsidR="001910B7">
      <w:fldChar w:fldCharType="separate"/>
    </w:r>
    <w:r w:rsidR="001910B7">
      <w:rPr>
        <w:noProof/>
      </w:rPr>
      <w:instrText>4</w:instrText>
    </w:r>
    <w:r w:rsidR="001910B7">
      <w:rPr>
        <w:noProof/>
      </w:rPr>
      <w:fldChar w:fldCharType="end"/>
    </w:r>
    <w:r>
      <w:instrText xml:space="preserve"> </w:instrText>
    </w:r>
    <w:r>
      <w:fldChar w:fldCharType="separate"/>
    </w:r>
    <w:r w:rsidR="001910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1AA1" w14:textId="77777777" w:rsidR="00752246" w:rsidRDefault="00752246" w:rsidP="00D53D10">
      <w:pPr>
        <w:spacing w:after="0" w:line="240" w:lineRule="auto"/>
      </w:pPr>
      <w:r>
        <w:separator/>
      </w:r>
    </w:p>
  </w:footnote>
  <w:footnote w:type="continuationSeparator" w:id="0">
    <w:p w14:paraId="3E15596A" w14:textId="77777777" w:rsidR="00752246" w:rsidRDefault="00752246" w:rsidP="00D53D10">
      <w:pPr>
        <w:spacing w:after="0" w:line="240" w:lineRule="auto"/>
      </w:pPr>
      <w:r>
        <w:continuationSeparator/>
      </w:r>
    </w:p>
  </w:footnote>
  <w:footnote w:type="continuationNotice" w:id="1">
    <w:p w14:paraId="1FA5839F" w14:textId="77777777" w:rsidR="00752246" w:rsidRDefault="0075224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831"/>
    <w:multiLevelType w:val="hybridMultilevel"/>
    <w:tmpl w:val="9C7AA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B86A73"/>
    <w:multiLevelType w:val="hybridMultilevel"/>
    <w:tmpl w:val="FE721442"/>
    <w:lvl w:ilvl="0" w:tplc="BC5222C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5673D4D"/>
    <w:multiLevelType w:val="hybridMultilevel"/>
    <w:tmpl w:val="A808AB6E"/>
    <w:lvl w:ilvl="0" w:tplc="D86C3D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634EFD"/>
    <w:multiLevelType w:val="hybridMultilevel"/>
    <w:tmpl w:val="13562992"/>
    <w:lvl w:ilvl="0" w:tplc="717E73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B9"/>
    <w:rsid w:val="00001B48"/>
    <w:rsid w:val="000272B8"/>
    <w:rsid w:val="000336D2"/>
    <w:rsid w:val="00036244"/>
    <w:rsid w:val="0004187F"/>
    <w:rsid w:val="000852B3"/>
    <w:rsid w:val="000A5A63"/>
    <w:rsid w:val="000C1923"/>
    <w:rsid w:val="001034C9"/>
    <w:rsid w:val="00137D68"/>
    <w:rsid w:val="00161A09"/>
    <w:rsid w:val="001910B7"/>
    <w:rsid w:val="00192735"/>
    <w:rsid w:val="001B241C"/>
    <w:rsid w:val="001C7674"/>
    <w:rsid w:val="001E7B90"/>
    <w:rsid w:val="001F0586"/>
    <w:rsid w:val="001F2A59"/>
    <w:rsid w:val="00225E05"/>
    <w:rsid w:val="002415DB"/>
    <w:rsid w:val="002809A9"/>
    <w:rsid w:val="0028247D"/>
    <w:rsid w:val="0029493D"/>
    <w:rsid w:val="002A690A"/>
    <w:rsid w:val="002E12A3"/>
    <w:rsid w:val="0030700C"/>
    <w:rsid w:val="00357180"/>
    <w:rsid w:val="003574C1"/>
    <w:rsid w:val="003855E3"/>
    <w:rsid w:val="0039300D"/>
    <w:rsid w:val="003F66F0"/>
    <w:rsid w:val="004056C7"/>
    <w:rsid w:val="00423D2C"/>
    <w:rsid w:val="004672FF"/>
    <w:rsid w:val="00470D21"/>
    <w:rsid w:val="00486230"/>
    <w:rsid w:val="004B1C3A"/>
    <w:rsid w:val="004E3571"/>
    <w:rsid w:val="00501C84"/>
    <w:rsid w:val="00506E85"/>
    <w:rsid w:val="00525920"/>
    <w:rsid w:val="0053546F"/>
    <w:rsid w:val="005458EF"/>
    <w:rsid w:val="00566F5E"/>
    <w:rsid w:val="00572166"/>
    <w:rsid w:val="0057583D"/>
    <w:rsid w:val="00595321"/>
    <w:rsid w:val="005A0934"/>
    <w:rsid w:val="005B1D80"/>
    <w:rsid w:val="005C1BAA"/>
    <w:rsid w:val="005C3C06"/>
    <w:rsid w:val="005F7F40"/>
    <w:rsid w:val="00600ADA"/>
    <w:rsid w:val="0062773B"/>
    <w:rsid w:val="0065356C"/>
    <w:rsid w:val="00654D25"/>
    <w:rsid w:val="006874B3"/>
    <w:rsid w:val="00752246"/>
    <w:rsid w:val="00762621"/>
    <w:rsid w:val="00797C01"/>
    <w:rsid w:val="007B1FD0"/>
    <w:rsid w:val="007C5179"/>
    <w:rsid w:val="007D6BE2"/>
    <w:rsid w:val="007E1AA1"/>
    <w:rsid w:val="007F2A60"/>
    <w:rsid w:val="00852574"/>
    <w:rsid w:val="00856C7A"/>
    <w:rsid w:val="00882985"/>
    <w:rsid w:val="008B5C18"/>
    <w:rsid w:val="008E519B"/>
    <w:rsid w:val="009150B9"/>
    <w:rsid w:val="00915F1A"/>
    <w:rsid w:val="00931732"/>
    <w:rsid w:val="0095134F"/>
    <w:rsid w:val="00967EFA"/>
    <w:rsid w:val="009A10C1"/>
    <w:rsid w:val="009C5E16"/>
    <w:rsid w:val="00A40446"/>
    <w:rsid w:val="00A5042A"/>
    <w:rsid w:val="00AB195D"/>
    <w:rsid w:val="00AF3DE2"/>
    <w:rsid w:val="00B0327E"/>
    <w:rsid w:val="00B15F34"/>
    <w:rsid w:val="00B248D9"/>
    <w:rsid w:val="00B70CF6"/>
    <w:rsid w:val="00BC0B3B"/>
    <w:rsid w:val="00BD423E"/>
    <w:rsid w:val="00C47F05"/>
    <w:rsid w:val="00C8022A"/>
    <w:rsid w:val="00CC115A"/>
    <w:rsid w:val="00CF198F"/>
    <w:rsid w:val="00D12FEB"/>
    <w:rsid w:val="00D53D10"/>
    <w:rsid w:val="00D83802"/>
    <w:rsid w:val="00D87F96"/>
    <w:rsid w:val="00DA1011"/>
    <w:rsid w:val="00DD1DD0"/>
    <w:rsid w:val="00E03D55"/>
    <w:rsid w:val="00E070D3"/>
    <w:rsid w:val="00E14DE5"/>
    <w:rsid w:val="00E5284E"/>
    <w:rsid w:val="00E671AB"/>
    <w:rsid w:val="00E96655"/>
    <w:rsid w:val="00EF7A73"/>
    <w:rsid w:val="00F30ECE"/>
    <w:rsid w:val="00F710D1"/>
    <w:rsid w:val="00F91C87"/>
    <w:rsid w:val="00F9247C"/>
    <w:rsid w:val="00FA1068"/>
    <w:rsid w:val="00FA70B6"/>
    <w:rsid w:val="00FF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0B9"/>
    <w:pPr>
      <w:ind w:left="720"/>
      <w:contextualSpacing/>
    </w:pPr>
  </w:style>
  <w:style w:type="table" w:styleId="TableGrid">
    <w:name w:val="Table Grid"/>
    <w:basedOn w:val="TableNormal"/>
    <w:uiPriority w:val="59"/>
    <w:rsid w:val="001F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A59"/>
    <w:rPr>
      <w:color w:val="0000FF" w:themeColor="hyperlink"/>
      <w:u w:val="single"/>
    </w:rPr>
  </w:style>
  <w:style w:type="paragraph" w:styleId="NormalWeb">
    <w:name w:val="Normal (Web)"/>
    <w:basedOn w:val="Normal"/>
    <w:uiPriority w:val="99"/>
    <w:unhideWhenUsed/>
    <w:rsid w:val="000C1923"/>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23D2C"/>
    <w:rPr>
      <w:color w:val="800080" w:themeColor="followedHyperlink"/>
      <w:u w:val="single"/>
    </w:rPr>
  </w:style>
  <w:style w:type="paragraph" w:styleId="BalloonText">
    <w:name w:val="Balloon Text"/>
    <w:basedOn w:val="Normal"/>
    <w:link w:val="BalloonTextChar"/>
    <w:uiPriority w:val="99"/>
    <w:semiHidden/>
    <w:unhideWhenUsed/>
    <w:rsid w:val="0065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25"/>
    <w:rPr>
      <w:rFonts w:ascii="Tahoma" w:hAnsi="Tahoma" w:cs="Tahoma"/>
      <w:sz w:val="16"/>
      <w:szCs w:val="16"/>
    </w:rPr>
  </w:style>
  <w:style w:type="paragraph" w:styleId="Header">
    <w:name w:val="header"/>
    <w:basedOn w:val="Normal"/>
    <w:link w:val="HeaderChar"/>
    <w:uiPriority w:val="99"/>
    <w:unhideWhenUsed/>
    <w:rsid w:val="00D53D10"/>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53D10"/>
    <w:rPr>
      <w:rFonts w:ascii="Times New Roman" w:hAnsi="Times New Roman" w:cs="Times New Roman"/>
    </w:rPr>
  </w:style>
  <w:style w:type="paragraph" w:styleId="Footer">
    <w:name w:val="footer"/>
    <w:basedOn w:val="Normal"/>
    <w:link w:val="FooterChar"/>
    <w:uiPriority w:val="99"/>
    <w:unhideWhenUsed/>
    <w:rsid w:val="00D53D10"/>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53D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8881">
      <w:bodyDiv w:val="1"/>
      <w:marLeft w:val="0"/>
      <w:marRight w:val="0"/>
      <w:marTop w:val="0"/>
      <w:marBottom w:val="0"/>
      <w:divBdr>
        <w:top w:val="none" w:sz="0" w:space="0" w:color="auto"/>
        <w:left w:val="none" w:sz="0" w:space="0" w:color="auto"/>
        <w:bottom w:val="none" w:sz="0" w:space="0" w:color="auto"/>
        <w:right w:val="none" w:sz="0" w:space="0" w:color="auto"/>
      </w:divBdr>
    </w:div>
    <w:div w:id="865488419">
      <w:bodyDiv w:val="1"/>
      <w:marLeft w:val="0"/>
      <w:marRight w:val="0"/>
      <w:marTop w:val="0"/>
      <w:marBottom w:val="0"/>
      <w:divBdr>
        <w:top w:val="none" w:sz="0" w:space="0" w:color="auto"/>
        <w:left w:val="none" w:sz="0" w:space="0" w:color="auto"/>
        <w:bottom w:val="none" w:sz="0" w:space="0" w:color="auto"/>
        <w:right w:val="none" w:sz="0" w:space="0" w:color="auto"/>
      </w:divBdr>
    </w:div>
    <w:div w:id="993492052">
      <w:bodyDiv w:val="1"/>
      <w:marLeft w:val="0"/>
      <w:marRight w:val="0"/>
      <w:marTop w:val="0"/>
      <w:marBottom w:val="0"/>
      <w:divBdr>
        <w:top w:val="none" w:sz="0" w:space="0" w:color="auto"/>
        <w:left w:val="none" w:sz="0" w:space="0" w:color="auto"/>
        <w:bottom w:val="none" w:sz="0" w:space="0" w:color="auto"/>
        <w:right w:val="none" w:sz="0" w:space="0" w:color="auto"/>
      </w:divBdr>
      <w:divsChild>
        <w:div w:id="1003822748">
          <w:marLeft w:val="0"/>
          <w:marRight w:val="0"/>
          <w:marTop w:val="0"/>
          <w:marBottom w:val="0"/>
          <w:divBdr>
            <w:top w:val="none" w:sz="0" w:space="0" w:color="auto"/>
            <w:left w:val="none" w:sz="0" w:space="0" w:color="auto"/>
            <w:bottom w:val="none" w:sz="0" w:space="0" w:color="auto"/>
            <w:right w:val="none" w:sz="0" w:space="0" w:color="auto"/>
          </w:divBdr>
        </w:div>
        <w:div w:id="1305235220">
          <w:marLeft w:val="0"/>
          <w:marRight w:val="0"/>
          <w:marTop w:val="0"/>
          <w:marBottom w:val="0"/>
          <w:divBdr>
            <w:top w:val="none" w:sz="0" w:space="0" w:color="auto"/>
            <w:left w:val="none" w:sz="0" w:space="0" w:color="auto"/>
            <w:bottom w:val="none" w:sz="0" w:space="0" w:color="auto"/>
            <w:right w:val="none" w:sz="0" w:space="0" w:color="auto"/>
          </w:divBdr>
        </w:div>
        <w:div w:id="1103456025">
          <w:marLeft w:val="0"/>
          <w:marRight w:val="0"/>
          <w:marTop w:val="0"/>
          <w:marBottom w:val="0"/>
          <w:divBdr>
            <w:top w:val="none" w:sz="0" w:space="0" w:color="auto"/>
            <w:left w:val="none" w:sz="0" w:space="0" w:color="auto"/>
            <w:bottom w:val="none" w:sz="0" w:space="0" w:color="auto"/>
            <w:right w:val="none" w:sz="0" w:space="0" w:color="auto"/>
          </w:divBdr>
        </w:div>
        <w:div w:id="1265192755">
          <w:marLeft w:val="0"/>
          <w:marRight w:val="0"/>
          <w:marTop w:val="0"/>
          <w:marBottom w:val="0"/>
          <w:divBdr>
            <w:top w:val="none" w:sz="0" w:space="0" w:color="auto"/>
            <w:left w:val="none" w:sz="0" w:space="0" w:color="auto"/>
            <w:bottom w:val="none" w:sz="0" w:space="0" w:color="auto"/>
            <w:right w:val="none" w:sz="0" w:space="0" w:color="auto"/>
          </w:divBdr>
        </w:div>
        <w:div w:id="95756545">
          <w:marLeft w:val="0"/>
          <w:marRight w:val="0"/>
          <w:marTop w:val="0"/>
          <w:marBottom w:val="0"/>
          <w:divBdr>
            <w:top w:val="none" w:sz="0" w:space="0" w:color="auto"/>
            <w:left w:val="none" w:sz="0" w:space="0" w:color="auto"/>
            <w:bottom w:val="none" w:sz="0" w:space="0" w:color="auto"/>
            <w:right w:val="none" w:sz="0" w:space="0" w:color="auto"/>
          </w:divBdr>
        </w:div>
        <w:div w:id="619188583">
          <w:marLeft w:val="0"/>
          <w:marRight w:val="0"/>
          <w:marTop w:val="0"/>
          <w:marBottom w:val="0"/>
          <w:divBdr>
            <w:top w:val="none" w:sz="0" w:space="0" w:color="auto"/>
            <w:left w:val="none" w:sz="0" w:space="0" w:color="auto"/>
            <w:bottom w:val="none" w:sz="0" w:space="0" w:color="auto"/>
            <w:right w:val="none" w:sz="0" w:space="0" w:color="auto"/>
          </w:divBdr>
        </w:div>
        <w:div w:id="695279687">
          <w:marLeft w:val="0"/>
          <w:marRight w:val="0"/>
          <w:marTop w:val="0"/>
          <w:marBottom w:val="0"/>
          <w:divBdr>
            <w:top w:val="none" w:sz="0" w:space="0" w:color="auto"/>
            <w:left w:val="none" w:sz="0" w:space="0" w:color="auto"/>
            <w:bottom w:val="none" w:sz="0" w:space="0" w:color="auto"/>
            <w:right w:val="none" w:sz="0" w:space="0" w:color="auto"/>
          </w:divBdr>
        </w:div>
        <w:div w:id="1478298778">
          <w:marLeft w:val="0"/>
          <w:marRight w:val="0"/>
          <w:marTop w:val="0"/>
          <w:marBottom w:val="0"/>
          <w:divBdr>
            <w:top w:val="none" w:sz="0" w:space="0" w:color="auto"/>
            <w:left w:val="none" w:sz="0" w:space="0" w:color="auto"/>
            <w:bottom w:val="none" w:sz="0" w:space="0" w:color="auto"/>
            <w:right w:val="none" w:sz="0" w:space="0" w:color="auto"/>
          </w:divBdr>
        </w:div>
        <w:div w:id="1780026198">
          <w:marLeft w:val="0"/>
          <w:marRight w:val="0"/>
          <w:marTop w:val="0"/>
          <w:marBottom w:val="0"/>
          <w:divBdr>
            <w:top w:val="none" w:sz="0" w:space="0" w:color="auto"/>
            <w:left w:val="none" w:sz="0" w:space="0" w:color="auto"/>
            <w:bottom w:val="none" w:sz="0" w:space="0" w:color="auto"/>
            <w:right w:val="none" w:sz="0" w:space="0" w:color="auto"/>
          </w:divBdr>
        </w:div>
        <w:div w:id="1906836341">
          <w:marLeft w:val="0"/>
          <w:marRight w:val="0"/>
          <w:marTop w:val="0"/>
          <w:marBottom w:val="0"/>
          <w:divBdr>
            <w:top w:val="none" w:sz="0" w:space="0" w:color="auto"/>
            <w:left w:val="none" w:sz="0" w:space="0" w:color="auto"/>
            <w:bottom w:val="none" w:sz="0" w:space="0" w:color="auto"/>
            <w:right w:val="none" w:sz="0" w:space="0" w:color="auto"/>
          </w:divBdr>
        </w:div>
        <w:div w:id="912542174">
          <w:marLeft w:val="0"/>
          <w:marRight w:val="0"/>
          <w:marTop w:val="0"/>
          <w:marBottom w:val="0"/>
          <w:divBdr>
            <w:top w:val="none" w:sz="0" w:space="0" w:color="auto"/>
            <w:left w:val="none" w:sz="0" w:space="0" w:color="auto"/>
            <w:bottom w:val="none" w:sz="0" w:space="0" w:color="auto"/>
            <w:right w:val="none" w:sz="0" w:space="0" w:color="auto"/>
          </w:divBdr>
        </w:div>
        <w:div w:id="1594238635">
          <w:marLeft w:val="0"/>
          <w:marRight w:val="0"/>
          <w:marTop w:val="0"/>
          <w:marBottom w:val="0"/>
          <w:divBdr>
            <w:top w:val="none" w:sz="0" w:space="0" w:color="auto"/>
            <w:left w:val="none" w:sz="0" w:space="0" w:color="auto"/>
            <w:bottom w:val="none" w:sz="0" w:space="0" w:color="auto"/>
            <w:right w:val="none" w:sz="0" w:space="0" w:color="auto"/>
          </w:divBdr>
        </w:div>
        <w:div w:id="111831102">
          <w:marLeft w:val="0"/>
          <w:marRight w:val="0"/>
          <w:marTop w:val="0"/>
          <w:marBottom w:val="0"/>
          <w:divBdr>
            <w:top w:val="none" w:sz="0" w:space="0" w:color="auto"/>
            <w:left w:val="none" w:sz="0" w:space="0" w:color="auto"/>
            <w:bottom w:val="none" w:sz="0" w:space="0" w:color="auto"/>
            <w:right w:val="none" w:sz="0" w:space="0" w:color="auto"/>
          </w:divBdr>
        </w:div>
        <w:div w:id="1258564385">
          <w:marLeft w:val="0"/>
          <w:marRight w:val="0"/>
          <w:marTop w:val="0"/>
          <w:marBottom w:val="0"/>
          <w:divBdr>
            <w:top w:val="none" w:sz="0" w:space="0" w:color="auto"/>
            <w:left w:val="none" w:sz="0" w:space="0" w:color="auto"/>
            <w:bottom w:val="none" w:sz="0" w:space="0" w:color="auto"/>
            <w:right w:val="none" w:sz="0" w:space="0" w:color="auto"/>
          </w:divBdr>
        </w:div>
        <w:div w:id="599532118">
          <w:marLeft w:val="0"/>
          <w:marRight w:val="0"/>
          <w:marTop w:val="0"/>
          <w:marBottom w:val="0"/>
          <w:divBdr>
            <w:top w:val="none" w:sz="0" w:space="0" w:color="auto"/>
            <w:left w:val="none" w:sz="0" w:space="0" w:color="auto"/>
            <w:bottom w:val="none" w:sz="0" w:space="0" w:color="auto"/>
            <w:right w:val="none" w:sz="0" w:space="0" w:color="auto"/>
          </w:divBdr>
        </w:div>
        <w:div w:id="1294485518">
          <w:marLeft w:val="0"/>
          <w:marRight w:val="0"/>
          <w:marTop w:val="0"/>
          <w:marBottom w:val="0"/>
          <w:divBdr>
            <w:top w:val="none" w:sz="0" w:space="0" w:color="auto"/>
            <w:left w:val="none" w:sz="0" w:space="0" w:color="auto"/>
            <w:bottom w:val="none" w:sz="0" w:space="0" w:color="auto"/>
            <w:right w:val="none" w:sz="0" w:space="0" w:color="auto"/>
          </w:divBdr>
        </w:div>
        <w:div w:id="1558469199">
          <w:marLeft w:val="0"/>
          <w:marRight w:val="0"/>
          <w:marTop w:val="0"/>
          <w:marBottom w:val="0"/>
          <w:divBdr>
            <w:top w:val="none" w:sz="0" w:space="0" w:color="auto"/>
            <w:left w:val="none" w:sz="0" w:space="0" w:color="auto"/>
            <w:bottom w:val="none" w:sz="0" w:space="0" w:color="auto"/>
            <w:right w:val="none" w:sz="0" w:space="0" w:color="auto"/>
          </w:divBdr>
        </w:div>
        <w:div w:id="874392570">
          <w:marLeft w:val="0"/>
          <w:marRight w:val="0"/>
          <w:marTop w:val="0"/>
          <w:marBottom w:val="0"/>
          <w:divBdr>
            <w:top w:val="none" w:sz="0" w:space="0" w:color="auto"/>
            <w:left w:val="none" w:sz="0" w:space="0" w:color="auto"/>
            <w:bottom w:val="none" w:sz="0" w:space="0" w:color="auto"/>
            <w:right w:val="none" w:sz="0" w:space="0" w:color="auto"/>
          </w:divBdr>
        </w:div>
        <w:div w:id="898174715">
          <w:marLeft w:val="0"/>
          <w:marRight w:val="0"/>
          <w:marTop w:val="0"/>
          <w:marBottom w:val="0"/>
          <w:divBdr>
            <w:top w:val="none" w:sz="0" w:space="0" w:color="auto"/>
            <w:left w:val="none" w:sz="0" w:space="0" w:color="auto"/>
            <w:bottom w:val="none" w:sz="0" w:space="0" w:color="auto"/>
            <w:right w:val="none" w:sz="0" w:space="0" w:color="auto"/>
          </w:divBdr>
        </w:div>
        <w:div w:id="1365710603">
          <w:marLeft w:val="0"/>
          <w:marRight w:val="0"/>
          <w:marTop w:val="0"/>
          <w:marBottom w:val="0"/>
          <w:divBdr>
            <w:top w:val="none" w:sz="0" w:space="0" w:color="auto"/>
            <w:left w:val="none" w:sz="0" w:space="0" w:color="auto"/>
            <w:bottom w:val="none" w:sz="0" w:space="0" w:color="auto"/>
            <w:right w:val="none" w:sz="0" w:space="0" w:color="auto"/>
          </w:divBdr>
        </w:div>
        <w:div w:id="90905768">
          <w:marLeft w:val="0"/>
          <w:marRight w:val="0"/>
          <w:marTop w:val="0"/>
          <w:marBottom w:val="0"/>
          <w:divBdr>
            <w:top w:val="none" w:sz="0" w:space="0" w:color="auto"/>
            <w:left w:val="none" w:sz="0" w:space="0" w:color="auto"/>
            <w:bottom w:val="none" w:sz="0" w:space="0" w:color="auto"/>
            <w:right w:val="none" w:sz="0" w:space="0" w:color="auto"/>
          </w:divBdr>
        </w:div>
        <w:div w:id="1475178754">
          <w:marLeft w:val="0"/>
          <w:marRight w:val="0"/>
          <w:marTop w:val="0"/>
          <w:marBottom w:val="0"/>
          <w:divBdr>
            <w:top w:val="none" w:sz="0" w:space="0" w:color="auto"/>
            <w:left w:val="none" w:sz="0" w:space="0" w:color="auto"/>
            <w:bottom w:val="none" w:sz="0" w:space="0" w:color="auto"/>
            <w:right w:val="none" w:sz="0" w:space="0" w:color="auto"/>
          </w:divBdr>
        </w:div>
        <w:div w:id="210001246">
          <w:marLeft w:val="0"/>
          <w:marRight w:val="0"/>
          <w:marTop w:val="0"/>
          <w:marBottom w:val="0"/>
          <w:divBdr>
            <w:top w:val="none" w:sz="0" w:space="0" w:color="auto"/>
            <w:left w:val="none" w:sz="0" w:space="0" w:color="auto"/>
            <w:bottom w:val="none" w:sz="0" w:space="0" w:color="auto"/>
            <w:right w:val="none" w:sz="0" w:space="0" w:color="auto"/>
          </w:divBdr>
        </w:div>
        <w:div w:id="303900865">
          <w:marLeft w:val="0"/>
          <w:marRight w:val="0"/>
          <w:marTop w:val="0"/>
          <w:marBottom w:val="0"/>
          <w:divBdr>
            <w:top w:val="none" w:sz="0" w:space="0" w:color="auto"/>
            <w:left w:val="none" w:sz="0" w:space="0" w:color="auto"/>
            <w:bottom w:val="none" w:sz="0" w:space="0" w:color="auto"/>
            <w:right w:val="none" w:sz="0" w:space="0" w:color="auto"/>
          </w:divBdr>
        </w:div>
        <w:div w:id="2081629751">
          <w:marLeft w:val="0"/>
          <w:marRight w:val="0"/>
          <w:marTop w:val="0"/>
          <w:marBottom w:val="0"/>
          <w:divBdr>
            <w:top w:val="none" w:sz="0" w:space="0" w:color="auto"/>
            <w:left w:val="none" w:sz="0" w:space="0" w:color="auto"/>
            <w:bottom w:val="none" w:sz="0" w:space="0" w:color="auto"/>
            <w:right w:val="none" w:sz="0" w:space="0" w:color="auto"/>
          </w:divBdr>
        </w:div>
        <w:div w:id="626203520">
          <w:marLeft w:val="0"/>
          <w:marRight w:val="0"/>
          <w:marTop w:val="0"/>
          <w:marBottom w:val="0"/>
          <w:divBdr>
            <w:top w:val="none" w:sz="0" w:space="0" w:color="auto"/>
            <w:left w:val="none" w:sz="0" w:space="0" w:color="auto"/>
            <w:bottom w:val="none" w:sz="0" w:space="0" w:color="auto"/>
            <w:right w:val="none" w:sz="0" w:space="0" w:color="auto"/>
          </w:divBdr>
        </w:div>
        <w:div w:id="2053964457">
          <w:marLeft w:val="0"/>
          <w:marRight w:val="0"/>
          <w:marTop w:val="0"/>
          <w:marBottom w:val="0"/>
          <w:divBdr>
            <w:top w:val="none" w:sz="0" w:space="0" w:color="auto"/>
            <w:left w:val="none" w:sz="0" w:space="0" w:color="auto"/>
            <w:bottom w:val="none" w:sz="0" w:space="0" w:color="auto"/>
            <w:right w:val="none" w:sz="0" w:space="0" w:color="auto"/>
          </w:divBdr>
        </w:div>
        <w:div w:id="105079397">
          <w:marLeft w:val="0"/>
          <w:marRight w:val="0"/>
          <w:marTop w:val="0"/>
          <w:marBottom w:val="0"/>
          <w:divBdr>
            <w:top w:val="none" w:sz="0" w:space="0" w:color="auto"/>
            <w:left w:val="none" w:sz="0" w:space="0" w:color="auto"/>
            <w:bottom w:val="none" w:sz="0" w:space="0" w:color="auto"/>
            <w:right w:val="none" w:sz="0" w:space="0" w:color="auto"/>
          </w:divBdr>
        </w:div>
        <w:div w:id="1551073016">
          <w:marLeft w:val="0"/>
          <w:marRight w:val="0"/>
          <w:marTop w:val="0"/>
          <w:marBottom w:val="0"/>
          <w:divBdr>
            <w:top w:val="none" w:sz="0" w:space="0" w:color="auto"/>
            <w:left w:val="none" w:sz="0" w:space="0" w:color="auto"/>
            <w:bottom w:val="none" w:sz="0" w:space="0" w:color="auto"/>
            <w:right w:val="none" w:sz="0" w:space="0" w:color="auto"/>
          </w:divBdr>
        </w:div>
        <w:div w:id="250168014">
          <w:marLeft w:val="0"/>
          <w:marRight w:val="0"/>
          <w:marTop w:val="0"/>
          <w:marBottom w:val="0"/>
          <w:divBdr>
            <w:top w:val="none" w:sz="0" w:space="0" w:color="auto"/>
            <w:left w:val="none" w:sz="0" w:space="0" w:color="auto"/>
            <w:bottom w:val="none" w:sz="0" w:space="0" w:color="auto"/>
            <w:right w:val="none" w:sz="0" w:space="0" w:color="auto"/>
          </w:divBdr>
        </w:div>
        <w:div w:id="1699309297">
          <w:marLeft w:val="0"/>
          <w:marRight w:val="0"/>
          <w:marTop w:val="0"/>
          <w:marBottom w:val="0"/>
          <w:divBdr>
            <w:top w:val="none" w:sz="0" w:space="0" w:color="auto"/>
            <w:left w:val="none" w:sz="0" w:space="0" w:color="auto"/>
            <w:bottom w:val="none" w:sz="0" w:space="0" w:color="auto"/>
            <w:right w:val="none" w:sz="0" w:space="0" w:color="auto"/>
          </w:divBdr>
        </w:div>
        <w:div w:id="1571884775">
          <w:marLeft w:val="0"/>
          <w:marRight w:val="0"/>
          <w:marTop w:val="0"/>
          <w:marBottom w:val="0"/>
          <w:divBdr>
            <w:top w:val="none" w:sz="0" w:space="0" w:color="auto"/>
            <w:left w:val="none" w:sz="0" w:space="0" w:color="auto"/>
            <w:bottom w:val="none" w:sz="0" w:space="0" w:color="auto"/>
            <w:right w:val="none" w:sz="0" w:space="0" w:color="auto"/>
          </w:divBdr>
        </w:div>
      </w:divsChild>
    </w:div>
    <w:div w:id="17454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WTPCSN73YJ26-7-6596</_dlc_DocId>
    <_dlc_DocIdUrl xmlns="8a3471f6-0f36-4ccf-b5ee-1ca67ea797ef">
      <Url>http://dm/EESC/2017/_layouts/DocIdRedir.aspx?ID=WTPCSN73YJ26-7-6596</Url>
      <Description>WTPCSN73YJ26-7-6596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2017-12-19T12:00:00+00:00</ProductionDate>
    <DocumentNumber xmlns="f5b869d2-addc-441a-a17c-05e3e333473c">4775</DocumentNumber>
    <FicheYear xmlns="8a3471f6-0f36-4ccf-b5ee-1ca67ea797ef">2017</FicheYear>
    <DocumentVersion xmlns="8a3471f6-0f36-4ccf-b5ee-1ca67ea797ef">1</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 xsi:nil="true"/>
    <TaxCatchAll xmlns="8a3471f6-0f36-4ccf-b5ee-1ca67ea797ef">
      <Value>22</Value>
      <Value>18</Value>
      <Value>8</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13783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MeetingName_0>
    <RequestingService xmlns="8a3471f6-0f36-4ccf-b5ee-1ca67ea797ef">Secrétariat Groupe III</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DE0E-08E7-4075-A8B2-8DE1A7EC4EB7}">
  <ds:schemaRefs>
    <ds:schemaRef ds:uri="http://schemas.microsoft.com/sharepoint/v3/contenttype/forms"/>
  </ds:schemaRefs>
</ds:datastoreItem>
</file>

<file path=customXml/itemProps2.xml><?xml version="1.0" encoding="utf-8"?>
<ds:datastoreItem xmlns:ds="http://schemas.openxmlformats.org/officeDocument/2006/customXml" ds:itemID="{B553B865-F116-4859-B872-64E568E64420}">
  <ds:schemaRefs>
    <ds:schemaRef ds:uri="http://schemas.microsoft.com/sharepoint/events"/>
  </ds:schemaRefs>
</ds:datastoreItem>
</file>

<file path=customXml/itemProps3.xml><?xml version="1.0" encoding="utf-8"?>
<ds:datastoreItem xmlns:ds="http://schemas.openxmlformats.org/officeDocument/2006/customXml" ds:itemID="{D8F8F31E-38D9-41A0-881E-9E1F6655BF7A}">
  <ds:schemaRefs>
    <ds:schemaRef ds:uri="http://purl.org/dc/elements/1.1/"/>
    <ds:schemaRef ds:uri="http://purl.org/dc/dcmitype/"/>
    <ds:schemaRef ds:uri="http://schemas.microsoft.com/office/2006/documentManagement/types"/>
    <ds:schemaRef ds:uri="f5b869d2-addc-441a-a17c-05e3e333473c"/>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schemas.microsoft.com/sharepoint/v3/fields"/>
    <ds:schemaRef ds:uri="8a3471f6-0f36-4ccf-b5ee-1ca67ea797ef"/>
  </ds:schemaRefs>
</ds:datastoreItem>
</file>

<file path=customXml/itemProps4.xml><?xml version="1.0" encoding="utf-8"?>
<ds:datastoreItem xmlns:ds="http://schemas.openxmlformats.org/officeDocument/2006/customXml" ds:itemID="{F1B94C79-A5F9-4D1E-81DB-B66D3D7C2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7D1D5A-B61A-4BC2-981D-8A05599A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7317</Characters>
  <Application>Microsoft Office Word</Application>
  <DocSecurity>4</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Mr METZLER - Manifesto of liberal professions at European level</vt:lpstr>
      <vt:lpstr>M. METZLER - Definitionen des Begriffs Freier Beruf auf  europäischer Ebene</vt:lpstr>
    </vt:vector>
  </TitlesOfParts>
  <Company>Hewlett-Packard Company</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METZLER - Manifesto of liberal professions at European level</dc:title>
  <dc:subject>Information document</dc:subject>
  <dc:creator>Büttner, Alfred</dc:creator>
  <cp:keywords>EESC-2017-04775-00-01-INFO-TRA-DE</cp:keywords>
  <dc:description>Rapporteur:  - Original language: DE - Date of document: 19/12/2017 - Date of meeting:  - External documents:  - Administrator: Mme Palombelli Fausta</dc:description>
  <cp:lastModifiedBy>Isabelle Henin</cp:lastModifiedBy>
  <cp:revision>2</cp:revision>
  <cp:lastPrinted>2017-12-11T13:45:00Z</cp:lastPrinted>
  <dcterms:created xsi:type="dcterms:W3CDTF">2018-01-16T17:09:00Z</dcterms:created>
  <dcterms:modified xsi:type="dcterms:W3CDTF">2018-01-16T17:09:00Z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11/12/2017, 12/10/2017</vt:lpwstr>
  </property>
  <property fmtid="{D5CDD505-2E9C-101B-9397-08002B2CF9AE}" pid="4" name="Pref_Time">
    <vt:lpwstr>16:03:45, 12:29:53</vt:lpwstr>
  </property>
  <property fmtid="{D5CDD505-2E9C-101B-9397-08002B2CF9AE}" pid="5" name="Pref_User">
    <vt:lpwstr>mkop, mkop</vt:lpwstr>
  </property>
  <property fmtid="{D5CDD505-2E9C-101B-9397-08002B2CF9AE}" pid="6" name="Pref_FileName">
    <vt:lpwstr>EESC-2017-04775-00-01-INFO-ORI.docx, EESC-2017-04775-00-00-INFO-ORI.docx</vt:lpwstr>
  </property>
  <property fmtid="{D5CDD505-2E9C-101B-9397-08002B2CF9AE}" pid="7" name="ContentTypeId">
    <vt:lpwstr>0x010100EA97B91038054C99906057A708A1480A00FC97235EC7FCE745BC5B366FF1DC5038</vt:lpwstr>
  </property>
  <property fmtid="{D5CDD505-2E9C-101B-9397-08002B2CF9AE}" pid="8" name="_dlc_DocIdItemGuid">
    <vt:lpwstr>9c50c8b6-d9db-473d-8a98-0b568c6d147a</vt:lpwstr>
  </property>
  <property fmtid="{D5CDD505-2E9C-101B-9397-08002B2CF9AE}" pid="9" name="DocumentType_0">
    <vt:lpwstr>INFO|d9136e7c-93a9-4c42-9d28-92b61e85f80c</vt:lpwstr>
  </property>
  <property fmtid="{D5CDD505-2E9C-101B-9397-08002B2CF9AE}" pid="10" name="AvailableTranslations">
    <vt:lpwstr>22;#IT|0774613c-01ed-4e5d-a25d-11d2388de825;#4;#EN|f2175f21-25d7-44a3-96da-d6a61b075e1b;#8;#FR|d2afafd3-4c81-4f60-8f52-ee33f2f54ff3;#18;#DE|f6b31e5a-26fa-4935-b661-318e46daf27e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4775</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3;#INFO|d9136e7c-93a9-4c42-9d28-92b61e85f80c</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Secrétariat Groupe III</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18;#DE|f6b31e5a-26fa-4935-b661-318e46daf27e</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DE|f6b31e5a-26fa-4935-b661-318e46daf27e</vt:lpwstr>
  </property>
  <property fmtid="{D5CDD505-2E9C-101B-9397-08002B2CF9AE}" pid="29" name="TaxCatchAll">
    <vt:lpwstr>22;#IT|0774613c-01ed-4e5d-a25d-11d2388de825;#18;#DE|f6b31e5a-26fa-4935-b661-318e46daf27e;#8;#FR|d2afafd3-4c81-4f60-8f52-ee33f2f54ff3;#6;#Final|ea5e6674-7b27-4bac-b091-73adbb394efe;#5;#Unrestricted|826e22d7-d029-4ec0-a450-0c28ff673572;#3;#INFO|d9136e7c-93a</vt:lpwstr>
  </property>
  <property fmtid="{D5CDD505-2E9C-101B-9397-08002B2CF9AE}" pid="30" name="AvailableTranslations_0">
    <vt:lpwstr>IT|0774613c-01ed-4e5d-a25d-11d2388de825;FR|d2afafd3-4c81-4f60-8f52-ee33f2f54ff3;DE|f6b31e5a-26fa-4935-b661-318e46daf27e</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13783</vt:i4>
  </property>
  <property fmtid="{D5CDD505-2E9C-101B-9397-08002B2CF9AE}" pid="34" name="DocumentYear">
    <vt:i4>2017</vt:i4>
  </property>
  <property fmtid="{D5CDD505-2E9C-101B-9397-08002B2CF9AE}" pid="35" name="DocumentLanguage">
    <vt:lpwstr>4;#EN|f2175f21-25d7-44a3-96da-d6a61b075e1b</vt:lpwstr>
  </property>
</Properties>
</file>