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E62E8D">
        <w:trPr>
          <w:trHeight w:val="1540"/>
        </w:trPr>
        <w:tc>
          <w:tcPr>
            <w:tcW w:w="5000" w:type="pct"/>
          </w:tcPr>
          <w:p w:rsidR="00DB12C9" w:rsidRPr="00104337" w:rsidRDefault="00DB12C9">
            <w:pPr>
              <w:overflowPunct/>
              <w:adjustRightInd/>
              <w:jc w:val="center"/>
              <w:textAlignment w:val="auto"/>
              <w:rPr>
                <w:noProof/>
              </w:rPr>
            </w:pPr>
            <w:r>
              <w:rPr>
                <w:noProof/>
                <w:lang w:val="fr-BE" w:eastAsia="ja-JP" w:bidi="ar-SA"/>
              </w:rPr>
              <w:drawing>
                <wp:inline distT="0" distB="0" distL="0" distR="0" wp14:anchorId="2190DA36" wp14:editId="4D1000B0">
                  <wp:extent cx="6120130" cy="2753446"/>
                  <wp:effectExtent l="0" t="0" r="0" b="8890"/>
                  <wp:docPr id="2" name="Picture 2" descr="F:\Asia\JAPAN\01. Activities\2017\20171026 Joint seminar Japan and Intl Trade FupC\Graphics\17_483 600x270 dynam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ia\JAPAN\01. Activities\2017\20171026 Joint seminar Japan and Intl Trade FupC\Graphics\17_483 600x270 dynamic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753446"/>
                          </a:xfrm>
                          <a:prstGeom prst="rect">
                            <a:avLst/>
                          </a:prstGeom>
                          <a:noFill/>
                          <a:ln>
                            <a:noFill/>
                          </a:ln>
                        </pic:spPr>
                      </pic:pic>
                    </a:graphicData>
                  </a:graphic>
                </wp:inline>
              </w:drawing>
            </w:r>
          </w:p>
        </w:tc>
      </w:tr>
    </w:tbl>
    <w:p w:rsidR="00A10B12" w:rsidRPr="00732022" w:rsidRDefault="002A6548" w:rsidP="00406228">
      <w:pPr>
        <w:overflowPunct/>
        <w:adjustRightInd/>
        <w:jc w:val="center"/>
        <w:textAlignment w:val="auto"/>
        <w:rPr>
          <w:rFonts w:ascii="Arial Narrow" w:hAnsi="Arial Narrow"/>
          <w:i/>
          <w:sz w:val="20"/>
        </w:rPr>
      </w:pPr>
      <w:r>
        <w:rPr>
          <w:noProof/>
          <w:sz w:val="20"/>
          <w:lang w:val="fr-BE" w:eastAsia="ja-JP" w:bidi="ar-SA"/>
        </w:rPr>
        <mc:AlternateContent>
          <mc:Choice Requires="wps">
            <w:drawing>
              <wp:anchor distT="0" distB="0" distL="114300" distR="114300" simplePos="0" relativeHeight="251661312" behindDoc="1" locked="0" layoutInCell="0" allowOverlap="1" wp14:anchorId="79F74D2E" wp14:editId="1F58D779">
                <wp:simplePos x="0" y="0"/>
                <wp:positionH relativeFrom="page">
                  <wp:posOffset>6769100</wp:posOffset>
                </wp:positionH>
                <wp:positionV relativeFrom="page">
                  <wp:posOffset>10081260</wp:posOffset>
                </wp:positionV>
                <wp:extent cx="647700" cy="396240"/>
                <wp:effectExtent l="0" t="3810" r="3175"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548" w:rsidRPr="00260E65" w:rsidRDefault="002A6548">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O4r5X7YCAAC5&#10;BQAADgAAAAAAAAAAAAAAAAAuAgAAZHJzL2Uyb0RvYy54bWxQSwECLQAUAAYACAAAACEA61QxWt4A&#10;AAAPAQAADwAAAAAAAAAAAAAAAAAQBQAAZHJzL2Rvd25yZXYueG1sUEsFBgAAAAAEAAQA8wAAABsG&#10;AAAAAA==&#10;">
                <v:textbox>
                  <w:txbxContent>
                    <w:p w:rsidRPr="00260E65" w:rsidR="002A6548" w:rsidRDefault="002A6548">
                      <w:pPr>
                        <w:jc w:val="center"/>
                        <w:rPr>
                          <w:rFonts w:ascii="Arial" w:hAnsi="Arial" w:cs="Arial"/>
                          <w:b/>
                          <w:bCs/>
                          <w:sz w:val="48"/>
                        </w:rPr>
                      </w:pPr>
                      <w:r>
                        <w:rPr>
                          <w:rFonts w:ascii="Arial" w:hAnsi="Arial"/>
                          <w:b/>
                          <w:sz w:val="48"/>
                        </w:rPr>
                        <w:t>FR</w:t>
                      </w:r>
                    </w:p>
                  </w:txbxContent>
                </v:textbox>
                <w10:wrap xmlns:w10="urn:schemas-microsoft-com:office:word" anchorx="page" anchory="page"/>
              </v:shape>
            </w:pict>
          </mc:Fallback>
        </mc:AlternateContent>
      </w:r>
    </w:p>
    <w:p w:rsidR="000D7EC3" w:rsidRPr="00104337" w:rsidRDefault="00B83A2B" w:rsidP="00406228">
      <w:pPr>
        <w:overflowPunct/>
        <w:adjustRightInd/>
        <w:jc w:val="center"/>
        <w:textAlignment w:val="auto"/>
        <w:rPr>
          <w:rFonts w:ascii="Arial Narrow" w:hAnsi="Arial Narrow"/>
          <w:b/>
          <w:color w:val="548DD4"/>
          <w:sz w:val="28"/>
          <w:szCs w:val="28"/>
        </w:rPr>
      </w:pPr>
      <w:r>
        <w:rPr>
          <w:rFonts w:ascii="Arial Narrow" w:hAnsi="Arial Narrow"/>
          <w:b/>
          <w:sz w:val="28"/>
        </w:rPr>
        <w:t>PROGRAMME PROVISOIRE</w:t>
      </w:r>
    </w:p>
    <w:p w:rsidR="00A329BE" w:rsidRPr="00732022" w:rsidRDefault="00A329BE" w:rsidP="00406228">
      <w:pPr>
        <w:overflowPunct/>
        <w:adjustRightInd/>
        <w:jc w:val="center"/>
        <w:textAlignment w:val="auto"/>
        <w:rPr>
          <w:rFonts w:ascii="Arial Narrow" w:hAnsi="Arial Narrow"/>
          <w:b/>
          <w:i/>
          <w:color w:val="548DD4"/>
          <w:sz w:val="16"/>
        </w:rPr>
      </w:pPr>
    </w:p>
    <w:tbl>
      <w:tblPr>
        <w:tblW w:w="5000" w:type="pct"/>
        <w:tblLook w:val="0000" w:firstRow="0" w:lastRow="0" w:firstColumn="0" w:lastColumn="0" w:noHBand="0" w:noVBand="0"/>
      </w:tblPr>
      <w:tblGrid>
        <w:gridCol w:w="1668"/>
        <w:gridCol w:w="7620"/>
      </w:tblGrid>
      <w:tr w:rsidR="00E62E8D" w:rsidTr="00104337">
        <w:trPr>
          <w:cantSplit/>
          <w:trHeight w:val="293"/>
        </w:trPr>
        <w:tc>
          <w:tcPr>
            <w:tcW w:w="898" w:type="pct"/>
            <w:shd w:val="clear" w:color="auto" w:fill="FFFFFF"/>
          </w:tcPr>
          <w:p w:rsidR="000D7EC3" w:rsidRPr="00732022" w:rsidRDefault="00DF45A8" w:rsidP="00406228">
            <w:pPr>
              <w:rPr>
                <w:rFonts w:ascii="Arial Narrow" w:hAnsi="Arial Narrow"/>
                <w:b/>
                <w:color w:val="548DD4"/>
                <w:sz w:val="20"/>
              </w:rPr>
            </w:pPr>
            <w:r>
              <w:rPr>
                <w:rFonts w:ascii="Arial Narrow" w:hAnsi="Arial Narrow"/>
                <w:b/>
                <w:color w:val="548DD4"/>
                <w:sz w:val="20"/>
              </w:rPr>
              <w:t xml:space="preserve">8 h 45 ‒ 9 h 00 </w:t>
            </w:r>
          </w:p>
        </w:tc>
        <w:tc>
          <w:tcPr>
            <w:tcW w:w="4102" w:type="pct"/>
            <w:shd w:val="clear" w:color="auto" w:fill="FFFFFF"/>
          </w:tcPr>
          <w:p w:rsidR="000D7EC3" w:rsidRPr="00732022" w:rsidRDefault="00B83A2B" w:rsidP="00406228">
            <w:pPr>
              <w:tabs>
                <w:tab w:val="left" w:pos="5209"/>
              </w:tabs>
              <w:overflowPunct/>
              <w:adjustRightInd/>
              <w:textAlignment w:val="auto"/>
              <w:rPr>
                <w:rFonts w:ascii="Arial Narrow" w:hAnsi="Arial Narrow"/>
                <w:b/>
                <w:color w:val="548DD4"/>
                <w:sz w:val="20"/>
              </w:rPr>
            </w:pPr>
            <w:r>
              <w:rPr>
                <w:rFonts w:ascii="Arial Narrow" w:hAnsi="Arial Narrow"/>
                <w:b/>
                <w:color w:val="548DD4"/>
                <w:sz w:val="20"/>
              </w:rPr>
              <w:t>Enregistrement et accueil des participants</w:t>
            </w:r>
          </w:p>
          <w:p w:rsidR="00AE73B6" w:rsidRPr="00732022" w:rsidRDefault="00AE73B6" w:rsidP="00406228">
            <w:pPr>
              <w:tabs>
                <w:tab w:val="left" w:pos="2552"/>
                <w:tab w:val="right" w:leader="dot" w:pos="9072"/>
              </w:tabs>
              <w:overflowPunct/>
              <w:adjustRightInd/>
              <w:textAlignment w:val="auto"/>
              <w:rPr>
                <w:rFonts w:ascii="Arial Narrow" w:hAnsi="Arial Narrow"/>
                <w:color w:val="000000"/>
                <w:sz w:val="20"/>
              </w:rPr>
            </w:pPr>
          </w:p>
        </w:tc>
      </w:tr>
      <w:tr w:rsidR="00E62E8D" w:rsidTr="00104337">
        <w:trPr>
          <w:cantSplit/>
          <w:trHeight w:val="293"/>
        </w:trPr>
        <w:tc>
          <w:tcPr>
            <w:tcW w:w="898" w:type="pct"/>
            <w:shd w:val="clear" w:color="auto" w:fill="FFFFFF"/>
          </w:tcPr>
          <w:p w:rsidR="00584677" w:rsidRPr="00732022" w:rsidRDefault="00584677" w:rsidP="00406228">
            <w:pPr>
              <w:rPr>
                <w:rFonts w:ascii="Arial Narrow" w:hAnsi="Arial Narrow"/>
                <w:b/>
                <w:color w:val="548DD4"/>
                <w:sz w:val="20"/>
              </w:rPr>
            </w:pPr>
            <w:r>
              <w:rPr>
                <w:rFonts w:ascii="Arial Narrow" w:hAnsi="Arial Narrow"/>
                <w:b/>
                <w:color w:val="548DD4"/>
                <w:sz w:val="20"/>
              </w:rPr>
              <w:t>9 h 00 ‒ 9 h 30</w:t>
            </w:r>
          </w:p>
        </w:tc>
        <w:tc>
          <w:tcPr>
            <w:tcW w:w="4102" w:type="pct"/>
            <w:shd w:val="clear" w:color="auto" w:fill="FFFFFF"/>
          </w:tcPr>
          <w:p w:rsidR="00584677" w:rsidRPr="00732022" w:rsidRDefault="00584677" w:rsidP="00406228">
            <w:pPr>
              <w:tabs>
                <w:tab w:val="left" w:pos="2552"/>
                <w:tab w:val="right" w:leader="dot" w:pos="9072"/>
              </w:tabs>
              <w:overflowPunct/>
              <w:adjustRightInd/>
              <w:jc w:val="left"/>
              <w:textAlignment w:val="auto"/>
              <w:rPr>
                <w:rFonts w:ascii="Arial Narrow" w:hAnsi="Arial Narrow"/>
                <w:b/>
                <w:color w:val="548DD4"/>
                <w:sz w:val="20"/>
              </w:rPr>
            </w:pPr>
            <w:r>
              <w:rPr>
                <w:rFonts w:ascii="Arial Narrow" w:hAnsi="Arial Narrow"/>
                <w:b/>
                <w:color w:val="548DD4"/>
                <w:sz w:val="20"/>
              </w:rPr>
              <w:t>Séance d’ouverture</w:t>
            </w:r>
          </w:p>
          <w:p w:rsidR="00584677" w:rsidRPr="00732022" w:rsidRDefault="00584677" w:rsidP="00406228">
            <w:pPr>
              <w:tabs>
                <w:tab w:val="left" w:pos="2552"/>
                <w:tab w:val="right" w:leader="dot" w:pos="9072"/>
              </w:tabs>
              <w:overflowPunct/>
              <w:adjustRightInd/>
              <w:textAlignment w:val="auto"/>
              <w:rPr>
                <w:rFonts w:ascii="Arial Narrow" w:hAnsi="Arial Narrow"/>
                <w:b/>
                <w:i/>
                <w:color w:val="548DD4"/>
                <w:sz w:val="20"/>
              </w:rPr>
            </w:pPr>
            <w:r>
              <w:rPr>
                <w:rFonts w:ascii="Arial Narrow" w:hAnsi="Arial Narrow"/>
                <w:i/>
                <w:sz w:val="20"/>
              </w:rPr>
              <w:t>Présidence: M</w:t>
            </w:r>
            <w:r>
              <w:rPr>
                <w:rFonts w:ascii="Arial Narrow" w:hAnsi="Arial Narrow"/>
                <w:i/>
                <w:sz w:val="20"/>
                <w:vertAlign w:val="superscript"/>
              </w:rPr>
              <w:t>me</w:t>
            </w:r>
            <w:r>
              <w:rPr>
                <w:rFonts w:ascii="Arial Narrow" w:hAnsi="Arial Narrow"/>
                <w:i/>
                <w:sz w:val="20"/>
              </w:rPr>
              <w:t> Benedicte Federspiel, présidente du comité de suivi «Commerce international», CESE</w:t>
            </w:r>
          </w:p>
          <w:p w:rsidR="00584677" w:rsidRPr="00732022" w:rsidRDefault="00584677" w:rsidP="00406228">
            <w:pPr>
              <w:overflowPunct/>
              <w:adjustRightInd/>
              <w:ind w:left="448" w:hanging="283"/>
              <w:textAlignment w:val="auto"/>
              <w:rPr>
                <w:rFonts w:ascii="Arial Narrow" w:eastAsia="Calibri" w:hAnsi="Arial Narrow"/>
                <w:sz w:val="20"/>
              </w:rPr>
            </w:pPr>
          </w:p>
          <w:p w:rsidR="008014DA" w:rsidRPr="00732022" w:rsidRDefault="00DB12C9" w:rsidP="00406228">
            <w:pPr>
              <w:numPr>
                <w:ilvl w:val="0"/>
                <w:numId w:val="2"/>
              </w:numPr>
              <w:overflowPunct/>
              <w:adjustRightInd/>
              <w:textAlignment w:val="auto"/>
              <w:rPr>
                <w:rFonts w:ascii="Arial Narrow" w:eastAsia="Calibri" w:hAnsi="Arial Narrow"/>
                <w:b/>
                <w:sz w:val="20"/>
              </w:rPr>
            </w:pPr>
            <w:r>
              <w:rPr>
                <w:rFonts w:ascii="Arial Narrow" w:hAnsi="Arial Narrow"/>
                <w:b/>
                <w:sz w:val="20"/>
              </w:rPr>
              <w:t xml:space="preserve">S.E. </w:t>
            </w:r>
            <w:r w:rsidR="001517EB">
              <w:rPr>
                <w:rFonts w:ascii="Arial Narrow" w:eastAsia="Calibri" w:hAnsi="Arial Narrow"/>
                <w:b/>
                <w:sz w:val="20"/>
                <w:lang w:val="en-GB"/>
              </w:rPr>
              <w:t>Kazuo Kodama</w:t>
            </w:r>
            <w:bookmarkStart w:id="0" w:name="_GoBack"/>
            <w:bookmarkEnd w:id="0"/>
            <w:r>
              <w:rPr>
                <w:rFonts w:ascii="Arial Narrow" w:hAnsi="Arial Narrow"/>
                <w:sz w:val="20"/>
              </w:rPr>
              <w:t>, ambassadeur du Japon auprès de l’Union européenne</w:t>
            </w:r>
          </w:p>
          <w:p w:rsidR="00584677" w:rsidRPr="00732022" w:rsidRDefault="00641A35" w:rsidP="00406228">
            <w:pPr>
              <w:numPr>
                <w:ilvl w:val="0"/>
                <w:numId w:val="2"/>
              </w:numPr>
              <w:overflowPunct/>
              <w:adjustRightInd/>
              <w:textAlignment w:val="auto"/>
              <w:rPr>
                <w:rFonts w:ascii="Arial Narrow" w:eastAsia="Calibri" w:hAnsi="Arial Narrow"/>
                <w:b/>
                <w:sz w:val="20"/>
              </w:rPr>
            </w:pPr>
            <w:r>
              <w:rPr>
                <w:rFonts w:ascii="Arial Narrow" w:hAnsi="Arial Narrow"/>
                <w:b/>
                <w:sz w:val="20"/>
              </w:rPr>
              <w:t xml:space="preserve">M. Mauro Raffaele </w:t>
            </w:r>
            <w:proofErr w:type="spellStart"/>
            <w:r>
              <w:rPr>
                <w:rFonts w:ascii="Arial Narrow" w:hAnsi="Arial Narrow"/>
                <w:b/>
                <w:sz w:val="20"/>
              </w:rPr>
              <w:t>Petriccione</w:t>
            </w:r>
            <w:proofErr w:type="spellEnd"/>
            <w:r>
              <w:rPr>
                <w:rFonts w:ascii="Arial Narrow" w:hAnsi="Arial Narrow"/>
                <w:sz w:val="20"/>
              </w:rPr>
              <w:t>, directeur général adjoint, DG TRADE, Commission européenne</w:t>
            </w:r>
          </w:p>
          <w:p w:rsidR="00A77D59" w:rsidRPr="00732022" w:rsidRDefault="00A77D59" w:rsidP="00406228">
            <w:pPr>
              <w:tabs>
                <w:tab w:val="left" w:pos="2552"/>
                <w:tab w:val="right" w:leader="dot" w:pos="9072"/>
              </w:tabs>
              <w:overflowPunct/>
              <w:adjustRightInd/>
              <w:textAlignment w:val="auto"/>
              <w:rPr>
                <w:rFonts w:ascii="Arial Narrow" w:hAnsi="Arial Narrow"/>
                <w:b/>
                <w:color w:val="548DD4"/>
                <w:sz w:val="20"/>
              </w:rPr>
            </w:pPr>
          </w:p>
        </w:tc>
      </w:tr>
      <w:tr w:rsidR="00E62E8D" w:rsidTr="00104337">
        <w:trPr>
          <w:cantSplit/>
          <w:trHeight w:val="293"/>
        </w:trPr>
        <w:tc>
          <w:tcPr>
            <w:tcW w:w="898" w:type="pct"/>
            <w:shd w:val="clear" w:color="auto" w:fill="FFFFFF"/>
          </w:tcPr>
          <w:p w:rsidR="006C1DCE" w:rsidRPr="00732022" w:rsidRDefault="00DF45A8">
            <w:pPr>
              <w:rPr>
                <w:rFonts w:ascii="Arial Narrow" w:hAnsi="Arial Narrow"/>
                <w:b/>
                <w:color w:val="548DD4"/>
                <w:sz w:val="20"/>
              </w:rPr>
            </w:pPr>
            <w:r>
              <w:rPr>
                <w:rFonts w:ascii="Arial Narrow" w:hAnsi="Arial Narrow"/>
                <w:b/>
                <w:color w:val="548DD4"/>
                <w:sz w:val="20"/>
              </w:rPr>
              <w:t>9 h 30 ‒ 10 h 30</w:t>
            </w:r>
          </w:p>
        </w:tc>
        <w:tc>
          <w:tcPr>
            <w:tcW w:w="4102" w:type="pct"/>
            <w:shd w:val="clear" w:color="auto" w:fill="FFFFFF"/>
          </w:tcPr>
          <w:p w:rsidR="00DF45A8" w:rsidRPr="00732022" w:rsidRDefault="008B7A07" w:rsidP="00406228">
            <w:pPr>
              <w:overflowPunct/>
              <w:adjustRightInd/>
              <w:textAlignment w:val="auto"/>
              <w:rPr>
                <w:rFonts w:ascii="Arial Narrow" w:hAnsi="Arial Narrow"/>
                <w:b/>
                <w:color w:val="548DD4"/>
                <w:sz w:val="20"/>
              </w:rPr>
            </w:pPr>
            <w:r>
              <w:rPr>
                <w:rFonts w:ascii="Arial Narrow" w:hAnsi="Arial Narrow"/>
                <w:b/>
                <w:color w:val="548DD4"/>
                <w:sz w:val="20"/>
              </w:rPr>
              <w:t>Session 1 ‒ L’importance de l’accord de principe et la voie à suivre</w:t>
            </w:r>
          </w:p>
          <w:p w:rsidR="00DF45A8" w:rsidRPr="00732022" w:rsidRDefault="00584677" w:rsidP="00406228">
            <w:pPr>
              <w:overflowPunct/>
              <w:adjustRightInd/>
              <w:textAlignment w:val="auto"/>
              <w:rPr>
                <w:rFonts w:ascii="Arial Narrow" w:eastAsia="Calibri" w:hAnsi="Arial Narrow"/>
                <w:i/>
                <w:sz w:val="20"/>
              </w:rPr>
            </w:pPr>
            <w:r>
              <w:rPr>
                <w:rFonts w:ascii="Arial Narrow" w:hAnsi="Arial Narrow"/>
                <w:i/>
                <w:sz w:val="20"/>
              </w:rPr>
              <w:t>Présidence: M</w:t>
            </w:r>
            <w:r>
              <w:rPr>
                <w:rFonts w:ascii="Arial Narrow" w:hAnsi="Arial Narrow"/>
                <w:i/>
                <w:sz w:val="20"/>
                <w:vertAlign w:val="superscript"/>
              </w:rPr>
              <w:t>me</w:t>
            </w:r>
            <w:r>
              <w:rPr>
                <w:rFonts w:ascii="Arial Narrow" w:hAnsi="Arial Narrow"/>
                <w:i/>
                <w:sz w:val="20"/>
              </w:rPr>
              <w:t xml:space="preserve"> Dilyana Slavova, présidente de la section «Relations extérieures», CESE </w:t>
            </w:r>
          </w:p>
          <w:p w:rsidR="00DF45A8" w:rsidRPr="00732022" w:rsidRDefault="00DF45A8" w:rsidP="00406228">
            <w:pPr>
              <w:overflowPunct/>
              <w:adjustRightInd/>
              <w:textAlignment w:val="auto"/>
              <w:rPr>
                <w:rFonts w:ascii="Arial Narrow" w:eastAsia="Calibri" w:hAnsi="Arial Narrow"/>
                <w:i/>
                <w:sz w:val="20"/>
              </w:rPr>
            </w:pPr>
          </w:p>
          <w:tbl>
            <w:tblPr>
              <w:tblStyle w:val="TableGrid"/>
              <w:tblW w:w="0" w:type="auto"/>
              <w:tblLook w:val="04A0" w:firstRow="1" w:lastRow="0" w:firstColumn="1" w:lastColumn="0" w:noHBand="0" w:noVBand="1"/>
            </w:tblPr>
            <w:tblGrid>
              <w:gridCol w:w="7394"/>
            </w:tblGrid>
            <w:tr w:rsidR="009B173F" w:rsidRPr="00732022" w:rsidTr="009B173F">
              <w:tc>
                <w:tcPr>
                  <w:tcW w:w="7756" w:type="dxa"/>
                </w:tcPr>
                <w:p w:rsidR="009B173F" w:rsidRPr="00732022" w:rsidRDefault="009B173F" w:rsidP="00406228">
                  <w:pPr>
                    <w:overflowPunct/>
                    <w:adjustRightInd/>
                    <w:textAlignment w:val="auto"/>
                    <w:rPr>
                      <w:rFonts w:eastAsia="Calibri"/>
                    </w:rPr>
                  </w:pPr>
                  <w:r>
                    <w:rPr>
                      <w:rFonts w:ascii="Arial Narrow" w:hAnsi="Arial Narrow"/>
                      <w:sz w:val="20"/>
                    </w:rPr>
                    <w:t>Un accord de libre-échange/de partenariat économique «de principe» a été dégagé en juillet 2017. Les détails de l’accord doivent encore être précisés, ce qui peut prendre une année supplémentaire. Depuis le début des négociations, en 2013, le contexte commercial international a considérablement évolué et, par conséquent, le raisonnement suivi pour parvenir à cet accord a lui aussi changé. Quels facteurs ont joué un rôle dans la mise en place de cet accord de principe? Existe-t-il une feuille de route pour sa mise en œuvre provisoire? Quelle place est réservée, dans ce contexte général, aux dispositions établissant un mécanisme de suivi par la société civile?</w:t>
                  </w:r>
                </w:p>
              </w:tc>
            </w:tr>
          </w:tbl>
          <w:p w:rsidR="00D2149A" w:rsidRPr="00732022" w:rsidRDefault="00D2149A" w:rsidP="00406228">
            <w:pPr>
              <w:overflowPunct/>
              <w:adjustRightInd/>
              <w:textAlignment w:val="auto"/>
              <w:rPr>
                <w:rFonts w:ascii="Arial Narrow" w:eastAsia="Calibri" w:hAnsi="Arial Narrow"/>
                <w:sz w:val="20"/>
              </w:rPr>
            </w:pPr>
          </w:p>
          <w:p w:rsidR="00F83C5D" w:rsidRPr="00732022" w:rsidRDefault="00A329BE" w:rsidP="00406228">
            <w:pPr>
              <w:overflowPunct/>
              <w:adjustRightInd/>
              <w:textAlignment w:val="auto"/>
              <w:rPr>
                <w:rFonts w:ascii="Arial Narrow" w:eastAsia="Calibri" w:hAnsi="Arial Narrow"/>
                <w:i/>
                <w:sz w:val="20"/>
              </w:rPr>
            </w:pPr>
            <w:r>
              <w:rPr>
                <w:rFonts w:ascii="Arial Narrow" w:hAnsi="Arial Narrow"/>
                <w:i/>
                <w:sz w:val="20"/>
              </w:rPr>
              <w:t>Intervenants:</w:t>
            </w:r>
          </w:p>
          <w:p w:rsidR="00A329BE" w:rsidRPr="00DB12C9" w:rsidRDefault="00E66CCA">
            <w:pPr>
              <w:numPr>
                <w:ilvl w:val="0"/>
                <w:numId w:val="2"/>
              </w:numPr>
              <w:overflowPunct/>
              <w:adjustRightInd/>
              <w:textAlignment w:val="auto"/>
              <w:rPr>
                <w:rFonts w:ascii="Arial Narrow" w:eastAsia="Calibri" w:hAnsi="Arial Narrow"/>
                <w:b/>
                <w:sz w:val="20"/>
              </w:rPr>
            </w:pPr>
            <w:r>
              <w:rPr>
                <w:rFonts w:ascii="Arial Narrow" w:hAnsi="Arial Narrow"/>
                <w:b/>
                <w:sz w:val="20"/>
              </w:rPr>
              <w:t>M</w:t>
            </w:r>
            <w:r>
              <w:rPr>
                <w:rFonts w:ascii="Arial Narrow" w:hAnsi="Arial Narrow"/>
                <w:b/>
                <w:sz w:val="20"/>
                <w:vertAlign w:val="superscript"/>
              </w:rPr>
              <w:t>me</w:t>
            </w:r>
            <w:r>
              <w:rPr>
                <w:rFonts w:ascii="Arial Narrow" w:hAnsi="Arial Narrow"/>
                <w:b/>
                <w:sz w:val="20"/>
              </w:rPr>
              <w:t> Luisa Santos</w:t>
            </w:r>
            <w:r>
              <w:rPr>
                <w:rFonts w:ascii="Arial Narrow" w:hAnsi="Arial Narrow"/>
                <w:sz w:val="20"/>
              </w:rPr>
              <w:t xml:space="preserve">, directrice chargée des relations internationales, </w:t>
            </w:r>
            <w:proofErr w:type="spellStart"/>
            <w:r>
              <w:rPr>
                <w:rFonts w:ascii="Arial Narrow" w:hAnsi="Arial Narrow"/>
                <w:sz w:val="20"/>
              </w:rPr>
              <w:t>BusinessEurope</w:t>
            </w:r>
            <w:proofErr w:type="spellEnd"/>
            <w:r>
              <w:rPr>
                <w:rFonts w:ascii="Arial Narrow" w:hAnsi="Arial Narrow"/>
                <w:sz w:val="20"/>
              </w:rPr>
              <w:t xml:space="preserve"> </w:t>
            </w:r>
          </w:p>
          <w:p w:rsidR="004D434E" w:rsidRPr="00732022" w:rsidRDefault="00E66CCA" w:rsidP="00406228">
            <w:pPr>
              <w:numPr>
                <w:ilvl w:val="0"/>
                <w:numId w:val="2"/>
              </w:numPr>
              <w:overflowPunct/>
              <w:adjustRightInd/>
              <w:textAlignment w:val="auto"/>
              <w:rPr>
                <w:rFonts w:ascii="Arial Narrow" w:eastAsia="Calibri" w:hAnsi="Arial Narrow"/>
                <w:b/>
                <w:sz w:val="20"/>
              </w:rPr>
            </w:pPr>
            <w:r>
              <w:rPr>
                <w:rFonts w:ascii="Arial Narrow" w:hAnsi="Arial Narrow"/>
                <w:b/>
                <w:sz w:val="20"/>
              </w:rPr>
              <w:t xml:space="preserve">M. Daniele </w:t>
            </w:r>
            <w:proofErr w:type="spellStart"/>
            <w:r>
              <w:rPr>
                <w:rFonts w:ascii="Arial Narrow" w:hAnsi="Arial Narrow"/>
                <w:b/>
                <w:sz w:val="20"/>
              </w:rPr>
              <w:t>Basso</w:t>
            </w:r>
            <w:proofErr w:type="spellEnd"/>
            <w:r>
              <w:rPr>
                <w:rFonts w:ascii="Arial Narrow" w:hAnsi="Arial Narrow"/>
                <w:sz w:val="20"/>
              </w:rPr>
              <w:t xml:space="preserve">, conseiller, Confédération européenne des syndicats (CES) </w:t>
            </w:r>
          </w:p>
          <w:p w:rsidR="00820C0F" w:rsidRPr="00D11025" w:rsidRDefault="00E66CCA" w:rsidP="00406228">
            <w:pPr>
              <w:numPr>
                <w:ilvl w:val="0"/>
                <w:numId w:val="2"/>
              </w:numPr>
              <w:overflowPunct/>
              <w:adjustRightInd/>
              <w:textAlignment w:val="auto"/>
              <w:rPr>
                <w:rFonts w:ascii="Arial Narrow" w:eastAsia="Calibri" w:hAnsi="Arial Narrow"/>
                <w:b/>
                <w:sz w:val="20"/>
              </w:rPr>
            </w:pPr>
            <w:r>
              <w:rPr>
                <w:rFonts w:ascii="Arial Narrow" w:hAnsi="Arial Narrow"/>
                <w:b/>
                <w:sz w:val="20"/>
              </w:rPr>
              <w:t>M</w:t>
            </w:r>
            <w:r>
              <w:rPr>
                <w:rFonts w:ascii="Arial Narrow" w:hAnsi="Arial Narrow"/>
                <w:b/>
                <w:sz w:val="20"/>
                <w:vertAlign w:val="superscript"/>
              </w:rPr>
              <w:t>me</w:t>
            </w:r>
            <w:r>
              <w:rPr>
                <w:rFonts w:ascii="Arial Narrow" w:hAnsi="Arial Narrow"/>
                <w:b/>
                <w:sz w:val="20"/>
              </w:rPr>
              <w:t> Cécile </w:t>
            </w:r>
            <w:proofErr w:type="spellStart"/>
            <w:r>
              <w:rPr>
                <w:rFonts w:ascii="Arial Narrow" w:hAnsi="Arial Narrow"/>
                <w:b/>
                <w:sz w:val="20"/>
              </w:rPr>
              <w:t>Toubeau</w:t>
            </w:r>
            <w:proofErr w:type="spellEnd"/>
            <w:r>
              <w:rPr>
                <w:rFonts w:ascii="Arial Narrow" w:hAnsi="Arial Narrow"/>
                <w:sz w:val="20"/>
              </w:rPr>
              <w:t xml:space="preserve">, directrice chargée de l’amélioration du commerce et de la réglementation, Fédération européenne pour le transport et l’environnement </w:t>
            </w:r>
          </w:p>
          <w:p w:rsidR="00DB12C9" w:rsidRPr="00732022" w:rsidRDefault="00DB12C9" w:rsidP="00406228">
            <w:pPr>
              <w:numPr>
                <w:ilvl w:val="0"/>
                <w:numId w:val="2"/>
              </w:numPr>
              <w:overflowPunct/>
              <w:adjustRightInd/>
              <w:textAlignment w:val="auto"/>
              <w:rPr>
                <w:rFonts w:ascii="Arial Narrow" w:eastAsia="Calibri" w:hAnsi="Arial Narrow"/>
                <w:b/>
                <w:sz w:val="20"/>
              </w:rPr>
            </w:pPr>
            <w:r>
              <w:rPr>
                <w:rFonts w:ascii="Arial Narrow" w:hAnsi="Arial Narrow"/>
                <w:b/>
                <w:sz w:val="20"/>
              </w:rPr>
              <w:t>M. </w:t>
            </w:r>
            <w:proofErr w:type="spellStart"/>
            <w:r>
              <w:rPr>
                <w:rFonts w:ascii="Arial Narrow" w:hAnsi="Arial Narrow"/>
                <w:b/>
                <w:sz w:val="20"/>
              </w:rPr>
              <w:t>Hosuk</w:t>
            </w:r>
            <w:proofErr w:type="spellEnd"/>
            <w:r>
              <w:rPr>
                <w:rFonts w:ascii="Arial Narrow" w:hAnsi="Arial Narrow"/>
                <w:b/>
                <w:sz w:val="20"/>
              </w:rPr>
              <w:t xml:space="preserve"> Lee-</w:t>
            </w:r>
            <w:proofErr w:type="spellStart"/>
            <w:r>
              <w:rPr>
                <w:rFonts w:ascii="Arial Narrow" w:hAnsi="Arial Narrow"/>
                <w:b/>
                <w:sz w:val="20"/>
              </w:rPr>
              <w:t>Makiyama</w:t>
            </w:r>
            <w:proofErr w:type="spellEnd"/>
            <w:r>
              <w:rPr>
                <w:rFonts w:ascii="Arial Narrow" w:hAnsi="Arial Narrow"/>
                <w:sz w:val="20"/>
              </w:rPr>
              <w:t>, directeur, Centre européen de politique économique internationale (ECIPE)</w:t>
            </w:r>
            <w:r>
              <w:rPr>
                <w:rFonts w:ascii="Arial Narrow" w:hAnsi="Arial Narrow"/>
                <w:i/>
                <w:sz w:val="20"/>
              </w:rPr>
              <w:t xml:space="preserve"> </w:t>
            </w:r>
          </w:p>
          <w:p w:rsidR="00A329BE" w:rsidRPr="00732022" w:rsidRDefault="00A329BE" w:rsidP="00406228">
            <w:pPr>
              <w:overflowPunct/>
              <w:adjustRightInd/>
              <w:ind w:left="360"/>
              <w:textAlignment w:val="auto"/>
              <w:rPr>
                <w:rFonts w:ascii="Arial Narrow" w:eastAsia="Calibri" w:hAnsi="Arial Narrow"/>
                <w:b/>
                <w:sz w:val="20"/>
              </w:rPr>
            </w:pPr>
          </w:p>
          <w:p w:rsidR="00A77D59" w:rsidRPr="00732022" w:rsidRDefault="00A77D59" w:rsidP="00406228">
            <w:pPr>
              <w:tabs>
                <w:tab w:val="left" w:pos="2552"/>
                <w:tab w:val="right" w:leader="dot" w:pos="9072"/>
              </w:tabs>
              <w:overflowPunct/>
              <w:adjustRightInd/>
              <w:jc w:val="left"/>
              <w:textAlignment w:val="auto"/>
              <w:rPr>
                <w:rFonts w:ascii="Arial Narrow" w:eastAsia="Calibri" w:hAnsi="Arial Narrow"/>
                <w:sz w:val="20"/>
              </w:rPr>
            </w:pPr>
            <w:r>
              <w:rPr>
                <w:rFonts w:ascii="Arial Narrow" w:hAnsi="Arial Narrow"/>
                <w:color w:val="548DD4"/>
                <w:sz w:val="20"/>
              </w:rPr>
              <w:t>Discussion</w:t>
            </w:r>
          </w:p>
          <w:p w:rsidR="00584677" w:rsidRPr="00732022" w:rsidRDefault="00584677" w:rsidP="00406228">
            <w:pPr>
              <w:tabs>
                <w:tab w:val="left" w:pos="2552"/>
                <w:tab w:val="right" w:leader="dot" w:pos="9072"/>
              </w:tabs>
              <w:overflowPunct/>
              <w:adjustRightInd/>
              <w:jc w:val="left"/>
              <w:textAlignment w:val="auto"/>
              <w:rPr>
                <w:rFonts w:ascii="Arial Narrow" w:hAnsi="Arial Narrow"/>
                <w:b/>
                <w:color w:val="548DD4"/>
                <w:sz w:val="16"/>
                <w:szCs w:val="16"/>
              </w:rPr>
            </w:pPr>
          </w:p>
        </w:tc>
      </w:tr>
      <w:tr w:rsidR="00DB12C9" w:rsidTr="00104337">
        <w:trPr>
          <w:cantSplit/>
          <w:trHeight w:val="293"/>
        </w:trPr>
        <w:tc>
          <w:tcPr>
            <w:tcW w:w="898" w:type="pct"/>
            <w:shd w:val="clear" w:color="auto" w:fill="FFFFFF"/>
          </w:tcPr>
          <w:p w:rsidR="00DB12C9" w:rsidRPr="00D11025" w:rsidRDefault="00DB12C9" w:rsidP="00406228">
            <w:pPr>
              <w:rPr>
                <w:rFonts w:ascii="Arial Narrow" w:hAnsi="Arial Narrow"/>
                <w:b/>
                <w:i/>
                <w:color w:val="548DD4"/>
                <w:sz w:val="20"/>
              </w:rPr>
            </w:pPr>
            <w:r>
              <w:rPr>
                <w:rFonts w:ascii="Arial Narrow" w:hAnsi="Arial Narrow"/>
                <w:b/>
                <w:i/>
                <w:color w:val="548DD4"/>
                <w:sz w:val="20"/>
              </w:rPr>
              <w:lastRenderedPageBreak/>
              <w:t>10 h 30 ‒ 10 h 45</w:t>
            </w:r>
          </w:p>
        </w:tc>
        <w:tc>
          <w:tcPr>
            <w:tcW w:w="4102" w:type="pct"/>
            <w:shd w:val="clear" w:color="auto" w:fill="FFFFFF"/>
          </w:tcPr>
          <w:p w:rsidR="00DB12C9" w:rsidRPr="00D11025" w:rsidRDefault="00DB12C9" w:rsidP="00406228">
            <w:pPr>
              <w:overflowPunct/>
              <w:adjustRightInd/>
              <w:textAlignment w:val="auto"/>
              <w:rPr>
                <w:rFonts w:ascii="Arial Narrow" w:hAnsi="Arial Narrow"/>
                <w:b/>
                <w:i/>
                <w:color w:val="548DD4"/>
                <w:sz w:val="20"/>
              </w:rPr>
            </w:pPr>
            <w:r>
              <w:rPr>
                <w:rFonts w:ascii="Arial Narrow" w:hAnsi="Arial Narrow"/>
                <w:b/>
                <w:i/>
                <w:color w:val="548DD4"/>
                <w:sz w:val="20"/>
              </w:rPr>
              <w:t>Pause-café</w:t>
            </w:r>
          </w:p>
        </w:tc>
      </w:tr>
    </w:tbl>
    <w:p w:rsidR="00DB12C9" w:rsidRDefault="00DB12C9"/>
    <w:tbl>
      <w:tblPr>
        <w:tblW w:w="5000" w:type="pct"/>
        <w:tblLook w:val="0000" w:firstRow="0" w:lastRow="0" w:firstColumn="0" w:lastColumn="0" w:noHBand="0" w:noVBand="0"/>
      </w:tblPr>
      <w:tblGrid>
        <w:gridCol w:w="1668"/>
        <w:gridCol w:w="7620"/>
      </w:tblGrid>
      <w:tr w:rsidR="00E62E8D" w:rsidTr="00104337">
        <w:trPr>
          <w:cantSplit/>
          <w:trHeight w:val="293"/>
        </w:trPr>
        <w:tc>
          <w:tcPr>
            <w:tcW w:w="898" w:type="pct"/>
            <w:shd w:val="clear" w:color="auto" w:fill="FFFFFF"/>
          </w:tcPr>
          <w:p w:rsidR="007209AF" w:rsidRPr="00732022" w:rsidRDefault="003E13D2" w:rsidP="00406228">
            <w:pPr>
              <w:rPr>
                <w:rFonts w:ascii="Arial Narrow" w:hAnsi="Arial Narrow"/>
                <w:b/>
                <w:iCs/>
                <w:color w:val="548DD4"/>
                <w:sz w:val="20"/>
              </w:rPr>
            </w:pPr>
            <w:r>
              <w:rPr>
                <w:rFonts w:ascii="Arial Narrow" w:hAnsi="Arial Narrow"/>
                <w:b/>
                <w:color w:val="548DD4"/>
                <w:sz w:val="20"/>
              </w:rPr>
              <w:t xml:space="preserve">10 h 45 ‒ 12 h 45 </w:t>
            </w:r>
          </w:p>
        </w:tc>
        <w:tc>
          <w:tcPr>
            <w:tcW w:w="4102" w:type="pct"/>
            <w:shd w:val="clear" w:color="auto" w:fill="FFFFFF"/>
          </w:tcPr>
          <w:p w:rsidR="008B7A07" w:rsidRPr="00732022" w:rsidRDefault="008B7A07" w:rsidP="00406228">
            <w:pPr>
              <w:overflowPunct/>
              <w:adjustRightInd/>
              <w:textAlignment w:val="auto"/>
              <w:rPr>
                <w:rFonts w:ascii="Arial Narrow" w:hAnsi="Arial Narrow"/>
                <w:b/>
                <w:color w:val="548DD4"/>
                <w:sz w:val="20"/>
              </w:rPr>
            </w:pPr>
            <w:r>
              <w:rPr>
                <w:rFonts w:ascii="Arial Narrow" w:hAnsi="Arial Narrow"/>
                <w:b/>
                <w:color w:val="548DD4"/>
                <w:sz w:val="20"/>
              </w:rPr>
              <w:t>Séance 2 ‒ Opportunités et défis</w:t>
            </w:r>
          </w:p>
          <w:p w:rsidR="007209AF" w:rsidRPr="00732022" w:rsidRDefault="007209AF" w:rsidP="00406228">
            <w:pPr>
              <w:overflowPunct/>
              <w:adjustRightInd/>
              <w:textAlignment w:val="auto"/>
              <w:rPr>
                <w:rFonts w:ascii="Arial Narrow" w:eastAsia="Calibri" w:hAnsi="Arial Narrow"/>
                <w:b/>
                <w:i/>
                <w:sz w:val="20"/>
              </w:rPr>
            </w:pPr>
          </w:p>
        </w:tc>
      </w:tr>
      <w:tr w:rsidR="00E62E8D" w:rsidTr="00104337">
        <w:trPr>
          <w:cantSplit/>
          <w:trHeight w:val="293"/>
        </w:trPr>
        <w:tc>
          <w:tcPr>
            <w:tcW w:w="898" w:type="pct"/>
            <w:shd w:val="clear" w:color="auto" w:fill="FFFFFF"/>
          </w:tcPr>
          <w:p w:rsidR="008B7A07" w:rsidRPr="00732022" w:rsidRDefault="008B7A07" w:rsidP="00406228">
            <w:pPr>
              <w:rPr>
                <w:rFonts w:ascii="Arial Narrow" w:hAnsi="Arial Narrow"/>
                <w:b/>
                <w:iCs/>
                <w:color w:val="548DD4"/>
                <w:sz w:val="20"/>
              </w:rPr>
            </w:pPr>
            <w:r>
              <w:rPr>
                <w:rFonts w:ascii="Arial Narrow" w:hAnsi="Arial Narrow"/>
                <w:b/>
                <w:color w:val="548DD4"/>
                <w:sz w:val="20"/>
              </w:rPr>
              <w:t>10 h 45 ‒ 11 h 45</w:t>
            </w:r>
          </w:p>
        </w:tc>
        <w:tc>
          <w:tcPr>
            <w:tcW w:w="4102" w:type="pct"/>
            <w:shd w:val="clear" w:color="auto" w:fill="FFFFFF"/>
          </w:tcPr>
          <w:p w:rsidR="008B7A07" w:rsidRPr="00732022" w:rsidRDefault="008B7A07" w:rsidP="00406228">
            <w:pPr>
              <w:overflowPunct/>
              <w:adjustRightInd/>
              <w:textAlignment w:val="auto"/>
              <w:rPr>
                <w:rFonts w:ascii="Arial Narrow" w:eastAsia="Calibri" w:hAnsi="Arial Narrow"/>
                <w:sz w:val="20"/>
                <w:u w:val="single"/>
              </w:rPr>
            </w:pPr>
            <w:r>
              <w:rPr>
                <w:rFonts w:ascii="Arial Narrow" w:hAnsi="Arial Narrow"/>
                <w:sz w:val="20"/>
                <w:u w:val="single"/>
              </w:rPr>
              <w:t>Première partie</w:t>
            </w:r>
          </w:p>
          <w:p w:rsidR="008B7A07" w:rsidRPr="00406228" w:rsidRDefault="008B7A07" w:rsidP="00406228">
            <w:pPr>
              <w:overflowPunct/>
              <w:adjustRightInd/>
              <w:textAlignment w:val="auto"/>
              <w:rPr>
                <w:rFonts w:ascii="Arial Narrow" w:hAnsi="Arial Narrow"/>
                <w:color w:val="548DD4" w:themeColor="text2" w:themeTint="99"/>
                <w:sz w:val="20"/>
              </w:rPr>
            </w:pPr>
            <w:r>
              <w:rPr>
                <w:rFonts w:ascii="Arial Narrow" w:hAnsi="Arial Narrow"/>
                <w:color w:val="548DD4" w:themeColor="text2" w:themeTint="99"/>
                <w:sz w:val="20"/>
              </w:rPr>
              <w:t>Un examen plus attentif de ce qui est convenu</w:t>
            </w:r>
          </w:p>
          <w:p w:rsidR="008B7A07" w:rsidRPr="00732022" w:rsidRDefault="008B7A07" w:rsidP="00406228">
            <w:pPr>
              <w:overflowPunct/>
              <w:adjustRightInd/>
              <w:textAlignment w:val="auto"/>
              <w:rPr>
                <w:rFonts w:ascii="Arial Narrow" w:eastAsia="Calibri" w:hAnsi="Arial Narrow"/>
                <w:sz w:val="20"/>
                <w:u w:val="single"/>
              </w:rPr>
            </w:pPr>
            <w:r>
              <w:rPr>
                <w:rFonts w:ascii="Arial Narrow" w:hAnsi="Arial Narrow"/>
                <w:i/>
                <w:sz w:val="20"/>
              </w:rPr>
              <w:t xml:space="preserve">Présidence: M. Georgi Stoev, membre du comité de suivi UE-Japon, CESE </w:t>
            </w:r>
          </w:p>
          <w:p w:rsidR="008B7A07" w:rsidRPr="00732022" w:rsidRDefault="008B7A07" w:rsidP="00406228">
            <w:pPr>
              <w:overflowPunct/>
              <w:adjustRightInd/>
              <w:textAlignment w:val="auto"/>
              <w:rPr>
                <w:rFonts w:ascii="Arial Narrow" w:eastAsia="Calibri" w:hAnsi="Arial Narrow"/>
                <w:sz w:val="20"/>
                <w:u w:val="single"/>
              </w:rPr>
            </w:pPr>
          </w:p>
          <w:tbl>
            <w:tblPr>
              <w:tblStyle w:val="TableGrid"/>
              <w:tblW w:w="0" w:type="auto"/>
              <w:tblLook w:val="04A0" w:firstRow="1" w:lastRow="0" w:firstColumn="1" w:lastColumn="0" w:noHBand="0" w:noVBand="1"/>
            </w:tblPr>
            <w:tblGrid>
              <w:gridCol w:w="7394"/>
            </w:tblGrid>
            <w:tr w:rsidR="009B173F" w:rsidRPr="00732022" w:rsidTr="009B173F">
              <w:tc>
                <w:tcPr>
                  <w:tcW w:w="7756" w:type="dxa"/>
                </w:tcPr>
                <w:p w:rsidR="009B173F" w:rsidRPr="00732022" w:rsidRDefault="00820C0F" w:rsidP="00406228">
                  <w:pPr>
                    <w:overflowPunct/>
                    <w:adjustRightInd/>
                    <w:textAlignment w:val="auto"/>
                    <w:rPr>
                      <w:rFonts w:eastAsia="Calibri"/>
                    </w:rPr>
                  </w:pPr>
                  <w:r>
                    <w:rPr>
                      <w:rFonts w:ascii="Arial Narrow" w:hAnsi="Arial Narrow"/>
                      <w:sz w:val="20"/>
                    </w:rPr>
                    <w:t xml:space="preserve">Quels chapitres ont été arrêtés et publiés, et lesquels ne l’ont pas été? Quels résultats ont été obtenus en examinant les intérêts offensifs et défensifs des deux parties? Où se situent les avantages et comment </w:t>
                  </w:r>
                  <w:proofErr w:type="spellStart"/>
                  <w:r>
                    <w:rPr>
                      <w:rFonts w:ascii="Arial Narrow" w:hAnsi="Arial Narrow"/>
                      <w:sz w:val="20"/>
                    </w:rPr>
                    <w:t>vont-ils</w:t>
                  </w:r>
                  <w:proofErr w:type="spellEnd"/>
                  <w:r>
                    <w:rPr>
                      <w:rFonts w:ascii="Arial Narrow" w:hAnsi="Arial Narrow"/>
                      <w:sz w:val="20"/>
                    </w:rPr>
                    <w:t xml:space="preserve"> se traduire en croissance et en emplois?</w:t>
                  </w:r>
                </w:p>
              </w:tc>
            </w:tr>
          </w:tbl>
          <w:p w:rsidR="009B173F" w:rsidRPr="00732022" w:rsidRDefault="009B173F" w:rsidP="00406228">
            <w:pPr>
              <w:overflowPunct/>
              <w:adjustRightInd/>
              <w:textAlignment w:val="auto"/>
              <w:rPr>
                <w:rFonts w:ascii="Arial Narrow" w:eastAsia="Calibri" w:hAnsi="Arial Narrow"/>
                <w:sz w:val="20"/>
                <w:u w:val="single"/>
              </w:rPr>
            </w:pPr>
          </w:p>
          <w:p w:rsidR="008B7A07" w:rsidRPr="00732022" w:rsidRDefault="008B7A07" w:rsidP="00406228">
            <w:pPr>
              <w:overflowPunct/>
              <w:adjustRightInd/>
              <w:textAlignment w:val="auto"/>
              <w:rPr>
                <w:rFonts w:ascii="Arial Narrow" w:eastAsia="Calibri" w:hAnsi="Arial Narrow"/>
                <w:i/>
                <w:sz w:val="20"/>
              </w:rPr>
            </w:pPr>
            <w:r>
              <w:rPr>
                <w:rFonts w:ascii="Arial Narrow" w:hAnsi="Arial Narrow"/>
                <w:i/>
                <w:sz w:val="20"/>
              </w:rPr>
              <w:t>Intervenants:</w:t>
            </w:r>
          </w:p>
          <w:p w:rsidR="00154F33" w:rsidRPr="00732022" w:rsidRDefault="00E66CCA" w:rsidP="00406228">
            <w:pPr>
              <w:numPr>
                <w:ilvl w:val="0"/>
                <w:numId w:val="2"/>
              </w:numPr>
              <w:overflowPunct/>
              <w:adjustRightInd/>
              <w:textAlignment w:val="auto"/>
              <w:rPr>
                <w:rFonts w:ascii="Arial Narrow" w:eastAsia="Calibri" w:hAnsi="Arial Narrow"/>
                <w:b/>
                <w:sz w:val="20"/>
              </w:rPr>
            </w:pPr>
            <w:r>
              <w:rPr>
                <w:rFonts w:ascii="Arial Narrow" w:hAnsi="Arial Narrow"/>
                <w:b/>
                <w:sz w:val="20"/>
              </w:rPr>
              <w:t>M. Arnaud Petit</w:t>
            </w:r>
            <w:r>
              <w:rPr>
                <w:rFonts w:ascii="Arial Narrow" w:hAnsi="Arial Narrow"/>
                <w:sz w:val="20"/>
              </w:rPr>
              <w:t xml:space="preserve">, directeur chargé des produits et du commerce, </w:t>
            </w:r>
            <w:proofErr w:type="spellStart"/>
            <w:r>
              <w:rPr>
                <w:rFonts w:ascii="Arial Narrow" w:hAnsi="Arial Narrow"/>
                <w:sz w:val="20"/>
              </w:rPr>
              <w:t>Copa-Cogeca</w:t>
            </w:r>
            <w:proofErr w:type="spellEnd"/>
          </w:p>
          <w:p w:rsidR="00DB12C9" w:rsidRDefault="00DB12C9" w:rsidP="00406228">
            <w:pPr>
              <w:numPr>
                <w:ilvl w:val="0"/>
                <w:numId w:val="2"/>
              </w:numPr>
              <w:overflowPunct/>
              <w:adjustRightInd/>
              <w:textAlignment w:val="auto"/>
              <w:rPr>
                <w:rFonts w:ascii="Arial Narrow" w:eastAsia="Calibri" w:hAnsi="Arial Narrow"/>
                <w:b/>
                <w:sz w:val="20"/>
              </w:rPr>
            </w:pPr>
            <w:r>
              <w:rPr>
                <w:rFonts w:ascii="Arial Narrow" w:hAnsi="Arial Narrow"/>
                <w:b/>
                <w:sz w:val="20"/>
              </w:rPr>
              <w:t>M. Philippe Citroën</w:t>
            </w:r>
            <w:r>
              <w:rPr>
                <w:rFonts w:ascii="Arial Narrow" w:hAnsi="Arial Narrow"/>
                <w:sz w:val="20"/>
              </w:rPr>
              <w:t>, directeur général, Union des industries ferroviaires européennes (</w:t>
            </w:r>
            <w:proofErr w:type="spellStart"/>
            <w:r>
              <w:rPr>
                <w:rFonts w:ascii="Arial Narrow" w:hAnsi="Arial Narrow"/>
                <w:sz w:val="20"/>
              </w:rPr>
              <w:t>Unife</w:t>
            </w:r>
            <w:proofErr w:type="spellEnd"/>
            <w:r>
              <w:rPr>
                <w:rFonts w:ascii="Arial Narrow" w:hAnsi="Arial Narrow"/>
                <w:sz w:val="20"/>
              </w:rPr>
              <w:t>)</w:t>
            </w:r>
          </w:p>
          <w:p w:rsidR="00DB12C9" w:rsidRPr="00732022" w:rsidRDefault="00DB12C9" w:rsidP="00DB12C9">
            <w:pPr>
              <w:numPr>
                <w:ilvl w:val="0"/>
                <w:numId w:val="2"/>
              </w:numPr>
              <w:overflowPunct/>
              <w:adjustRightInd/>
              <w:textAlignment w:val="auto"/>
              <w:rPr>
                <w:rFonts w:ascii="Arial Narrow" w:hAnsi="Arial Narrow"/>
                <w:sz w:val="20"/>
              </w:rPr>
            </w:pPr>
            <w:r>
              <w:rPr>
                <w:rFonts w:ascii="Arial Narrow" w:hAnsi="Arial Narrow"/>
                <w:b/>
                <w:sz w:val="20"/>
              </w:rPr>
              <w:t>M. Dirk </w:t>
            </w:r>
            <w:proofErr w:type="spellStart"/>
            <w:r>
              <w:rPr>
                <w:rFonts w:ascii="Arial Narrow" w:hAnsi="Arial Narrow"/>
                <w:b/>
                <w:sz w:val="20"/>
              </w:rPr>
              <w:t>Vantyghem</w:t>
            </w:r>
            <w:proofErr w:type="spellEnd"/>
            <w:r>
              <w:rPr>
                <w:rFonts w:ascii="Arial Narrow" w:hAnsi="Arial Narrow"/>
                <w:sz w:val="20"/>
              </w:rPr>
              <w:t xml:space="preserve">, directeur des opérations, </w:t>
            </w:r>
            <w:proofErr w:type="spellStart"/>
            <w:r>
              <w:rPr>
                <w:rFonts w:ascii="Arial Narrow" w:hAnsi="Arial Narrow"/>
                <w:sz w:val="20"/>
              </w:rPr>
              <w:t>Eurochambres</w:t>
            </w:r>
            <w:proofErr w:type="spellEnd"/>
            <w:r>
              <w:rPr>
                <w:rFonts w:ascii="Arial Narrow" w:hAnsi="Arial Narrow"/>
                <w:sz w:val="20"/>
              </w:rPr>
              <w:t xml:space="preserve"> </w:t>
            </w:r>
            <w:r>
              <w:rPr>
                <w:rFonts w:ascii="Arial Narrow" w:hAnsi="Arial Narrow"/>
                <w:i/>
                <w:sz w:val="20"/>
              </w:rPr>
              <w:t>(à confirmer)</w:t>
            </w:r>
          </w:p>
          <w:p w:rsidR="008B7A07" w:rsidRPr="00DB12C9" w:rsidRDefault="008B7A07" w:rsidP="00D11025">
            <w:pPr>
              <w:overflowPunct/>
              <w:adjustRightInd/>
              <w:ind w:left="360"/>
              <w:textAlignment w:val="auto"/>
              <w:rPr>
                <w:rFonts w:ascii="Arial Narrow" w:hAnsi="Arial Narrow"/>
                <w:color w:val="548DD4"/>
                <w:sz w:val="20"/>
                <w:u w:val="single"/>
              </w:rPr>
            </w:pPr>
          </w:p>
          <w:p w:rsidR="008B7A07" w:rsidRPr="00104337" w:rsidRDefault="008B7A07" w:rsidP="00406228">
            <w:pPr>
              <w:overflowPunct/>
              <w:adjustRightInd/>
              <w:textAlignment w:val="auto"/>
              <w:rPr>
                <w:rFonts w:ascii="Arial Narrow" w:hAnsi="Arial Narrow"/>
                <w:color w:val="548DD4"/>
                <w:sz w:val="20"/>
              </w:rPr>
            </w:pPr>
            <w:r>
              <w:rPr>
                <w:rFonts w:ascii="Arial Narrow" w:hAnsi="Arial Narrow"/>
                <w:color w:val="548DD4"/>
                <w:sz w:val="20"/>
              </w:rPr>
              <w:t>Discussion</w:t>
            </w:r>
          </w:p>
        </w:tc>
      </w:tr>
    </w:tbl>
    <w:p w:rsidR="00A10B12" w:rsidRPr="00406228" w:rsidRDefault="00A10B12" w:rsidP="00406228">
      <w:pPr>
        <w:overflowPunct/>
        <w:adjustRightInd/>
        <w:jc w:val="left"/>
        <w:textAlignment w:val="auto"/>
      </w:pPr>
    </w:p>
    <w:tbl>
      <w:tblPr>
        <w:tblW w:w="5000" w:type="pct"/>
        <w:tblLook w:val="0000" w:firstRow="0" w:lastRow="0" w:firstColumn="0" w:lastColumn="0" w:noHBand="0" w:noVBand="0"/>
      </w:tblPr>
      <w:tblGrid>
        <w:gridCol w:w="1668"/>
        <w:gridCol w:w="7620"/>
      </w:tblGrid>
      <w:tr w:rsidR="00E62E8D" w:rsidTr="00104337">
        <w:trPr>
          <w:cantSplit/>
          <w:trHeight w:val="293"/>
        </w:trPr>
        <w:tc>
          <w:tcPr>
            <w:tcW w:w="898" w:type="pct"/>
            <w:shd w:val="clear" w:color="auto" w:fill="FFFFFF"/>
          </w:tcPr>
          <w:p w:rsidR="008B7A07" w:rsidRPr="00732022" w:rsidRDefault="008B7A07" w:rsidP="00406228">
            <w:pPr>
              <w:rPr>
                <w:rFonts w:ascii="Arial Narrow" w:hAnsi="Arial Narrow"/>
                <w:b/>
                <w:iCs/>
                <w:color w:val="548DD4"/>
                <w:sz w:val="20"/>
              </w:rPr>
            </w:pPr>
            <w:r>
              <w:rPr>
                <w:rFonts w:ascii="Arial Narrow" w:hAnsi="Arial Narrow"/>
                <w:b/>
                <w:color w:val="548DD4"/>
                <w:sz w:val="20"/>
              </w:rPr>
              <w:t xml:space="preserve">11 h 45 ‒ 12 h 45 </w:t>
            </w:r>
          </w:p>
        </w:tc>
        <w:tc>
          <w:tcPr>
            <w:tcW w:w="4102" w:type="pct"/>
            <w:shd w:val="clear" w:color="auto" w:fill="FFFFFF"/>
          </w:tcPr>
          <w:p w:rsidR="008B7A07" w:rsidRPr="00732022" w:rsidRDefault="008B7A07" w:rsidP="00406228">
            <w:pPr>
              <w:overflowPunct/>
              <w:adjustRightInd/>
              <w:textAlignment w:val="auto"/>
              <w:rPr>
                <w:rFonts w:ascii="Arial Narrow" w:hAnsi="Arial Narrow"/>
                <w:color w:val="548DD4" w:themeColor="text2" w:themeTint="99"/>
                <w:sz w:val="20"/>
                <w:u w:val="single"/>
              </w:rPr>
            </w:pPr>
            <w:r>
              <w:rPr>
                <w:rFonts w:ascii="Arial Narrow" w:hAnsi="Arial Narrow"/>
                <w:sz w:val="20"/>
                <w:u w:val="single"/>
              </w:rPr>
              <w:t xml:space="preserve">Deuxième partie </w:t>
            </w:r>
          </w:p>
          <w:p w:rsidR="008B7A07" w:rsidRPr="00732022" w:rsidRDefault="008B7A07" w:rsidP="00406228">
            <w:pPr>
              <w:overflowPunct/>
              <w:adjustRightInd/>
              <w:textAlignment w:val="auto"/>
              <w:rPr>
                <w:rFonts w:ascii="Arial Narrow" w:hAnsi="Arial Narrow"/>
                <w:color w:val="548DD4" w:themeColor="text2" w:themeTint="99"/>
                <w:sz w:val="20"/>
              </w:rPr>
            </w:pPr>
            <w:r>
              <w:rPr>
                <w:rFonts w:ascii="Arial Narrow" w:hAnsi="Arial Narrow"/>
                <w:color w:val="548DD4" w:themeColor="text2" w:themeTint="99"/>
                <w:sz w:val="20"/>
              </w:rPr>
              <w:t>Quels domaines ne sont pas inclus dans l’accord? Quelles décisions seront prises à un stade ultérieur?</w:t>
            </w:r>
          </w:p>
          <w:p w:rsidR="009B173F" w:rsidRPr="00732022" w:rsidRDefault="009B173F" w:rsidP="00406228">
            <w:pPr>
              <w:overflowPunct/>
              <w:adjustRightInd/>
              <w:textAlignment w:val="auto"/>
              <w:rPr>
                <w:rFonts w:ascii="Arial Narrow" w:hAnsi="Arial Narrow"/>
                <w:color w:val="548DD4" w:themeColor="text2" w:themeTint="99"/>
                <w:sz w:val="20"/>
              </w:rPr>
            </w:pPr>
          </w:p>
          <w:tbl>
            <w:tblPr>
              <w:tblStyle w:val="TableGrid"/>
              <w:tblW w:w="0" w:type="auto"/>
              <w:tblLook w:val="04A0" w:firstRow="1" w:lastRow="0" w:firstColumn="1" w:lastColumn="0" w:noHBand="0" w:noVBand="1"/>
            </w:tblPr>
            <w:tblGrid>
              <w:gridCol w:w="7394"/>
            </w:tblGrid>
            <w:tr w:rsidR="009B173F" w:rsidRPr="00732022" w:rsidTr="009B173F">
              <w:tc>
                <w:tcPr>
                  <w:tcW w:w="7756" w:type="dxa"/>
                </w:tcPr>
                <w:p w:rsidR="009B173F" w:rsidRPr="00732022" w:rsidRDefault="009B173F" w:rsidP="00406228">
                  <w:pPr>
                    <w:overflowPunct/>
                    <w:adjustRightInd/>
                    <w:textAlignment w:val="auto"/>
                    <w:rPr>
                      <w:rFonts w:eastAsia="Calibri"/>
                    </w:rPr>
                  </w:pPr>
                  <w:r>
                    <w:rPr>
                      <w:rFonts w:ascii="Arial Narrow" w:hAnsi="Arial Narrow"/>
                      <w:sz w:val="20"/>
                    </w:rPr>
                    <w:t xml:space="preserve">Quels domaines couverts par le mandat de négociation de l’UE n’ont pas (encore) été inclus dans l’accord politique et quels aspects feront l’objet de négociations ultérieures? Quel est le calendrier prévu et quels sont les enjeux? Que reste-t-il à obtenir pour l’UE et pour le Japon? </w:t>
                  </w:r>
                </w:p>
              </w:tc>
            </w:tr>
          </w:tbl>
          <w:p w:rsidR="009B173F" w:rsidRPr="00732022" w:rsidRDefault="009B173F" w:rsidP="00406228">
            <w:pPr>
              <w:overflowPunct/>
              <w:adjustRightInd/>
              <w:textAlignment w:val="auto"/>
              <w:rPr>
                <w:rFonts w:ascii="Arial Narrow" w:eastAsia="Calibri" w:hAnsi="Arial Narrow"/>
                <w:i/>
                <w:sz w:val="20"/>
              </w:rPr>
            </w:pPr>
          </w:p>
        </w:tc>
      </w:tr>
      <w:tr w:rsidR="00E62E8D" w:rsidTr="00104337">
        <w:trPr>
          <w:cantSplit/>
          <w:trHeight w:val="293"/>
        </w:trPr>
        <w:tc>
          <w:tcPr>
            <w:tcW w:w="898" w:type="pct"/>
            <w:shd w:val="clear" w:color="auto" w:fill="FFFFFF"/>
          </w:tcPr>
          <w:p w:rsidR="008B7A07" w:rsidRPr="00732022" w:rsidRDefault="008B7A07" w:rsidP="00406228">
            <w:pPr>
              <w:rPr>
                <w:rFonts w:ascii="Arial Narrow" w:hAnsi="Arial Narrow"/>
                <w:iCs/>
                <w:sz w:val="20"/>
              </w:rPr>
            </w:pPr>
          </w:p>
        </w:tc>
        <w:tc>
          <w:tcPr>
            <w:tcW w:w="4102" w:type="pct"/>
            <w:shd w:val="clear" w:color="auto" w:fill="FFFFFF"/>
          </w:tcPr>
          <w:p w:rsidR="00E91B76" w:rsidRPr="00732022" w:rsidRDefault="00E91B76" w:rsidP="00406228">
            <w:pPr>
              <w:overflowPunct/>
              <w:adjustRightInd/>
              <w:textAlignment w:val="auto"/>
              <w:rPr>
                <w:rFonts w:ascii="Arial Narrow" w:hAnsi="Arial Narrow"/>
                <w:i/>
                <w:sz w:val="20"/>
              </w:rPr>
            </w:pPr>
          </w:p>
          <w:p w:rsidR="00154F33" w:rsidRPr="00732022" w:rsidRDefault="008B7A07" w:rsidP="00406228">
            <w:pPr>
              <w:overflowPunct/>
              <w:adjustRightInd/>
              <w:textAlignment w:val="auto"/>
              <w:rPr>
                <w:rFonts w:ascii="Arial Narrow" w:eastAsia="Calibri" w:hAnsi="Arial Narrow"/>
                <w:sz w:val="20"/>
                <w:u w:val="single"/>
              </w:rPr>
            </w:pPr>
            <w:r>
              <w:rPr>
                <w:rFonts w:ascii="Arial Narrow" w:hAnsi="Arial Narrow"/>
                <w:i/>
                <w:sz w:val="20"/>
              </w:rPr>
              <w:t>Présidence: M</w:t>
            </w:r>
            <w:r>
              <w:rPr>
                <w:rFonts w:ascii="Arial Narrow" w:hAnsi="Arial Narrow"/>
                <w:i/>
                <w:sz w:val="20"/>
                <w:vertAlign w:val="superscript"/>
              </w:rPr>
              <w:t>me</w:t>
            </w:r>
            <w:r>
              <w:rPr>
                <w:rFonts w:ascii="Arial Narrow" w:hAnsi="Arial Narrow"/>
                <w:i/>
                <w:sz w:val="20"/>
              </w:rPr>
              <w:t> Tanja Buzek, membre du comité de suivi «Commerce international», CESE</w:t>
            </w:r>
          </w:p>
          <w:p w:rsidR="008B7A07" w:rsidRPr="00732022" w:rsidRDefault="008B7A07" w:rsidP="00406228">
            <w:pPr>
              <w:overflowPunct/>
              <w:adjustRightInd/>
              <w:textAlignment w:val="auto"/>
              <w:rPr>
                <w:rFonts w:ascii="Arial Narrow" w:hAnsi="Arial Narrow"/>
                <w:i/>
                <w:sz w:val="20"/>
              </w:rPr>
            </w:pPr>
          </w:p>
          <w:p w:rsidR="008B7A07" w:rsidRPr="00732022" w:rsidRDefault="008B7A07" w:rsidP="00406228">
            <w:pPr>
              <w:overflowPunct/>
              <w:adjustRightInd/>
              <w:textAlignment w:val="auto"/>
              <w:rPr>
                <w:rFonts w:ascii="Arial Narrow" w:hAnsi="Arial Narrow"/>
                <w:i/>
                <w:sz w:val="20"/>
              </w:rPr>
            </w:pPr>
            <w:r>
              <w:rPr>
                <w:rFonts w:ascii="Arial Narrow" w:hAnsi="Arial Narrow"/>
                <w:i/>
                <w:sz w:val="20"/>
              </w:rPr>
              <w:t>Intervenants:</w:t>
            </w:r>
          </w:p>
          <w:p w:rsidR="00DB12C9" w:rsidRPr="00FE2626" w:rsidRDefault="00DB12C9" w:rsidP="00DB12C9">
            <w:pPr>
              <w:numPr>
                <w:ilvl w:val="0"/>
                <w:numId w:val="2"/>
              </w:numPr>
              <w:overflowPunct/>
              <w:autoSpaceDE/>
              <w:autoSpaceDN/>
              <w:adjustRightInd/>
              <w:spacing w:line="240" w:lineRule="auto"/>
              <w:textAlignment w:val="auto"/>
              <w:rPr>
                <w:rFonts w:ascii="Arial Narrow" w:hAnsi="Arial Narrow"/>
                <w:sz w:val="20"/>
              </w:rPr>
            </w:pPr>
            <w:r>
              <w:rPr>
                <w:rFonts w:ascii="Arial Narrow" w:hAnsi="Arial Narrow"/>
                <w:b/>
                <w:sz w:val="20"/>
              </w:rPr>
              <w:t xml:space="preserve">M. Antoine </w:t>
            </w:r>
            <w:proofErr w:type="spellStart"/>
            <w:r>
              <w:rPr>
                <w:rFonts w:ascii="Arial Narrow" w:hAnsi="Arial Narrow"/>
                <w:b/>
                <w:sz w:val="20"/>
              </w:rPr>
              <w:t>Larpin</w:t>
            </w:r>
            <w:proofErr w:type="spellEnd"/>
            <w:r>
              <w:rPr>
                <w:rFonts w:ascii="Arial Narrow" w:hAnsi="Arial Narrow"/>
                <w:sz w:val="20"/>
              </w:rPr>
              <w:t>, directeur des affaires gouvernementales, Panasonic Europe Ltd.</w:t>
            </w:r>
          </w:p>
          <w:p w:rsidR="00DB12C9" w:rsidRPr="00D11025" w:rsidRDefault="00DB12C9" w:rsidP="00DB12C9">
            <w:pPr>
              <w:numPr>
                <w:ilvl w:val="0"/>
                <w:numId w:val="2"/>
              </w:numPr>
              <w:overflowPunct/>
              <w:adjustRightInd/>
              <w:textAlignment w:val="auto"/>
              <w:rPr>
                <w:rFonts w:ascii="Arial Narrow" w:hAnsi="Arial Narrow"/>
                <w:sz w:val="20"/>
              </w:rPr>
            </w:pPr>
            <w:r>
              <w:rPr>
                <w:rFonts w:ascii="Arial Narrow" w:hAnsi="Arial Narrow"/>
                <w:b/>
                <w:sz w:val="20"/>
              </w:rPr>
              <w:t>M. Andrea Carta</w:t>
            </w:r>
            <w:r>
              <w:rPr>
                <w:rFonts w:ascii="Arial Narrow" w:hAnsi="Arial Narrow"/>
                <w:sz w:val="20"/>
              </w:rPr>
              <w:t>, spécialiste de la stratégie juridique, Greenpeace UE</w:t>
            </w:r>
          </w:p>
          <w:p w:rsidR="00DB12C9" w:rsidRPr="00D11025" w:rsidRDefault="00DB12C9" w:rsidP="00406228">
            <w:pPr>
              <w:numPr>
                <w:ilvl w:val="0"/>
                <w:numId w:val="2"/>
              </w:numPr>
              <w:overflowPunct/>
              <w:adjustRightInd/>
              <w:textAlignment w:val="auto"/>
              <w:rPr>
                <w:rFonts w:ascii="Arial Narrow" w:hAnsi="Arial Narrow"/>
                <w:sz w:val="20"/>
              </w:rPr>
            </w:pPr>
            <w:r>
              <w:rPr>
                <w:rFonts w:ascii="Arial Narrow" w:hAnsi="Arial Narrow"/>
                <w:b/>
                <w:sz w:val="20"/>
              </w:rPr>
              <w:t>M</w:t>
            </w:r>
            <w:r>
              <w:rPr>
                <w:rFonts w:ascii="Arial Narrow" w:hAnsi="Arial Narrow"/>
                <w:b/>
                <w:sz w:val="20"/>
                <w:vertAlign w:val="superscript"/>
              </w:rPr>
              <w:t>me</w:t>
            </w:r>
            <w:r>
              <w:rPr>
                <w:rFonts w:ascii="Arial Narrow" w:hAnsi="Arial Narrow"/>
                <w:b/>
                <w:sz w:val="20"/>
              </w:rPr>
              <w:t> Monique Goyens</w:t>
            </w:r>
            <w:r>
              <w:rPr>
                <w:rFonts w:ascii="Arial Narrow" w:hAnsi="Arial Narrow"/>
                <w:sz w:val="20"/>
              </w:rPr>
              <w:t>, directrice générale, Bureau européen des unions de consommateurs (BEUC)</w:t>
            </w:r>
          </w:p>
          <w:p w:rsidR="004D434E" w:rsidRPr="00732022" w:rsidRDefault="00DB12C9" w:rsidP="00406228">
            <w:pPr>
              <w:numPr>
                <w:ilvl w:val="0"/>
                <w:numId w:val="2"/>
              </w:numPr>
              <w:overflowPunct/>
              <w:adjustRightInd/>
              <w:textAlignment w:val="auto"/>
              <w:rPr>
                <w:rFonts w:ascii="Arial Narrow" w:hAnsi="Arial Narrow"/>
                <w:sz w:val="20"/>
              </w:rPr>
            </w:pPr>
            <w:r>
              <w:rPr>
                <w:rFonts w:ascii="Arial Narrow" w:hAnsi="Arial Narrow"/>
                <w:b/>
                <w:sz w:val="20"/>
              </w:rPr>
              <w:t>M. Pablo Sanchez</w:t>
            </w:r>
            <w:r>
              <w:rPr>
                <w:rFonts w:ascii="Arial Narrow" w:hAnsi="Arial Narrow"/>
                <w:sz w:val="20"/>
              </w:rPr>
              <w:t xml:space="preserve">, </w:t>
            </w:r>
            <w:proofErr w:type="gramStart"/>
            <w:r>
              <w:rPr>
                <w:rFonts w:ascii="Arial Narrow" w:hAnsi="Arial Narrow"/>
                <w:sz w:val="20"/>
              </w:rPr>
              <w:t>conseiller</w:t>
            </w:r>
            <w:proofErr w:type="gramEnd"/>
            <w:r>
              <w:rPr>
                <w:rFonts w:ascii="Arial Narrow" w:hAnsi="Arial Narrow"/>
                <w:sz w:val="20"/>
              </w:rPr>
              <w:t xml:space="preserve">, Fédération syndicale européenne des services publics (FSESP) </w:t>
            </w:r>
            <w:r>
              <w:rPr>
                <w:rFonts w:ascii="Arial Narrow" w:hAnsi="Arial Narrow"/>
                <w:i/>
                <w:sz w:val="20"/>
              </w:rPr>
              <w:t>(à confirmer)</w:t>
            </w:r>
          </w:p>
          <w:p w:rsidR="008B7A07" w:rsidRPr="00732022" w:rsidRDefault="008B7A07" w:rsidP="00406228">
            <w:pPr>
              <w:overflowPunct/>
              <w:adjustRightInd/>
              <w:textAlignment w:val="auto"/>
              <w:rPr>
                <w:rFonts w:ascii="Arial Narrow" w:hAnsi="Arial Narrow"/>
                <w:sz w:val="20"/>
              </w:rPr>
            </w:pPr>
          </w:p>
          <w:p w:rsidR="008B7A07" w:rsidRPr="00732022" w:rsidRDefault="008B7A07" w:rsidP="00406228">
            <w:pPr>
              <w:overflowPunct/>
              <w:adjustRightInd/>
              <w:textAlignment w:val="auto"/>
              <w:rPr>
                <w:rFonts w:ascii="Arial Narrow" w:hAnsi="Arial Narrow"/>
                <w:sz w:val="20"/>
              </w:rPr>
            </w:pPr>
            <w:r>
              <w:rPr>
                <w:rFonts w:ascii="Arial Narrow" w:hAnsi="Arial Narrow"/>
                <w:color w:val="548DD4" w:themeColor="text2" w:themeTint="99"/>
                <w:sz w:val="20"/>
              </w:rPr>
              <w:t>Discussion</w:t>
            </w:r>
          </w:p>
          <w:p w:rsidR="008B7A07" w:rsidRPr="00732022" w:rsidRDefault="008B7A07" w:rsidP="00406228">
            <w:pPr>
              <w:overflowPunct/>
              <w:adjustRightInd/>
              <w:textAlignment w:val="auto"/>
              <w:rPr>
                <w:rFonts w:ascii="Arial Narrow" w:hAnsi="Arial Narrow"/>
                <w:sz w:val="20"/>
              </w:rPr>
            </w:pPr>
          </w:p>
        </w:tc>
      </w:tr>
      <w:tr w:rsidR="00E62E8D" w:rsidTr="00104337">
        <w:trPr>
          <w:cantSplit/>
          <w:trHeight w:val="293"/>
        </w:trPr>
        <w:tc>
          <w:tcPr>
            <w:tcW w:w="898" w:type="pct"/>
            <w:shd w:val="clear" w:color="auto" w:fill="FFFFFF"/>
          </w:tcPr>
          <w:p w:rsidR="00C33113" w:rsidRPr="00732022" w:rsidRDefault="00C33113" w:rsidP="00406228">
            <w:pPr>
              <w:rPr>
                <w:rFonts w:ascii="Arial Narrow" w:hAnsi="Arial Narrow"/>
                <w:iCs/>
                <w:sz w:val="20"/>
              </w:rPr>
            </w:pPr>
            <w:r>
              <w:rPr>
                <w:rFonts w:ascii="Arial Narrow" w:hAnsi="Arial Narrow"/>
                <w:b/>
                <w:color w:val="548DD4" w:themeColor="text2" w:themeTint="99"/>
                <w:sz w:val="20"/>
              </w:rPr>
              <w:t>12 h 45 ‒ 13 h 00</w:t>
            </w:r>
          </w:p>
        </w:tc>
        <w:tc>
          <w:tcPr>
            <w:tcW w:w="4102" w:type="pct"/>
            <w:shd w:val="clear" w:color="auto" w:fill="FFFFFF"/>
          </w:tcPr>
          <w:p w:rsidR="00C33113" w:rsidRPr="00732022" w:rsidRDefault="00C33113" w:rsidP="00406228">
            <w:pPr>
              <w:overflowPunct/>
              <w:adjustRightInd/>
              <w:textAlignment w:val="auto"/>
              <w:rPr>
                <w:rFonts w:ascii="Arial Narrow" w:hAnsi="Arial Narrow"/>
                <w:b/>
                <w:color w:val="548DD4" w:themeColor="text2" w:themeTint="99"/>
                <w:sz w:val="20"/>
              </w:rPr>
            </w:pPr>
            <w:r>
              <w:rPr>
                <w:rFonts w:ascii="Arial Narrow" w:hAnsi="Arial Narrow"/>
                <w:b/>
                <w:color w:val="548DD4" w:themeColor="text2" w:themeTint="99"/>
                <w:sz w:val="20"/>
              </w:rPr>
              <w:t>Conclusions et observations finales</w:t>
            </w:r>
          </w:p>
          <w:p w:rsidR="00C33113" w:rsidRPr="00732022" w:rsidRDefault="00C33113" w:rsidP="00406228">
            <w:pPr>
              <w:overflowPunct/>
              <w:adjustRightInd/>
              <w:textAlignment w:val="auto"/>
              <w:rPr>
                <w:rFonts w:ascii="Arial Narrow" w:hAnsi="Arial Narrow"/>
                <w:i/>
                <w:sz w:val="20"/>
              </w:rPr>
            </w:pPr>
            <w:r>
              <w:rPr>
                <w:rFonts w:ascii="Arial Narrow" w:hAnsi="Arial Narrow"/>
                <w:i/>
                <w:sz w:val="20"/>
              </w:rPr>
              <w:t>M. Krzysztof Pater, président du comité de suivi UE-Japon, CESE</w:t>
            </w:r>
          </w:p>
        </w:tc>
      </w:tr>
    </w:tbl>
    <w:p w:rsidR="00C33113" w:rsidRPr="00732022" w:rsidRDefault="00C33113" w:rsidP="00406228">
      <w:pPr>
        <w:overflowPunct/>
        <w:adjustRightInd/>
        <w:textAlignment w:val="auto"/>
        <w:rPr>
          <w:rFonts w:ascii="Arial Narrow" w:hAnsi="Arial Narrow"/>
          <w:b/>
          <w:color w:val="548DD4" w:themeColor="text2" w:themeTint="99"/>
          <w:sz w:val="20"/>
        </w:rPr>
      </w:pPr>
    </w:p>
    <w:p w:rsidR="00AF4C85" w:rsidRPr="00406228" w:rsidRDefault="00AF4C85">
      <w:pPr>
        <w:jc w:val="center"/>
      </w:pPr>
      <w:r>
        <w:rPr>
          <w:noProof/>
          <w:lang w:val="fr-BE" w:eastAsia="ja-JP" w:bidi="ar-SA"/>
        </w:rPr>
        <mc:AlternateContent>
          <mc:Choice Requires="wps">
            <w:drawing>
              <wp:inline distT="0" distB="0" distL="0" distR="0" wp14:anchorId="2E4EF6E1" wp14:editId="2661D8E0">
                <wp:extent cx="2592070" cy="1839595"/>
                <wp:effectExtent l="0" t="0" r="0" b="0"/>
                <wp:docPr id="42" name="Text Box 42"/>
                <wp:cNvGraphicFramePr/>
                <a:graphic xmlns:a="http://schemas.openxmlformats.org/drawingml/2006/main">
                  <a:graphicData uri="http://schemas.microsoft.com/office/word/2010/wordprocessingShape">
                    <wps:wsp>
                      <wps:cNvSpPr txBox="1"/>
                      <wps:spPr>
                        <a:xfrm>
                          <a:off x="0" y="0"/>
                          <a:ext cx="2592070" cy="1839595"/>
                        </a:xfrm>
                        <a:prstGeom prst="rect">
                          <a:avLst/>
                        </a:prstGeom>
                        <a:noFill/>
                        <a:ln w="6350">
                          <a:noFill/>
                        </a:ln>
                        <a:effectLst/>
                      </wps:spPr>
                      <wps:txbx>
                        <w:txbxContent>
                          <w:p w:rsidR="00AF4C85" w:rsidRPr="00CD438F" w:rsidRDefault="00AF4C85" w:rsidP="00CD438F">
                            <w:pPr>
                              <w:pBdr>
                                <w:top w:val="single" w:sz="48" w:space="8" w:color="4F81BD" w:themeColor="accent1"/>
                                <w:bottom w:val="single" w:sz="48" w:space="8" w:color="4F81BD" w:themeColor="accent1"/>
                              </w:pBdr>
                              <w:overflowPunct/>
                              <w:adjustRightInd/>
                              <w:spacing w:after="200" w:line="300" w:lineRule="auto"/>
                              <w:jc w:val="center"/>
                              <w:textAlignment w:val="auto"/>
                              <w:rPr>
                                <w:rFonts w:ascii="Arial Narrow" w:eastAsiaTheme="minorHAnsi" w:hAnsi="Arial Narrow"/>
                                <w:i/>
                                <w:color w:val="4F81BD" w:themeColor="accent1"/>
                                <w:sz w:val="20"/>
                              </w:rPr>
                            </w:pPr>
                            <w:r>
                              <w:rPr>
                                <w:rFonts w:ascii="Arial Narrow" w:hAnsi="Arial Narrow"/>
                                <w:i/>
                                <w:color w:val="4F81BD" w:themeColor="accent1"/>
                                <w:sz w:val="20"/>
                              </w:rPr>
                              <w:t xml:space="preserve">Interprétation demandée de/vers: EN/FR/JA </w:t>
                            </w:r>
                            <w:r>
                              <w:rPr>
                                <w:rFonts w:ascii="Arial Narrow" w:hAnsi="Arial Narrow"/>
                                <w:i/>
                                <w:color w:val="4F81BD" w:themeColor="accent1"/>
                                <w:sz w:val="20"/>
                              </w:rPr>
                              <w:br/>
                            </w:r>
                            <w:r>
                              <w:rPr>
                                <w:rFonts w:ascii="Arial Narrow" w:hAnsi="Arial Narrow"/>
                                <w:i/>
                                <w:noProof/>
                                <w:color w:val="4F81BD" w:themeColor="accent1"/>
                                <w:sz w:val="20"/>
                                <w:lang w:val="fr-BE" w:eastAsia="ja-JP" w:bidi="ar-SA"/>
                              </w:rPr>
                              <w:drawing>
                                <wp:inline distT="0" distB="0" distL="0" distR="0" wp14:anchorId="09B90A8A" wp14:editId="1AD61764">
                                  <wp:extent cx="329415" cy="286247"/>
                                  <wp:effectExtent l="0" t="0" r="0" b="0"/>
                                  <wp:docPr id="1" name="Picture 1" descr="\\isis\dfs\ciap\my documents\Models\Logos + Images\Logo 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is\dfs\ciap\my documents\Models\Logos + Images\Logo Twitt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507" cy="286327"/>
                                          </a:xfrm>
                                          <a:prstGeom prst="rect">
                                            <a:avLst/>
                                          </a:prstGeom>
                                          <a:noFill/>
                                          <a:ln>
                                            <a:noFill/>
                                          </a:ln>
                                        </pic:spPr>
                                      </pic:pic>
                                    </a:graphicData>
                                  </a:graphic>
                                </wp:inline>
                              </w:drawing>
                            </w:r>
                            <w:r>
                              <w:rPr>
                                <w:rFonts w:ascii="Arial Narrow" w:hAnsi="Arial Narrow"/>
                                <w:i/>
                                <w:color w:val="4F81BD" w:themeColor="accent1"/>
                                <w:sz w:val="20"/>
                              </w:rPr>
                              <w:t xml:space="preserve"> @</w:t>
                            </w:r>
                            <w:proofErr w:type="spellStart"/>
                            <w:r>
                              <w:rPr>
                                <w:rFonts w:ascii="Arial Narrow" w:hAnsi="Arial Narrow"/>
                                <w:i/>
                                <w:color w:val="4F81BD" w:themeColor="accent1"/>
                                <w:sz w:val="20"/>
                              </w:rPr>
                              <w:t>EESC_Trade</w:t>
                            </w:r>
                            <w:proofErr w:type="spellEnd"/>
                            <w:r>
                              <w:rPr>
                                <w:rFonts w:ascii="Arial Narrow" w:hAnsi="Arial Narrow"/>
                                <w:i/>
                                <w:color w:val="4F81BD" w:themeColor="accent1"/>
                                <w:sz w:val="20"/>
                              </w:rPr>
                              <w:t xml:space="preserve">  @EESC_REX</w:t>
                            </w:r>
                          </w:p>
                        </w:txbxContent>
                      </wps:txbx>
                      <wps:bodyPr rot="0" spcFirstLastPara="0" vertOverflow="overflow" horzOverflow="overflow" vert="horz" wrap="square" lIns="0" tIns="91440" rIns="0" bIns="91440" numCol="1" spcCol="0" rtlCol="0" fromWordArt="0" anchor="ctr" anchorCtr="0" forceAA="0" compatLnSpc="1">
                        <a:prstTxWarp prst="textNoShape">
                          <a:avLst/>
                        </a:prstTxWarp>
                        <a:spAutoFit/>
                      </wps:bodyPr>
                    </wps:wsp>
                  </a:graphicData>
                </a:graphic>
              </wp:inline>
            </w:drawing>
          </mc:Choice>
          <mc:Fallback xmlns:a="http://schemas.openxmlformats.org/drawingml/2006/main" xmlns:pic="http://schemas.openxmlformats.org/drawingml/2006/picture" xmlns:a14="http://schemas.microsoft.com/office/drawing/2010/main">
            <w:pict>
              <v:shape xmlns:o="urn:schemas-microsoft-com:office:office" xmlns:v="urn:schemas-microsoft-com:vml" id="Text Box 42" style="width:204.1pt;height:144.85pt;visibility:visible;mso-wrap-style:square;mso-left-percent:-10001;mso-top-percent:-10001;mso-position-horizontal:absolute;mso-position-horizontal-relative:char;mso-position-vertical:absolute;mso-position-vertical-relative:line;mso-left-percent:-10001;mso-top-percent:-10001;v-text-anchor:middle"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">
                <v:textbox style="mso-fit-shape-to-text:t" inset="0,7.2pt,0,7.2pt">
                  <w:txbxContent>
                    <w:p w:rsidRPr="00CD438F" w:rsidR="00AF4C85" w:rsidP="00CD438F" w:rsidRDefault="00AF4C85">
                      <w:pPr>
                        <w:pBdr>
                          <w:top w:val="single" w:color="4F81BD" w:themeColor="accent1" w:sz="48" w:space="8"/>
                          <w:bottom w:val="single" w:color="4F81BD" w:themeColor="accent1" w:sz="48" w:space="8"/>
                        </w:pBdr>
                        <w:overflowPunct/>
                        <w:adjustRightInd/>
                        <w:spacing w:after="200" w:line="300" w:lineRule="auto"/>
                        <w:jc w:val="center"/>
                        <w:textAlignment w:val="auto"/>
                        <w:rPr>
                          <w:rFonts w:ascii="Arial Narrow" w:hAnsi="Arial Narrow" w:eastAsiaTheme="minorHAnsi"/>
                          <w:i/>
                          <w:color w:val="4F81BD" w:themeColor="accent1"/>
                          <w:sz w:val="20"/>
                        </w:rPr>
                      </w:pPr>
                      <w:r>
                        <w:rPr>
                          <w:rFonts w:ascii="Arial Narrow" w:hAnsi="Arial Narrow"/>
                          <w:i/>
                          <w:color w:val="4F81BD" w:themeColor="accent1"/>
                          <w:sz w:val="20"/>
                        </w:rPr>
                        <w:t xml:space="preserve">Interprétation demandée de/vers: EN/FR/JA
</w:t>
                      </w:r>
                      <w:r>
                        <w:rPr>
                          <w:rFonts w:ascii="Arial Narrow" w:hAnsi="Arial Narrow"/>
                          <w:i/>
                          <w:color w:val="4F81BD" w:themeColor="accent1"/>
                          <w:sz w:val="20"/>
                        </w:rPr>
                        <w:br/>
                      </w:r>
                      <w:r>
                        <w:rPr>
                          <w:rFonts w:ascii="Arial Narrow" w:hAnsi="Arial Narrow"/>
                          <w:i/>
                          <w:noProof/>
                          <w:color w:val="4F81BD" w:themeColor="accent1"/>
                          <w:sz w:val="20"/>
                        </w:rPr>
                        <w:drawing>
                          <wp:inline xmlns:wp14="http://schemas.microsoft.com/office/word/2010/wordprocessingDrawing" xmlns:wp="http://schemas.openxmlformats.org/drawingml/2006/wordprocessingDrawing" distT="0" distB="0" distL="0" distR="0" wp14:anchorId="09B90A8A" wp14:editId="1AD61764">
                            <wp:extent cx="329415" cy="286247"/>
                            <wp:effectExtent l="0" t="0" r="0" b="0"/>
                            <wp:docPr id="1" name="Picture 1" descr="\\isis\dfs\ciap\my documents\Models\Logos + Images\Logo 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is\dfs\ciap\my documents\Models\Logos + Images\Logo Twitt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507" cy="286327"/>
                                    </a:xfrm>
                                    <a:prstGeom prst="rect">
                                      <a:avLst/>
                                    </a:prstGeom>
                                    <a:noFill/>
                                    <a:ln>
                                      <a:noFill/>
                                    </a:ln>
                                  </pic:spPr>
                                </pic:pic>
                              </a:graphicData>
                            </a:graphic>
                          </wp:inline>
                        </w:drawing>
                      </w:r>
                      <w:r>
                        <w:rPr>
                          <w:rFonts w:ascii="Arial Narrow" w:hAnsi="Arial Narrow"/>
                          <w:i/>
                          <w:color w:val="4F81BD" w:themeColor="accent1"/>
                          <w:sz w:val="20"/>
                        </w:rPr>
                        <w:t xml:space="preserve"> @EESC_Trade  @EESC_REX</w:t>
                      </w:r>
                    </w:p>
                  </w:txbxContent>
                </v:textbox>
                <w10:anchorlock xmlns:w10="urn:schemas-microsoft-com:office:word"/>
              </v:shape>
            </w:pict>
          </mc:Fallback>
        </mc:AlternateContent>
      </w:r>
    </w:p>
    <w:p w:rsidR="00D05D9F" w:rsidRPr="00104337" w:rsidRDefault="00C33113" w:rsidP="00104337">
      <w:pPr>
        <w:jc w:val="center"/>
      </w:pPr>
      <w:r>
        <w:t>_____________</w:t>
      </w:r>
    </w:p>
    <w:sectPr w:rsidR="00D05D9F" w:rsidRPr="00104337" w:rsidSect="00D11025">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7C" w:rsidRDefault="00286F7C" w:rsidP="00B83A2B">
      <w:pPr>
        <w:spacing w:line="240" w:lineRule="auto"/>
      </w:pPr>
      <w:r>
        <w:separator/>
      </w:r>
    </w:p>
  </w:endnote>
  <w:endnote w:type="continuationSeparator" w:id="0">
    <w:p w:rsidR="00286F7C" w:rsidRDefault="00286F7C" w:rsidP="00B83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B7" w:rsidRDefault="004D66B7" w:rsidP="004D6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9D" w:rsidRPr="004D66B7" w:rsidRDefault="004D66B7" w:rsidP="004D66B7">
    <w:pPr>
      <w:pStyle w:val="Footer"/>
    </w:pPr>
    <w:r>
      <w:t xml:space="preserve">EESC-2017-04122-00-01-CONVPOJ-TRA (EN) </w:t>
    </w:r>
    <w:r>
      <w:fldChar w:fldCharType="begin"/>
    </w:r>
    <w:r>
      <w:instrText xml:space="preserve"> PAGE  \* Arabic  \* MERGEFORMAT </w:instrText>
    </w:r>
    <w:r>
      <w:fldChar w:fldCharType="separate"/>
    </w:r>
    <w:r w:rsidR="001517EB">
      <w:rPr>
        <w:noProof/>
      </w:rPr>
      <w:t>2</w:t>
    </w:r>
    <w:r>
      <w:fldChar w:fldCharType="end"/>
    </w:r>
    <w:r>
      <w:t>/</w:t>
    </w:r>
    <w:r>
      <w:fldChar w:fldCharType="begin"/>
    </w:r>
    <w:r>
      <w:instrText xml:space="preserve"> = </w:instrText>
    </w:r>
    <w:r w:rsidR="001517EB">
      <w:fldChar w:fldCharType="begin"/>
    </w:r>
    <w:r w:rsidR="001517EB">
      <w:instrText xml:space="preserve"> NUMPAGES </w:instrText>
    </w:r>
    <w:r w:rsidR="001517EB">
      <w:fldChar w:fldCharType="separate"/>
    </w:r>
    <w:r w:rsidR="001517EB">
      <w:rPr>
        <w:noProof/>
      </w:rPr>
      <w:instrText>2</w:instrText>
    </w:r>
    <w:r w:rsidR="001517EB">
      <w:rPr>
        <w:noProof/>
      </w:rPr>
      <w:fldChar w:fldCharType="end"/>
    </w:r>
    <w:r>
      <w:instrText xml:space="preserve"> </w:instrText>
    </w:r>
    <w:r>
      <w:fldChar w:fldCharType="separate"/>
    </w:r>
    <w:r w:rsidR="001517E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B7" w:rsidRDefault="004D66B7" w:rsidP="004D6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7C" w:rsidRDefault="00286F7C" w:rsidP="00B83A2B">
      <w:pPr>
        <w:spacing w:line="240" w:lineRule="auto"/>
      </w:pPr>
      <w:r>
        <w:separator/>
      </w:r>
    </w:p>
  </w:footnote>
  <w:footnote w:type="continuationSeparator" w:id="0">
    <w:p w:rsidR="00286F7C" w:rsidRDefault="00286F7C" w:rsidP="00B83A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B7" w:rsidRDefault="004D6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B7" w:rsidRDefault="004D66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B7" w:rsidRDefault="004D6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144469"/>
    <w:multiLevelType w:val="hybridMultilevel"/>
    <w:tmpl w:val="454C0BF4"/>
    <w:lvl w:ilvl="0" w:tplc="080C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CAB2E93"/>
    <w:multiLevelType w:val="hybridMultilevel"/>
    <w:tmpl w:val="FB56C034"/>
    <w:lvl w:ilvl="0" w:tplc="9828DB8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414" w:hanging="360"/>
      </w:pPr>
      <w:rPr>
        <w:rFonts w:ascii="Courier New" w:hAnsi="Courier New" w:cs="Courier New" w:hint="default"/>
      </w:rPr>
    </w:lvl>
    <w:lvl w:ilvl="2" w:tplc="08090005" w:tentative="1">
      <w:start w:val="1"/>
      <w:numFmt w:val="bullet"/>
      <w:lvlText w:val=""/>
      <w:lvlJc w:val="left"/>
      <w:pPr>
        <w:ind w:left="1134" w:hanging="360"/>
      </w:pPr>
      <w:rPr>
        <w:rFonts w:ascii="Wingdings" w:hAnsi="Wingdings" w:hint="default"/>
      </w:rPr>
    </w:lvl>
    <w:lvl w:ilvl="3" w:tplc="08090001" w:tentative="1">
      <w:start w:val="1"/>
      <w:numFmt w:val="bullet"/>
      <w:lvlText w:val=""/>
      <w:lvlJc w:val="left"/>
      <w:pPr>
        <w:ind w:left="1854" w:hanging="360"/>
      </w:pPr>
      <w:rPr>
        <w:rFonts w:ascii="Symbol" w:hAnsi="Symbol" w:hint="default"/>
      </w:rPr>
    </w:lvl>
    <w:lvl w:ilvl="4" w:tplc="08090003" w:tentative="1">
      <w:start w:val="1"/>
      <w:numFmt w:val="bullet"/>
      <w:lvlText w:val="o"/>
      <w:lvlJc w:val="left"/>
      <w:pPr>
        <w:ind w:left="2574" w:hanging="360"/>
      </w:pPr>
      <w:rPr>
        <w:rFonts w:ascii="Courier New" w:hAnsi="Courier New" w:cs="Courier New" w:hint="default"/>
      </w:rPr>
    </w:lvl>
    <w:lvl w:ilvl="5" w:tplc="08090005" w:tentative="1">
      <w:start w:val="1"/>
      <w:numFmt w:val="bullet"/>
      <w:lvlText w:val=""/>
      <w:lvlJc w:val="left"/>
      <w:pPr>
        <w:ind w:left="3294" w:hanging="360"/>
      </w:pPr>
      <w:rPr>
        <w:rFonts w:ascii="Wingdings" w:hAnsi="Wingdings" w:hint="default"/>
      </w:rPr>
    </w:lvl>
    <w:lvl w:ilvl="6" w:tplc="08090001" w:tentative="1">
      <w:start w:val="1"/>
      <w:numFmt w:val="bullet"/>
      <w:lvlText w:val=""/>
      <w:lvlJc w:val="left"/>
      <w:pPr>
        <w:ind w:left="4014" w:hanging="360"/>
      </w:pPr>
      <w:rPr>
        <w:rFonts w:ascii="Symbol" w:hAnsi="Symbol" w:hint="default"/>
      </w:rPr>
    </w:lvl>
    <w:lvl w:ilvl="7" w:tplc="08090003" w:tentative="1">
      <w:start w:val="1"/>
      <w:numFmt w:val="bullet"/>
      <w:lvlText w:val="o"/>
      <w:lvlJc w:val="left"/>
      <w:pPr>
        <w:ind w:left="4734" w:hanging="360"/>
      </w:pPr>
      <w:rPr>
        <w:rFonts w:ascii="Courier New" w:hAnsi="Courier New" w:cs="Courier New" w:hint="default"/>
      </w:rPr>
    </w:lvl>
    <w:lvl w:ilvl="8" w:tplc="08090005" w:tentative="1">
      <w:start w:val="1"/>
      <w:numFmt w:val="bullet"/>
      <w:lvlText w:val=""/>
      <w:lvlJc w:val="left"/>
      <w:pPr>
        <w:ind w:left="5454" w:hanging="360"/>
      </w:pPr>
      <w:rPr>
        <w:rFonts w:ascii="Wingdings" w:hAnsi="Wingdings" w:hint="default"/>
      </w:rPr>
    </w:lvl>
  </w:abstractNum>
  <w:abstractNum w:abstractNumId="3">
    <w:nsid w:val="0EF57184"/>
    <w:multiLevelType w:val="hybridMultilevel"/>
    <w:tmpl w:val="251298D2"/>
    <w:lvl w:ilvl="0" w:tplc="080C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32175906"/>
    <w:multiLevelType w:val="hybridMultilevel"/>
    <w:tmpl w:val="EF8EABCE"/>
    <w:lvl w:ilvl="0" w:tplc="080C0005">
      <w:start w:val="1"/>
      <w:numFmt w:val="bullet"/>
      <w:lvlText w:val=""/>
      <w:lvlJc w:val="left"/>
      <w:pPr>
        <w:ind w:left="2886" w:hanging="360"/>
      </w:pPr>
      <w:rPr>
        <w:rFonts w:ascii="Wingdings" w:hAnsi="Wingdings" w:hint="default"/>
      </w:rPr>
    </w:lvl>
    <w:lvl w:ilvl="1" w:tplc="08090003" w:tentative="1">
      <w:start w:val="1"/>
      <w:numFmt w:val="bullet"/>
      <w:lvlText w:val="o"/>
      <w:lvlJc w:val="left"/>
      <w:pPr>
        <w:ind w:left="3606" w:hanging="360"/>
      </w:pPr>
      <w:rPr>
        <w:rFonts w:ascii="Courier New" w:hAnsi="Courier New" w:cs="Courier New" w:hint="default"/>
      </w:rPr>
    </w:lvl>
    <w:lvl w:ilvl="2" w:tplc="08090005" w:tentative="1">
      <w:start w:val="1"/>
      <w:numFmt w:val="bullet"/>
      <w:lvlText w:val=""/>
      <w:lvlJc w:val="left"/>
      <w:pPr>
        <w:ind w:left="4326" w:hanging="360"/>
      </w:pPr>
      <w:rPr>
        <w:rFonts w:ascii="Wingdings" w:hAnsi="Wingdings" w:hint="default"/>
      </w:rPr>
    </w:lvl>
    <w:lvl w:ilvl="3" w:tplc="08090001" w:tentative="1">
      <w:start w:val="1"/>
      <w:numFmt w:val="bullet"/>
      <w:lvlText w:val=""/>
      <w:lvlJc w:val="left"/>
      <w:pPr>
        <w:ind w:left="5046" w:hanging="360"/>
      </w:pPr>
      <w:rPr>
        <w:rFonts w:ascii="Symbol" w:hAnsi="Symbol" w:hint="default"/>
      </w:rPr>
    </w:lvl>
    <w:lvl w:ilvl="4" w:tplc="08090003" w:tentative="1">
      <w:start w:val="1"/>
      <w:numFmt w:val="bullet"/>
      <w:lvlText w:val="o"/>
      <w:lvlJc w:val="left"/>
      <w:pPr>
        <w:ind w:left="5766" w:hanging="360"/>
      </w:pPr>
      <w:rPr>
        <w:rFonts w:ascii="Courier New" w:hAnsi="Courier New" w:cs="Courier New" w:hint="default"/>
      </w:rPr>
    </w:lvl>
    <w:lvl w:ilvl="5" w:tplc="08090005" w:tentative="1">
      <w:start w:val="1"/>
      <w:numFmt w:val="bullet"/>
      <w:lvlText w:val=""/>
      <w:lvlJc w:val="left"/>
      <w:pPr>
        <w:ind w:left="6486" w:hanging="360"/>
      </w:pPr>
      <w:rPr>
        <w:rFonts w:ascii="Wingdings" w:hAnsi="Wingdings" w:hint="default"/>
      </w:rPr>
    </w:lvl>
    <w:lvl w:ilvl="6" w:tplc="08090001" w:tentative="1">
      <w:start w:val="1"/>
      <w:numFmt w:val="bullet"/>
      <w:lvlText w:val=""/>
      <w:lvlJc w:val="left"/>
      <w:pPr>
        <w:ind w:left="7206" w:hanging="360"/>
      </w:pPr>
      <w:rPr>
        <w:rFonts w:ascii="Symbol" w:hAnsi="Symbol" w:hint="default"/>
      </w:rPr>
    </w:lvl>
    <w:lvl w:ilvl="7" w:tplc="08090003" w:tentative="1">
      <w:start w:val="1"/>
      <w:numFmt w:val="bullet"/>
      <w:lvlText w:val="o"/>
      <w:lvlJc w:val="left"/>
      <w:pPr>
        <w:ind w:left="7926" w:hanging="360"/>
      </w:pPr>
      <w:rPr>
        <w:rFonts w:ascii="Courier New" w:hAnsi="Courier New" w:cs="Courier New" w:hint="default"/>
      </w:rPr>
    </w:lvl>
    <w:lvl w:ilvl="8" w:tplc="08090005" w:tentative="1">
      <w:start w:val="1"/>
      <w:numFmt w:val="bullet"/>
      <w:lvlText w:val=""/>
      <w:lvlJc w:val="left"/>
      <w:pPr>
        <w:ind w:left="8646"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481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0D7EC3"/>
    <w:rsid w:val="000004FA"/>
    <w:rsid w:val="000168DD"/>
    <w:rsid w:val="0002205F"/>
    <w:rsid w:val="000370DC"/>
    <w:rsid w:val="0004383C"/>
    <w:rsid w:val="000468AF"/>
    <w:rsid w:val="00051872"/>
    <w:rsid w:val="000547E7"/>
    <w:rsid w:val="00065108"/>
    <w:rsid w:val="000744DE"/>
    <w:rsid w:val="000746A5"/>
    <w:rsid w:val="000771E7"/>
    <w:rsid w:val="00081B49"/>
    <w:rsid w:val="00082673"/>
    <w:rsid w:val="00082E21"/>
    <w:rsid w:val="00085347"/>
    <w:rsid w:val="00095FAD"/>
    <w:rsid w:val="000C2A5C"/>
    <w:rsid w:val="000C443D"/>
    <w:rsid w:val="000C4EAB"/>
    <w:rsid w:val="000D5AAC"/>
    <w:rsid w:val="000D7EC3"/>
    <w:rsid w:val="000E5251"/>
    <w:rsid w:val="000F7693"/>
    <w:rsid w:val="00104337"/>
    <w:rsid w:val="00105431"/>
    <w:rsid w:val="001075E1"/>
    <w:rsid w:val="00125B9D"/>
    <w:rsid w:val="001327D4"/>
    <w:rsid w:val="001375E2"/>
    <w:rsid w:val="001517EB"/>
    <w:rsid w:val="001548E0"/>
    <w:rsid w:val="00154F33"/>
    <w:rsid w:val="00162D79"/>
    <w:rsid w:val="0016749F"/>
    <w:rsid w:val="00173813"/>
    <w:rsid w:val="00183A16"/>
    <w:rsid w:val="001857A6"/>
    <w:rsid w:val="001A380E"/>
    <w:rsid w:val="001A4BAB"/>
    <w:rsid w:val="001B10A4"/>
    <w:rsid w:val="001C03CD"/>
    <w:rsid w:val="001D711C"/>
    <w:rsid w:val="001E38BA"/>
    <w:rsid w:val="00217FF2"/>
    <w:rsid w:val="00223441"/>
    <w:rsid w:val="00240C6E"/>
    <w:rsid w:val="002456C8"/>
    <w:rsid w:val="00254E73"/>
    <w:rsid w:val="00255CEC"/>
    <w:rsid w:val="00286F7C"/>
    <w:rsid w:val="002A4448"/>
    <w:rsid w:val="002A6354"/>
    <w:rsid w:val="002A6548"/>
    <w:rsid w:val="002B673A"/>
    <w:rsid w:val="002C0611"/>
    <w:rsid w:val="002C5D10"/>
    <w:rsid w:val="002D38B1"/>
    <w:rsid w:val="002E3D4E"/>
    <w:rsid w:val="00302834"/>
    <w:rsid w:val="00304C8D"/>
    <w:rsid w:val="00315021"/>
    <w:rsid w:val="00317F57"/>
    <w:rsid w:val="00330E32"/>
    <w:rsid w:val="00343994"/>
    <w:rsid w:val="00350F2F"/>
    <w:rsid w:val="00373E4C"/>
    <w:rsid w:val="003751A7"/>
    <w:rsid w:val="003A0839"/>
    <w:rsid w:val="003B0933"/>
    <w:rsid w:val="003B4994"/>
    <w:rsid w:val="003B57CD"/>
    <w:rsid w:val="003D0CD2"/>
    <w:rsid w:val="003D459F"/>
    <w:rsid w:val="003E13D2"/>
    <w:rsid w:val="00406163"/>
    <w:rsid w:val="00406228"/>
    <w:rsid w:val="00447114"/>
    <w:rsid w:val="0045534E"/>
    <w:rsid w:val="00461AF8"/>
    <w:rsid w:val="00470C71"/>
    <w:rsid w:val="00475381"/>
    <w:rsid w:val="00483CC4"/>
    <w:rsid w:val="00483F33"/>
    <w:rsid w:val="00495653"/>
    <w:rsid w:val="004965CC"/>
    <w:rsid w:val="00497C42"/>
    <w:rsid w:val="004B437F"/>
    <w:rsid w:val="004B4432"/>
    <w:rsid w:val="004B5E88"/>
    <w:rsid w:val="004C225F"/>
    <w:rsid w:val="004D2A7D"/>
    <w:rsid w:val="004D434E"/>
    <w:rsid w:val="004D66B7"/>
    <w:rsid w:val="004F133F"/>
    <w:rsid w:val="004F44B1"/>
    <w:rsid w:val="0050771E"/>
    <w:rsid w:val="00520CAD"/>
    <w:rsid w:val="0052411C"/>
    <w:rsid w:val="00541130"/>
    <w:rsid w:val="00547813"/>
    <w:rsid w:val="005546E9"/>
    <w:rsid w:val="00557B85"/>
    <w:rsid w:val="00577A8D"/>
    <w:rsid w:val="00584677"/>
    <w:rsid w:val="005910F2"/>
    <w:rsid w:val="005A1AF5"/>
    <w:rsid w:val="005A38A3"/>
    <w:rsid w:val="005A752B"/>
    <w:rsid w:val="005D557D"/>
    <w:rsid w:val="005E5AD0"/>
    <w:rsid w:val="005F08F8"/>
    <w:rsid w:val="00605A9F"/>
    <w:rsid w:val="0061212F"/>
    <w:rsid w:val="00622AB6"/>
    <w:rsid w:val="006252FF"/>
    <w:rsid w:val="00630D7F"/>
    <w:rsid w:val="00633503"/>
    <w:rsid w:val="00641A35"/>
    <w:rsid w:val="00642196"/>
    <w:rsid w:val="00643986"/>
    <w:rsid w:val="00653446"/>
    <w:rsid w:val="00667919"/>
    <w:rsid w:val="00667920"/>
    <w:rsid w:val="0068166A"/>
    <w:rsid w:val="00682B03"/>
    <w:rsid w:val="00685198"/>
    <w:rsid w:val="00695EE5"/>
    <w:rsid w:val="0069713A"/>
    <w:rsid w:val="006A3D9B"/>
    <w:rsid w:val="006A7741"/>
    <w:rsid w:val="006C1DCE"/>
    <w:rsid w:val="006E318A"/>
    <w:rsid w:val="006F6743"/>
    <w:rsid w:val="00700716"/>
    <w:rsid w:val="007024EF"/>
    <w:rsid w:val="007209AF"/>
    <w:rsid w:val="00732022"/>
    <w:rsid w:val="007405B3"/>
    <w:rsid w:val="0074092F"/>
    <w:rsid w:val="00772950"/>
    <w:rsid w:val="00776517"/>
    <w:rsid w:val="007827B2"/>
    <w:rsid w:val="00787AED"/>
    <w:rsid w:val="00791E76"/>
    <w:rsid w:val="00792010"/>
    <w:rsid w:val="007A2F83"/>
    <w:rsid w:val="007A735D"/>
    <w:rsid w:val="007B5439"/>
    <w:rsid w:val="008014DA"/>
    <w:rsid w:val="0080544F"/>
    <w:rsid w:val="00805DF6"/>
    <w:rsid w:val="00812846"/>
    <w:rsid w:val="00820C0F"/>
    <w:rsid w:val="00832305"/>
    <w:rsid w:val="00835384"/>
    <w:rsid w:val="008848B5"/>
    <w:rsid w:val="008B1012"/>
    <w:rsid w:val="008B7172"/>
    <w:rsid w:val="008B7A07"/>
    <w:rsid w:val="008B7E67"/>
    <w:rsid w:val="008C0AAF"/>
    <w:rsid w:val="008D5F35"/>
    <w:rsid w:val="008E54A2"/>
    <w:rsid w:val="008F1FE2"/>
    <w:rsid w:val="008F3574"/>
    <w:rsid w:val="00901870"/>
    <w:rsid w:val="00912840"/>
    <w:rsid w:val="00912E31"/>
    <w:rsid w:val="00914FF5"/>
    <w:rsid w:val="00915A06"/>
    <w:rsid w:val="00930DC4"/>
    <w:rsid w:val="00941756"/>
    <w:rsid w:val="00966B33"/>
    <w:rsid w:val="0096720F"/>
    <w:rsid w:val="00981D81"/>
    <w:rsid w:val="009823DD"/>
    <w:rsid w:val="009860C1"/>
    <w:rsid w:val="0099003C"/>
    <w:rsid w:val="00995843"/>
    <w:rsid w:val="009A0046"/>
    <w:rsid w:val="009A0374"/>
    <w:rsid w:val="009A1224"/>
    <w:rsid w:val="009A2DBF"/>
    <w:rsid w:val="009A68AA"/>
    <w:rsid w:val="009A73EB"/>
    <w:rsid w:val="009B173F"/>
    <w:rsid w:val="009B2043"/>
    <w:rsid w:val="009C4E28"/>
    <w:rsid w:val="009D27D6"/>
    <w:rsid w:val="009D2FF0"/>
    <w:rsid w:val="009F269D"/>
    <w:rsid w:val="009F2A7F"/>
    <w:rsid w:val="00A10B12"/>
    <w:rsid w:val="00A256AD"/>
    <w:rsid w:val="00A329BE"/>
    <w:rsid w:val="00A46D17"/>
    <w:rsid w:val="00A57C02"/>
    <w:rsid w:val="00A77D59"/>
    <w:rsid w:val="00A83E99"/>
    <w:rsid w:val="00A854ED"/>
    <w:rsid w:val="00A935EC"/>
    <w:rsid w:val="00A958C1"/>
    <w:rsid w:val="00AA2C12"/>
    <w:rsid w:val="00AA2CE8"/>
    <w:rsid w:val="00AA6813"/>
    <w:rsid w:val="00AB0BCB"/>
    <w:rsid w:val="00AB30E5"/>
    <w:rsid w:val="00AB7AE3"/>
    <w:rsid w:val="00AE04C6"/>
    <w:rsid w:val="00AE73B6"/>
    <w:rsid w:val="00AF1E8E"/>
    <w:rsid w:val="00AF40F8"/>
    <w:rsid w:val="00AF4C85"/>
    <w:rsid w:val="00B02F64"/>
    <w:rsid w:val="00B11E0C"/>
    <w:rsid w:val="00B15CF2"/>
    <w:rsid w:val="00B16203"/>
    <w:rsid w:val="00B165D1"/>
    <w:rsid w:val="00B24985"/>
    <w:rsid w:val="00B56E73"/>
    <w:rsid w:val="00B60210"/>
    <w:rsid w:val="00B61EC4"/>
    <w:rsid w:val="00B709EE"/>
    <w:rsid w:val="00B75889"/>
    <w:rsid w:val="00B779F0"/>
    <w:rsid w:val="00B8062B"/>
    <w:rsid w:val="00B83976"/>
    <w:rsid w:val="00B83A2B"/>
    <w:rsid w:val="00B851A5"/>
    <w:rsid w:val="00BB69F5"/>
    <w:rsid w:val="00BC6EA2"/>
    <w:rsid w:val="00BD46EA"/>
    <w:rsid w:val="00BF02A3"/>
    <w:rsid w:val="00BF51E8"/>
    <w:rsid w:val="00C02605"/>
    <w:rsid w:val="00C2074E"/>
    <w:rsid w:val="00C20790"/>
    <w:rsid w:val="00C33113"/>
    <w:rsid w:val="00C33C0D"/>
    <w:rsid w:val="00C37C8A"/>
    <w:rsid w:val="00C40283"/>
    <w:rsid w:val="00C42039"/>
    <w:rsid w:val="00C475A1"/>
    <w:rsid w:val="00C72729"/>
    <w:rsid w:val="00C757FA"/>
    <w:rsid w:val="00C76BBB"/>
    <w:rsid w:val="00C95EE9"/>
    <w:rsid w:val="00CB2EA1"/>
    <w:rsid w:val="00CC3396"/>
    <w:rsid w:val="00CD438F"/>
    <w:rsid w:val="00CD575E"/>
    <w:rsid w:val="00CD6095"/>
    <w:rsid w:val="00CF6026"/>
    <w:rsid w:val="00D05D9F"/>
    <w:rsid w:val="00D07DB3"/>
    <w:rsid w:val="00D11025"/>
    <w:rsid w:val="00D16F94"/>
    <w:rsid w:val="00D2149A"/>
    <w:rsid w:val="00D56596"/>
    <w:rsid w:val="00D56884"/>
    <w:rsid w:val="00D65DEA"/>
    <w:rsid w:val="00D86847"/>
    <w:rsid w:val="00DA21E9"/>
    <w:rsid w:val="00DA3206"/>
    <w:rsid w:val="00DA6606"/>
    <w:rsid w:val="00DB12C9"/>
    <w:rsid w:val="00DC4F1F"/>
    <w:rsid w:val="00DD0729"/>
    <w:rsid w:val="00DD62A5"/>
    <w:rsid w:val="00DF45A8"/>
    <w:rsid w:val="00DF75B7"/>
    <w:rsid w:val="00E03B74"/>
    <w:rsid w:val="00E10B13"/>
    <w:rsid w:val="00E14EA3"/>
    <w:rsid w:val="00E2601E"/>
    <w:rsid w:val="00E266CC"/>
    <w:rsid w:val="00E31FD1"/>
    <w:rsid w:val="00E36F4B"/>
    <w:rsid w:val="00E415EB"/>
    <w:rsid w:val="00E537D5"/>
    <w:rsid w:val="00E62E8D"/>
    <w:rsid w:val="00E646B2"/>
    <w:rsid w:val="00E66CCA"/>
    <w:rsid w:val="00E71500"/>
    <w:rsid w:val="00E84F64"/>
    <w:rsid w:val="00E906EE"/>
    <w:rsid w:val="00E91B76"/>
    <w:rsid w:val="00E945EB"/>
    <w:rsid w:val="00ED483D"/>
    <w:rsid w:val="00EF708D"/>
    <w:rsid w:val="00F24B84"/>
    <w:rsid w:val="00F30452"/>
    <w:rsid w:val="00F32A41"/>
    <w:rsid w:val="00F470BF"/>
    <w:rsid w:val="00F539E8"/>
    <w:rsid w:val="00F66BE1"/>
    <w:rsid w:val="00F71E19"/>
    <w:rsid w:val="00F83C5D"/>
    <w:rsid w:val="00FC1C71"/>
    <w:rsid w:val="00FC433F"/>
    <w:rsid w:val="00FF024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448"/>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2A4448"/>
    <w:pPr>
      <w:numPr>
        <w:numId w:val="1"/>
      </w:numPr>
      <w:ind w:left="720" w:hanging="720"/>
      <w:outlineLvl w:val="0"/>
    </w:pPr>
    <w:rPr>
      <w:kern w:val="28"/>
    </w:rPr>
  </w:style>
  <w:style w:type="paragraph" w:styleId="Heading2">
    <w:name w:val="heading 2"/>
    <w:basedOn w:val="Normal"/>
    <w:next w:val="Normal"/>
    <w:link w:val="Heading2Char"/>
    <w:qFormat/>
    <w:rsid w:val="002A4448"/>
    <w:pPr>
      <w:numPr>
        <w:ilvl w:val="1"/>
        <w:numId w:val="1"/>
      </w:numPr>
      <w:ind w:left="720" w:hanging="720"/>
      <w:outlineLvl w:val="1"/>
    </w:pPr>
  </w:style>
  <w:style w:type="paragraph" w:styleId="Heading3">
    <w:name w:val="heading 3"/>
    <w:basedOn w:val="Normal"/>
    <w:next w:val="Normal"/>
    <w:link w:val="Heading3Char"/>
    <w:qFormat/>
    <w:rsid w:val="002A4448"/>
    <w:pPr>
      <w:numPr>
        <w:ilvl w:val="2"/>
        <w:numId w:val="1"/>
      </w:numPr>
      <w:ind w:left="720" w:hanging="720"/>
      <w:outlineLvl w:val="2"/>
    </w:pPr>
  </w:style>
  <w:style w:type="paragraph" w:styleId="Heading4">
    <w:name w:val="heading 4"/>
    <w:basedOn w:val="Normal"/>
    <w:next w:val="Normal"/>
    <w:link w:val="Heading4Char"/>
    <w:qFormat/>
    <w:rsid w:val="002A4448"/>
    <w:pPr>
      <w:numPr>
        <w:ilvl w:val="3"/>
        <w:numId w:val="1"/>
      </w:numPr>
      <w:ind w:left="720" w:hanging="720"/>
      <w:outlineLvl w:val="3"/>
    </w:pPr>
  </w:style>
  <w:style w:type="paragraph" w:styleId="Heading5">
    <w:name w:val="heading 5"/>
    <w:basedOn w:val="Normal"/>
    <w:next w:val="Normal"/>
    <w:link w:val="Heading5Char"/>
    <w:qFormat/>
    <w:rsid w:val="002A4448"/>
    <w:pPr>
      <w:numPr>
        <w:ilvl w:val="4"/>
        <w:numId w:val="1"/>
      </w:numPr>
      <w:ind w:left="720" w:hanging="720"/>
      <w:outlineLvl w:val="4"/>
    </w:pPr>
  </w:style>
  <w:style w:type="paragraph" w:styleId="Heading6">
    <w:name w:val="heading 6"/>
    <w:basedOn w:val="Normal"/>
    <w:next w:val="Normal"/>
    <w:link w:val="Heading6Char"/>
    <w:qFormat/>
    <w:rsid w:val="002A4448"/>
    <w:pPr>
      <w:numPr>
        <w:ilvl w:val="5"/>
        <w:numId w:val="1"/>
      </w:numPr>
      <w:ind w:left="720" w:hanging="720"/>
      <w:outlineLvl w:val="5"/>
    </w:pPr>
  </w:style>
  <w:style w:type="paragraph" w:styleId="Heading7">
    <w:name w:val="heading 7"/>
    <w:basedOn w:val="Normal"/>
    <w:next w:val="Normal"/>
    <w:link w:val="Heading7Char"/>
    <w:qFormat/>
    <w:rsid w:val="002A4448"/>
    <w:pPr>
      <w:numPr>
        <w:ilvl w:val="6"/>
        <w:numId w:val="1"/>
      </w:numPr>
      <w:ind w:left="720" w:hanging="720"/>
      <w:outlineLvl w:val="6"/>
    </w:pPr>
  </w:style>
  <w:style w:type="paragraph" w:styleId="Heading8">
    <w:name w:val="heading 8"/>
    <w:basedOn w:val="Normal"/>
    <w:next w:val="Normal"/>
    <w:link w:val="Heading8Char"/>
    <w:qFormat/>
    <w:rsid w:val="002A4448"/>
    <w:pPr>
      <w:numPr>
        <w:ilvl w:val="7"/>
        <w:numId w:val="1"/>
      </w:numPr>
      <w:ind w:left="720" w:hanging="720"/>
      <w:outlineLvl w:val="7"/>
    </w:pPr>
  </w:style>
  <w:style w:type="paragraph" w:styleId="Heading9">
    <w:name w:val="heading 9"/>
    <w:basedOn w:val="Normal"/>
    <w:next w:val="Normal"/>
    <w:link w:val="Heading9Char"/>
    <w:qFormat/>
    <w:rsid w:val="002A444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EC3"/>
    <w:rPr>
      <w:rFonts w:ascii="Times New Roman" w:eastAsia="Times New Roman" w:hAnsi="Times New Roman" w:cs="Times New Roman"/>
      <w:kern w:val="28"/>
      <w:szCs w:val="20"/>
    </w:rPr>
  </w:style>
  <w:style w:type="character" w:customStyle="1" w:styleId="Heading2Char">
    <w:name w:val="Heading 2 Char"/>
    <w:basedOn w:val="DefaultParagraphFont"/>
    <w:link w:val="Heading2"/>
    <w:rsid w:val="000D7EC3"/>
    <w:rPr>
      <w:rFonts w:ascii="Times New Roman" w:eastAsia="Times New Roman" w:hAnsi="Times New Roman" w:cs="Times New Roman"/>
      <w:szCs w:val="20"/>
    </w:rPr>
  </w:style>
  <w:style w:type="character" w:customStyle="1" w:styleId="Heading3Char">
    <w:name w:val="Heading 3 Char"/>
    <w:basedOn w:val="DefaultParagraphFont"/>
    <w:link w:val="Heading3"/>
    <w:rsid w:val="000D7EC3"/>
    <w:rPr>
      <w:rFonts w:ascii="Times New Roman" w:eastAsia="Times New Roman" w:hAnsi="Times New Roman" w:cs="Times New Roman"/>
      <w:szCs w:val="20"/>
    </w:rPr>
  </w:style>
  <w:style w:type="character" w:customStyle="1" w:styleId="Heading4Char">
    <w:name w:val="Heading 4 Char"/>
    <w:basedOn w:val="DefaultParagraphFont"/>
    <w:link w:val="Heading4"/>
    <w:rsid w:val="000D7EC3"/>
    <w:rPr>
      <w:rFonts w:ascii="Times New Roman" w:eastAsia="Times New Roman" w:hAnsi="Times New Roman" w:cs="Times New Roman"/>
      <w:szCs w:val="20"/>
    </w:rPr>
  </w:style>
  <w:style w:type="character" w:customStyle="1" w:styleId="Heading5Char">
    <w:name w:val="Heading 5 Char"/>
    <w:basedOn w:val="DefaultParagraphFont"/>
    <w:link w:val="Heading5"/>
    <w:rsid w:val="000D7EC3"/>
    <w:rPr>
      <w:rFonts w:ascii="Times New Roman" w:eastAsia="Times New Roman" w:hAnsi="Times New Roman" w:cs="Times New Roman"/>
      <w:szCs w:val="20"/>
    </w:rPr>
  </w:style>
  <w:style w:type="character" w:customStyle="1" w:styleId="Heading6Char">
    <w:name w:val="Heading 6 Char"/>
    <w:basedOn w:val="DefaultParagraphFont"/>
    <w:link w:val="Heading6"/>
    <w:rsid w:val="000D7EC3"/>
    <w:rPr>
      <w:rFonts w:ascii="Times New Roman" w:eastAsia="Times New Roman" w:hAnsi="Times New Roman" w:cs="Times New Roman"/>
      <w:szCs w:val="20"/>
    </w:rPr>
  </w:style>
  <w:style w:type="character" w:customStyle="1" w:styleId="Heading7Char">
    <w:name w:val="Heading 7 Char"/>
    <w:basedOn w:val="DefaultParagraphFont"/>
    <w:link w:val="Heading7"/>
    <w:rsid w:val="000D7EC3"/>
    <w:rPr>
      <w:rFonts w:ascii="Times New Roman" w:eastAsia="Times New Roman" w:hAnsi="Times New Roman" w:cs="Times New Roman"/>
      <w:szCs w:val="20"/>
    </w:rPr>
  </w:style>
  <w:style w:type="character" w:customStyle="1" w:styleId="Heading8Char">
    <w:name w:val="Heading 8 Char"/>
    <w:basedOn w:val="DefaultParagraphFont"/>
    <w:link w:val="Heading8"/>
    <w:rsid w:val="000D7EC3"/>
    <w:rPr>
      <w:rFonts w:ascii="Times New Roman" w:eastAsia="Times New Roman" w:hAnsi="Times New Roman" w:cs="Times New Roman"/>
      <w:szCs w:val="20"/>
    </w:rPr>
  </w:style>
  <w:style w:type="character" w:customStyle="1" w:styleId="Heading9Char">
    <w:name w:val="Heading 9 Char"/>
    <w:basedOn w:val="DefaultParagraphFont"/>
    <w:link w:val="Heading9"/>
    <w:rsid w:val="000D7EC3"/>
    <w:rPr>
      <w:rFonts w:ascii="Times New Roman" w:eastAsia="Times New Roman" w:hAnsi="Times New Roman" w:cs="Times New Roman"/>
      <w:szCs w:val="20"/>
    </w:rPr>
  </w:style>
  <w:style w:type="paragraph" w:styleId="Footer">
    <w:name w:val="footer"/>
    <w:basedOn w:val="Normal"/>
    <w:link w:val="FooterChar"/>
    <w:rsid w:val="002A4448"/>
  </w:style>
  <w:style w:type="character" w:customStyle="1" w:styleId="FooterChar">
    <w:name w:val="Footer Char"/>
    <w:basedOn w:val="DefaultParagraphFont"/>
    <w:link w:val="Footer"/>
    <w:rsid w:val="000D7EC3"/>
    <w:rPr>
      <w:rFonts w:ascii="Times New Roman" w:eastAsia="Times New Roman" w:hAnsi="Times New Roman" w:cs="Times New Roman"/>
      <w:szCs w:val="20"/>
    </w:rPr>
  </w:style>
  <w:style w:type="paragraph" w:styleId="FootnoteText">
    <w:name w:val="footnote text"/>
    <w:basedOn w:val="Normal"/>
    <w:link w:val="FootnoteTextChar"/>
    <w:rsid w:val="002A4448"/>
    <w:pPr>
      <w:keepLines/>
      <w:spacing w:after="60" w:line="240" w:lineRule="auto"/>
      <w:ind w:left="720" w:hanging="720"/>
    </w:pPr>
    <w:rPr>
      <w:sz w:val="16"/>
    </w:rPr>
  </w:style>
  <w:style w:type="character" w:customStyle="1" w:styleId="FootnoteTextChar">
    <w:name w:val="Footnote Text Char"/>
    <w:basedOn w:val="DefaultParagraphFont"/>
    <w:link w:val="FootnoteText"/>
    <w:rsid w:val="000D7EC3"/>
    <w:rPr>
      <w:rFonts w:ascii="Times New Roman" w:eastAsia="Times New Roman" w:hAnsi="Times New Roman" w:cs="Times New Roman"/>
      <w:sz w:val="16"/>
      <w:szCs w:val="20"/>
    </w:rPr>
  </w:style>
  <w:style w:type="paragraph" w:styleId="Header">
    <w:name w:val="header"/>
    <w:basedOn w:val="Normal"/>
    <w:link w:val="HeaderChar"/>
    <w:rsid w:val="002A4448"/>
  </w:style>
  <w:style w:type="character" w:customStyle="1" w:styleId="HeaderChar">
    <w:name w:val="Header Char"/>
    <w:basedOn w:val="DefaultParagraphFont"/>
    <w:link w:val="Header"/>
    <w:rsid w:val="000D7EC3"/>
    <w:rPr>
      <w:rFonts w:ascii="Times New Roman" w:eastAsia="Times New Roman" w:hAnsi="Times New Roman" w:cs="Times New Roman"/>
      <w:szCs w:val="20"/>
    </w:rPr>
  </w:style>
  <w:style w:type="character" w:styleId="FootnoteReference">
    <w:name w:val="footnote reference"/>
    <w:basedOn w:val="DefaultParagraphFont"/>
    <w:rsid w:val="002A4448"/>
    <w:rPr>
      <w:sz w:val="24"/>
      <w:vertAlign w:val="superscript"/>
    </w:rPr>
  </w:style>
  <w:style w:type="character" w:styleId="Hyperlink">
    <w:name w:val="Hyperlink"/>
    <w:uiPriority w:val="99"/>
    <w:unhideWhenUsed/>
    <w:rsid w:val="000D7EC3"/>
    <w:rPr>
      <w:color w:val="0000FF"/>
      <w:u w:val="single"/>
    </w:rPr>
  </w:style>
  <w:style w:type="table" w:styleId="TableGrid">
    <w:name w:val="Table Grid"/>
    <w:basedOn w:val="TableNormal"/>
    <w:uiPriority w:val="59"/>
    <w:rsid w:val="00AB0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10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0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448"/>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2A4448"/>
    <w:pPr>
      <w:numPr>
        <w:numId w:val="1"/>
      </w:numPr>
      <w:ind w:left="720" w:hanging="720"/>
      <w:outlineLvl w:val="0"/>
    </w:pPr>
    <w:rPr>
      <w:kern w:val="28"/>
    </w:rPr>
  </w:style>
  <w:style w:type="paragraph" w:styleId="Heading2">
    <w:name w:val="heading 2"/>
    <w:basedOn w:val="Normal"/>
    <w:next w:val="Normal"/>
    <w:link w:val="Heading2Char"/>
    <w:qFormat/>
    <w:rsid w:val="002A4448"/>
    <w:pPr>
      <w:numPr>
        <w:ilvl w:val="1"/>
        <w:numId w:val="1"/>
      </w:numPr>
      <w:ind w:left="720" w:hanging="720"/>
      <w:outlineLvl w:val="1"/>
    </w:pPr>
  </w:style>
  <w:style w:type="paragraph" w:styleId="Heading3">
    <w:name w:val="heading 3"/>
    <w:basedOn w:val="Normal"/>
    <w:next w:val="Normal"/>
    <w:link w:val="Heading3Char"/>
    <w:qFormat/>
    <w:rsid w:val="002A4448"/>
    <w:pPr>
      <w:numPr>
        <w:ilvl w:val="2"/>
        <w:numId w:val="1"/>
      </w:numPr>
      <w:ind w:left="720" w:hanging="720"/>
      <w:outlineLvl w:val="2"/>
    </w:pPr>
  </w:style>
  <w:style w:type="paragraph" w:styleId="Heading4">
    <w:name w:val="heading 4"/>
    <w:basedOn w:val="Normal"/>
    <w:next w:val="Normal"/>
    <w:link w:val="Heading4Char"/>
    <w:qFormat/>
    <w:rsid w:val="002A4448"/>
    <w:pPr>
      <w:numPr>
        <w:ilvl w:val="3"/>
        <w:numId w:val="1"/>
      </w:numPr>
      <w:ind w:left="720" w:hanging="720"/>
      <w:outlineLvl w:val="3"/>
    </w:pPr>
  </w:style>
  <w:style w:type="paragraph" w:styleId="Heading5">
    <w:name w:val="heading 5"/>
    <w:basedOn w:val="Normal"/>
    <w:next w:val="Normal"/>
    <w:link w:val="Heading5Char"/>
    <w:qFormat/>
    <w:rsid w:val="002A4448"/>
    <w:pPr>
      <w:numPr>
        <w:ilvl w:val="4"/>
        <w:numId w:val="1"/>
      </w:numPr>
      <w:ind w:left="720" w:hanging="720"/>
      <w:outlineLvl w:val="4"/>
    </w:pPr>
  </w:style>
  <w:style w:type="paragraph" w:styleId="Heading6">
    <w:name w:val="heading 6"/>
    <w:basedOn w:val="Normal"/>
    <w:next w:val="Normal"/>
    <w:link w:val="Heading6Char"/>
    <w:qFormat/>
    <w:rsid w:val="002A4448"/>
    <w:pPr>
      <w:numPr>
        <w:ilvl w:val="5"/>
        <w:numId w:val="1"/>
      </w:numPr>
      <w:ind w:left="720" w:hanging="720"/>
      <w:outlineLvl w:val="5"/>
    </w:pPr>
  </w:style>
  <w:style w:type="paragraph" w:styleId="Heading7">
    <w:name w:val="heading 7"/>
    <w:basedOn w:val="Normal"/>
    <w:next w:val="Normal"/>
    <w:link w:val="Heading7Char"/>
    <w:qFormat/>
    <w:rsid w:val="002A4448"/>
    <w:pPr>
      <w:numPr>
        <w:ilvl w:val="6"/>
        <w:numId w:val="1"/>
      </w:numPr>
      <w:ind w:left="720" w:hanging="720"/>
      <w:outlineLvl w:val="6"/>
    </w:pPr>
  </w:style>
  <w:style w:type="paragraph" w:styleId="Heading8">
    <w:name w:val="heading 8"/>
    <w:basedOn w:val="Normal"/>
    <w:next w:val="Normal"/>
    <w:link w:val="Heading8Char"/>
    <w:qFormat/>
    <w:rsid w:val="002A4448"/>
    <w:pPr>
      <w:numPr>
        <w:ilvl w:val="7"/>
        <w:numId w:val="1"/>
      </w:numPr>
      <w:ind w:left="720" w:hanging="720"/>
      <w:outlineLvl w:val="7"/>
    </w:pPr>
  </w:style>
  <w:style w:type="paragraph" w:styleId="Heading9">
    <w:name w:val="heading 9"/>
    <w:basedOn w:val="Normal"/>
    <w:next w:val="Normal"/>
    <w:link w:val="Heading9Char"/>
    <w:qFormat/>
    <w:rsid w:val="002A444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EC3"/>
    <w:rPr>
      <w:rFonts w:ascii="Times New Roman" w:eastAsia="Times New Roman" w:hAnsi="Times New Roman" w:cs="Times New Roman"/>
      <w:kern w:val="28"/>
      <w:szCs w:val="20"/>
    </w:rPr>
  </w:style>
  <w:style w:type="character" w:customStyle="1" w:styleId="Heading2Char">
    <w:name w:val="Heading 2 Char"/>
    <w:basedOn w:val="DefaultParagraphFont"/>
    <w:link w:val="Heading2"/>
    <w:rsid w:val="000D7EC3"/>
    <w:rPr>
      <w:rFonts w:ascii="Times New Roman" w:eastAsia="Times New Roman" w:hAnsi="Times New Roman" w:cs="Times New Roman"/>
      <w:szCs w:val="20"/>
    </w:rPr>
  </w:style>
  <w:style w:type="character" w:customStyle="1" w:styleId="Heading3Char">
    <w:name w:val="Heading 3 Char"/>
    <w:basedOn w:val="DefaultParagraphFont"/>
    <w:link w:val="Heading3"/>
    <w:rsid w:val="000D7EC3"/>
    <w:rPr>
      <w:rFonts w:ascii="Times New Roman" w:eastAsia="Times New Roman" w:hAnsi="Times New Roman" w:cs="Times New Roman"/>
      <w:szCs w:val="20"/>
    </w:rPr>
  </w:style>
  <w:style w:type="character" w:customStyle="1" w:styleId="Heading4Char">
    <w:name w:val="Heading 4 Char"/>
    <w:basedOn w:val="DefaultParagraphFont"/>
    <w:link w:val="Heading4"/>
    <w:rsid w:val="000D7EC3"/>
    <w:rPr>
      <w:rFonts w:ascii="Times New Roman" w:eastAsia="Times New Roman" w:hAnsi="Times New Roman" w:cs="Times New Roman"/>
      <w:szCs w:val="20"/>
    </w:rPr>
  </w:style>
  <w:style w:type="character" w:customStyle="1" w:styleId="Heading5Char">
    <w:name w:val="Heading 5 Char"/>
    <w:basedOn w:val="DefaultParagraphFont"/>
    <w:link w:val="Heading5"/>
    <w:rsid w:val="000D7EC3"/>
    <w:rPr>
      <w:rFonts w:ascii="Times New Roman" w:eastAsia="Times New Roman" w:hAnsi="Times New Roman" w:cs="Times New Roman"/>
      <w:szCs w:val="20"/>
    </w:rPr>
  </w:style>
  <w:style w:type="character" w:customStyle="1" w:styleId="Heading6Char">
    <w:name w:val="Heading 6 Char"/>
    <w:basedOn w:val="DefaultParagraphFont"/>
    <w:link w:val="Heading6"/>
    <w:rsid w:val="000D7EC3"/>
    <w:rPr>
      <w:rFonts w:ascii="Times New Roman" w:eastAsia="Times New Roman" w:hAnsi="Times New Roman" w:cs="Times New Roman"/>
      <w:szCs w:val="20"/>
    </w:rPr>
  </w:style>
  <w:style w:type="character" w:customStyle="1" w:styleId="Heading7Char">
    <w:name w:val="Heading 7 Char"/>
    <w:basedOn w:val="DefaultParagraphFont"/>
    <w:link w:val="Heading7"/>
    <w:rsid w:val="000D7EC3"/>
    <w:rPr>
      <w:rFonts w:ascii="Times New Roman" w:eastAsia="Times New Roman" w:hAnsi="Times New Roman" w:cs="Times New Roman"/>
      <w:szCs w:val="20"/>
    </w:rPr>
  </w:style>
  <w:style w:type="character" w:customStyle="1" w:styleId="Heading8Char">
    <w:name w:val="Heading 8 Char"/>
    <w:basedOn w:val="DefaultParagraphFont"/>
    <w:link w:val="Heading8"/>
    <w:rsid w:val="000D7EC3"/>
    <w:rPr>
      <w:rFonts w:ascii="Times New Roman" w:eastAsia="Times New Roman" w:hAnsi="Times New Roman" w:cs="Times New Roman"/>
      <w:szCs w:val="20"/>
    </w:rPr>
  </w:style>
  <w:style w:type="character" w:customStyle="1" w:styleId="Heading9Char">
    <w:name w:val="Heading 9 Char"/>
    <w:basedOn w:val="DefaultParagraphFont"/>
    <w:link w:val="Heading9"/>
    <w:rsid w:val="000D7EC3"/>
    <w:rPr>
      <w:rFonts w:ascii="Times New Roman" w:eastAsia="Times New Roman" w:hAnsi="Times New Roman" w:cs="Times New Roman"/>
      <w:szCs w:val="20"/>
    </w:rPr>
  </w:style>
  <w:style w:type="paragraph" w:styleId="Footer">
    <w:name w:val="footer"/>
    <w:basedOn w:val="Normal"/>
    <w:link w:val="FooterChar"/>
    <w:rsid w:val="002A4448"/>
  </w:style>
  <w:style w:type="character" w:customStyle="1" w:styleId="FooterChar">
    <w:name w:val="Footer Char"/>
    <w:basedOn w:val="DefaultParagraphFont"/>
    <w:link w:val="Footer"/>
    <w:rsid w:val="000D7EC3"/>
    <w:rPr>
      <w:rFonts w:ascii="Times New Roman" w:eastAsia="Times New Roman" w:hAnsi="Times New Roman" w:cs="Times New Roman"/>
      <w:szCs w:val="20"/>
    </w:rPr>
  </w:style>
  <w:style w:type="paragraph" w:styleId="FootnoteText">
    <w:name w:val="footnote text"/>
    <w:basedOn w:val="Normal"/>
    <w:link w:val="FootnoteTextChar"/>
    <w:rsid w:val="002A4448"/>
    <w:pPr>
      <w:keepLines/>
      <w:spacing w:after="60" w:line="240" w:lineRule="auto"/>
      <w:ind w:left="720" w:hanging="720"/>
    </w:pPr>
    <w:rPr>
      <w:sz w:val="16"/>
    </w:rPr>
  </w:style>
  <w:style w:type="character" w:customStyle="1" w:styleId="FootnoteTextChar">
    <w:name w:val="Footnote Text Char"/>
    <w:basedOn w:val="DefaultParagraphFont"/>
    <w:link w:val="FootnoteText"/>
    <w:rsid w:val="000D7EC3"/>
    <w:rPr>
      <w:rFonts w:ascii="Times New Roman" w:eastAsia="Times New Roman" w:hAnsi="Times New Roman" w:cs="Times New Roman"/>
      <w:sz w:val="16"/>
      <w:szCs w:val="20"/>
    </w:rPr>
  </w:style>
  <w:style w:type="paragraph" w:styleId="Header">
    <w:name w:val="header"/>
    <w:basedOn w:val="Normal"/>
    <w:link w:val="HeaderChar"/>
    <w:rsid w:val="002A4448"/>
  </w:style>
  <w:style w:type="character" w:customStyle="1" w:styleId="HeaderChar">
    <w:name w:val="Header Char"/>
    <w:basedOn w:val="DefaultParagraphFont"/>
    <w:link w:val="Header"/>
    <w:rsid w:val="000D7EC3"/>
    <w:rPr>
      <w:rFonts w:ascii="Times New Roman" w:eastAsia="Times New Roman" w:hAnsi="Times New Roman" w:cs="Times New Roman"/>
      <w:szCs w:val="20"/>
    </w:rPr>
  </w:style>
  <w:style w:type="character" w:styleId="FootnoteReference">
    <w:name w:val="footnote reference"/>
    <w:basedOn w:val="DefaultParagraphFont"/>
    <w:rsid w:val="002A4448"/>
    <w:rPr>
      <w:sz w:val="24"/>
      <w:vertAlign w:val="superscript"/>
    </w:rPr>
  </w:style>
  <w:style w:type="character" w:styleId="Hyperlink">
    <w:name w:val="Hyperlink"/>
    <w:uiPriority w:val="99"/>
    <w:unhideWhenUsed/>
    <w:rsid w:val="000D7EC3"/>
    <w:rPr>
      <w:color w:val="0000FF"/>
      <w:u w:val="single"/>
    </w:rPr>
  </w:style>
  <w:style w:type="table" w:styleId="TableGrid">
    <w:name w:val="Table Grid"/>
    <w:basedOn w:val="TableNormal"/>
    <w:uiPriority w:val="59"/>
    <w:rsid w:val="00AB0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10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0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33381">
      <w:bodyDiv w:val="1"/>
      <w:marLeft w:val="0"/>
      <w:marRight w:val="0"/>
      <w:marTop w:val="0"/>
      <w:marBottom w:val="0"/>
      <w:divBdr>
        <w:top w:val="none" w:sz="0" w:space="0" w:color="auto"/>
        <w:left w:val="none" w:sz="0" w:space="0" w:color="auto"/>
        <w:bottom w:val="none" w:sz="0" w:space="0" w:color="auto"/>
        <w:right w:val="none" w:sz="0" w:space="0" w:color="auto"/>
      </w:divBdr>
    </w:div>
    <w:div w:id="550380610">
      <w:bodyDiv w:val="1"/>
      <w:marLeft w:val="0"/>
      <w:marRight w:val="0"/>
      <w:marTop w:val="0"/>
      <w:marBottom w:val="0"/>
      <w:divBdr>
        <w:top w:val="none" w:sz="0" w:space="0" w:color="auto"/>
        <w:left w:val="none" w:sz="0" w:space="0" w:color="auto"/>
        <w:bottom w:val="none" w:sz="0" w:space="0" w:color="auto"/>
        <w:right w:val="none" w:sz="0" w:space="0" w:color="auto"/>
      </w:divBdr>
    </w:div>
    <w:div w:id="9764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0.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WTPCSN73YJ26-7-4036</_dlc_DocId>
    <_dlc_DocIdUrl xmlns="8a3471f6-0f36-4ccf-b5ee-1ca67ea797ef">
      <Url>http://dm/EESC/2017/_layouts/DocIdRedir.aspx?ID=WTPCSN73YJ26-7-4036</Url>
      <Description>WTPCSN73YJ26-7-4036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CONVPOJ</TermName>
          <TermId xmlns="http://schemas.microsoft.com/office/infopath/2007/PartnerControls">4be1222e-972b-4c27-a530-eec9a2dcd101</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2017-10-19T12:00:00+00:00</ProductionDate>
    <DocumentNumber xmlns="f5b869d2-addc-441a-a17c-05e3e333473c">4122</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2017-10-26T12:00:00+00:00</MeetingDate>
    <TaxCatchAll xmlns="8a3471f6-0f36-4ccf-b5ee-1ca67ea797ef">
      <Value>42</Value>
      <Value>120</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11331</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REX/269</TermName>
          <TermId xmlns="http://schemas.microsoft.com/office/infopath/2007/PartnerControls">400bae5d-5c3e-42d0-b0a4-e7856445b965</TermId>
        </TermInfo>
      </Terms>
    </MeetingName_0>
    <RequestingService xmlns="8a3471f6-0f36-4ccf-b5ee-1ca67ea797ef">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B85AF-044A-4C6A-875F-C313EA32B804}">
  <ds:schemaRefs>
    <ds:schemaRef ds:uri="http://schemas.microsoft.com/sharepoint/v3/contenttype/forms"/>
  </ds:schemaRefs>
</ds:datastoreItem>
</file>

<file path=customXml/itemProps2.xml><?xml version="1.0" encoding="utf-8"?>
<ds:datastoreItem xmlns:ds="http://schemas.openxmlformats.org/officeDocument/2006/customXml" ds:itemID="{EEBF8723-427A-4B02-B385-87AD6F85BABD}">
  <ds:schemaRefs>
    <ds:schemaRef ds:uri="http://schemas.microsoft.com/sharepoint/events"/>
  </ds:schemaRefs>
</ds:datastoreItem>
</file>

<file path=customXml/itemProps3.xml><?xml version="1.0" encoding="utf-8"?>
<ds:datastoreItem xmlns:ds="http://schemas.openxmlformats.org/officeDocument/2006/customXml" ds:itemID="{2A0CEB8F-CB9F-4B8B-899F-4B37EF05CAAE}">
  <ds:schemaRefs>
    <ds:schemaRef ds:uri="http://schemas.microsoft.com/sharepoint/v3/fields"/>
    <ds:schemaRef ds:uri="http://purl.org/dc/elements/1.1/"/>
    <ds:schemaRef ds:uri="http://purl.org/dc/terms/"/>
    <ds:schemaRef ds:uri="http://www.w3.org/XML/1998/namespace"/>
    <ds:schemaRef ds:uri="http://purl.org/dc/dcmitype/"/>
    <ds:schemaRef ds:uri="8a3471f6-0f36-4ccf-b5ee-1ca67ea797ef"/>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f5b869d2-addc-441a-a17c-05e3e333473c"/>
  </ds:schemaRefs>
</ds:datastoreItem>
</file>

<file path=customXml/itemProps4.xml><?xml version="1.0" encoding="utf-8"?>
<ds:datastoreItem xmlns:ds="http://schemas.openxmlformats.org/officeDocument/2006/customXml" ds:itemID="{87E862FD-80AE-4ADA-9502-96CF71A53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E214A-7031-488C-8B3E-20E0DF6B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Programme provisoire - Séminaire conjoint "L'accord de partenariat économique UE-Japon: la voie à suivre"</vt:lpstr>
    </vt:vector>
  </TitlesOfParts>
  <Company>CESE-CdR</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provisoire - Séminaire conjoint "L'accord de partenariat économique UE-Japon: la voie à suivre"</dc:title>
  <dc:creator>Else Boonstra;tzonka iotzova</dc:creator>
  <cp:keywords>EESC-2017-04122-00-01-CONVPOJ-TRA-EN</cp:keywords>
  <dc:description>Rapporteur:  - Original language: EN - Date of document: 19/10/2017 - Date of meeting: 26/10/2017 - External documents:  - Administrator: Mme Iotzova Tzonka Vassileva</dc:description>
  <cp:lastModifiedBy>Carlotta Iapichino</cp:lastModifiedBy>
  <cp:revision>2</cp:revision>
  <cp:lastPrinted>2017-09-06T08:36:00Z</cp:lastPrinted>
  <dcterms:created xsi:type="dcterms:W3CDTF">2017-10-23T12:01:00Z</dcterms:created>
  <dcterms:modified xsi:type="dcterms:W3CDTF">2017-10-23T12:01:00Z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18/10/2017, 18/10/2017, 18/10/2017, 13/09/2017, 13/09/2017, 07/07/2015, 07/07/2015, 09/06/2015, 09/06/2015, 09/06/2015</vt:lpwstr>
  </property>
  <property fmtid="{D5CDD505-2E9C-101B-9397-08002B2CF9AE}" pid="4" name="Pref_Time">
    <vt:lpwstr>13:37:29, 13:35:57, 12:31:09, 16:31:40, 16:10:59, 15:11:05, 14:52:15, 17:31:53, 15:54:52, 15:44:03</vt:lpwstr>
  </property>
  <property fmtid="{D5CDD505-2E9C-101B-9397-08002B2CF9AE}" pid="5" name="Pref_User">
    <vt:lpwstr>enied, enied, YMUR, amett, htoo, amett, dtai, jhvi, dtai, hnic</vt:lpwstr>
  </property>
  <property fmtid="{D5CDD505-2E9C-101B-9397-08002B2CF9AE}" pid="6" name="Pref_FileName">
    <vt:lpwstr>EESC-2017-04122-00-01-CONVPOJ-ORI.docx, EESC-2017-04122-00-01-CONVPOJ-TRA-EN-CRR.docx, EESC-2017-04122-00-01-CONVPOJ-CRR-EN.docx, EESC-2017-04122-00-00-CONVPOJ-TRA-EN-CRR.docx, EESC-2017-04122-00-00-CONVPOJ-CRR-EN.docx, EESC-2015-03156-00-04-CONVPOJ-ORI.d</vt:lpwstr>
  </property>
  <property fmtid="{D5CDD505-2E9C-101B-9397-08002B2CF9AE}" pid="7" name="ContentTypeId">
    <vt:lpwstr>0x010100EA97B91038054C99906057A708A1480A00FC97235EC7FCE745BC5B366FF1DC5038</vt:lpwstr>
  </property>
  <property fmtid="{D5CDD505-2E9C-101B-9397-08002B2CF9AE}" pid="8" name="_dlc_DocIdItemGuid">
    <vt:lpwstr>1046fed3-4ec3-4602-8131-d6a68127c5cd</vt:lpwstr>
  </property>
  <property fmtid="{D5CDD505-2E9C-101B-9397-08002B2CF9AE}" pid="9" name="DocumentType_0">
    <vt:lpwstr>CONVPOJ|4be1222e-972b-4c27-a530-eec9a2dcd101</vt:lpwstr>
  </property>
  <property fmtid="{D5CDD505-2E9C-101B-9397-08002B2CF9AE}" pid="10" name="AvailableTranslations">
    <vt:lpwstr>4;#EN|f2175f21-25d7-44a3-96da-d6a61b075e1b;#8;#FR|d2afafd3-4c81-4f60-8f52-ee33f2f54ff3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4122</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42;#CONVPOJ|4be1222e-972b-4c27-a530-eec9a2dcd101</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REX/269|400bae5d-5c3e-42d0-b0a4-e7856445b965</vt:lpwstr>
  </property>
  <property fmtid="{D5CDD505-2E9C-101B-9397-08002B2CF9AE}" pid="25" name="OriginalLanguage">
    <vt:lpwstr>4;#EN|f2175f21-25d7-44a3-96da-d6a61b075e1b</vt:lpwstr>
  </property>
  <property fmtid="{D5CDD505-2E9C-101B-9397-08002B2CF9AE}" pid="26" name="MeetingName">
    <vt:lpwstr>120;#REX/269|400bae5d-5c3e-42d0-b0a4-e7856445b965</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2017-10-26T12:00:00Z</vt:filetime>
  </property>
  <property fmtid="{D5CDD505-2E9C-101B-9397-08002B2CF9AE}" pid="30" name="TaxCatchAll">
    <vt:lpwstr>42;#CONVPOJ|4be1222e-972b-4c27-a530-eec9a2dcd101;#120;#REX/269|400bae5d-5c3e-42d0-b0a4-e7856445b965;#6;#Final|ea5e6674-7b27-4bac-b091-73adbb394efe;#5;#Unrestricted|826e22d7-d029-4ec0-a450-0c28ff673572;#4;#EN|f2175f21-25d7-44a3-96da-d6a61b075e1b;#2;#TRA|15</vt:lpwstr>
  </property>
  <property fmtid="{D5CDD505-2E9C-101B-9397-08002B2CF9AE}" pid="31" name="AvailableTranslations_0">
    <vt:lpwstr>EN|f2175f21-25d7-44a3-96da-d6a61b075e1b</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11331</vt:i4>
  </property>
  <property fmtid="{D5CDD505-2E9C-101B-9397-08002B2CF9AE}" pid="35" name="DocumentYear">
    <vt:i4>2017</vt:i4>
  </property>
  <property fmtid="{D5CDD505-2E9C-101B-9397-08002B2CF9AE}" pid="36" name="DocumentLanguage">
    <vt:lpwstr>8;#FR|d2afafd3-4c81-4f60-8f52-ee33f2f54ff3</vt:lpwstr>
  </property>
</Properties>
</file>