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C55D8A" w:rsidRDefault="006A08D5" w:rsidP="00977C46">
      <w:pPr>
        <w:overflowPunct/>
        <w:adjustRightInd/>
        <w:snapToGrid w:val="0"/>
        <w:jc w:val="center"/>
        <w:textAlignment w:val="auto"/>
      </w:pPr>
      <w:r w:rsidRPr="00C55D8A">
        <w:fldChar w:fldCharType="begin"/>
      </w:r>
      <w:r w:rsidRPr="00C55D8A">
        <w:instrText xml:space="preserve">  </w:instrText>
      </w:r>
      <w:r w:rsidRPr="00C55D8A">
        <w:fldChar w:fldCharType="end"/>
      </w:r>
      <w:r w:rsidRPr="00C55D8A">
        <w:rPr>
          <w:lang w:bidi="ar-SA"/>
        </w:rPr>
        <mc:AlternateContent>
          <mc:Choice Requires="wps">
            <w:drawing>
              <wp:anchor distT="0" distB="0" distL="114300" distR="114300" simplePos="0" relativeHeight="251659264" behindDoc="1" locked="0" layoutInCell="0" allowOverlap="1" wp14:anchorId="19042D37" wp14:editId="50475C10">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DD" w:rsidRPr="003415D2" w:rsidRDefault="00916ADD" w:rsidP="003415D2">
                            <w:pPr>
                              <w:overflowPunct/>
                              <w:adjustRightInd/>
                              <w:jc w:val="center"/>
                              <w:textAlignment w:val="auto"/>
                              <w:rPr>
                                <w:rFonts w:ascii="Arial" w:hAnsi="Arial" w:cs="Arial"/>
                                <w:b/>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916ADD" w:rsidRPr="003415D2" w:rsidRDefault="00916ADD" w:rsidP="003415D2">
                      <w:pPr>
                        <w:overflowPunct/>
                        <w:adjustRightInd/>
                        <w:jc w:val="center"/>
                        <w:textAlignment w:val="auto"/>
                        <w:rPr>
                          <w:rFonts w:ascii="Arial" w:hAnsi="Arial" w:cs="Arial"/>
                          <w:b/>
                          <w:sz w:val="48"/>
                        </w:rPr>
                      </w:pPr>
                      <w:r>
                        <w:rPr>
                          <w:rFonts w:ascii="Arial" w:hAnsi="Arial"/>
                          <w:b/>
                          <w:sz w:val="48"/>
                        </w:rPr>
                        <w:t>IT</w:t>
                      </w:r>
                    </w:p>
                  </w:txbxContent>
                </v:textbox>
                <w10:wrap anchorx="page" anchory="page"/>
              </v:shape>
            </w:pict>
          </mc:Fallback>
        </mc:AlternateContent>
      </w:r>
      <w:r w:rsidRPr="00C55D8A">
        <w:rPr>
          <w:lang w:bidi="ar-SA"/>
        </w:rPr>
        <w:drawing>
          <wp:inline distT="0" distB="0" distL="0" distR="0" wp14:anchorId="5CA3BDC8" wp14:editId="10B4980C">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C55D8A" w:rsidRDefault="008405A0" w:rsidP="00977C46">
      <w:pPr>
        <w:overflowPunct/>
        <w:adjustRightInd/>
        <w:snapToGrid w:val="0"/>
        <w:jc w:val="center"/>
        <w:textAlignment w:val="auto"/>
        <w:rPr>
          <w:rFonts w:ascii="Arial" w:eastAsia="MS Mincho" w:hAnsi="Arial" w:cs="Arial"/>
          <w:b/>
          <w:i/>
          <w:sz w:val="20"/>
        </w:rPr>
      </w:pPr>
      <w:r w:rsidRPr="00C55D8A">
        <w:rPr>
          <w:rFonts w:ascii="Arial" w:hAnsi="Arial"/>
          <w:b/>
          <w:i/>
          <w:sz w:val="20"/>
        </w:rPr>
        <w:t>Comitato economico e sociale europeo</w:t>
      </w:r>
    </w:p>
    <w:p w:rsidR="008405A0" w:rsidRPr="00C55D8A" w:rsidRDefault="008405A0" w:rsidP="00977C46">
      <w:pPr>
        <w:overflowPunct/>
        <w:adjustRightInd/>
        <w:snapToGrid w:val="0"/>
        <w:textAlignment w:val="auto"/>
      </w:pPr>
    </w:p>
    <w:p w:rsidR="008405A0" w:rsidRPr="00C55D8A" w:rsidRDefault="008405A0" w:rsidP="00977C46">
      <w:pPr>
        <w:overflowPunct/>
        <w:adjustRightInd/>
        <w:snapToGrid w:val="0"/>
        <w:textAlignment w:val="auto"/>
      </w:pPr>
    </w:p>
    <w:p w:rsidR="008405A0" w:rsidRPr="00C55D8A" w:rsidRDefault="008405A0" w:rsidP="00977C46">
      <w:pPr>
        <w:overflowPunct/>
        <w:adjustRightInd/>
        <w:snapToGrid w:val="0"/>
        <w:jc w:val="right"/>
        <w:textAlignment w:val="auto"/>
        <w:rPr>
          <w:rFonts w:eastAsia="MS Mincho"/>
        </w:rPr>
      </w:pPr>
      <w:r w:rsidRPr="00C55D8A">
        <w:t>Bruxelles, 9 ottobre 2017</w:t>
      </w:r>
    </w:p>
    <w:p w:rsidR="008405A0" w:rsidRPr="00C55D8A" w:rsidRDefault="008405A0" w:rsidP="00977C46">
      <w:pPr>
        <w:overflowPunct/>
        <w:adjustRightInd/>
        <w:snapToGrid w:val="0"/>
        <w:textAlignment w:val="auto"/>
      </w:pPr>
    </w:p>
    <w:p w:rsidR="008405A0" w:rsidRPr="00C55D8A" w:rsidRDefault="008405A0" w:rsidP="00977C46">
      <w:pPr>
        <w:overflowPunct/>
        <w:adjustRightInd/>
        <w:snapToGrid w:val="0"/>
        <w:textAlignment w:val="auto"/>
      </w:pPr>
    </w:p>
    <w:p w:rsidR="00AF6F3E" w:rsidRPr="00C55D8A" w:rsidRDefault="00AF6F3E" w:rsidP="00977C46">
      <w:pPr>
        <w:overflowPunct/>
        <w:adjustRightInd/>
        <w:snapToGrid w:val="0"/>
        <w:textAlignment w:val="auto"/>
      </w:pPr>
    </w:p>
    <w:p w:rsidR="006819C8" w:rsidRPr="00C55D8A" w:rsidRDefault="006819C8" w:rsidP="00977C46">
      <w:pPr>
        <w:overflowPunct/>
        <w:adjustRightInd/>
        <w:snapToGrid w:val="0"/>
        <w:textAlignment w:val="auto"/>
      </w:pPr>
    </w:p>
    <w:tbl>
      <w:tblPr>
        <w:tblW w:w="0" w:type="auto"/>
        <w:tblLayout w:type="fixed"/>
        <w:tblLook w:val="0000" w:firstRow="0" w:lastRow="0" w:firstColumn="0" w:lastColumn="0" w:noHBand="0" w:noVBand="0"/>
      </w:tblPr>
      <w:tblGrid>
        <w:gridCol w:w="9289"/>
      </w:tblGrid>
      <w:tr w:rsidR="008405A0" w:rsidRPr="00C55D8A" w:rsidTr="00A72D7A">
        <w:tc>
          <w:tcPr>
            <w:tcW w:w="9289" w:type="dxa"/>
            <w:tcBorders>
              <w:top w:val="nil"/>
              <w:left w:val="nil"/>
              <w:bottom w:val="double" w:sz="4" w:space="0" w:color="auto"/>
              <w:right w:val="nil"/>
            </w:tcBorders>
          </w:tcPr>
          <w:p w:rsidR="008405A0" w:rsidRPr="00C55D8A" w:rsidRDefault="0072400C" w:rsidP="00977C46">
            <w:pPr>
              <w:overflowPunct/>
              <w:adjustRightInd/>
              <w:snapToGrid w:val="0"/>
              <w:jc w:val="center"/>
              <w:textAlignment w:val="auto"/>
              <w:rPr>
                <w:rFonts w:eastAsia="MS Mincho"/>
                <w:b/>
                <w:sz w:val="32"/>
              </w:rPr>
            </w:pPr>
            <w:r w:rsidRPr="00C55D8A">
              <w:rPr>
                <w:b/>
                <w:sz w:val="32"/>
              </w:rPr>
              <w:t xml:space="preserve">SESSIONE PLENARIA </w:t>
            </w:r>
            <w:r w:rsidRPr="00C55D8A">
              <w:rPr>
                <w:b/>
                <w:sz w:val="32"/>
              </w:rPr>
              <w:br/>
              <w:t xml:space="preserve"> </w:t>
            </w:r>
            <w:r w:rsidRPr="00C55D8A">
              <w:rPr>
                <w:b/>
                <w:sz w:val="32"/>
              </w:rPr>
              <w:br/>
              <w:t xml:space="preserve">DEL 20 </w:t>
            </w:r>
            <w:r w:rsidR="00CB3732" w:rsidRPr="00C55D8A">
              <w:rPr>
                <w:b/>
                <w:sz w:val="32"/>
              </w:rPr>
              <w:t>E</w:t>
            </w:r>
            <w:r w:rsidRPr="00C55D8A">
              <w:rPr>
                <w:b/>
                <w:sz w:val="32"/>
              </w:rPr>
              <w:t xml:space="preserve"> 21 SETTEMBRE 2017 </w:t>
            </w:r>
            <w:r w:rsidRPr="00C55D8A">
              <w:rPr>
                <w:b/>
                <w:sz w:val="32"/>
              </w:rPr>
              <w:br/>
              <w:t xml:space="preserve"> </w:t>
            </w:r>
            <w:r w:rsidRPr="00C55D8A">
              <w:rPr>
                <w:b/>
                <w:sz w:val="32"/>
              </w:rPr>
              <w:br/>
              <w:t>SINTESI DEI PARERI ADOTTATI</w:t>
            </w:r>
          </w:p>
          <w:p w:rsidR="008405A0" w:rsidRPr="00C55D8A" w:rsidRDefault="008405A0" w:rsidP="00977C46">
            <w:pPr>
              <w:overflowPunct/>
              <w:adjustRightInd/>
              <w:textAlignment w:val="auto"/>
            </w:pPr>
          </w:p>
          <w:p w:rsidR="008405A0" w:rsidRPr="00C55D8A" w:rsidRDefault="008405A0" w:rsidP="00977C46">
            <w:pPr>
              <w:overflowPunct/>
              <w:adjustRightInd/>
              <w:textAlignment w:val="auto"/>
              <w:rPr>
                <w:szCs w:val="22"/>
              </w:rPr>
            </w:pPr>
          </w:p>
        </w:tc>
      </w:tr>
      <w:tr w:rsidR="008405A0" w:rsidRPr="00C55D8A" w:rsidTr="00A72D7A">
        <w:tc>
          <w:tcPr>
            <w:tcW w:w="9289" w:type="dxa"/>
            <w:tcBorders>
              <w:top w:val="double" w:sz="4" w:space="0" w:color="auto"/>
              <w:left w:val="double" w:sz="4" w:space="0" w:color="auto"/>
              <w:bottom w:val="double" w:sz="4" w:space="0" w:color="auto"/>
              <w:right w:val="double" w:sz="4" w:space="0" w:color="auto"/>
            </w:tcBorders>
          </w:tcPr>
          <w:p w:rsidR="00FF15DA" w:rsidRPr="00C55D8A" w:rsidRDefault="00FF15DA" w:rsidP="00977C46">
            <w:pPr>
              <w:overflowPunct/>
              <w:adjustRightInd/>
              <w:snapToGrid w:val="0"/>
              <w:jc w:val="center"/>
              <w:textAlignment w:val="auto"/>
              <w:rPr>
                <w:b/>
              </w:rPr>
            </w:pPr>
          </w:p>
          <w:p w:rsidR="008405A0" w:rsidRPr="00C55D8A" w:rsidRDefault="00A31921" w:rsidP="00977C46">
            <w:pPr>
              <w:overflowPunct/>
              <w:adjustRightInd/>
              <w:snapToGrid w:val="0"/>
              <w:jc w:val="center"/>
              <w:textAlignment w:val="auto"/>
              <w:rPr>
                <w:rFonts w:eastAsia="MS Mincho"/>
                <w:b/>
              </w:rPr>
            </w:pPr>
            <w:r w:rsidRPr="00C55D8A">
              <w:rPr>
                <w:b/>
              </w:rPr>
              <w:t>Il presente documento è acc</w:t>
            </w:r>
            <w:r w:rsidR="00CB3732" w:rsidRPr="00C55D8A">
              <w:rPr>
                <w:b/>
              </w:rPr>
              <w:t>essibile nelle lingue ufficiali</w:t>
            </w:r>
            <w:r w:rsidR="00CB3732" w:rsidRPr="00C55D8A">
              <w:rPr>
                <w:b/>
              </w:rPr>
              <w:br/>
            </w:r>
            <w:r w:rsidRPr="00C55D8A">
              <w:rPr>
                <w:b/>
              </w:rPr>
              <w:t>sul sito Internet del CESE al seguente indirizzo:</w:t>
            </w:r>
          </w:p>
          <w:p w:rsidR="008405A0" w:rsidRPr="00C55D8A" w:rsidRDefault="008405A0" w:rsidP="00977C46">
            <w:pPr>
              <w:overflowPunct/>
              <w:adjustRightInd/>
              <w:snapToGrid w:val="0"/>
              <w:jc w:val="center"/>
              <w:textAlignment w:val="auto"/>
              <w:rPr>
                <w:b/>
              </w:rPr>
            </w:pPr>
          </w:p>
          <w:p w:rsidR="008405A0" w:rsidRPr="00C55D8A" w:rsidRDefault="00C55D8A" w:rsidP="00977C46">
            <w:pPr>
              <w:overflowPunct/>
              <w:adjustRightInd/>
              <w:jc w:val="center"/>
              <w:textAlignment w:val="auto"/>
              <w:rPr>
                <w:rFonts w:eastAsia="MS Mincho"/>
                <w:b/>
              </w:rPr>
            </w:pPr>
            <w:hyperlink r:id="rId14" w:anchor="/boxTab1-2">
              <w:r w:rsidR="00864A56" w:rsidRPr="00C55D8A">
                <w:rPr>
                  <w:rStyle w:val="Hyperlink"/>
                  <w:b/>
                </w:rPr>
                <w:t>http://www.eesc.europa.eu/?i=portal.fr.documents#/boxTab1-2</w:t>
              </w:r>
            </w:hyperlink>
          </w:p>
          <w:p w:rsidR="008405A0" w:rsidRPr="00C55D8A" w:rsidRDefault="008405A0" w:rsidP="00977C46">
            <w:pPr>
              <w:overflowPunct/>
              <w:adjustRightInd/>
              <w:snapToGrid w:val="0"/>
              <w:jc w:val="center"/>
              <w:textAlignment w:val="auto"/>
              <w:rPr>
                <w:b/>
              </w:rPr>
            </w:pPr>
          </w:p>
          <w:p w:rsidR="008405A0" w:rsidRPr="00C55D8A" w:rsidRDefault="008405A0" w:rsidP="00977C46">
            <w:pPr>
              <w:overflowPunct/>
              <w:adjustRightInd/>
              <w:snapToGrid w:val="0"/>
              <w:jc w:val="center"/>
              <w:textAlignment w:val="auto"/>
              <w:rPr>
                <w:rFonts w:eastAsia="SimSun"/>
                <w:b/>
              </w:rPr>
            </w:pPr>
          </w:p>
          <w:p w:rsidR="008405A0" w:rsidRPr="00C55D8A" w:rsidRDefault="008405A0" w:rsidP="00977C46">
            <w:pPr>
              <w:overflowPunct/>
              <w:adjustRightInd/>
              <w:snapToGrid w:val="0"/>
              <w:jc w:val="center"/>
              <w:textAlignment w:val="auto"/>
              <w:rPr>
                <w:rFonts w:eastAsia="MS Mincho"/>
                <w:b/>
              </w:rPr>
            </w:pPr>
            <w:r w:rsidRPr="00C55D8A">
              <w:rPr>
                <w:b/>
              </w:rPr>
              <w:t>I pareri menzionati possono essere consultati online tramite il motore di ricerca del Comitato:</w:t>
            </w:r>
          </w:p>
          <w:p w:rsidR="008405A0" w:rsidRPr="00C55D8A" w:rsidRDefault="008405A0" w:rsidP="00977C46">
            <w:pPr>
              <w:overflowPunct/>
              <w:adjustRightInd/>
              <w:snapToGrid w:val="0"/>
              <w:jc w:val="center"/>
              <w:textAlignment w:val="auto"/>
              <w:rPr>
                <w:b/>
              </w:rPr>
            </w:pPr>
          </w:p>
          <w:p w:rsidR="008405A0" w:rsidRPr="00C55D8A" w:rsidRDefault="00C55D8A" w:rsidP="00977C46">
            <w:pPr>
              <w:overflowPunct/>
              <w:adjustRightInd/>
              <w:jc w:val="center"/>
              <w:textAlignment w:val="auto"/>
              <w:rPr>
                <w:rFonts w:eastAsia="MS Mincho"/>
                <w:b/>
              </w:rPr>
            </w:pPr>
            <w:hyperlink r:id="rId15">
              <w:r w:rsidR="00864A56" w:rsidRPr="00C55D8A">
                <w:rPr>
                  <w:rStyle w:val="Hyperlink"/>
                  <w:b/>
                </w:rPr>
                <w:t>http://www.eesc.europa.eu/?i=portal.fr.opinions-search</w:t>
              </w:r>
            </w:hyperlink>
          </w:p>
          <w:p w:rsidR="008405A0" w:rsidRPr="00C55D8A" w:rsidRDefault="008405A0" w:rsidP="00977C46">
            <w:pPr>
              <w:overflowPunct/>
              <w:adjustRightInd/>
              <w:snapToGrid w:val="0"/>
              <w:jc w:val="center"/>
              <w:textAlignment w:val="auto"/>
              <w:rPr>
                <w:b/>
                <w:bCs/>
                <w:szCs w:val="22"/>
              </w:rPr>
            </w:pPr>
          </w:p>
        </w:tc>
      </w:tr>
    </w:tbl>
    <w:p w:rsidR="008F7791" w:rsidRPr="00C55D8A" w:rsidRDefault="008F7791" w:rsidP="00977C46">
      <w:pPr>
        <w:overflowPunct/>
        <w:adjustRightInd/>
        <w:textAlignment w:val="auto"/>
        <w:rPr>
          <w:rFonts w:eastAsia="SimSun"/>
        </w:rPr>
      </w:pPr>
    </w:p>
    <w:p w:rsidR="00A9340A" w:rsidRPr="00C55D8A" w:rsidRDefault="00A9340A" w:rsidP="00977C46">
      <w:pPr>
        <w:overflowPunct/>
        <w:adjustRightInd/>
        <w:textAlignment w:val="auto"/>
        <w:rPr>
          <w:rFonts w:eastAsia="SimSun"/>
        </w:rPr>
        <w:sectPr w:rsidR="00A9340A" w:rsidRPr="00C55D8A" w:rsidSect="005927EE">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C55D8A" w:rsidRDefault="008405A0" w:rsidP="00977C46">
      <w:pPr>
        <w:overflowPunct/>
        <w:adjustRightInd/>
        <w:snapToGrid w:val="0"/>
        <w:textAlignment w:val="auto"/>
        <w:rPr>
          <w:b/>
        </w:rPr>
      </w:pPr>
      <w:bookmarkStart w:id="0" w:name="_GoBack"/>
      <w:bookmarkEnd w:id="0"/>
      <w:r w:rsidRPr="00C55D8A">
        <w:rPr>
          <w:b/>
        </w:rPr>
        <w:lastRenderedPageBreak/>
        <w:t>Indice:</w:t>
      </w:r>
    </w:p>
    <w:p w:rsidR="00D16D76" w:rsidRPr="00C55D8A" w:rsidRDefault="00D16D76" w:rsidP="00977C46">
      <w:pPr>
        <w:overflowPunct/>
        <w:adjustRightInd/>
        <w:textAlignment w:val="auto"/>
      </w:pPr>
    </w:p>
    <w:p w:rsidR="00CB3732" w:rsidRPr="00C55D8A" w:rsidRDefault="00CB3732">
      <w:pPr>
        <w:pStyle w:val="TOC1"/>
        <w:rPr>
          <w:rFonts w:asciiTheme="minorHAnsi" w:eastAsiaTheme="minorEastAsia" w:hAnsiTheme="minorHAnsi" w:cstheme="minorBidi"/>
          <w:szCs w:val="22"/>
          <w:lang w:bidi="ar-SA"/>
        </w:rPr>
      </w:pPr>
      <w:r w:rsidRPr="00C55D8A">
        <w:fldChar w:fldCharType="begin"/>
      </w:r>
      <w:r w:rsidRPr="00C55D8A">
        <w:instrText xml:space="preserve"> TOC \o "1-1" \h \z \u </w:instrText>
      </w:r>
      <w:r w:rsidRPr="00C55D8A">
        <w:fldChar w:fldCharType="separate"/>
      </w:r>
      <w:hyperlink w:anchor="_Toc495072158" w:history="1">
        <w:r w:rsidRPr="00C55D8A">
          <w:rPr>
            <w:rStyle w:val="Hyperlink"/>
            <w:caps/>
          </w:rPr>
          <w:t>1.</w:t>
        </w:r>
        <w:r w:rsidRPr="00C55D8A">
          <w:rPr>
            <w:rFonts w:asciiTheme="minorHAnsi" w:eastAsiaTheme="minorEastAsia" w:hAnsiTheme="minorHAnsi" w:cstheme="minorBidi"/>
            <w:szCs w:val="22"/>
            <w:lang w:bidi="ar-SA"/>
          </w:rPr>
          <w:tab/>
        </w:r>
        <w:r w:rsidRPr="00C55D8A">
          <w:rPr>
            <w:rStyle w:val="Hyperlink"/>
            <w:b/>
            <w:caps/>
          </w:rPr>
          <w:t>STRUMENTI FINANZIARI/FISCALITÀ</w:t>
        </w:r>
        <w:r w:rsidRPr="00C55D8A">
          <w:rPr>
            <w:webHidden/>
          </w:rPr>
          <w:tab/>
        </w:r>
        <w:r w:rsidRPr="00C55D8A">
          <w:rPr>
            <w:webHidden/>
          </w:rPr>
          <w:fldChar w:fldCharType="begin"/>
        </w:r>
        <w:r w:rsidRPr="00C55D8A">
          <w:rPr>
            <w:webHidden/>
          </w:rPr>
          <w:instrText xml:space="preserve"> PAGEREF _Toc495072158 \h </w:instrText>
        </w:r>
        <w:r w:rsidRPr="00C55D8A">
          <w:rPr>
            <w:webHidden/>
          </w:rPr>
        </w:r>
        <w:r w:rsidRPr="00C55D8A">
          <w:rPr>
            <w:webHidden/>
          </w:rPr>
          <w:fldChar w:fldCharType="separate"/>
        </w:r>
        <w:r w:rsidRPr="00C55D8A">
          <w:rPr>
            <w:webHidden/>
          </w:rPr>
          <w:t>3</w:t>
        </w:r>
        <w:r w:rsidRPr="00C55D8A">
          <w:rPr>
            <w:webHidden/>
          </w:rPr>
          <w:fldChar w:fldCharType="end"/>
        </w:r>
      </w:hyperlink>
    </w:p>
    <w:p w:rsidR="00CB3732" w:rsidRPr="00C55D8A" w:rsidRDefault="00C55D8A">
      <w:pPr>
        <w:pStyle w:val="TOC1"/>
        <w:rPr>
          <w:rFonts w:asciiTheme="minorHAnsi" w:eastAsiaTheme="minorEastAsia" w:hAnsiTheme="minorHAnsi" w:cstheme="minorBidi"/>
          <w:szCs w:val="22"/>
          <w:lang w:bidi="ar-SA"/>
        </w:rPr>
      </w:pPr>
      <w:hyperlink w:anchor="_Toc495072159" w:history="1">
        <w:r w:rsidR="00CB3732" w:rsidRPr="00C55D8A">
          <w:rPr>
            <w:rStyle w:val="Hyperlink"/>
            <w:caps/>
          </w:rPr>
          <w:t>2.</w:t>
        </w:r>
        <w:r w:rsidR="00CB3732" w:rsidRPr="00C55D8A">
          <w:rPr>
            <w:rFonts w:asciiTheme="minorHAnsi" w:eastAsiaTheme="minorEastAsia" w:hAnsiTheme="minorHAnsi" w:cstheme="minorBidi"/>
            <w:szCs w:val="22"/>
            <w:lang w:bidi="ar-SA"/>
          </w:rPr>
          <w:tab/>
        </w:r>
        <w:r w:rsidR="00CB3732" w:rsidRPr="00C55D8A">
          <w:rPr>
            <w:rStyle w:val="Hyperlink"/>
            <w:b/>
            <w:caps/>
          </w:rPr>
          <w:t>LEGISLAZIONE UE/VALUTAZIONE D'IMPATTO</w:t>
        </w:r>
        <w:r w:rsidR="00CB3732" w:rsidRPr="00C55D8A">
          <w:rPr>
            <w:webHidden/>
          </w:rPr>
          <w:tab/>
        </w:r>
        <w:r w:rsidR="00CB3732" w:rsidRPr="00C55D8A">
          <w:rPr>
            <w:webHidden/>
          </w:rPr>
          <w:fldChar w:fldCharType="begin"/>
        </w:r>
        <w:r w:rsidR="00CB3732" w:rsidRPr="00C55D8A">
          <w:rPr>
            <w:webHidden/>
          </w:rPr>
          <w:instrText xml:space="preserve"> PAGEREF _Toc495072159 \h </w:instrText>
        </w:r>
        <w:r w:rsidR="00CB3732" w:rsidRPr="00C55D8A">
          <w:rPr>
            <w:webHidden/>
          </w:rPr>
        </w:r>
        <w:r w:rsidR="00CB3732" w:rsidRPr="00C55D8A">
          <w:rPr>
            <w:webHidden/>
          </w:rPr>
          <w:fldChar w:fldCharType="separate"/>
        </w:r>
        <w:r w:rsidR="00CB3732" w:rsidRPr="00C55D8A">
          <w:rPr>
            <w:webHidden/>
          </w:rPr>
          <w:t>7</w:t>
        </w:r>
        <w:r w:rsidR="00CB3732" w:rsidRPr="00C55D8A">
          <w:rPr>
            <w:webHidden/>
          </w:rPr>
          <w:fldChar w:fldCharType="end"/>
        </w:r>
      </w:hyperlink>
    </w:p>
    <w:p w:rsidR="00CB3732" w:rsidRPr="00C55D8A" w:rsidRDefault="00C55D8A">
      <w:pPr>
        <w:pStyle w:val="TOC1"/>
        <w:rPr>
          <w:rFonts w:asciiTheme="minorHAnsi" w:eastAsiaTheme="minorEastAsia" w:hAnsiTheme="minorHAnsi" w:cstheme="minorBidi"/>
          <w:szCs w:val="22"/>
          <w:lang w:bidi="ar-SA"/>
        </w:rPr>
      </w:pPr>
      <w:hyperlink w:anchor="_Toc495072160" w:history="1">
        <w:r w:rsidR="00CB3732" w:rsidRPr="00C55D8A">
          <w:rPr>
            <w:rStyle w:val="Hyperlink"/>
            <w:caps/>
          </w:rPr>
          <w:t>3.</w:t>
        </w:r>
        <w:r w:rsidR="00CB3732" w:rsidRPr="00C55D8A">
          <w:rPr>
            <w:rFonts w:asciiTheme="minorHAnsi" w:eastAsiaTheme="minorEastAsia" w:hAnsiTheme="minorHAnsi" w:cstheme="minorBidi"/>
            <w:szCs w:val="22"/>
            <w:lang w:bidi="ar-SA"/>
          </w:rPr>
          <w:tab/>
        </w:r>
        <w:r w:rsidR="00CB3732" w:rsidRPr="00C55D8A">
          <w:rPr>
            <w:rStyle w:val="Hyperlink"/>
            <w:b/>
            <w:caps/>
          </w:rPr>
          <w:t>UNIONE DOGANALE</w:t>
        </w:r>
        <w:r w:rsidR="00CB3732" w:rsidRPr="00C55D8A">
          <w:rPr>
            <w:webHidden/>
          </w:rPr>
          <w:tab/>
        </w:r>
        <w:r w:rsidR="00CB3732" w:rsidRPr="00C55D8A">
          <w:rPr>
            <w:webHidden/>
          </w:rPr>
          <w:fldChar w:fldCharType="begin"/>
        </w:r>
        <w:r w:rsidR="00CB3732" w:rsidRPr="00C55D8A">
          <w:rPr>
            <w:webHidden/>
          </w:rPr>
          <w:instrText xml:space="preserve"> PAGEREF _Toc495072160 \h </w:instrText>
        </w:r>
        <w:r w:rsidR="00CB3732" w:rsidRPr="00C55D8A">
          <w:rPr>
            <w:webHidden/>
          </w:rPr>
        </w:r>
        <w:r w:rsidR="00CB3732" w:rsidRPr="00C55D8A">
          <w:rPr>
            <w:webHidden/>
          </w:rPr>
          <w:fldChar w:fldCharType="separate"/>
        </w:r>
        <w:r w:rsidR="00CB3732" w:rsidRPr="00C55D8A">
          <w:rPr>
            <w:webHidden/>
          </w:rPr>
          <w:t>8</w:t>
        </w:r>
        <w:r w:rsidR="00CB3732" w:rsidRPr="00C55D8A">
          <w:rPr>
            <w:webHidden/>
          </w:rPr>
          <w:fldChar w:fldCharType="end"/>
        </w:r>
      </w:hyperlink>
    </w:p>
    <w:p w:rsidR="00CB3732" w:rsidRPr="00C55D8A" w:rsidRDefault="00C55D8A">
      <w:pPr>
        <w:pStyle w:val="TOC1"/>
        <w:rPr>
          <w:rFonts w:asciiTheme="minorHAnsi" w:eastAsiaTheme="minorEastAsia" w:hAnsiTheme="minorHAnsi" w:cstheme="minorBidi"/>
          <w:szCs w:val="22"/>
          <w:lang w:bidi="ar-SA"/>
        </w:rPr>
      </w:pPr>
      <w:hyperlink w:anchor="_Toc495072161" w:history="1">
        <w:r w:rsidR="00CB3732" w:rsidRPr="00C55D8A">
          <w:rPr>
            <w:rStyle w:val="Hyperlink"/>
            <w:caps/>
          </w:rPr>
          <w:t>4.</w:t>
        </w:r>
        <w:r w:rsidR="00CB3732" w:rsidRPr="00C55D8A">
          <w:rPr>
            <w:rFonts w:asciiTheme="minorHAnsi" w:eastAsiaTheme="minorEastAsia" w:hAnsiTheme="minorHAnsi" w:cstheme="minorBidi"/>
            <w:szCs w:val="22"/>
            <w:lang w:bidi="ar-SA"/>
          </w:rPr>
          <w:tab/>
        </w:r>
        <w:r w:rsidR="00CB3732" w:rsidRPr="00C55D8A">
          <w:rPr>
            <w:rStyle w:val="Hyperlink"/>
            <w:b/>
            <w:caps/>
          </w:rPr>
          <w:t>INNOVAZIONE/DIGITALIZZAZIONE</w:t>
        </w:r>
        <w:r w:rsidR="00CB3732" w:rsidRPr="00C55D8A">
          <w:rPr>
            <w:webHidden/>
          </w:rPr>
          <w:tab/>
        </w:r>
        <w:r w:rsidR="00CB3732" w:rsidRPr="00C55D8A">
          <w:rPr>
            <w:webHidden/>
          </w:rPr>
          <w:fldChar w:fldCharType="begin"/>
        </w:r>
        <w:r w:rsidR="00CB3732" w:rsidRPr="00C55D8A">
          <w:rPr>
            <w:webHidden/>
          </w:rPr>
          <w:instrText xml:space="preserve"> PAGEREF _Toc495072161 \h </w:instrText>
        </w:r>
        <w:r w:rsidR="00CB3732" w:rsidRPr="00C55D8A">
          <w:rPr>
            <w:webHidden/>
          </w:rPr>
        </w:r>
        <w:r w:rsidR="00CB3732" w:rsidRPr="00C55D8A">
          <w:rPr>
            <w:webHidden/>
          </w:rPr>
          <w:fldChar w:fldCharType="separate"/>
        </w:r>
        <w:r w:rsidR="00CB3732" w:rsidRPr="00C55D8A">
          <w:rPr>
            <w:webHidden/>
          </w:rPr>
          <w:t>9</w:t>
        </w:r>
        <w:r w:rsidR="00CB3732" w:rsidRPr="00C55D8A">
          <w:rPr>
            <w:webHidden/>
          </w:rPr>
          <w:fldChar w:fldCharType="end"/>
        </w:r>
      </w:hyperlink>
    </w:p>
    <w:p w:rsidR="00CB3732" w:rsidRPr="00C55D8A" w:rsidRDefault="00C55D8A">
      <w:pPr>
        <w:pStyle w:val="TOC1"/>
        <w:rPr>
          <w:rFonts w:asciiTheme="minorHAnsi" w:eastAsiaTheme="minorEastAsia" w:hAnsiTheme="minorHAnsi" w:cstheme="minorBidi"/>
          <w:szCs w:val="22"/>
          <w:lang w:bidi="ar-SA"/>
        </w:rPr>
      </w:pPr>
      <w:hyperlink w:anchor="_Toc495072162" w:history="1">
        <w:r w:rsidR="00CB3732" w:rsidRPr="00C55D8A">
          <w:rPr>
            <w:rStyle w:val="Hyperlink"/>
            <w:caps/>
          </w:rPr>
          <w:t>5.</w:t>
        </w:r>
        <w:r w:rsidR="00CB3732" w:rsidRPr="00C55D8A">
          <w:rPr>
            <w:rFonts w:asciiTheme="minorHAnsi" w:eastAsiaTheme="minorEastAsia" w:hAnsiTheme="minorHAnsi" w:cstheme="minorBidi"/>
            <w:szCs w:val="22"/>
            <w:lang w:bidi="ar-SA"/>
          </w:rPr>
          <w:tab/>
        </w:r>
        <w:r w:rsidR="00CB3732" w:rsidRPr="00C55D8A">
          <w:rPr>
            <w:rStyle w:val="Hyperlink"/>
            <w:b/>
            <w:caps/>
          </w:rPr>
          <w:t>LAVORO/AFFARI SOCIALI</w:t>
        </w:r>
        <w:r w:rsidR="00CB3732" w:rsidRPr="00C55D8A">
          <w:rPr>
            <w:webHidden/>
          </w:rPr>
          <w:tab/>
        </w:r>
        <w:r w:rsidR="00CB3732" w:rsidRPr="00C55D8A">
          <w:rPr>
            <w:webHidden/>
          </w:rPr>
          <w:fldChar w:fldCharType="begin"/>
        </w:r>
        <w:r w:rsidR="00CB3732" w:rsidRPr="00C55D8A">
          <w:rPr>
            <w:webHidden/>
          </w:rPr>
          <w:instrText xml:space="preserve"> PAGEREF _Toc495072162 \h </w:instrText>
        </w:r>
        <w:r w:rsidR="00CB3732" w:rsidRPr="00C55D8A">
          <w:rPr>
            <w:webHidden/>
          </w:rPr>
        </w:r>
        <w:r w:rsidR="00CB3732" w:rsidRPr="00C55D8A">
          <w:rPr>
            <w:webHidden/>
          </w:rPr>
          <w:fldChar w:fldCharType="separate"/>
        </w:r>
        <w:r w:rsidR="00CB3732" w:rsidRPr="00C55D8A">
          <w:rPr>
            <w:webHidden/>
          </w:rPr>
          <w:t>10</w:t>
        </w:r>
        <w:r w:rsidR="00CB3732" w:rsidRPr="00C55D8A">
          <w:rPr>
            <w:webHidden/>
          </w:rPr>
          <w:fldChar w:fldCharType="end"/>
        </w:r>
      </w:hyperlink>
    </w:p>
    <w:p w:rsidR="00CB3732" w:rsidRPr="00C55D8A" w:rsidRDefault="00C55D8A">
      <w:pPr>
        <w:pStyle w:val="TOC1"/>
        <w:rPr>
          <w:rFonts w:asciiTheme="minorHAnsi" w:eastAsiaTheme="minorEastAsia" w:hAnsiTheme="minorHAnsi" w:cstheme="minorBidi"/>
          <w:szCs w:val="22"/>
          <w:lang w:bidi="ar-SA"/>
        </w:rPr>
      </w:pPr>
      <w:hyperlink w:anchor="_Toc495072163" w:history="1">
        <w:r w:rsidR="00CB3732" w:rsidRPr="00C55D8A">
          <w:rPr>
            <w:rStyle w:val="Hyperlink"/>
            <w:caps/>
          </w:rPr>
          <w:t>6.</w:t>
        </w:r>
        <w:r w:rsidR="00CB3732" w:rsidRPr="00C55D8A">
          <w:rPr>
            <w:rFonts w:asciiTheme="minorHAnsi" w:eastAsiaTheme="minorEastAsia" w:hAnsiTheme="minorHAnsi" w:cstheme="minorBidi"/>
            <w:szCs w:val="22"/>
            <w:lang w:bidi="ar-SA"/>
          </w:rPr>
          <w:tab/>
        </w:r>
        <w:r w:rsidR="00CB3732" w:rsidRPr="00C55D8A">
          <w:rPr>
            <w:rStyle w:val="Hyperlink"/>
            <w:b/>
            <w:caps/>
          </w:rPr>
          <w:t>RELAZIONI ESTERNE</w:t>
        </w:r>
        <w:r w:rsidR="00CB3732" w:rsidRPr="00C55D8A">
          <w:rPr>
            <w:webHidden/>
          </w:rPr>
          <w:tab/>
        </w:r>
        <w:r w:rsidR="00CB3732" w:rsidRPr="00C55D8A">
          <w:rPr>
            <w:webHidden/>
          </w:rPr>
          <w:fldChar w:fldCharType="begin"/>
        </w:r>
        <w:r w:rsidR="00CB3732" w:rsidRPr="00C55D8A">
          <w:rPr>
            <w:webHidden/>
          </w:rPr>
          <w:instrText xml:space="preserve"> PAGEREF _Toc495072163 \h </w:instrText>
        </w:r>
        <w:r w:rsidR="00CB3732" w:rsidRPr="00C55D8A">
          <w:rPr>
            <w:webHidden/>
          </w:rPr>
        </w:r>
        <w:r w:rsidR="00CB3732" w:rsidRPr="00C55D8A">
          <w:rPr>
            <w:webHidden/>
          </w:rPr>
          <w:fldChar w:fldCharType="separate"/>
        </w:r>
        <w:r w:rsidR="00CB3732" w:rsidRPr="00C55D8A">
          <w:rPr>
            <w:webHidden/>
          </w:rPr>
          <w:t>12</w:t>
        </w:r>
        <w:r w:rsidR="00CB3732" w:rsidRPr="00C55D8A">
          <w:rPr>
            <w:webHidden/>
          </w:rPr>
          <w:fldChar w:fldCharType="end"/>
        </w:r>
      </w:hyperlink>
    </w:p>
    <w:p w:rsidR="004C340A" w:rsidRPr="00C55D8A" w:rsidRDefault="00CB3732">
      <w:pPr>
        <w:pStyle w:val="TOC1"/>
        <w:rPr>
          <w:rFonts w:asciiTheme="minorHAnsi" w:eastAsiaTheme="minorEastAsia" w:hAnsiTheme="minorHAnsi" w:cstheme="minorBidi"/>
          <w:szCs w:val="22"/>
        </w:rPr>
      </w:pPr>
      <w:r w:rsidRPr="00C55D8A">
        <w:rPr>
          <w:rFonts w:asciiTheme="minorHAnsi" w:eastAsiaTheme="minorEastAsia" w:hAnsiTheme="minorHAnsi" w:cstheme="minorBidi"/>
          <w:szCs w:val="22"/>
        </w:rPr>
        <w:fldChar w:fldCharType="end"/>
      </w:r>
    </w:p>
    <w:p w:rsidR="008405A0" w:rsidRPr="00C55D8A" w:rsidRDefault="008405A0" w:rsidP="00977C46">
      <w:pPr>
        <w:overflowPunct/>
        <w:adjustRightInd/>
        <w:textAlignment w:val="auto"/>
      </w:pPr>
      <w:r w:rsidRPr="00C55D8A">
        <w:br w:type="page"/>
      </w:r>
    </w:p>
    <w:p w:rsidR="003445DE" w:rsidRPr="00C55D8A" w:rsidRDefault="006C1861" w:rsidP="00977C46">
      <w:pPr>
        <w:overflowPunct/>
        <w:adjustRightInd/>
        <w:textAlignment w:val="auto"/>
        <w:rPr>
          <w:b/>
          <w:bCs/>
        </w:rPr>
      </w:pPr>
      <w:r w:rsidRPr="00C55D8A">
        <w:lastRenderedPageBreak/>
        <w:t xml:space="preserve">La sessione plenaria del 20 e 21 settembre 2017 è stata contraddistinta dalla presenza di </w:t>
      </w:r>
      <w:r w:rsidRPr="00C55D8A">
        <w:rPr>
          <w:b/>
        </w:rPr>
        <w:t>Jean-Claude Juncker</w:t>
      </w:r>
      <w:r w:rsidRPr="00C55D8A">
        <w:t xml:space="preserve">, Presidente della Commissione europea, di </w:t>
      </w:r>
      <w:r w:rsidRPr="00C55D8A">
        <w:rPr>
          <w:b/>
        </w:rPr>
        <w:t>Karl-Heinz Lambertz</w:t>
      </w:r>
      <w:r w:rsidRPr="00C55D8A">
        <w:t xml:space="preserve">, Presidente del Comitato europeo delle regioni, di </w:t>
      </w:r>
      <w:r w:rsidRPr="00C55D8A">
        <w:rPr>
          <w:b/>
          <w:color w:val="000000" w:themeColor="text1"/>
        </w:rPr>
        <w:t>Herman van Bekkem</w:t>
      </w:r>
      <w:r w:rsidRPr="00C55D8A">
        <w:t xml:space="preserve">, rappresentante di Greenpeace Paesi Bassi, e di </w:t>
      </w:r>
      <w:r w:rsidRPr="00C55D8A">
        <w:rPr>
          <w:b/>
          <w:color w:val="000000" w:themeColor="text1"/>
        </w:rPr>
        <w:t>David Schwartz</w:t>
      </w:r>
      <w:r w:rsidRPr="00C55D8A">
        <w:t>, coordinatore della campagna "Vietare il glifosato" a Bruxelles.</w:t>
      </w:r>
    </w:p>
    <w:p w:rsidR="00065751" w:rsidRPr="00C55D8A" w:rsidRDefault="00065751" w:rsidP="00977C46">
      <w:pPr>
        <w:overflowPunct/>
        <w:adjustRightInd/>
        <w:textAlignment w:val="auto"/>
      </w:pPr>
    </w:p>
    <w:p w:rsidR="00421682" w:rsidRPr="00C55D8A" w:rsidRDefault="00421682" w:rsidP="00977C46">
      <w:pPr>
        <w:overflowPunct/>
        <w:adjustRightInd/>
        <w:textAlignment w:val="auto"/>
      </w:pPr>
      <w:r w:rsidRPr="00C55D8A">
        <w:t>Nel corso della sessione il CESE ha adottato i seguenti pareri:</w:t>
      </w:r>
    </w:p>
    <w:p w:rsidR="00B50F6E" w:rsidRPr="00C55D8A" w:rsidRDefault="00B50F6E" w:rsidP="00977C46">
      <w:pPr>
        <w:overflowPunct/>
        <w:adjustRightInd/>
        <w:textAlignment w:val="auto"/>
      </w:pPr>
    </w:p>
    <w:p w:rsidR="00D97E9B" w:rsidRPr="00C55D8A" w:rsidRDefault="00B50F6E" w:rsidP="00C22360">
      <w:pPr>
        <w:pStyle w:val="Heading1"/>
        <w:keepNext/>
        <w:ind w:left="567" w:hanging="567"/>
        <w:rPr>
          <w:b/>
          <w:caps/>
        </w:rPr>
      </w:pPr>
      <w:bookmarkStart w:id="1" w:name="_Toc494368875"/>
      <w:bookmarkStart w:id="2" w:name="_Toc495072158"/>
      <w:r w:rsidRPr="00C55D8A">
        <w:rPr>
          <w:b/>
          <w:caps/>
        </w:rPr>
        <w:t>STRUMENTI FINANZIARI/FISCALITÀ</w:t>
      </w:r>
      <w:bookmarkEnd w:id="1"/>
      <w:bookmarkEnd w:id="2"/>
    </w:p>
    <w:p w:rsidR="005927EE" w:rsidRPr="00C55D8A" w:rsidRDefault="005927EE" w:rsidP="005927EE"/>
    <w:p w:rsidR="006D311D" w:rsidRPr="00C55D8A" w:rsidRDefault="006D311D" w:rsidP="00CC19E0">
      <w:pPr>
        <w:pStyle w:val="ListParagraph"/>
        <w:keepNext/>
        <w:numPr>
          <w:ilvl w:val="0"/>
          <w:numId w:val="61"/>
        </w:numPr>
        <w:rPr>
          <w:sz w:val="24"/>
          <w:szCs w:val="24"/>
        </w:rPr>
      </w:pPr>
      <w:r w:rsidRPr="00C55D8A">
        <w:rPr>
          <w:b/>
          <w:i/>
          <w:sz w:val="28"/>
        </w:rPr>
        <w:t>Servizi finanziari per i consumatori</w:t>
      </w:r>
    </w:p>
    <w:p w:rsidR="006D311D" w:rsidRPr="00C55D8A" w:rsidRDefault="006D311D" w:rsidP="00C22360">
      <w:pPr>
        <w:keepNext/>
        <w:tabs>
          <w:tab w:val="center" w:pos="284"/>
        </w:tabs>
        <w:ind w:left="266" w:hanging="266"/>
        <w:rPr>
          <w:b/>
        </w:rPr>
      </w:pPr>
    </w:p>
    <w:p w:rsidR="006D311D" w:rsidRPr="00C55D8A" w:rsidRDefault="00CB3732" w:rsidP="00C22360">
      <w:pPr>
        <w:keepNext/>
        <w:tabs>
          <w:tab w:val="center" w:pos="284"/>
        </w:tabs>
        <w:ind w:left="266" w:hanging="266"/>
      </w:pPr>
      <w:r w:rsidRPr="00C55D8A">
        <w:rPr>
          <w:b/>
        </w:rPr>
        <w:t>Relatore</w:t>
      </w:r>
      <w:r w:rsidR="006D311D" w:rsidRPr="00C55D8A">
        <w:rPr>
          <w:b/>
        </w:rPr>
        <w:t>:</w:t>
      </w:r>
      <w:r w:rsidR="006D311D" w:rsidRPr="00C55D8A">
        <w:tab/>
        <w:t>Michael IKRATH (Datori di lavoro - AT)</w:t>
      </w:r>
    </w:p>
    <w:p w:rsidR="006D311D" w:rsidRPr="00C55D8A" w:rsidRDefault="00CB3732">
      <w:pPr>
        <w:tabs>
          <w:tab w:val="center" w:pos="284"/>
        </w:tabs>
        <w:ind w:left="266" w:hanging="266"/>
      </w:pPr>
      <w:r w:rsidRPr="00C55D8A">
        <w:t>Correlatore</w:t>
      </w:r>
      <w:r w:rsidR="006D311D" w:rsidRPr="00C55D8A">
        <w:t>:</w:t>
      </w:r>
      <w:r w:rsidR="006D311D" w:rsidRPr="00C55D8A">
        <w:tab/>
        <w:t>Carlos TRIAS PINTÓ (Attività diverse - ES)</w:t>
      </w:r>
    </w:p>
    <w:p w:rsidR="006D311D" w:rsidRPr="00C55D8A" w:rsidRDefault="006D311D">
      <w:pPr>
        <w:tabs>
          <w:tab w:val="center" w:pos="284"/>
        </w:tabs>
        <w:ind w:left="266" w:hanging="266"/>
        <w:rPr>
          <w:b/>
        </w:rPr>
      </w:pPr>
    </w:p>
    <w:p w:rsidR="00F92923" w:rsidRPr="00C55D8A" w:rsidRDefault="006D311D">
      <w:pPr>
        <w:tabs>
          <w:tab w:val="center" w:pos="284"/>
        </w:tabs>
        <w:ind w:left="266" w:hanging="266"/>
      </w:pPr>
      <w:r w:rsidRPr="00C55D8A">
        <w:rPr>
          <w:b/>
        </w:rPr>
        <w:t>Riferimenti:</w:t>
      </w:r>
      <w:r w:rsidR="00394EED" w:rsidRPr="00C55D8A">
        <w:tab/>
      </w:r>
      <w:r w:rsidRPr="00C55D8A">
        <w:t>COM(2017) 139 final</w:t>
      </w:r>
    </w:p>
    <w:p w:rsidR="006D311D" w:rsidRPr="00C55D8A" w:rsidRDefault="00F92923">
      <w:pPr>
        <w:tabs>
          <w:tab w:val="center" w:pos="284"/>
          <w:tab w:val="left" w:pos="1701"/>
        </w:tabs>
        <w:ind w:left="266" w:hanging="266"/>
        <w:rPr>
          <w:szCs w:val="22"/>
        </w:rPr>
      </w:pPr>
      <w:r w:rsidRPr="00C55D8A">
        <w:tab/>
      </w:r>
      <w:r w:rsidRPr="00C55D8A">
        <w:tab/>
      </w:r>
      <w:r w:rsidRPr="00C55D8A">
        <w:tab/>
        <w:t>EESC-2017-01765-00-00-AC-TRA</w:t>
      </w:r>
    </w:p>
    <w:p w:rsidR="006D311D" w:rsidRPr="00C55D8A" w:rsidRDefault="006D311D">
      <w:pPr>
        <w:tabs>
          <w:tab w:val="center" w:pos="284"/>
        </w:tabs>
        <w:ind w:left="266" w:hanging="266"/>
      </w:pPr>
    </w:p>
    <w:p w:rsidR="006D311D" w:rsidRPr="00C55D8A" w:rsidRDefault="006D311D" w:rsidP="00C22360">
      <w:pPr>
        <w:keepNext/>
        <w:tabs>
          <w:tab w:val="center" w:pos="284"/>
        </w:tabs>
        <w:ind w:left="266" w:hanging="266"/>
        <w:rPr>
          <w:b/>
          <w:szCs w:val="22"/>
        </w:rPr>
      </w:pPr>
      <w:r w:rsidRPr="00C55D8A">
        <w:rPr>
          <w:b/>
        </w:rPr>
        <w:t>Punti chiave:</w:t>
      </w:r>
    </w:p>
    <w:p w:rsidR="005927EE" w:rsidRPr="00C55D8A" w:rsidRDefault="005927EE" w:rsidP="00C22360">
      <w:pPr>
        <w:keepNext/>
        <w:tabs>
          <w:tab w:val="center" w:pos="284"/>
        </w:tabs>
        <w:ind w:left="266" w:hanging="266"/>
        <w:rPr>
          <w:b/>
          <w:szCs w:val="22"/>
        </w:rPr>
      </w:pPr>
    </w:p>
    <w:p w:rsidR="006D311D" w:rsidRPr="00C55D8A" w:rsidRDefault="006D311D" w:rsidP="00C22360">
      <w:pPr>
        <w:keepNext/>
        <w:jc w:val="left"/>
        <w:rPr>
          <w:szCs w:val="22"/>
        </w:rPr>
      </w:pPr>
      <w:r w:rsidRPr="00C55D8A">
        <w:t>Il CESE:</w:t>
      </w:r>
    </w:p>
    <w:p w:rsidR="006D311D" w:rsidRPr="00C55D8A" w:rsidRDefault="006D311D">
      <w:pPr>
        <w:numPr>
          <w:ilvl w:val="0"/>
          <w:numId w:val="41"/>
        </w:numPr>
        <w:ind w:left="567" w:hanging="567"/>
        <w:rPr>
          <w:szCs w:val="22"/>
        </w:rPr>
      </w:pPr>
      <w:r w:rsidRPr="00C55D8A">
        <w:t>si compiace che, in questa fase, la Commissione europea si astenga dall'adottare misure di regolamentazione, e ne appoggia la decisione di applicare le pertinenti norme sulla concorrenza;</w:t>
      </w:r>
    </w:p>
    <w:p w:rsidR="006D311D" w:rsidRPr="00C55D8A" w:rsidRDefault="006D311D">
      <w:pPr>
        <w:numPr>
          <w:ilvl w:val="0"/>
          <w:numId w:val="41"/>
        </w:numPr>
        <w:ind w:left="567" w:hanging="567"/>
        <w:rPr>
          <w:szCs w:val="22"/>
        </w:rPr>
      </w:pPr>
      <w:r w:rsidRPr="00C55D8A">
        <w:t>rileva che occorre prestare particolare attenzione al ruolo delle banche al dettaglio tradizionali ("boring banking") in quanto intermediari cruciali di questi prodotti e servizi;</w:t>
      </w:r>
    </w:p>
    <w:p w:rsidR="006D311D" w:rsidRPr="00C55D8A" w:rsidRDefault="006D311D">
      <w:pPr>
        <w:numPr>
          <w:ilvl w:val="0"/>
          <w:numId w:val="41"/>
        </w:numPr>
        <w:ind w:left="567" w:hanging="567"/>
        <w:rPr>
          <w:szCs w:val="22"/>
        </w:rPr>
      </w:pPr>
      <w:r w:rsidRPr="00C55D8A">
        <w:t>raccomanda di adottare misure volte ad assicurare che il regime fiscale dei prodotti e servizi non rappresenti più un ostacolo a una concorrenza leale;</w:t>
      </w:r>
    </w:p>
    <w:p w:rsidR="006D311D" w:rsidRPr="00C55D8A" w:rsidRDefault="006D311D">
      <w:pPr>
        <w:numPr>
          <w:ilvl w:val="0"/>
          <w:numId w:val="41"/>
        </w:numPr>
        <w:ind w:left="567" w:hanging="567"/>
        <w:rPr>
          <w:szCs w:val="22"/>
        </w:rPr>
      </w:pPr>
      <w:r w:rsidRPr="00C55D8A">
        <w:t>raccomanda alla Commissione di prevedere strumenti adeguati, indipendenti e obbligatoriamente certificati che consentano il raffronto tra differenti prodotti finanziari nelle varie giurisdizioni che compongono l'Unione europea;</w:t>
      </w:r>
    </w:p>
    <w:p w:rsidR="006D311D" w:rsidRPr="00C55D8A" w:rsidRDefault="006D311D">
      <w:pPr>
        <w:numPr>
          <w:ilvl w:val="0"/>
          <w:numId w:val="41"/>
        </w:numPr>
        <w:ind w:left="567" w:hanging="567"/>
        <w:rPr>
          <w:szCs w:val="22"/>
        </w:rPr>
      </w:pPr>
      <w:r w:rsidRPr="00C55D8A">
        <w:t>raccomanda di regolamentare i colossi extraeuropei della tecnologia informatica che possono utilizzare le banche dati relative alla loro clientela per offrire prodotti personalizzati destinati alla vendita diretta, senza essere soggetti alle norme dell'UE;</w:t>
      </w:r>
    </w:p>
    <w:p w:rsidR="006D311D" w:rsidRPr="00C55D8A" w:rsidRDefault="006D311D">
      <w:pPr>
        <w:numPr>
          <w:ilvl w:val="0"/>
          <w:numId w:val="41"/>
        </w:numPr>
        <w:ind w:left="567" w:hanging="567"/>
        <w:rPr>
          <w:szCs w:val="22"/>
        </w:rPr>
      </w:pPr>
      <w:r w:rsidRPr="00C55D8A">
        <w:t>raccomanda che la Commissione definisca, accanto ai prodotti per i consumatori già stabiliti nel piano d'azione, altri prodotti, di tipo semplice, con le stesse caratteristiche e quindi comparabili e trasparenti.</w:t>
      </w:r>
    </w:p>
    <w:p w:rsidR="006D311D" w:rsidRPr="00C55D8A" w:rsidRDefault="006D311D">
      <w:pPr>
        <w:rPr>
          <w:szCs w:val="24"/>
        </w:rPr>
      </w:pPr>
    </w:p>
    <w:p w:rsidR="006D311D" w:rsidRPr="00C55D8A" w:rsidRDefault="006D311D" w:rsidP="00C22360">
      <w:pPr>
        <w:keepNext/>
        <w:tabs>
          <w:tab w:val="left" w:pos="1134"/>
        </w:tabs>
        <w:textAlignment w:val="auto"/>
        <w:rPr>
          <w:i/>
        </w:rPr>
      </w:pPr>
      <w:r w:rsidRPr="00C55D8A">
        <w:rPr>
          <w:b/>
          <w:i/>
        </w:rPr>
        <w:t>Persona da contattare</w:t>
      </w:r>
      <w:r w:rsidRPr="00C55D8A">
        <w:t>:</w:t>
      </w:r>
      <w:r w:rsidRPr="00C55D8A">
        <w:tab/>
      </w:r>
      <w:r w:rsidRPr="00C55D8A">
        <w:rPr>
          <w:i/>
        </w:rPr>
        <w:t>Claudia Drewes-Wran</w:t>
      </w:r>
    </w:p>
    <w:p w:rsidR="00B50F6E" w:rsidRPr="00C55D8A" w:rsidRDefault="00F92923">
      <w:pPr>
        <w:tabs>
          <w:tab w:val="left" w:pos="1134"/>
        </w:tabs>
      </w:pPr>
      <w:r w:rsidRPr="00C55D8A">
        <w:tab/>
      </w:r>
      <w:r w:rsidRPr="00C55D8A">
        <w:rPr>
          <w:i/>
        </w:rPr>
        <w:t>(</w:t>
      </w:r>
      <w:r w:rsidR="00CB3732" w:rsidRPr="00C55D8A">
        <w:rPr>
          <w:i/>
        </w:rPr>
        <w:t>Tel.:</w:t>
      </w:r>
      <w:r w:rsidRPr="00C55D8A">
        <w:rPr>
          <w:i/>
        </w:rPr>
        <w:t xml:space="preserve"> 00 32 2 546 80 67 – e-mail: </w:t>
      </w:r>
      <w:hyperlink r:id="rId22">
        <w:r w:rsidRPr="00C55D8A">
          <w:rPr>
            <w:i/>
            <w:color w:val="0000FF"/>
            <w:u w:val="single"/>
          </w:rPr>
          <w:t>claudia.drewes-wran@eesc.europa.eu</w:t>
        </w:r>
      </w:hyperlink>
      <w:r w:rsidRPr="00C55D8A">
        <w:rPr>
          <w:i/>
        </w:rPr>
        <w:t>)</w:t>
      </w:r>
    </w:p>
    <w:p w:rsidR="00D96879" w:rsidRPr="00C55D8A" w:rsidRDefault="00D96879">
      <w:pPr>
        <w:overflowPunct/>
        <w:autoSpaceDE/>
        <w:autoSpaceDN/>
        <w:adjustRightInd/>
        <w:spacing w:line="240" w:lineRule="auto"/>
        <w:jc w:val="left"/>
        <w:textAlignment w:val="auto"/>
      </w:pPr>
      <w:r w:rsidRPr="00C55D8A">
        <w:br w:type="page"/>
      </w:r>
    </w:p>
    <w:p w:rsidR="00F92923" w:rsidRPr="00C55D8A" w:rsidRDefault="00F92923" w:rsidP="00C22360">
      <w:pPr>
        <w:pStyle w:val="ListParagraph"/>
        <w:keepNext/>
        <w:numPr>
          <w:ilvl w:val="0"/>
          <w:numId w:val="53"/>
        </w:numPr>
        <w:rPr>
          <w:b/>
          <w:bCs/>
          <w:i/>
          <w:iCs/>
          <w:sz w:val="28"/>
          <w:szCs w:val="28"/>
        </w:rPr>
      </w:pPr>
      <w:r w:rsidRPr="00C55D8A">
        <w:rPr>
          <w:b/>
          <w:i/>
          <w:sz w:val="28"/>
        </w:rPr>
        <w:t>Base imponibile (consolidata) comune per l'imposta sulle società</w:t>
      </w:r>
    </w:p>
    <w:p w:rsidR="00F92923" w:rsidRPr="00C55D8A" w:rsidRDefault="00F92923" w:rsidP="00C22360">
      <w:pPr>
        <w:keepNext/>
        <w:overflowPunct/>
        <w:autoSpaceDE/>
        <w:autoSpaceDN/>
        <w:adjustRightInd/>
        <w:ind w:firstLine="17"/>
        <w:textAlignment w:val="auto"/>
        <w:rPr>
          <w:sz w:val="18"/>
          <w:szCs w:val="18"/>
        </w:rPr>
      </w:pPr>
    </w:p>
    <w:p w:rsidR="00F92923" w:rsidRPr="00C55D8A" w:rsidRDefault="00CB3732" w:rsidP="00C22360">
      <w:pPr>
        <w:keepNext/>
        <w:overflowPunct/>
        <w:autoSpaceDE/>
        <w:autoSpaceDN/>
        <w:adjustRightInd/>
        <w:textAlignment w:val="auto"/>
        <w:rPr>
          <w:szCs w:val="22"/>
        </w:rPr>
      </w:pPr>
      <w:r w:rsidRPr="00C55D8A">
        <w:rPr>
          <w:b/>
        </w:rPr>
        <w:t>Relatore</w:t>
      </w:r>
      <w:r w:rsidR="00F92923" w:rsidRPr="00C55D8A">
        <w:rPr>
          <w:b/>
        </w:rPr>
        <w:t>:</w:t>
      </w:r>
      <w:r w:rsidR="00F92923" w:rsidRPr="00C55D8A">
        <w:tab/>
        <w:t>Michael McLOUGHLIN (Attività diverse - IE)</w:t>
      </w:r>
    </w:p>
    <w:p w:rsidR="00F92923" w:rsidRPr="00C55D8A" w:rsidRDefault="00F92923" w:rsidP="00C22360">
      <w:pPr>
        <w:keepNext/>
        <w:overflowPunct/>
        <w:autoSpaceDE/>
        <w:autoSpaceDN/>
        <w:adjustRightInd/>
        <w:textAlignment w:val="auto"/>
        <w:rPr>
          <w:sz w:val="18"/>
          <w:szCs w:val="18"/>
        </w:rPr>
      </w:pPr>
    </w:p>
    <w:p w:rsidR="00F92923" w:rsidRPr="00C55D8A" w:rsidRDefault="00F92923" w:rsidP="00C22360">
      <w:pPr>
        <w:keepNext/>
        <w:overflowPunct/>
        <w:autoSpaceDE/>
        <w:autoSpaceDN/>
        <w:adjustRightInd/>
        <w:ind w:left="-5"/>
        <w:textAlignment w:val="auto"/>
        <w:rPr>
          <w:szCs w:val="22"/>
        </w:rPr>
      </w:pPr>
      <w:r w:rsidRPr="00C55D8A">
        <w:rPr>
          <w:b/>
        </w:rPr>
        <w:t>Riferimento:</w:t>
      </w:r>
      <w:r w:rsidRPr="00C55D8A">
        <w:tab/>
        <w:t>COM(2016) 683 final - 2016/0336 (CNS)</w:t>
      </w:r>
    </w:p>
    <w:p w:rsidR="00F92923" w:rsidRPr="00C55D8A" w:rsidRDefault="00F92923" w:rsidP="00C22360">
      <w:pPr>
        <w:keepNext/>
        <w:overflowPunct/>
        <w:autoSpaceDE/>
        <w:autoSpaceDN/>
        <w:adjustRightInd/>
        <w:ind w:left="-5"/>
        <w:textAlignment w:val="auto"/>
        <w:rPr>
          <w:iCs/>
          <w:szCs w:val="22"/>
        </w:rPr>
      </w:pPr>
      <w:r w:rsidRPr="00C55D8A">
        <w:tab/>
      </w:r>
      <w:r w:rsidRPr="00C55D8A">
        <w:tab/>
      </w:r>
      <w:r w:rsidRPr="00C55D8A">
        <w:tab/>
      </w:r>
      <w:r w:rsidRPr="00C55D8A">
        <w:tab/>
        <w:t>COM(2016) 685 final - 2016/0337 (CNS)</w:t>
      </w:r>
    </w:p>
    <w:p w:rsidR="00F92923" w:rsidRPr="00C55D8A" w:rsidRDefault="00F92923">
      <w:pPr>
        <w:overflowPunct/>
        <w:autoSpaceDE/>
        <w:autoSpaceDN/>
        <w:adjustRightInd/>
        <w:ind w:left="-5"/>
        <w:textAlignment w:val="auto"/>
        <w:rPr>
          <w:szCs w:val="22"/>
        </w:rPr>
      </w:pPr>
      <w:r w:rsidRPr="00C55D8A">
        <w:tab/>
      </w:r>
      <w:r w:rsidRPr="00C55D8A">
        <w:tab/>
      </w:r>
      <w:r w:rsidRPr="00C55D8A">
        <w:tab/>
      </w:r>
      <w:r w:rsidRPr="00C55D8A">
        <w:tab/>
        <w:t>EESC-2017-02205-00-00-AC-TRA</w:t>
      </w:r>
    </w:p>
    <w:p w:rsidR="00F92923" w:rsidRPr="00C55D8A" w:rsidRDefault="00F92923">
      <w:pPr>
        <w:overflowPunct/>
        <w:autoSpaceDE/>
        <w:autoSpaceDN/>
        <w:adjustRightInd/>
        <w:ind w:left="-5"/>
        <w:textAlignment w:val="auto"/>
        <w:rPr>
          <w:b/>
          <w:szCs w:val="22"/>
        </w:rPr>
      </w:pPr>
    </w:p>
    <w:p w:rsidR="00F92923" w:rsidRPr="00C55D8A" w:rsidRDefault="00F92923" w:rsidP="00C22360">
      <w:pPr>
        <w:keepNext/>
        <w:overflowPunct/>
        <w:autoSpaceDE/>
        <w:autoSpaceDN/>
        <w:adjustRightInd/>
        <w:ind w:left="-5"/>
        <w:textAlignment w:val="auto"/>
        <w:rPr>
          <w:b/>
          <w:szCs w:val="22"/>
        </w:rPr>
      </w:pPr>
      <w:r w:rsidRPr="00C55D8A">
        <w:rPr>
          <w:b/>
        </w:rPr>
        <w:t>Punti chiave:</w:t>
      </w:r>
    </w:p>
    <w:p w:rsidR="00D97E9B" w:rsidRPr="00C55D8A" w:rsidRDefault="00D97E9B" w:rsidP="00C22360">
      <w:pPr>
        <w:keepNext/>
        <w:overflowPunct/>
        <w:autoSpaceDE/>
        <w:autoSpaceDN/>
        <w:adjustRightInd/>
        <w:ind w:left="-5"/>
        <w:textAlignment w:val="auto"/>
        <w:rPr>
          <w:b/>
          <w:szCs w:val="22"/>
        </w:rPr>
      </w:pPr>
    </w:p>
    <w:p w:rsidR="00F92923" w:rsidRPr="00C55D8A" w:rsidRDefault="00F92923" w:rsidP="00C22360">
      <w:pPr>
        <w:keepNext/>
        <w:overflowPunct/>
        <w:autoSpaceDE/>
        <w:autoSpaceDN/>
        <w:adjustRightInd/>
        <w:textAlignment w:val="auto"/>
        <w:rPr>
          <w:szCs w:val="22"/>
        </w:rPr>
      </w:pPr>
      <w:r w:rsidRPr="00C55D8A">
        <w:t>Il CESE:</w:t>
      </w:r>
    </w:p>
    <w:p w:rsidR="00F92923" w:rsidRPr="00C55D8A" w:rsidRDefault="00F92923">
      <w:pPr>
        <w:numPr>
          <w:ilvl w:val="0"/>
          <w:numId w:val="43"/>
        </w:numPr>
        <w:overflowPunct/>
        <w:autoSpaceDE/>
        <w:autoSpaceDN/>
        <w:adjustRightInd/>
        <w:ind w:left="567" w:hanging="567"/>
        <w:contextualSpacing/>
        <w:textAlignment w:val="auto"/>
        <w:rPr>
          <w:szCs w:val="22"/>
        </w:rPr>
      </w:pPr>
      <w:r w:rsidRPr="00C55D8A">
        <w:t>approva gli obiettivi delle proposte della Commissione in materia di CCCTB, e raccomanda il massimo impegno per ottenere un consenso unanime al riguardo, considerata la delicatezza delle questioni in gioco sotto i profili della sussidiarietà e della sovranità dello Stato;</w:t>
      </w:r>
    </w:p>
    <w:p w:rsidR="00F92923" w:rsidRPr="00C55D8A" w:rsidRDefault="00F92923" w:rsidP="00C22360">
      <w:pPr>
        <w:numPr>
          <w:ilvl w:val="0"/>
          <w:numId w:val="45"/>
        </w:numPr>
        <w:overflowPunct/>
        <w:autoSpaceDE/>
        <w:autoSpaceDN/>
        <w:adjustRightInd/>
        <w:ind w:left="567" w:hanging="567"/>
        <w:contextualSpacing/>
        <w:textAlignment w:val="auto"/>
        <w:rPr>
          <w:szCs w:val="22"/>
        </w:rPr>
      </w:pPr>
      <w:r w:rsidRPr="00C55D8A">
        <w:t>comprende le ragioni alla base dell'approccio in due fasi adottato dalla Commissione, ma esorta, una volta raggiunto l'accordo sulla base imponibile comune, a passare celermente alla seconda fase, dato che è solo dopo il consolidamento di tale base che le imprese avvertiranno i maggiori vantaggi;</w:t>
      </w:r>
    </w:p>
    <w:p w:rsidR="00F92923" w:rsidRPr="00C55D8A" w:rsidRDefault="00F92923" w:rsidP="00C22360">
      <w:pPr>
        <w:numPr>
          <w:ilvl w:val="0"/>
          <w:numId w:val="44"/>
        </w:numPr>
        <w:overflowPunct/>
        <w:autoSpaceDE/>
        <w:autoSpaceDN/>
        <w:adjustRightInd/>
        <w:ind w:left="567" w:hanging="567"/>
        <w:contextualSpacing/>
        <w:textAlignment w:val="auto"/>
        <w:rPr>
          <w:szCs w:val="22"/>
        </w:rPr>
      </w:pPr>
      <w:r w:rsidRPr="00C55D8A">
        <w:t>dà atto alla Commissione di aver rilanciato la proposta sulla CCCTB con l'obiettivo sia di contribuire al completamento del mercato unico che di lottare contro la pianificazione fiscale aggressiva, situando il reddito imponibile laddove ha effettivamente luogo la creazione di valore;</w:t>
      </w:r>
    </w:p>
    <w:p w:rsidR="00F92923" w:rsidRPr="00C55D8A" w:rsidRDefault="00F92923" w:rsidP="00C22360">
      <w:pPr>
        <w:numPr>
          <w:ilvl w:val="0"/>
          <w:numId w:val="44"/>
        </w:numPr>
        <w:overflowPunct/>
        <w:autoSpaceDE/>
        <w:autoSpaceDN/>
        <w:adjustRightInd/>
        <w:ind w:left="567" w:hanging="567"/>
        <w:contextualSpacing/>
        <w:textAlignment w:val="auto"/>
        <w:rPr>
          <w:szCs w:val="22"/>
        </w:rPr>
      </w:pPr>
      <w:r w:rsidRPr="00C55D8A">
        <w:t>raccomanda di riesaminare la formula di ripartizione proposta per la CCCTB. Innanzitutto, la Commissione e gli Stati membri dovrebbero riflettere sull'opportunità di escludere dalla formula di riparto un attivo come la proprietà intellettuale;</w:t>
      </w:r>
    </w:p>
    <w:p w:rsidR="00F92923" w:rsidRPr="00C55D8A" w:rsidRDefault="00F92923" w:rsidP="00C22360">
      <w:pPr>
        <w:numPr>
          <w:ilvl w:val="0"/>
          <w:numId w:val="44"/>
        </w:numPr>
        <w:overflowPunct/>
        <w:autoSpaceDE/>
        <w:autoSpaceDN/>
        <w:adjustRightInd/>
        <w:ind w:left="567" w:hanging="567"/>
        <w:contextualSpacing/>
        <w:textAlignment w:val="auto"/>
        <w:rPr>
          <w:szCs w:val="22"/>
        </w:rPr>
      </w:pPr>
      <w:r w:rsidRPr="00C55D8A">
        <w:t>è preoccupato che l'applicazione di tale criterio faccia sì che molti dei piccoli Stati membri esportatori perdano ingenti importi di reddito imponibile a beneficio dei grandi Stati membri consumatori e ritiene fermamente che la proposta dovrebbe puntare a stabilire una formula equa e ad evitare di produrre squilibri sistematici;</w:t>
      </w:r>
    </w:p>
    <w:p w:rsidR="00F92923" w:rsidRPr="00C55D8A" w:rsidRDefault="00F92923">
      <w:pPr>
        <w:numPr>
          <w:ilvl w:val="0"/>
          <w:numId w:val="44"/>
        </w:numPr>
        <w:overflowPunct/>
        <w:autoSpaceDE/>
        <w:autoSpaceDN/>
        <w:adjustRightInd/>
        <w:ind w:left="567" w:hanging="567"/>
        <w:contextualSpacing/>
        <w:textAlignment w:val="auto"/>
        <w:rPr>
          <w:szCs w:val="22"/>
        </w:rPr>
      </w:pPr>
      <w:r w:rsidRPr="00C55D8A">
        <w:t>esprime riserve sulle proposte in materia di ammortamento ed esorta a far sì che esse rispecchino l'esperienza concreta delle imprese, in quanto le agevolazioni previste in materia di ammortamento potrebbero essere insufficienti per determinate classi di attivi soggette a rapidissima obsolescenza a causa del ritmo dei mutamenti tecnologici;</w:t>
      </w:r>
    </w:p>
    <w:p w:rsidR="00F92923" w:rsidRPr="00C55D8A" w:rsidRDefault="00F92923" w:rsidP="00C22360">
      <w:pPr>
        <w:numPr>
          <w:ilvl w:val="0"/>
          <w:numId w:val="44"/>
        </w:numPr>
        <w:overflowPunct/>
        <w:autoSpaceDE/>
        <w:autoSpaceDN/>
        <w:adjustRightInd/>
        <w:ind w:left="567" w:hanging="567"/>
        <w:contextualSpacing/>
        <w:textAlignment w:val="auto"/>
        <w:rPr>
          <w:szCs w:val="22"/>
        </w:rPr>
      </w:pPr>
      <w:r w:rsidRPr="00C55D8A">
        <w:t>apprezza il fatto che si riconosca l'importanza del trattamento fiscale del finanziamento con capitale (proprio) per gli investimenti delle imprese, grazie alla proposta di equipararlo, ai fini fiscali, a quello mediante indebitamento;</w:t>
      </w:r>
    </w:p>
    <w:p w:rsidR="00F92923" w:rsidRPr="00C55D8A" w:rsidRDefault="00F92923" w:rsidP="00C22360">
      <w:pPr>
        <w:numPr>
          <w:ilvl w:val="0"/>
          <w:numId w:val="47"/>
        </w:numPr>
        <w:overflowPunct/>
        <w:autoSpaceDE/>
        <w:autoSpaceDN/>
        <w:adjustRightInd/>
        <w:ind w:left="567" w:hanging="567"/>
        <w:contextualSpacing/>
        <w:textAlignment w:val="auto"/>
        <w:rPr>
          <w:szCs w:val="22"/>
        </w:rPr>
      </w:pPr>
      <w:r w:rsidRPr="00C55D8A">
        <w:t>raccomanda di assicurarsi che, per effetto della normativa proposta, vi sia un giusto equilibrio tra gli Stati membri; invita pertanto a esaminare in dettaglio l'impatto di tale normativa in ciascuno di essi, in termini sia di attrattiva degli investimenti che di mantenimento e creazione di posti di lavoro;</w:t>
      </w:r>
    </w:p>
    <w:p w:rsidR="00F92923" w:rsidRPr="00C55D8A" w:rsidRDefault="00F92923" w:rsidP="00C22360">
      <w:pPr>
        <w:numPr>
          <w:ilvl w:val="0"/>
          <w:numId w:val="47"/>
        </w:numPr>
        <w:overflowPunct/>
        <w:autoSpaceDE/>
        <w:autoSpaceDN/>
        <w:adjustRightInd/>
        <w:ind w:left="567" w:hanging="567"/>
        <w:contextualSpacing/>
        <w:textAlignment w:val="auto"/>
        <w:rPr>
          <w:szCs w:val="22"/>
        </w:rPr>
      </w:pPr>
      <w:r w:rsidRPr="00C55D8A">
        <w:t>esorta la Commissione a dare risposta alle esigenze di flessibilità e a mettere gli Stati e le imprese in condizioni di reagire al mutare della congiuntura economica nazionale o globale, nel rispetto delle procedure UE e della cooperazione congiunta.</w:t>
      </w:r>
    </w:p>
    <w:p w:rsidR="00F92923" w:rsidRPr="00C55D8A" w:rsidRDefault="00F92923">
      <w:pPr>
        <w:overflowPunct/>
        <w:autoSpaceDE/>
        <w:autoSpaceDN/>
        <w:adjustRightInd/>
        <w:textAlignment w:val="auto"/>
        <w:rPr>
          <w:sz w:val="18"/>
          <w:szCs w:val="18"/>
        </w:rPr>
      </w:pPr>
    </w:p>
    <w:p w:rsidR="00F92923" w:rsidRPr="00C55D8A" w:rsidRDefault="00F92923" w:rsidP="00C22360">
      <w:pPr>
        <w:keepNext/>
        <w:tabs>
          <w:tab w:val="left" w:pos="770"/>
        </w:tabs>
        <w:overflowPunct/>
        <w:autoSpaceDE/>
        <w:autoSpaceDN/>
        <w:adjustRightInd/>
        <w:ind w:left="1134" w:hanging="1134"/>
        <w:textAlignment w:val="auto"/>
        <w:rPr>
          <w:i/>
          <w:iCs/>
          <w:szCs w:val="22"/>
        </w:rPr>
      </w:pPr>
      <w:r w:rsidRPr="00C55D8A">
        <w:rPr>
          <w:b/>
          <w:i/>
        </w:rPr>
        <w:t>Persona da contattare:</w:t>
      </w:r>
      <w:r w:rsidR="00945F9A" w:rsidRPr="00C55D8A">
        <w:rPr>
          <w:b/>
          <w:i/>
        </w:rPr>
        <w:tab/>
      </w:r>
      <w:r w:rsidRPr="00C55D8A">
        <w:rPr>
          <w:i/>
        </w:rPr>
        <w:t>Jüri Soosaar</w:t>
      </w:r>
    </w:p>
    <w:p w:rsidR="00D96879" w:rsidRPr="00C55D8A" w:rsidRDefault="00F92923" w:rsidP="00CB3732">
      <w:pPr>
        <w:overflowPunct/>
        <w:autoSpaceDE/>
        <w:autoSpaceDN/>
        <w:adjustRightInd/>
        <w:ind w:left="1134" w:hanging="1134"/>
        <w:textAlignment w:val="auto"/>
        <w:rPr>
          <w:i/>
          <w:iCs/>
          <w:color w:val="0000FF"/>
          <w:szCs w:val="22"/>
          <w:u w:val="single"/>
        </w:rPr>
      </w:pPr>
      <w:r w:rsidRPr="00C55D8A">
        <w:tab/>
      </w:r>
      <w:r w:rsidRPr="00C55D8A">
        <w:rPr>
          <w:i/>
        </w:rPr>
        <w:t>(</w:t>
      </w:r>
      <w:r w:rsidR="00CB3732" w:rsidRPr="00C55D8A">
        <w:rPr>
          <w:i/>
        </w:rPr>
        <w:t>Tel.:</w:t>
      </w:r>
      <w:r w:rsidRPr="00C55D8A">
        <w:rPr>
          <w:i/>
        </w:rPr>
        <w:t xml:space="preserve"> 00 32 2 546 96 28 – </w:t>
      </w:r>
      <w:r w:rsidR="00CB3732" w:rsidRPr="00C55D8A">
        <w:rPr>
          <w:i/>
        </w:rPr>
        <w:t>email</w:t>
      </w:r>
      <w:r w:rsidRPr="00C55D8A">
        <w:rPr>
          <w:i/>
        </w:rPr>
        <w:t xml:space="preserve">: </w:t>
      </w:r>
      <w:hyperlink r:id="rId23">
        <w:r w:rsidRPr="00C55D8A">
          <w:rPr>
            <w:i/>
            <w:color w:val="0000FF"/>
            <w:u w:val="single"/>
          </w:rPr>
          <w:t>juri.soosaar@eesc.europa.eu</w:t>
        </w:r>
      </w:hyperlink>
      <w:r w:rsidRPr="00C55D8A">
        <w:rPr>
          <w:i/>
          <w:color w:val="0000FF"/>
          <w:u w:val="single"/>
        </w:rPr>
        <w:t xml:space="preserve"> </w:t>
      </w:r>
      <w:r w:rsidR="00D96879" w:rsidRPr="00C55D8A">
        <w:br w:type="page"/>
      </w:r>
    </w:p>
    <w:p w:rsidR="00F92923" w:rsidRPr="00C55D8A" w:rsidRDefault="00F92923" w:rsidP="00CC19E0">
      <w:pPr>
        <w:pStyle w:val="ListParagraph"/>
        <w:keepNext/>
        <w:numPr>
          <w:ilvl w:val="0"/>
          <w:numId w:val="62"/>
        </w:numPr>
        <w:rPr>
          <w:b/>
          <w:i/>
          <w:sz w:val="28"/>
          <w:szCs w:val="28"/>
        </w:rPr>
      </w:pPr>
      <w:r w:rsidRPr="00C55D8A">
        <w:rPr>
          <w:b/>
          <w:i/>
          <w:sz w:val="28"/>
        </w:rPr>
        <w:t>Un sistema fiscale per la concorrenza e la crescita</w:t>
      </w:r>
    </w:p>
    <w:p w:rsidR="00F92923" w:rsidRPr="00C55D8A" w:rsidRDefault="00F92923" w:rsidP="00C22360">
      <w:pPr>
        <w:keepNext/>
        <w:tabs>
          <w:tab w:val="center" w:pos="284"/>
        </w:tabs>
        <w:overflowPunct/>
        <w:autoSpaceDE/>
        <w:autoSpaceDN/>
        <w:adjustRightInd/>
        <w:ind w:left="266" w:hanging="266"/>
        <w:textAlignment w:val="auto"/>
        <w:rPr>
          <w:b/>
          <w:szCs w:val="22"/>
        </w:rPr>
      </w:pPr>
    </w:p>
    <w:p w:rsidR="00F92923" w:rsidRPr="00C55D8A" w:rsidRDefault="00CB3732" w:rsidP="00C22360">
      <w:pPr>
        <w:keepNext/>
        <w:tabs>
          <w:tab w:val="center" w:pos="284"/>
          <w:tab w:val="left" w:pos="1701"/>
        </w:tabs>
        <w:overflowPunct/>
        <w:autoSpaceDE/>
        <w:autoSpaceDN/>
        <w:adjustRightInd/>
        <w:ind w:left="266" w:hanging="266"/>
        <w:textAlignment w:val="auto"/>
        <w:rPr>
          <w:szCs w:val="22"/>
        </w:rPr>
      </w:pPr>
      <w:r w:rsidRPr="00C55D8A">
        <w:rPr>
          <w:b/>
        </w:rPr>
        <w:t>Relatore</w:t>
      </w:r>
      <w:r w:rsidR="00F92923" w:rsidRPr="00C55D8A">
        <w:rPr>
          <w:b/>
        </w:rPr>
        <w:t>:</w:t>
      </w:r>
      <w:r w:rsidR="00F92923" w:rsidRPr="00C55D8A">
        <w:tab/>
        <w:t>Petru Sorin DANDEA (Lavoratori - RO)</w:t>
      </w:r>
    </w:p>
    <w:p w:rsidR="00F92923" w:rsidRPr="00C55D8A" w:rsidRDefault="00F92923" w:rsidP="00C22360">
      <w:pPr>
        <w:keepNext/>
        <w:tabs>
          <w:tab w:val="center" w:pos="284"/>
          <w:tab w:val="left" w:pos="1701"/>
        </w:tabs>
        <w:overflowPunct/>
        <w:autoSpaceDE/>
        <w:autoSpaceDN/>
        <w:adjustRightInd/>
        <w:ind w:left="266" w:hanging="266"/>
        <w:textAlignment w:val="auto"/>
        <w:rPr>
          <w:szCs w:val="22"/>
        </w:rPr>
      </w:pPr>
    </w:p>
    <w:p w:rsidR="00916ADD" w:rsidRPr="00C55D8A" w:rsidRDefault="00F92923" w:rsidP="00C22360">
      <w:pPr>
        <w:keepNext/>
        <w:tabs>
          <w:tab w:val="left" w:pos="1701"/>
        </w:tabs>
        <w:overflowPunct/>
        <w:autoSpaceDE/>
        <w:autoSpaceDN/>
        <w:adjustRightInd/>
        <w:ind w:left="-5"/>
        <w:textAlignment w:val="auto"/>
        <w:rPr>
          <w:szCs w:val="22"/>
        </w:rPr>
      </w:pPr>
      <w:r w:rsidRPr="00C55D8A">
        <w:rPr>
          <w:b/>
        </w:rPr>
        <w:t>Riferimento:</w:t>
      </w:r>
      <w:r w:rsidRPr="00C55D8A">
        <w:tab/>
        <w:t>Parere d'iniziativa</w:t>
      </w:r>
    </w:p>
    <w:p w:rsidR="00F92923" w:rsidRPr="00C55D8A" w:rsidRDefault="00916ADD">
      <w:pPr>
        <w:tabs>
          <w:tab w:val="left" w:pos="1701"/>
        </w:tabs>
        <w:overflowPunct/>
        <w:autoSpaceDE/>
        <w:autoSpaceDN/>
        <w:adjustRightInd/>
        <w:ind w:left="-5"/>
        <w:textAlignment w:val="auto"/>
        <w:rPr>
          <w:szCs w:val="22"/>
        </w:rPr>
      </w:pPr>
      <w:r w:rsidRPr="00C55D8A">
        <w:tab/>
        <w:t>EESC-2017-00528-00-00-AC-TRA</w:t>
      </w:r>
    </w:p>
    <w:p w:rsidR="00F92923" w:rsidRPr="00C55D8A" w:rsidRDefault="00F92923">
      <w:pPr>
        <w:tabs>
          <w:tab w:val="center" w:pos="284"/>
          <w:tab w:val="left" w:pos="1701"/>
        </w:tabs>
        <w:overflowPunct/>
        <w:autoSpaceDE/>
        <w:autoSpaceDN/>
        <w:adjustRightInd/>
        <w:ind w:left="266" w:hanging="266"/>
        <w:textAlignment w:val="auto"/>
        <w:rPr>
          <w:szCs w:val="22"/>
        </w:rPr>
      </w:pPr>
    </w:p>
    <w:p w:rsidR="00F92923" w:rsidRPr="00C55D8A" w:rsidRDefault="00F92923" w:rsidP="00C22360">
      <w:pPr>
        <w:keepNext/>
        <w:tabs>
          <w:tab w:val="center" w:pos="284"/>
        </w:tabs>
        <w:overflowPunct/>
        <w:autoSpaceDE/>
        <w:autoSpaceDN/>
        <w:adjustRightInd/>
        <w:ind w:left="266" w:hanging="266"/>
        <w:textAlignment w:val="auto"/>
        <w:rPr>
          <w:b/>
          <w:szCs w:val="22"/>
        </w:rPr>
      </w:pPr>
      <w:r w:rsidRPr="00C55D8A">
        <w:rPr>
          <w:b/>
        </w:rPr>
        <w:t>Punti chiave:</w:t>
      </w:r>
    </w:p>
    <w:p w:rsidR="00F92923" w:rsidRPr="00C55D8A" w:rsidRDefault="00F92923" w:rsidP="00C22360">
      <w:pPr>
        <w:keepNext/>
        <w:overflowPunct/>
        <w:autoSpaceDE/>
        <w:autoSpaceDN/>
        <w:adjustRightInd/>
        <w:textAlignment w:val="auto"/>
        <w:outlineLvl w:val="1"/>
        <w:rPr>
          <w:szCs w:val="22"/>
        </w:rPr>
      </w:pPr>
    </w:p>
    <w:p w:rsidR="00F92923" w:rsidRPr="00C55D8A" w:rsidRDefault="00F92923" w:rsidP="00C22360">
      <w:pPr>
        <w:keepNext/>
        <w:overflowPunct/>
        <w:autoSpaceDE/>
        <w:autoSpaceDN/>
        <w:adjustRightInd/>
        <w:textAlignment w:val="auto"/>
        <w:outlineLvl w:val="1"/>
        <w:rPr>
          <w:szCs w:val="22"/>
        </w:rPr>
      </w:pPr>
      <w:r w:rsidRPr="00C55D8A">
        <w:t>Il CESE:</w:t>
      </w:r>
    </w:p>
    <w:p w:rsidR="00F92923" w:rsidRPr="00C55D8A" w:rsidRDefault="00C22825" w:rsidP="00C22360">
      <w:pPr>
        <w:numPr>
          <w:ilvl w:val="0"/>
          <w:numId w:val="50"/>
        </w:numPr>
        <w:overflowPunct/>
        <w:autoSpaceDE/>
        <w:autoSpaceDN/>
        <w:adjustRightInd/>
        <w:ind w:left="567" w:hanging="567"/>
        <w:textAlignment w:val="auto"/>
        <w:outlineLvl w:val="1"/>
        <w:rPr>
          <w:szCs w:val="22"/>
        </w:rPr>
      </w:pPr>
      <w:r w:rsidRPr="00C55D8A">
        <w:t>invita gli Stati membri a intensificare i loro sforzi nella lotta alla pianificazione fiscale aggressiva e all'elusione fiscale;</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raccomanda alla Commissione e agli Stati membri di proseguire e intensificare i negoziati a livello delle organizzazioni internazionali in vista dell'elaborazione di regolamentazioni efficaci nella lotta contro l'evasione fiscale;</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accoglie con favore la decisione del Consiglio con cui sono stati approvati i criteri proposti dalla Commissione per valutare le giurisdizioni note come paradisi fiscali;</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raccomanda agli Stati membri di evitare di praticare ulteriormente la concorrenza fiscale attraverso l'adozione di numerosi ruling fiscali che non sono giustificati dalla sostanza economica delle operazioni;</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ritiene che l'armonizzazione e la semplificazione delle normative fiscali debbano costituire una priorità per gli Stati membri e che gli sforzi di armonizzazione devono essere accompagnati dalla completa eliminazione degli ostacoli di natura fiscale;</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raccomanda agli Stati membri di prendere in considerazione lo spostamento dell'onere fiscale dal settore del lavoro a quello delle pratiche finanziarie o ambientali con effetti dannosi, nel quadro delle riforme promosse in materia fiscale;</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propone che la base imponibile consolidata comune per l'imposta sulle società (CCCTB) venga estesa a tutto il mercato unico e anche oltre;</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raccomanda che la formula per la ripartizione dell'utile imponibile, nel quadro dell'operazione di consolidamento che la CCCTB presuppone, sia il più possibile basata sul principio della tassazione dell'utile nel luogo in cui è stata svolta l'attività che lo ha prodotto;</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ripresenta la propria proposta relativa alla creazione di un "serpente fiscale" sulla falsariga del "serpente monetario" che è esistito nel periodo precedente l'introduzione della moneta unica;</w:t>
      </w:r>
    </w:p>
    <w:p w:rsidR="00F92923" w:rsidRPr="00C55D8A" w:rsidRDefault="00F92923" w:rsidP="00C22360">
      <w:pPr>
        <w:numPr>
          <w:ilvl w:val="0"/>
          <w:numId w:val="50"/>
        </w:numPr>
        <w:overflowPunct/>
        <w:autoSpaceDE/>
        <w:autoSpaceDN/>
        <w:adjustRightInd/>
        <w:ind w:left="567" w:hanging="567"/>
        <w:textAlignment w:val="auto"/>
        <w:outlineLvl w:val="1"/>
        <w:rPr>
          <w:szCs w:val="22"/>
        </w:rPr>
      </w:pPr>
      <w:r w:rsidRPr="00C55D8A">
        <w:t>ritiene che gli sforzi di armonizzazione delle normative, per quanto concerne la fissazione delle basi imponibili per le imposte più importanti, potrebbero ricevere un sostegno migliore se venisse introdotta la regola della maggioranza qualificata in materia di imposizione diretta. I progressi nel settore delle politiche fiscali potrebbero essere compiuti più rapidamente, con effetti positivi per il mercato interno, e questo genererebbe un notevole potenziale di crescita, dato che un sistema armonizzato ridurrebbe in modo significativo i costi di conformità delle imprese e creerebbe un regime fiscale più prevedibile nel quadro dell'UE.</w:t>
      </w:r>
    </w:p>
    <w:p w:rsidR="00F92923" w:rsidRPr="00C55D8A" w:rsidRDefault="00F92923">
      <w:pPr>
        <w:overflowPunct/>
        <w:autoSpaceDE/>
        <w:autoSpaceDN/>
        <w:adjustRightInd/>
        <w:textAlignment w:val="auto"/>
        <w:rPr>
          <w:szCs w:val="22"/>
        </w:rPr>
      </w:pPr>
    </w:p>
    <w:p w:rsidR="00F92923" w:rsidRPr="00C55D8A" w:rsidRDefault="00F92923" w:rsidP="00C22360">
      <w:pPr>
        <w:keepNext/>
        <w:tabs>
          <w:tab w:val="left" w:pos="1134"/>
        </w:tabs>
        <w:overflowPunct/>
        <w:autoSpaceDE/>
        <w:autoSpaceDN/>
        <w:adjustRightInd/>
        <w:textAlignment w:val="auto"/>
        <w:rPr>
          <w:i/>
          <w:szCs w:val="22"/>
        </w:rPr>
      </w:pPr>
      <w:r w:rsidRPr="00C55D8A">
        <w:rPr>
          <w:b/>
          <w:i/>
        </w:rPr>
        <w:t>Persona da contattare:</w:t>
      </w:r>
      <w:r w:rsidRPr="00C55D8A">
        <w:t xml:space="preserve"> </w:t>
      </w:r>
      <w:r w:rsidRPr="00C55D8A">
        <w:rPr>
          <w:i/>
        </w:rPr>
        <w:t>Krisztina Perlaky-Tóth</w:t>
      </w:r>
    </w:p>
    <w:p w:rsidR="00D96879" w:rsidRPr="00C55D8A" w:rsidRDefault="00F92923" w:rsidP="00CC19E0">
      <w:pPr>
        <w:tabs>
          <w:tab w:val="left" w:pos="1134"/>
        </w:tabs>
        <w:rPr>
          <w:i/>
          <w:szCs w:val="22"/>
        </w:rPr>
      </w:pPr>
      <w:r w:rsidRPr="00C55D8A">
        <w:tab/>
      </w:r>
      <w:r w:rsidRPr="00C55D8A">
        <w:rPr>
          <w:i/>
        </w:rPr>
        <w:t>(</w:t>
      </w:r>
      <w:r w:rsidR="00CB3732" w:rsidRPr="00C55D8A">
        <w:rPr>
          <w:i/>
        </w:rPr>
        <w:t>Tel:</w:t>
      </w:r>
      <w:r w:rsidRPr="00C55D8A">
        <w:rPr>
          <w:i/>
        </w:rPr>
        <w:t xml:space="preserve"> 00 32 2 546 9740 - </w:t>
      </w:r>
      <w:r w:rsidR="00CB3732" w:rsidRPr="00C55D8A">
        <w:rPr>
          <w:i/>
        </w:rPr>
        <w:t>email</w:t>
      </w:r>
      <w:r w:rsidRPr="00C55D8A">
        <w:rPr>
          <w:i/>
        </w:rPr>
        <w:t xml:space="preserve">: </w:t>
      </w:r>
      <w:hyperlink r:id="rId24">
        <w:r w:rsidRPr="00C55D8A">
          <w:rPr>
            <w:i/>
            <w:color w:val="0000FF"/>
            <w:u w:val="single"/>
          </w:rPr>
          <w:t>Krisztina.PerlakyToth@eesc.europa.eu</w:t>
        </w:r>
      </w:hyperlink>
      <w:r w:rsidRPr="00C55D8A">
        <w:rPr>
          <w:i/>
        </w:rPr>
        <w:t>)</w:t>
      </w:r>
      <w:r w:rsidRPr="00C55D8A">
        <w:br w:type="page"/>
      </w:r>
    </w:p>
    <w:p w:rsidR="00F92923" w:rsidRPr="00C55D8A" w:rsidRDefault="00CB3732" w:rsidP="00CC19E0">
      <w:pPr>
        <w:pStyle w:val="ListParagraph"/>
        <w:keepNext/>
        <w:numPr>
          <w:ilvl w:val="0"/>
          <w:numId w:val="63"/>
        </w:numPr>
        <w:rPr>
          <w:b/>
          <w:bCs/>
          <w:i/>
          <w:iCs/>
          <w:sz w:val="28"/>
          <w:szCs w:val="28"/>
        </w:rPr>
      </w:pPr>
      <w:r w:rsidRPr="00C55D8A">
        <w:rPr>
          <w:b/>
          <w:i/>
          <w:sz w:val="28"/>
        </w:rPr>
        <w:t>Regolamento</w:t>
      </w:r>
      <w:r w:rsidR="00F92923" w:rsidRPr="00C55D8A">
        <w:rPr>
          <w:b/>
          <w:i/>
          <w:sz w:val="28"/>
        </w:rPr>
        <w:t xml:space="preserve"> sulle infrastrutture del mercato europeo (EMIR) - Modifica</w:t>
      </w:r>
    </w:p>
    <w:p w:rsidR="00F92923" w:rsidRPr="00C55D8A" w:rsidRDefault="00F92923" w:rsidP="00C22360">
      <w:pPr>
        <w:keepNext/>
        <w:overflowPunct/>
        <w:autoSpaceDE/>
        <w:autoSpaceDN/>
        <w:adjustRightInd/>
        <w:ind w:firstLine="17"/>
        <w:textAlignment w:val="auto"/>
        <w:rPr>
          <w:szCs w:val="22"/>
        </w:rPr>
      </w:pPr>
    </w:p>
    <w:p w:rsidR="00F92923" w:rsidRPr="00C55D8A" w:rsidRDefault="00CB3732" w:rsidP="00C22360">
      <w:pPr>
        <w:keepNext/>
        <w:tabs>
          <w:tab w:val="left" w:pos="1701"/>
        </w:tabs>
        <w:overflowPunct/>
        <w:autoSpaceDE/>
        <w:autoSpaceDN/>
        <w:adjustRightInd/>
        <w:textAlignment w:val="auto"/>
        <w:rPr>
          <w:szCs w:val="22"/>
        </w:rPr>
      </w:pPr>
      <w:r w:rsidRPr="00C55D8A">
        <w:rPr>
          <w:b/>
        </w:rPr>
        <w:t>Relatore</w:t>
      </w:r>
      <w:r w:rsidR="00F92923" w:rsidRPr="00C55D8A">
        <w:rPr>
          <w:b/>
        </w:rPr>
        <w:t>:</w:t>
      </w:r>
      <w:r w:rsidR="00F92923" w:rsidRPr="00C55D8A">
        <w:tab/>
        <w:t>Petru Sorin DANDEA (Lavoratori - RO)</w:t>
      </w:r>
    </w:p>
    <w:p w:rsidR="00F92923" w:rsidRPr="00C55D8A" w:rsidRDefault="00F92923" w:rsidP="00C22360">
      <w:pPr>
        <w:keepNext/>
        <w:tabs>
          <w:tab w:val="left" w:pos="1701"/>
        </w:tabs>
        <w:overflowPunct/>
        <w:autoSpaceDE/>
        <w:autoSpaceDN/>
        <w:adjustRightInd/>
        <w:textAlignment w:val="auto"/>
        <w:rPr>
          <w:szCs w:val="22"/>
        </w:rPr>
      </w:pPr>
    </w:p>
    <w:p w:rsidR="00F92923" w:rsidRPr="00C55D8A" w:rsidRDefault="00F92923" w:rsidP="00C22360">
      <w:pPr>
        <w:keepNext/>
        <w:tabs>
          <w:tab w:val="left" w:pos="1701"/>
        </w:tabs>
        <w:overflowPunct/>
        <w:autoSpaceDE/>
        <w:autoSpaceDN/>
        <w:adjustRightInd/>
        <w:ind w:left="-5"/>
        <w:textAlignment w:val="auto"/>
        <w:rPr>
          <w:szCs w:val="22"/>
        </w:rPr>
      </w:pPr>
      <w:r w:rsidRPr="00C55D8A">
        <w:rPr>
          <w:b/>
        </w:rPr>
        <w:t>Riferimento:</w:t>
      </w:r>
      <w:r w:rsidRPr="00C55D8A">
        <w:tab/>
        <w:t>COM(2017) 208 final - 2017/090 (COD)</w:t>
      </w:r>
    </w:p>
    <w:p w:rsidR="00F92923" w:rsidRPr="00C55D8A" w:rsidRDefault="00F92923" w:rsidP="00C22360">
      <w:pPr>
        <w:keepNext/>
        <w:tabs>
          <w:tab w:val="left" w:pos="1701"/>
        </w:tabs>
        <w:overflowPunct/>
        <w:autoSpaceDE/>
        <w:autoSpaceDN/>
        <w:adjustRightInd/>
        <w:ind w:left="-5"/>
        <w:textAlignment w:val="auto"/>
        <w:rPr>
          <w:iCs/>
          <w:szCs w:val="22"/>
        </w:rPr>
      </w:pPr>
      <w:r w:rsidRPr="00C55D8A">
        <w:tab/>
        <w:t>COM(2017) 331 final - 2017/0136 (COD)</w:t>
      </w:r>
    </w:p>
    <w:p w:rsidR="00F92923" w:rsidRPr="00C55D8A" w:rsidRDefault="00F92923">
      <w:pPr>
        <w:tabs>
          <w:tab w:val="left" w:pos="1701"/>
        </w:tabs>
        <w:overflowPunct/>
        <w:autoSpaceDE/>
        <w:autoSpaceDN/>
        <w:adjustRightInd/>
        <w:ind w:left="-5"/>
        <w:textAlignment w:val="auto"/>
        <w:rPr>
          <w:szCs w:val="22"/>
        </w:rPr>
      </w:pPr>
      <w:r w:rsidRPr="00C55D8A">
        <w:tab/>
        <w:t>EESC-2017-02566-00-01-AC-TRA</w:t>
      </w:r>
    </w:p>
    <w:p w:rsidR="00F92923" w:rsidRPr="00C55D8A" w:rsidRDefault="00F92923">
      <w:pPr>
        <w:overflowPunct/>
        <w:autoSpaceDE/>
        <w:autoSpaceDN/>
        <w:adjustRightInd/>
        <w:ind w:left="-5"/>
        <w:textAlignment w:val="auto"/>
        <w:rPr>
          <w:b/>
          <w:szCs w:val="22"/>
        </w:rPr>
      </w:pPr>
    </w:p>
    <w:p w:rsidR="00F92923" w:rsidRPr="00C55D8A" w:rsidRDefault="00F92923" w:rsidP="00C22360">
      <w:pPr>
        <w:keepNext/>
        <w:overflowPunct/>
        <w:autoSpaceDE/>
        <w:autoSpaceDN/>
        <w:adjustRightInd/>
        <w:ind w:left="-5"/>
        <w:textAlignment w:val="auto"/>
        <w:rPr>
          <w:b/>
          <w:szCs w:val="22"/>
        </w:rPr>
      </w:pPr>
      <w:r w:rsidRPr="00C55D8A">
        <w:rPr>
          <w:b/>
        </w:rPr>
        <w:t>Punti chiave:</w:t>
      </w:r>
    </w:p>
    <w:p w:rsidR="00F92923" w:rsidRPr="00C55D8A" w:rsidRDefault="00F92923" w:rsidP="00C22360">
      <w:pPr>
        <w:keepNext/>
        <w:overflowPunct/>
        <w:autoSpaceDE/>
        <w:autoSpaceDN/>
        <w:adjustRightInd/>
        <w:textAlignment w:val="auto"/>
        <w:rPr>
          <w:color w:val="000000" w:themeColor="text1"/>
          <w:szCs w:val="22"/>
        </w:rPr>
      </w:pPr>
    </w:p>
    <w:p w:rsidR="00F92923" w:rsidRPr="00C55D8A" w:rsidRDefault="00F92923" w:rsidP="00C22360">
      <w:pPr>
        <w:keepNext/>
        <w:overflowPunct/>
        <w:autoSpaceDE/>
        <w:autoSpaceDN/>
        <w:adjustRightInd/>
        <w:textAlignment w:val="auto"/>
        <w:rPr>
          <w:color w:val="000000" w:themeColor="text1"/>
          <w:szCs w:val="22"/>
        </w:rPr>
      </w:pPr>
      <w:r w:rsidRPr="00C55D8A">
        <w:rPr>
          <w:color w:val="000000" w:themeColor="text1"/>
        </w:rPr>
        <w:t>Il CESE:</w:t>
      </w:r>
    </w:p>
    <w:p w:rsidR="00F92923" w:rsidRPr="00C55D8A" w:rsidRDefault="009210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accoglie con favore le due proposte di regolamento che modificano il regolamento EMIR, e si compiace in particolare del fatto che siano state presentate a conclusione di una consultazione pubblica di vasta portata;</w:t>
      </w:r>
    </w:p>
    <w:p w:rsidR="00F92923" w:rsidRPr="00C55D8A" w:rsidRDefault="00F929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ritiene importante che le misure proposte dalla Commissione siano in linea con il piano d'azione per l'Unione dei mercati dei capitali, con particolare riguardo alle disposizioni in materia di cartolarizzazione;</w:t>
      </w:r>
    </w:p>
    <w:p w:rsidR="00F92923" w:rsidRPr="00C55D8A" w:rsidRDefault="00F929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caldeggia la standardizzazione dei tipi di operazioni in derivati e di strumenti derivati, poiché questo consentirà di ottenere una comunicazione dei dati di qualità molto maggiore;</w:t>
      </w:r>
    </w:p>
    <w:p w:rsidR="00F92923" w:rsidRPr="00C55D8A" w:rsidRDefault="00F929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approva la proposta della Commissione di introdurre una soglia per la compensazione applicabile alle piccole controparti, dato che per queste ultime non è agevole reperire dei prestatori di servizi di compensazione;</w:t>
      </w:r>
    </w:p>
    <w:p w:rsidR="00F92923" w:rsidRPr="00C55D8A" w:rsidRDefault="00F929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sostiene la proposta della Commissione di estendere il periodo in cui i fondi pensione sono esentati dall'obbligo di compensazione centrale; finora, infatti, non sono state trovate soluzioni adeguate per dotare tali fondi della liquidità necessaria senza incidere sugli interessi dei sottoscrittori dei fondi stessi;</w:t>
      </w:r>
    </w:p>
    <w:p w:rsidR="00F92923" w:rsidRPr="00C55D8A" w:rsidRDefault="00F92923" w:rsidP="00C22360">
      <w:pPr>
        <w:numPr>
          <w:ilvl w:val="0"/>
          <w:numId w:val="49"/>
        </w:numPr>
        <w:overflowPunct/>
        <w:autoSpaceDE/>
        <w:autoSpaceDN/>
        <w:adjustRightInd/>
        <w:ind w:left="567" w:hanging="567"/>
        <w:contextualSpacing/>
        <w:textAlignment w:val="auto"/>
        <w:rPr>
          <w:color w:val="000000" w:themeColor="text1"/>
          <w:szCs w:val="22"/>
        </w:rPr>
      </w:pPr>
      <w:r w:rsidRPr="00C55D8A">
        <w:rPr>
          <w:color w:val="000000" w:themeColor="text1"/>
        </w:rPr>
        <w:t>accoglie con favore la proposta della Commissione di istituire un nuovo meccanismo di vigilanza di cui sia responsabile l'Autorità europea degli strumenti finanziari e dei mercati (AESFEM).</w:t>
      </w:r>
    </w:p>
    <w:p w:rsidR="00F92923" w:rsidRPr="00C55D8A" w:rsidRDefault="00F92923">
      <w:pPr>
        <w:overflowPunct/>
        <w:autoSpaceDE/>
        <w:autoSpaceDN/>
        <w:adjustRightInd/>
        <w:textAlignment w:val="auto"/>
        <w:rPr>
          <w:szCs w:val="22"/>
        </w:rPr>
      </w:pPr>
    </w:p>
    <w:p w:rsidR="00F92923" w:rsidRPr="00C55D8A" w:rsidRDefault="00F92923" w:rsidP="00C22360">
      <w:pPr>
        <w:keepNext/>
        <w:overflowPunct/>
        <w:autoSpaceDE/>
        <w:autoSpaceDN/>
        <w:adjustRightInd/>
        <w:ind w:left="1134" w:hanging="1134"/>
        <w:textAlignment w:val="auto"/>
        <w:rPr>
          <w:i/>
          <w:iCs/>
          <w:szCs w:val="22"/>
        </w:rPr>
      </w:pPr>
      <w:r w:rsidRPr="00C55D8A">
        <w:rPr>
          <w:b/>
          <w:i/>
        </w:rPr>
        <w:t>Persona da contattare:</w:t>
      </w:r>
      <w:r w:rsidRPr="00C55D8A">
        <w:rPr>
          <w:i/>
        </w:rPr>
        <w:t>Gerald Klec</w:t>
      </w:r>
    </w:p>
    <w:p w:rsidR="00B50F6E" w:rsidRPr="00C55D8A" w:rsidRDefault="00F92923">
      <w:pPr>
        <w:ind w:left="1134" w:hanging="1134"/>
        <w:rPr>
          <w:i/>
          <w:iCs/>
          <w:szCs w:val="22"/>
        </w:rPr>
      </w:pPr>
      <w:r w:rsidRPr="00C55D8A">
        <w:tab/>
      </w:r>
      <w:r w:rsidRPr="00C55D8A">
        <w:rPr>
          <w:i/>
        </w:rPr>
        <w:t>(</w:t>
      </w:r>
      <w:r w:rsidR="00CB3732" w:rsidRPr="00C55D8A">
        <w:rPr>
          <w:i/>
        </w:rPr>
        <w:t>Tel.:</w:t>
      </w:r>
      <w:r w:rsidRPr="00C55D8A">
        <w:rPr>
          <w:i/>
        </w:rPr>
        <w:t xml:space="preserve"> 00 32 2 546 99 09 – </w:t>
      </w:r>
      <w:r w:rsidR="00CB3732" w:rsidRPr="00C55D8A">
        <w:rPr>
          <w:i/>
        </w:rPr>
        <w:t>email</w:t>
      </w:r>
      <w:r w:rsidRPr="00C55D8A">
        <w:rPr>
          <w:i/>
        </w:rPr>
        <w:t xml:space="preserve">: </w:t>
      </w:r>
      <w:hyperlink r:id="rId25">
        <w:r w:rsidRPr="00C55D8A">
          <w:rPr>
            <w:i/>
            <w:color w:val="0000FF"/>
            <w:u w:val="single"/>
          </w:rPr>
          <w:t>gerald.klec@eesc.europa.eu</w:t>
        </w:r>
      </w:hyperlink>
      <w:r w:rsidRPr="00C55D8A">
        <w:rPr>
          <w:i/>
        </w:rPr>
        <w:t>)</w:t>
      </w:r>
    </w:p>
    <w:p w:rsidR="00556040" w:rsidRPr="00C55D8A" w:rsidRDefault="00556040" w:rsidP="00C22360">
      <w:pPr>
        <w:overflowPunct/>
        <w:autoSpaceDE/>
        <w:autoSpaceDN/>
        <w:adjustRightInd/>
        <w:jc w:val="left"/>
        <w:textAlignment w:val="auto"/>
      </w:pPr>
    </w:p>
    <w:p w:rsidR="00921023" w:rsidRPr="00C55D8A" w:rsidRDefault="00921023">
      <w:pPr>
        <w:overflowPunct/>
        <w:autoSpaceDE/>
        <w:autoSpaceDN/>
        <w:adjustRightInd/>
        <w:spacing w:line="240" w:lineRule="auto"/>
        <w:jc w:val="left"/>
        <w:textAlignment w:val="auto"/>
      </w:pPr>
      <w:r w:rsidRPr="00C55D8A">
        <w:br w:type="page"/>
      </w:r>
    </w:p>
    <w:p w:rsidR="00B50F6E" w:rsidRPr="00C55D8A" w:rsidRDefault="00B50F6E" w:rsidP="00C22360">
      <w:pPr>
        <w:pStyle w:val="Heading1"/>
        <w:keepNext/>
        <w:ind w:left="567" w:hanging="567"/>
        <w:rPr>
          <w:b/>
          <w:caps/>
        </w:rPr>
      </w:pPr>
      <w:bookmarkStart w:id="3" w:name="_Toc494363431"/>
      <w:bookmarkStart w:id="4" w:name="_Toc494368876"/>
      <w:bookmarkStart w:id="5" w:name="_Toc494368877"/>
      <w:bookmarkStart w:id="6" w:name="_Toc495072159"/>
      <w:bookmarkEnd w:id="3"/>
      <w:bookmarkEnd w:id="4"/>
      <w:r w:rsidRPr="00C55D8A">
        <w:rPr>
          <w:b/>
          <w:caps/>
        </w:rPr>
        <w:t>LEGISLAZIONE UE/VALUTAZIONE D'IMPATTO</w:t>
      </w:r>
      <w:bookmarkEnd w:id="5"/>
      <w:bookmarkEnd w:id="6"/>
    </w:p>
    <w:p w:rsidR="006D311D" w:rsidRPr="00C55D8A" w:rsidRDefault="006D311D" w:rsidP="00C22360">
      <w:pPr>
        <w:keepNext/>
        <w:textAlignment w:val="auto"/>
        <w:rPr>
          <w:i/>
          <w:iCs/>
          <w:szCs w:val="22"/>
          <w:u w:val="single"/>
        </w:rPr>
      </w:pPr>
    </w:p>
    <w:p w:rsidR="006D311D" w:rsidRPr="00C55D8A" w:rsidRDefault="006D311D" w:rsidP="00CC19E0">
      <w:pPr>
        <w:pStyle w:val="ListParagraph"/>
        <w:keepNext/>
        <w:numPr>
          <w:ilvl w:val="0"/>
          <w:numId w:val="64"/>
        </w:numPr>
        <w:rPr>
          <w:sz w:val="24"/>
          <w:szCs w:val="24"/>
        </w:rPr>
      </w:pPr>
      <w:r w:rsidRPr="00C55D8A">
        <w:rPr>
          <w:b/>
          <w:i/>
          <w:sz w:val="28"/>
        </w:rPr>
        <w:t>Trasparenza, metodologia e risorse delle valutazioni</w:t>
      </w:r>
    </w:p>
    <w:p w:rsidR="006D311D" w:rsidRPr="00C55D8A" w:rsidRDefault="006D311D" w:rsidP="00C22360">
      <w:pPr>
        <w:keepNext/>
        <w:tabs>
          <w:tab w:val="center" w:pos="284"/>
        </w:tabs>
        <w:ind w:left="266" w:hanging="266"/>
        <w:rPr>
          <w:b/>
        </w:rPr>
      </w:pPr>
    </w:p>
    <w:p w:rsidR="006D311D" w:rsidRPr="00C55D8A" w:rsidRDefault="00CB3732" w:rsidP="00C22360">
      <w:pPr>
        <w:keepNext/>
        <w:tabs>
          <w:tab w:val="center" w:pos="284"/>
          <w:tab w:val="left" w:pos="1701"/>
        </w:tabs>
        <w:ind w:left="266" w:hanging="266"/>
      </w:pPr>
      <w:r w:rsidRPr="00C55D8A">
        <w:rPr>
          <w:b/>
        </w:rPr>
        <w:t>Relatore</w:t>
      </w:r>
      <w:r w:rsidR="006D311D" w:rsidRPr="00C55D8A">
        <w:rPr>
          <w:b/>
        </w:rPr>
        <w:t>:</w:t>
      </w:r>
      <w:r w:rsidR="006D311D" w:rsidRPr="00C55D8A">
        <w:tab/>
        <w:t>Denis MEYNENT (Lavoratori - FR)</w:t>
      </w:r>
    </w:p>
    <w:p w:rsidR="006D311D" w:rsidRPr="00C55D8A" w:rsidRDefault="006D311D" w:rsidP="00C22360">
      <w:pPr>
        <w:keepNext/>
        <w:tabs>
          <w:tab w:val="center" w:pos="284"/>
          <w:tab w:val="left" w:pos="1701"/>
        </w:tabs>
        <w:ind w:left="266" w:hanging="266"/>
        <w:rPr>
          <w:b/>
        </w:rPr>
      </w:pPr>
    </w:p>
    <w:p w:rsidR="00916ADD" w:rsidRPr="00C55D8A" w:rsidRDefault="006D311D" w:rsidP="00C22360">
      <w:pPr>
        <w:keepNext/>
        <w:tabs>
          <w:tab w:val="center" w:pos="284"/>
          <w:tab w:val="left" w:pos="1701"/>
        </w:tabs>
        <w:ind w:left="266" w:hanging="266"/>
      </w:pPr>
      <w:r w:rsidRPr="00C55D8A">
        <w:rPr>
          <w:b/>
        </w:rPr>
        <w:t>Riferimenti:</w:t>
      </w:r>
      <w:r w:rsidRPr="00C55D8A">
        <w:tab/>
        <w:t>Parere d'iniziativa</w:t>
      </w:r>
    </w:p>
    <w:p w:rsidR="006D311D" w:rsidRPr="00C55D8A" w:rsidRDefault="00916ADD">
      <w:pPr>
        <w:tabs>
          <w:tab w:val="center" w:pos="284"/>
          <w:tab w:val="left" w:pos="1701"/>
        </w:tabs>
        <w:ind w:left="266" w:hanging="266"/>
        <w:rPr>
          <w:szCs w:val="22"/>
        </w:rPr>
      </w:pPr>
      <w:r w:rsidRPr="00C55D8A">
        <w:tab/>
      </w:r>
      <w:r w:rsidRPr="00C55D8A">
        <w:tab/>
      </w:r>
      <w:r w:rsidRPr="00C55D8A">
        <w:tab/>
        <w:t>EESC-2017-01443-00-00-AC-TRA</w:t>
      </w:r>
    </w:p>
    <w:p w:rsidR="006D311D" w:rsidRPr="00C55D8A" w:rsidRDefault="006D311D">
      <w:pPr>
        <w:tabs>
          <w:tab w:val="center" w:pos="284"/>
        </w:tabs>
        <w:ind w:left="266" w:hanging="266"/>
      </w:pPr>
    </w:p>
    <w:p w:rsidR="006D311D" w:rsidRPr="00C55D8A" w:rsidRDefault="006D311D" w:rsidP="00C22360">
      <w:pPr>
        <w:keepNext/>
        <w:tabs>
          <w:tab w:val="center" w:pos="284"/>
        </w:tabs>
        <w:ind w:left="266" w:hanging="266"/>
        <w:rPr>
          <w:b/>
          <w:szCs w:val="22"/>
        </w:rPr>
      </w:pPr>
      <w:r w:rsidRPr="00C55D8A">
        <w:rPr>
          <w:b/>
        </w:rPr>
        <w:t>Punti chiave:</w:t>
      </w:r>
    </w:p>
    <w:p w:rsidR="00D97E9B" w:rsidRPr="00C55D8A" w:rsidRDefault="00D97E9B" w:rsidP="00C22360">
      <w:pPr>
        <w:keepNext/>
        <w:rPr>
          <w:szCs w:val="22"/>
        </w:rPr>
      </w:pPr>
    </w:p>
    <w:p w:rsidR="006D311D" w:rsidRPr="00C55D8A" w:rsidRDefault="006D311D" w:rsidP="00C22360">
      <w:pPr>
        <w:keepNext/>
        <w:jc w:val="left"/>
        <w:rPr>
          <w:szCs w:val="22"/>
        </w:rPr>
      </w:pPr>
      <w:r w:rsidRPr="00C55D8A">
        <w:t>Il CESE:</w:t>
      </w:r>
    </w:p>
    <w:p w:rsidR="006D311D" w:rsidRPr="00C55D8A" w:rsidRDefault="006D311D" w:rsidP="00C22360">
      <w:pPr>
        <w:numPr>
          <w:ilvl w:val="0"/>
          <w:numId w:val="2"/>
        </w:numPr>
        <w:ind w:hanging="567"/>
        <w:rPr>
          <w:szCs w:val="22"/>
        </w:rPr>
      </w:pPr>
      <w:r w:rsidRPr="00C55D8A">
        <w:t>ritiene che le valutazioni d'impatto di tutte le proposte legislative debbano essere integrate e tenere opportunamente conto dell'importanza delle dimensioni economica, sociale e ambientale, ivi comprese le PMI;</w:t>
      </w:r>
    </w:p>
    <w:p w:rsidR="006D311D" w:rsidRPr="00C55D8A" w:rsidRDefault="006D311D" w:rsidP="00C22360">
      <w:pPr>
        <w:numPr>
          <w:ilvl w:val="0"/>
          <w:numId w:val="2"/>
        </w:numPr>
        <w:ind w:hanging="567"/>
        <w:rPr>
          <w:szCs w:val="22"/>
        </w:rPr>
      </w:pPr>
      <w:r w:rsidRPr="00C55D8A">
        <w:t>chiede al Parlamento, al Consiglio e alla Commissione europea di concordare una metodologia comune per gli studi e le valutazioni d'impatto, che potrebbe anche fungere da guida per il Comitato;</w:t>
      </w:r>
    </w:p>
    <w:p w:rsidR="006D311D" w:rsidRPr="00C55D8A" w:rsidRDefault="006D311D" w:rsidP="00C22360">
      <w:pPr>
        <w:numPr>
          <w:ilvl w:val="0"/>
          <w:numId w:val="2"/>
        </w:numPr>
        <w:ind w:hanging="567"/>
        <w:rPr>
          <w:szCs w:val="22"/>
        </w:rPr>
      </w:pPr>
      <w:r w:rsidRPr="00C55D8A">
        <w:t>ribadisce la sua preoccupazione riguardo alle lacune constatate per quanto riguarda le analisi d'impatto sociale o ambientale e il seguito riservato alle consultazioni e chiede alla Commissione di essere maggiormente trasparente e di giustificare le ragioni per (non) sottoporre una determinata disposizione o proposta di disposizione a una valutazione d'impatto e/o ex post.</w:t>
      </w:r>
    </w:p>
    <w:p w:rsidR="006D311D" w:rsidRPr="00C55D8A" w:rsidRDefault="006D311D">
      <w:pPr>
        <w:rPr>
          <w:szCs w:val="24"/>
        </w:rPr>
      </w:pPr>
    </w:p>
    <w:p w:rsidR="006D311D" w:rsidRPr="00C55D8A" w:rsidRDefault="006D311D" w:rsidP="00C22360">
      <w:pPr>
        <w:keepNext/>
        <w:tabs>
          <w:tab w:val="left" w:pos="1134"/>
        </w:tabs>
        <w:textAlignment w:val="auto"/>
        <w:rPr>
          <w:i/>
        </w:rPr>
      </w:pPr>
      <w:r w:rsidRPr="00C55D8A">
        <w:rPr>
          <w:b/>
          <w:i/>
        </w:rPr>
        <w:t>Persona da contattare:</w:t>
      </w:r>
      <w:r w:rsidRPr="00C55D8A">
        <w:tab/>
      </w:r>
      <w:r w:rsidRPr="00C55D8A">
        <w:rPr>
          <w:i/>
        </w:rPr>
        <w:t>Jean-Pierre Faure</w:t>
      </w:r>
    </w:p>
    <w:p w:rsidR="006D311D" w:rsidRPr="00C55D8A" w:rsidRDefault="00916ADD">
      <w:pPr>
        <w:tabs>
          <w:tab w:val="left" w:pos="1134"/>
        </w:tabs>
        <w:rPr>
          <w:i/>
        </w:rPr>
      </w:pPr>
      <w:r w:rsidRPr="00C55D8A">
        <w:tab/>
      </w:r>
      <w:r w:rsidRPr="00C55D8A">
        <w:rPr>
          <w:i/>
        </w:rPr>
        <w:t>(</w:t>
      </w:r>
      <w:r w:rsidR="00CB3732" w:rsidRPr="00C55D8A">
        <w:rPr>
          <w:i/>
        </w:rPr>
        <w:t>Tel.:</w:t>
      </w:r>
      <w:r w:rsidRPr="00C55D8A">
        <w:rPr>
          <w:i/>
        </w:rPr>
        <w:t xml:space="preserve"> 00 32 2 546 96 15 – e-mail: </w:t>
      </w:r>
      <w:hyperlink r:id="rId26">
        <w:r w:rsidRPr="00C55D8A">
          <w:rPr>
            <w:i/>
            <w:color w:val="0000FF"/>
            <w:u w:val="single"/>
          </w:rPr>
          <w:t>jean-pierre.faure@eesc.europa.eu</w:t>
        </w:r>
      </w:hyperlink>
      <w:r w:rsidRPr="00C55D8A">
        <w:rPr>
          <w:i/>
        </w:rPr>
        <w:t>)</w:t>
      </w:r>
    </w:p>
    <w:p w:rsidR="00916ADD" w:rsidRPr="00C55D8A" w:rsidRDefault="00916ADD">
      <w:pPr>
        <w:rPr>
          <w:i/>
        </w:rPr>
      </w:pPr>
    </w:p>
    <w:p w:rsidR="00921023" w:rsidRPr="00C55D8A" w:rsidRDefault="00921023">
      <w:pPr>
        <w:overflowPunct/>
        <w:autoSpaceDE/>
        <w:autoSpaceDN/>
        <w:adjustRightInd/>
        <w:spacing w:line="240" w:lineRule="auto"/>
        <w:jc w:val="left"/>
        <w:textAlignment w:val="auto"/>
      </w:pPr>
      <w:r w:rsidRPr="00C55D8A">
        <w:br w:type="page"/>
      </w:r>
    </w:p>
    <w:p w:rsidR="00B50F6E" w:rsidRPr="00C55D8A" w:rsidRDefault="00B50F6E" w:rsidP="00C22360">
      <w:pPr>
        <w:pStyle w:val="Heading1"/>
        <w:keepNext/>
        <w:ind w:left="567" w:hanging="567"/>
        <w:rPr>
          <w:b/>
          <w:caps/>
        </w:rPr>
      </w:pPr>
      <w:bookmarkStart w:id="7" w:name="_Toc494368878"/>
      <w:bookmarkStart w:id="8" w:name="_Toc494368879"/>
      <w:bookmarkStart w:id="9" w:name="_Toc495072160"/>
      <w:bookmarkEnd w:id="7"/>
      <w:r w:rsidRPr="00C55D8A">
        <w:rPr>
          <w:b/>
          <w:caps/>
        </w:rPr>
        <w:t>UNIONE DOGANALE</w:t>
      </w:r>
      <w:bookmarkStart w:id="10" w:name="_Toc487801311"/>
      <w:bookmarkStart w:id="11" w:name="_Toc487801312"/>
      <w:bookmarkStart w:id="12" w:name="_Toc486584274"/>
      <w:bookmarkStart w:id="13" w:name="_Toc486584338"/>
      <w:bookmarkStart w:id="14" w:name="_Toc486584426"/>
      <w:bookmarkStart w:id="15" w:name="_Toc486584611"/>
      <w:bookmarkStart w:id="16" w:name="_Toc486584275"/>
      <w:bookmarkStart w:id="17" w:name="_Toc486584339"/>
      <w:bookmarkStart w:id="18" w:name="_Toc486584427"/>
      <w:bookmarkStart w:id="19" w:name="_Toc486584612"/>
      <w:bookmarkEnd w:id="10"/>
      <w:bookmarkEnd w:id="11"/>
      <w:bookmarkEnd w:id="12"/>
      <w:bookmarkEnd w:id="13"/>
      <w:bookmarkEnd w:id="14"/>
      <w:bookmarkEnd w:id="15"/>
      <w:bookmarkEnd w:id="16"/>
      <w:bookmarkEnd w:id="17"/>
      <w:bookmarkEnd w:id="18"/>
      <w:bookmarkEnd w:id="19"/>
      <w:bookmarkEnd w:id="8"/>
      <w:bookmarkEnd w:id="9"/>
    </w:p>
    <w:p w:rsidR="005927EE" w:rsidRPr="00C55D8A" w:rsidRDefault="005927EE" w:rsidP="00CC19E0"/>
    <w:p w:rsidR="006D311D" w:rsidRPr="00C55D8A" w:rsidRDefault="006D311D" w:rsidP="00CC19E0">
      <w:pPr>
        <w:pStyle w:val="ListParagraph"/>
        <w:keepNext/>
        <w:numPr>
          <w:ilvl w:val="0"/>
          <w:numId w:val="65"/>
        </w:numPr>
        <w:rPr>
          <w:sz w:val="24"/>
          <w:szCs w:val="24"/>
        </w:rPr>
      </w:pPr>
      <w:r w:rsidRPr="00C55D8A">
        <w:rPr>
          <w:b/>
          <w:i/>
          <w:sz w:val="28"/>
        </w:rPr>
        <w:t xml:space="preserve">Unione doganale / </w:t>
      </w:r>
      <w:r w:rsidR="00CB3732" w:rsidRPr="00C55D8A">
        <w:rPr>
          <w:b/>
          <w:i/>
          <w:sz w:val="28"/>
        </w:rPr>
        <w:t>governance</w:t>
      </w:r>
    </w:p>
    <w:p w:rsidR="006D311D" w:rsidRPr="00C55D8A" w:rsidRDefault="006D311D" w:rsidP="00C22360">
      <w:pPr>
        <w:keepNext/>
        <w:tabs>
          <w:tab w:val="center" w:pos="284"/>
        </w:tabs>
        <w:ind w:left="266" w:hanging="266"/>
        <w:rPr>
          <w:b/>
        </w:rPr>
      </w:pPr>
    </w:p>
    <w:p w:rsidR="006D311D" w:rsidRPr="00C55D8A" w:rsidRDefault="00CB3732" w:rsidP="00C22360">
      <w:pPr>
        <w:keepNext/>
        <w:tabs>
          <w:tab w:val="center" w:pos="284"/>
          <w:tab w:val="left" w:pos="1701"/>
        </w:tabs>
        <w:ind w:left="266" w:hanging="266"/>
      </w:pPr>
      <w:r w:rsidRPr="00C55D8A">
        <w:rPr>
          <w:b/>
        </w:rPr>
        <w:t>Relatore</w:t>
      </w:r>
      <w:r w:rsidR="006D311D" w:rsidRPr="00C55D8A">
        <w:rPr>
          <w:b/>
        </w:rPr>
        <w:t>:</w:t>
      </w:r>
      <w:r w:rsidR="006D311D" w:rsidRPr="00C55D8A">
        <w:tab/>
        <w:t>Dimitris DIMITRIADIS (Datori di lavoro - EL)</w:t>
      </w:r>
    </w:p>
    <w:p w:rsidR="006D311D" w:rsidRPr="00C55D8A" w:rsidRDefault="006D311D" w:rsidP="00C22360">
      <w:pPr>
        <w:keepNext/>
        <w:tabs>
          <w:tab w:val="center" w:pos="284"/>
          <w:tab w:val="left" w:pos="1701"/>
        </w:tabs>
        <w:ind w:left="266" w:hanging="266"/>
        <w:rPr>
          <w:b/>
        </w:rPr>
      </w:pPr>
    </w:p>
    <w:p w:rsidR="00916ADD" w:rsidRPr="00C55D8A" w:rsidRDefault="006D311D" w:rsidP="00C22360">
      <w:pPr>
        <w:keepNext/>
        <w:tabs>
          <w:tab w:val="center" w:pos="284"/>
          <w:tab w:val="left" w:pos="1701"/>
        </w:tabs>
        <w:ind w:left="266" w:hanging="266"/>
      </w:pPr>
      <w:r w:rsidRPr="00C55D8A">
        <w:rPr>
          <w:b/>
        </w:rPr>
        <w:t>Riferimenti:</w:t>
      </w:r>
      <w:r w:rsidRPr="00C55D8A">
        <w:tab/>
        <w:t>COM(2016) 813 final</w:t>
      </w:r>
    </w:p>
    <w:p w:rsidR="006D311D" w:rsidRPr="00C55D8A" w:rsidRDefault="00916ADD">
      <w:pPr>
        <w:tabs>
          <w:tab w:val="center" w:pos="284"/>
          <w:tab w:val="left" w:pos="1701"/>
        </w:tabs>
        <w:ind w:left="266" w:hanging="266"/>
      </w:pPr>
      <w:r w:rsidRPr="00C55D8A">
        <w:tab/>
      </w:r>
      <w:r w:rsidRPr="00C55D8A">
        <w:tab/>
      </w:r>
      <w:r w:rsidRPr="00C55D8A">
        <w:tab/>
        <w:t>EESC-2017-00766-00-00-AC-TRA</w:t>
      </w:r>
    </w:p>
    <w:p w:rsidR="006D311D" w:rsidRPr="00C55D8A" w:rsidRDefault="006D311D">
      <w:pPr>
        <w:tabs>
          <w:tab w:val="center" w:pos="284"/>
        </w:tabs>
        <w:ind w:left="266" w:hanging="266"/>
      </w:pPr>
    </w:p>
    <w:p w:rsidR="006D311D" w:rsidRPr="00C55D8A" w:rsidRDefault="006D311D" w:rsidP="00C22360">
      <w:pPr>
        <w:keepNext/>
        <w:tabs>
          <w:tab w:val="center" w:pos="284"/>
        </w:tabs>
        <w:ind w:left="266" w:hanging="266"/>
        <w:rPr>
          <w:b/>
          <w:szCs w:val="22"/>
        </w:rPr>
      </w:pPr>
      <w:r w:rsidRPr="00C55D8A">
        <w:rPr>
          <w:b/>
        </w:rPr>
        <w:t>Punti chiave:</w:t>
      </w:r>
    </w:p>
    <w:p w:rsidR="00D97E9B" w:rsidRPr="00C55D8A" w:rsidRDefault="00D97E9B" w:rsidP="00C22360">
      <w:pPr>
        <w:keepNext/>
        <w:rPr>
          <w:szCs w:val="22"/>
        </w:rPr>
      </w:pPr>
    </w:p>
    <w:p w:rsidR="006D311D" w:rsidRPr="00C55D8A" w:rsidRDefault="006D311D" w:rsidP="00C22360">
      <w:pPr>
        <w:keepNext/>
        <w:rPr>
          <w:szCs w:val="22"/>
        </w:rPr>
      </w:pPr>
      <w:r w:rsidRPr="00C55D8A">
        <w:t xml:space="preserve">Il CESE concorda con la proposta della Commissione europea di sviluppare la </w:t>
      </w:r>
      <w:r w:rsidR="00CB3732" w:rsidRPr="00C55D8A">
        <w:t>governance</w:t>
      </w:r>
      <w:r w:rsidRPr="00C55D8A">
        <w:t xml:space="preserve"> dell'unione doganale, ma ritiene</w:t>
      </w:r>
    </w:p>
    <w:p w:rsidR="006D311D" w:rsidRPr="00C55D8A" w:rsidRDefault="006D311D" w:rsidP="00C22360">
      <w:pPr>
        <w:numPr>
          <w:ilvl w:val="0"/>
          <w:numId w:val="38"/>
        </w:numPr>
        <w:ind w:left="567" w:hanging="567"/>
        <w:contextualSpacing/>
        <w:rPr>
          <w:szCs w:val="22"/>
        </w:rPr>
      </w:pPr>
      <w:r w:rsidRPr="00C55D8A">
        <w:t>necessario un intervento di riforma multilivello e un'azione incisiva di carattere tecnico;</w:t>
      </w:r>
    </w:p>
    <w:p w:rsidR="006D311D" w:rsidRPr="00C55D8A" w:rsidRDefault="006D311D" w:rsidP="00C22360">
      <w:pPr>
        <w:numPr>
          <w:ilvl w:val="0"/>
          <w:numId w:val="38"/>
        </w:numPr>
        <w:ind w:left="567" w:hanging="567"/>
        <w:contextualSpacing/>
        <w:rPr>
          <w:szCs w:val="22"/>
        </w:rPr>
      </w:pPr>
      <w:r w:rsidRPr="00C55D8A">
        <w:t>essenziale portare a buon fine il passaggio allo sdoganamento centralizzato automatizzato, per facilitare il coordinamento delle attività di prevenzione e di repressione della criminalità, nonché di tutela degli interessi finanziari dell'UE, al fine di salvaguardare i diritti, gli interessi e la sicurezza delle imprese e dei consumatori europei. Per questo motivo chiede l'istituzione di una Procura europea (EPPO), che darebbe un contributo positivo in tal senso;</w:t>
      </w:r>
    </w:p>
    <w:p w:rsidR="006D311D" w:rsidRPr="00C55D8A" w:rsidRDefault="006D311D" w:rsidP="00C22360">
      <w:pPr>
        <w:numPr>
          <w:ilvl w:val="0"/>
          <w:numId w:val="38"/>
        </w:numPr>
        <w:ind w:left="567" w:hanging="567"/>
        <w:contextualSpacing/>
        <w:rPr>
          <w:szCs w:val="22"/>
        </w:rPr>
      </w:pPr>
      <w:r w:rsidRPr="00C55D8A">
        <w:t>necessario rafforzare il funzionamento del modello operativo decentrato attraverso la cooperazione amministrativa, con il coordinamento centrale da parte di un organo o organismo di sostegno sotto la guida della Commissione e con la partecipazione del gruppo per la politica doganale, al fine di fornire assistenza sulle questioni di applicazione del CDU.</w:t>
      </w:r>
    </w:p>
    <w:p w:rsidR="006D311D" w:rsidRPr="00C55D8A" w:rsidRDefault="006D311D">
      <w:pPr>
        <w:tabs>
          <w:tab w:val="left" w:pos="1701"/>
        </w:tabs>
        <w:rPr>
          <w:szCs w:val="24"/>
        </w:rPr>
      </w:pPr>
    </w:p>
    <w:p w:rsidR="006D311D" w:rsidRPr="00C55D8A" w:rsidRDefault="006D311D" w:rsidP="00C22360">
      <w:pPr>
        <w:keepNext/>
        <w:tabs>
          <w:tab w:val="left" w:pos="1134"/>
        </w:tabs>
        <w:textAlignment w:val="auto"/>
        <w:rPr>
          <w:i/>
        </w:rPr>
      </w:pPr>
      <w:r w:rsidRPr="00C55D8A">
        <w:rPr>
          <w:b/>
          <w:i/>
        </w:rPr>
        <w:t>Persona da contattare:</w:t>
      </w:r>
      <w:r w:rsidRPr="00C55D8A">
        <w:tab/>
      </w:r>
      <w:r w:rsidRPr="00C55D8A">
        <w:rPr>
          <w:i/>
        </w:rPr>
        <w:t>Jana Valant</w:t>
      </w:r>
    </w:p>
    <w:p w:rsidR="00B50F6E" w:rsidRPr="00C55D8A" w:rsidRDefault="00916ADD">
      <w:pPr>
        <w:tabs>
          <w:tab w:val="left" w:pos="1134"/>
        </w:tabs>
      </w:pPr>
      <w:r w:rsidRPr="00C55D8A">
        <w:tab/>
      </w:r>
      <w:r w:rsidRPr="00C55D8A">
        <w:rPr>
          <w:i/>
        </w:rPr>
        <w:t>(</w:t>
      </w:r>
      <w:r w:rsidR="00CB3732" w:rsidRPr="00C55D8A">
        <w:rPr>
          <w:i/>
        </w:rPr>
        <w:t>Tel.:</w:t>
      </w:r>
      <w:r w:rsidRPr="00C55D8A">
        <w:rPr>
          <w:i/>
        </w:rPr>
        <w:t xml:space="preserve"> 00 32 2 546 89 24 – e-mail: </w:t>
      </w:r>
      <w:hyperlink r:id="rId27">
        <w:r w:rsidRPr="00C55D8A">
          <w:rPr>
            <w:i/>
            <w:color w:val="0000FF"/>
            <w:u w:val="single"/>
          </w:rPr>
          <w:t>jana.valant@eesc.europa.eu</w:t>
        </w:r>
      </w:hyperlink>
    </w:p>
    <w:p w:rsidR="00D96879" w:rsidRPr="00C55D8A" w:rsidRDefault="00D96879">
      <w:pPr>
        <w:overflowPunct/>
        <w:autoSpaceDE/>
        <w:autoSpaceDN/>
        <w:adjustRightInd/>
        <w:spacing w:line="240" w:lineRule="auto"/>
        <w:jc w:val="left"/>
        <w:textAlignment w:val="auto"/>
      </w:pPr>
      <w:r w:rsidRPr="00C55D8A">
        <w:br w:type="page"/>
      </w:r>
    </w:p>
    <w:p w:rsidR="006A31EB" w:rsidRPr="00C55D8A" w:rsidRDefault="008860BD" w:rsidP="00C22360">
      <w:pPr>
        <w:pStyle w:val="Heading1"/>
        <w:keepNext/>
        <w:ind w:left="851" w:hanging="851"/>
        <w:rPr>
          <w:b/>
          <w:caps/>
        </w:rPr>
      </w:pPr>
      <w:bookmarkStart w:id="20" w:name="_Toc494368880"/>
      <w:bookmarkStart w:id="21" w:name="_Toc494368881"/>
      <w:bookmarkStart w:id="22" w:name="_Toc494368882"/>
      <w:bookmarkStart w:id="23" w:name="_Toc495072161"/>
      <w:bookmarkEnd w:id="20"/>
      <w:bookmarkEnd w:id="21"/>
      <w:r w:rsidRPr="00C55D8A">
        <w:rPr>
          <w:b/>
          <w:caps/>
        </w:rPr>
        <w:t>INNOVAZIONE/DIGITALIZZAZIONE</w:t>
      </w:r>
      <w:bookmarkEnd w:id="22"/>
      <w:bookmarkEnd w:id="23"/>
    </w:p>
    <w:p w:rsidR="005927EE" w:rsidRPr="00C55D8A" w:rsidRDefault="005927EE" w:rsidP="00CC19E0"/>
    <w:p w:rsidR="006D311D" w:rsidRPr="00C55D8A" w:rsidRDefault="006D311D" w:rsidP="00CC19E0">
      <w:pPr>
        <w:pStyle w:val="ListParagraph"/>
        <w:keepNext/>
        <w:numPr>
          <w:ilvl w:val="0"/>
          <w:numId w:val="66"/>
        </w:numPr>
        <w:rPr>
          <w:sz w:val="24"/>
          <w:szCs w:val="24"/>
        </w:rPr>
      </w:pPr>
      <w:r w:rsidRPr="00C55D8A">
        <w:rPr>
          <w:b/>
          <w:i/>
          <w:sz w:val="28"/>
        </w:rPr>
        <w:t>Impatto della rivoluzione digitale nel campo della salute sull'assicurazione sanitaria</w:t>
      </w:r>
    </w:p>
    <w:p w:rsidR="006D311D" w:rsidRPr="00C55D8A" w:rsidRDefault="006D311D" w:rsidP="00C22360">
      <w:pPr>
        <w:keepNext/>
        <w:tabs>
          <w:tab w:val="center" w:pos="0"/>
          <w:tab w:val="left" w:pos="1701"/>
        </w:tabs>
        <w:ind w:left="266" w:hanging="266"/>
        <w:rPr>
          <w:b/>
        </w:rPr>
      </w:pPr>
    </w:p>
    <w:p w:rsidR="006D311D" w:rsidRPr="00C55D8A" w:rsidRDefault="00CB3732" w:rsidP="00C22360">
      <w:pPr>
        <w:keepNext/>
        <w:tabs>
          <w:tab w:val="center" w:pos="0"/>
          <w:tab w:val="left" w:pos="1701"/>
        </w:tabs>
        <w:ind w:left="266" w:hanging="266"/>
      </w:pPr>
      <w:r w:rsidRPr="00C55D8A">
        <w:rPr>
          <w:b/>
        </w:rPr>
        <w:t>Relatore</w:t>
      </w:r>
      <w:r w:rsidR="006D311D" w:rsidRPr="00C55D8A">
        <w:rPr>
          <w:b/>
        </w:rPr>
        <w:t>:</w:t>
      </w:r>
      <w:r w:rsidR="006D311D" w:rsidRPr="00C55D8A">
        <w:tab/>
        <w:t>Alain COHEUR (Lavoratori - BE)</w:t>
      </w:r>
    </w:p>
    <w:p w:rsidR="006D311D" w:rsidRPr="00C55D8A" w:rsidRDefault="006D311D" w:rsidP="00C22360">
      <w:pPr>
        <w:keepNext/>
        <w:tabs>
          <w:tab w:val="center" w:pos="0"/>
          <w:tab w:val="left" w:pos="1701"/>
        </w:tabs>
        <w:ind w:left="266" w:hanging="266"/>
        <w:rPr>
          <w:b/>
        </w:rPr>
      </w:pPr>
    </w:p>
    <w:p w:rsidR="001D00DF" w:rsidRPr="00C55D8A" w:rsidRDefault="006D311D" w:rsidP="00C22360">
      <w:pPr>
        <w:keepNext/>
        <w:tabs>
          <w:tab w:val="center" w:pos="0"/>
          <w:tab w:val="left" w:pos="1701"/>
        </w:tabs>
        <w:ind w:left="266" w:hanging="266"/>
      </w:pPr>
      <w:r w:rsidRPr="00C55D8A">
        <w:rPr>
          <w:b/>
        </w:rPr>
        <w:t>Riferimenti:</w:t>
      </w:r>
      <w:r w:rsidRPr="00C55D8A">
        <w:tab/>
        <w:t>Parere d'iniziativa</w:t>
      </w:r>
    </w:p>
    <w:p w:rsidR="006D311D" w:rsidRPr="00C55D8A" w:rsidRDefault="006D311D">
      <w:pPr>
        <w:tabs>
          <w:tab w:val="center" w:pos="284"/>
        </w:tabs>
        <w:ind w:left="266" w:hanging="266"/>
      </w:pPr>
    </w:p>
    <w:p w:rsidR="006D311D" w:rsidRPr="00C55D8A" w:rsidRDefault="006D311D" w:rsidP="00C22360">
      <w:pPr>
        <w:keepNext/>
        <w:tabs>
          <w:tab w:val="center" w:pos="284"/>
        </w:tabs>
        <w:ind w:left="266" w:hanging="266"/>
        <w:rPr>
          <w:b/>
          <w:szCs w:val="22"/>
        </w:rPr>
      </w:pPr>
      <w:r w:rsidRPr="00C55D8A">
        <w:rPr>
          <w:b/>
        </w:rPr>
        <w:t>Punti chiave:</w:t>
      </w:r>
    </w:p>
    <w:p w:rsidR="00D97E9B" w:rsidRPr="00C55D8A" w:rsidRDefault="00D97E9B" w:rsidP="00C22360">
      <w:pPr>
        <w:keepNext/>
        <w:rPr>
          <w:szCs w:val="22"/>
        </w:rPr>
      </w:pPr>
    </w:p>
    <w:p w:rsidR="006D311D" w:rsidRPr="00C55D8A" w:rsidRDefault="006D311D" w:rsidP="00C22360">
      <w:pPr>
        <w:keepNext/>
        <w:rPr>
          <w:szCs w:val="22"/>
        </w:rPr>
      </w:pPr>
      <w:r w:rsidRPr="00C55D8A">
        <w:t>Il CESE ritiene che la parità di accesso all'assistenza sanitaria, che è uno degli obiettivi fondamentali delle politiche in materia, possa beneficiare dei vantaggi apportati dal digitale se vengono soddisfatte diverse condizioni:</w:t>
      </w:r>
    </w:p>
    <w:p w:rsidR="006D311D" w:rsidRPr="00C55D8A" w:rsidRDefault="006D311D" w:rsidP="00C22360">
      <w:pPr>
        <w:numPr>
          <w:ilvl w:val="0"/>
          <w:numId w:val="40"/>
        </w:numPr>
        <w:ind w:left="567" w:hanging="567"/>
        <w:contextualSpacing/>
        <w:rPr>
          <w:szCs w:val="22"/>
        </w:rPr>
      </w:pPr>
      <w:r w:rsidRPr="00C55D8A">
        <w:t>copertura territoriale omogenea;</w:t>
      </w:r>
    </w:p>
    <w:p w:rsidR="006D311D" w:rsidRPr="00C55D8A" w:rsidRDefault="006D311D" w:rsidP="00C22360">
      <w:pPr>
        <w:numPr>
          <w:ilvl w:val="0"/>
          <w:numId w:val="40"/>
        </w:numPr>
        <w:ind w:left="567" w:hanging="567"/>
        <w:contextualSpacing/>
        <w:rPr>
          <w:szCs w:val="22"/>
        </w:rPr>
      </w:pPr>
      <w:r w:rsidRPr="00C55D8A">
        <w:t>riduzione del divario digitale, in termini di utilizzo, tra cittadini, professionisti della sanità e operatori dei regimi di assicurazione malattia/sanitaria;</w:t>
      </w:r>
    </w:p>
    <w:p w:rsidR="006D311D" w:rsidRPr="00C55D8A" w:rsidRDefault="006D311D" w:rsidP="00C22360">
      <w:pPr>
        <w:numPr>
          <w:ilvl w:val="0"/>
          <w:numId w:val="40"/>
        </w:numPr>
        <w:ind w:left="567" w:hanging="567"/>
        <w:contextualSpacing/>
        <w:rPr>
          <w:szCs w:val="22"/>
        </w:rPr>
      </w:pPr>
      <w:r w:rsidRPr="00C55D8A">
        <w:t>interoperabilità dell'intera architettura digitale (basi di dati e dispositivi medici);</w:t>
      </w:r>
    </w:p>
    <w:p w:rsidR="006D311D" w:rsidRPr="00C55D8A" w:rsidRDefault="006D311D" w:rsidP="00C22360">
      <w:pPr>
        <w:numPr>
          <w:ilvl w:val="0"/>
          <w:numId w:val="40"/>
        </w:numPr>
        <w:ind w:left="567" w:hanging="567"/>
        <w:contextualSpacing/>
        <w:rPr>
          <w:szCs w:val="22"/>
        </w:rPr>
      </w:pPr>
      <w:r w:rsidRPr="00C55D8A">
        <w:t>protezione dei dati sanitari, i quali non possono in alcun caso essere utilizzati a scapito dei pazienti.</w:t>
      </w:r>
    </w:p>
    <w:p w:rsidR="006D311D" w:rsidRPr="00C55D8A" w:rsidRDefault="006D311D">
      <w:pPr>
        <w:jc w:val="left"/>
        <w:rPr>
          <w:szCs w:val="22"/>
        </w:rPr>
      </w:pPr>
    </w:p>
    <w:p w:rsidR="006D311D" w:rsidRPr="00C55D8A" w:rsidRDefault="006D311D" w:rsidP="00C22360">
      <w:pPr>
        <w:keepNext/>
        <w:rPr>
          <w:szCs w:val="22"/>
        </w:rPr>
      </w:pPr>
      <w:r w:rsidRPr="00C55D8A">
        <w:t>Il CESE sottolinea inoltre la necessità di:</w:t>
      </w:r>
    </w:p>
    <w:p w:rsidR="006D311D" w:rsidRPr="00C55D8A" w:rsidRDefault="006D311D" w:rsidP="00C22360">
      <w:pPr>
        <w:numPr>
          <w:ilvl w:val="0"/>
          <w:numId w:val="39"/>
        </w:numPr>
        <w:ind w:left="567" w:hanging="567"/>
        <w:contextualSpacing/>
        <w:rPr>
          <w:szCs w:val="22"/>
        </w:rPr>
      </w:pPr>
      <w:r w:rsidRPr="00C55D8A">
        <w:t>sviluppare e agevolare l'alfabetizzazione digitale sanitaria dei cittadini, al fine di incoraggiare un approccio critico verso l'informazione in materia sanitaria;</w:t>
      </w:r>
    </w:p>
    <w:p w:rsidR="006D311D" w:rsidRPr="00C55D8A" w:rsidRDefault="006D311D" w:rsidP="00C22360">
      <w:pPr>
        <w:numPr>
          <w:ilvl w:val="0"/>
          <w:numId w:val="39"/>
        </w:numPr>
        <w:ind w:left="567" w:hanging="567"/>
        <w:contextualSpacing/>
        <w:rPr>
          <w:szCs w:val="22"/>
        </w:rPr>
      </w:pPr>
      <w:r w:rsidRPr="00C55D8A">
        <w:t>garantire un'informazione di qualità in materia di salute, in particolare incoraggiando l'adozione di procedure di certificazione/accreditamento delle applicazioni per la salute;</w:t>
      </w:r>
    </w:p>
    <w:p w:rsidR="006D311D" w:rsidRPr="00C55D8A" w:rsidRDefault="006D311D" w:rsidP="00C22360">
      <w:pPr>
        <w:numPr>
          <w:ilvl w:val="0"/>
          <w:numId w:val="39"/>
        </w:numPr>
        <w:ind w:left="567" w:hanging="567"/>
        <w:contextualSpacing/>
        <w:rPr>
          <w:szCs w:val="22"/>
        </w:rPr>
      </w:pPr>
      <w:r w:rsidRPr="00C55D8A">
        <w:t>consolidare i rapporti di fiducia tra pazienti, professionisti della sanità e operatori dei regimi di assicurazione malattia/sanitaria;</w:t>
      </w:r>
    </w:p>
    <w:p w:rsidR="006D311D" w:rsidRPr="00C55D8A" w:rsidRDefault="006D311D" w:rsidP="00C22360">
      <w:pPr>
        <w:numPr>
          <w:ilvl w:val="0"/>
          <w:numId w:val="39"/>
        </w:numPr>
        <w:ind w:left="567" w:hanging="567"/>
        <w:contextualSpacing/>
        <w:rPr>
          <w:szCs w:val="22"/>
        </w:rPr>
      </w:pPr>
      <w:r w:rsidRPr="00C55D8A">
        <w:t>istituire un sistema di formazione adatto sia agli utenti che ai professionisti della sanità;</w:t>
      </w:r>
    </w:p>
    <w:p w:rsidR="006D311D" w:rsidRPr="00C55D8A" w:rsidRDefault="006D311D" w:rsidP="00C22360">
      <w:pPr>
        <w:numPr>
          <w:ilvl w:val="0"/>
          <w:numId w:val="39"/>
        </w:numPr>
        <w:ind w:left="567" w:hanging="567"/>
        <w:contextualSpacing/>
        <w:rPr>
          <w:szCs w:val="22"/>
        </w:rPr>
      </w:pPr>
      <w:r w:rsidRPr="00C55D8A">
        <w:t>sostenere l'evoluzione della nomenclatura delle cure rimborsabili e dei servizi per il benessere offerti tenendo conto delle innovazioni tecniche rese possibili dal digitale.</w:t>
      </w:r>
    </w:p>
    <w:p w:rsidR="006D311D" w:rsidRPr="00C55D8A" w:rsidRDefault="006D311D">
      <w:pPr>
        <w:rPr>
          <w:szCs w:val="24"/>
        </w:rPr>
      </w:pPr>
    </w:p>
    <w:p w:rsidR="006D311D" w:rsidRPr="00C55D8A" w:rsidRDefault="006D311D" w:rsidP="00C22360">
      <w:pPr>
        <w:keepNext/>
        <w:tabs>
          <w:tab w:val="left" w:pos="1134"/>
        </w:tabs>
        <w:textAlignment w:val="auto"/>
        <w:rPr>
          <w:i/>
        </w:rPr>
      </w:pPr>
      <w:r w:rsidRPr="00C55D8A">
        <w:rPr>
          <w:b/>
          <w:i/>
        </w:rPr>
        <w:t>Persona da contattare:</w:t>
      </w:r>
      <w:r w:rsidR="00790AF5" w:rsidRPr="00C55D8A">
        <w:tab/>
      </w:r>
      <w:r w:rsidRPr="00C55D8A">
        <w:rPr>
          <w:i/>
        </w:rPr>
        <w:t>Jana Valant</w:t>
      </w:r>
    </w:p>
    <w:p w:rsidR="00E643F2" w:rsidRPr="00C55D8A" w:rsidRDefault="001D00DF">
      <w:pPr>
        <w:tabs>
          <w:tab w:val="left" w:pos="1134"/>
        </w:tabs>
      </w:pPr>
      <w:r w:rsidRPr="00C55D8A">
        <w:tab/>
      </w:r>
      <w:r w:rsidRPr="00C55D8A">
        <w:rPr>
          <w:i/>
        </w:rPr>
        <w:t>(</w:t>
      </w:r>
      <w:r w:rsidR="00CB3732" w:rsidRPr="00C55D8A">
        <w:rPr>
          <w:i/>
        </w:rPr>
        <w:t>Tel.:</w:t>
      </w:r>
      <w:r w:rsidRPr="00C55D8A">
        <w:rPr>
          <w:i/>
        </w:rPr>
        <w:t xml:space="preserve"> 00 32 2 546 89 24 – e-mail: </w:t>
      </w:r>
      <w:hyperlink r:id="rId28">
        <w:r w:rsidRPr="00C55D8A">
          <w:rPr>
            <w:i/>
            <w:color w:val="0000FF"/>
            <w:u w:val="single"/>
          </w:rPr>
          <w:t>jana.valant@eesc.europa.eu</w:t>
        </w:r>
      </w:hyperlink>
    </w:p>
    <w:p w:rsidR="00556040" w:rsidRPr="00C55D8A" w:rsidRDefault="00556040">
      <w:bookmarkStart w:id="24" w:name="_Toc487801298"/>
      <w:bookmarkStart w:id="25" w:name="_Toc487801299"/>
      <w:bookmarkStart w:id="26" w:name="_Toc487801301"/>
      <w:bookmarkStart w:id="27" w:name="_Toc486584266"/>
      <w:bookmarkStart w:id="28" w:name="_Toc486584330"/>
      <w:bookmarkStart w:id="29" w:name="_Toc486584418"/>
      <w:bookmarkStart w:id="30" w:name="_Toc486584603"/>
      <w:bookmarkEnd w:id="24"/>
      <w:bookmarkEnd w:id="25"/>
      <w:bookmarkEnd w:id="26"/>
      <w:bookmarkEnd w:id="27"/>
      <w:bookmarkEnd w:id="28"/>
      <w:bookmarkEnd w:id="29"/>
      <w:bookmarkEnd w:id="30"/>
    </w:p>
    <w:p w:rsidR="00921023" w:rsidRPr="00C55D8A" w:rsidRDefault="00921023">
      <w:pPr>
        <w:overflowPunct/>
        <w:autoSpaceDE/>
        <w:autoSpaceDN/>
        <w:adjustRightInd/>
        <w:spacing w:line="240" w:lineRule="auto"/>
        <w:jc w:val="left"/>
        <w:textAlignment w:val="auto"/>
      </w:pPr>
      <w:bookmarkStart w:id="31" w:name="_Toc487801303"/>
      <w:bookmarkStart w:id="32" w:name="_Toc487801304"/>
      <w:bookmarkStart w:id="33" w:name="_Toc486584268"/>
      <w:bookmarkStart w:id="34" w:name="_Toc486584332"/>
      <w:bookmarkStart w:id="35" w:name="_Toc486584420"/>
      <w:bookmarkStart w:id="36" w:name="_Toc486584605"/>
      <w:bookmarkEnd w:id="31"/>
      <w:bookmarkEnd w:id="32"/>
      <w:bookmarkEnd w:id="33"/>
      <w:bookmarkEnd w:id="34"/>
      <w:bookmarkEnd w:id="35"/>
      <w:bookmarkEnd w:id="36"/>
      <w:r w:rsidRPr="00C55D8A">
        <w:br w:type="page"/>
      </w:r>
    </w:p>
    <w:p w:rsidR="00B50F6E" w:rsidRPr="00C55D8A" w:rsidRDefault="00B50F6E" w:rsidP="00C22360">
      <w:pPr>
        <w:pStyle w:val="Heading1"/>
        <w:keepNext/>
        <w:ind w:left="567" w:hanging="567"/>
        <w:rPr>
          <w:b/>
          <w:caps/>
        </w:rPr>
      </w:pPr>
      <w:bookmarkStart w:id="37" w:name="_Toc494363435"/>
      <w:bookmarkStart w:id="38" w:name="_Toc494368883"/>
      <w:bookmarkStart w:id="39" w:name="_Toc487801306"/>
      <w:bookmarkStart w:id="40" w:name="_Toc486584270"/>
      <w:bookmarkStart w:id="41" w:name="_Toc486584334"/>
      <w:bookmarkStart w:id="42" w:name="_Toc486584422"/>
      <w:bookmarkStart w:id="43" w:name="_Toc486584607"/>
      <w:bookmarkStart w:id="44" w:name="_Toc487801308"/>
      <w:bookmarkStart w:id="45" w:name="_Toc487801309"/>
      <w:bookmarkStart w:id="46" w:name="_Toc486584272"/>
      <w:bookmarkStart w:id="47" w:name="_Toc486584336"/>
      <w:bookmarkStart w:id="48" w:name="_Toc486584424"/>
      <w:bookmarkStart w:id="49" w:name="_Toc486584609"/>
      <w:bookmarkStart w:id="50" w:name="_Toc494368884"/>
      <w:bookmarkStart w:id="51" w:name="_Toc495072162"/>
      <w:bookmarkEnd w:id="37"/>
      <w:bookmarkEnd w:id="38"/>
      <w:bookmarkEnd w:id="39"/>
      <w:bookmarkEnd w:id="40"/>
      <w:bookmarkEnd w:id="41"/>
      <w:bookmarkEnd w:id="42"/>
      <w:bookmarkEnd w:id="43"/>
      <w:bookmarkEnd w:id="44"/>
      <w:bookmarkEnd w:id="45"/>
      <w:bookmarkEnd w:id="46"/>
      <w:bookmarkEnd w:id="47"/>
      <w:bookmarkEnd w:id="48"/>
      <w:bookmarkEnd w:id="49"/>
      <w:r w:rsidRPr="00C55D8A">
        <w:rPr>
          <w:b/>
          <w:caps/>
        </w:rPr>
        <w:t>LAVORO/AFFARI SOCIALI</w:t>
      </w:r>
      <w:bookmarkEnd w:id="50"/>
      <w:bookmarkEnd w:id="51"/>
    </w:p>
    <w:p w:rsidR="00BA72BD" w:rsidRPr="00C55D8A" w:rsidRDefault="00BA72BD" w:rsidP="00C22360">
      <w:pPr>
        <w:keepNext/>
        <w:rPr>
          <w:sz w:val="16"/>
          <w:szCs w:val="16"/>
        </w:rPr>
      </w:pPr>
    </w:p>
    <w:p w:rsidR="00BA72BD" w:rsidRPr="00C55D8A" w:rsidRDefault="00BA72BD" w:rsidP="00CC19E0">
      <w:pPr>
        <w:pStyle w:val="ListParagraph"/>
        <w:keepNext/>
        <w:numPr>
          <w:ilvl w:val="0"/>
          <w:numId w:val="67"/>
        </w:numPr>
        <w:rPr>
          <w:b/>
          <w:bCs/>
          <w:i/>
          <w:iCs/>
          <w:sz w:val="28"/>
          <w:szCs w:val="28"/>
        </w:rPr>
      </w:pPr>
      <w:r w:rsidRPr="00C55D8A">
        <w:rPr>
          <w:b/>
          <w:i/>
          <w:sz w:val="28"/>
        </w:rPr>
        <w:t>Il ruolo delle parti sociali e delle organizzazioni della società civile nelle nuove forme di occupazione</w:t>
      </w:r>
    </w:p>
    <w:p w:rsidR="00BA72BD" w:rsidRPr="00C55D8A" w:rsidRDefault="00BA72BD" w:rsidP="00C22360">
      <w:pPr>
        <w:keepNext/>
        <w:rPr>
          <w:sz w:val="16"/>
          <w:szCs w:val="16"/>
        </w:rPr>
      </w:pPr>
    </w:p>
    <w:p w:rsidR="00BA72BD" w:rsidRPr="00C55D8A" w:rsidRDefault="00CB3732" w:rsidP="00C22360">
      <w:pPr>
        <w:keepNext/>
        <w:tabs>
          <w:tab w:val="left" w:pos="1701"/>
        </w:tabs>
      </w:pPr>
      <w:r w:rsidRPr="00C55D8A">
        <w:rPr>
          <w:b/>
        </w:rPr>
        <w:t>Relatrice</w:t>
      </w:r>
      <w:r w:rsidR="00BA72BD" w:rsidRPr="00C55D8A">
        <w:rPr>
          <w:b/>
        </w:rPr>
        <w:t>:</w:t>
      </w:r>
      <w:r w:rsidR="00BA72BD" w:rsidRPr="00C55D8A">
        <w:tab/>
        <w:t>Franca SALIS-MADINIER (FR/II)</w:t>
      </w:r>
    </w:p>
    <w:p w:rsidR="00BA72BD" w:rsidRPr="00C55D8A" w:rsidRDefault="00CB3732" w:rsidP="00C22360">
      <w:pPr>
        <w:keepNext/>
        <w:tabs>
          <w:tab w:val="left" w:pos="1701"/>
        </w:tabs>
        <w:ind w:left="-5"/>
        <w:rPr>
          <w:bCs/>
        </w:rPr>
      </w:pPr>
      <w:r w:rsidRPr="00C55D8A">
        <w:rPr>
          <w:b/>
        </w:rPr>
        <w:t>Correlatore</w:t>
      </w:r>
      <w:r w:rsidR="00BA72BD" w:rsidRPr="00C55D8A">
        <w:tab/>
        <w:t>Jukka AHTELA (FI-I)</w:t>
      </w:r>
    </w:p>
    <w:p w:rsidR="00BA72BD" w:rsidRPr="00C55D8A" w:rsidRDefault="00BA72BD" w:rsidP="00C22360">
      <w:pPr>
        <w:keepNext/>
        <w:tabs>
          <w:tab w:val="left" w:pos="1701"/>
        </w:tabs>
        <w:ind w:left="-5"/>
        <w:rPr>
          <w:b/>
          <w:bCs/>
          <w:sz w:val="16"/>
          <w:szCs w:val="16"/>
        </w:rPr>
      </w:pPr>
    </w:p>
    <w:p w:rsidR="00BA72BD" w:rsidRPr="00C55D8A" w:rsidRDefault="00BA72BD">
      <w:pPr>
        <w:tabs>
          <w:tab w:val="left" w:pos="1701"/>
        </w:tabs>
        <w:ind w:left="-5"/>
      </w:pPr>
      <w:r w:rsidRPr="00C55D8A">
        <w:rPr>
          <w:b/>
        </w:rPr>
        <w:t>Riferimento:</w:t>
      </w:r>
      <w:r w:rsidRPr="00C55D8A">
        <w:tab/>
        <w:t>EESC-2017-01866-00-00-AS-TRA</w:t>
      </w:r>
    </w:p>
    <w:p w:rsidR="00BA72BD" w:rsidRPr="00C55D8A" w:rsidRDefault="00BA72BD">
      <w:pPr>
        <w:tabs>
          <w:tab w:val="left" w:pos="0"/>
        </w:tabs>
        <w:ind w:left="364" w:hanging="369"/>
        <w:rPr>
          <w:sz w:val="16"/>
          <w:szCs w:val="16"/>
        </w:rPr>
      </w:pPr>
    </w:p>
    <w:p w:rsidR="00BA72BD" w:rsidRPr="00C55D8A" w:rsidRDefault="00BA72BD" w:rsidP="00C22360">
      <w:pPr>
        <w:keepNext/>
        <w:ind w:left="-5"/>
        <w:rPr>
          <w:b/>
        </w:rPr>
      </w:pPr>
      <w:r w:rsidRPr="00C55D8A">
        <w:rPr>
          <w:b/>
        </w:rPr>
        <w:t>Punti chiave:</w:t>
      </w:r>
    </w:p>
    <w:p w:rsidR="001E5961" w:rsidRPr="00C55D8A" w:rsidRDefault="001E5961" w:rsidP="00C22360">
      <w:pPr>
        <w:keepNext/>
        <w:ind w:left="-5"/>
        <w:rPr>
          <w:b/>
          <w:sz w:val="16"/>
          <w:szCs w:val="16"/>
        </w:rPr>
      </w:pPr>
    </w:p>
    <w:p w:rsidR="00BA72BD" w:rsidRPr="00C55D8A" w:rsidRDefault="00BA72BD" w:rsidP="00C22360">
      <w:pPr>
        <w:numPr>
          <w:ilvl w:val="0"/>
          <w:numId w:val="42"/>
        </w:numPr>
        <w:tabs>
          <w:tab w:val="clear" w:pos="850"/>
        </w:tabs>
        <w:ind w:left="567" w:hanging="567"/>
        <w:outlineLvl w:val="1"/>
      </w:pPr>
      <w:r w:rsidRPr="00C55D8A">
        <w:t>Il CESE ritiene più che mai necessario riconoscere il ruolo che svolgono il dialogo sociale (i cui obiettivi e principi fondamentali conservano tutta la loro validità) e la contrattazione collettiva a tutti i livelli, in un periodo, come l'attuale, di grandi trasformazioni in campo digitale, ambientale e demografico, che inducono a loro volta dei profondi cambiamenti tanto per i lavoratori quanto per i datori di lavoro, oltre che per le loro relazioni reciproche in quanto parti sociali.</w:t>
      </w:r>
    </w:p>
    <w:p w:rsidR="00BA72BD" w:rsidRPr="00C55D8A" w:rsidRDefault="00BA72BD" w:rsidP="00C22360">
      <w:pPr>
        <w:numPr>
          <w:ilvl w:val="0"/>
          <w:numId w:val="42"/>
        </w:numPr>
        <w:tabs>
          <w:tab w:val="clear" w:pos="850"/>
        </w:tabs>
        <w:ind w:left="567" w:hanging="567"/>
        <w:outlineLvl w:val="1"/>
      </w:pPr>
      <w:r w:rsidRPr="00C55D8A">
        <w:t>Il CESE ritiene che, nella fase attuale, sia impossibile anticipare tutte le opportunità e le sfide future dell'economia digitale. Il ruolo del dialogo sociale e, più in generale, nell'ambito socioculturale non consiste nell'opporsi a questi mutamenti, bensì nell'imprimere loro il miglior orientamento possibile per sfruttare tutti i benefici che tali trasformazioni possono apportare per la crescita, per la promozione delle innovazioni e delle competenze, per un'occupazione di qualità e per il finanziamento sostenibile e solidale della protezione sociale, garantendo nel contempo ai cittadini l'esercizio dei diritti fondamentali sanciti dalla Carta dei diritti fondamentali dell'Unione europea e dalle convenzioni dell'OIL.</w:t>
      </w:r>
    </w:p>
    <w:p w:rsidR="00BA72BD" w:rsidRPr="00C55D8A" w:rsidRDefault="00BA72BD" w:rsidP="00C22360">
      <w:pPr>
        <w:numPr>
          <w:ilvl w:val="0"/>
          <w:numId w:val="42"/>
        </w:numPr>
        <w:tabs>
          <w:tab w:val="clear" w:pos="850"/>
        </w:tabs>
        <w:ind w:left="567" w:hanging="567"/>
        <w:outlineLvl w:val="1"/>
      </w:pPr>
      <w:r w:rsidRPr="00C55D8A">
        <w:t>Il digitale mette in discussione i metodi tradizionali di gestione e di direzione aziendale, oltre a richiedere una gestione partecipativa, la definizione di "regole del gioco" collettive e l'adeguamento delle strutture e delle modalità del dialogo sociale.</w:t>
      </w:r>
    </w:p>
    <w:p w:rsidR="00BA72BD" w:rsidRPr="00C55D8A" w:rsidRDefault="00BA72BD" w:rsidP="00C22360">
      <w:pPr>
        <w:numPr>
          <w:ilvl w:val="0"/>
          <w:numId w:val="42"/>
        </w:numPr>
        <w:tabs>
          <w:tab w:val="clear" w:pos="850"/>
        </w:tabs>
        <w:ind w:left="567" w:hanging="567"/>
        <w:outlineLvl w:val="1"/>
      </w:pPr>
      <w:r w:rsidRPr="00C55D8A">
        <w:t>Il CESE raccomanda di rispettare l'autonomia delle parti sociali che, attraverso la contrattazione collettiva, si sono impegnate a immaginare forme innovative di dialogo sociale e a fornire risposte adeguate alle esigenze sia dei datori di lavoro che dei lavoratori, tanto nelle imprese tradizionali quanto nell'ambito delle piattaforme digitali. Nel parere il CESE illustra una serie di prime iniziative sperimentali, risposte e soluzioni innovative, pratiche sindacali e risultati di contrattazioni collettive che rispondono alle sfide poste dai cambiamenti sopra descritti. Viene inoltre sollevata la questione di una maggiore cooperazione tra le parti sociali e le altre organizzazioni della società civile, ad esempio mediante concertazioni ad ampio raggio a livello governativo nel cui ambito anche altri soggetti interessati della società civile siano associati alle discussioni più generali sull'impatto globale del digitale. La digitalizzazione e i suoi effetti sul lavoro devono rappresentare una priorità. Il CESE raccomanda: a) di monitorare gli sviluppi in questo campo e il loro impatto sulle relazioni industriali, le condizioni di lavoro e il dialogo sociale; e b) di rafforzare l'efficacia e la pertinenza del dialogo sociale attraverso lo scambio di informazioni, la realizzazione di studi prospettivi, la condivisione delle buone pratiche e un quadro sia giuridico che non giuridico adeguato.</w:t>
      </w:r>
    </w:p>
    <w:p w:rsidR="00BA72BD" w:rsidRPr="00C55D8A" w:rsidRDefault="00BA72BD">
      <w:pPr>
        <w:tabs>
          <w:tab w:val="left" w:pos="1701"/>
        </w:tabs>
        <w:rPr>
          <w:sz w:val="16"/>
          <w:szCs w:val="16"/>
        </w:rPr>
      </w:pPr>
    </w:p>
    <w:p w:rsidR="00BA72BD" w:rsidRPr="00C55D8A" w:rsidRDefault="00BA72BD" w:rsidP="00C22360">
      <w:pPr>
        <w:keepNext/>
        <w:tabs>
          <w:tab w:val="left" w:pos="1134"/>
        </w:tabs>
        <w:ind w:left="1134" w:hanging="1134"/>
        <w:rPr>
          <w:i/>
          <w:iCs/>
          <w:szCs w:val="22"/>
        </w:rPr>
      </w:pPr>
      <w:r w:rsidRPr="00C55D8A">
        <w:rPr>
          <w:b/>
          <w:i/>
        </w:rPr>
        <w:t>Persona da contattare:</w:t>
      </w:r>
      <w:r w:rsidR="006E59BE" w:rsidRPr="00C55D8A">
        <w:rPr>
          <w:b/>
          <w:i/>
        </w:rPr>
        <w:tab/>
      </w:r>
      <w:r w:rsidRPr="00C55D8A">
        <w:rPr>
          <w:i/>
        </w:rPr>
        <w:t>June Bedaton</w:t>
      </w:r>
    </w:p>
    <w:p w:rsidR="00D96879" w:rsidRPr="00C55D8A" w:rsidRDefault="001D00DF" w:rsidP="00CB3732">
      <w:pPr>
        <w:tabs>
          <w:tab w:val="left" w:pos="1134"/>
        </w:tabs>
        <w:rPr>
          <w:i/>
          <w:iCs/>
          <w:szCs w:val="22"/>
        </w:rPr>
      </w:pPr>
      <w:r w:rsidRPr="00C55D8A">
        <w:tab/>
      </w:r>
      <w:r w:rsidRPr="00C55D8A">
        <w:rPr>
          <w:i/>
        </w:rPr>
        <w:t>(</w:t>
      </w:r>
      <w:r w:rsidR="00CB3732" w:rsidRPr="00C55D8A">
        <w:rPr>
          <w:i/>
        </w:rPr>
        <w:t>Tel.:</w:t>
      </w:r>
      <w:r w:rsidRPr="00C55D8A">
        <w:rPr>
          <w:i/>
        </w:rPr>
        <w:t xml:space="preserve"> 0032 2 546 8134 – </w:t>
      </w:r>
      <w:r w:rsidR="00CB3732" w:rsidRPr="00C55D8A">
        <w:rPr>
          <w:i/>
        </w:rPr>
        <w:t>email</w:t>
      </w:r>
      <w:r w:rsidRPr="00C55D8A">
        <w:rPr>
          <w:i/>
        </w:rPr>
        <w:t xml:space="preserve">: </w:t>
      </w:r>
      <w:hyperlink r:id="rId29">
        <w:r w:rsidRPr="00C55D8A">
          <w:rPr>
            <w:i/>
            <w:color w:val="0000FF"/>
            <w:u w:val="single"/>
          </w:rPr>
          <w:t>june.bedaton@eesc.europa.eu</w:t>
        </w:r>
      </w:hyperlink>
      <w:r w:rsidRPr="00C55D8A">
        <w:rPr>
          <w:i/>
        </w:rPr>
        <w:t>)</w:t>
      </w:r>
      <w:r w:rsidR="00D96879" w:rsidRPr="00C55D8A">
        <w:br w:type="page"/>
      </w:r>
    </w:p>
    <w:p w:rsidR="00BA72BD" w:rsidRPr="00C55D8A" w:rsidRDefault="00BA72BD" w:rsidP="00CC19E0">
      <w:pPr>
        <w:keepNext/>
        <w:numPr>
          <w:ilvl w:val="0"/>
          <w:numId w:val="68"/>
        </w:numPr>
        <w:rPr>
          <w:b/>
          <w:bCs/>
          <w:i/>
          <w:iCs/>
          <w:sz w:val="28"/>
          <w:szCs w:val="28"/>
        </w:rPr>
      </w:pPr>
      <w:r w:rsidRPr="00C55D8A">
        <w:rPr>
          <w:b/>
          <w:i/>
          <w:sz w:val="28"/>
        </w:rPr>
        <w:t>Competenze/Nuove forme di occupazione</w:t>
      </w:r>
    </w:p>
    <w:p w:rsidR="00BA72BD" w:rsidRPr="00C55D8A" w:rsidRDefault="00BA72BD" w:rsidP="00C22360">
      <w:pPr>
        <w:keepNext/>
      </w:pPr>
    </w:p>
    <w:p w:rsidR="00BA72BD" w:rsidRPr="00C55D8A" w:rsidRDefault="00CB3732" w:rsidP="00C22360">
      <w:pPr>
        <w:keepNext/>
        <w:tabs>
          <w:tab w:val="left" w:pos="1701"/>
        </w:tabs>
        <w:rPr>
          <w:szCs w:val="22"/>
        </w:rPr>
      </w:pPr>
      <w:r w:rsidRPr="00C55D8A">
        <w:rPr>
          <w:b/>
        </w:rPr>
        <w:t>Relatore</w:t>
      </w:r>
      <w:r w:rsidR="00BA72BD" w:rsidRPr="00C55D8A">
        <w:rPr>
          <w:b/>
        </w:rPr>
        <w:t>:</w:t>
      </w:r>
      <w:r w:rsidR="00BA72BD" w:rsidRPr="00C55D8A">
        <w:t xml:space="preserve"> </w:t>
      </w:r>
      <w:r w:rsidR="00BA72BD" w:rsidRPr="00C55D8A">
        <w:tab/>
        <w:t>Ulrich SAMM (</w:t>
      </w:r>
      <w:r w:rsidR="00525DF8" w:rsidRPr="00C55D8A">
        <w:t xml:space="preserve">Datori di lavoro - </w:t>
      </w:r>
      <w:r w:rsidR="00BA72BD" w:rsidRPr="00C55D8A">
        <w:t>DE)</w:t>
      </w:r>
    </w:p>
    <w:p w:rsidR="00BA72BD" w:rsidRPr="00C55D8A" w:rsidRDefault="00BA72BD" w:rsidP="00C22360">
      <w:pPr>
        <w:keepNext/>
        <w:tabs>
          <w:tab w:val="left" w:pos="1701"/>
        </w:tabs>
        <w:ind w:left="-5"/>
        <w:rPr>
          <w:b/>
          <w:bCs/>
        </w:rPr>
      </w:pPr>
    </w:p>
    <w:p w:rsidR="00BA72BD" w:rsidRPr="00C55D8A" w:rsidRDefault="00BA72BD" w:rsidP="00C22360">
      <w:pPr>
        <w:keepNext/>
        <w:tabs>
          <w:tab w:val="left" w:pos="1701"/>
        </w:tabs>
        <w:ind w:left="-5"/>
      </w:pPr>
      <w:r w:rsidRPr="00C55D8A">
        <w:rPr>
          <w:b/>
        </w:rPr>
        <w:t>Riferimento:</w:t>
      </w:r>
      <w:r w:rsidRPr="00C55D8A">
        <w:tab/>
        <w:t>EESC-2017-01813-00-00-AS-TRA</w:t>
      </w:r>
    </w:p>
    <w:p w:rsidR="00BA72BD" w:rsidRPr="00C55D8A" w:rsidRDefault="00BA72BD" w:rsidP="00C22360">
      <w:pPr>
        <w:keepNext/>
        <w:tabs>
          <w:tab w:val="left" w:pos="0"/>
        </w:tabs>
        <w:ind w:left="364" w:hanging="369"/>
      </w:pPr>
    </w:p>
    <w:p w:rsidR="00BA72BD" w:rsidRPr="00C55D8A" w:rsidRDefault="00BA72BD" w:rsidP="00C22360">
      <w:pPr>
        <w:keepNext/>
        <w:ind w:left="-5"/>
        <w:rPr>
          <w:b/>
        </w:rPr>
      </w:pPr>
      <w:r w:rsidRPr="00C55D8A">
        <w:rPr>
          <w:b/>
        </w:rPr>
        <w:t>Punti chiave:</w:t>
      </w:r>
    </w:p>
    <w:p w:rsidR="001E5961" w:rsidRPr="00C55D8A" w:rsidRDefault="001E5961" w:rsidP="00C22360">
      <w:pPr>
        <w:keepNext/>
        <w:ind w:left="-5"/>
      </w:pPr>
    </w:p>
    <w:p w:rsidR="00BA72BD" w:rsidRPr="00C55D8A" w:rsidRDefault="00BA72BD" w:rsidP="00C22360">
      <w:pPr>
        <w:numPr>
          <w:ilvl w:val="0"/>
          <w:numId w:val="42"/>
        </w:numPr>
        <w:tabs>
          <w:tab w:val="clear" w:pos="850"/>
        </w:tabs>
        <w:ind w:left="567" w:hanging="567"/>
        <w:outlineLvl w:val="1"/>
      </w:pPr>
      <w:r w:rsidRPr="00C55D8A">
        <w:t>Grazie alla disponibilità di reti a banda larga ad altissima capacità, in futuro si affermerà un numero crescente di forme di lavoro atipico. Il CESE sottolinea che, in vista di tale aumento del lavoro atipico, nel cui ambito spesso i lavoratori non hanno accesso ai programmi di formazione tradizionali all'interno delle aziende, occorre attribuire la massima priorità all'erogazione delle prestazioni di sicurezza sociale e alla lotta alla povertà e che i rischi sociali devono essere affrontati tramite un'azione coordinata di tutti gli interessati, comprese le parti sociali e le imprese. In tale contesto, il CESE auspica che alcune iniziative nazionali dei sindacati e della società civile volte a fornire orientamenti ai "crowdworker" siano fatte proprie dalla Commissione e applicate a livello europeo. Sarà necessario affrontare la crescente asimmetria informativa tra i consumatori e le imprese ricorrendo a metodi quali, ad esempio, i codici deontologici per le libere professioni.</w:t>
      </w:r>
    </w:p>
    <w:p w:rsidR="00BA72BD" w:rsidRPr="00C55D8A" w:rsidRDefault="00BA72BD"/>
    <w:p w:rsidR="00BA72BD" w:rsidRPr="00C55D8A" w:rsidRDefault="00BA72BD">
      <w:r w:rsidRPr="00C55D8A">
        <w:t>L'automazione e i robot avranno inoltre un impatto significativo sul futuro del lavoro; tali dispositivi possono sostituire gli umani nelle attività ripetitive, faticose o pericolose ed essere particolarmente utili per le persone con disabilità fisiche; essi hanno il potenziale per stabilizzare l'economia in una società che invecchia. Un numero significativo di posti di lavoro sarà interessato dall'introduzione dei robot nell'ambiente di lavoro. Per questo motivo bisognerà lanciare un dialogo sociale in una fase precoce.</w:t>
      </w:r>
    </w:p>
    <w:p w:rsidR="00BA72BD" w:rsidRPr="00C55D8A" w:rsidRDefault="00BA72BD"/>
    <w:p w:rsidR="00BA72BD" w:rsidRPr="00C55D8A" w:rsidRDefault="00BA72BD">
      <w:r w:rsidRPr="00C55D8A">
        <w:t>Tenuto conto di queste sfide, il CESE è del parere che, perché l'Europa resti competitiva, riesca a creare nuove imprese e occupazione, consenta ai suoi cittadini di rimanere integrati nel mercato del lavoro per tutta la loro vita professionale e garantisca benessere per tutti, occorre dare la priorità allo sviluppo di competenze adeguate. Le future competenze dovrebbero rispondere alle esigenze della società e alle richieste del mercato del lavoro. L'apprendimento lungo tutto l'arco della vita sarà una necessità per tutti, e molto più tempo dovrà essere dedicato alla formazione professionale e all'apprendimento informale. Più specificamente, le organizzazioni pubbliche e private devono garantire una formazione professionale nel campo delle nuove tecnologie, specie per i soggetti che non hanno la capacità di organizzare essi stessi dei corsi di formazione, come le PMI, le libere professioni e i lavoratori autonomi Gli sviluppi a lungo termine, in grado di creare sfide nuove e imprevedibili a fronte delle quali le attuali competenze rischiano di diventare rapidamente obsolete, possono essere affrontati al meglio tramite l'istruzione generale. Il CESE ritiene che la preparazione qualitativa di educatori e insegnanti, pertanto, diventerà fondamentale, come pure il loro statuto in termini di flessibilità professionale, retribuzione e garanzie sociali.</w:t>
      </w:r>
    </w:p>
    <w:p w:rsidR="00BA72BD" w:rsidRPr="00C55D8A" w:rsidRDefault="00BA72BD"/>
    <w:p w:rsidR="00BA72BD" w:rsidRPr="00C55D8A" w:rsidRDefault="00BA72BD" w:rsidP="00C22360">
      <w:pPr>
        <w:keepNext/>
        <w:ind w:left="1134" w:hanging="1134"/>
        <w:rPr>
          <w:i/>
          <w:iCs/>
          <w:szCs w:val="22"/>
        </w:rPr>
      </w:pPr>
      <w:r w:rsidRPr="00C55D8A">
        <w:rPr>
          <w:b/>
          <w:i/>
        </w:rPr>
        <w:t>Persona da contattare:</w:t>
      </w:r>
      <w:r w:rsidR="006E59BE" w:rsidRPr="00C55D8A">
        <w:rPr>
          <w:b/>
          <w:i/>
        </w:rPr>
        <w:tab/>
      </w:r>
      <w:r w:rsidRPr="00C55D8A">
        <w:rPr>
          <w:i/>
        </w:rPr>
        <w:t>Natalia Agapiou</w:t>
      </w:r>
    </w:p>
    <w:p w:rsidR="00211FF4" w:rsidRPr="00C55D8A" w:rsidRDefault="001D00DF">
      <w:pPr>
        <w:ind w:left="1134" w:hanging="1134"/>
        <w:rPr>
          <w:i/>
          <w:iCs/>
          <w:szCs w:val="22"/>
        </w:rPr>
      </w:pPr>
      <w:r w:rsidRPr="00C55D8A">
        <w:tab/>
      </w:r>
      <w:r w:rsidRPr="00C55D8A">
        <w:rPr>
          <w:i/>
        </w:rPr>
        <w:t>(</w:t>
      </w:r>
      <w:r w:rsidR="00CB3732" w:rsidRPr="00C55D8A">
        <w:rPr>
          <w:i/>
        </w:rPr>
        <w:t>Tel.:</w:t>
      </w:r>
      <w:r w:rsidRPr="00C55D8A">
        <w:rPr>
          <w:i/>
        </w:rPr>
        <w:t xml:space="preserve"> 0032 2 546 9627 – </w:t>
      </w:r>
      <w:r w:rsidR="00CB3732" w:rsidRPr="00C55D8A">
        <w:rPr>
          <w:i/>
        </w:rPr>
        <w:t>email</w:t>
      </w:r>
      <w:r w:rsidRPr="00C55D8A">
        <w:rPr>
          <w:i/>
        </w:rPr>
        <w:t xml:space="preserve">: </w:t>
      </w:r>
      <w:hyperlink r:id="rId30">
        <w:r w:rsidRPr="00C55D8A">
          <w:rPr>
            <w:i/>
            <w:color w:val="0000FF"/>
            <w:u w:val="single"/>
          </w:rPr>
          <w:t>natalia.agapiou@eesc.europa.eu</w:t>
        </w:r>
      </w:hyperlink>
      <w:r w:rsidRPr="00C55D8A">
        <w:rPr>
          <w:i/>
        </w:rPr>
        <w:t>)</w:t>
      </w:r>
    </w:p>
    <w:p w:rsidR="00211FF4" w:rsidRPr="00C55D8A" w:rsidRDefault="00211FF4">
      <w:pPr>
        <w:overflowPunct/>
        <w:autoSpaceDE/>
        <w:autoSpaceDN/>
        <w:adjustRightInd/>
        <w:spacing w:line="240" w:lineRule="auto"/>
        <w:jc w:val="left"/>
        <w:textAlignment w:val="auto"/>
        <w:rPr>
          <w:i/>
          <w:iCs/>
          <w:szCs w:val="22"/>
        </w:rPr>
      </w:pPr>
      <w:r w:rsidRPr="00C55D8A">
        <w:br w:type="page"/>
      </w:r>
    </w:p>
    <w:p w:rsidR="007F2384" w:rsidRPr="00C55D8A" w:rsidRDefault="006A31EB" w:rsidP="00C22360">
      <w:pPr>
        <w:pStyle w:val="Heading1"/>
        <w:keepNext/>
        <w:ind w:left="567" w:hanging="567"/>
        <w:rPr>
          <w:b/>
          <w:caps/>
        </w:rPr>
      </w:pPr>
      <w:bookmarkStart w:id="52" w:name="_Toc494363437"/>
      <w:bookmarkStart w:id="53" w:name="_Toc494368885"/>
      <w:bookmarkStart w:id="54" w:name="_Toc494363438"/>
      <w:bookmarkStart w:id="55" w:name="_Toc494368886"/>
      <w:bookmarkStart w:id="56" w:name="_Toc494363439"/>
      <w:bookmarkStart w:id="57" w:name="_Toc494368887"/>
      <w:bookmarkStart w:id="58" w:name="_Toc487801320"/>
      <w:bookmarkStart w:id="59" w:name="_Toc487801321"/>
      <w:bookmarkStart w:id="60" w:name="_Toc486584290"/>
      <w:bookmarkStart w:id="61" w:name="_Toc486584353"/>
      <w:bookmarkStart w:id="62" w:name="_Toc486584439"/>
      <w:bookmarkStart w:id="63" w:name="_Toc486584619"/>
      <w:bookmarkStart w:id="64" w:name="_Toc486584291"/>
      <w:bookmarkStart w:id="65" w:name="_Toc486584354"/>
      <w:bookmarkStart w:id="66" w:name="_Toc486584440"/>
      <w:bookmarkStart w:id="67" w:name="_Toc486584620"/>
      <w:bookmarkStart w:id="68" w:name="_Toc486584292"/>
      <w:bookmarkStart w:id="69" w:name="_Toc486584355"/>
      <w:bookmarkStart w:id="70" w:name="_Toc486584441"/>
      <w:bookmarkStart w:id="71" w:name="_Toc486584621"/>
      <w:bookmarkStart w:id="72" w:name="_Toc494368888"/>
      <w:bookmarkStart w:id="73" w:name="_Toc49507216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55D8A">
        <w:rPr>
          <w:b/>
          <w:caps/>
        </w:rPr>
        <w:t>RELAZIONI ESTERNE</w:t>
      </w:r>
      <w:bookmarkEnd w:id="72"/>
      <w:bookmarkEnd w:id="73"/>
    </w:p>
    <w:p w:rsidR="005927EE" w:rsidRPr="00C55D8A" w:rsidRDefault="005927EE" w:rsidP="00CC19E0"/>
    <w:p w:rsidR="00BA72BD" w:rsidRPr="00C55D8A" w:rsidRDefault="00BA72BD" w:rsidP="00CC19E0">
      <w:pPr>
        <w:pStyle w:val="ListParagraph"/>
        <w:keepNext/>
        <w:numPr>
          <w:ilvl w:val="0"/>
          <w:numId w:val="69"/>
        </w:numPr>
        <w:rPr>
          <w:b/>
          <w:i/>
          <w:spacing w:val="-2"/>
          <w:sz w:val="28"/>
          <w:szCs w:val="28"/>
        </w:rPr>
      </w:pPr>
      <w:r w:rsidRPr="00C55D8A">
        <w:rPr>
          <w:b/>
          <w:i/>
          <w:spacing w:val="-2"/>
          <w:sz w:val="28"/>
        </w:rPr>
        <w:t>Il nuovo contesto delle relazioni strategiche UE-CELAC e il ruolo della società civile (parere d'iniziativa)</w:t>
      </w:r>
    </w:p>
    <w:p w:rsidR="00BA72BD" w:rsidRPr="00C55D8A" w:rsidRDefault="00BA72BD" w:rsidP="00C22360">
      <w:pPr>
        <w:keepNext/>
        <w:overflowPunct/>
        <w:textAlignment w:val="auto"/>
      </w:pPr>
    </w:p>
    <w:p w:rsidR="00BA72BD" w:rsidRPr="00C55D8A" w:rsidRDefault="00CB3732" w:rsidP="00C22360">
      <w:pPr>
        <w:keepNext/>
        <w:tabs>
          <w:tab w:val="left" w:pos="1701"/>
        </w:tabs>
        <w:rPr>
          <w:b/>
          <w:i/>
          <w:szCs w:val="22"/>
        </w:rPr>
      </w:pPr>
      <w:r w:rsidRPr="00C55D8A">
        <w:rPr>
          <w:b/>
        </w:rPr>
        <w:t>Relatore</w:t>
      </w:r>
      <w:r w:rsidR="00BA72BD" w:rsidRPr="00C55D8A">
        <w:rPr>
          <w:b/>
        </w:rPr>
        <w:t>:</w:t>
      </w:r>
      <w:r w:rsidR="00BA72BD" w:rsidRPr="00C55D8A">
        <w:tab/>
        <w:t>Mário SOARES (Lavoratori - PT)</w:t>
      </w:r>
    </w:p>
    <w:p w:rsidR="00BA72BD" w:rsidRPr="00C55D8A" w:rsidRDefault="00BA72BD" w:rsidP="00C22360">
      <w:pPr>
        <w:keepNext/>
        <w:tabs>
          <w:tab w:val="left" w:pos="1701"/>
        </w:tabs>
      </w:pPr>
    </w:p>
    <w:p w:rsidR="00BA72BD" w:rsidRPr="00C55D8A" w:rsidRDefault="00BA72BD" w:rsidP="00C22360">
      <w:pPr>
        <w:keepNext/>
        <w:tabs>
          <w:tab w:val="num" w:pos="550"/>
          <w:tab w:val="left" w:pos="1701"/>
        </w:tabs>
        <w:rPr>
          <w:bCs/>
          <w:szCs w:val="22"/>
        </w:rPr>
      </w:pPr>
      <w:r w:rsidRPr="00C55D8A">
        <w:rPr>
          <w:b/>
        </w:rPr>
        <w:t>Parere:</w:t>
      </w:r>
      <w:r w:rsidRPr="00C55D8A">
        <w:tab/>
        <w:t>EESC-2017-01834-00-00-PAC-TRA</w:t>
      </w:r>
    </w:p>
    <w:p w:rsidR="00BA72BD" w:rsidRPr="00C55D8A" w:rsidRDefault="00BA72BD" w:rsidP="00C22360">
      <w:pPr>
        <w:keepNext/>
        <w:overflowPunct/>
        <w:jc w:val="left"/>
        <w:textAlignment w:val="auto"/>
      </w:pPr>
    </w:p>
    <w:p w:rsidR="00BA72BD" w:rsidRPr="00C55D8A" w:rsidRDefault="00BA72BD" w:rsidP="00C22360">
      <w:pPr>
        <w:keepNext/>
        <w:rPr>
          <w:b/>
          <w:szCs w:val="22"/>
        </w:rPr>
      </w:pPr>
      <w:r w:rsidRPr="00C55D8A">
        <w:rPr>
          <w:b/>
        </w:rPr>
        <w:t>Punti chiave:</w:t>
      </w:r>
    </w:p>
    <w:p w:rsidR="00BA72BD" w:rsidRPr="00C55D8A" w:rsidRDefault="00BA72BD" w:rsidP="00C22360">
      <w:pPr>
        <w:keepNext/>
        <w:rPr>
          <w:b/>
          <w:szCs w:val="22"/>
        </w:rPr>
      </w:pPr>
    </w:p>
    <w:p w:rsidR="00BA72BD" w:rsidRPr="00C55D8A" w:rsidRDefault="00BA72BD" w:rsidP="00C22360">
      <w:pPr>
        <w:overflowPunct/>
        <w:textAlignment w:val="auto"/>
      </w:pPr>
      <w:r w:rsidRPr="00C55D8A">
        <w:t>Da secoli la regione dell'America Latina e dei Caraibi condivide gli stessi principi e valori dell'Europa, e questo permette una visione comune del mondo. L'UE e i suoi Stati membri rappresentano il primo investitore e il cooperante principale della regione, e nel corso dei secoli sono stati intrecciati legami politici, economici, sociali, culturali e storici.</w:t>
      </w:r>
    </w:p>
    <w:p w:rsidR="00BA72BD" w:rsidRPr="00C55D8A" w:rsidRDefault="00BA72BD" w:rsidP="00C22360">
      <w:pPr>
        <w:overflowPunct/>
        <w:textAlignment w:val="auto"/>
      </w:pPr>
    </w:p>
    <w:p w:rsidR="00BA72BD" w:rsidRPr="00C55D8A" w:rsidRDefault="00BA72BD" w:rsidP="00C22360">
      <w:pPr>
        <w:overflowPunct/>
        <w:textAlignment w:val="auto"/>
      </w:pPr>
      <w:r w:rsidRPr="00C55D8A">
        <w:t>Le nuove sfide globali richiedono il rafforzamento di tale blocco e la definizione di una nuova strategia che vada al di là delle questioni formali e delle solenni dichiarazioni, e che permetta di parlare con una voce forte e incisiva sulla scena internazionale. Nel nuovo scenario geopolitico, la regione dell'</w:t>
      </w:r>
      <w:r w:rsidR="00CB3732" w:rsidRPr="00C55D8A">
        <w:t>America latina</w:t>
      </w:r>
      <w:r w:rsidRPr="00C55D8A">
        <w:t xml:space="preserve"> sta diventando una priorità strategica della politica estera dell'UE.</w:t>
      </w:r>
    </w:p>
    <w:p w:rsidR="00BA72BD" w:rsidRPr="00C55D8A" w:rsidRDefault="00BA72BD" w:rsidP="00C22360">
      <w:pPr>
        <w:overflowPunct/>
        <w:textAlignment w:val="auto"/>
      </w:pPr>
    </w:p>
    <w:p w:rsidR="00BA72BD" w:rsidRPr="00C55D8A" w:rsidRDefault="00BA72BD" w:rsidP="00C22360">
      <w:pPr>
        <w:overflowPunct/>
        <w:textAlignment w:val="auto"/>
      </w:pPr>
      <w:r w:rsidRPr="00C55D8A">
        <w:t>Il CESE esorta a procedere verso un accordo quadro globale tra l'Unione europea e la CELAC che riporti i principi operativi in materia di dialogo politico, cooperazione e sviluppo sostenibile. Tale accordo costituirebbe la base per un intervento geopolitico di portata mondiale, e rafforzerebbe la voce delle due regioni sulla scena internazionale.</w:t>
      </w:r>
    </w:p>
    <w:p w:rsidR="00BA72BD" w:rsidRPr="00C55D8A" w:rsidRDefault="00BA72BD" w:rsidP="00C22360">
      <w:pPr>
        <w:overflowPunct/>
        <w:textAlignment w:val="auto"/>
      </w:pPr>
    </w:p>
    <w:p w:rsidR="00BA72BD" w:rsidRPr="00C55D8A" w:rsidRDefault="00BA72BD" w:rsidP="00C22360">
      <w:pPr>
        <w:overflowPunct/>
        <w:textAlignment w:val="auto"/>
      </w:pPr>
      <w:r w:rsidRPr="00C55D8A">
        <w:t>Il Comitato invita tutti i leader politici dell'UE, dell'</w:t>
      </w:r>
      <w:r w:rsidR="00CB3732" w:rsidRPr="00C55D8A">
        <w:t>America latina</w:t>
      </w:r>
      <w:r w:rsidRPr="00C55D8A">
        <w:t xml:space="preserve"> e dei Caraibi a riconoscere e valorizzare la partecipazione della società civile. È di conseguenza importante:</w:t>
      </w:r>
    </w:p>
    <w:p w:rsidR="00BA72BD" w:rsidRPr="00C55D8A" w:rsidRDefault="00BA72BD" w:rsidP="00C22360">
      <w:pPr>
        <w:overflowPunct/>
        <w:textAlignment w:val="auto"/>
      </w:pPr>
    </w:p>
    <w:p w:rsidR="00BA72BD" w:rsidRPr="00C55D8A" w:rsidRDefault="00BA72BD" w:rsidP="00C22360">
      <w:pPr>
        <w:pStyle w:val="ListParagraph"/>
        <w:numPr>
          <w:ilvl w:val="1"/>
          <w:numId w:val="40"/>
        </w:numPr>
        <w:ind w:left="567" w:hanging="567"/>
      </w:pPr>
      <w:r w:rsidRPr="00C55D8A">
        <w:t>istituire ufficialmente, nel quadro di ogni negoziato, un dialogo strutturato con la società civile organizzata la cui partecipazione dovrà essere basata su criteri legati alla rappresentatività delle organizzazioni interessate e all'equilibrio tra i vari settori rappresentati; nel caso specifico delle trattative per gli accordi di libero scambio, andrebbe garantita la partecipazione effettiva a ciascuna fase dei negoziati, oltre che nell'applicazione dell'accordo e nella valutazione dei risultati;</w:t>
      </w:r>
    </w:p>
    <w:p w:rsidR="00BA72BD" w:rsidRPr="00C55D8A" w:rsidRDefault="00BA72BD" w:rsidP="00C22360">
      <w:pPr>
        <w:pStyle w:val="ListParagraph"/>
        <w:numPr>
          <w:ilvl w:val="1"/>
          <w:numId w:val="40"/>
        </w:numPr>
        <w:ind w:left="567" w:hanging="567"/>
      </w:pPr>
      <w:r w:rsidRPr="00C55D8A">
        <w:t>prevedere fin dall'inizio le risorse materiali necessarie e sufficienti per tutti i meccanismi di partecipazione stabiliti negli accordi, in modo che tali meccanismi possano svolgere le funzioni che siano loro attribuite;</w:t>
      </w:r>
    </w:p>
    <w:p w:rsidR="00BA72BD" w:rsidRPr="00C55D8A" w:rsidRDefault="00BA72BD" w:rsidP="00C22360">
      <w:pPr>
        <w:pStyle w:val="ListParagraph"/>
        <w:numPr>
          <w:ilvl w:val="1"/>
          <w:numId w:val="40"/>
        </w:numPr>
        <w:ind w:left="567" w:hanging="567"/>
      </w:pPr>
      <w:r w:rsidRPr="00C55D8A">
        <w:t>partire dal principio che la trasparenza e un dialogo disciplinato e costante con le autorità sono alla base della fiducia per un intervento di qualità da parte degli attori coinvolti;</w:t>
      </w:r>
    </w:p>
    <w:p w:rsidR="00BA72BD" w:rsidRPr="00C55D8A" w:rsidRDefault="00BA72BD" w:rsidP="00C22360">
      <w:pPr>
        <w:pStyle w:val="ListParagraph"/>
        <w:keepNext/>
        <w:numPr>
          <w:ilvl w:val="1"/>
          <w:numId w:val="40"/>
        </w:numPr>
        <w:ind w:left="567" w:hanging="567"/>
      </w:pPr>
      <w:r w:rsidRPr="00C55D8A">
        <w:t>concentrare in un'unica struttura, istituzionalizzata e dotata di finanziamenti sufficienti, il seguito e il monitoraggio degli accordi firmati, secondo il principio "un unico organismo della società civile per un unico accordo".</w:t>
      </w:r>
    </w:p>
    <w:p w:rsidR="00BA72BD" w:rsidRPr="00C55D8A" w:rsidRDefault="00BA72BD" w:rsidP="00C22360">
      <w:pPr>
        <w:keepNext/>
        <w:overflowPunct/>
        <w:textAlignment w:val="auto"/>
      </w:pPr>
    </w:p>
    <w:p w:rsidR="00BA72BD" w:rsidRPr="00C55D8A" w:rsidRDefault="00BA72BD" w:rsidP="00C22360">
      <w:pPr>
        <w:keepNext/>
        <w:tabs>
          <w:tab w:val="left" w:pos="1701"/>
        </w:tabs>
        <w:rPr>
          <w:i/>
        </w:rPr>
      </w:pPr>
      <w:r w:rsidRPr="00C55D8A">
        <w:rPr>
          <w:b/>
          <w:i/>
        </w:rPr>
        <w:t>Persona da contattare</w:t>
      </w:r>
      <w:r w:rsidRPr="00C55D8A">
        <w:t>:</w:t>
      </w:r>
      <w:r w:rsidR="00425CE9" w:rsidRPr="00C55D8A">
        <w:tab/>
      </w:r>
      <w:r w:rsidRPr="00C55D8A">
        <w:rPr>
          <w:i/>
        </w:rPr>
        <w:t>Lucía MENDEZ DEL RIO CABRA</w:t>
      </w:r>
    </w:p>
    <w:p w:rsidR="00921023" w:rsidRPr="00C55D8A" w:rsidRDefault="001D00DF" w:rsidP="00C22360">
      <w:pPr>
        <w:keepNext/>
        <w:tabs>
          <w:tab w:val="left" w:pos="1701"/>
        </w:tabs>
        <w:rPr>
          <w:i/>
          <w:iCs/>
          <w:color w:val="0000FF"/>
          <w:szCs w:val="22"/>
          <w:u w:val="single"/>
        </w:rPr>
      </w:pPr>
      <w:r w:rsidRPr="00C55D8A">
        <w:tab/>
      </w:r>
      <w:r w:rsidRPr="00C55D8A">
        <w:rPr>
          <w:i/>
        </w:rPr>
        <w:t>(</w:t>
      </w:r>
      <w:r w:rsidR="00CB3732" w:rsidRPr="00C55D8A">
        <w:rPr>
          <w:i/>
        </w:rPr>
        <w:t>Tel.:</w:t>
      </w:r>
      <w:r w:rsidRPr="00C55D8A">
        <w:rPr>
          <w:i/>
        </w:rPr>
        <w:t xml:space="preserve"> 00 32 2 546 9345 - e-mail:</w:t>
      </w:r>
      <w:r w:rsidRPr="00C55D8A">
        <w:t xml:space="preserve"> </w:t>
      </w:r>
      <w:hyperlink r:id="rId31">
        <w:r w:rsidRPr="00C55D8A">
          <w:rPr>
            <w:rStyle w:val="Hyperlink"/>
            <w:i/>
          </w:rPr>
          <w:t>Lucia.MendezDelRioCabra@eesc.europa.eu</w:t>
        </w:r>
      </w:hyperlink>
      <w:r w:rsidRPr="00C55D8A">
        <w:rPr>
          <w:i/>
          <w:color w:val="0000FF"/>
          <w:u w:val="single"/>
        </w:rPr>
        <w:t>)</w:t>
      </w:r>
    </w:p>
    <w:p w:rsidR="00BA72BD" w:rsidRPr="00C55D8A" w:rsidRDefault="00BA72BD" w:rsidP="00C22360">
      <w:pPr>
        <w:keepNext/>
        <w:tabs>
          <w:tab w:val="left" w:pos="1701"/>
        </w:tabs>
      </w:pPr>
    </w:p>
    <w:p w:rsidR="005966FE" w:rsidRPr="00C55D8A" w:rsidRDefault="005966FE">
      <w:pPr>
        <w:jc w:val="center"/>
      </w:pPr>
      <w:r w:rsidRPr="00C55D8A">
        <w:t>____________</w:t>
      </w:r>
    </w:p>
    <w:sectPr w:rsidR="005966FE" w:rsidRPr="00C55D8A" w:rsidSect="005927EE">
      <w:headerReference w:type="even" r:id="rId32"/>
      <w:headerReference w:type="default" r:id="rId33"/>
      <w:footerReference w:type="even" r:id="rId34"/>
      <w:footerReference w:type="default" r:id="rId35"/>
      <w:headerReference w:type="first" r:id="rId36"/>
      <w:footerReference w:type="first" r:id="rId3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96B" w:rsidRDefault="0038496B" w:rsidP="003B283B">
      <w:pPr>
        <w:spacing w:line="240" w:lineRule="auto"/>
      </w:pPr>
      <w:r>
        <w:separator/>
      </w:r>
    </w:p>
  </w:endnote>
  <w:endnote w:type="continuationSeparator" w:id="0">
    <w:p w:rsidR="0038496B" w:rsidRDefault="0038496B" w:rsidP="003B283B">
      <w:pPr>
        <w:spacing w:line="240" w:lineRule="auto"/>
      </w:pPr>
      <w:r>
        <w:continuationSeparator/>
      </w:r>
    </w:p>
  </w:endnote>
  <w:endnote w:type="continuationNotice" w:id="1">
    <w:p w:rsidR="0038496B" w:rsidRDefault="00384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EE" w:rsidRPr="005927EE" w:rsidRDefault="005927EE" w:rsidP="00592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5927EE" w:rsidP="005927EE">
    <w:pPr>
      <w:pStyle w:val="Footer"/>
    </w:pPr>
    <w:r>
      <w:t xml:space="preserve">EESC-2017-03479-00-01-TCD-TRA (FR/EN) </w:t>
    </w:r>
    <w:r>
      <w:fldChar w:fldCharType="begin"/>
    </w:r>
    <w:r>
      <w:instrText xml:space="preserve"> PAGE  \* Arabic  \* MERGEFORMAT </w:instrText>
    </w:r>
    <w:r>
      <w:fldChar w:fldCharType="separate"/>
    </w:r>
    <w:r w:rsidR="00C55D8A">
      <w:rPr>
        <w:noProof/>
      </w:rPr>
      <w:t>1</w:t>
    </w:r>
    <w:r>
      <w:fldChar w:fldCharType="end"/>
    </w:r>
    <w:r>
      <w:t>/</w:t>
    </w:r>
    <w:r>
      <w:fldChar w:fldCharType="begin"/>
    </w:r>
    <w:r>
      <w:instrText xml:space="preserve"> = </w:instrText>
    </w:r>
    <w:fldSimple w:instr=" NUMPAGES ">
      <w:r w:rsidR="00C55D8A">
        <w:rPr>
          <w:noProof/>
        </w:rPr>
        <w:instrText>1</w:instrText>
      </w:r>
    </w:fldSimple>
    <w:r>
      <w:instrText xml:space="preserve"> </w:instrText>
    </w:r>
    <w:r>
      <w:fldChar w:fldCharType="separate"/>
    </w:r>
    <w:r w:rsidR="00C55D8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EE" w:rsidRPr="005927EE" w:rsidRDefault="005927EE" w:rsidP="005927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916ADD" w:rsidP="005927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5927EE" w:rsidP="005927EE">
    <w:pPr>
      <w:pStyle w:val="Footer"/>
    </w:pPr>
    <w:r>
      <w:t xml:space="preserve">EESC-2017-03479-00-01-TCD-TRA (FR/EN) </w:t>
    </w:r>
    <w:r>
      <w:fldChar w:fldCharType="begin"/>
    </w:r>
    <w:r>
      <w:instrText xml:space="preserve"> PAGE  \* Arabic  \* MERGEFORMAT </w:instrText>
    </w:r>
    <w:r>
      <w:fldChar w:fldCharType="separate"/>
    </w:r>
    <w:r w:rsidR="00C55D8A">
      <w:rPr>
        <w:noProof/>
      </w:rPr>
      <w:t>3</w:t>
    </w:r>
    <w:r>
      <w:fldChar w:fldCharType="end"/>
    </w:r>
    <w:r>
      <w:t>/</w:t>
    </w:r>
    <w:r>
      <w:fldChar w:fldCharType="begin"/>
    </w:r>
    <w:r>
      <w:instrText xml:space="preserve"> = </w:instrText>
    </w:r>
    <w:fldSimple w:instr=" NUMPAGES ">
      <w:r w:rsidR="00C55D8A">
        <w:rPr>
          <w:noProof/>
        </w:rPr>
        <w:instrText>3</w:instrText>
      </w:r>
    </w:fldSimple>
    <w:r>
      <w:instrText xml:space="preserve"> </w:instrText>
    </w:r>
    <w:r>
      <w:fldChar w:fldCharType="separate"/>
    </w:r>
    <w:r w:rsidR="00C55D8A">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916ADD" w:rsidP="00592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96B" w:rsidRDefault="0038496B" w:rsidP="003B283B">
      <w:pPr>
        <w:spacing w:line="240" w:lineRule="auto"/>
      </w:pPr>
      <w:r>
        <w:separator/>
      </w:r>
    </w:p>
  </w:footnote>
  <w:footnote w:type="continuationSeparator" w:id="0">
    <w:p w:rsidR="0038496B" w:rsidRDefault="0038496B" w:rsidP="003B283B">
      <w:pPr>
        <w:spacing w:line="240" w:lineRule="auto"/>
      </w:pPr>
      <w:r>
        <w:continuationSeparator/>
      </w:r>
    </w:p>
  </w:footnote>
  <w:footnote w:type="continuationNotice" w:id="1">
    <w:p w:rsidR="0038496B" w:rsidRPr="00377A77" w:rsidRDefault="0038496B">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EE" w:rsidRPr="005927EE" w:rsidRDefault="005927EE" w:rsidP="00592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EE" w:rsidRPr="005927EE" w:rsidRDefault="005927EE" w:rsidP="005927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EE" w:rsidRPr="005927EE" w:rsidRDefault="005927EE" w:rsidP="005927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916ADD" w:rsidP="005927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916ADD" w:rsidP="005927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DD" w:rsidRPr="005927EE" w:rsidRDefault="00916ADD" w:rsidP="00592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22C56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5985B46"/>
    <w:multiLevelType w:val="hybridMultilevel"/>
    <w:tmpl w:val="BB4CD604"/>
    <w:lvl w:ilvl="0" w:tplc="3398B414">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616F34"/>
    <w:multiLevelType w:val="hybridMultilevel"/>
    <w:tmpl w:val="E0A0110E"/>
    <w:lvl w:ilvl="0" w:tplc="DEAC2C7C">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C06E85"/>
    <w:multiLevelType w:val="hybridMultilevel"/>
    <w:tmpl w:val="8868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697CAC"/>
    <w:multiLevelType w:val="hybridMultilevel"/>
    <w:tmpl w:val="26328E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8">
    <w:nsid w:val="0E673312"/>
    <w:multiLevelType w:val="hybridMultilevel"/>
    <w:tmpl w:val="DB501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19B0D22"/>
    <w:multiLevelType w:val="singleLevel"/>
    <w:tmpl w:val="ACD4CDB0"/>
    <w:lvl w:ilvl="0">
      <w:numFmt w:val="decimal"/>
      <w:lvlText w:val="*"/>
      <w:lvlJc w:val="left"/>
      <w:rPr>
        <w:rFonts w:cs="Times New Roman"/>
      </w:rPr>
    </w:lvl>
  </w:abstractNum>
  <w:abstractNum w:abstractNumId="10">
    <w:nsid w:val="14344289"/>
    <w:multiLevelType w:val="hybridMultilevel"/>
    <w:tmpl w:val="87D4351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160D2081"/>
    <w:multiLevelType w:val="hybridMultilevel"/>
    <w:tmpl w:val="8AAA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D50EB9"/>
    <w:multiLevelType w:val="hybridMultilevel"/>
    <w:tmpl w:val="1654E8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9E21FF1"/>
    <w:multiLevelType w:val="hybridMultilevel"/>
    <w:tmpl w:val="18A61F2C"/>
    <w:lvl w:ilvl="0" w:tplc="EC40E6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C2354C"/>
    <w:multiLevelType w:val="singleLevel"/>
    <w:tmpl w:val="ACD4CDB0"/>
    <w:lvl w:ilvl="0">
      <w:numFmt w:val="decimal"/>
      <w:lvlText w:val="*"/>
      <w:lvlJc w:val="left"/>
      <w:rPr>
        <w:rFonts w:cs="Times New Roman"/>
      </w:rPr>
    </w:lvl>
  </w:abstractNum>
  <w:abstractNum w:abstractNumId="16">
    <w:nsid w:val="1B345C48"/>
    <w:multiLevelType w:val="hybridMultilevel"/>
    <w:tmpl w:val="14EE5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B247A1"/>
    <w:multiLevelType w:val="hybridMultilevel"/>
    <w:tmpl w:val="5A3E7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23C2068D"/>
    <w:multiLevelType w:val="hybridMultilevel"/>
    <w:tmpl w:val="0E3A25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250F6799"/>
    <w:multiLevelType w:val="hybridMultilevel"/>
    <w:tmpl w:val="6E30A9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25446222"/>
    <w:multiLevelType w:val="hybridMultilevel"/>
    <w:tmpl w:val="F3B050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284632C1"/>
    <w:multiLevelType w:val="hybridMultilevel"/>
    <w:tmpl w:val="1DE8C27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ACA3B80"/>
    <w:multiLevelType w:val="hybridMultilevel"/>
    <w:tmpl w:val="63D69BA0"/>
    <w:lvl w:ilvl="0" w:tplc="04090001">
      <w:start w:val="1"/>
      <w:numFmt w:val="bullet"/>
      <w:lvlText w:val=""/>
      <w:lvlJc w:val="left"/>
      <w:pPr>
        <w:ind w:left="720" w:hanging="360"/>
      </w:pPr>
      <w:rPr>
        <w:rFonts w:ascii="Symbol" w:hAnsi="Symbol" w:hint="default"/>
      </w:rPr>
    </w:lvl>
    <w:lvl w:ilvl="1" w:tplc="D69E0930">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0F156C"/>
    <w:multiLevelType w:val="hybridMultilevel"/>
    <w:tmpl w:val="E7E840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2CA9786E"/>
    <w:multiLevelType w:val="hybridMultilevel"/>
    <w:tmpl w:val="4A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CAE44AC"/>
    <w:multiLevelType w:val="hybridMultilevel"/>
    <w:tmpl w:val="58541C1A"/>
    <w:lvl w:ilvl="0" w:tplc="89AC0D1E">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F52127E"/>
    <w:multiLevelType w:val="hybridMultilevel"/>
    <w:tmpl w:val="65028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F7D1756"/>
    <w:multiLevelType w:val="singleLevel"/>
    <w:tmpl w:val="ACD4CDB0"/>
    <w:lvl w:ilvl="0">
      <w:numFmt w:val="decimal"/>
      <w:lvlText w:val="*"/>
      <w:lvlJc w:val="left"/>
      <w:rPr>
        <w:rFonts w:cs="Times New Roman"/>
      </w:rPr>
    </w:lvl>
  </w:abstractNum>
  <w:abstractNum w:abstractNumId="28">
    <w:nsid w:val="32592D33"/>
    <w:multiLevelType w:val="singleLevel"/>
    <w:tmpl w:val="080C0001"/>
    <w:lvl w:ilvl="0">
      <w:start w:val="1"/>
      <w:numFmt w:val="bullet"/>
      <w:lvlText w:val=""/>
      <w:lvlJc w:val="left"/>
      <w:pPr>
        <w:ind w:left="720" w:hanging="360"/>
      </w:pPr>
      <w:rPr>
        <w:rFonts w:ascii="Symbol" w:hAnsi="Symbol" w:hint="default"/>
      </w:rPr>
    </w:lvl>
  </w:abstractNum>
  <w:abstractNum w:abstractNumId="29">
    <w:nsid w:val="33B8498B"/>
    <w:multiLevelType w:val="hybridMultilevel"/>
    <w:tmpl w:val="4BD0E626"/>
    <w:lvl w:ilvl="0" w:tplc="1B760740">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4904083"/>
    <w:multiLevelType w:val="singleLevel"/>
    <w:tmpl w:val="ACD4CDB0"/>
    <w:lvl w:ilvl="0">
      <w:numFmt w:val="decimal"/>
      <w:lvlText w:val="*"/>
      <w:lvlJc w:val="left"/>
      <w:rPr>
        <w:rFonts w:cs="Times New Roman"/>
      </w:rPr>
    </w:lvl>
  </w:abstractNum>
  <w:abstractNum w:abstractNumId="31">
    <w:nsid w:val="34A00B99"/>
    <w:multiLevelType w:val="hybridMultilevel"/>
    <w:tmpl w:val="86D0699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6B16CE0"/>
    <w:multiLevelType w:val="hybridMultilevel"/>
    <w:tmpl w:val="49B07C7A"/>
    <w:lvl w:ilvl="0" w:tplc="FBA22B5A">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BDC157E"/>
    <w:multiLevelType w:val="hybridMultilevel"/>
    <w:tmpl w:val="8260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EDF3D01"/>
    <w:multiLevelType w:val="singleLevel"/>
    <w:tmpl w:val="ACD4CDB0"/>
    <w:lvl w:ilvl="0">
      <w:numFmt w:val="decimal"/>
      <w:lvlText w:val="*"/>
      <w:lvlJc w:val="left"/>
      <w:rPr>
        <w:rFonts w:cs="Times New Roman"/>
      </w:rPr>
    </w:lvl>
  </w:abstractNum>
  <w:abstractNum w:abstractNumId="35">
    <w:nsid w:val="3F490991"/>
    <w:multiLevelType w:val="hybridMultilevel"/>
    <w:tmpl w:val="73EA4F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DE39BB"/>
    <w:multiLevelType w:val="hybridMultilevel"/>
    <w:tmpl w:val="D924D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436F35C7"/>
    <w:multiLevelType w:val="hybridMultilevel"/>
    <w:tmpl w:val="A90267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4A2527D2"/>
    <w:multiLevelType w:val="hybridMultilevel"/>
    <w:tmpl w:val="CABAE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nsid w:val="4A765DAB"/>
    <w:multiLevelType w:val="hybridMultilevel"/>
    <w:tmpl w:val="E4703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4AB36CC7"/>
    <w:multiLevelType w:val="hybridMultilevel"/>
    <w:tmpl w:val="A5401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542F4DFA"/>
    <w:multiLevelType w:val="hybridMultilevel"/>
    <w:tmpl w:val="8072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3">
    <w:nsid w:val="55A0347F"/>
    <w:multiLevelType w:val="hybridMultilevel"/>
    <w:tmpl w:val="60F0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8A62BDD"/>
    <w:multiLevelType w:val="hybridMultilevel"/>
    <w:tmpl w:val="F24854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5B7F59BC"/>
    <w:multiLevelType w:val="hybridMultilevel"/>
    <w:tmpl w:val="9100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47">
    <w:nsid w:val="60917516"/>
    <w:multiLevelType w:val="hybridMultilevel"/>
    <w:tmpl w:val="37901DE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5F94C73"/>
    <w:multiLevelType w:val="hybridMultilevel"/>
    <w:tmpl w:val="4418CD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667619CF"/>
    <w:multiLevelType w:val="hybridMultilevel"/>
    <w:tmpl w:val="C4E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7450588"/>
    <w:multiLevelType w:val="hybridMultilevel"/>
    <w:tmpl w:val="D57C7A9A"/>
    <w:lvl w:ilvl="0" w:tplc="EE92DE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495993"/>
    <w:multiLevelType w:val="hybridMultilevel"/>
    <w:tmpl w:val="B5BE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A225FFA"/>
    <w:multiLevelType w:val="hybridMultilevel"/>
    <w:tmpl w:val="8E26DC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nsid w:val="6AB977FC"/>
    <w:multiLevelType w:val="hybridMultilevel"/>
    <w:tmpl w:val="AFA605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nsid w:val="6B003E02"/>
    <w:multiLevelType w:val="hybridMultilevel"/>
    <w:tmpl w:val="2E56FE2A"/>
    <w:lvl w:ilvl="0" w:tplc="89AC0D1E">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B0316D9"/>
    <w:multiLevelType w:val="hybridMultilevel"/>
    <w:tmpl w:val="8A8EE3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6B78179B"/>
    <w:multiLevelType w:val="hybridMultilevel"/>
    <w:tmpl w:val="CE8E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C8B644B"/>
    <w:multiLevelType w:val="hybridMultilevel"/>
    <w:tmpl w:val="C4D6DD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nsid w:val="6F9E50B5"/>
    <w:multiLevelType w:val="singleLevel"/>
    <w:tmpl w:val="ACD4CDB0"/>
    <w:lvl w:ilvl="0">
      <w:numFmt w:val="decimal"/>
      <w:lvlText w:val="*"/>
      <w:lvlJc w:val="left"/>
      <w:rPr>
        <w:rFonts w:cs="Times New Roman"/>
      </w:rPr>
    </w:lvl>
  </w:abstractNum>
  <w:abstractNum w:abstractNumId="59">
    <w:nsid w:val="707E5BC6"/>
    <w:multiLevelType w:val="hybridMultilevel"/>
    <w:tmpl w:val="F4F61614"/>
    <w:lvl w:ilvl="0" w:tplc="EC40E63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26E39F0"/>
    <w:multiLevelType w:val="hybridMultilevel"/>
    <w:tmpl w:val="B3B25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nsid w:val="7488534C"/>
    <w:multiLevelType w:val="hybridMultilevel"/>
    <w:tmpl w:val="B26A1F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7642022F"/>
    <w:multiLevelType w:val="hybridMultilevel"/>
    <w:tmpl w:val="DE504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nsid w:val="79A20B6C"/>
    <w:multiLevelType w:val="hybridMultilevel"/>
    <w:tmpl w:val="A3FCAA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79B860F4"/>
    <w:multiLevelType w:val="hybridMultilevel"/>
    <w:tmpl w:val="904E838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nsid w:val="7E1D73CD"/>
    <w:multiLevelType w:val="hybridMultilevel"/>
    <w:tmpl w:val="A57E81BA"/>
    <w:lvl w:ilvl="0" w:tplc="870A2EA0">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6"/>
  </w:num>
  <w:num w:numId="4">
    <w:abstractNumId w:val="9"/>
  </w:num>
  <w:num w:numId="5">
    <w:abstractNumId w:val="58"/>
  </w:num>
  <w:num w:numId="6">
    <w:abstractNumId w:val="39"/>
  </w:num>
  <w:num w:numId="7">
    <w:abstractNumId w:val="51"/>
  </w:num>
  <w:num w:numId="8">
    <w:abstractNumId w:val="30"/>
  </w:num>
  <w:num w:numId="9">
    <w:abstractNumId w:val="27"/>
  </w:num>
  <w:num w:numId="10">
    <w:abstractNumId w:val="26"/>
  </w:num>
  <w:num w:numId="11">
    <w:abstractNumId w:val="56"/>
  </w:num>
  <w:num w:numId="12">
    <w:abstractNumId w:val="5"/>
  </w:num>
  <w:num w:numId="13">
    <w:abstractNumId w:val="4"/>
  </w:num>
  <w:num w:numId="14">
    <w:abstractNumId w:val="50"/>
  </w:num>
  <w:num w:numId="15">
    <w:abstractNumId w:val="60"/>
  </w:num>
  <w:num w:numId="16">
    <w:abstractNumId w:val="36"/>
  </w:num>
  <w:num w:numId="17">
    <w:abstractNumId w:val="61"/>
  </w:num>
  <w:num w:numId="18">
    <w:abstractNumId w:val="57"/>
  </w:num>
  <w:num w:numId="19">
    <w:abstractNumId w:val="66"/>
  </w:num>
  <w:num w:numId="20">
    <w:abstractNumId w:val="3"/>
  </w:num>
  <w:num w:numId="21">
    <w:abstractNumId w:val="32"/>
  </w:num>
  <w:num w:numId="22">
    <w:abstractNumId w:val="29"/>
  </w:num>
  <w:num w:numId="23">
    <w:abstractNumId w:val="2"/>
  </w:num>
  <w:num w:numId="24">
    <w:abstractNumId w:val="54"/>
  </w:num>
  <w:num w:numId="25">
    <w:abstractNumId w:val="25"/>
  </w:num>
  <w:num w:numId="26">
    <w:abstractNumId w:val="24"/>
  </w:num>
  <w:num w:numId="27">
    <w:abstractNumId w:val="45"/>
  </w:num>
  <w:num w:numId="28">
    <w:abstractNumId w:val="15"/>
  </w:num>
  <w:num w:numId="29">
    <w:abstractNumId w:val="46"/>
  </w:num>
  <w:num w:numId="30">
    <w:abstractNumId w:val="7"/>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
  </w:num>
  <w:num w:numId="34">
    <w:abstractNumId w:val="28"/>
  </w:num>
  <w:num w:numId="35">
    <w:abstractNumId w:val="34"/>
  </w:num>
  <w:num w:numId="36">
    <w:abstractNumId w:val="59"/>
  </w:num>
  <w:num w:numId="37">
    <w:abstractNumId w:val="14"/>
  </w:num>
  <w:num w:numId="38">
    <w:abstractNumId w:val="11"/>
  </w:num>
  <w:num w:numId="39">
    <w:abstractNumId w:val="16"/>
  </w:num>
  <w:num w:numId="40">
    <w:abstractNumId w:val="22"/>
  </w:num>
  <w:num w:numId="41">
    <w:abstractNumId w:val="10"/>
  </w:num>
  <w:num w:numId="42">
    <w:abstractNumId w:val="42"/>
  </w:num>
  <w:num w:numId="43">
    <w:abstractNumId w:val="31"/>
  </w:num>
  <w:num w:numId="44">
    <w:abstractNumId w:val="49"/>
  </w:num>
  <w:num w:numId="45">
    <w:abstractNumId w:val="43"/>
  </w:num>
  <w:num w:numId="46">
    <w:abstractNumId w:val="47"/>
  </w:num>
  <w:num w:numId="47">
    <w:abstractNumId w:val="12"/>
  </w:num>
  <w:num w:numId="48">
    <w:abstractNumId w:val="37"/>
  </w:num>
  <w:num w:numId="49">
    <w:abstractNumId w:val="38"/>
  </w:num>
  <w:num w:numId="50">
    <w:abstractNumId w:val="33"/>
  </w:num>
  <w:num w:numId="51">
    <w:abstractNumId w:val="64"/>
  </w:num>
  <w:num w:numId="52">
    <w:abstractNumId w:val="52"/>
  </w:num>
  <w:num w:numId="53">
    <w:abstractNumId w:val="18"/>
  </w:num>
  <w:num w:numId="54">
    <w:abstractNumId w:val="6"/>
  </w:num>
  <w:num w:numId="55">
    <w:abstractNumId w:val="19"/>
  </w:num>
  <w:num w:numId="56">
    <w:abstractNumId w:val="44"/>
  </w:num>
  <w:num w:numId="57">
    <w:abstractNumId w:val="20"/>
  </w:num>
  <w:num w:numId="58">
    <w:abstractNumId w:val="17"/>
  </w:num>
  <w:num w:numId="59">
    <w:abstractNumId w:val="55"/>
  </w:num>
  <w:num w:numId="60">
    <w:abstractNumId w:val="41"/>
  </w:num>
  <w:num w:numId="61">
    <w:abstractNumId w:val="62"/>
  </w:num>
  <w:num w:numId="62">
    <w:abstractNumId w:val="53"/>
  </w:num>
  <w:num w:numId="63">
    <w:abstractNumId w:val="63"/>
  </w:num>
  <w:num w:numId="64">
    <w:abstractNumId w:val="23"/>
  </w:num>
  <w:num w:numId="65">
    <w:abstractNumId w:val="13"/>
  </w:num>
  <w:num w:numId="66">
    <w:abstractNumId w:val="48"/>
  </w:num>
  <w:num w:numId="67">
    <w:abstractNumId w:val="8"/>
  </w:num>
  <w:num w:numId="68">
    <w:abstractNumId w:val="65"/>
  </w:num>
  <w:num w:numId="69">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7B94"/>
    <w:rsid w:val="000115A9"/>
    <w:rsid w:val="00013610"/>
    <w:rsid w:val="000138A1"/>
    <w:rsid w:val="0001686B"/>
    <w:rsid w:val="00017703"/>
    <w:rsid w:val="00020A28"/>
    <w:rsid w:val="000215A9"/>
    <w:rsid w:val="00022B6C"/>
    <w:rsid w:val="000240FE"/>
    <w:rsid w:val="000244F9"/>
    <w:rsid w:val="00026BD2"/>
    <w:rsid w:val="00030B04"/>
    <w:rsid w:val="0003128F"/>
    <w:rsid w:val="000316FF"/>
    <w:rsid w:val="00031C70"/>
    <w:rsid w:val="00032E3A"/>
    <w:rsid w:val="000338E8"/>
    <w:rsid w:val="00033C6E"/>
    <w:rsid w:val="00033DA8"/>
    <w:rsid w:val="000349EE"/>
    <w:rsid w:val="00034A75"/>
    <w:rsid w:val="00035EF4"/>
    <w:rsid w:val="00036976"/>
    <w:rsid w:val="000378CC"/>
    <w:rsid w:val="0004006B"/>
    <w:rsid w:val="0004042B"/>
    <w:rsid w:val="00041C6C"/>
    <w:rsid w:val="00041EB7"/>
    <w:rsid w:val="00044DCB"/>
    <w:rsid w:val="00045054"/>
    <w:rsid w:val="000451B3"/>
    <w:rsid w:val="00051C81"/>
    <w:rsid w:val="0005250A"/>
    <w:rsid w:val="000529F2"/>
    <w:rsid w:val="00054E26"/>
    <w:rsid w:val="00055735"/>
    <w:rsid w:val="000559BE"/>
    <w:rsid w:val="000562AF"/>
    <w:rsid w:val="00060853"/>
    <w:rsid w:val="00065751"/>
    <w:rsid w:val="00067189"/>
    <w:rsid w:val="00067BC4"/>
    <w:rsid w:val="00070C28"/>
    <w:rsid w:val="00070DC9"/>
    <w:rsid w:val="000714D6"/>
    <w:rsid w:val="00071E53"/>
    <w:rsid w:val="0007365D"/>
    <w:rsid w:val="00073A46"/>
    <w:rsid w:val="00074A88"/>
    <w:rsid w:val="00074CD8"/>
    <w:rsid w:val="000814F6"/>
    <w:rsid w:val="00081813"/>
    <w:rsid w:val="000818D4"/>
    <w:rsid w:val="000821ED"/>
    <w:rsid w:val="00082546"/>
    <w:rsid w:val="000836FE"/>
    <w:rsid w:val="00086D04"/>
    <w:rsid w:val="00086E67"/>
    <w:rsid w:val="00087AE9"/>
    <w:rsid w:val="00094645"/>
    <w:rsid w:val="000967CA"/>
    <w:rsid w:val="00096999"/>
    <w:rsid w:val="00097F0D"/>
    <w:rsid w:val="000A2809"/>
    <w:rsid w:val="000A62E2"/>
    <w:rsid w:val="000B1EEE"/>
    <w:rsid w:val="000C07F0"/>
    <w:rsid w:val="000C0946"/>
    <w:rsid w:val="000C0AA0"/>
    <w:rsid w:val="000C2679"/>
    <w:rsid w:val="000C37E9"/>
    <w:rsid w:val="000C3DF6"/>
    <w:rsid w:val="000C469F"/>
    <w:rsid w:val="000C6808"/>
    <w:rsid w:val="000D007F"/>
    <w:rsid w:val="000D28F0"/>
    <w:rsid w:val="000D3F88"/>
    <w:rsid w:val="000D50A8"/>
    <w:rsid w:val="000D59D3"/>
    <w:rsid w:val="000D7F5A"/>
    <w:rsid w:val="000E4C16"/>
    <w:rsid w:val="000E6466"/>
    <w:rsid w:val="000E6F41"/>
    <w:rsid w:val="000F035E"/>
    <w:rsid w:val="000F16CE"/>
    <w:rsid w:val="000F181E"/>
    <w:rsid w:val="000F42C4"/>
    <w:rsid w:val="000F4A9A"/>
    <w:rsid w:val="000F77C3"/>
    <w:rsid w:val="0010339F"/>
    <w:rsid w:val="0010391E"/>
    <w:rsid w:val="00103CC0"/>
    <w:rsid w:val="00104975"/>
    <w:rsid w:val="001053BA"/>
    <w:rsid w:val="001055E6"/>
    <w:rsid w:val="001063E3"/>
    <w:rsid w:val="0010786D"/>
    <w:rsid w:val="00110344"/>
    <w:rsid w:val="001126F6"/>
    <w:rsid w:val="001127C6"/>
    <w:rsid w:val="00113882"/>
    <w:rsid w:val="001138B0"/>
    <w:rsid w:val="001158DF"/>
    <w:rsid w:val="00116CFB"/>
    <w:rsid w:val="0012647C"/>
    <w:rsid w:val="00126A7F"/>
    <w:rsid w:val="00127660"/>
    <w:rsid w:val="00131042"/>
    <w:rsid w:val="0013146D"/>
    <w:rsid w:val="00134B0D"/>
    <w:rsid w:val="00136F53"/>
    <w:rsid w:val="00136FA8"/>
    <w:rsid w:val="001376AC"/>
    <w:rsid w:val="0014104C"/>
    <w:rsid w:val="00142A4E"/>
    <w:rsid w:val="0014464E"/>
    <w:rsid w:val="00144DCE"/>
    <w:rsid w:val="00146F91"/>
    <w:rsid w:val="001509A7"/>
    <w:rsid w:val="00153199"/>
    <w:rsid w:val="001540D3"/>
    <w:rsid w:val="001545B6"/>
    <w:rsid w:val="00155138"/>
    <w:rsid w:val="00156950"/>
    <w:rsid w:val="00157649"/>
    <w:rsid w:val="00160DCC"/>
    <w:rsid w:val="001657F4"/>
    <w:rsid w:val="00166FCB"/>
    <w:rsid w:val="0017241F"/>
    <w:rsid w:val="001737B7"/>
    <w:rsid w:val="0017469D"/>
    <w:rsid w:val="001764F7"/>
    <w:rsid w:val="001768E2"/>
    <w:rsid w:val="0018061D"/>
    <w:rsid w:val="00180A82"/>
    <w:rsid w:val="001811FF"/>
    <w:rsid w:val="00182D03"/>
    <w:rsid w:val="00184C46"/>
    <w:rsid w:val="00186D96"/>
    <w:rsid w:val="00191C0B"/>
    <w:rsid w:val="00194447"/>
    <w:rsid w:val="0019516A"/>
    <w:rsid w:val="00195479"/>
    <w:rsid w:val="001A1064"/>
    <w:rsid w:val="001A3D0C"/>
    <w:rsid w:val="001A56E8"/>
    <w:rsid w:val="001B0D26"/>
    <w:rsid w:val="001B1504"/>
    <w:rsid w:val="001B18C2"/>
    <w:rsid w:val="001B232C"/>
    <w:rsid w:val="001B28BC"/>
    <w:rsid w:val="001B424E"/>
    <w:rsid w:val="001B4CC9"/>
    <w:rsid w:val="001C0535"/>
    <w:rsid w:val="001C05B2"/>
    <w:rsid w:val="001C07DD"/>
    <w:rsid w:val="001C0B67"/>
    <w:rsid w:val="001C17BE"/>
    <w:rsid w:val="001C365D"/>
    <w:rsid w:val="001C4264"/>
    <w:rsid w:val="001C6C93"/>
    <w:rsid w:val="001C782A"/>
    <w:rsid w:val="001D00DF"/>
    <w:rsid w:val="001D013F"/>
    <w:rsid w:val="001D078A"/>
    <w:rsid w:val="001D4E3C"/>
    <w:rsid w:val="001D52CB"/>
    <w:rsid w:val="001D6C48"/>
    <w:rsid w:val="001D74DC"/>
    <w:rsid w:val="001E0E97"/>
    <w:rsid w:val="001E2338"/>
    <w:rsid w:val="001E558F"/>
    <w:rsid w:val="001E5961"/>
    <w:rsid w:val="001E717B"/>
    <w:rsid w:val="001E74A2"/>
    <w:rsid w:val="001E76FC"/>
    <w:rsid w:val="001F0BC4"/>
    <w:rsid w:val="001F1D17"/>
    <w:rsid w:val="001F1F3D"/>
    <w:rsid w:val="001F4D66"/>
    <w:rsid w:val="00200F03"/>
    <w:rsid w:val="002013C3"/>
    <w:rsid w:val="00202634"/>
    <w:rsid w:val="00203A8F"/>
    <w:rsid w:val="00204864"/>
    <w:rsid w:val="002052D8"/>
    <w:rsid w:val="00205EFC"/>
    <w:rsid w:val="00211393"/>
    <w:rsid w:val="00211FAE"/>
    <w:rsid w:val="00211FF4"/>
    <w:rsid w:val="00212787"/>
    <w:rsid w:val="002138A9"/>
    <w:rsid w:val="00214451"/>
    <w:rsid w:val="0021639E"/>
    <w:rsid w:val="00221123"/>
    <w:rsid w:val="002236A6"/>
    <w:rsid w:val="00224DE6"/>
    <w:rsid w:val="00224E75"/>
    <w:rsid w:val="002259C0"/>
    <w:rsid w:val="00226823"/>
    <w:rsid w:val="002276DD"/>
    <w:rsid w:val="0023002B"/>
    <w:rsid w:val="002327D5"/>
    <w:rsid w:val="00233CAC"/>
    <w:rsid w:val="0023548F"/>
    <w:rsid w:val="00236FB9"/>
    <w:rsid w:val="002407AA"/>
    <w:rsid w:val="002411E0"/>
    <w:rsid w:val="00242408"/>
    <w:rsid w:val="00242759"/>
    <w:rsid w:val="00242890"/>
    <w:rsid w:val="00242B03"/>
    <w:rsid w:val="00243514"/>
    <w:rsid w:val="002469F7"/>
    <w:rsid w:val="002539A1"/>
    <w:rsid w:val="00253B72"/>
    <w:rsid w:val="002542CC"/>
    <w:rsid w:val="002559A2"/>
    <w:rsid w:val="002563ED"/>
    <w:rsid w:val="00256406"/>
    <w:rsid w:val="0026049D"/>
    <w:rsid w:val="00263B55"/>
    <w:rsid w:val="002653BB"/>
    <w:rsid w:val="00266729"/>
    <w:rsid w:val="00266BC6"/>
    <w:rsid w:val="00267947"/>
    <w:rsid w:val="00267AB2"/>
    <w:rsid w:val="0027137C"/>
    <w:rsid w:val="00274585"/>
    <w:rsid w:val="00281365"/>
    <w:rsid w:val="0028188E"/>
    <w:rsid w:val="002843D9"/>
    <w:rsid w:val="002903CB"/>
    <w:rsid w:val="00291252"/>
    <w:rsid w:val="002915A8"/>
    <w:rsid w:val="00291981"/>
    <w:rsid w:val="00291F64"/>
    <w:rsid w:val="00293159"/>
    <w:rsid w:val="002A0707"/>
    <w:rsid w:val="002A17C4"/>
    <w:rsid w:val="002A2B5D"/>
    <w:rsid w:val="002A349B"/>
    <w:rsid w:val="002A3665"/>
    <w:rsid w:val="002A4A76"/>
    <w:rsid w:val="002A5E72"/>
    <w:rsid w:val="002A5F58"/>
    <w:rsid w:val="002B10EE"/>
    <w:rsid w:val="002B2798"/>
    <w:rsid w:val="002B4372"/>
    <w:rsid w:val="002B445D"/>
    <w:rsid w:val="002B5973"/>
    <w:rsid w:val="002C0F1F"/>
    <w:rsid w:val="002C1999"/>
    <w:rsid w:val="002C3DCC"/>
    <w:rsid w:val="002C41FF"/>
    <w:rsid w:val="002C43DB"/>
    <w:rsid w:val="002C5D72"/>
    <w:rsid w:val="002D0F32"/>
    <w:rsid w:val="002D1B76"/>
    <w:rsid w:val="002D41B7"/>
    <w:rsid w:val="002D6E86"/>
    <w:rsid w:val="002D73EF"/>
    <w:rsid w:val="002D750B"/>
    <w:rsid w:val="002E5A78"/>
    <w:rsid w:val="002E64CB"/>
    <w:rsid w:val="002E7DDB"/>
    <w:rsid w:val="002F0044"/>
    <w:rsid w:val="002F0388"/>
    <w:rsid w:val="002F3FAF"/>
    <w:rsid w:val="003002D3"/>
    <w:rsid w:val="00303C59"/>
    <w:rsid w:val="003058FB"/>
    <w:rsid w:val="00306501"/>
    <w:rsid w:val="003075E1"/>
    <w:rsid w:val="003079A2"/>
    <w:rsid w:val="00307A61"/>
    <w:rsid w:val="00311036"/>
    <w:rsid w:val="00311101"/>
    <w:rsid w:val="003111F0"/>
    <w:rsid w:val="00313641"/>
    <w:rsid w:val="00313967"/>
    <w:rsid w:val="00314E67"/>
    <w:rsid w:val="003154F6"/>
    <w:rsid w:val="003160F4"/>
    <w:rsid w:val="003179EF"/>
    <w:rsid w:val="00322BCE"/>
    <w:rsid w:val="00325A3E"/>
    <w:rsid w:val="00326F48"/>
    <w:rsid w:val="00327A6E"/>
    <w:rsid w:val="00327A80"/>
    <w:rsid w:val="00330A73"/>
    <w:rsid w:val="00331316"/>
    <w:rsid w:val="00331403"/>
    <w:rsid w:val="00332F52"/>
    <w:rsid w:val="003353E8"/>
    <w:rsid w:val="00336DB2"/>
    <w:rsid w:val="00337799"/>
    <w:rsid w:val="003415D2"/>
    <w:rsid w:val="00342715"/>
    <w:rsid w:val="003445DE"/>
    <w:rsid w:val="003448C7"/>
    <w:rsid w:val="0034601A"/>
    <w:rsid w:val="0034657E"/>
    <w:rsid w:val="00350470"/>
    <w:rsid w:val="00351081"/>
    <w:rsid w:val="00353680"/>
    <w:rsid w:val="003542D4"/>
    <w:rsid w:val="003543F0"/>
    <w:rsid w:val="003555A1"/>
    <w:rsid w:val="0035631F"/>
    <w:rsid w:val="00357667"/>
    <w:rsid w:val="00360D02"/>
    <w:rsid w:val="00361CF3"/>
    <w:rsid w:val="003627DD"/>
    <w:rsid w:val="00362B7F"/>
    <w:rsid w:val="00364BAB"/>
    <w:rsid w:val="00364D74"/>
    <w:rsid w:val="0036522E"/>
    <w:rsid w:val="00367A90"/>
    <w:rsid w:val="00371671"/>
    <w:rsid w:val="0037202C"/>
    <w:rsid w:val="00372D96"/>
    <w:rsid w:val="003759AE"/>
    <w:rsid w:val="00377A77"/>
    <w:rsid w:val="003803A1"/>
    <w:rsid w:val="00380A9A"/>
    <w:rsid w:val="0038274D"/>
    <w:rsid w:val="003833E4"/>
    <w:rsid w:val="00383AB0"/>
    <w:rsid w:val="0038496B"/>
    <w:rsid w:val="0038799C"/>
    <w:rsid w:val="00387CFB"/>
    <w:rsid w:val="003909E1"/>
    <w:rsid w:val="0039178A"/>
    <w:rsid w:val="00392559"/>
    <w:rsid w:val="003939EE"/>
    <w:rsid w:val="00393A41"/>
    <w:rsid w:val="00394196"/>
    <w:rsid w:val="0039485C"/>
    <w:rsid w:val="00394D69"/>
    <w:rsid w:val="00394EED"/>
    <w:rsid w:val="00395564"/>
    <w:rsid w:val="00397835"/>
    <w:rsid w:val="00397A66"/>
    <w:rsid w:val="00397C0A"/>
    <w:rsid w:val="003A63B9"/>
    <w:rsid w:val="003A667F"/>
    <w:rsid w:val="003A7683"/>
    <w:rsid w:val="003B1165"/>
    <w:rsid w:val="003B20F1"/>
    <w:rsid w:val="003B283B"/>
    <w:rsid w:val="003B2AB5"/>
    <w:rsid w:val="003B2BA2"/>
    <w:rsid w:val="003B38AA"/>
    <w:rsid w:val="003B48BF"/>
    <w:rsid w:val="003B5313"/>
    <w:rsid w:val="003B5456"/>
    <w:rsid w:val="003C1187"/>
    <w:rsid w:val="003C195A"/>
    <w:rsid w:val="003C2DB1"/>
    <w:rsid w:val="003C4AF5"/>
    <w:rsid w:val="003C4EF8"/>
    <w:rsid w:val="003C5357"/>
    <w:rsid w:val="003D05FE"/>
    <w:rsid w:val="003D35EF"/>
    <w:rsid w:val="003D3B49"/>
    <w:rsid w:val="003D3D9E"/>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2CA2"/>
    <w:rsid w:val="004079A9"/>
    <w:rsid w:val="00407AA7"/>
    <w:rsid w:val="00411755"/>
    <w:rsid w:val="0041385B"/>
    <w:rsid w:val="00413CA9"/>
    <w:rsid w:val="00413EED"/>
    <w:rsid w:val="00414A4C"/>
    <w:rsid w:val="00415AAD"/>
    <w:rsid w:val="0041728F"/>
    <w:rsid w:val="00421682"/>
    <w:rsid w:val="004221CC"/>
    <w:rsid w:val="004235E7"/>
    <w:rsid w:val="00425526"/>
    <w:rsid w:val="004258F9"/>
    <w:rsid w:val="00425CE9"/>
    <w:rsid w:val="00426306"/>
    <w:rsid w:val="00427C97"/>
    <w:rsid w:val="0043072E"/>
    <w:rsid w:val="00430FC6"/>
    <w:rsid w:val="004331FF"/>
    <w:rsid w:val="00434AB9"/>
    <w:rsid w:val="00434C77"/>
    <w:rsid w:val="00440808"/>
    <w:rsid w:val="00443153"/>
    <w:rsid w:val="0044401F"/>
    <w:rsid w:val="00444C4C"/>
    <w:rsid w:val="00444D44"/>
    <w:rsid w:val="004452E3"/>
    <w:rsid w:val="00450993"/>
    <w:rsid w:val="004520DF"/>
    <w:rsid w:val="0045436B"/>
    <w:rsid w:val="00456257"/>
    <w:rsid w:val="00460CCB"/>
    <w:rsid w:val="00460D3F"/>
    <w:rsid w:val="00461E3E"/>
    <w:rsid w:val="004639B7"/>
    <w:rsid w:val="004647DD"/>
    <w:rsid w:val="00464A26"/>
    <w:rsid w:val="00464B19"/>
    <w:rsid w:val="00464C86"/>
    <w:rsid w:val="00464F78"/>
    <w:rsid w:val="00466AC6"/>
    <w:rsid w:val="00466E21"/>
    <w:rsid w:val="0047016B"/>
    <w:rsid w:val="00470409"/>
    <w:rsid w:val="0047306F"/>
    <w:rsid w:val="0047355F"/>
    <w:rsid w:val="0047417A"/>
    <w:rsid w:val="00477B4B"/>
    <w:rsid w:val="00477C1C"/>
    <w:rsid w:val="0048090F"/>
    <w:rsid w:val="00480C50"/>
    <w:rsid w:val="00486144"/>
    <w:rsid w:val="00486C20"/>
    <w:rsid w:val="00486F07"/>
    <w:rsid w:val="004929C8"/>
    <w:rsid w:val="00492EDB"/>
    <w:rsid w:val="00496EBA"/>
    <w:rsid w:val="004A58D1"/>
    <w:rsid w:val="004A7356"/>
    <w:rsid w:val="004A737C"/>
    <w:rsid w:val="004A7AEE"/>
    <w:rsid w:val="004A7C3A"/>
    <w:rsid w:val="004A7E85"/>
    <w:rsid w:val="004B0633"/>
    <w:rsid w:val="004B14C0"/>
    <w:rsid w:val="004B41EE"/>
    <w:rsid w:val="004B6415"/>
    <w:rsid w:val="004B7790"/>
    <w:rsid w:val="004C05A5"/>
    <w:rsid w:val="004C0FE5"/>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3783"/>
    <w:rsid w:val="004F4E76"/>
    <w:rsid w:val="004F70F9"/>
    <w:rsid w:val="004F7A13"/>
    <w:rsid w:val="005021B6"/>
    <w:rsid w:val="005024F6"/>
    <w:rsid w:val="00504096"/>
    <w:rsid w:val="00504A01"/>
    <w:rsid w:val="00505516"/>
    <w:rsid w:val="00505DD7"/>
    <w:rsid w:val="00506054"/>
    <w:rsid w:val="00507398"/>
    <w:rsid w:val="005073C6"/>
    <w:rsid w:val="00507B8C"/>
    <w:rsid w:val="00511B8D"/>
    <w:rsid w:val="00511C40"/>
    <w:rsid w:val="0051243D"/>
    <w:rsid w:val="00514A9A"/>
    <w:rsid w:val="00515BC0"/>
    <w:rsid w:val="00516F22"/>
    <w:rsid w:val="005207E3"/>
    <w:rsid w:val="00522152"/>
    <w:rsid w:val="00523686"/>
    <w:rsid w:val="00523996"/>
    <w:rsid w:val="00525911"/>
    <w:rsid w:val="00525DF8"/>
    <w:rsid w:val="00531900"/>
    <w:rsid w:val="005329D4"/>
    <w:rsid w:val="00534CC2"/>
    <w:rsid w:val="00535FFB"/>
    <w:rsid w:val="0054017F"/>
    <w:rsid w:val="0054168C"/>
    <w:rsid w:val="005434EE"/>
    <w:rsid w:val="0054508A"/>
    <w:rsid w:val="00546C60"/>
    <w:rsid w:val="005508F5"/>
    <w:rsid w:val="0055113A"/>
    <w:rsid w:val="005515D5"/>
    <w:rsid w:val="005533A1"/>
    <w:rsid w:val="00553E31"/>
    <w:rsid w:val="00554364"/>
    <w:rsid w:val="00554B37"/>
    <w:rsid w:val="00556040"/>
    <w:rsid w:val="00557587"/>
    <w:rsid w:val="00557A1C"/>
    <w:rsid w:val="00560AD6"/>
    <w:rsid w:val="00561C94"/>
    <w:rsid w:val="005632D7"/>
    <w:rsid w:val="0056359E"/>
    <w:rsid w:val="00566858"/>
    <w:rsid w:val="00567739"/>
    <w:rsid w:val="00567A1B"/>
    <w:rsid w:val="0057117C"/>
    <w:rsid w:val="0057239E"/>
    <w:rsid w:val="005724ED"/>
    <w:rsid w:val="00575896"/>
    <w:rsid w:val="00575EED"/>
    <w:rsid w:val="0057764D"/>
    <w:rsid w:val="00577829"/>
    <w:rsid w:val="005805C8"/>
    <w:rsid w:val="0058068C"/>
    <w:rsid w:val="00581104"/>
    <w:rsid w:val="00584D4C"/>
    <w:rsid w:val="005876F8"/>
    <w:rsid w:val="00590A97"/>
    <w:rsid w:val="005918AB"/>
    <w:rsid w:val="005927EE"/>
    <w:rsid w:val="00592C99"/>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4236"/>
    <w:rsid w:val="005B46EE"/>
    <w:rsid w:val="005B50A3"/>
    <w:rsid w:val="005B5D2D"/>
    <w:rsid w:val="005B70E6"/>
    <w:rsid w:val="005B7EAD"/>
    <w:rsid w:val="005C0D2A"/>
    <w:rsid w:val="005C119A"/>
    <w:rsid w:val="005C1435"/>
    <w:rsid w:val="005C2810"/>
    <w:rsid w:val="005C2BCF"/>
    <w:rsid w:val="005C4EEA"/>
    <w:rsid w:val="005C6AF2"/>
    <w:rsid w:val="005C6C52"/>
    <w:rsid w:val="005C6CC7"/>
    <w:rsid w:val="005C6FD3"/>
    <w:rsid w:val="005D060D"/>
    <w:rsid w:val="005D2896"/>
    <w:rsid w:val="005D460E"/>
    <w:rsid w:val="005D4846"/>
    <w:rsid w:val="005D6008"/>
    <w:rsid w:val="005D652A"/>
    <w:rsid w:val="005D6D67"/>
    <w:rsid w:val="005E26CF"/>
    <w:rsid w:val="005E32A3"/>
    <w:rsid w:val="005E3865"/>
    <w:rsid w:val="005E531B"/>
    <w:rsid w:val="005E7516"/>
    <w:rsid w:val="005E75FA"/>
    <w:rsid w:val="005F54A5"/>
    <w:rsid w:val="005F5722"/>
    <w:rsid w:val="005F5D74"/>
    <w:rsid w:val="005F7FD3"/>
    <w:rsid w:val="00600B60"/>
    <w:rsid w:val="006028AC"/>
    <w:rsid w:val="006043AA"/>
    <w:rsid w:val="00606054"/>
    <w:rsid w:val="00610CDE"/>
    <w:rsid w:val="006139AA"/>
    <w:rsid w:val="006140BB"/>
    <w:rsid w:val="0061565F"/>
    <w:rsid w:val="00616E48"/>
    <w:rsid w:val="006210CA"/>
    <w:rsid w:val="00622A2D"/>
    <w:rsid w:val="00623026"/>
    <w:rsid w:val="00623940"/>
    <w:rsid w:val="00630BE1"/>
    <w:rsid w:val="00630FCB"/>
    <w:rsid w:val="00632738"/>
    <w:rsid w:val="0063400F"/>
    <w:rsid w:val="00637052"/>
    <w:rsid w:val="00637DD7"/>
    <w:rsid w:val="0064336B"/>
    <w:rsid w:val="00643E56"/>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2B40"/>
    <w:rsid w:val="00664675"/>
    <w:rsid w:val="00664CC5"/>
    <w:rsid w:val="00664E83"/>
    <w:rsid w:val="00666847"/>
    <w:rsid w:val="006705FA"/>
    <w:rsid w:val="00671031"/>
    <w:rsid w:val="00673A39"/>
    <w:rsid w:val="006763EC"/>
    <w:rsid w:val="0067717C"/>
    <w:rsid w:val="006808D7"/>
    <w:rsid w:val="0068174F"/>
    <w:rsid w:val="00681787"/>
    <w:rsid w:val="006819C8"/>
    <w:rsid w:val="00683BD1"/>
    <w:rsid w:val="00683FED"/>
    <w:rsid w:val="00690AFD"/>
    <w:rsid w:val="0069185E"/>
    <w:rsid w:val="006927FA"/>
    <w:rsid w:val="00696261"/>
    <w:rsid w:val="0069782A"/>
    <w:rsid w:val="006A08D5"/>
    <w:rsid w:val="006A2764"/>
    <w:rsid w:val="006A31EB"/>
    <w:rsid w:val="006A416D"/>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861"/>
    <w:rsid w:val="006C29F2"/>
    <w:rsid w:val="006D03D8"/>
    <w:rsid w:val="006D1BB9"/>
    <w:rsid w:val="006D311D"/>
    <w:rsid w:val="006D698D"/>
    <w:rsid w:val="006D78FF"/>
    <w:rsid w:val="006D7E2A"/>
    <w:rsid w:val="006E058E"/>
    <w:rsid w:val="006E07C3"/>
    <w:rsid w:val="006E28A4"/>
    <w:rsid w:val="006E3C3D"/>
    <w:rsid w:val="006E4A32"/>
    <w:rsid w:val="006E4C0E"/>
    <w:rsid w:val="006E59B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2FB"/>
    <w:rsid w:val="007149F9"/>
    <w:rsid w:val="007200A7"/>
    <w:rsid w:val="00720A63"/>
    <w:rsid w:val="00721659"/>
    <w:rsid w:val="00722923"/>
    <w:rsid w:val="0072400C"/>
    <w:rsid w:val="0072636A"/>
    <w:rsid w:val="007274A7"/>
    <w:rsid w:val="00730B8E"/>
    <w:rsid w:val="00732A09"/>
    <w:rsid w:val="00736415"/>
    <w:rsid w:val="0073735F"/>
    <w:rsid w:val="007402B1"/>
    <w:rsid w:val="00740EA8"/>
    <w:rsid w:val="007424AC"/>
    <w:rsid w:val="00742995"/>
    <w:rsid w:val="0074514B"/>
    <w:rsid w:val="007456DC"/>
    <w:rsid w:val="007460DB"/>
    <w:rsid w:val="00746BC1"/>
    <w:rsid w:val="0074791C"/>
    <w:rsid w:val="0075085B"/>
    <w:rsid w:val="00750AF6"/>
    <w:rsid w:val="0075179F"/>
    <w:rsid w:val="00754261"/>
    <w:rsid w:val="00754C10"/>
    <w:rsid w:val="007551F4"/>
    <w:rsid w:val="007562AD"/>
    <w:rsid w:val="00757CF0"/>
    <w:rsid w:val="007605C0"/>
    <w:rsid w:val="00761F77"/>
    <w:rsid w:val="00763B53"/>
    <w:rsid w:val="007647C3"/>
    <w:rsid w:val="00765C42"/>
    <w:rsid w:val="00765F1B"/>
    <w:rsid w:val="00766201"/>
    <w:rsid w:val="0076772E"/>
    <w:rsid w:val="00770D5C"/>
    <w:rsid w:val="00771B7B"/>
    <w:rsid w:val="00772D4D"/>
    <w:rsid w:val="007738AC"/>
    <w:rsid w:val="00773CCB"/>
    <w:rsid w:val="00774A10"/>
    <w:rsid w:val="00774ED8"/>
    <w:rsid w:val="00780E20"/>
    <w:rsid w:val="007818AB"/>
    <w:rsid w:val="00782FDA"/>
    <w:rsid w:val="00785399"/>
    <w:rsid w:val="00790AF5"/>
    <w:rsid w:val="00793CC7"/>
    <w:rsid w:val="0079472F"/>
    <w:rsid w:val="007949E3"/>
    <w:rsid w:val="00794E1C"/>
    <w:rsid w:val="00795A2F"/>
    <w:rsid w:val="00795DA3"/>
    <w:rsid w:val="00796D74"/>
    <w:rsid w:val="00797F04"/>
    <w:rsid w:val="007A57F4"/>
    <w:rsid w:val="007B31B6"/>
    <w:rsid w:val="007B3529"/>
    <w:rsid w:val="007B5211"/>
    <w:rsid w:val="007C07C5"/>
    <w:rsid w:val="007C2D6B"/>
    <w:rsid w:val="007C3593"/>
    <w:rsid w:val="007D03DC"/>
    <w:rsid w:val="007D0DD1"/>
    <w:rsid w:val="007D114B"/>
    <w:rsid w:val="007D135C"/>
    <w:rsid w:val="007D2AA2"/>
    <w:rsid w:val="007D31F4"/>
    <w:rsid w:val="007D4275"/>
    <w:rsid w:val="007E0816"/>
    <w:rsid w:val="007E134F"/>
    <w:rsid w:val="007E170F"/>
    <w:rsid w:val="007E2573"/>
    <w:rsid w:val="007E3E7F"/>
    <w:rsid w:val="007E6BCE"/>
    <w:rsid w:val="007E6DF2"/>
    <w:rsid w:val="007F00D3"/>
    <w:rsid w:val="007F0D28"/>
    <w:rsid w:val="007F0D84"/>
    <w:rsid w:val="007F15F7"/>
    <w:rsid w:val="007F16A2"/>
    <w:rsid w:val="007F2174"/>
    <w:rsid w:val="007F2384"/>
    <w:rsid w:val="007F2A89"/>
    <w:rsid w:val="007F556F"/>
    <w:rsid w:val="007F76AD"/>
    <w:rsid w:val="00800AE3"/>
    <w:rsid w:val="00802367"/>
    <w:rsid w:val="0080274C"/>
    <w:rsid w:val="00802AF7"/>
    <w:rsid w:val="008031D6"/>
    <w:rsid w:val="008038C5"/>
    <w:rsid w:val="00805F7C"/>
    <w:rsid w:val="00806324"/>
    <w:rsid w:val="00806DD0"/>
    <w:rsid w:val="00810910"/>
    <w:rsid w:val="0081158D"/>
    <w:rsid w:val="00811B34"/>
    <w:rsid w:val="00811CDA"/>
    <w:rsid w:val="00814D3F"/>
    <w:rsid w:val="008212B0"/>
    <w:rsid w:val="00821A37"/>
    <w:rsid w:val="00821C94"/>
    <w:rsid w:val="00822E71"/>
    <w:rsid w:val="00824BEE"/>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1487"/>
    <w:rsid w:val="008524D0"/>
    <w:rsid w:val="00852878"/>
    <w:rsid w:val="008535EF"/>
    <w:rsid w:val="008549CE"/>
    <w:rsid w:val="0085624B"/>
    <w:rsid w:val="0085647C"/>
    <w:rsid w:val="00860B63"/>
    <w:rsid w:val="008634DC"/>
    <w:rsid w:val="00863940"/>
    <w:rsid w:val="00864A56"/>
    <w:rsid w:val="00864DC6"/>
    <w:rsid w:val="008655DD"/>
    <w:rsid w:val="00867B02"/>
    <w:rsid w:val="00870187"/>
    <w:rsid w:val="008731E1"/>
    <w:rsid w:val="008736DF"/>
    <w:rsid w:val="008741DB"/>
    <w:rsid w:val="00874B7D"/>
    <w:rsid w:val="00875E52"/>
    <w:rsid w:val="00875F60"/>
    <w:rsid w:val="00880B4D"/>
    <w:rsid w:val="008813F4"/>
    <w:rsid w:val="00881E5F"/>
    <w:rsid w:val="008829A4"/>
    <w:rsid w:val="008836DC"/>
    <w:rsid w:val="00883FCB"/>
    <w:rsid w:val="008860BD"/>
    <w:rsid w:val="008874F5"/>
    <w:rsid w:val="00887B21"/>
    <w:rsid w:val="00891B74"/>
    <w:rsid w:val="00892DE9"/>
    <w:rsid w:val="00893E28"/>
    <w:rsid w:val="00894DA5"/>
    <w:rsid w:val="0089503E"/>
    <w:rsid w:val="00895093"/>
    <w:rsid w:val="008959B9"/>
    <w:rsid w:val="00896BB6"/>
    <w:rsid w:val="008A0BF5"/>
    <w:rsid w:val="008A2046"/>
    <w:rsid w:val="008A2455"/>
    <w:rsid w:val="008A2A2F"/>
    <w:rsid w:val="008A6D95"/>
    <w:rsid w:val="008A6EC0"/>
    <w:rsid w:val="008B1171"/>
    <w:rsid w:val="008B48E2"/>
    <w:rsid w:val="008B5152"/>
    <w:rsid w:val="008B5EA0"/>
    <w:rsid w:val="008B6EE1"/>
    <w:rsid w:val="008B7E27"/>
    <w:rsid w:val="008C0AEC"/>
    <w:rsid w:val="008C0CA5"/>
    <w:rsid w:val="008C0CB4"/>
    <w:rsid w:val="008C11BE"/>
    <w:rsid w:val="008C12A2"/>
    <w:rsid w:val="008C1CF5"/>
    <w:rsid w:val="008C3CE8"/>
    <w:rsid w:val="008C3DC9"/>
    <w:rsid w:val="008C4B38"/>
    <w:rsid w:val="008C6470"/>
    <w:rsid w:val="008C7465"/>
    <w:rsid w:val="008D00A6"/>
    <w:rsid w:val="008D10DE"/>
    <w:rsid w:val="008D3DE9"/>
    <w:rsid w:val="008D54FE"/>
    <w:rsid w:val="008D639A"/>
    <w:rsid w:val="008D6B9D"/>
    <w:rsid w:val="008D7826"/>
    <w:rsid w:val="008E0AC9"/>
    <w:rsid w:val="008E1227"/>
    <w:rsid w:val="008E212A"/>
    <w:rsid w:val="008E23C2"/>
    <w:rsid w:val="008E3205"/>
    <w:rsid w:val="008E328D"/>
    <w:rsid w:val="008E383F"/>
    <w:rsid w:val="008E4FE2"/>
    <w:rsid w:val="008E5190"/>
    <w:rsid w:val="008E5F8B"/>
    <w:rsid w:val="008E79DB"/>
    <w:rsid w:val="008F199D"/>
    <w:rsid w:val="008F1CB0"/>
    <w:rsid w:val="008F1D0A"/>
    <w:rsid w:val="008F25E8"/>
    <w:rsid w:val="008F3933"/>
    <w:rsid w:val="008F405E"/>
    <w:rsid w:val="008F663E"/>
    <w:rsid w:val="008F6AB1"/>
    <w:rsid w:val="008F7791"/>
    <w:rsid w:val="00900EA0"/>
    <w:rsid w:val="00902891"/>
    <w:rsid w:val="009031A2"/>
    <w:rsid w:val="0090367E"/>
    <w:rsid w:val="00903E49"/>
    <w:rsid w:val="00903EBB"/>
    <w:rsid w:val="00904EB4"/>
    <w:rsid w:val="0090578F"/>
    <w:rsid w:val="00906027"/>
    <w:rsid w:val="009110F8"/>
    <w:rsid w:val="00915485"/>
    <w:rsid w:val="00915EB8"/>
    <w:rsid w:val="00916A2C"/>
    <w:rsid w:val="00916ADD"/>
    <w:rsid w:val="009177C9"/>
    <w:rsid w:val="00917932"/>
    <w:rsid w:val="00921023"/>
    <w:rsid w:val="00921C9B"/>
    <w:rsid w:val="00921E9F"/>
    <w:rsid w:val="0092229A"/>
    <w:rsid w:val="00923DCD"/>
    <w:rsid w:val="009249E5"/>
    <w:rsid w:val="00925D18"/>
    <w:rsid w:val="00927AA9"/>
    <w:rsid w:val="00927B5B"/>
    <w:rsid w:val="00930D55"/>
    <w:rsid w:val="00931C5B"/>
    <w:rsid w:val="00932F5A"/>
    <w:rsid w:val="00933610"/>
    <w:rsid w:val="00933B07"/>
    <w:rsid w:val="00934561"/>
    <w:rsid w:val="00944F28"/>
    <w:rsid w:val="00945F9A"/>
    <w:rsid w:val="009523E9"/>
    <w:rsid w:val="00953BD4"/>
    <w:rsid w:val="00953DE1"/>
    <w:rsid w:val="00954C4D"/>
    <w:rsid w:val="00955D18"/>
    <w:rsid w:val="00960E94"/>
    <w:rsid w:val="009619CC"/>
    <w:rsid w:val="00963089"/>
    <w:rsid w:val="0096362C"/>
    <w:rsid w:val="00963FE9"/>
    <w:rsid w:val="009650BD"/>
    <w:rsid w:val="00966084"/>
    <w:rsid w:val="009661A6"/>
    <w:rsid w:val="00966E9D"/>
    <w:rsid w:val="00967A30"/>
    <w:rsid w:val="00967E69"/>
    <w:rsid w:val="00974757"/>
    <w:rsid w:val="00974AD2"/>
    <w:rsid w:val="00975DEF"/>
    <w:rsid w:val="00976875"/>
    <w:rsid w:val="00977579"/>
    <w:rsid w:val="00977961"/>
    <w:rsid w:val="00977C46"/>
    <w:rsid w:val="009804DC"/>
    <w:rsid w:val="009814EC"/>
    <w:rsid w:val="0098230F"/>
    <w:rsid w:val="00983C32"/>
    <w:rsid w:val="0098597A"/>
    <w:rsid w:val="009860AD"/>
    <w:rsid w:val="009867C1"/>
    <w:rsid w:val="00987EAE"/>
    <w:rsid w:val="0099016F"/>
    <w:rsid w:val="00992591"/>
    <w:rsid w:val="00992739"/>
    <w:rsid w:val="0099424C"/>
    <w:rsid w:val="0099587F"/>
    <w:rsid w:val="009967CB"/>
    <w:rsid w:val="009A0DEA"/>
    <w:rsid w:val="009A1F1D"/>
    <w:rsid w:val="009A24AD"/>
    <w:rsid w:val="009A495E"/>
    <w:rsid w:val="009A51F0"/>
    <w:rsid w:val="009A791D"/>
    <w:rsid w:val="009A7FA8"/>
    <w:rsid w:val="009B0BC4"/>
    <w:rsid w:val="009B0BC8"/>
    <w:rsid w:val="009B10FF"/>
    <w:rsid w:val="009B3504"/>
    <w:rsid w:val="009B4402"/>
    <w:rsid w:val="009B5536"/>
    <w:rsid w:val="009C1289"/>
    <w:rsid w:val="009C4B4E"/>
    <w:rsid w:val="009C6421"/>
    <w:rsid w:val="009C7881"/>
    <w:rsid w:val="009D0DE4"/>
    <w:rsid w:val="009D383A"/>
    <w:rsid w:val="009D3AE0"/>
    <w:rsid w:val="009D5BAA"/>
    <w:rsid w:val="009D6AF9"/>
    <w:rsid w:val="009E1DC8"/>
    <w:rsid w:val="009E5563"/>
    <w:rsid w:val="009E5C1F"/>
    <w:rsid w:val="009F02EC"/>
    <w:rsid w:val="009F05CF"/>
    <w:rsid w:val="009F09F1"/>
    <w:rsid w:val="009F40D9"/>
    <w:rsid w:val="009F475D"/>
    <w:rsid w:val="009F4BE9"/>
    <w:rsid w:val="009F58A3"/>
    <w:rsid w:val="009F7736"/>
    <w:rsid w:val="00A0080F"/>
    <w:rsid w:val="00A0181D"/>
    <w:rsid w:val="00A02081"/>
    <w:rsid w:val="00A02258"/>
    <w:rsid w:val="00A02AB3"/>
    <w:rsid w:val="00A04281"/>
    <w:rsid w:val="00A0447D"/>
    <w:rsid w:val="00A05870"/>
    <w:rsid w:val="00A0670F"/>
    <w:rsid w:val="00A07E52"/>
    <w:rsid w:val="00A100FF"/>
    <w:rsid w:val="00A108CC"/>
    <w:rsid w:val="00A11345"/>
    <w:rsid w:val="00A11D42"/>
    <w:rsid w:val="00A134D8"/>
    <w:rsid w:val="00A14950"/>
    <w:rsid w:val="00A16EE4"/>
    <w:rsid w:val="00A1766C"/>
    <w:rsid w:val="00A17F1A"/>
    <w:rsid w:val="00A22001"/>
    <w:rsid w:val="00A222A7"/>
    <w:rsid w:val="00A24AFA"/>
    <w:rsid w:val="00A25D87"/>
    <w:rsid w:val="00A26386"/>
    <w:rsid w:val="00A31921"/>
    <w:rsid w:val="00A34ED8"/>
    <w:rsid w:val="00A355C7"/>
    <w:rsid w:val="00A36716"/>
    <w:rsid w:val="00A36A65"/>
    <w:rsid w:val="00A372EE"/>
    <w:rsid w:val="00A429DA"/>
    <w:rsid w:val="00A4405B"/>
    <w:rsid w:val="00A44AE9"/>
    <w:rsid w:val="00A45CD8"/>
    <w:rsid w:val="00A54ACB"/>
    <w:rsid w:val="00A55ABB"/>
    <w:rsid w:val="00A56055"/>
    <w:rsid w:val="00A56B6D"/>
    <w:rsid w:val="00A57F27"/>
    <w:rsid w:val="00A60027"/>
    <w:rsid w:val="00A61E8F"/>
    <w:rsid w:val="00A6266F"/>
    <w:rsid w:val="00A63F16"/>
    <w:rsid w:val="00A65DD2"/>
    <w:rsid w:val="00A679BC"/>
    <w:rsid w:val="00A70063"/>
    <w:rsid w:val="00A7009D"/>
    <w:rsid w:val="00A71A8D"/>
    <w:rsid w:val="00A71EF4"/>
    <w:rsid w:val="00A72D7A"/>
    <w:rsid w:val="00A74327"/>
    <w:rsid w:val="00A7436E"/>
    <w:rsid w:val="00A76812"/>
    <w:rsid w:val="00A76B23"/>
    <w:rsid w:val="00A80AAC"/>
    <w:rsid w:val="00A81584"/>
    <w:rsid w:val="00A86D47"/>
    <w:rsid w:val="00A91E1F"/>
    <w:rsid w:val="00A9340A"/>
    <w:rsid w:val="00A944F3"/>
    <w:rsid w:val="00A96E05"/>
    <w:rsid w:val="00A97E15"/>
    <w:rsid w:val="00AA179C"/>
    <w:rsid w:val="00AA18AE"/>
    <w:rsid w:val="00AA2776"/>
    <w:rsid w:val="00AA4125"/>
    <w:rsid w:val="00AA4AA6"/>
    <w:rsid w:val="00AA5DB4"/>
    <w:rsid w:val="00AB16BF"/>
    <w:rsid w:val="00AB1FBE"/>
    <w:rsid w:val="00AB24C8"/>
    <w:rsid w:val="00AB4252"/>
    <w:rsid w:val="00AB508B"/>
    <w:rsid w:val="00AC16E1"/>
    <w:rsid w:val="00AC27AB"/>
    <w:rsid w:val="00AC5086"/>
    <w:rsid w:val="00AC5496"/>
    <w:rsid w:val="00AD173D"/>
    <w:rsid w:val="00AD2465"/>
    <w:rsid w:val="00AD442D"/>
    <w:rsid w:val="00AD6554"/>
    <w:rsid w:val="00AE0A04"/>
    <w:rsid w:val="00AE14F3"/>
    <w:rsid w:val="00AE20D3"/>
    <w:rsid w:val="00AE22F2"/>
    <w:rsid w:val="00AE2392"/>
    <w:rsid w:val="00AE24DF"/>
    <w:rsid w:val="00AE3428"/>
    <w:rsid w:val="00AE5B1E"/>
    <w:rsid w:val="00AE79CA"/>
    <w:rsid w:val="00AF310D"/>
    <w:rsid w:val="00AF328F"/>
    <w:rsid w:val="00AF4582"/>
    <w:rsid w:val="00AF6B3D"/>
    <w:rsid w:val="00AF6F3E"/>
    <w:rsid w:val="00B03922"/>
    <w:rsid w:val="00B04ACF"/>
    <w:rsid w:val="00B053C6"/>
    <w:rsid w:val="00B07386"/>
    <w:rsid w:val="00B10030"/>
    <w:rsid w:val="00B104E7"/>
    <w:rsid w:val="00B14DAA"/>
    <w:rsid w:val="00B16E80"/>
    <w:rsid w:val="00B17D6B"/>
    <w:rsid w:val="00B234E3"/>
    <w:rsid w:val="00B274CC"/>
    <w:rsid w:val="00B32641"/>
    <w:rsid w:val="00B33A06"/>
    <w:rsid w:val="00B34AF2"/>
    <w:rsid w:val="00B35253"/>
    <w:rsid w:val="00B40107"/>
    <w:rsid w:val="00B4093A"/>
    <w:rsid w:val="00B419F8"/>
    <w:rsid w:val="00B43B74"/>
    <w:rsid w:val="00B44DE2"/>
    <w:rsid w:val="00B4742A"/>
    <w:rsid w:val="00B50DEE"/>
    <w:rsid w:val="00B50F6E"/>
    <w:rsid w:val="00B52FBD"/>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5A56"/>
    <w:rsid w:val="00B75A7B"/>
    <w:rsid w:val="00B77EB1"/>
    <w:rsid w:val="00B811EC"/>
    <w:rsid w:val="00B81ED2"/>
    <w:rsid w:val="00B82F3D"/>
    <w:rsid w:val="00B83530"/>
    <w:rsid w:val="00B85972"/>
    <w:rsid w:val="00B87120"/>
    <w:rsid w:val="00B92979"/>
    <w:rsid w:val="00B929A5"/>
    <w:rsid w:val="00B939A6"/>
    <w:rsid w:val="00B94955"/>
    <w:rsid w:val="00B97C33"/>
    <w:rsid w:val="00B97F73"/>
    <w:rsid w:val="00BA020D"/>
    <w:rsid w:val="00BA0A81"/>
    <w:rsid w:val="00BA0C8A"/>
    <w:rsid w:val="00BA1E37"/>
    <w:rsid w:val="00BA4901"/>
    <w:rsid w:val="00BA49CA"/>
    <w:rsid w:val="00BA5F2A"/>
    <w:rsid w:val="00BA6C29"/>
    <w:rsid w:val="00BA72BD"/>
    <w:rsid w:val="00BB026F"/>
    <w:rsid w:val="00BB3FB2"/>
    <w:rsid w:val="00BB5370"/>
    <w:rsid w:val="00BB6031"/>
    <w:rsid w:val="00BB65C4"/>
    <w:rsid w:val="00BB7B9D"/>
    <w:rsid w:val="00BC4431"/>
    <w:rsid w:val="00BC4B7F"/>
    <w:rsid w:val="00BC5473"/>
    <w:rsid w:val="00BC6E2E"/>
    <w:rsid w:val="00BC7DE7"/>
    <w:rsid w:val="00BD097C"/>
    <w:rsid w:val="00BD2639"/>
    <w:rsid w:val="00BD4CC9"/>
    <w:rsid w:val="00BD4EB5"/>
    <w:rsid w:val="00BD5B6F"/>
    <w:rsid w:val="00BD620F"/>
    <w:rsid w:val="00BE364C"/>
    <w:rsid w:val="00BE37BA"/>
    <w:rsid w:val="00BF1785"/>
    <w:rsid w:val="00BF2010"/>
    <w:rsid w:val="00BF2365"/>
    <w:rsid w:val="00BF2E5D"/>
    <w:rsid w:val="00BF4496"/>
    <w:rsid w:val="00BF4BCD"/>
    <w:rsid w:val="00BF688B"/>
    <w:rsid w:val="00C01120"/>
    <w:rsid w:val="00C01A8A"/>
    <w:rsid w:val="00C0229B"/>
    <w:rsid w:val="00C04263"/>
    <w:rsid w:val="00C04273"/>
    <w:rsid w:val="00C044F5"/>
    <w:rsid w:val="00C04732"/>
    <w:rsid w:val="00C07936"/>
    <w:rsid w:val="00C07E13"/>
    <w:rsid w:val="00C1115F"/>
    <w:rsid w:val="00C1160A"/>
    <w:rsid w:val="00C11D42"/>
    <w:rsid w:val="00C12328"/>
    <w:rsid w:val="00C12A12"/>
    <w:rsid w:val="00C12B67"/>
    <w:rsid w:val="00C13825"/>
    <w:rsid w:val="00C13A7D"/>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53E"/>
    <w:rsid w:val="00C31597"/>
    <w:rsid w:val="00C4067A"/>
    <w:rsid w:val="00C41BC5"/>
    <w:rsid w:val="00C454C8"/>
    <w:rsid w:val="00C46454"/>
    <w:rsid w:val="00C47D9F"/>
    <w:rsid w:val="00C515E0"/>
    <w:rsid w:val="00C5183B"/>
    <w:rsid w:val="00C522C9"/>
    <w:rsid w:val="00C55D8A"/>
    <w:rsid w:val="00C57333"/>
    <w:rsid w:val="00C57A19"/>
    <w:rsid w:val="00C61790"/>
    <w:rsid w:val="00C62955"/>
    <w:rsid w:val="00C64256"/>
    <w:rsid w:val="00C64815"/>
    <w:rsid w:val="00C64A18"/>
    <w:rsid w:val="00C64C12"/>
    <w:rsid w:val="00C66947"/>
    <w:rsid w:val="00C703D4"/>
    <w:rsid w:val="00C7096C"/>
    <w:rsid w:val="00C70A83"/>
    <w:rsid w:val="00C726AA"/>
    <w:rsid w:val="00C72F05"/>
    <w:rsid w:val="00C73BEF"/>
    <w:rsid w:val="00C74BBA"/>
    <w:rsid w:val="00C7512A"/>
    <w:rsid w:val="00C761B3"/>
    <w:rsid w:val="00C8222D"/>
    <w:rsid w:val="00C835B2"/>
    <w:rsid w:val="00C85AC8"/>
    <w:rsid w:val="00C87EFC"/>
    <w:rsid w:val="00C90593"/>
    <w:rsid w:val="00C90C12"/>
    <w:rsid w:val="00C92ED9"/>
    <w:rsid w:val="00C937E3"/>
    <w:rsid w:val="00C97992"/>
    <w:rsid w:val="00C97B34"/>
    <w:rsid w:val="00CA1241"/>
    <w:rsid w:val="00CA1941"/>
    <w:rsid w:val="00CB10E5"/>
    <w:rsid w:val="00CB1D32"/>
    <w:rsid w:val="00CB3732"/>
    <w:rsid w:val="00CB40EE"/>
    <w:rsid w:val="00CB5CC4"/>
    <w:rsid w:val="00CC0E6A"/>
    <w:rsid w:val="00CC19E0"/>
    <w:rsid w:val="00CC3E39"/>
    <w:rsid w:val="00CC4171"/>
    <w:rsid w:val="00CC4385"/>
    <w:rsid w:val="00CC49A2"/>
    <w:rsid w:val="00CC57DC"/>
    <w:rsid w:val="00CC6AD3"/>
    <w:rsid w:val="00CC734B"/>
    <w:rsid w:val="00CD1811"/>
    <w:rsid w:val="00CD2E7B"/>
    <w:rsid w:val="00CD4639"/>
    <w:rsid w:val="00CD5F76"/>
    <w:rsid w:val="00CD6411"/>
    <w:rsid w:val="00CE27BF"/>
    <w:rsid w:val="00CE5779"/>
    <w:rsid w:val="00CE653A"/>
    <w:rsid w:val="00CF2663"/>
    <w:rsid w:val="00CF35FC"/>
    <w:rsid w:val="00CF53C8"/>
    <w:rsid w:val="00CF5F66"/>
    <w:rsid w:val="00CF63CB"/>
    <w:rsid w:val="00CF7A15"/>
    <w:rsid w:val="00D00275"/>
    <w:rsid w:val="00D00B99"/>
    <w:rsid w:val="00D0129A"/>
    <w:rsid w:val="00D033AB"/>
    <w:rsid w:val="00D0410B"/>
    <w:rsid w:val="00D0422F"/>
    <w:rsid w:val="00D05BB8"/>
    <w:rsid w:val="00D06776"/>
    <w:rsid w:val="00D06A85"/>
    <w:rsid w:val="00D13369"/>
    <w:rsid w:val="00D13F17"/>
    <w:rsid w:val="00D14053"/>
    <w:rsid w:val="00D14D46"/>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40A15"/>
    <w:rsid w:val="00D40BA4"/>
    <w:rsid w:val="00D4141E"/>
    <w:rsid w:val="00D416D2"/>
    <w:rsid w:val="00D4227C"/>
    <w:rsid w:val="00D502B8"/>
    <w:rsid w:val="00D504C3"/>
    <w:rsid w:val="00D51474"/>
    <w:rsid w:val="00D538D3"/>
    <w:rsid w:val="00D56136"/>
    <w:rsid w:val="00D56D1A"/>
    <w:rsid w:val="00D601FC"/>
    <w:rsid w:val="00D606E2"/>
    <w:rsid w:val="00D62387"/>
    <w:rsid w:val="00D62A5F"/>
    <w:rsid w:val="00D64CA3"/>
    <w:rsid w:val="00D67A5D"/>
    <w:rsid w:val="00D67C7B"/>
    <w:rsid w:val="00D71342"/>
    <w:rsid w:val="00D7472A"/>
    <w:rsid w:val="00D74A5E"/>
    <w:rsid w:val="00D81307"/>
    <w:rsid w:val="00D82C94"/>
    <w:rsid w:val="00D83969"/>
    <w:rsid w:val="00D84D1C"/>
    <w:rsid w:val="00D86311"/>
    <w:rsid w:val="00D90188"/>
    <w:rsid w:val="00D92D5B"/>
    <w:rsid w:val="00D93206"/>
    <w:rsid w:val="00D95007"/>
    <w:rsid w:val="00D96879"/>
    <w:rsid w:val="00D97E9B"/>
    <w:rsid w:val="00D97EA9"/>
    <w:rsid w:val="00DA0BA0"/>
    <w:rsid w:val="00DA21B4"/>
    <w:rsid w:val="00DA6571"/>
    <w:rsid w:val="00DB4472"/>
    <w:rsid w:val="00DB4A7C"/>
    <w:rsid w:val="00DB4B5E"/>
    <w:rsid w:val="00DB564E"/>
    <w:rsid w:val="00DB69D2"/>
    <w:rsid w:val="00DB73A9"/>
    <w:rsid w:val="00DC21B2"/>
    <w:rsid w:val="00DC543D"/>
    <w:rsid w:val="00DC7A11"/>
    <w:rsid w:val="00DC7ED7"/>
    <w:rsid w:val="00DC7FAC"/>
    <w:rsid w:val="00DD0491"/>
    <w:rsid w:val="00DD05C4"/>
    <w:rsid w:val="00DD05FE"/>
    <w:rsid w:val="00DD07C9"/>
    <w:rsid w:val="00DD0C2E"/>
    <w:rsid w:val="00DD3CE5"/>
    <w:rsid w:val="00DD5011"/>
    <w:rsid w:val="00DD64AF"/>
    <w:rsid w:val="00DD6AE4"/>
    <w:rsid w:val="00DD6D5D"/>
    <w:rsid w:val="00DD7879"/>
    <w:rsid w:val="00DD7D2B"/>
    <w:rsid w:val="00DE1B14"/>
    <w:rsid w:val="00DE25EF"/>
    <w:rsid w:val="00DE4C44"/>
    <w:rsid w:val="00DE4F63"/>
    <w:rsid w:val="00DE59B3"/>
    <w:rsid w:val="00DE6866"/>
    <w:rsid w:val="00DF2441"/>
    <w:rsid w:val="00DF29AB"/>
    <w:rsid w:val="00DF2ED9"/>
    <w:rsid w:val="00DF4971"/>
    <w:rsid w:val="00DF76D7"/>
    <w:rsid w:val="00DF776E"/>
    <w:rsid w:val="00DF7C95"/>
    <w:rsid w:val="00E01B2D"/>
    <w:rsid w:val="00E03C2F"/>
    <w:rsid w:val="00E06D7D"/>
    <w:rsid w:val="00E07AE2"/>
    <w:rsid w:val="00E1002C"/>
    <w:rsid w:val="00E112B9"/>
    <w:rsid w:val="00E1288A"/>
    <w:rsid w:val="00E12B0C"/>
    <w:rsid w:val="00E12CA4"/>
    <w:rsid w:val="00E165E5"/>
    <w:rsid w:val="00E17510"/>
    <w:rsid w:val="00E17B8F"/>
    <w:rsid w:val="00E2126D"/>
    <w:rsid w:val="00E21B91"/>
    <w:rsid w:val="00E21BCC"/>
    <w:rsid w:val="00E2261E"/>
    <w:rsid w:val="00E226E9"/>
    <w:rsid w:val="00E24E8C"/>
    <w:rsid w:val="00E30A3C"/>
    <w:rsid w:val="00E30C86"/>
    <w:rsid w:val="00E32722"/>
    <w:rsid w:val="00E33B33"/>
    <w:rsid w:val="00E34658"/>
    <w:rsid w:val="00E3526B"/>
    <w:rsid w:val="00E37047"/>
    <w:rsid w:val="00E37661"/>
    <w:rsid w:val="00E41633"/>
    <w:rsid w:val="00E417E3"/>
    <w:rsid w:val="00E4347A"/>
    <w:rsid w:val="00E435F2"/>
    <w:rsid w:val="00E44AB4"/>
    <w:rsid w:val="00E44B09"/>
    <w:rsid w:val="00E45BEF"/>
    <w:rsid w:val="00E46012"/>
    <w:rsid w:val="00E50405"/>
    <w:rsid w:val="00E53230"/>
    <w:rsid w:val="00E5375C"/>
    <w:rsid w:val="00E53AE5"/>
    <w:rsid w:val="00E54FA7"/>
    <w:rsid w:val="00E55EF4"/>
    <w:rsid w:val="00E568E7"/>
    <w:rsid w:val="00E57F1B"/>
    <w:rsid w:val="00E602DF"/>
    <w:rsid w:val="00E6048D"/>
    <w:rsid w:val="00E62608"/>
    <w:rsid w:val="00E63E28"/>
    <w:rsid w:val="00E643F2"/>
    <w:rsid w:val="00E6444F"/>
    <w:rsid w:val="00E6466A"/>
    <w:rsid w:val="00E65473"/>
    <w:rsid w:val="00E655A4"/>
    <w:rsid w:val="00E6566F"/>
    <w:rsid w:val="00E66299"/>
    <w:rsid w:val="00E70827"/>
    <w:rsid w:val="00E70DF7"/>
    <w:rsid w:val="00E71C7E"/>
    <w:rsid w:val="00E752BD"/>
    <w:rsid w:val="00E75D87"/>
    <w:rsid w:val="00E80D97"/>
    <w:rsid w:val="00E81A13"/>
    <w:rsid w:val="00E82F78"/>
    <w:rsid w:val="00E83647"/>
    <w:rsid w:val="00E83C53"/>
    <w:rsid w:val="00E83F3B"/>
    <w:rsid w:val="00E84AF3"/>
    <w:rsid w:val="00E850CE"/>
    <w:rsid w:val="00E855C2"/>
    <w:rsid w:val="00E918FA"/>
    <w:rsid w:val="00E94287"/>
    <w:rsid w:val="00E9483D"/>
    <w:rsid w:val="00E9527E"/>
    <w:rsid w:val="00E97693"/>
    <w:rsid w:val="00EA005D"/>
    <w:rsid w:val="00EA33A4"/>
    <w:rsid w:val="00EA3B47"/>
    <w:rsid w:val="00EA45D8"/>
    <w:rsid w:val="00EA5C24"/>
    <w:rsid w:val="00EA5F81"/>
    <w:rsid w:val="00EA7B88"/>
    <w:rsid w:val="00EB44EE"/>
    <w:rsid w:val="00EB6E7A"/>
    <w:rsid w:val="00EC13B7"/>
    <w:rsid w:val="00EC1BD8"/>
    <w:rsid w:val="00EC2AB1"/>
    <w:rsid w:val="00EC423F"/>
    <w:rsid w:val="00EC63E2"/>
    <w:rsid w:val="00EC69E1"/>
    <w:rsid w:val="00EC6D2D"/>
    <w:rsid w:val="00EC713A"/>
    <w:rsid w:val="00ED0F60"/>
    <w:rsid w:val="00ED2564"/>
    <w:rsid w:val="00ED2941"/>
    <w:rsid w:val="00ED65ED"/>
    <w:rsid w:val="00EE25F5"/>
    <w:rsid w:val="00EE278E"/>
    <w:rsid w:val="00EE3AEB"/>
    <w:rsid w:val="00EE4363"/>
    <w:rsid w:val="00EE5CC0"/>
    <w:rsid w:val="00EF0FE0"/>
    <w:rsid w:val="00EF1FF3"/>
    <w:rsid w:val="00EF2BED"/>
    <w:rsid w:val="00EF5987"/>
    <w:rsid w:val="00EF64A8"/>
    <w:rsid w:val="00F01448"/>
    <w:rsid w:val="00F01EBA"/>
    <w:rsid w:val="00F024B3"/>
    <w:rsid w:val="00F046C3"/>
    <w:rsid w:val="00F04B25"/>
    <w:rsid w:val="00F04D10"/>
    <w:rsid w:val="00F051B3"/>
    <w:rsid w:val="00F06136"/>
    <w:rsid w:val="00F1063D"/>
    <w:rsid w:val="00F139A5"/>
    <w:rsid w:val="00F13AE7"/>
    <w:rsid w:val="00F1658B"/>
    <w:rsid w:val="00F215A9"/>
    <w:rsid w:val="00F21A6E"/>
    <w:rsid w:val="00F226CE"/>
    <w:rsid w:val="00F23BB1"/>
    <w:rsid w:val="00F24CCC"/>
    <w:rsid w:val="00F25C93"/>
    <w:rsid w:val="00F27DB8"/>
    <w:rsid w:val="00F3080D"/>
    <w:rsid w:val="00F31ACB"/>
    <w:rsid w:val="00F327DB"/>
    <w:rsid w:val="00F32D1A"/>
    <w:rsid w:val="00F32EE8"/>
    <w:rsid w:val="00F33BFD"/>
    <w:rsid w:val="00F36F50"/>
    <w:rsid w:val="00F410EA"/>
    <w:rsid w:val="00F413C3"/>
    <w:rsid w:val="00F42FBF"/>
    <w:rsid w:val="00F44F7C"/>
    <w:rsid w:val="00F4567B"/>
    <w:rsid w:val="00F47577"/>
    <w:rsid w:val="00F513F7"/>
    <w:rsid w:val="00F5294A"/>
    <w:rsid w:val="00F533AD"/>
    <w:rsid w:val="00F533C5"/>
    <w:rsid w:val="00F534B9"/>
    <w:rsid w:val="00F5728B"/>
    <w:rsid w:val="00F61B63"/>
    <w:rsid w:val="00F61E0A"/>
    <w:rsid w:val="00F671B2"/>
    <w:rsid w:val="00F672FE"/>
    <w:rsid w:val="00F673C4"/>
    <w:rsid w:val="00F7022D"/>
    <w:rsid w:val="00F70FF1"/>
    <w:rsid w:val="00F70FFA"/>
    <w:rsid w:val="00F728F6"/>
    <w:rsid w:val="00F73B1E"/>
    <w:rsid w:val="00F74BB3"/>
    <w:rsid w:val="00F76EFE"/>
    <w:rsid w:val="00F77554"/>
    <w:rsid w:val="00F8102D"/>
    <w:rsid w:val="00F81B41"/>
    <w:rsid w:val="00F82F52"/>
    <w:rsid w:val="00F83F52"/>
    <w:rsid w:val="00F84C0F"/>
    <w:rsid w:val="00F86641"/>
    <w:rsid w:val="00F86EB4"/>
    <w:rsid w:val="00F86ED1"/>
    <w:rsid w:val="00F87901"/>
    <w:rsid w:val="00F91945"/>
    <w:rsid w:val="00F91FCF"/>
    <w:rsid w:val="00F92923"/>
    <w:rsid w:val="00F93A92"/>
    <w:rsid w:val="00F955CF"/>
    <w:rsid w:val="00F9673A"/>
    <w:rsid w:val="00F97A2D"/>
    <w:rsid w:val="00FA0840"/>
    <w:rsid w:val="00FA08A4"/>
    <w:rsid w:val="00FA0AD4"/>
    <w:rsid w:val="00FA27F5"/>
    <w:rsid w:val="00FA2E43"/>
    <w:rsid w:val="00FA63F1"/>
    <w:rsid w:val="00FA65B3"/>
    <w:rsid w:val="00FA681F"/>
    <w:rsid w:val="00FA773F"/>
    <w:rsid w:val="00FA7B89"/>
    <w:rsid w:val="00FB19F4"/>
    <w:rsid w:val="00FB1F36"/>
    <w:rsid w:val="00FB4732"/>
    <w:rsid w:val="00FB5355"/>
    <w:rsid w:val="00FB5CC0"/>
    <w:rsid w:val="00FB6FED"/>
    <w:rsid w:val="00FB72FC"/>
    <w:rsid w:val="00FB7F26"/>
    <w:rsid w:val="00FC3325"/>
    <w:rsid w:val="00FC4239"/>
    <w:rsid w:val="00FC45F0"/>
    <w:rsid w:val="00FC5610"/>
    <w:rsid w:val="00FD126B"/>
    <w:rsid w:val="00FD1A59"/>
    <w:rsid w:val="00FD1EF9"/>
    <w:rsid w:val="00FD5BD5"/>
    <w:rsid w:val="00FD7DA4"/>
    <w:rsid w:val="00FD7E01"/>
    <w:rsid w:val="00FE16FC"/>
    <w:rsid w:val="00FE21A5"/>
    <w:rsid w:val="00FE33DE"/>
    <w:rsid w:val="00FE57C9"/>
    <w:rsid w:val="00FE7485"/>
    <w:rsid w:val="00FF15DA"/>
    <w:rsid w:val="00FF1B46"/>
    <w:rsid w:val="00FF2067"/>
    <w:rsid w:val="00FF3F1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ind w:left="720" w:hanging="720"/>
      <w:outlineLvl w:val="0"/>
    </w:pPr>
    <w:rPr>
      <w:kern w:val="28"/>
    </w:rPr>
  </w:style>
  <w:style w:type="paragraph" w:styleId="Heading2">
    <w:name w:val="heading 2"/>
    <w:basedOn w:val="Normal"/>
    <w:next w:val="Normal"/>
    <w:link w:val="Heading2Char"/>
    <w:qFormat/>
    <w:rsid w:val="0036522E"/>
    <w:pPr>
      <w:numPr>
        <w:ilvl w:val="1"/>
        <w:numId w:val="1"/>
      </w:numPr>
      <w:ind w:left="720" w:hanging="720"/>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val="it-IT" w:eastAsia="it-IT" w:bidi="it-IT"/>
    </w:rPr>
  </w:style>
  <w:style w:type="character" w:customStyle="1" w:styleId="Heading2Char">
    <w:name w:val="Heading 2 Char"/>
    <w:basedOn w:val="DefaultParagraphFont"/>
    <w:link w:val="Heading2"/>
    <w:qFormat/>
    <w:locked/>
    <w:rsid w:val="003B283B"/>
    <w:rPr>
      <w:rFonts w:ascii="Times New Roman" w:hAnsi="Times New Roman"/>
      <w:sz w:val="22"/>
      <w:lang w:val="it-IT" w:eastAsia="it-IT" w:bidi="it-IT"/>
    </w:rPr>
  </w:style>
  <w:style w:type="character" w:customStyle="1" w:styleId="Heading3Char">
    <w:name w:val="Heading 3 Char"/>
    <w:basedOn w:val="DefaultParagraphFont"/>
    <w:link w:val="Heading3"/>
    <w:locked/>
    <w:rsid w:val="003B283B"/>
    <w:rPr>
      <w:rFonts w:ascii="Times New Roman" w:hAnsi="Times New Roman"/>
      <w:sz w:val="22"/>
      <w:lang w:val="it-IT" w:eastAsia="it-IT" w:bidi="it-IT"/>
    </w:rPr>
  </w:style>
  <w:style w:type="character" w:customStyle="1" w:styleId="Heading4Char">
    <w:name w:val="Heading 4 Char"/>
    <w:basedOn w:val="DefaultParagraphFont"/>
    <w:link w:val="Heading4"/>
    <w:locked/>
    <w:rsid w:val="003B283B"/>
    <w:rPr>
      <w:rFonts w:ascii="Times New Roman" w:hAnsi="Times New Roman"/>
      <w:sz w:val="22"/>
      <w:lang w:val="it-IT" w:eastAsia="it-IT" w:bidi="it-IT"/>
    </w:rPr>
  </w:style>
  <w:style w:type="character" w:customStyle="1" w:styleId="Heading5Char">
    <w:name w:val="Heading 5 Char"/>
    <w:basedOn w:val="DefaultParagraphFont"/>
    <w:link w:val="Heading5"/>
    <w:locked/>
    <w:rsid w:val="003B283B"/>
    <w:rPr>
      <w:rFonts w:ascii="Times New Roman" w:hAnsi="Times New Roman"/>
      <w:sz w:val="22"/>
      <w:lang w:val="it-IT" w:eastAsia="it-IT" w:bidi="it-IT"/>
    </w:rPr>
  </w:style>
  <w:style w:type="character" w:customStyle="1" w:styleId="Heading6Char">
    <w:name w:val="Heading 6 Char"/>
    <w:basedOn w:val="DefaultParagraphFont"/>
    <w:link w:val="Heading6"/>
    <w:locked/>
    <w:rsid w:val="003B283B"/>
    <w:rPr>
      <w:rFonts w:ascii="Times New Roman" w:hAnsi="Times New Roman"/>
      <w:sz w:val="22"/>
      <w:lang w:val="it-IT" w:eastAsia="it-IT" w:bidi="it-IT"/>
    </w:rPr>
  </w:style>
  <w:style w:type="character" w:customStyle="1" w:styleId="Heading7Char">
    <w:name w:val="Heading 7 Char"/>
    <w:basedOn w:val="DefaultParagraphFont"/>
    <w:link w:val="Heading7"/>
    <w:locked/>
    <w:rsid w:val="003B283B"/>
    <w:rPr>
      <w:rFonts w:ascii="Times New Roman" w:hAnsi="Times New Roman"/>
      <w:sz w:val="22"/>
      <w:lang w:val="it-IT" w:eastAsia="it-IT" w:bidi="it-IT"/>
    </w:rPr>
  </w:style>
  <w:style w:type="character" w:customStyle="1" w:styleId="Heading8Char">
    <w:name w:val="Heading 8 Char"/>
    <w:basedOn w:val="DefaultParagraphFont"/>
    <w:link w:val="Heading8"/>
    <w:locked/>
    <w:rsid w:val="003B283B"/>
    <w:rPr>
      <w:rFonts w:ascii="Times New Roman" w:hAnsi="Times New Roman"/>
      <w:sz w:val="22"/>
      <w:lang w:val="it-IT" w:eastAsia="it-IT" w:bidi="it-IT"/>
    </w:rPr>
  </w:style>
  <w:style w:type="character" w:customStyle="1" w:styleId="Heading9Char">
    <w:name w:val="Heading 9 Char"/>
    <w:basedOn w:val="DefaultParagraphFont"/>
    <w:link w:val="Heading9"/>
    <w:locked/>
    <w:rsid w:val="003B283B"/>
    <w:rPr>
      <w:rFonts w:ascii="Times New Roman" w:hAnsi="Times New Roman"/>
      <w:sz w:val="22"/>
      <w:lang w:val="it-IT" w:eastAsia="it-IT" w:bidi="it-IT"/>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it-IT" w:eastAsia="it-IT" w:bidi="it-IT"/>
    </w:rPr>
  </w:style>
  <w:style w:type="paragraph" w:styleId="Header">
    <w:name w:val="header"/>
    <w:basedOn w:val="Normal"/>
    <w:link w:val="HeaderChar"/>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415D2"/>
    <w:rPr>
      <w:rFonts w:ascii="Tahoma" w:hAnsi="Tahoma" w:cs="Tahoma"/>
      <w:sz w:val="16"/>
      <w:szCs w:val="16"/>
      <w:lang w:val="it-IT" w:eastAsia="it-IT" w:bidi="it-IT"/>
    </w:rPr>
  </w:style>
  <w:style w:type="paragraph" w:styleId="Footer">
    <w:name w:val="footer"/>
    <w:basedOn w:val="Normal"/>
    <w:link w:val="FooterChar"/>
    <w:locked/>
    <w:rsid w:val="0036522E"/>
  </w:style>
  <w:style w:type="character" w:customStyle="1" w:styleId="FooterChar">
    <w:name w:val="Footer Char"/>
    <w:basedOn w:val="DefaultParagraphFont"/>
    <w:link w:val="Footer"/>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98230F"/>
    <w:pPr>
      <w:tabs>
        <w:tab w:val="left" w:pos="660"/>
        <w:tab w:val="right" w:leader="dot" w:pos="9063"/>
      </w:tabs>
      <w:spacing w:after="100"/>
    </w:pPr>
  </w:style>
  <w:style w:type="paragraph" w:styleId="ListParagraph">
    <w:name w:val="List Paragraph"/>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ind w:left="720" w:hanging="720"/>
      <w:outlineLvl w:val="0"/>
    </w:pPr>
    <w:rPr>
      <w:kern w:val="28"/>
    </w:rPr>
  </w:style>
  <w:style w:type="paragraph" w:styleId="Heading2">
    <w:name w:val="heading 2"/>
    <w:basedOn w:val="Normal"/>
    <w:next w:val="Normal"/>
    <w:link w:val="Heading2Char"/>
    <w:qFormat/>
    <w:rsid w:val="0036522E"/>
    <w:pPr>
      <w:numPr>
        <w:ilvl w:val="1"/>
        <w:numId w:val="1"/>
      </w:numPr>
      <w:ind w:left="720" w:hanging="720"/>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val="it-IT" w:eastAsia="it-IT" w:bidi="it-IT"/>
    </w:rPr>
  </w:style>
  <w:style w:type="character" w:customStyle="1" w:styleId="Heading2Char">
    <w:name w:val="Heading 2 Char"/>
    <w:basedOn w:val="DefaultParagraphFont"/>
    <w:link w:val="Heading2"/>
    <w:qFormat/>
    <w:locked/>
    <w:rsid w:val="003B283B"/>
    <w:rPr>
      <w:rFonts w:ascii="Times New Roman" w:hAnsi="Times New Roman"/>
      <w:sz w:val="22"/>
      <w:lang w:val="it-IT" w:eastAsia="it-IT" w:bidi="it-IT"/>
    </w:rPr>
  </w:style>
  <w:style w:type="character" w:customStyle="1" w:styleId="Heading3Char">
    <w:name w:val="Heading 3 Char"/>
    <w:basedOn w:val="DefaultParagraphFont"/>
    <w:link w:val="Heading3"/>
    <w:locked/>
    <w:rsid w:val="003B283B"/>
    <w:rPr>
      <w:rFonts w:ascii="Times New Roman" w:hAnsi="Times New Roman"/>
      <w:sz w:val="22"/>
      <w:lang w:val="it-IT" w:eastAsia="it-IT" w:bidi="it-IT"/>
    </w:rPr>
  </w:style>
  <w:style w:type="character" w:customStyle="1" w:styleId="Heading4Char">
    <w:name w:val="Heading 4 Char"/>
    <w:basedOn w:val="DefaultParagraphFont"/>
    <w:link w:val="Heading4"/>
    <w:locked/>
    <w:rsid w:val="003B283B"/>
    <w:rPr>
      <w:rFonts w:ascii="Times New Roman" w:hAnsi="Times New Roman"/>
      <w:sz w:val="22"/>
      <w:lang w:val="it-IT" w:eastAsia="it-IT" w:bidi="it-IT"/>
    </w:rPr>
  </w:style>
  <w:style w:type="character" w:customStyle="1" w:styleId="Heading5Char">
    <w:name w:val="Heading 5 Char"/>
    <w:basedOn w:val="DefaultParagraphFont"/>
    <w:link w:val="Heading5"/>
    <w:locked/>
    <w:rsid w:val="003B283B"/>
    <w:rPr>
      <w:rFonts w:ascii="Times New Roman" w:hAnsi="Times New Roman"/>
      <w:sz w:val="22"/>
      <w:lang w:val="it-IT" w:eastAsia="it-IT" w:bidi="it-IT"/>
    </w:rPr>
  </w:style>
  <w:style w:type="character" w:customStyle="1" w:styleId="Heading6Char">
    <w:name w:val="Heading 6 Char"/>
    <w:basedOn w:val="DefaultParagraphFont"/>
    <w:link w:val="Heading6"/>
    <w:locked/>
    <w:rsid w:val="003B283B"/>
    <w:rPr>
      <w:rFonts w:ascii="Times New Roman" w:hAnsi="Times New Roman"/>
      <w:sz w:val="22"/>
      <w:lang w:val="it-IT" w:eastAsia="it-IT" w:bidi="it-IT"/>
    </w:rPr>
  </w:style>
  <w:style w:type="character" w:customStyle="1" w:styleId="Heading7Char">
    <w:name w:val="Heading 7 Char"/>
    <w:basedOn w:val="DefaultParagraphFont"/>
    <w:link w:val="Heading7"/>
    <w:locked/>
    <w:rsid w:val="003B283B"/>
    <w:rPr>
      <w:rFonts w:ascii="Times New Roman" w:hAnsi="Times New Roman"/>
      <w:sz w:val="22"/>
      <w:lang w:val="it-IT" w:eastAsia="it-IT" w:bidi="it-IT"/>
    </w:rPr>
  </w:style>
  <w:style w:type="character" w:customStyle="1" w:styleId="Heading8Char">
    <w:name w:val="Heading 8 Char"/>
    <w:basedOn w:val="DefaultParagraphFont"/>
    <w:link w:val="Heading8"/>
    <w:locked/>
    <w:rsid w:val="003B283B"/>
    <w:rPr>
      <w:rFonts w:ascii="Times New Roman" w:hAnsi="Times New Roman"/>
      <w:sz w:val="22"/>
      <w:lang w:val="it-IT" w:eastAsia="it-IT" w:bidi="it-IT"/>
    </w:rPr>
  </w:style>
  <w:style w:type="character" w:customStyle="1" w:styleId="Heading9Char">
    <w:name w:val="Heading 9 Char"/>
    <w:basedOn w:val="DefaultParagraphFont"/>
    <w:link w:val="Heading9"/>
    <w:locked/>
    <w:rsid w:val="003B283B"/>
    <w:rPr>
      <w:rFonts w:ascii="Times New Roman" w:hAnsi="Times New Roman"/>
      <w:sz w:val="22"/>
      <w:lang w:val="it-IT" w:eastAsia="it-IT" w:bidi="it-IT"/>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it-IT" w:eastAsia="it-IT" w:bidi="it-IT"/>
    </w:rPr>
  </w:style>
  <w:style w:type="paragraph" w:styleId="Header">
    <w:name w:val="header"/>
    <w:basedOn w:val="Normal"/>
    <w:link w:val="HeaderChar"/>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415D2"/>
    <w:rPr>
      <w:rFonts w:ascii="Tahoma" w:hAnsi="Tahoma" w:cs="Tahoma"/>
      <w:sz w:val="16"/>
      <w:szCs w:val="16"/>
      <w:lang w:val="it-IT" w:eastAsia="it-IT" w:bidi="it-IT"/>
    </w:rPr>
  </w:style>
  <w:style w:type="paragraph" w:styleId="Footer">
    <w:name w:val="footer"/>
    <w:basedOn w:val="Normal"/>
    <w:link w:val="FooterChar"/>
    <w:locked/>
    <w:rsid w:val="0036522E"/>
  </w:style>
  <w:style w:type="character" w:customStyle="1" w:styleId="FooterChar">
    <w:name w:val="Footer Char"/>
    <w:basedOn w:val="DefaultParagraphFont"/>
    <w:link w:val="Footer"/>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98230F"/>
    <w:pPr>
      <w:tabs>
        <w:tab w:val="left" w:pos="660"/>
        <w:tab w:val="right" w:leader="dot" w:pos="9063"/>
      </w:tabs>
      <w:spacing w:after="100"/>
    </w:pPr>
  </w:style>
  <w:style w:type="paragraph" w:styleId="ListParagraph">
    <w:name w:val="List Paragraph"/>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jean-pierre.faure@eesc.europa.e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gerald.klec@eesc.europa.e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june.bedaton@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Krisztina.PerlakyToth@eesc.europa.eu"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eesc.europa.eu/?i=portal.fr.opinions-search" TargetMode="External"/><Relationship Id="rId23" Type="http://schemas.openxmlformats.org/officeDocument/2006/relationships/hyperlink" Target="mailto:juri.soosaar@eesc.europa.eu" TargetMode="External"/><Relationship Id="rId28" Type="http://schemas.openxmlformats.org/officeDocument/2006/relationships/hyperlink" Target="mailto:jana.valant@eesc.europa.eu" TargetMode="Externa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Lucia.MendezDelRioCabra@ees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i=portal.fr.documents" TargetMode="External"/><Relationship Id="rId22" Type="http://schemas.openxmlformats.org/officeDocument/2006/relationships/hyperlink" Target="mailto:claudia.drewes-wran@eesc.europa.eu" TargetMode="External"/><Relationship Id="rId27" Type="http://schemas.openxmlformats.org/officeDocument/2006/relationships/hyperlink" Target="mailto:jana.valant@eesc.europa.eu" TargetMode="External"/><Relationship Id="rId30" Type="http://schemas.openxmlformats.org/officeDocument/2006/relationships/hyperlink" Target="mailto:natalia.agapiou@eesc.europa.eu" TargetMode="Externa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WTPCSN73YJ26-6-6021</_dlc_DocId>
    <_dlc_DocIdUrl xmlns="8a3471f6-0f36-4ccf-b5ee-1ca67ea797ef">
      <Url>http://dm/EESC/2017/_layouts/DocIdRedir.aspx?ID=WTPCSN73YJ26-6-6021</Url>
      <Description>WTPCSN73YJ26-6-6021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a69ddb54-d4ad-4195-8174-7b7c39303c90" xsi:nil="true"/>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2017-10-06T12:00:00+00:00</ProductionDate>
    <DocumentNumber xmlns="a69ddb54-d4ad-4195-8174-7b7c39303c90">3479</DocumentNumber>
    <FicheYear xmlns="8a3471f6-0f36-4ccf-b5ee-1ca67ea797ef">2017</FicheYear>
    <DocumentVersion xmlns="8a3471f6-0f36-4ccf-b5ee-1ca67ea797ef">1</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2017-09-20T12:00:00+00:00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TaxCatchAll xmlns="8a3471f6-0f36-4ccf-b5ee-1ca67ea797ef">
      <Value>31</Value>
      <Value>38</Value>
      <Value>37</Value>
      <Value>36</Value>
      <Value>35</Value>
      <Value>34</Value>
      <Value>33</Value>
      <Value>25</Value>
      <Value>30</Value>
      <Value>29</Value>
      <Value>28</Value>
      <Value>27</Value>
      <Value>26</Value>
      <Value>72</Value>
      <Value>24</Value>
      <Value>23</Value>
      <Value>22</Value>
      <Value>18</Value>
      <Value>17</Value>
      <Value>15</Value>
      <Value>14</Value>
      <Value>12</Value>
      <Value>8</Value>
      <Value>6</Value>
      <Value>5</Value>
      <Value>4</Value>
      <Value>2</Value>
      <Value>1</Value>
    </TaxCatchAll>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10584</FicheNumber>
    <DocumentYear xmlns="8a3471f6-0f36-4ccf-b5ee-1ca67ea797ef">2017</DocumentYear>
    <DocumentPart xmlns="8a3471f6-0f36-4ccf-b5ee-1ca67ea797ef">0</DocumentPart>
    <AdoptionDate xmlns="8a3471f6-0f36-4ccf-b5ee-1ca67ea797ef" xsi:nil="tru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0224593A4FB8494193408E2BE75730F3" ma:contentTypeVersion="4" ma:contentTypeDescription="Defines the documents for Document Manager V2" ma:contentTypeScope="" ma:versionID="ace51220df608873bae6ebe3d1a8a59a">
  <xsd:schema xmlns:xsd="http://www.w3.org/2001/XMLSchema" xmlns:xs="http://www.w3.org/2001/XMLSchema" xmlns:p="http://schemas.microsoft.com/office/2006/metadata/properties" xmlns:ns2="8a3471f6-0f36-4ccf-b5ee-1ca67ea797ef" xmlns:ns3="http://schemas.microsoft.com/sharepoint/v3/fields" xmlns:ns4="a69ddb54-d4ad-4195-8174-7b7c39303c90" targetNamespace="http://schemas.microsoft.com/office/2006/metadata/properties" ma:root="true" ma:fieldsID="ef1356049bde9c06dff5632a1f4034e6" ns2:_="" ns3:_="" ns4:_="">
    <xsd:import namespace="8a3471f6-0f36-4ccf-b5ee-1ca67ea797ef"/>
    <xsd:import namespace="http://schemas.microsoft.com/sharepoint/v3/fields"/>
    <xsd:import namespace="a69ddb54-d4ad-4195-8174-7b7c39303c9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9ddb54-d4ad-4195-8174-7b7c39303c9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2C6D-F210-4BCC-96B9-D59A42C1E6F5}"/>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729B7791-4A82-4F51-999B-D8F43F4530B2}"/>
</file>

<file path=customXml/itemProps4.xml><?xml version="1.0" encoding="utf-8"?>
<ds:datastoreItem xmlns:ds="http://schemas.openxmlformats.org/officeDocument/2006/customXml" ds:itemID="{2272B315-18A8-418C-AEDB-0DE6F18C5CA7}"/>
</file>

<file path=customXml/itemProps5.xml><?xml version="1.0" encoding="utf-8"?>
<ds:datastoreItem xmlns:ds="http://schemas.openxmlformats.org/officeDocument/2006/customXml" ds:itemID="{C37EBEA4-E226-4BF5-84D1-993D659419B0}"/>
</file>

<file path=docProps/app.xml><?xml version="1.0" encoding="utf-8"?>
<Properties xmlns="http://schemas.openxmlformats.org/officeDocument/2006/extended-properties" xmlns:vt="http://schemas.openxmlformats.org/officeDocument/2006/docPropsVTypes">
  <Template>Styles.dotm</Template>
  <TotalTime>8</TotalTime>
  <Pages>3</Pages>
  <Words>3250</Words>
  <Characters>20187</Characters>
  <Application>Microsoft Office Word</Application>
  <DocSecurity>0</DocSecurity>
  <Lines>432</Lines>
  <Paragraphs>162</Paragraphs>
  <ScaleCrop>false</ScaleCrop>
  <HeadingPairs>
    <vt:vector size="2" baseType="variant">
      <vt:variant>
        <vt:lpstr>Title</vt:lpstr>
      </vt:variant>
      <vt:variant>
        <vt:i4>1</vt:i4>
      </vt:variant>
    </vt:vector>
  </HeadingPairs>
  <TitlesOfParts>
    <vt:vector size="1" baseType="lpstr">
      <vt:lpstr>Synthèse des avis - session plénière de mai et juin 2017</vt:lpstr>
    </vt:vector>
  </TitlesOfParts>
  <Company>CESE-CdR</Company>
  <LinksUpToDate>false</LinksUpToDate>
  <CharactersWithSpaces>23385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adottati sessione plenaria settembre 2017</dc:title>
  <dc:subject>Lavori consultivi: altri documenti </dc:subject>
  <dc:creator/>
  <cp:keywords>EESC-2017-03479-00-01-TCD-TRA-IT</cp:keywords>
  <dc:description>Relatore: -_x000d_
Lingua originale: FR, EN_x000d_
Data del documento: 06/10/2017_x000d_
Data della riunione: 20/09/2017_x000d_
Documenti esterni: -_x000d_
Funzionario responsabile: Cosmai Domenico, telefono: +32 (0)2 546 9041_x000d_
_x000d_
Sintesi:</dc:description>
  <cp:lastModifiedBy>Ester Nonis</cp:lastModifiedBy>
  <cp:revision>14</cp:revision>
  <cp:lastPrinted>2017-09-28T10:08:00Z</cp:lastPrinted>
  <dcterms:created xsi:type="dcterms:W3CDTF">2017-10-05T08:53:00Z</dcterms:created>
  <dcterms:modified xsi:type="dcterms:W3CDTF">2017-10-06T14:58:00Z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05/10/2017, 13/09/2017, 03/07/2017, 12/06/2017, 02/06/2017, 24/04/2017, 23/03/2017, 13/12/2016, 15/09/2016, 14/09/2016, 14/09/2016, 12/07/2016, 30/06/2016, 29/06/2016, 23/05/2016, 23/05/2016, 25/04/2016, 25/04/2016, 14/03/2016, 11/03/2016, 11/03/2016, 15/</vt:lpwstr>
  </property>
  <property fmtid="{D5CDD505-2E9C-101B-9397-08002B2CF9AE}" pid="4" name="Pref_Time">
    <vt:lpwstr>10:53:59, 11:23:50, 09:51:12, 14:43:57, 12:54:34, 12:22:33, 12:08:44, 12:23:59, 18:12:41, 09:48:43, 08:36:59, 11:43:50, 09:30:52, 17:35:55, 17:02:49, 16:30:20, 11:28:20, 09:54:52, 08:31:22, 17:08:54, 15:59:23, 12:27:50, 12:09:16, 09:49:23, 17:26:57, 16:09</vt:lpwstr>
  </property>
  <property fmtid="{D5CDD505-2E9C-101B-9397-08002B2CF9AE}" pid="5" name="Pref_User">
    <vt:lpwstr>enied, tvoc, amett, hnic, mreg, mreg, enied, mreg, jhvi, tvoc, htoo, mreg, tvoc, hnic, mreg, hnic, amett, nmcg, amett, enied, nmcg, amett, enied, ymur, tvoc, nmcg, vvos, ssex, vvos, vvos, mkop, nmcg, amett, htoo, tvoc, dtai, nmcg, amett, ymur, amett, YMUR</vt:lpwstr>
  </property>
  <property fmtid="{D5CDD505-2E9C-101B-9397-08002B2CF9AE}" pid="6" name="Pref_FileName">
    <vt:lpwstr>EESC-2017-03479-00-01-TCD-ORI.docx, EESC-2017-03479-00-00-TCD-ORI.docx, EESC-2017-02707-00-00-TCD-ORI.docx, EESC-2017-02321-00-01-TCD-ORI.docx, EESC-2017-02321-00-00-TCD-ORI.docx, EESC-2017-01743-00-00-TCD-ORI.docx, EESC-2017-01003-00-00-TCD-ORI.docx, EES</vt:lpwstr>
  </property>
  <property fmtid="{D5CDD505-2E9C-101B-9397-08002B2CF9AE}" pid="7" name="ContentTypeId">
    <vt:lpwstr>0x010100EA97B91038054C99906057A708A1480A000224593A4FB8494193408E2BE75730F3</vt:lpwstr>
  </property>
  <property fmtid="{D5CDD505-2E9C-101B-9397-08002B2CF9AE}" pid="8" name="_dlc_DocIdItemGuid">
    <vt:lpwstr>bc503eff-d1f3-4017-8766-097be1364925</vt:lpwstr>
  </property>
  <property fmtid="{D5CDD505-2E9C-101B-9397-08002B2CF9AE}" pid="9" name="AvailableTranslations">
    <vt:lpwstr>29;#HU|6b229040-c589-4408-b4c1-4285663d20a8;#22;#IT|0774613c-01ed-4e5d-a25d-11d2388de825;#27;#CS|72f9705b-0217-4fd3-bea2-cbc7ed80e26e;#35;#SL|98a412ae-eb01-49e9-ae3d-585a81724cfc;#36;#BG|1a1b3951-7821-4e6a-85f5-5673fc08bd2c;#38;#HR|2f555653-ed1a-4fe6-8362-9082d95989e5;#25;#FI|87606a43-d45f-42d6-b8c9-e1a3457db5b7;#12;#NL|55c6556c-b4f4-441d-9acf-c498d4f838bd;#8;#FR|d2afafd3-4c81-4f60-8f52-ee33f2f54ff3;#23;#DA|5d49c027-8956-412b-aa16-e85a0f96ad0e;#4;#EN|f2175f21-25d7-44a3-96da-d6a61b075e1b;#28;#ET|ff6c3f4c-b02c-4c3c-ab07-2c37995a7a0a;#14;#ES|e7a6b05b-ae16-40c8-add9-68b64b03aeba;#34;#SK|46d9fce0-ef79-4f71-b89b-cd6aa82426b8;#33;#PL|1e03da61-4678-4e07-b136-b5024ca9197b;#15;#PT|50ccc04a-eadd-42ae-a0cb-acaf45f812ba;#37;#RO|feb747a2-64cd-4299-af12-4833ddc30497;#24;#EL|6d4f4d51-af9b-4650-94b4-4276bee85c91;#26;#SV|c2ed69e7-a339-43d7-8f22-d93680a92aa0;#30;#LV|46f7e311-5d9f-4663-b433-18aeccb7ace7;#31;#LT|a7ff5ce7-6123-4f68-865a-a57c31810414;#18;#DE|f6b31e5a-26fa-4935-b661-318e46daf27e</vt:lpwstr>
  </property>
  <property fmtid="{D5CDD505-2E9C-101B-9397-08002B2CF9AE}" pid="10" name="DossierName">
    <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8;#FR|d2afafd3-4c81-4f60-8f52-ee33f2f54ff3;#4;#EN|f2175f21-25d7-44a3-96da-d6a61b075e1b</vt:lpwstr>
  </property>
  <property fmtid="{D5CDD505-2E9C-101B-9397-08002B2CF9AE}" pid="14" name="MeetingName">
    <vt:lpwstr>72;#SPL-CES|32d8cb1f-c9ec-4365-95c7-8385a18618ac</vt:lpwstr>
  </property>
  <property fmtid="{D5CDD505-2E9C-101B-9397-08002B2CF9AE}" pid="15" name="VersionStatus">
    <vt:lpwstr>6;#Final|ea5e6674-7b27-4bac-b091-73adbb394efe</vt:lpwstr>
  </property>
  <property fmtid="{D5CDD505-2E9C-101B-9397-08002B2CF9AE}" pid="16" name="DocumentSource">
    <vt:lpwstr>1;#EESC|422833ec-8d7e-4e65-8e4e-8bed07ffb729</vt:lpwstr>
  </property>
  <property fmtid="{D5CDD505-2E9C-101B-9397-08002B2CF9AE}" pid="17" name="DocumentType">
    <vt:lpwstr>17;#TCD|cd9d6eb6-3f4f-424a-b2d1-57c9d450eaaf</vt:lpwstr>
  </property>
  <property fmtid="{D5CDD505-2E9C-101B-9397-08002B2CF9AE}" pid="18" name="DocumentLanguage">
    <vt:lpwstr>22;#IT|0774613c-01ed-4e5d-a25d-11d2388de825</vt:lpwstr>
  </property>
  <property fmtid="{D5CDD505-2E9C-101B-9397-08002B2CF9AE}" pid="19" name="StyleCheckSum">
    <vt:lpwstr>45163_C33020_P410_L59</vt:lpwstr>
  </property>
  <property fmtid="{D5CDD505-2E9C-101B-9397-08002B2CF9AE}" pid="20" name="DocumentType_0">
    <vt:lpwstr>TCD|cd9d6eb6-3f4f-424a-b2d1-57c9d450eaaf</vt:lpwstr>
  </property>
  <property fmtid="{D5CDD505-2E9C-101B-9397-08002B2CF9AE}" pid="21" name="MeetingNumber">
    <vt:i4>521</vt:i4>
  </property>
  <property fmtid="{D5CDD505-2E9C-101B-9397-08002B2CF9AE}" pid="22" name="DossierName_0">
    <vt:lpwstr/>
  </property>
  <property fmtid="{D5CDD505-2E9C-101B-9397-08002B2CF9AE}" pid="23" name="DocumentSource_0">
    <vt:lpwstr>EESC|422833ec-8d7e-4e65-8e4e-8bed07ffb729</vt:lpwstr>
  </property>
  <property fmtid="{D5CDD505-2E9C-101B-9397-08002B2CF9AE}" pid="24" name="ProductionDate">
    <vt:filetime>2016-07-04T12:00:00Z</vt:filetime>
  </property>
  <property fmtid="{D5CDD505-2E9C-101B-9397-08002B2CF9AE}" pid="25" name="DocumentNumber">
    <vt:i4>3479</vt:i4>
  </property>
  <property fmtid="{D5CDD505-2E9C-101B-9397-08002B2CF9AE}" pid="26" name="FicheYear">
    <vt:i4>2017</vt:i4>
  </property>
  <property fmtid="{D5CDD505-2E9C-101B-9397-08002B2CF9AE}" pid="27" name="DocumentVersion">
    <vt:i4>1</vt:i4>
  </property>
  <property fmtid="{D5CDD505-2E9C-101B-9397-08002B2CF9AE}" pid="28" name="Confidentiality_0">
    <vt:lpwstr>Unrestricted|826e22d7-d029-4ec0-a450-0c28ff673572</vt:lpwstr>
  </property>
  <property fmtid="{D5CDD505-2E9C-101B-9397-08002B2CF9AE}" pid="29" name="MeetingDate">
    <vt:filetime>2017-09-20T12:00:00Z</vt:filetime>
  </property>
  <property fmtid="{D5CDD505-2E9C-101B-9397-08002B2CF9AE}" pid="30" name="DocumentLanguage_0">
    <vt:lpwstr>FR|d2afafd3-4c81-4f60-8f52-ee33f2f54ff3</vt:lpwstr>
  </property>
  <property fmtid="{D5CDD505-2E9C-101B-9397-08002B2CF9AE}" pid="31" name="TaxCatchAll">
    <vt:lpwstr>18;#DE|f6b31e5a-26fa-4935-b661-318e46daf27e;#17;#TCD|cd9d6eb6-3f4f-424a-b2d1-57c9d450eaaf;#37;#RO|feb747a2-64cd-4299-af12-4833ddc30497;#27;#CS|72f9705b-0217-4fd3-bea2-cbc7ed80e26e;#8;#FR|d2afafd3-4c81-4f60-8f52-ee33f2f54ff3;#6;#Final|ea5e6674-7b27-4bac-b091-73adbb394efe;#5;#Unrestricted|826e22d7-d029-4ec0-a450-0c28ff673572;#4;#EN|f2175f21-25d7-44a3-96da-d6a61b075e1b;#72;#SPL-CES|32d8cb1f-c9ec-4365-95c7-8385a18618ac;#2;#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FicheNumber">
    <vt:i4>10584</vt:i4>
  </property>
  <property fmtid="{D5CDD505-2E9C-101B-9397-08002B2CF9AE}" pid="34" name="DocumentYear">
    <vt:i4>2017</vt:i4>
  </property>
  <property fmtid="{D5CDD505-2E9C-101B-9397-08002B2CF9AE}" pid="35" name="DocumentPart">
    <vt:i4>0</vt:i4>
  </property>
  <property fmtid="{D5CDD505-2E9C-101B-9397-08002B2CF9AE}" pid="36" name="MeetingName_0">
    <vt:lpwstr>SPL-CES|32d8cb1f-c9ec-4365-95c7-8385a18618ac</vt:lpwstr>
  </property>
  <property fmtid="{D5CDD505-2E9C-101B-9397-08002B2CF9AE}" pid="37" name="RequestingService">
    <vt:lpwstr>Greffe</vt:lpwstr>
  </property>
  <property fmtid="{D5CDD505-2E9C-101B-9397-08002B2CF9AE}" pid="38" name="DocumentStatus_0">
    <vt:lpwstr>TRA|150d2a88-1431-44e6-a8ca-0bb753ab8672</vt:lpwstr>
  </property>
  <property fmtid="{D5CDD505-2E9C-101B-9397-08002B2CF9AE}" pid="39" name="OriginalLanguage_0">
    <vt:lpwstr>FR|d2afafd3-4c81-4f60-8f52-ee33f2f54ff3;EN|f2175f21-25d7-44a3-96da-d6a61b075e1b</vt:lpwstr>
  </property>
  <property fmtid="{D5CDD505-2E9C-101B-9397-08002B2CF9AE}" pid="40" name="AvailableTranslations_0">
    <vt:lpwstr>CS|72f9705b-0217-4fd3-bea2-cbc7ed80e26e;RO|feb747a2-64cd-4299-af12-4833ddc30497;DE|f6b31e5a-26fa-4935-b661-318e46daf27e</vt:lpwstr>
  </property>
</Properties>
</file>