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val="0"/>
          <w:color w:val="2F5773" w:themeColor="accent1"/>
          <w:sz w:val="20"/>
          <w:szCs w:val="24"/>
          <w:lang w:val="en-GB"/>
        </w:rPr>
        <w:id w:val="2126582917"/>
        <w:docPartObj>
          <w:docPartGallery w:val="Cover Pages"/>
          <w:docPartUnique/>
        </w:docPartObj>
      </w:sdtPr>
      <w:sdtEndPr>
        <w:rPr>
          <w:sz w:val="32"/>
          <w:szCs w:val="32"/>
        </w:rPr>
      </w:sdtEndPr>
      <w:sdtContent>
        <w:tbl>
          <w:tblPr>
            <w:tblW w:w="0" w:type="auto"/>
            <w:tblBorders>
              <w:bottom w:val="single" w:sz="4" w:space="0" w:color="808080" w:themeColor="background1" w:themeShade="80"/>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F6622E" w:rsidRPr="00317A9A" w14:paraId="13CF461B" w14:textId="77777777" w:rsidTr="00F74A5E">
            <w:tc>
              <w:tcPr>
                <w:tcW w:w="3686" w:type="dxa"/>
                <w:shd w:val="clear" w:color="000000" w:fill="auto"/>
              </w:tcPr>
              <w:p w14:paraId="61479FEE" w14:textId="2399FE47" w:rsidR="00F6622E" w:rsidRPr="00A349BD" w:rsidRDefault="00FC0201" w:rsidP="001755C2">
                <w:pPr>
                  <w:pStyle w:val="Runningtitle"/>
                  <w:rPr>
                    <w:caps w:val="0"/>
                    <w:sz w:val="20"/>
                  </w:rPr>
                </w:pPr>
                <w:r>
                  <w:rPr>
                    <w:rFonts w:asciiTheme="majorHAnsi" w:eastAsiaTheme="majorEastAsia" w:hAnsiTheme="majorHAnsi" w:cstheme="majorBidi"/>
                    <w:caps w:val="0"/>
                    <w:color w:val="000000" w:themeColor="text1"/>
                    <w:sz w:val="20"/>
                    <w:szCs w:val="24"/>
                    <w:lang w:val="en-GB"/>
                  </w:rPr>
                  <w:t>European Economic and Social Committee (</w:t>
                </w:r>
                <w:r w:rsidR="0042742F">
                  <w:rPr>
                    <w:rFonts w:asciiTheme="majorHAnsi" w:eastAsiaTheme="majorEastAsia" w:hAnsiTheme="majorHAnsi" w:cstheme="majorBidi"/>
                    <w:caps w:val="0"/>
                    <w:color w:val="000000" w:themeColor="text1"/>
                    <w:sz w:val="20"/>
                    <w:szCs w:val="24"/>
                    <w:lang w:val="en-GB"/>
                  </w:rPr>
                  <w:t>EESC</w:t>
                </w:r>
                <w:r>
                  <w:rPr>
                    <w:rFonts w:asciiTheme="majorHAnsi" w:eastAsiaTheme="majorEastAsia" w:hAnsiTheme="majorHAnsi" w:cstheme="majorBidi"/>
                    <w:caps w:val="0"/>
                    <w:color w:val="000000" w:themeColor="text1"/>
                    <w:sz w:val="20"/>
                    <w:szCs w:val="24"/>
                    <w:lang w:val="en-GB"/>
                  </w:rPr>
                  <w:t>)</w:t>
                </w:r>
                <w:r w:rsidR="00FC5782">
                  <w:rPr>
                    <w:rFonts w:asciiTheme="majorHAnsi" w:eastAsiaTheme="majorEastAsia" w:hAnsiTheme="majorHAnsi" w:cstheme="majorBidi"/>
                    <w:caps w:val="0"/>
                    <w:color w:val="000000" w:themeColor="text1"/>
                    <w:sz w:val="20"/>
                    <w:szCs w:val="24"/>
                    <w:lang w:val="en-GB"/>
                  </w:rPr>
                  <w:t xml:space="preserve"> public hearing on crypto-assets: opportunities and challenges</w:t>
                </w:r>
              </w:p>
            </w:tc>
          </w:tr>
          <w:tr w:rsidR="00F6622E" w:rsidRPr="00317A9A" w14:paraId="3A43C315" w14:textId="77777777" w:rsidTr="00F74A5E">
            <w:tc>
              <w:tcPr>
                <w:tcW w:w="3686" w:type="dxa"/>
              </w:tcPr>
              <w:p w14:paraId="11C128B8" w14:textId="249369E5" w:rsidR="00F6622E" w:rsidRPr="005E0B78" w:rsidRDefault="0042742F" w:rsidP="001755C2">
                <w:pPr>
                  <w:spacing w:before="120" w:line="259" w:lineRule="auto"/>
                  <w:rPr>
                    <w:sz w:val="20"/>
                  </w:rPr>
                </w:pPr>
                <w:r>
                  <w:rPr>
                    <w:sz w:val="20"/>
                  </w:rPr>
                  <w:t>Brussels, 02</w:t>
                </w:r>
                <w:r w:rsidR="00A349BD">
                  <w:rPr>
                    <w:sz w:val="20"/>
                  </w:rPr>
                  <w:t>/</w:t>
                </w:r>
                <w:r w:rsidR="009C7183">
                  <w:rPr>
                    <w:sz w:val="20"/>
                  </w:rPr>
                  <w:t>03</w:t>
                </w:r>
                <w:r w:rsidR="00A349BD">
                  <w:rPr>
                    <w:sz w:val="20"/>
                  </w:rPr>
                  <w:t>/</w:t>
                </w:r>
                <w:r w:rsidR="00FD38AB">
                  <w:rPr>
                    <w:sz w:val="20"/>
                  </w:rPr>
                  <w:t>2022</w:t>
                </w:r>
                <w:r w:rsidR="001755C2">
                  <w:rPr>
                    <w:sz w:val="20"/>
                  </w:rPr>
                  <w:t xml:space="preserve"> (date of delivery)</w:t>
                </w:r>
              </w:p>
            </w:tc>
          </w:tr>
        </w:tbl>
        <w:p w14:paraId="549FC4DC" w14:textId="77777777" w:rsidR="00F6622E" w:rsidRDefault="00F6622E" w:rsidP="001755C2"/>
        <w:p w14:paraId="547EAE55" w14:textId="77777777" w:rsidR="004E018F" w:rsidRDefault="004E018F" w:rsidP="001755C2">
          <w:pPr>
            <w:pStyle w:val="Title"/>
          </w:pPr>
        </w:p>
        <w:p w14:paraId="105009A9" w14:textId="45928A7F" w:rsidR="001755C2" w:rsidRPr="001755C2" w:rsidRDefault="00FC5782" w:rsidP="001755C2">
          <w:pPr>
            <w:pStyle w:val="Title"/>
          </w:pPr>
          <w:r>
            <w:t>Opening</w:t>
          </w:r>
          <w:r w:rsidR="00746C71">
            <w:t xml:space="preserve"> remarks</w:t>
          </w:r>
          <w:r w:rsidR="00B85B1A">
            <w:t xml:space="preserve"> by </w:t>
          </w:r>
          <w:r w:rsidR="00746C71">
            <w:t>Elisabeth Noble</w:t>
          </w:r>
          <w:r w:rsidR="00B85B1A" w:rsidRPr="008760FB">
            <w:rPr>
              <w:rStyle w:val="FootnoteReference"/>
              <w:sz w:val="44"/>
              <w:szCs w:val="44"/>
            </w:rPr>
            <w:footnoteReference w:id="2"/>
          </w:r>
        </w:p>
        <w:p w14:paraId="0F17497D" w14:textId="0B7C92C5" w:rsidR="009D4D13" w:rsidRDefault="001755C2" w:rsidP="00B85B1A">
          <w:pPr>
            <w:pStyle w:val="Subtitle"/>
            <w:jc w:val="center"/>
          </w:pPr>
          <w:r>
            <w:rPr>
              <w:i/>
              <w:noProof/>
              <w:lang w:eastAsia="en-GB"/>
            </w:rPr>
            <w:drawing>
              <wp:inline distT="0" distB="0" distL="0" distR="0" wp14:anchorId="45E4998C" wp14:editId="6DE3759C">
                <wp:extent cx="1959478" cy="1708031"/>
                <wp:effectExtent l="0" t="0" r="3175" b="6985"/>
                <wp:docPr id="1" name="Picture 1" descr="picture check agains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check against deliv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580" cy="1708120"/>
                        </a:xfrm>
                        <a:prstGeom prst="rect">
                          <a:avLst/>
                        </a:prstGeom>
                        <a:noFill/>
                        <a:ln>
                          <a:noFill/>
                        </a:ln>
                      </pic:spPr>
                    </pic:pic>
                  </a:graphicData>
                </a:graphic>
              </wp:inline>
            </w:drawing>
          </w:r>
        </w:p>
      </w:sdtContent>
    </w:sdt>
    <w:p w14:paraId="6F5C96A0" w14:textId="77777777" w:rsidR="000B2A9B" w:rsidRPr="000B2A9B" w:rsidRDefault="000B2A9B" w:rsidP="000B2A9B">
      <w:pPr>
        <w:pStyle w:val="body"/>
        <w:rPr>
          <w:rFonts w:cstheme="minorHAnsi"/>
          <w:sz w:val="24"/>
          <w:lang w:val="en-GB"/>
        </w:rPr>
      </w:pPr>
      <w:r w:rsidRPr="000B2A9B">
        <w:rPr>
          <w:rFonts w:cstheme="minorHAnsi"/>
          <w:sz w:val="24"/>
          <w:lang w:val="en-GB"/>
        </w:rPr>
        <w:t>Thank you for the opportunity to participate in this timely public hearing.</w:t>
      </w:r>
    </w:p>
    <w:p w14:paraId="4E0B6EE3" w14:textId="51EA2B67" w:rsidR="000B2A9B" w:rsidRPr="000B2A9B" w:rsidRDefault="000B2A9B" w:rsidP="000B2A9B">
      <w:pPr>
        <w:pStyle w:val="body"/>
        <w:rPr>
          <w:rFonts w:cstheme="minorHAnsi"/>
          <w:sz w:val="24"/>
          <w:lang w:val="en-GB"/>
        </w:rPr>
      </w:pPr>
      <w:r w:rsidRPr="000B2A9B">
        <w:rPr>
          <w:rFonts w:cstheme="minorHAnsi"/>
          <w:sz w:val="24"/>
          <w:lang w:val="en-GB"/>
        </w:rPr>
        <w:t>In my intervention I will first focus on the European Banking Authority’s work on crypto-assets. I will then go on to cover five themes for priority attention in order to leverage the benefits of crypto-asset and DLT applications in the EU banking and payments sector whilst mitigating effectively the risks.</w:t>
      </w:r>
    </w:p>
    <w:p w14:paraId="27A9D08F" w14:textId="77777777" w:rsidR="000B2A9B" w:rsidRPr="000B2A9B" w:rsidRDefault="000B2A9B" w:rsidP="000B2A9B">
      <w:pPr>
        <w:pStyle w:val="body"/>
        <w:rPr>
          <w:rFonts w:cstheme="minorHAnsi"/>
          <w:sz w:val="24"/>
          <w:lang w:val="en-GB"/>
        </w:rPr>
      </w:pPr>
      <w:r w:rsidRPr="000B2A9B">
        <w:rPr>
          <w:rFonts w:cstheme="minorHAnsi"/>
          <w:sz w:val="24"/>
          <w:lang w:val="en-GB"/>
        </w:rPr>
        <w:t>So first a few words on</w:t>
      </w:r>
      <w:r w:rsidRPr="000B2A9B">
        <w:rPr>
          <w:rFonts w:cstheme="minorHAnsi"/>
          <w:b/>
          <w:bCs/>
          <w:sz w:val="24"/>
          <w:lang w:val="en-GB"/>
        </w:rPr>
        <w:t xml:space="preserve"> the EBA’s work</w:t>
      </w:r>
      <w:r w:rsidRPr="00183770">
        <w:rPr>
          <w:rFonts w:cstheme="minorHAnsi"/>
          <w:sz w:val="24"/>
          <w:lang w:val="en-GB"/>
        </w:rPr>
        <w:t>:</w:t>
      </w:r>
    </w:p>
    <w:p w14:paraId="38B2CC7A" w14:textId="41629D8B" w:rsidR="000B2A9B" w:rsidRPr="000B2A9B" w:rsidRDefault="000B2A9B" w:rsidP="000B2A9B">
      <w:pPr>
        <w:pStyle w:val="body"/>
        <w:rPr>
          <w:rFonts w:cstheme="minorHAnsi"/>
          <w:sz w:val="24"/>
          <w:lang w:val="en-GB"/>
        </w:rPr>
      </w:pPr>
      <w:r w:rsidRPr="000B2A9B">
        <w:rPr>
          <w:rFonts w:cstheme="minorHAnsi"/>
          <w:sz w:val="24"/>
          <w:lang w:val="en-GB"/>
        </w:rPr>
        <w:t xml:space="preserve">In accordance with our statutory mandate to monitor innovation, the EBA is continuously reviewing crypto-asset </w:t>
      </w:r>
      <w:r w:rsidR="00723A19">
        <w:rPr>
          <w:rFonts w:cstheme="minorHAnsi"/>
          <w:sz w:val="24"/>
          <w:lang w:val="en-GB"/>
        </w:rPr>
        <w:t xml:space="preserve">market </w:t>
      </w:r>
      <w:r w:rsidRPr="000B2A9B">
        <w:rPr>
          <w:rFonts w:cstheme="minorHAnsi"/>
          <w:sz w:val="24"/>
          <w:lang w:val="en-GB"/>
        </w:rPr>
        <w:t xml:space="preserve">developments and taking actions to facilitate knowledge-sharing between supervisory authorities, with the objectives of promoting consistency in regulatory and supervisory approaches. </w:t>
      </w:r>
    </w:p>
    <w:p w14:paraId="3E5B2595"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Indeed, we have been monitoring crypto-assets since 2012. </w:t>
      </w:r>
    </w:p>
    <w:p w14:paraId="49BDA6FC" w14:textId="77777777" w:rsidR="000B2A9B" w:rsidRPr="000B2A9B" w:rsidRDefault="000B2A9B" w:rsidP="000B2A9B">
      <w:pPr>
        <w:pStyle w:val="body"/>
        <w:rPr>
          <w:rFonts w:cstheme="minorHAnsi"/>
          <w:sz w:val="24"/>
        </w:rPr>
      </w:pPr>
      <w:proofErr w:type="spellStart"/>
      <w:r w:rsidRPr="000B2A9B">
        <w:rPr>
          <w:rFonts w:cstheme="minorHAnsi"/>
          <w:sz w:val="24"/>
          <w:lang w:val="en-GB"/>
        </w:rPr>
        <w:t>Wh</w:t>
      </w:r>
      <w:proofErr w:type="spellEnd"/>
      <w:r w:rsidRPr="000B2A9B">
        <w:rPr>
          <w:rFonts w:cstheme="minorHAnsi"/>
          <w:sz w:val="24"/>
        </w:rPr>
        <w:t xml:space="preserve">ere risks have been identified, we have not hesitated to act. </w:t>
      </w:r>
    </w:p>
    <w:p w14:paraId="0BBBF3EE" w14:textId="77777777" w:rsidR="000B2A9B" w:rsidRPr="000B2A9B" w:rsidRDefault="000B2A9B" w:rsidP="000B2A9B">
      <w:pPr>
        <w:pStyle w:val="body"/>
        <w:rPr>
          <w:rFonts w:cstheme="minorHAnsi"/>
          <w:sz w:val="24"/>
        </w:rPr>
      </w:pPr>
      <w:r w:rsidRPr="000B2A9B">
        <w:rPr>
          <w:rFonts w:cstheme="minorHAnsi"/>
          <w:sz w:val="24"/>
        </w:rPr>
        <w:t xml:space="preserve">Notably, the EBA was the first regulatory body globally to warn consumers of the risks of so-called virtual currencies – all the way back in 2013. </w:t>
      </w:r>
    </w:p>
    <w:p w14:paraId="4489B7E5" w14:textId="264B0A72" w:rsidR="000B2A9B" w:rsidRPr="000B2A9B" w:rsidRDefault="000B2A9B" w:rsidP="000B2A9B">
      <w:pPr>
        <w:pStyle w:val="body"/>
        <w:rPr>
          <w:rFonts w:cstheme="minorHAnsi"/>
          <w:sz w:val="24"/>
          <w:lang w:val="en-GB"/>
        </w:rPr>
      </w:pPr>
      <w:r w:rsidRPr="000B2A9B">
        <w:rPr>
          <w:rFonts w:cstheme="minorHAnsi"/>
          <w:sz w:val="24"/>
        </w:rPr>
        <w:lastRenderedPageBreak/>
        <w:t>We have since is</w:t>
      </w:r>
      <w:r w:rsidRPr="000B2A9B">
        <w:rPr>
          <w:rFonts w:cstheme="minorHAnsi"/>
          <w:color w:val="000000" w:themeColor="text1"/>
          <w:sz w:val="24"/>
        </w:rPr>
        <w:t xml:space="preserve">sued further warnings, most recently </w:t>
      </w:r>
      <w:r w:rsidRPr="000B2A9B">
        <w:rPr>
          <w:rFonts w:cstheme="minorHAnsi"/>
          <w:color w:val="000000" w:themeColor="text1"/>
          <w:sz w:val="24"/>
          <w:lang w:val="en-GB"/>
        </w:rPr>
        <w:t>in March 2022, jointly with our sister agencies EIOPA and ESMA in</w:t>
      </w:r>
      <w:r w:rsidRPr="000B2A9B">
        <w:rPr>
          <w:rFonts w:cstheme="minorHAnsi"/>
          <w:color w:val="000000" w:themeColor="text1"/>
          <w:sz w:val="24"/>
          <w:shd w:val="clear" w:color="auto" w:fill="FFFFFF"/>
        </w:rPr>
        <w:t xml:space="preserve"> the context of growing consumer interest</w:t>
      </w:r>
      <w:r w:rsidR="002F0506">
        <w:rPr>
          <w:rFonts w:cstheme="minorHAnsi"/>
          <w:color w:val="000000" w:themeColor="text1"/>
          <w:sz w:val="24"/>
          <w:shd w:val="clear" w:color="auto" w:fill="FFFFFF"/>
        </w:rPr>
        <w:t xml:space="preserve"> in crypto-assets</w:t>
      </w:r>
      <w:r w:rsidRPr="000B2A9B">
        <w:rPr>
          <w:rFonts w:cstheme="minorHAnsi"/>
          <w:color w:val="000000" w:themeColor="text1"/>
          <w:sz w:val="24"/>
          <w:shd w:val="clear" w:color="auto" w:fill="FFFFFF"/>
        </w:rPr>
        <w:t>, continued market volatility, and the aggressive promotion of crypto-assets, including via social media.</w:t>
      </w:r>
    </w:p>
    <w:p w14:paraId="72609C23"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Our action has not, however, been limited to the retail sphere. </w:t>
      </w:r>
    </w:p>
    <w:p w14:paraId="7F52E3A5"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For instance, in 2019 we recommended that banks’ exposures to so-called virtual currencies be subject to a conservative prudential treatment, pending the outcome of the work by the Basel Committee on Banking Supervision. </w:t>
      </w:r>
    </w:p>
    <w:p w14:paraId="29F437BD"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This action has successfully </w:t>
      </w:r>
      <w:proofErr w:type="spellStart"/>
      <w:r w:rsidRPr="000B2A9B">
        <w:rPr>
          <w:rFonts w:cstheme="minorHAnsi"/>
          <w:sz w:val="24"/>
          <w:lang w:val="en-GB"/>
        </w:rPr>
        <w:t>disincentivised</w:t>
      </w:r>
      <w:proofErr w:type="spellEnd"/>
      <w:r w:rsidRPr="000B2A9B">
        <w:rPr>
          <w:rFonts w:cstheme="minorHAnsi"/>
          <w:sz w:val="24"/>
          <w:lang w:val="en-GB"/>
        </w:rPr>
        <w:t xml:space="preserve"> EU banks from gaining exposures to these typically volatile assets and exposure levels remain very low. </w:t>
      </w:r>
    </w:p>
    <w:p w14:paraId="190B1ECF" w14:textId="215B3588" w:rsidR="000B2A9B" w:rsidRPr="000B2A9B" w:rsidRDefault="000B2A9B" w:rsidP="000B2A9B">
      <w:pPr>
        <w:pStyle w:val="body"/>
        <w:rPr>
          <w:rFonts w:cstheme="minorHAnsi"/>
          <w:sz w:val="24"/>
          <w:lang w:val="en-GB"/>
        </w:rPr>
      </w:pPr>
      <w:r w:rsidRPr="000B2A9B">
        <w:rPr>
          <w:rFonts w:cstheme="minorHAnsi"/>
          <w:sz w:val="24"/>
          <w:lang w:val="en-GB"/>
        </w:rPr>
        <w:t xml:space="preserve">Also in 2019 we, along with ESMA, issued advice to the European Commission on the need for a common EU framework for crypto-asset activities. </w:t>
      </w:r>
    </w:p>
    <w:p w14:paraId="5AA9BA2C" w14:textId="77777777" w:rsidR="000B2A9B" w:rsidRPr="000B2A9B" w:rsidRDefault="000B2A9B" w:rsidP="000B2A9B">
      <w:pPr>
        <w:pStyle w:val="body"/>
        <w:rPr>
          <w:rFonts w:cstheme="minorHAnsi"/>
          <w:sz w:val="24"/>
          <w:lang w:val="en-GB"/>
        </w:rPr>
      </w:pPr>
      <w:r w:rsidRPr="000B2A9B">
        <w:rPr>
          <w:rFonts w:cstheme="minorHAnsi"/>
          <w:sz w:val="24"/>
          <w:lang w:val="en-GB"/>
        </w:rPr>
        <w:t>In this advice we highlighted both:</w:t>
      </w:r>
    </w:p>
    <w:p w14:paraId="3C58150F" w14:textId="77777777" w:rsidR="000B2A9B" w:rsidRPr="000B2A9B" w:rsidRDefault="000B2A9B" w:rsidP="000B2A9B">
      <w:pPr>
        <w:pStyle w:val="body"/>
        <w:numPr>
          <w:ilvl w:val="0"/>
          <w:numId w:val="26"/>
        </w:numPr>
        <w:rPr>
          <w:rFonts w:cstheme="minorHAnsi"/>
          <w:sz w:val="24"/>
          <w:lang w:val="en-GB"/>
        </w:rPr>
      </w:pPr>
      <w:r w:rsidRPr="000B2A9B">
        <w:rPr>
          <w:rFonts w:cstheme="minorHAnsi"/>
          <w:sz w:val="24"/>
          <w:lang w:val="en-GB"/>
        </w:rPr>
        <w:t>lost opportunities as a result of an increasingly complex patchwork of emerging regulatory measures at the national level, as well as</w:t>
      </w:r>
    </w:p>
    <w:p w14:paraId="1A2CA995" w14:textId="77777777" w:rsidR="000B2A9B" w:rsidRPr="000B2A9B" w:rsidRDefault="000B2A9B" w:rsidP="000B2A9B">
      <w:pPr>
        <w:pStyle w:val="body"/>
        <w:numPr>
          <w:ilvl w:val="0"/>
          <w:numId w:val="26"/>
        </w:numPr>
        <w:rPr>
          <w:rFonts w:cstheme="minorHAnsi"/>
          <w:sz w:val="24"/>
          <w:lang w:val="en-GB"/>
        </w:rPr>
      </w:pPr>
      <w:r w:rsidRPr="000B2A9B">
        <w:rPr>
          <w:rFonts w:cstheme="minorHAnsi"/>
          <w:sz w:val="24"/>
          <w:lang w:val="en-GB"/>
        </w:rPr>
        <w:t>significant uncovered risks at the EU level, including to consumers, to the integrity and prudential resilience of the financial system, and ultimately to financial stability.</w:t>
      </w:r>
    </w:p>
    <w:p w14:paraId="3E727765" w14:textId="11BE68FA" w:rsidR="000B2A9B" w:rsidRPr="000B2A9B" w:rsidRDefault="000B2A9B" w:rsidP="000B2A9B">
      <w:pPr>
        <w:pStyle w:val="body"/>
        <w:rPr>
          <w:rFonts w:cstheme="minorHAnsi"/>
          <w:sz w:val="24"/>
          <w:lang w:val="en-GB"/>
        </w:rPr>
      </w:pPr>
      <w:r w:rsidRPr="000B2A9B">
        <w:rPr>
          <w:rFonts w:cstheme="minorHAnsi"/>
          <w:sz w:val="24"/>
          <w:lang w:val="en-GB"/>
        </w:rPr>
        <w:t xml:space="preserve">We were very pleased to see the Commission move fast thereafter to issue its legislative proposals for a Regulation on Markets in Crypto-assets </w:t>
      </w:r>
      <w:r w:rsidR="00A16F5B">
        <w:rPr>
          <w:rFonts w:cstheme="minorHAnsi"/>
          <w:sz w:val="24"/>
          <w:lang w:val="en-GB"/>
        </w:rPr>
        <w:t>(</w:t>
      </w:r>
      <w:proofErr w:type="spellStart"/>
      <w:r w:rsidR="00A16F5B">
        <w:rPr>
          <w:rFonts w:cstheme="minorHAnsi"/>
          <w:sz w:val="24"/>
          <w:lang w:val="en-GB"/>
        </w:rPr>
        <w:t>MiCA</w:t>
      </w:r>
      <w:proofErr w:type="spellEnd"/>
      <w:r w:rsidR="00A16F5B">
        <w:rPr>
          <w:rFonts w:cstheme="minorHAnsi"/>
          <w:sz w:val="24"/>
          <w:lang w:val="en-GB"/>
        </w:rPr>
        <w:t xml:space="preserve">) </w:t>
      </w:r>
      <w:r w:rsidRPr="000B2A9B">
        <w:rPr>
          <w:rFonts w:cstheme="minorHAnsi"/>
          <w:sz w:val="24"/>
          <w:lang w:val="en-GB"/>
        </w:rPr>
        <w:t>and the new AML/CFT package.</w:t>
      </w:r>
    </w:p>
    <w:p w14:paraId="485B355B" w14:textId="326FFF77" w:rsidR="000B2A9B" w:rsidRPr="000B2A9B" w:rsidRDefault="000B2A9B" w:rsidP="000B2A9B">
      <w:pPr>
        <w:pStyle w:val="body"/>
        <w:rPr>
          <w:rFonts w:cstheme="minorHAnsi"/>
          <w:sz w:val="24"/>
          <w:lang w:val="en-GB"/>
        </w:rPr>
      </w:pPr>
      <w:r w:rsidRPr="000B2A9B">
        <w:rPr>
          <w:rFonts w:cstheme="minorHAnsi"/>
          <w:sz w:val="24"/>
          <w:lang w:val="en-GB"/>
        </w:rPr>
        <w:t xml:space="preserve">The EBA strongly supports these proposals. </w:t>
      </w:r>
    </w:p>
    <w:p w14:paraId="6E1AD1D3"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In our view, the </w:t>
      </w:r>
      <w:proofErr w:type="spellStart"/>
      <w:r w:rsidRPr="000B2A9B">
        <w:rPr>
          <w:rFonts w:cstheme="minorHAnsi"/>
          <w:sz w:val="24"/>
          <w:lang w:val="en-GB"/>
        </w:rPr>
        <w:t>MiCA</w:t>
      </w:r>
      <w:proofErr w:type="spellEnd"/>
      <w:r w:rsidRPr="000B2A9B">
        <w:rPr>
          <w:rFonts w:cstheme="minorHAnsi"/>
          <w:sz w:val="24"/>
          <w:lang w:val="en-GB"/>
        </w:rPr>
        <w:t xml:space="preserve"> regime will create a robust and consistent framework for the regulation and supervision of crypto-asset activities, including the issuance of ‘asset-referenced’ and ‘e-money’ tokens, exchange and custody services. </w:t>
      </w:r>
    </w:p>
    <w:p w14:paraId="15F08FD4" w14:textId="50E7262E" w:rsidR="000B2A9B" w:rsidRPr="000B2A9B" w:rsidRDefault="000B2A9B" w:rsidP="000B2A9B">
      <w:pPr>
        <w:pStyle w:val="body"/>
        <w:rPr>
          <w:rFonts w:cstheme="minorHAnsi"/>
          <w:sz w:val="24"/>
          <w:lang w:val="en-GB"/>
        </w:rPr>
      </w:pPr>
      <w:r w:rsidRPr="000B2A9B">
        <w:rPr>
          <w:rFonts w:cstheme="minorHAnsi"/>
          <w:sz w:val="24"/>
          <w:lang w:val="en-GB"/>
        </w:rPr>
        <w:t>And the AML package will result in very important extensions to the definition of ‘obliged entity’ to ensure that all crypto-asset service providers have in place robust AML/CFT policies</w:t>
      </w:r>
      <w:r w:rsidR="00A16F5B">
        <w:rPr>
          <w:rFonts w:cstheme="minorHAnsi"/>
          <w:sz w:val="24"/>
          <w:lang w:val="en-GB"/>
        </w:rPr>
        <w:t xml:space="preserve"> and procedures</w:t>
      </w:r>
      <w:r w:rsidRPr="000B2A9B">
        <w:rPr>
          <w:rFonts w:cstheme="minorHAnsi"/>
          <w:sz w:val="24"/>
          <w:lang w:val="en-GB"/>
        </w:rPr>
        <w:t xml:space="preserve">. </w:t>
      </w:r>
    </w:p>
    <w:p w14:paraId="48CA7B60"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Crypto-asset service providers will also be in scope of the Digital Operational Resilience Act which will ensure the highest standards of resilience to guard against the significant threat of cyber-attack and operational disruptions. </w:t>
      </w:r>
    </w:p>
    <w:p w14:paraId="1AEBF708" w14:textId="3137E5DA" w:rsidR="000B2A9B" w:rsidRPr="000B2A9B" w:rsidRDefault="000B2A9B" w:rsidP="000B2A9B">
      <w:pPr>
        <w:spacing w:line="276" w:lineRule="auto"/>
        <w:jc w:val="both"/>
        <w:rPr>
          <w:rFonts w:eastAsia="Times New Roman" w:cstheme="minorHAnsi"/>
          <w:sz w:val="24"/>
        </w:rPr>
      </w:pPr>
      <w:r w:rsidRPr="000B2A9B">
        <w:rPr>
          <w:rFonts w:eastAsia="Times New Roman" w:cstheme="minorHAnsi"/>
          <w:sz w:val="24"/>
        </w:rPr>
        <w:lastRenderedPageBreak/>
        <w:t xml:space="preserve">For completeness, the proposals for the third Capital Requirements Regulation include a mandate for </w:t>
      </w:r>
      <w:r w:rsidR="00B02D37">
        <w:rPr>
          <w:rFonts w:eastAsia="Times New Roman" w:cstheme="minorHAnsi"/>
          <w:sz w:val="24"/>
        </w:rPr>
        <w:t xml:space="preserve">the Commission to issue </w:t>
      </w:r>
      <w:r w:rsidRPr="000B2A9B">
        <w:rPr>
          <w:rFonts w:eastAsia="Times New Roman" w:cstheme="minorHAnsi"/>
          <w:sz w:val="24"/>
        </w:rPr>
        <w:t>a delegated act on the prudential treatment of banks’ exposures to crypto-assets following the conclusion of the BCBS work. This will ensure that banks’ exposures continue to be appropriately capitalised in the future.</w:t>
      </w:r>
    </w:p>
    <w:p w14:paraId="7D1EAD68" w14:textId="77777777" w:rsidR="00B02D37" w:rsidRDefault="00B02D37" w:rsidP="000B2A9B">
      <w:pPr>
        <w:spacing w:line="276" w:lineRule="auto"/>
        <w:jc w:val="both"/>
        <w:rPr>
          <w:rFonts w:eastAsia="Times New Roman" w:cstheme="minorHAnsi"/>
          <w:sz w:val="24"/>
        </w:rPr>
      </w:pPr>
    </w:p>
    <w:p w14:paraId="6970A99F" w14:textId="4879A0E8" w:rsidR="000B2A9B" w:rsidRPr="000B2A9B" w:rsidRDefault="000B2A9B" w:rsidP="000B2A9B">
      <w:pPr>
        <w:spacing w:line="276" w:lineRule="auto"/>
        <w:jc w:val="both"/>
        <w:rPr>
          <w:rFonts w:eastAsia="Times New Roman" w:cstheme="minorHAnsi"/>
          <w:sz w:val="24"/>
        </w:rPr>
      </w:pPr>
      <w:r w:rsidRPr="000B2A9B">
        <w:rPr>
          <w:rFonts w:eastAsia="Times New Roman" w:cstheme="minorHAnsi"/>
          <w:sz w:val="24"/>
        </w:rPr>
        <w:t xml:space="preserve">Overall, these comprehensive measures will mitigate the key risks identified in the EBA’s 2019 and earlier reports to the European Commission. </w:t>
      </w:r>
    </w:p>
    <w:p w14:paraId="2228300D" w14:textId="77777777" w:rsidR="000B2A9B" w:rsidRPr="000B2A9B" w:rsidRDefault="000B2A9B" w:rsidP="000B2A9B">
      <w:pPr>
        <w:pStyle w:val="body"/>
        <w:rPr>
          <w:rFonts w:cstheme="minorHAnsi"/>
          <w:b/>
          <w:bCs/>
          <w:sz w:val="24"/>
          <w:lang w:val="en-GB"/>
        </w:rPr>
      </w:pPr>
      <w:r w:rsidRPr="000B2A9B">
        <w:rPr>
          <w:rFonts w:cstheme="minorHAnsi"/>
          <w:b/>
          <w:bCs/>
          <w:sz w:val="24"/>
          <w:lang w:val="en-GB"/>
        </w:rPr>
        <w:t>But with these measures, can we consider the job done or are further actions needed?</w:t>
      </w:r>
    </w:p>
    <w:p w14:paraId="7AC81CCA" w14:textId="77777777" w:rsidR="000B2A9B" w:rsidRPr="000B2A9B" w:rsidRDefault="000B2A9B" w:rsidP="000B2A9B">
      <w:pPr>
        <w:pStyle w:val="body"/>
        <w:rPr>
          <w:rFonts w:cstheme="minorHAnsi"/>
          <w:sz w:val="24"/>
          <w:lang w:val="en-GB"/>
        </w:rPr>
      </w:pPr>
      <w:r w:rsidRPr="000B2A9B">
        <w:rPr>
          <w:rFonts w:cstheme="minorHAnsi"/>
          <w:sz w:val="24"/>
          <w:lang w:val="en-GB"/>
        </w:rPr>
        <w:t>Here I would like to reflect on five key themes, all of which are inter-linked.</w:t>
      </w:r>
    </w:p>
    <w:p w14:paraId="6A0568D1" w14:textId="74A0FCD1" w:rsidR="000B2A9B" w:rsidRPr="000B2A9B" w:rsidRDefault="000B2A9B" w:rsidP="000B2A9B">
      <w:pPr>
        <w:pStyle w:val="body"/>
        <w:rPr>
          <w:rFonts w:cstheme="minorHAnsi"/>
          <w:sz w:val="24"/>
          <w:lang w:val="en-GB"/>
        </w:rPr>
      </w:pPr>
      <w:r w:rsidRPr="000B2A9B">
        <w:rPr>
          <w:rFonts w:cstheme="minorHAnsi"/>
          <w:sz w:val="24"/>
          <w:lang w:val="en-GB"/>
        </w:rPr>
        <w:t xml:space="preserve">Theme </w:t>
      </w:r>
      <w:r w:rsidRPr="0049663E">
        <w:rPr>
          <w:rFonts w:cstheme="minorHAnsi"/>
          <w:b/>
          <w:bCs/>
          <w:sz w:val="24"/>
          <w:lang w:val="en-GB"/>
        </w:rPr>
        <w:t>number 1 is the</w:t>
      </w:r>
      <w:r w:rsidRPr="000B2A9B">
        <w:rPr>
          <w:rFonts w:cstheme="minorHAnsi"/>
          <w:b/>
          <w:bCs/>
          <w:sz w:val="24"/>
          <w:lang w:val="en-GB"/>
        </w:rPr>
        <w:t xml:space="preserve"> need for </w:t>
      </w:r>
      <w:r w:rsidR="0049663E">
        <w:rPr>
          <w:rFonts w:cstheme="minorHAnsi"/>
          <w:b/>
          <w:bCs/>
          <w:sz w:val="24"/>
          <w:lang w:val="en-GB"/>
        </w:rPr>
        <w:t xml:space="preserve">technical </w:t>
      </w:r>
      <w:r w:rsidRPr="000B2A9B">
        <w:rPr>
          <w:rFonts w:cstheme="minorHAnsi"/>
          <w:b/>
          <w:bCs/>
          <w:sz w:val="24"/>
          <w:lang w:val="en-GB"/>
        </w:rPr>
        <w:t>capacity building.</w:t>
      </w:r>
    </w:p>
    <w:p w14:paraId="6C930871"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This is critical from the perspective of the effective application and enforcement of the </w:t>
      </w:r>
      <w:proofErr w:type="spellStart"/>
      <w:r w:rsidRPr="000B2A9B">
        <w:rPr>
          <w:rFonts w:cstheme="minorHAnsi"/>
          <w:sz w:val="24"/>
          <w:lang w:val="en-GB"/>
        </w:rPr>
        <w:t>MiCA</w:t>
      </w:r>
      <w:proofErr w:type="spellEnd"/>
      <w:r w:rsidRPr="000B2A9B">
        <w:rPr>
          <w:rFonts w:cstheme="minorHAnsi"/>
          <w:sz w:val="24"/>
          <w:lang w:val="en-GB"/>
        </w:rPr>
        <w:t xml:space="preserve"> regime. </w:t>
      </w:r>
    </w:p>
    <w:p w14:paraId="5FB7D42E"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Here, notwithstanding resourcing challenges, we are seeing many supervisory authorities already prioritise recruitments and training for staff in anticipation of applying the new regulatory framework. </w:t>
      </w:r>
    </w:p>
    <w:p w14:paraId="2A53CFBD" w14:textId="66B0FEE2" w:rsidR="000B2A9B" w:rsidRPr="000B2A9B" w:rsidRDefault="000B2A9B" w:rsidP="000B2A9B">
      <w:pPr>
        <w:pStyle w:val="body"/>
        <w:rPr>
          <w:rFonts w:cstheme="minorHAnsi"/>
          <w:sz w:val="24"/>
          <w:lang w:val="en-GB"/>
        </w:rPr>
      </w:pPr>
      <w:r w:rsidRPr="000B2A9B">
        <w:rPr>
          <w:rFonts w:cstheme="minorHAnsi"/>
          <w:sz w:val="24"/>
          <w:lang w:val="en-GB"/>
        </w:rPr>
        <w:t xml:space="preserve">However, more is needed to ensure we are collectively capable of applying </w:t>
      </w:r>
      <w:proofErr w:type="spellStart"/>
      <w:r w:rsidRPr="000B2A9B">
        <w:rPr>
          <w:rFonts w:cstheme="minorHAnsi"/>
          <w:sz w:val="24"/>
          <w:lang w:val="en-GB"/>
        </w:rPr>
        <w:t>MiCA</w:t>
      </w:r>
      <w:proofErr w:type="spellEnd"/>
      <w:r w:rsidRPr="000B2A9B">
        <w:rPr>
          <w:rFonts w:cstheme="minorHAnsi"/>
          <w:sz w:val="24"/>
          <w:lang w:val="en-GB"/>
        </w:rPr>
        <w:t xml:space="preserve"> in practice.</w:t>
      </w:r>
      <w:r w:rsidR="00A842AB">
        <w:rPr>
          <w:rStyle w:val="FootnoteReference"/>
          <w:rFonts w:cstheme="minorHAnsi"/>
          <w:lang w:val="en-GB"/>
        </w:rPr>
        <w:footnoteReference w:id="3"/>
      </w:r>
    </w:p>
    <w:p w14:paraId="6C555621" w14:textId="7293DC2B" w:rsidR="000B2A9B" w:rsidRPr="000B2A9B" w:rsidRDefault="000B2A9B" w:rsidP="000B2A9B">
      <w:pPr>
        <w:pStyle w:val="body"/>
        <w:rPr>
          <w:rFonts w:cstheme="minorHAnsi"/>
          <w:sz w:val="24"/>
          <w:lang w:val="en-GB"/>
        </w:rPr>
      </w:pPr>
      <w:r w:rsidRPr="000B2A9B">
        <w:rPr>
          <w:rFonts w:cstheme="minorHAnsi"/>
          <w:sz w:val="24"/>
          <w:lang w:val="en-GB"/>
        </w:rPr>
        <w:t xml:space="preserve">In this regard, I take the opportunity to highlight the need for any EU-level supervision structure under </w:t>
      </w:r>
      <w:proofErr w:type="spellStart"/>
      <w:r w:rsidRPr="000B2A9B">
        <w:rPr>
          <w:rFonts w:cstheme="minorHAnsi"/>
          <w:sz w:val="24"/>
          <w:lang w:val="en-GB"/>
        </w:rPr>
        <w:t>MiCA</w:t>
      </w:r>
      <w:proofErr w:type="spellEnd"/>
      <w:r w:rsidRPr="000B2A9B">
        <w:rPr>
          <w:rFonts w:cstheme="minorHAnsi"/>
          <w:sz w:val="24"/>
          <w:lang w:val="en-GB"/>
        </w:rPr>
        <w:t xml:space="preserve"> to be effectively resourced</w:t>
      </w:r>
      <w:r w:rsidR="00B17E04">
        <w:rPr>
          <w:rFonts w:cstheme="minorHAnsi"/>
          <w:sz w:val="24"/>
          <w:lang w:val="en-GB"/>
        </w:rPr>
        <w:t>,</w:t>
      </w:r>
      <w:r w:rsidRPr="000B2A9B">
        <w:rPr>
          <w:rFonts w:cstheme="minorHAnsi"/>
          <w:sz w:val="24"/>
          <w:lang w:val="en-GB"/>
        </w:rPr>
        <w:t xml:space="preserve"> both on an ongoing basis and in the set-up phase</w:t>
      </w:r>
      <w:r w:rsidR="00B17E04">
        <w:rPr>
          <w:rFonts w:cstheme="minorHAnsi"/>
          <w:sz w:val="24"/>
          <w:lang w:val="en-GB"/>
        </w:rPr>
        <w:t>,</w:t>
      </w:r>
      <w:r w:rsidRPr="000B2A9B">
        <w:rPr>
          <w:rFonts w:cstheme="minorHAnsi"/>
          <w:sz w:val="24"/>
          <w:lang w:val="en-GB"/>
        </w:rPr>
        <w:t xml:space="preserve"> bearing in mind any such structure would relate to the most significant issuers, and potentially the most significant crypto-asset service providers.</w:t>
      </w:r>
    </w:p>
    <w:p w14:paraId="547C541D" w14:textId="0C817FA7" w:rsidR="000B2A9B" w:rsidRPr="000B2A9B" w:rsidRDefault="000B2A9B" w:rsidP="000B2A9B">
      <w:pPr>
        <w:pStyle w:val="body"/>
        <w:rPr>
          <w:rFonts w:cstheme="minorHAnsi"/>
          <w:sz w:val="24"/>
          <w:lang w:val="en-GB"/>
        </w:rPr>
      </w:pPr>
      <w:r w:rsidRPr="000B2A9B">
        <w:rPr>
          <w:rFonts w:cstheme="minorHAnsi"/>
          <w:sz w:val="24"/>
          <w:lang w:val="en-GB"/>
        </w:rPr>
        <w:t>Currently, we understand that no resource is foreseen to fund the necessary set-up phase. If this is not addressed in the final legislative financial statement, the absence of funding for set-up could significantly impede our readiness for supervision at Day 1.</w:t>
      </w:r>
    </w:p>
    <w:p w14:paraId="40B3CFA0"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Looking beyond supervisors, key to the success of </w:t>
      </w:r>
      <w:proofErr w:type="spellStart"/>
      <w:r w:rsidRPr="000B2A9B">
        <w:rPr>
          <w:rFonts w:cstheme="minorHAnsi"/>
          <w:sz w:val="24"/>
          <w:lang w:val="en-GB"/>
        </w:rPr>
        <w:t>MiCA</w:t>
      </w:r>
      <w:proofErr w:type="spellEnd"/>
      <w:r w:rsidRPr="000B2A9B">
        <w:rPr>
          <w:rFonts w:cstheme="minorHAnsi"/>
          <w:sz w:val="24"/>
          <w:lang w:val="en-GB"/>
        </w:rPr>
        <w:t>, is the need for the industry to have a clear understanding of what is expected of it. Therefore, we strongly encourage authorities to continue to invest in supervisory outreach events and roadshows to promote the visibility of the upcoming rules and requirements.</w:t>
      </w:r>
    </w:p>
    <w:p w14:paraId="4D3106F7" w14:textId="0F403919" w:rsidR="000B2A9B" w:rsidRPr="000B2A9B" w:rsidRDefault="000B2A9B" w:rsidP="000B2A9B">
      <w:pPr>
        <w:pStyle w:val="body"/>
        <w:rPr>
          <w:rFonts w:cstheme="minorHAnsi"/>
          <w:sz w:val="24"/>
          <w:lang w:val="en-GB"/>
        </w:rPr>
      </w:pPr>
      <w:r w:rsidRPr="000B2A9B">
        <w:rPr>
          <w:rFonts w:cstheme="minorHAnsi"/>
          <w:sz w:val="24"/>
          <w:lang w:val="en-GB"/>
        </w:rPr>
        <w:t xml:space="preserve">It is also essential that consumers have the information and skills they need to understand crypto-assets and the risks arising. In this respect we very much welcome the robust white </w:t>
      </w:r>
      <w:r w:rsidRPr="000B2A9B">
        <w:rPr>
          <w:rFonts w:cstheme="minorHAnsi"/>
          <w:sz w:val="24"/>
          <w:lang w:val="en-GB"/>
        </w:rPr>
        <w:lastRenderedPageBreak/>
        <w:t xml:space="preserve">paper requirements under </w:t>
      </w:r>
      <w:proofErr w:type="spellStart"/>
      <w:r w:rsidRPr="000B2A9B">
        <w:rPr>
          <w:rFonts w:cstheme="minorHAnsi"/>
          <w:sz w:val="24"/>
          <w:lang w:val="en-GB"/>
        </w:rPr>
        <w:t>MiCA</w:t>
      </w:r>
      <w:proofErr w:type="spellEnd"/>
      <w:r w:rsidRPr="000B2A9B">
        <w:rPr>
          <w:rFonts w:cstheme="minorHAnsi"/>
          <w:sz w:val="24"/>
          <w:lang w:val="en-GB"/>
        </w:rPr>
        <w:t>. However, we also strongly encourage consumer financial education initiatives.</w:t>
      </w:r>
    </w:p>
    <w:p w14:paraId="6CE50366" w14:textId="0818CAB9" w:rsidR="000B2A9B" w:rsidRPr="000B2A9B" w:rsidRDefault="000B2A9B" w:rsidP="000B2A9B">
      <w:pPr>
        <w:pStyle w:val="body"/>
        <w:rPr>
          <w:rFonts w:cstheme="minorHAnsi"/>
          <w:sz w:val="24"/>
          <w:lang w:val="en-GB"/>
        </w:rPr>
      </w:pPr>
      <w:r w:rsidRPr="000B2A9B">
        <w:rPr>
          <w:rFonts w:cstheme="minorHAnsi"/>
          <w:sz w:val="24"/>
          <w:lang w:val="en-GB"/>
        </w:rPr>
        <w:t xml:space="preserve">The </w:t>
      </w:r>
      <w:r w:rsidRPr="000B2A9B">
        <w:rPr>
          <w:rFonts w:cstheme="minorHAnsi"/>
          <w:b/>
          <w:bCs/>
          <w:sz w:val="24"/>
          <w:lang w:val="en-GB"/>
        </w:rPr>
        <w:t xml:space="preserve">second theme is monitoring </w:t>
      </w:r>
      <w:r w:rsidR="00644B25">
        <w:rPr>
          <w:rFonts w:cstheme="minorHAnsi"/>
          <w:b/>
          <w:bCs/>
          <w:sz w:val="24"/>
          <w:lang w:val="en-GB"/>
        </w:rPr>
        <w:t>capability</w:t>
      </w:r>
      <w:r w:rsidRPr="000B2A9B">
        <w:rPr>
          <w:rFonts w:cstheme="minorHAnsi"/>
          <w:sz w:val="24"/>
          <w:lang w:val="en-GB"/>
        </w:rPr>
        <w:t>.</w:t>
      </w:r>
    </w:p>
    <w:p w14:paraId="28C05FCF" w14:textId="77777777" w:rsidR="000B2A9B" w:rsidRPr="000B2A9B" w:rsidRDefault="000B2A9B" w:rsidP="000B2A9B">
      <w:pPr>
        <w:pStyle w:val="body"/>
        <w:rPr>
          <w:rFonts w:cstheme="minorHAnsi"/>
          <w:sz w:val="24"/>
        </w:rPr>
      </w:pPr>
      <w:r w:rsidRPr="000B2A9B">
        <w:rPr>
          <w:rFonts w:cstheme="minorHAnsi"/>
          <w:sz w:val="24"/>
        </w:rPr>
        <w:t xml:space="preserve">Pending the coming into force of </w:t>
      </w:r>
      <w:proofErr w:type="spellStart"/>
      <w:r w:rsidRPr="000B2A9B">
        <w:rPr>
          <w:rFonts w:cstheme="minorHAnsi"/>
          <w:sz w:val="24"/>
        </w:rPr>
        <w:t>MiCA</w:t>
      </w:r>
      <w:proofErr w:type="spellEnd"/>
      <w:r w:rsidRPr="000B2A9B">
        <w:rPr>
          <w:rFonts w:cstheme="minorHAnsi"/>
          <w:sz w:val="24"/>
        </w:rPr>
        <w:t xml:space="preserve">, in the vast majority of Member States, crypto-asset activities typically fall outside the perimeter of the relevant supervisory authorities. </w:t>
      </w:r>
    </w:p>
    <w:p w14:paraId="7728567F" w14:textId="77777777" w:rsidR="000B2A9B" w:rsidRPr="000B2A9B" w:rsidRDefault="000B2A9B" w:rsidP="000B2A9B">
      <w:pPr>
        <w:pStyle w:val="body"/>
        <w:rPr>
          <w:rFonts w:cstheme="minorHAnsi"/>
          <w:sz w:val="24"/>
        </w:rPr>
      </w:pPr>
      <w:r w:rsidRPr="000B2A9B">
        <w:rPr>
          <w:rFonts w:cstheme="minorHAnsi"/>
          <w:sz w:val="24"/>
        </w:rPr>
        <w:t xml:space="preserve">This poses practical challenges for supervisors in monitoring crypto-asset activities at both a micro and macro level, albeit we recognize that some authorities are making significant efforts to improve capabilities. </w:t>
      </w:r>
    </w:p>
    <w:p w14:paraId="618B3F38" w14:textId="2826F184" w:rsidR="000B2A9B" w:rsidRPr="000B2A9B" w:rsidRDefault="000B2A9B" w:rsidP="000B2A9B">
      <w:pPr>
        <w:pStyle w:val="body"/>
        <w:rPr>
          <w:rFonts w:cstheme="minorHAnsi"/>
          <w:sz w:val="24"/>
          <w:lang w:val="en-GB"/>
        </w:rPr>
      </w:pPr>
      <w:r w:rsidRPr="000B2A9B">
        <w:rPr>
          <w:rFonts w:cstheme="minorHAnsi"/>
          <w:sz w:val="24"/>
        </w:rPr>
        <w:t xml:space="preserve">However, more effective monitoring is essential as a foundation for understanding interconnectedness and contagion </w:t>
      </w:r>
      <w:r w:rsidR="00996C45">
        <w:rPr>
          <w:rFonts w:cstheme="minorHAnsi"/>
          <w:sz w:val="24"/>
        </w:rPr>
        <w:t>channels</w:t>
      </w:r>
      <w:r w:rsidRPr="000B2A9B">
        <w:rPr>
          <w:rFonts w:cstheme="minorHAnsi"/>
          <w:sz w:val="24"/>
        </w:rPr>
        <w:t xml:space="preserve"> in the crypto-asset market and </w:t>
      </w:r>
      <w:r w:rsidR="00996C45">
        <w:rPr>
          <w:rFonts w:cstheme="minorHAnsi"/>
          <w:sz w:val="24"/>
        </w:rPr>
        <w:t xml:space="preserve">for </w:t>
      </w:r>
      <w:r w:rsidRPr="000B2A9B">
        <w:rPr>
          <w:rFonts w:cstheme="minorHAnsi"/>
          <w:sz w:val="24"/>
        </w:rPr>
        <w:t xml:space="preserve">proactively mitigating risks. </w:t>
      </w:r>
    </w:p>
    <w:p w14:paraId="36053590" w14:textId="5676D71A" w:rsidR="000B2A9B" w:rsidRPr="000B2A9B" w:rsidRDefault="000B2A9B" w:rsidP="000B2A9B">
      <w:pPr>
        <w:pStyle w:val="body"/>
        <w:rPr>
          <w:rFonts w:cstheme="minorHAnsi"/>
          <w:sz w:val="24"/>
          <w:lang w:val="en-GB"/>
        </w:rPr>
      </w:pPr>
      <w:r w:rsidRPr="000B2A9B">
        <w:rPr>
          <w:rFonts w:cstheme="minorHAnsi"/>
          <w:sz w:val="24"/>
          <w:lang w:val="en-GB"/>
        </w:rPr>
        <w:t>With strengthened monitoring</w:t>
      </w:r>
      <w:r w:rsidR="00D93A9A">
        <w:rPr>
          <w:rFonts w:cstheme="minorHAnsi"/>
          <w:sz w:val="24"/>
          <w:lang w:val="en-GB"/>
        </w:rPr>
        <w:t>,</w:t>
      </w:r>
      <w:r w:rsidRPr="000B2A9B">
        <w:rPr>
          <w:rFonts w:cstheme="minorHAnsi"/>
          <w:sz w:val="24"/>
          <w:lang w:val="en-GB"/>
        </w:rPr>
        <w:t xml:space="preserve"> we can also equip ourselves with the information needed to ensure an effective enforcement of the requirements under </w:t>
      </w:r>
      <w:proofErr w:type="spellStart"/>
      <w:r w:rsidRPr="000B2A9B">
        <w:rPr>
          <w:rFonts w:cstheme="minorHAnsi"/>
          <w:sz w:val="24"/>
          <w:lang w:val="en-GB"/>
        </w:rPr>
        <w:t>MiCA</w:t>
      </w:r>
      <w:proofErr w:type="spellEnd"/>
      <w:r w:rsidRPr="000B2A9B">
        <w:rPr>
          <w:rFonts w:cstheme="minorHAnsi"/>
          <w:sz w:val="24"/>
          <w:lang w:val="en-GB"/>
        </w:rPr>
        <w:t xml:space="preserve"> and surveillance of new or emerging activities that may fall outside its scope but could warrant inclusion in the future.</w:t>
      </w:r>
    </w:p>
    <w:p w14:paraId="00E4B693"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A case in point is crypto-asset staking and lending. </w:t>
      </w:r>
    </w:p>
    <w:p w14:paraId="613CD009" w14:textId="77777777" w:rsidR="000B2A9B" w:rsidRPr="000B2A9B" w:rsidRDefault="000B2A9B" w:rsidP="000B2A9B">
      <w:pPr>
        <w:pStyle w:val="body"/>
        <w:rPr>
          <w:rFonts w:cstheme="minorHAnsi"/>
          <w:sz w:val="24"/>
          <w:lang w:val="en-GB"/>
        </w:rPr>
      </w:pPr>
      <w:r w:rsidRPr="000B2A9B">
        <w:rPr>
          <w:rFonts w:cstheme="minorHAnsi"/>
          <w:sz w:val="24"/>
          <w:lang w:val="en-GB"/>
        </w:rPr>
        <w:t>In the EBA’s April 2022 report on non-bank lending, we noted that these activities are on the rise, albeit low in absolute terms, but require close monitoring in case such activities need to be brought in scope of regulation in the future.</w:t>
      </w:r>
    </w:p>
    <w:p w14:paraId="0FCB1449" w14:textId="7B1F5F33" w:rsidR="000B2A9B" w:rsidRPr="000B2A9B" w:rsidRDefault="000B2A9B" w:rsidP="000B2A9B">
      <w:pPr>
        <w:pStyle w:val="body"/>
        <w:rPr>
          <w:rFonts w:cstheme="minorHAnsi"/>
          <w:sz w:val="24"/>
          <w:lang w:val="en-GB"/>
        </w:rPr>
      </w:pPr>
      <w:r w:rsidRPr="000B2A9B">
        <w:rPr>
          <w:rFonts w:cstheme="minorHAnsi"/>
          <w:sz w:val="24"/>
          <w:lang w:val="en-GB"/>
        </w:rPr>
        <w:t xml:space="preserve">Likewise, we need to continue to monitor </w:t>
      </w:r>
      <w:proofErr w:type="spellStart"/>
      <w:r w:rsidRPr="000B2A9B">
        <w:rPr>
          <w:rFonts w:cstheme="minorHAnsi"/>
          <w:sz w:val="24"/>
          <w:lang w:val="en-GB"/>
        </w:rPr>
        <w:t>DeFi</w:t>
      </w:r>
      <w:proofErr w:type="spellEnd"/>
      <w:r w:rsidRPr="000B2A9B">
        <w:rPr>
          <w:rFonts w:cstheme="minorHAnsi"/>
          <w:sz w:val="24"/>
          <w:lang w:val="en-GB"/>
        </w:rPr>
        <w:t xml:space="preserve">. For the most part decentralised finance structures are not all that decentralised at the moment – and somewhere there is an issuer or crypto-asset service provider that will be in scope of </w:t>
      </w:r>
      <w:proofErr w:type="spellStart"/>
      <w:r w:rsidRPr="000B2A9B">
        <w:rPr>
          <w:rFonts w:cstheme="minorHAnsi"/>
          <w:sz w:val="24"/>
          <w:lang w:val="en-GB"/>
        </w:rPr>
        <w:t>MiCA</w:t>
      </w:r>
      <w:proofErr w:type="spellEnd"/>
      <w:r w:rsidRPr="000B2A9B">
        <w:rPr>
          <w:rFonts w:cstheme="minorHAnsi"/>
          <w:sz w:val="24"/>
          <w:lang w:val="en-GB"/>
        </w:rPr>
        <w:t xml:space="preserve">. However, the market is constantly evolving and we need to be aware of those evolutions to ensure that we still have the right tools in place to mitigate risks. </w:t>
      </w:r>
      <w:r w:rsidR="007351C9">
        <w:rPr>
          <w:rFonts w:cstheme="minorHAnsi"/>
          <w:sz w:val="24"/>
          <w:lang w:val="en-GB"/>
        </w:rPr>
        <w:t>And I would draw particular attention to the need to monitor the levels of opacity in parts of the market, particularly as regards the price formation process.</w:t>
      </w:r>
    </w:p>
    <w:p w14:paraId="7CD5E931"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The </w:t>
      </w:r>
      <w:r w:rsidRPr="000B2A9B">
        <w:rPr>
          <w:rFonts w:cstheme="minorHAnsi"/>
          <w:b/>
          <w:bCs/>
          <w:sz w:val="24"/>
          <w:lang w:val="en-GB"/>
        </w:rPr>
        <w:t>third theme is enforcement</w:t>
      </w:r>
      <w:r w:rsidRPr="000B2A9B">
        <w:rPr>
          <w:rFonts w:cstheme="minorHAnsi"/>
          <w:sz w:val="24"/>
          <w:lang w:val="en-GB"/>
        </w:rPr>
        <w:t>.</w:t>
      </w:r>
    </w:p>
    <w:p w14:paraId="355FF13E"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Here, we need to grapple head-on with the inevitable challenges in policing the perimeter under </w:t>
      </w:r>
      <w:proofErr w:type="spellStart"/>
      <w:r w:rsidRPr="000B2A9B">
        <w:rPr>
          <w:rFonts w:cstheme="minorHAnsi"/>
          <w:sz w:val="24"/>
          <w:lang w:val="en-GB"/>
        </w:rPr>
        <w:t>MiCA</w:t>
      </w:r>
      <w:proofErr w:type="spellEnd"/>
      <w:r w:rsidRPr="000B2A9B">
        <w:rPr>
          <w:rFonts w:cstheme="minorHAnsi"/>
          <w:sz w:val="24"/>
          <w:lang w:val="en-GB"/>
        </w:rPr>
        <w:t>.</w:t>
      </w:r>
    </w:p>
    <w:p w14:paraId="3CB6957D"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This will entail becoming more agile in our capabilities to monitor non-traditional distribution channels for crypto-assets, including via social media and in the </w:t>
      </w:r>
      <w:proofErr w:type="spellStart"/>
      <w:r w:rsidRPr="000B2A9B">
        <w:rPr>
          <w:rFonts w:cstheme="minorHAnsi"/>
          <w:sz w:val="24"/>
          <w:lang w:val="en-GB"/>
        </w:rPr>
        <w:t>metaverse</w:t>
      </w:r>
      <w:proofErr w:type="spellEnd"/>
      <w:r w:rsidRPr="000B2A9B">
        <w:rPr>
          <w:rFonts w:cstheme="minorHAnsi"/>
          <w:sz w:val="24"/>
          <w:lang w:val="en-GB"/>
        </w:rPr>
        <w:t xml:space="preserve">. </w:t>
      </w:r>
    </w:p>
    <w:p w14:paraId="4391BE91" w14:textId="77777777" w:rsidR="000B2A9B" w:rsidRPr="000B2A9B" w:rsidRDefault="000B2A9B" w:rsidP="000B2A9B">
      <w:pPr>
        <w:pStyle w:val="body"/>
        <w:rPr>
          <w:rFonts w:cstheme="minorHAnsi"/>
          <w:sz w:val="24"/>
          <w:lang w:val="en-GB"/>
        </w:rPr>
      </w:pPr>
      <w:r w:rsidRPr="000B2A9B">
        <w:rPr>
          <w:rFonts w:cstheme="minorHAnsi"/>
          <w:sz w:val="24"/>
          <w:lang w:val="en-GB"/>
        </w:rPr>
        <w:lastRenderedPageBreak/>
        <w:t xml:space="preserve">It will also involve timely dialogue with supervisors beyond the EU bearing in mind that although </w:t>
      </w:r>
      <w:proofErr w:type="spellStart"/>
      <w:r w:rsidRPr="000B2A9B">
        <w:rPr>
          <w:rFonts w:cstheme="minorHAnsi"/>
          <w:sz w:val="24"/>
          <w:lang w:val="en-GB"/>
        </w:rPr>
        <w:t>MiCA</w:t>
      </w:r>
      <w:proofErr w:type="spellEnd"/>
      <w:r w:rsidRPr="000B2A9B">
        <w:rPr>
          <w:rFonts w:cstheme="minorHAnsi"/>
          <w:sz w:val="24"/>
          <w:lang w:val="en-GB"/>
        </w:rPr>
        <w:t xml:space="preserve"> will require certain types of firms to be established, or at least registered, in the EU, some crypto-asset systems will still involve a distributed footprint in terms of governance and functionalities.</w:t>
      </w:r>
    </w:p>
    <w:p w14:paraId="49489891"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And this takes me to the </w:t>
      </w:r>
      <w:r w:rsidRPr="000B2A9B">
        <w:rPr>
          <w:rFonts w:cstheme="minorHAnsi"/>
          <w:b/>
          <w:bCs/>
          <w:sz w:val="24"/>
          <w:lang w:val="en-GB"/>
        </w:rPr>
        <w:t xml:space="preserve">fourth theme </w:t>
      </w:r>
      <w:r w:rsidRPr="000B2A9B">
        <w:rPr>
          <w:rFonts w:cstheme="minorHAnsi"/>
          <w:sz w:val="24"/>
          <w:lang w:val="en-GB"/>
        </w:rPr>
        <w:t xml:space="preserve">which is about the need for </w:t>
      </w:r>
      <w:r w:rsidRPr="000B2A9B">
        <w:rPr>
          <w:rFonts w:cstheme="minorHAnsi"/>
          <w:b/>
          <w:bCs/>
          <w:sz w:val="24"/>
          <w:lang w:val="en-GB"/>
        </w:rPr>
        <w:t>effective supervisory cooperation and coordination structures</w:t>
      </w:r>
      <w:r w:rsidRPr="000B2A9B">
        <w:rPr>
          <w:rFonts w:cstheme="minorHAnsi"/>
          <w:sz w:val="24"/>
          <w:lang w:val="en-GB"/>
        </w:rPr>
        <w:t>.</w:t>
      </w:r>
    </w:p>
    <w:p w14:paraId="0111CEFE" w14:textId="77777777" w:rsidR="000B2A9B" w:rsidRPr="000B2A9B" w:rsidRDefault="000B2A9B" w:rsidP="000B2A9B">
      <w:pPr>
        <w:pStyle w:val="body"/>
        <w:rPr>
          <w:rFonts w:cstheme="minorHAnsi"/>
          <w:sz w:val="24"/>
        </w:rPr>
      </w:pPr>
      <w:r w:rsidRPr="000B2A9B">
        <w:rPr>
          <w:rFonts w:cstheme="minorHAnsi"/>
          <w:sz w:val="24"/>
        </w:rPr>
        <w:t xml:space="preserve">Based on experience acquired in assessing the early proposals for the Libra/Diem and other so-called </w:t>
      </w:r>
      <w:proofErr w:type="spellStart"/>
      <w:r w:rsidRPr="000B2A9B">
        <w:rPr>
          <w:rFonts w:cstheme="minorHAnsi"/>
          <w:sz w:val="24"/>
        </w:rPr>
        <w:t>stablecoins</w:t>
      </w:r>
      <w:proofErr w:type="spellEnd"/>
      <w:r w:rsidRPr="000B2A9B">
        <w:rPr>
          <w:rFonts w:cstheme="minorHAnsi"/>
          <w:sz w:val="24"/>
        </w:rPr>
        <w:t>, it is clear that strong coordination and cooperation arrangements are needed to facilitate system-wide monitoring, coordinate supervisory actions, and mitigate risks taking into account the potential impacts across the system as a whole.</w:t>
      </w:r>
    </w:p>
    <w:p w14:paraId="233E915C" w14:textId="77777777" w:rsidR="000B2A9B" w:rsidRPr="000B2A9B" w:rsidRDefault="000B2A9B" w:rsidP="000B2A9B">
      <w:pPr>
        <w:pStyle w:val="body"/>
        <w:rPr>
          <w:rFonts w:cstheme="minorHAnsi"/>
          <w:sz w:val="24"/>
        </w:rPr>
      </w:pPr>
      <w:r w:rsidRPr="000B2A9B">
        <w:rPr>
          <w:rFonts w:cstheme="minorHAnsi"/>
          <w:sz w:val="24"/>
        </w:rPr>
        <w:t>As such, a framework to support structured dialogue</w:t>
      </w:r>
      <w:r w:rsidRPr="000B2A9B">
        <w:rPr>
          <w:rFonts w:cstheme="minorHAnsi"/>
          <w:b/>
          <w:bCs/>
          <w:sz w:val="24"/>
        </w:rPr>
        <w:t xml:space="preserve"> </w:t>
      </w:r>
      <w:r w:rsidRPr="000B2A9B">
        <w:rPr>
          <w:rFonts w:cstheme="minorHAnsi"/>
          <w:sz w:val="24"/>
        </w:rPr>
        <w:t>between competent authorities supervising different parts of crypto-asset ecosystems (e.g. custodians, issuers, exchanges and wallet providers), is essential.</w:t>
      </w:r>
    </w:p>
    <w:p w14:paraId="325B3AE9" w14:textId="77777777" w:rsidR="000B2A9B" w:rsidRPr="000B2A9B" w:rsidRDefault="000B2A9B" w:rsidP="000B2A9B">
      <w:pPr>
        <w:pStyle w:val="body"/>
        <w:rPr>
          <w:rFonts w:cstheme="minorHAnsi"/>
          <w:sz w:val="24"/>
          <w:lang w:val="en-GB"/>
        </w:rPr>
      </w:pPr>
      <w:proofErr w:type="spellStart"/>
      <w:r w:rsidRPr="000B2A9B">
        <w:rPr>
          <w:rFonts w:cstheme="minorHAnsi"/>
          <w:sz w:val="24"/>
          <w:lang w:val="en-GB"/>
        </w:rPr>
        <w:t>MiCA</w:t>
      </w:r>
      <w:proofErr w:type="spellEnd"/>
      <w:r w:rsidRPr="000B2A9B">
        <w:rPr>
          <w:rFonts w:cstheme="minorHAnsi"/>
          <w:sz w:val="24"/>
          <w:lang w:val="en-GB"/>
        </w:rPr>
        <w:t xml:space="preserve"> does include some proposals for supervisory colleges. However, these are rather focussed on the issuer. </w:t>
      </w:r>
    </w:p>
    <w:p w14:paraId="70EFBC5E"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If I could plea for any change to </w:t>
      </w:r>
      <w:proofErr w:type="spellStart"/>
      <w:r w:rsidRPr="000B2A9B">
        <w:rPr>
          <w:rFonts w:cstheme="minorHAnsi"/>
          <w:sz w:val="24"/>
          <w:lang w:val="en-GB"/>
        </w:rPr>
        <w:t>MiCA</w:t>
      </w:r>
      <w:proofErr w:type="spellEnd"/>
      <w:r w:rsidRPr="000B2A9B">
        <w:rPr>
          <w:rFonts w:cstheme="minorHAnsi"/>
          <w:sz w:val="24"/>
          <w:lang w:val="en-GB"/>
        </w:rPr>
        <w:t xml:space="preserve">, it would be to broaden out the functionalities of the supervisory colleges to ensure that all constituent components of </w:t>
      </w:r>
      <w:proofErr w:type="spellStart"/>
      <w:r w:rsidRPr="000B2A9B">
        <w:rPr>
          <w:rFonts w:cstheme="minorHAnsi"/>
          <w:sz w:val="24"/>
          <w:lang w:val="en-GB"/>
        </w:rPr>
        <w:t>stablecoin</w:t>
      </w:r>
      <w:proofErr w:type="spellEnd"/>
      <w:r w:rsidRPr="000B2A9B">
        <w:rPr>
          <w:rFonts w:cstheme="minorHAnsi"/>
          <w:sz w:val="24"/>
          <w:lang w:val="en-GB"/>
        </w:rPr>
        <w:t xml:space="preserve"> ecosystems are in scope to facilitate the necessary pan-authority discussion on risks and vulnerabilities across the ecosystem as a whole and to facilitate the coordination of supervisory actions. </w:t>
      </w:r>
    </w:p>
    <w:p w14:paraId="381A61CA" w14:textId="77777777" w:rsidR="000B2A9B" w:rsidRPr="000B2A9B" w:rsidRDefault="000B2A9B" w:rsidP="000B2A9B">
      <w:pPr>
        <w:pStyle w:val="body"/>
        <w:rPr>
          <w:rFonts w:cstheme="minorHAnsi"/>
          <w:sz w:val="24"/>
          <w:lang w:val="en-GB"/>
        </w:rPr>
      </w:pPr>
      <w:r w:rsidRPr="000B2A9B">
        <w:rPr>
          <w:rFonts w:cstheme="minorHAnsi"/>
          <w:sz w:val="24"/>
          <w:lang w:val="en-GB"/>
        </w:rPr>
        <w:t>And I may say a bit more about this later if there is opportunity in this session.</w:t>
      </w:r>
    </w:p>
    <w:p w14:paraId="6726595F"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Turning to my final </w:t>
      </w:r>
      <w:r w:rsidRPr="004F19C3">
        <w:rPr>
          <w:rFonts w:cstheme="minorHAnsi"/>
          <w:sz w:val="24"/>
          <w:lang w:val="en-GB"/>
        </w:rPr>
        <w:t xml:space="preserve">theme – </w:t>
      </w:r>
      <w:r w:rsidRPr="000B2A9B">
        <w:rPr>
          <w:rFonts w:cstheme="minorHAnsi"/>
          <w:b/>
          <w:bCs/>
          <w:sz w:val="24"/>
          <w:lang w:val="en-GB"/>
        </w:rPr>
        <w:t xml:space="preserve">theme number 5 </w:t>
      </w:r>
      <w:r w:rsidRPr="004F19C3">
        <w:rPr>
          <w:rFonts w:cstheme="minorHAnsi"/>
          <w:sz w:val="24"/>
          <w:lang w:val="en-GB"/>
        </w:rPr>
        <w:t xml:space="preserve">- </w:t>
      </w:r>
      <w:r w:rsidRPr="000B2A9B">
        <w:rPr>
          <w:rFonts w:cstheme="minorHAnsi"/>
          <w:b/>
          <w:bCs/>
          <w:sz w:val="24"/>
          <w:lang w:val="en-GB"/>
        </w:rPr>
        <w:t>this is the need for convergence at the international level on the regulatory and supervisory approach to crypto-assets</w:t>
      </w:r>
      <w:r w:rsidRPr="000B2A9B">
        <w:rPr>
          <w:rFonts w:cstheme="minorHAnsi"/>
          <w:sz w:val="24"/>
          <w:lang w:val="en-GB"/>
        </w:rPr>
        <w:t>.</w:t>
      </w:r>
    </w:p>
    <w:p w14:paraId="453F8D4B" w14:textId="77777777" w:rsidR="000B2A9B" w:rsidRPr="000B2A9B" w:rsidRDefault="000B2A9B" w:rsidP="000B2A9B">
      <w:pPr>
        <w:pStyle w:val="body"/>
        <w:rPr>
          <w:rFonts w:cstheme="minorHAnsi"/>
          <w:sz w:val="24"/>
          <w:lang w:val="en-GB"/>
        </w:rPr>
      </w:pPr>
      <w:r w:rsidRPr="000B2A9B">
        <w:rPr>
          <w:rFonts w:cstheme="minorHAnsi"/>
          <w:sz w:val="24"/>
          <w:lang w:val="en-GB"/>
        </w:rPr>
        <w:t xml:space="preserve">At a global level work is underway and we at the EBA are participating in multiple international standard-setter work streams including: </w:t>
      </w:r>
    </w:p>
    <w:p w14:paraId="321C52C9" w14:textId="77777777" w:rsidR="000B2A9B" w:rsidRPr="000B2A9B" w:rsidRDefault="000B2A9B" w:rsidP="000B2A9B">
      <w:pPr>
        <w:pStyle w:val="body"/>
        <w:numPr>
          <w:ilvl w:val="0"/>
          <w:numId w:val="26"/>
        </w:numPr>
        <w:rPr>
          <w:rFonts w:cstheme="minorHAnsi"/>
          <w:sz w:val="24"/>
          <w:lang w:val="en-GB"/>
        </w:rPr>
      </w:pPr>
      <w:r w:rsidRPr="000B2A9B">
        <w:rPr>
          <w:rFonts w:cstheme="minorHAnsi"/>
          <w:sz w:val="24"/>
          <w:lang w:val="en-GB"/>
        </w:rPr>
        <w:t xml:space="preserve">the Financial Stability Board’s monitoring of crypto-assets and </w:t>
      </w:r>
      <w:proofErr w:type="spellStart"/>
      <w:r w:rsidRPr="000B2A9B">
        <w:rPr>
          <w:rFonts w:cstheme="minorHAnsi"/>
          <w:sz w:val="24"/>
          <w:lang w:val="en-GB"/>
        </w:rPr>
        <w:t>DeFi</w:t>
      </w:r>
      <w:proofErr w:type="spellEnd"/>
      <w:r w:rsidRPr="000B2A9B">
        <w:rPr>
          <w:rFonts w:cstheme="minorHAnsi"/>
          <w:sz w:val="24"/>
          <w:lang w:val="en-GB"/>
        </w:rPr>
        <w:t xml:space="preserve"> applications; </w:t>
      </w:r>
    </w:p>
    <w:p w14:paraId="03A0A903" w14:textId="77777777" w:rsidR="000B2A9B" w:rsidRPr="000B2A9B" w:rsidRDefault="000B2A9B" w:rsidP="000B2A9B">
      <w:pPr>
        <w:pStyle w:val="body"/>
        <w:numPr>
          <w:ilvl w:val="0"/>
          <w:numId w:val="26"/>
        </w:numPr>
        <w:rPr>
          <w:rFonts w:cstheme="minorHAnsi"/>
          <w:sz w:val="24"/>
          <w:lang w:val="en-GB"/>
        </w:rPr>
      </w:pPr>
      <w:r w:rsidRPr="000B2A9B">
        <w:rPr>
          <w:rFonts w:cstheme="minorHAnsi"/>
          <w:sz w:val="24"/>
          <w:lang w:val="en-GB"/>
        </w:rPr>
        <w:t>the BCBS work on the prudential treatment of banks’ exposures to crypto-assets on which we expect a further consultation imminently;</w:t>
      </w:r>
    </w:p>
    <w:p w14:paraId="45809036" w14:textId="21A44E94" w:rsidR="000B2A9B" w:rsidRPr="000B2A9B" w:rsidRDefault="000B2A9B" w:rsidP="000B2A9B">
      <w:pPr>
        <w:pStyle w:val="body"/>
        <w:numPr>
          <w:ilvl w:val="0"/>
          <w:numId w:val="26"/>
        </w:numPr>
        <w:rPr>
          <w:rFonts w:cstheme="minorHAnsi"/>
          <w:sz w:val="24"/>
          <w:lang w:val="en-GB"/>
        </w:rPr>
      </w:pPr>
      <w:r w:rsidRPr="000B2A9B">
        <w:rPr>
          <w:rFonts w:cstheme="minorHAnsi"/>
          <w:sz w:val="24"/>
          <w:lang w:val="en-GB"/>
        </w:rPr>
        <w:t xml:space="preserve">and ongoing </w:t>
      </w:r>
      <w:r w:rsidR="00B64EE9">
        <w:rPr>
          <w:rFonts w:cstheme="minorHAnsi"/>
          <w:sz w:val="24"/>
          <w:lang w:val="en-GB"/>
        </w:rPr>
        <w:t>Financial Action Task Force (</w:t>
      </w:r>
      <w:r w:rsidRPr="000B2A9B">
        <w:rPr>
          <w:rFonts w:cstheme="minorHAnsi"/>
          <w:sz w:val="24"/>
          <w:lang w:val="en-GB"/>
        </w:rPr>
        <w:t>FATF</w:t>
      </w:r>
      <w:r w:rsidR="00B64EE9">
        <w:rPr>
          <w:rFonts w:cstheme="minorHAnsi"/>
          <w:sz w:val="24"/>
          <w:lang w:val="en-GB"/>
        </w:rPr>
        <w:t>)</w:t>
      </w:r>
      <w:r w:rsidRPr="000B2A9B">
        <w:rPr>
          <w:rFonts w:cstheme="minorHAnsi"/>
          <w:sz w:val="24"/>
          <w:lang w:val="en-GB"/>
        </w:rPr>
        <w:t xml:space="preserve"> work to monitor the application of the standards and guidance to so-called virtual assets and virtual asset service providers.</w:t>
      </w:r>
    </w:p>
    <w:p w14:paraId="70294354" w14:textId="77777777" w:rsidR="000B2A9B" w:rsidRPr="000B2A9B" w:rsidRDefault="000B2A9B" w:rsidP="000B2A9B">
      <w:pPr>
        <w:pStyle w:val="body"/>
        <w:rPr>
          <w:rFonts w:cstheme="minorHAnsi"/>
          <w:sz w:val="24"/>
          <w:lang w:val="en-GB"/>
        </w:rPr>
      </w:pPr>
      <w:r w:rsidRPr="000B2A9B">
        <w:rPr>
          <w:rFonts w:cstheme="minorHAnsi"/>
          <w:sz w:val="24"/>
          <w:lang w:val="en-GB"/>
        </w:rPr>
        <w:lastRenderedPageBreak/>
        <w:t>The discussions at these tables are absolutely key to ensure effective mitigation of risks in the context of borderless technologies and markets, in particular to address the risk of forum shopping and regulatory arbitrage and hence our given our high attention.</w:t>
      </w:r>
    </w:p>
    <w:p w14:paraId="74C851D9" w14:textId="376737B1" w:rsidR="00CA7D64" w:rsidRPr="000B2A9B" w:rsidRDefault="000B2A9B" w:rsidP="000B2A9B">
      <w:pPr>
        <w:pStyle w:val="body"/>
        <w:rPr>
          <w:rFonts w:cstheme="minorHAnsi"/>
          <w:sz w:val="24"/>
          <w:lang w:val="en-GB"/>
        </w:rPr>
      </w:pPr>
      <w:r w:rsidRPr="000B2A9B">
        <w:rPr>
          <w:rFonts w:cstheme="minorHAnsi"/>
          <w:sz w:val="24"/>
          <w:lang w:val="en-GB"/>
        </w:rPr>
        <w:t>I will pause there and again thank you for the opportunity to participate in the public hearing today.</w:t>
      </w:r>
      <w:r w:rsidR="00B64EE9">
        <w:rPr>
          <w:rStyle w:val="FootnoteReference"/>
          <w:rFonts w:cstheme="minorHAnsi"/>
          <w:lang w:val="en-GB"/>
        </w:rPr>
        <w:footnoteReference w:id="4"/>
      </w:r>
    </w:p>
    <w:sectPr w:rsidR="00CA7D64" w:rsidRPr="000B2A9B" w:rsidSect="00D25E4D">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3B4DF" w14:textId="77777777" w:rsidR="0066114F" w:rsidRDefault="0066114F" w:rsidP="00A00E34">
      <w:r>
        <w:separator/>
      </w:r>
    </w:p>
    <w:p w14:paraId="258E7D9E" w14:textId="77777777" w:rsidR="0066114F" w:rsidRDefault="0066114F"/>
  </w:endnote>
  <w:endnote w:type="continuationSeparator" w:id="0">
    <w:p w14:paraId="55716720" w14:textId="77777777" w:rsidR="0066114F" w:rsidRDefault="0066114F" w:rsidP="00A00E34">
      <w:r>
        <w:continuationSeparator/>
      </w:r>
    </w:p>
    <w:p w14:paraId="7A8E12DC" w14:textId="77777777" w:rsidR="0066114F" w:rsidRDefault="00661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E833" w14:textId="77777777" w:rsidR="00815047" w:rsidRDefault="00815047" w:rsidP="00255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DA3F9" w14:textId="77777777" w:rsidR="00815047" w:rsidRDefault="00815047"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EDDF" w14:textId="4935443E" w:rsidR="00815047" w:rsidRDefault="00815047" w:rsidP="00255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87F">
      <w:rPr>
        <w:rStyle w:val="PageNumber"/>
        <w:noProof/>
      </w:rPr>
      <w:t>6</w:t>
    </w:r>
    <w:r>
      <w:rPr>
        <w:rStyle w:val="PageNumber"/>
      </w:rPr>
      <w:fldChar w:fldCharType="end"/>
    </w:r>
  </w:p>
  <w:p w14:paraId="241436BD" w14:textId="77777777" w:rsidR="00815047" w:rsidRDefault="00815047" w:rsidP="00610305">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1ED03A0C" wp14:editId="354FA23F">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922294" id="Straight Connector 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82AA" w14:textId="77777777" w:rsidR="00815047" w:rsidRDefault="00815047">
    <w:pPr>
      <w:pStyle w:val="Footer"/>
    </w:pPr>
    <w:r>
      <w:rPr>
        <w:noProof/>
        <w:lang w:eastAsia="en-GB"/>
      </w:rPr>
      <mc:AlternateContent>
        <mc:Choice Requires="wps">
          <w:drawing>
            <wp:anchor distT="4294967295" distB="4294967295" distL="114300" distR="114300" simplePos="0" relativeHeight="251662336" behindDoc="1" locked="1" layoutInCell="1" allowOverlap="1" wp14:anchorId="1854E130" wp14:editId="0B4FB639">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748F9F" id="Straight Connector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BE43" w14:textId="77777777" w:rsidR="0066114F" w:rsidRPr="00DB5E8F" w:rsidRDefault="0066114F">
      <w:pPr>
        <w:rPr>
          <w:sz w:val="12"/>
          <w:szCs w:val="12"/>
        </w:rPr>
      </w:pPr>
      <w:r w:rsidRPr="00DB5E8F">
        <w:rPr>
          <w:sz w:val="12"/>
          <w:szCs w:val="12"/>
        </w:rPr>
        <w:separator/>
      </w:r>
    </w:p>
  </w:footnote>
  <w:footnote w:type="continuationSeparator" w:id="0">
    <w:p w14:paraId="636F3AE9" w14:textId="77777777" w:rsidR="0066114F" w:rsidRDefault="0066114F" w:rsidP="00A00E34">
      <w:r>
        <w:continuationSeparator/>
      </w:r>
    </w:p>
    <w:p w14:paraId="3D33F042" w14:textId="77777777" w:rsidR="0066114F" w:rsidRDefault="0066114F"/>
  </w:footnote>
  <w:footnote w:type="continuationNotice" w:id="1">
    <w:p w14:paraId="4A03CA9F" w14:textId="77777777" w:rsidR="0066114F" w:rsidRDefault="0066114F"/>
  </w:footnote>
  <w:footnote w:id="2">
    <w:p w14:paraId="21D7F2AB" w14:textId="2AA5A009" w:rsidR="00B85B1A" w:rsidRPr="00B85B1A" w:rsidRDefault="00B85B1A">
      <w:pPr>
        <w:pStyle w:val="FootnoteText"/>
        <w:rPr>
          <w:lang w:val="en-GB"/>
        </w:rPr>
      </w:pPr>
      <w:r>
        <w:rPr>
          <w:rStyle w:val="FootnoteReference"/>
        </w:rPr>
        <w:footnoteRef/>
      </w:r>
      <w:r>
        <w:t xml:space="preserve"> </w:t>
      </w:r>
      <w:r w:rsidR="00E5353A">
        <w:t xml:space="preserve">Elisabeth Noble is a </w:t>
      </w:r>
      <w:r>
        <w:rPr>
          <w:lang w:val="en-GB"/>
        </w:rPr>
        <w:t>Senior Policy Expert</w:t>
      </w:r>
      <w:r w:rsidR="00E5353A">
        <w:rPr>
          <w:lang w:val="en-GB"/>
        </w:rPr>
        <w:t xml:space="preserve"> at the </w:t>
      </w:r>
      <w:r>
        <w:rPr>
          <w:lang w:val="en-GB"/>
        </w:rPr>
        <w:t>European Banking Authority</w:t>
      </w:r>
      <w:r w:rsidR="00E5353A">
        <w:rPr>
          <w:lang w:val="en-GB"/>
        </w:rPr>
        <w:t xml:space="preserve"> and leads the work on crypto-assets</w:t>
      </w:r>
      <w:r>
        <w:rPr>
          <w:lang w:val="en-GB"/>
        </w:rPr>
        <w:t>.</w:t>
      </w:r>
    </w:p>
  </w:footnote>
  <w:footnote w:id="3">
    <w:p w14:paraId="2F2F0D87" w14:textId="2EC2B3AF" w:rsidR="00A842AB" w:rsidRPr="00A842AB" w:rsidRDefault="00A842AB">
      <w:pPr>
        <w:pStyle w:val="FootnoteText"/>
        <w:rPr>
          <w:lang w:val="en-GB"/>
        </w:rPr>
      </w:pPr>
      <w:r>
        <w:rPr>
          <w:rStyle w:val="FootnoteReference"/>
        </w:rPr>
        <w:footnoteRef/>
      </w:r>
      <w:r>
        <w:t xml:space="preserve"> </w:t>
      </w:r>
      <w:r>
        <w:rPr>
          <w:lang w:val="en-GB"/>
        </w:rPr>
        <w:t>To support national competent authorities in capacity building, in mid-2021 the EBA established its Network on Crypto-assets which provides a forum for supervisors to discuss market developments, and regulatory and supervisory issues with a view to promoting convergence in practices and developing skills and expertise.</w:t>
      </w:r>
    </w:p>
  </w:footnote>
  <w:footnote w:id="4">
    <w:p w14:paraId="0DD0566C" w14:textId="68425BED" w:rsidR="00B64EE9" w:rsidRDefault="00B64EE9">
      <w:pPr>
        <w:pStyle w:val="FootnoteText"/>
        <w:rPr>
          <w:lang w:val="en-GB"/>
        </w:rPr>
      </w:pPr>
      <w:r>
        <w:rPr>
          <w:rStyle w:val="FootnoteReference"/>
        </w:rPr>
        <w:footnoteRef/>
      </w:r>
      <w:r>
        <w:t xml:space="preserve"> </w:t>
      </w:r>
      <w:r>
        <w:rPr>
          <w:lang w:val="en-GB"/>
        </w:rPr>
        <w:t xml:space="preserve">For more information about the EBA’s work on financial innovation see the </w:t>
      </w:r>
      <w:hyperlink r:id="rId1" w:history="1">
        <w:proofErr w:type="spellStart"/>
        <w:r w:rsidRPr="006679E1">
          <w:rPr>
            <w:rStyle w:val="Hyperlink"/>
            <w:lang w:val="en-GB"/>
          </w:rPr>
          <w:t>FinTech</w:t>
        </w:r>
        <w:proofErr w:type="spellEnd"/>
        <w:r w:rsidRPr="006679E1">
          <w:rPr>
            <w:rStyle w:val="Hyperlink"/>
            <w:lang w:val="en-GB"/>
          </w:rPr>
          <w:t xml:space="preserve"> Knowledge Hub</w:t>
        </w:r>
      </w:hyperlink>
      <w:r>
        <w:rPr>
          <w:lang w:val="en-GB"/>
        </w:rPr>
        <w:t>.</w:t>
      </w:r>
    </w:p>
    <w:p w14:paraId="54CD8E81" w14:textId="77777777" w:rsidR="006679E1" w:rsidRPr="00B64EE9" w:rsidRDefault="006679E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6D85" w14:textId="77777777" w:rsidR="00815047" w:rsidRDefault="00CD087F">
    <w:sdt>
      <w:sdtPr>
        <w:id w:val="1051503992"/>
        <w:temporary/>
        <w:showingPlcHdr/>
      </w:sdtPr>
      <w:sdtEndPr/>
      <w:sdtContent>
        <w:r w:rsidR="00815047">
          <w:t>[Type text]</w:t>
        </w:r>
      </w:sdtContent>
    </w:sdt>
    <w:r w:rsidR="00815047">
      <w:ptab w:relativeTo="margin" w:alignment="center" w:leader="none"/>
    </w:r>
    <w:sdt>
      <w:sdtPr>
        <w:id w:val="731575129"/>
        <w:temporary/>
        <w:showingPlcHdr/>
      </w:sdtPr>
      <w:sdtEndPr/>
      <w:sdtContent>
        <w:r w:rsidR="00815047">
          <w:t>[Type text]</w:t>
        </w:r>
      </w:sdtContent>
    </w:sdt>
    <w:r w:rsidR="00815047">
      <w:ptab w:relativeTo="margin" w:alignment="right" w:leader="none"/>
    </w:r>
    <w:sdt>
      <w:sdtPr>
        <w:id w:val="364179191"/>
        <w:temporary/>
        <w:showingPlcHdr/>
      </w:sdtPr>
      <w:sdtEndPr/>
      <w:sdtContent>
        <w:r w:rsidR="00815047">
          <w:t>[Type text]</w:t>
        </w:r>
      </w:sdtContent>
    </w:sdt>
  </w:p>
  <w:p w14:paraId="72713DDD" w14:textId="77777777" w:rsidR="00815047" w:rsidRDefault="008150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8ADA" w14:textId="232FACAA" w:rsidR="006C17D5" w:rsidRDefault="00A565F9" w:rsidP="006C17D5">
    <w:pPr>
      <w:pStyle w:val="Runningtitle"/>
    </w:pPr>
    <w:r>
      <w:rPr>
        <w:noProof/>
        <w:lang w:val="en-GB" w:eastAsia="en-GB"/>
      </w:rPr>
      <mc:AlternateContent>
        <mc:Choice Requires="wps">
          <w:drawing>
            <wp:anchor distT="0" distB="0" distL="114300" distR="114300" simplePos="0" relativeHeight="251665408" behindDoc="0" locked="0" layoutInCell="0" allowOverlap="1" wp14:anchorId="73F2FDC9" wp14:editId="0EBE3C5C">
              <wp:simplePos x="0" y="0"/>
              <wp:positionH relativeFrom="page">
                <wp:posOffset>0</wp:posOffset>
              </wp:positionH>
              <wp:positionV relativeFrom="page">
                <wp:posOffset>190500</wp:posOffset>
              </wp:positionV>
              <wp:extent cx="7556500" cy="273050"/>
              <wp:effectExtent l="0" t="0" r="0" b="12700"/>
              <wp:wrapNone/>
              <wp:docPr id="3" name="MSIPCMb9d14b7d96b83de0001eb7b0" descr="{&quot;HashCode&quot;:-46641150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8226D" w14:textId="7FA8ECB0" w:rsidR="00A565F9" w:rsidRPr="00A565F9" w:rsidRDefault="00A565F9" w:rsidP="00A565F9">
                          <w:pPr>
                            <w:rPr>
                              <w:rFonts w:ascii="Calibri" w:hAnsi="Calibri" w:cs="Calibri"/>
                              <w:color w:val="000000"/>
                              <w:sz w:val="24"/>
                            </w:rPr>
                          </w:pPr>
                          <w:r w:rsidRPr="00A565F9">
                            <w:rPr>
                              <w:rFonts w:ascii="Calibri" w:hAnsi="Calibri" w:cs="Calibri"/>
                              <w:color w:val="000000"/>
                              <w:sz w:val="24"/>
                            </w:rPr>
                            <w:t>EBA Regular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2FDC9" id="_x0000_t202" coordsize="21600,21600" o:spt="202" path="m,l,21600r21600,l21600,xe">
              <v:stroke joinstyle="miter"/>
              <v:path gradientshapeok="t" o:connecttype="rect"/>
            </v:shapetype>
            <v:shape id="MSIPCMb9d14b7d96b83de0001eb7b0" o:spid="_x0000_s1026" type="#_x0000_t202" alt="{&quot;HashCode&quot;:-466411507,&quot;Height&quot;:842.0,&quot;Width&quot;:595.0,&quot;Placement&quot;:&quot;Header&quot;,&quot;Index&quot;:&quot;Primary&quot;,&quot;Section&quot;:1,&quot;Top&quot;:0.0,&quot;Left&quot;:0.0}" style="position:absolute;margin-left:0;margin-top:1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" o:allowincell="f" filled="f" stroked="f" strokeweight=".5pt">
              <v:textbox inset="20pt,0,,0">
                <w:txbxContent>
                  <w:p w14:paraId="6A58226D" w14:textId="7FA8ECB0" w:rsidR="00A565F9" w:rsidRPr="00A565F9" w:rsidRDefault="00A565F9" w:rsidP="00A565F9">
                    <w:pPr>
                      <w:rPr>
                        <w:rFonts w:ascii="Calibri" w:hAnsi="Calibri" w:cs="Calibri"/>
                        <w:color w:val="000000"/>
                        <w:sz w:val="24"/>
                      </w:rPr>
                    </w:pPr>
                    <w:r w:rsidRPr="00A565F9">
                      <w:rPr>
                        <w:rFonts w:ascii="Calibri" w:hAnsi="Calibri" w:cs="Calibri"/>
                        <w:color w:val="000000"/>
                        <w:sz w:val="24"/>
                      </w:rPr>
                      <w:t>EBA Regular Use</w:t>
                    </w:r>
                  </w:p>
                </w:txbxContent>
              </v:textbox>
              <w10:wrap anchorx="page" anchory="page"/>
            </v:shape>
          </w:pict>
        </mc:Fallback>
      </mc:AlternateContent>
    </w:r>
    <w:r w:rsidR="00026D8D" w:rsidRPr="00026D8D">
      <w:t xml:space="preserve"> </w:t>
    </w:r>
    <w:r w:rsidR="00644B25">
      <w:t>EESC public hearing – crypto-assets</w:t>
    </w:r>
  </w:p>
  <w:p w14:paraId="08DEB1D4" w14:textId="77777777" w:rsidR="00815047" w:rsidRPr="00F9452C" w:rsidRDefault="00815047" w:rsidP="002C0DCF">
    <w:pPr>
      <w:pStyle w:val="Runningtitle"/>
    </w:pPr>
    <w:r>
      <w:rPr>
        <w:noProof/>
        <w:lang w:val="en-GB" w:eastAsia="en-GB"/>
      </w:rPr>
      <w:drawing>
        <wp:anchor distT="0" distB="0" distL="114300" distR="114300" simplePos="0" relativeHeight="251658240" behindDoc="1" locked="0" layoutInCell="1" allowOverlap="1" wp14:anchorId="27672810" wp14:editId="3B78A7F5">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441D" w14:textId="7E6378C8" w:rsidR="00F6622E" w:rsidRDefault="00A565F9" w:rsidP="00E677EF">
    <w:pPr>
      <w:pStyle w:val="Runningtitle"/>
    </w:pPr>
    <w:r>
      <w:rPr>
        <w:noProof/>
        <w:lang w:val="en-GB" w:eastAsia="en-GB"/>
      </w:rPr>
      <mc:AlternateContent>
        <mc:Choice Requires="wps">
          <w:drawing>
            <wp:anchor distT="0" distB="0" distL="114300" distR="114300" simplePos="0" relativeHeight="251666432" behindDoc="0" locked="0" layoutInCell="0" allowOverlap="1" wp14:anchorId="2022E1E7" wp14:editId="043F0D1A">
              <wp:simplePos x="0" y="0"/>
              <wp:positionH relativeFrom="page">
                <wp:posOffset>0</wp:posOffset>
              </wp:positionH>
              <wp:positionV relativeFrom="page">
                <wp:posOffset>190500</wp:posOffset>
              </wp:positionV>
              <wp:extent cx="7556500" cy="273050"/>
              <wp:effectExtent l="0" t="0" r="0" b="12700"/>
              <wp:wrapNone/>
              <wp:docPr id="4" name="MSIPCMcade4269bffae0a9d9cbeace" descr="{&quot;HashCode&quot;:-46641150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AC268" w14:textId="63F99E7B" w:rsidR="00A565F9" w:rsidRPr="00A565F9" w:rsidRDefault="00A565F9" w:rsidP="00A565F9">
                          <w:pPr>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2E1E7" id="_x0000_t202" coordsize="21600,21600" o:spt="202" path="m,l,21600r21600,l21600,xe">
              <v:stroke joinstyle="miter"/>
              <v:path gradientshapeok="t" o:connecttype="rect"/>
            </v:shapetype>
            <v:shape id="MSIPCMcade4269bffae0a9d9cbeace" o:spid="_x0000_s1027" type="#_x0000_t202" alt="{&quot;HashCode&quot;:-466411507,&quot;Height&quot;:842.0,&quot;Width&quot;:595.0,&quot;Placement&quot;:&quot;Header&quot;,&quot;Index&quot;:&quot;FirstPage&quot;,&quot;Section&quot;:1,&quot;Top&quot;:0.0,&quot;Left&quot;:0.0}" style="position:absolute;margin-left:0;margin-top:15pt;width:59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" o:allowincell="f" filled="f" stroked="f" strokeweight=".5pt">
              <v:textbox inset="20pt,0,,0">
                <w:txbxContent>
                  <w:p w14:paraId="71CAC268" w14:textId="63F99E7B" w:rsidR="00A565F9" w:rsidRPr="00A565F9" w:rsidRDefault="00A565F9" w:rsidP="00A565F9">
                    <w:pPr>
                      <w:rPr>
                        <w:rFonts w:ascii="Calibri" w:hAnsi="Calibri" w:cs="Calibri"/>
                        <w:color w:val="000000"/>
                        <w:sz w:val="24"/>
                      </w:rPr>
                    </w:pPr>
                  </w:p>
                </w:txbxContent>
              </v:textbox>
              <w10:wrap anchorx="page" anchory="page"/>
            </v:shape>
          </w:pict>
        </mc:Fallback>
      </mc:AlternateContent>
    </w:r>
    <w:r w:rsidR="0042742F">
      <w:t>EESC public hearing – crypto-assets</w:t>
    </w:r>
  </w:p>
  <w:p w14:paraId="4CF7D703" w14:textId="77777777" w:rsidR="00815047" w:rsidRDefault="00815047" w:rsidP="00E677EF">
    <w:pPr>
      <w:pStyle w:val="Runningtitle"/>
    </w:pPr>
    <w:r>
      <w:rPr>
        <w:noProof/>
        <w:lang w:val="en-GB" w:eastAsia="en-GB"/>
      </w:rPr>
      <w:drawing>
        <wp:anchor distT="0" distB="0" distL="114300" distR="114300" simplePos="0" relativeHeight="251660288" behindDoc="1" locked="1" layoutInCell="1" allowOverlap="0" wp14:anchorId="4B101417" wp14:editId="42DFA1F4">
          <wp:simplePos x="0" y="0"/>
          <wp:positionH relativeFrom="page">
            <wp:posOffset>5119370</wp:posOffset>
          </wp:positionH>
          <wp:positionV relativeFrom="page">
            <wp:posOffset>450215</wp:posOffset>
          </wp:positionV>
          <wp:extent cx="1941830" cy="719455"/>
          <wp:effectExtent l="0" t="0" r="1270" b="4445"/>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AB"/>
    <w:multiLevelType w:val="hybridMultilevel"/>
    <w:tmpl w:val="B9F2F71E"/>
    <w:lvl w:ilvl="0" w:tplc="D5968D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C6863"/>
    <w:multiLevelType w:val="hybridMultilevel"/>
    <w:tmpl w:val="53D0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4C086F"/>
    <w:multiLevelType w:val="hybridMultilevel"/>
    <w:tmpl w:val="6A7E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11EE4"/>
    <w:multiLevelType w:val="hybridMultilevel"/>
    <w:tmpl w:val="89EA432E"/>
    <w:lvl w:ilvl="0" w:tplc="B2CCB040">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443D5"/>
    <w:multiLevelType w:val="hybridMultilevel"/>
    <w:tmpl w:val="EF92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327319A4"/>
    <w:multiLevelType w:val="hybridMultilevel"/>
    <w:tmpl w:val="FA808BA2"/>
    <w:lvl w:ilvl="0" w:tplc="B2CCB04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32FCA"/>
    <w:multiLevelType w:val="hybridMultilevel"/>
    <w:tmpl w:val="8DB4AC82"/>
    <w:lvl w:ilvl="0" w:tplc="5C0C8D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371EA"/>
    <w:multiLevelType w:val="hybridMultilevel"/>
    <w:tmpl w:val="DAE4EB9C"/>
    <w:lvl w:ilvl="0" w:tplc="DC44A6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5A62"/>
    <w:multiLevelType w:val="hybridMultilevel"/>
    <w:tmpl w:val="7276B2DA"/>
    <w:lvl w:ilvl="0" w:tplc="3DFECB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20E93"/>
    <w:multiLevelType w:val="hybridMultilevel"/>
    <w:tmpl w:val="4D541E34"/>
    <w:lvl w:ilvl="0" w:tplc="1B642D2C">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810563"/>
    <w:multiLevelType w:val="hybridMultilevel"/>
    <w:tmpl w:val="0A2EC38E"/>
    <w:lvl w:ilvl="0" w:tplc="BA8895E4">
      <w:start w:val="1"/>
      <w:numFmt w:val="bullet"/>
      <w:lvlText w:val=""/>
      <w:lvlJc w:val="left"/>
      <w:pPr>
        <w:ind w:left="720" w:hanging="360"/>
      </w:pPr>
      <w:rPr>
        <w:rFonts w:ascii="Symbol" w:hAnsi="Symbol" w:hint="default"/>
        <w:color w:val="000000"/>
        <w:sz w:val="20"/>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765BCF"/>
    <w:multiLevelType w:val="hybridMultilevel"/>
    <w:tmpl w:val="D42E9564"/>
    <w:lvl w:ilvl="0" w:tplc="ABDE0A40">
      <w:start w:val="1"/>
      <w:numFmt w:val="bullet"/>
      <w:lvlText w:val="•"/>
      <w:lvlJc w:val="left"/>
      <w:pPr>
        <w:tabs>
          <w:tab w:val="num" w:pos="720"/>
        </w:tabs>
        <w:ind w:left="720" w:hanging="360"/>
      </w:pPr>
      <w:rPr>
        <w:rFonts w:ascii="Times New Roman" w:hAnsi="Times New Roman" w:hint="default"/>
      </w:rPr>
    </w:lvl>
    <w:lvl w:ilvl="1" w:tplc="911C76C4">
      <w:start w:val="1"/>
      <w:numFmt w:val="bullet"/>
      <w:lvlText w:val="•"/>
      <w:lvlJc w:val="left"/>
      <w:pPr>
        <w:tabs>
          <w:tab w:val="num" w:pos="1440"/>
        </w:tabs>
        <w:ind w:left="1440" w:hanging="360"/>
      </w:pPr>
      <w:rPr>
        <w:rFonts w:ascii="Times New Roman" w:hAnsi="Times New Roman" w:hint="default"/>
      </w:rPr>
    </w:lvl>
    <w:lvl w:ilvl="2" w:tplc="AE4AD6A0">
      <w:start w:val="1"/>
      <w:numFmt w:val="bullet"/>
      <w:lvlText w:val="•"/>
      <w:lvlJc w:val="left"/>
      <w:pPr>
        <w:tabs>
          <w:tab w:val="num" w:pos="2160"/>
        </w:tabs>
        <w:ind w:left="2160" w:hanging="360"/>
      </w:pPr>
      <w:rPr>
        <w:rFonts w:ascii="Times New Roman" w:hAnsi="Times New Roman" w:hint="default"/>
      </w:rPr>
    </w:lvl>
    <w:lvl w:ilvl="3" w:tplc="6854C36E" w:tentative="1">
      <w:start w:val="1"/>
      <w:numFmt w:val="bullet"/>
      <w:lvlText w:val="•"/>
      <w:lvlJc w:val="left"/>
      <w:pPr>
        <w:tabs>
          <w:tab w:val="num" w:pos="2880"/>
        </w:tabs>
        <w:ind w:left="2880" w:hanging="360"/>
      </w:pPr>
      <w:rPr>
        <w:rFonts w:ascii="Times New Roman" w:hAnsi="Times New Roman" w:hint="default"/>
      </w:rPr>
    </w:lvl>
    <w:lvl w:ilvl="4" w:tplc="CA92C3F4" w:tentative="1">
      <w:start w:val="1"/>
      <w:numFmt w:val="bullet"/>
      <w:lvlText w:val="•"/>
      <w:lvlJc w:val="left"/>
      <w:pPr>
        <w:tabs>
          <w:tab w:val="num" w:pos="3600"/>
        </w:tabs>
        <w:ind w:left="3600" w:hanging="360"/>
      </w:pPr>
      <w:rPr>
        <w:rFonts w:ascii="Times New Roman" w:hAnsi="Times New Roman" w:hint="default"/>
      </w:rPr>
    </w:lvl>
    <w:lvl w:ilvl="5" w:tplc="F0E892C6" w:tentative="1">
      <w:start w:val="1"/>
      <w:numFmt w:val="bullet"/>
      <w:lvlText w:val="•"/>
      <w:lvlJc w:val="left"/>
      <w:pPr>
        <w:tabs>
          <w:tab w:val="num" w:pos="4320"/>
        </w:tabs>
        <w:ind w:left="4320" w:hanging="360"/>
      </w:pPr>
      <w:rPr>
        <w:rFonts w:ascii="Times New Roman" w:hAnsi="Times New Roman" w:hint="default"/>
      </w:rPr>
    </w:lvl>
    <w:lvl w:ilvl="6" w:tplc="58EA8540" w:tentative="1">
      <w:start w:val="1"/>
      <w:numFmt w:val="bullet"/>
      <w:lvlText w:val="•"/>
      <w:lvlJc w:val="left"/>
      <w:pPr>
        <w:tabs>
          <w:tab w:val="num" w:pos="5040"/>
        </w:tabs>
        <w:ind w:left="5040" w:hanging="360"/>
      </w:pPr>
      <w:rPr>
        <w:rFonts w:ascii="Times New Roman" w:hAnsi="Times New Roman" w:hint="default"/>
      </w:rPr>
    </w:lvl>
    <w:lvl w:ilvl="7" w:tplc="5EA8C6E8" w:tentative="1">
      <w:start w:val="1"/>
      <w:numFmt w:val="bullet"/>
      <w:lvlText w:val="•"/>
      <w:lvlJc w:val="left"/>
      <w:pPr>
        <w:tabs>
          <w:tab w:val="num" w:pos="5760"/>
        </w:tabs>
        <w:ind w:left="5760" w:hanging="360"/>
      </w:pPr>
      <w:rPr>
        <w:rFonts w:ascii="Times New Roman" w:hAnsi="Times New Roman" w:hint="default"/>
      </w:rPr>
    </w:lvl>
    <w:lvl w:ilvl="8" w:tplc="4C8C2FE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D8273D0"/>
    <w:multiLevelType w:val="hybridMultilevel"/>
    <w:tmpl w:val="D92E6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C71AE"/>
    <w:multiLevelType w:val="hybridMultilevel"/>
    <w:tmpl w:val="65FCDED2"/>
    <w:lvl w:ilvl="0" w:tplc="52923902">
      <w:start w:val="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BF37D36"/>
    <w:multiLevelType w:val="hybridMultilevel"/>
    <w:tmpl w:val="BBF418CE"/>
    <w:lvl w:ilvl="0" w:tplc="5A0E56E4">
      <w:numFmt w:val="bullet"/>
      <w:lvlText w:val="-"/>
      <w:lvlJc w:val="left"/>
      <w:pPr>
        <w:ind w:left="720" w:hanging="360"/>
      </w:pPr>
      <w:rPr>
        <w:rFonts w:ascii="Calibri" w:eastAsiaTheme="minorHAnsi" w:hAnsi="Calibri" w:cs="Calibri" w:hint="default"/>
        <w:b w:val="0"/>
        <w:color w:val="59595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C5C3D"/>
    <w:multiLevelType w:val="hybridMultilevel"/>
    <w:tmpl w:val="BFB63C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21"/>
  </w:num>
  <w:num w:numId="6">
    <w:abstractNumId w:val="1"/>
  </w:num>
  <w:num w:numId="7">
    <w:abstractNumId w:val="19"/>
  </w:num>
  <w:num w:numId="8">
    <w:abstractNumId w:val="14"/>
  </w:num>
  <w:num w:numId="9">
    <w:abstractNumId w:val="0"/>
  </w:num>
  <w:num w:numId="10">
    <w:abstractNumId w:val="23"/>
  </w:num>
  <w:num w:numId="11">
    <w:abstractNumId w:val="4"/>
  </w:num>
  <w:num w:numId="12">
    <w:abstractNumId w:val="22"/>
  </w:num>
  <w:num w:numId="13">
    <w:abstractNumId w:val="24"/>
  </w:num>
  <w:num w:numId="14">
    <w:abstractNumId w:val="17"/>
  </w:num>
  <w:num w:numId="15">
    <w:abstractNumId w:val="20"/>
  </w:num>
  <w:num w:numId="16">
    <w:abstractNumId w:val="16"/>
  </w:num>
  <w:num w:numId="17">
    <w:abstractNumId w:val="9"/>
  </w:num>
  <w:num w:numId="18">
    <w:abstractNumId w:val="15"/>
  </w:num>
  <w:num w:numId="19">
    <w:abstractNumId w:val="7"/>
  </w:num>
  <w:num w:numId="20">
    <w:abstractNumId w:val="18"/>
  </w:num>
  <w:num w:numId="21">
    <w:abstractNumId w:val="9"/>
  </w:num>
  <w:num w:numId="22">
    <w:abstractNumId w:val="6"/>
  </w:num>
  <w:num w:numId="23">
    <w:abstractNumId w:val="3"/>
  </w:num>
  <w:num w:numId="24">
    <w:abstractNumId w:val="13"/>
  </w:num>
  <w:num w:numId="25">
    <w:abstractNumId w:val="5"/>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CHAIRMAN BRIEFING"/>
  </w:docVars>
  <w:rsids>
    <w:rsidRoot w:val="00DF5CD4"/>
    <w:rsid w:val="00002987"/>
    <w:rsid w:val="000029E3"/>
    <w:rsid w:val="00003F50"/>
    <w:rsid w:val="000120B9"/>
    <w:rsid w:val="00013281"/>
    <w:rsid w:val="00016D82"/>
    <w:rsid w:val="0001746D"/>
    <w:rsid w:val="000231B7"/>
    <w:rsid w:val="000232CD"/>
    <w:rsid w:val="00025DD0"/>
    <w:rsid w:val="00026D8D"/>
    <w:rsid w:val="00027CA0"/>
    <w:rsid w:val="00030D65"/>
    <w:rsid w:val="00030EE5"/>
    <w:rsid w:val="0003520D"/>
    <w:rsid w:val="00035DF3"/>
    <w:rsid w:val="000427EC"/>
    <w:rsid w:val="00046CBC"/>
    <w:rsid w:val="00047790"/>
    <w:rsid w:val="000523D8"/>
    <w:rsid w:val="000531B1"/>
    <w:rsid w:val="000533F1"/>
    <w:rsid w:val="000557C8"/>
    <w:rsid w:val="00055ADB"/>
    <w:rsid w:val="00060F40"/>
    <w:rsid w:val="000612C2"/>
    <w:rsid w:val="00061422"/>
    <w:rsid w:val="0006390B"/>
    <w:rsid w:val="000646C9"/>
    <w:rsid w:val="00064BF7"/>
    <w:rsid w:val="00064D10"/>
    <w:rsid w:val="00066E20"/>
    <w:rsid w:val="00067C67"/>
    <w:rsid w:val="00070EBD"/>
    <w:rsid w:val="00072BB1"/>
    <w:rsid w:val="00072E8B"/>
    <w:rsid w:val="000730DE"/>
    <w:rsid w:val="0007407E"/>
    <w:rsid w:val="00074BEA"/>
    <w:rsid w:val="00075FCD"/>
    <w:rsid w:val="00077F16"/>
    <w:rsid w:val="00081F46"/>
    <w:rsid w:val="000828AD"/>
    <w:rsid w:val="00083617"/>
    <w:rsid w:val="00083909"/>
    <w:rsid w:val="000843CD"/>
    <w:rsid w:val="00084EA9"/>
    <w:rsid w:val="00084F57"/>
    <w:rsid w:val="00084FD7"/>
    <w:rsid w:val="00085414"/>
    <w:rsid w:val="00085865"/>
    <w:rsid w:val="00090C91"/>
    <w:rsid w:val="000920BD"/>
    <w:rsid w:val="000940FA"/>
    <w:rsid w:val="00094AAE"/>
    <w:rsid w:val="00095441"/>
    <w:rsid w:val="000963CA"/>
    <w:rsid w:val="0009703A"/>
    <w:rsid w:val="000974D7"/>
    <w:rsid w:val="000A1C81"/>
    <w:rsid w:val="000A62CB"/>
    <w:rsid w:val="000A63E6"/>
    <w:rsid w:val="000A7427"/>
    <w:rsid w:val="000B1645"/>
    <w:rsid w:val="000B1B13"/>
    <w:rsid w:val="000B2A9B"/>
    <w:rsid w:val="000B5D03"/>
    <w:rsid w:val="000B7419"/>
    <w:rsid w:val="000C07CD"/>
    <w:rsid w:val="000C2EB5"/>
    <w:rsid w:val="000C34D6"/>
    <w:rsid w:val="000C42DD"/>
    <w:rsid w:val="000C4E79"/>
    <w:rsid w:val="000C5A8A"/>
    <w:rsid w:val="000C6581"/>
    <w:rsid w:val="000C7DFB"/>
    <w:rsid w:val="000D2922"/>
    <w:rsid w:val="000D322B"/>
    <w:rsid w:val="000D7A44"/>
    <w:rsid w:val="000E004A"/>
    <w:rsid w:val="000E015E"/>
    <w:rsid w:val="000E0C27"/>
    <w:rsid w:val="000E0D82"/>
    <w:rsid w:val="000E15F3"/>
    <w:rsid w:val="000E3B64"/>
    <w:rsid w:val="000E5571"/>
    <w:rsid w:val="000E6547"/>
    <w:rsid w:val="000E6D15"/>
    <w:rsid w:val="000E72EF"/>
    <w:rsid w:val="000F2574"/>
    <w:rsid w:val="000F2BDF"/>
    <w:rsid w:val="000F3380"/>
    <w:rsid w:val="000F3407"/>
    <w:rsid w:val="000F5554"/>
    <w:rsid w:val="000F6484"/>
    <w:rsid w:val="000F6495"/>
    <w:rsid w:val="000F6FD8"/>
    <w:rsid w:val="000F7F36"/>
    <w:rsid w:val="0010392B"/>
    <w:rsid w:val="00110B52"/>
    <w:rsid w:val="00111261"/>
    <w:rsid w:val="00111F53"/>
    <w:rsid w:val="001140D1"/>
    <w:rsid w:val="0011517F"/>
    <w:rsid w:val="001153C9"/>
    <w:rsid w:val="00116013"/>
    <w:rsid w:val="00116671"/>
    <w:rsid w:val="00121BB0"/>
    <w:rsid w:val="00121C06"/>
    <w:rsid w:val="001230CE"/>
    <w:rsid w:val="001231FC"/>
    <w:rsid w:val="00126E30"/>
    <w:rsid w:val="001272C7"/>
    <w:rsid w:val="0013090C"/>
    <w:rsid w:val="00131C5D"/>
    <w:rsid w:val="00133C5E"/>
    <w:rsid w:val="001347C3"/>
    <w:rsid w:val="00135507"/>
    <w:rsid w:val="00135526"/>
    <w:rsid w:val="00135BF7"/>
    <w:rsid w:val="00136463"/>
    <w:rsid w:val="001404A9"/>
    <w:rsid w:val="00141CE6"/>
    <w:rsid w:val="0014281E"/>
    <w:rsid w:val="00143ED0"/>
    <w:rsid w:val="00143EE2"/>
    <w:rsid w:val="001449C5"/>
    <w:rsid w:val="00145D24"/>
    <w:rsid w:val="00150DE4"/>
    <w:rsid w:val="00151CDC"/>
    <w:rsid w:val="00152832"/>
    <w:rsid w:val="001533AD"/>
    <w:rsid w:val="00154CAC"/>
    <w:rsid w:val="00154F89"/>
    <w:rsid w:val="0015626D"/>
    <w:rsid w:val="001600FC"/>
    <w:rsid w:val="00162DF1"/>
    <w:rsid w:val="00163FE9"/>
    <w:rsid w:val="0016639C"/>
    <w:rsid w:val="00170C4D"/>
    <w:rsid w:val="001712DF"/>
    <w:rsid w:val="00172007"/>
    <w:rsid w:val="001727ED"/>
    <w:rsid w:val="00173E89"/>
    <w:rsid w:val="0017446F"/>
    <w:rsid w:val="001755C2"/>
    <w:rsid w:val="00176347"/>
    <w:rsid w:val="00177533"/>
    <w:rsid w:val="00177796"/>
    <w:rsid w:val="0018081C"/>
    <w:rsid w:val="001834D4"/>
    <w:rsid w:val="00183770"/>
    <w:rsid w:val="0018472E"/>
    <w:rsid w:val="00184ABF"/>
    <w:rsid w:val="00185783"/>
    <w:rsid w:val="00186A1F"/>
    <w:rsid w:val="001879D2"/>
    <w:rsid w:val="00191646"/>
    <w:rsid w:val="00191960"/>
    <w:rsid w:val="00192287"/>
    <w:rsid w:val="001938D0"/>
    <w:rsid w:val="00193A88"/>
    <w:rsid w:val="00193F83"/>
    <w:rsid w:val="00194CF4"/>
    <w:rsid w:val="00196C18"/>
    <w:rsid w:val="00197352"/>
    <w:rsid w:val="00197B19"/>
    <w:rsid w:val="001A016C"/>
    <w:rsid w:val="001A0582"/>
    <w:rsid w:val="001A0E31"/>
    <w:rsid w:val="001A2105"/>
    <w:rsid w:val="001A2A81"/>
    <w:rsid w:val="001A4D24"/>
    <w:rsid w:val="001A52F1"/>
    <w:rsid w:val="001A53D0"/>
    <w:rsid w:val="001A724B"/>
    <w:rsid w:val="001B2C0D"/>
    <w:rsid w:val="001B4923"/>
    <w:rsid w:val="001B578F"/>
    <w:rsid w:val="001B6017"/>
    <w:rsid w:val="001B6468"/>
    <w:rsid w:val="001B7A0B"/>
    <w:rsid w:val="001B7A4B"/>
    <w:rsid w:val="001B7EB3"/>
    <w:rsid w:val="001C02B6"/>
    <w:rsid w:val="001C052B"/>
    <w:rsid w:val="001C1D78"/>
    <w:rsid w:val="001C1FD9"/>
    <w:rsid w:val="001C306A"/>
    <w:rsid w:val="001C34B4"/>
    <w:rsid w:val="001C3627"/>
    <w:rsid w:val="001C42B0"/>
    <w:rsid w:val="001C4B5D"/>
    <w:rsid w:val="001C5BC2"/>
    <w:rsid w:val="001C5D95"/>
    <w:rsid w:val="001C5E77"/>
    <w:rsid w:val="001C640A"/>
    <w:rsid w:val="001C7078"/>
    <w:rsid w:val="001D0179"/>
    <w:rsid w:val="001D10C0"/>
    <w:rsid w:val="001D1EDB"/>
    <w:rsid w:val="001D5C2E"/>
    <w:rsid w:val="001D6E06"/>
    <w:rsid w:val="001D6FEC"/>
    <w:rsid w:val="001D7099"/>
    <w:rsid w:val="001D7AE3"/>
    <w:rsid w:val="001E0051"/>
    <w:rsid w:val="001E1188"/>
    <w:rsid w:val="001E3599"/>
    <w:rsid w:val="001E4B96"/>
    <w:rsid w:val="001E6845"/>
    <w:rsid w:val="001F13EE"/>
    <w:rsid w:val="001F18ED"/>
    <w:rsid w:val="001F1CB9"/>
    <w:rsid w:val="001F1FB3"/>
    <w:rsid w:val="001F390B"/>
    <w:rsid w:val="001F4565"/>
    <w:rsid w:val="001F6622"/>
    <w:rsid w:val="001F7501"/>
    <w:rsid w:val="0020080A"/>
    <w:rsid w:val="00200F24"/>
    <w:rsid w:val="00203DAA"/>
    <w:rsid w:val="00205878"/>
    <w:rsid w:val="00205EE2"/>
    <w:rsid w:val="0021251B"/>
    <w:rsid w:val="00213715"/>
    <w:rsid w:val="00213A7B"/>
    <w:rsid w:val="00213D7B"/>
    <w:rsid w:val="00214347"/>
    <w:rsid w:val="002144D9"/>
    <w:rsid w:val="00214BED"/>
    <w:rsid w:val="00214DEC"/>
    <w:rsid w:val="00215607"/>
    <w:rsid w:val="00216B49"/>
    <w:rsid w:val="0021754C"/>
    <w:rsid w:val="002205F0"/>
    <w:rsid w:val="00221351"/>
    <w:rsid w:val="002228E7"/>
    <w:rsid w:val="0022329C"/>
    <w:rsid w:val="002234FB"/>
    <w:rsid w:val="00224761"/>
    <w:rsid w:val="00224A3F"/>
    <w:rsid w:val="00224C89"/>
    <w:rsid w:val="00225348"/>
    <w:rsid w:val="00225DB2"/>
    <w:rsid w:val="00225E60"/>
    <w:rsid w:val="002306C7"/>
    <w:rsid w:val="00232A02"/>
    <w:rsid w:val="00233929"/>
    <w:rsid w:val="00234174"/>
    <w:rsid w:val="00235F5F"/>
    <w:rsid w:val="002406E8"/>
    <w:rsid w:val="00241BD8"/>
    <w:rsid w:val="002434B0"/>
    <w:rsid w:val="0024372C"/>
    <w:rsid w:val="0024496B"/>
    <w:rsid w:val="00247DA9"/>
    <w:rsid w:val="0025189B"/>
    <w:rsid w:val="00252417"/>
    <w:rsid w:val="00253375"/>
    <w:rsid w:val="00254C8E"/>
    <w:rsid w:val="00255BC3"/>
    <w:rsid w:val="00256CC6"/>
    <w:rsid w:val="00257926"/>
    <w:rsid w:val="002626A7"/>
    <w:rsid w:val="00262D04"/>
    <w:rsid w:val="00262E56"/>
    <w:rsid w:val="00265563"/>
    <w:rsid w:val="00265A92"/>
    <w:rsid w:val="002661E6"/>
    <w:rsid w:val="00267856"/>
    <w:rsid w:val="00270FD4"/>
    <w:rsid w:val="00273F9F"/>
    <w:rsid w:val="0027418E"/>
    <w:rsid w:val="00276934"/>
    <w:rsid w:val="00277CF4"/>
    <w:rsid w:val="00281B43"/>
    <w:rsid w:val="002831F4"/>
    <w:rsid w:val="0028426A"/>
    <w:rsid w:val="002848CB"/>
    <w:rsid w:val="00284D08"/>
    <w:rsid w:val="002864AE"/>
    <w:rsid w:val="00290DA3"/>
    <w:rsid w:val="0029115E"/>
    <w:rsid w:val="00293FD3"/>
    <w:rsid w:val="002976EA"/>
    <w:rsid w:val="002A132A"/>
    <w:rsid w:val="002A21FE"/>
    <w:rsid w:val="002A28CC"/>
    <w:rsid w:val="002A3763"/>
    <w:rsid w:val="002A554A"/>
    <w:rsid w:val="002A64A3"/>
    <w:rsid w:val="002B069F"/>
    <w:rsid w:val="002B0A44"/>
    <w:rsid w:val="002B2F5F"/>
    <w:rsid w:val="002B7593"/>
    <w:rsid w:val="002B7888"/>
    <w:rsid w:val="002B7ACA"/>
    <w:rsid w:val="002C0DCF"/>
    <w:rsid w:val="002C17E4"/>
    <w:rsid w:val="002C2D33"/>
    <w:rsid w:val="002C796C"/>
    <w:rsid w:val="002D052F"/>
    <w:rsid w:val="002D0AF7"/>
    <w:rsid w:val="002D0E71"/>
    <w:rsid w:val="002D10F4"/>
    <w:rsid w:val="002D1867"/>
    <w:rsid w:val="002D1C63"/>
    <w:rsid w:val="002D1E1A"/>
    <w:rsid w:val="002D30B4"/>
    <w:rsid w:val="002D327B"/>
    <w:rsid w:val="002D7DC3"/>
    <w:rsid w:val="002E3029"/>
    <w:rsid w:val="002F0506"/>
    <w:rsid w:val="002F10D0"/>
    <w:rsid w:val="002F1AB8"/>
    <w:rsid w:val="002F2009"/>
    <w:rsid w:val="002F282D"/>
    <w:rsid w:val="002F28A4"/>
    <w:rsid w:val="00300924"/>
    <w:rsid w:val="00300EDB"/>
    <w:rsid w:val="00301A57"/>
    <w:rsid w:val="00302019"/>
    <w:rsid w:val="003025A8"/>
    <w:rsid w:val="00303B54"/>
    <w:rsid w:val="00305DE9"/>
    <w:rsid w:val="00307A01"/>
    <w:rsid w:val="00307C0A"/>
    <w:rsid w:val="003107A2"/>
    <w:rsid w:val="00310BDF"/>
    <w:rsid w:val="003129B6"/>
    <w:rsid w:val="003138E6"/>
    <w:rsid w:val="00314A36"/>
    <w:rsid w:val="00314C2B"/>
    <w:rsid w:val="00314D6E"/>
    <w:rsid w:val="00315208"/>
    <w:rsid w:val="00317A9A"/>
    <w:rsid w:val="00320040"/>
    <w:rsid w:val="00320E57"/>
    <w:rsid w:val="003221EF"/>
    <w:rsid w:val="00322A53"/>
    <w:rsid w:val="003237FC"/>
    <w:rsid w:val="003248A2"/>
    <w:rsid w:val="00324E31"/>
    <w:rsid w:val="0032519F"/>
    <w:rsid w:val="00325363"/>
    <w:rsid w:val="003264A0"/>
    <w:rsid w:val="00331CB3"/>
    <w:rsid w:val="00332F9F"/>
    <w:rsid w:val="00334092"/>
    <w:rsid w:val="0033447C"/>
    <w:rsid w:val="0033458E"/>
    <w:rsid w:val="00344A8C"/>
    <w:rsid w:val="00345C37"/>
    <w:rsid w:val="003465DA"/>
    <w:rsid w:val="00346791"/>
    <w:rsid w:val="00346F2D"/>
    <w:rsid w:val="00347007"/>
    <w:rsid w:val="00351259"/>
    <w:rsid w:val="0035350D"/>
    <w:rsid w:val="0035477B"/>
    <w:rsid w:val="0035779A"/>
    <w:rsid w:val="00360A95"/>
    <w:rsid w:val="003614B7"/>
    <w:rsid w:val="00361E16"/>
    <w:rsid w:val="00362653"/>
    <w:rsid w:val="00365709"/>
    <w:rsid w:val="003663A3"/>
    <w:rsid w:val="0036742D"/>
    <w:rsid w:val="00367B6F"/>
    <w:rsid w:val="00367E4E"/>
    <w:rsid w:val="00367F16"/>
    <w:rsid w:val="00372BEC"/>
    <w:rsid w:val="00373402"/>
    <w:rsid w:val="0037719C"/>
    <w:rsid w:val="00377B45"/>
    <w:rsid w:val="003812CF"/>
    <w:rsid w:val="0039216F"/>
    <w:rsid w:val="00392385"/>
    <w:rsid w:val="003937AB"/>
    <w:rsid w:val="0039416E"/>
    <w:rsid w:val="00394659"/>
    <w:rsid w:val="00395588"/>
    <w:rsid w:val="003979B8"/>
    <w:rsid w:val="003A1D78"/>
    <w:rsid w:val="003A75D0"/>
    <w:rsid w:val="003B5760"/>
    <w:rsid w:val="003B62BC"/>
    <w:rsid w:val="003C1D5A"/>
    <w:rsid w:val="003C4D96"/>
    <w:rsid w:val="003C4FF1"/>
    <w:rsid w:val="003C51A7"/>
    <w:rsid w:val="003C5E2B"/>
    <w:rsid w:val="003D073B"/>
    <w:rsid w:val="003D0962"/>
    <w:rsid w:val="003D20F7"/>
    <w:rsid w:val="003D27B1"/>
    <w:rsid w:val="003D498D"/>
    <w:rsid w:val="003D612C"/>
    <w:rsid w:val="003D70EF"/>
    <w:rsid w:val="003D7A72"/>
    <w:rsid w:val="003E0A82"/>
    <w:rsid w:val="003E1527"/>
    <w:rsid w:val="003E43C3"/>
    <w:rsid w:val="003E52D5"/>
    <w:rsid w:val="003E6DCF"/>
    <w:rsid w:val="003F106D"/>
    <w:rsid w:val="003F33C0"/>
    <w:rsid w:val="003F36A1"/>
    <w:rsid w:val="003F36B0"/>
    <w:rsid w:val="004048DA"/>
    <w:rsid w:val="004050DB"/>
    <w:rsid w:val="00407BA2"/>
    <w:rsid w:val="00407E7A"/>
    <w:rsid w:val="00411899"/>
    <w:rsid w:val="00411C22"/>
    <w:rsid w:val="00412567"/>
    <w:rsid w:val="00413701"/>
    <w:rsid w:val="004139EA"/>
    <w:rsid w:val="0041547D"/>
    <w:rsid w:val="004214F3"/>
    <w:rsid w:val="00424454"/>
    <w:rsid w:val="00424530"/>
    <w:rsid w:val="0042456F"/>
    <w:rsid w:val="004260D7"/>
    <w:rsid w:val="004266BD"/>
    <w:rsid w:val="00426BFB"/>
    <w:rsid w:val="0042742F"/>
    <w:rsid w:val="00430315"/>
    <w:rsid w:val="0043208B"/>
    <w:rsid w:val="004342AD"/>
    <w:rsid w:val="0043577F"/>
    <w:rsid w:val="00440DB9"/>
    <w:rsid w:val="00441EE8"/>
    <w:rsid w:val="00441F85"/>
    <w:rsid w:val="004445F1"/>
    <w:rsid w:val="00447589"/>
    <w:rsid w:val="00447F1A"/>
    <w:rsid w:val="0045054F"/>
    <w:rsid w:val="00451883"/>
    <w:rsid w:val="0045301B"/>
    <w:rsid w:val="00454586"/>
    <w:rsid w:val="00454E57"/>
    <w:rsid w:val="00455AD4"/>
    <w:rsid w:val="00455E0E"/>
    <w:rsid w:val="00457B7B"/>
    <w:rsid w:val="00462288"/>
    <w:rsid w:val="00464C48"/>
    <w:rsid w:val="00465855"/>
    <w:rsid w:val="00465E83"/>
    <w:rsid w:val="00467E07"/>
    <w:rsid w:val="00467FAA"/>
    <w:rsid w:val="004716A3"/>
    <w:rsid w:val="004719B4"/>
    <w:rsid w:val="00471CA1"/>
    <w:rsid w:val="00471CCE"/>
    <w:rsid w:val="0047261D"/>
    <w:rsid w:val="004733B7"/>
    <w:rsid w:val="00474C17"/>
    <w:rsid w:val="00475F0C"/>
    <w:rsid w:val="00481AC4"/>
    <w:rsid w:val="00482914"/>
    <w:rsid w:val="004829A1"/>
    <w:rsid w:val="00482FB6"/>
    <w:rsid w:val="00484DCE"/>
    <w:rsid w:val="00491797"/>
    <w:rsid w:val="0049242C"/>
    <w:rsid w:val="0049410C"/>
    <w:rsid w:val="004962D6"/>
    <w:rsid w:val="0049663E"/>
    <w:rsid w:val="004968F7"/>
    <w:rsid w:val="004A1F17"/>
    <w:rsid w:val="004A270F"/>
    <w:rsid w:val="004A294B"/>
    <w:rsid w:val="004A30AB"/>
    <w:rsid w:val="004A4CC3"/>
    <w:rsid w:val="004A5D8B"/>
    <w:rsid w:val="004B1647"/>
    <w:rsid w:val="004B2BBD"/>
    <w:rsid w:val="004B2FC0"/>
    <w:rsid w:val="004B40FF"/>
    <w:rsid w:val="004B53BC"/>
    <w:rsid w:val="004B6853"/>
    <w:rsid w:val="004B71CD"/>
    <w:rsid w:val="004B7784"/>
    <w:rsid w:val="004C1B19"/>
    <w:rsid w:val="004C29E7"/>
    <w:rsid w:val="004C361C"/>
    <w:rsid w:val="004C50ED"/>
    <w:rsid w:val="004C58B1"/>
    <w:rsid w:val="004C5CE9"/>
    <w:rsid w:val="004C6392"/>
    <w:rsid w:val="004C792F"/>
    <w:rsid w:val="004C7CF2"/>
    <w:rsid w:val="004C7FC5"/>
    <w:rsid w:val="004D0A81"/>
    <w:rsid w:val="004D2B00"/>
    <w:rsid w:val="004D7FED"/>
    <w:rsid w:val="004E018F"/>
    <w:rsid w:val="004E09F0"/>
    <w:rsid w:val="004E24E5"/>
    <w:rsid w:val="004E405B"/>
    <w:rsid w:val="004E590B"/>
    <w:rsid w:val="004E7D21"/>
    <w:rsid w:val="004F0AB6"/>
    <w:rsid w:val="004F19C3"/>
    <w:rsid w:val="004F20A7"/>
    <w:rsid w:val="004F4DB4"/>
    <w:rsid w:val="004F63DB"/>
    <w:rsid w:val="004F72E2"/>
    <w:rsid w:val="00501328"/>
    <w:rsid w:val="005023A8"/>
    <w:rsid w:val="00502E7E"/>
    <w:rsid w:val="00504578"/>
    <w:rsid w:val="0050519E"/>
    <w:rsid w:val="00505587"/>
    <w:rsid w:val="005067F5"/>
    <w:rsid w:val="005105EF"/>
    <w:rsid w:val="00511D65"/>
    <w:rsid w:val="00514BB5"/>
    <w:rsid w:val="00522E10"/>
    <w:rsid w:val="00523895"/>
    <w:rsid w:val="00524172"/>
    <w:rsid w:val="005301C9"/>
    <w:rsid w:val="005349C9"/>
    <w:rsid w:val="005354A7"/>
    <w:rsid w:val="00536C00"/>
    <w:rsid w:val="005377BD"/>
    <w:rsid w:val="005410AB"/>
    <w:rsid w:val="0054216A"/>
    <w:rsid w:val="00542CC0"/>
    <w:rsid w:val="0054398D"/>
    <w:rsid w:val="00544F89"/>
    <w:rsid w:val="0054731D"/>
    <w:rsid w:val="00554122"/>
    <w:rsid w:val="00557D3D"/>
    <w:rsid w:val="00560345"/>
    <w:rsid w:val="005621E2"/>
    <w:rsid w:val="00564FC5"/>
    <w:rsid w:val="005652CE"/>
    <w:rsid w:val="00565691"/>
    <w:rsid w:val="00566A2C"/>
    <w:rsid w:val="00566E37"/>
    <w:rsid w:val="00566FC1"/>
    <w:rsid w:val="005707D4"/>
    <w:rsid w:val="00570FBE"/>
    <w:rsid w:val="00571BB6"/>
    <w:rsid w:val="00574770"/>
    <w:rsid w:val="00575BA7"/>
    <w:rsid w:val="005816CC"/>
    <w:rsid w:val="00582663"/>
    <w:rsid w:val="00582AA7"/>
    <w:rsid w:val="00582C0E"/>
    <w:rsid w:val="0058477C"/>
    <w:rsid w:val="005863C0"/>
    <w:rsid w:val="00586730"/>
    <w:rsid w:val="0059069C"/>
    <w:rsid w:val="00591454"/>
    <w:rsid w:val="00595914"/>
    <w:rsid w:val="005A1008"/>
    <w:rsid w:val="005A251A"/>
    <w:rsid w:val="005A2DD9"/>
    <w:rsid w:val="005A4A52"/>
    <w:rsid w:val="005B0352"/>
    <w:rsid w:val="005B0B25"/>
    <w:rsid w:val="005B3D1D"/>
    <w:rsid w:val="005B4487"/>
    <w:rsid w:val="005B5C09"/>
    <w:rsid w:val="005B7246"/>
    <w:rsid w:val="005B7D56"/>
    <w:rsid w:val="005C2420"/>
    <w:rsid w:val="005C3A28"/>
    <w:rsid w:val="005C3D58"/>
    <w:rsid w:val="005C498B"/>
    <w:rsid w:val="005C50F5"/>
    <w:rsid w:val="005D0805"/>
    <w:rsid w:val="005D1904"/>
    <w:rsid w:val="005D3004"/>
    <w:rsid w:val="005D4005"/>
    <w:rsid w:val="005D40D1"/>
    <w:rsid w:val="005D5E4A"/>
    <w:rsid w:val="005E005E"/>
    <w:rsid w:val="005E0B78"/>
    <w:rsid w:val="005E2E49"/>
    <w:rsid w:val="005E3407"/>
    <w:rsid w:val="005F0BEF"/>
    <w:rsid w:val="005F1093"/>
    <w:rsid w:val="005F21FD"/>
    <w:rsid w:val="005F28DA"/>
    <w:rsid w:val="005F4AE2"/>
    <w:rsid w:val="005F62ED"/>
    <w:rsid w:val="00601DAB"/>
    <w:rsid w:val="0060298D"/>
    <w:rsid w:val="0060544F"/>
    <w:rsid w:val="00607C3B"/>
    <w:rsid w:val="00610305"/>
    <w:rsid w:val="00610419"/>
    <w:rsid w:val="00611D3B"/>
    <w:rsid w:val="00611DDB"/>
    <w:rsid w:val="00612A93"/>
    <w:rsid w:val="00612C7B"/>
    <w:rsid w:val="00613172"/>
    <w:rsid w:val="0061335F"/>
    <w:rsid w:val="0061480B"/>
    <w:rsid w:val="006154A5"/>
    <w:rsid w:val="00615C9B"/>
    <w:rsid w:val="00615DE6"/>
    <w:rsid w:val="00616FBA"/>
    <w:rsid w:val="00617ACC"/>
    <w:rsid w:val="006205DC"/>
    <w:rsid w:val="006217A3"/>
    <w:rsid w:val="00621BDC"/>
    <w:rsid w:val="006224C1"/>
    <w:rsid w:val="00622F91"/>
    <w:rsid w:val="006269B7"/>
    <w:rsid w:val="00631F19"/>
    <w:rsid w:val="0063303E"/>
    <w:rsid w:val="00633758"/>
    <w:rsid w:val="00633DC7"/>
    <w:rsid w:val="00633ED7"/>
    <w:rsid w:val="00634CB1"/>
    <w:rsid w:val="00636076"/>
    <w:rsid w:val="00636E1D"/>
    <w:rsid w:val="00637DE2"/>
    <w:rsid w:val="00642C62"/>
    <w:rsid w:val="00644476"/>
    <w:rsid w:val="00644B25"/>
    <w:rsid w:val="006467FC"/>
    <w:rsid w:val="00646ADD"/>
    <w:rsid w:val="006474E0"/>
    <w:rsid w:val="0065009F"/>
    <w:rsid w:val="006500F8"/>
    <w:rsid w:val="006516D7"/>
    <w:rsid w:val="00651AD5"/>
    <w:rsid w:val="00654001"/>
    <w:rsid w:val="006558A0"/>
    <w:rsid w:val="00656438"/>
    <w:rsid w:val="00657ED5"/>
    <w:rsid w:val="00660938"/>
    <w:rsid w:val="0066114F"/>
    <w:rsid w:val="00661EFF"/>
    <w:rsid w:val="00662AC5"/>
    <w:rsid w:val="00663708"/>
    <w:rsid w:val="00663B0A"/>
    <w:rsid w:val="006641C0"/>
    <w:rsid w:val="006641F8"/>
    <w:rsid w:val="00664A2E"/>
    <w:rsid w:val="00665D9D"/>
    <w:rsid w:val="00666187"/>
    <w:rsid w:val="006679E1"/>
    <w:rsid w:val="00670254"/>
    <w:rsid w:val="006725AF"/>
    <w:rsid w:val="006728AB"/>
    <w:rsid w:val="00676342"/>
    <w:rsid w:val="00677550"/>
    <w:rsid w:val="006804ED"/>
    <w:rsid w:val="00680D96"/>
    <w:rsid w:val="00681A3D"/>
    <w:rsid w:val="00687FC5"/>
    <w:rsid w:val="00691A0A"/>
    <w:rsid w:val="006935E0"/>
    <w:rsid w:val="00695738"/>
    <w:rsid w:val="006957E2"/>
    <w:rsid w:val="00697046"/>
    <w:rsid w:val="006973AC"/>
    <w:rsid w:val="00697801"/>
    <w:rsid w:val="00697EF1"/>
    <w:rsid w:val="006A3242"/>
    <w:rsid w:val="006A38C5"/>
    <w:rsid w:val="006A5335"/>
    <w:rsid w:val="006A614D"/>
    <w:rsid w:val="006A6A91"/>
    <w:rsid w:val="006B2310"/>
    <w:rsid w:val="006B3903"/>
    <w:rsid w:val="006B640D"/>
    <w:rsid w:val="006B6FBB"/>
    <w:rsid w:val="006B7663"/>
    <w:rsid w:val="006B77A3"/>
    <w:rsid w:val="006C17A7"/>
    <w:rsid w:val="006C17D5"/>
    <w:rsid w:val="006C186D"/>
    <w:rsid w:val="006C28E8"/>
    <w:rsid w:val="006C2DFB"/>
    <w:rsid w:val="006C5473"/>
    <w:rsid w:val="006C5BF5"/>
    <w:rsid w:val="006C5F6E"/>
    <w:rsid w:val="006C68B8"/>
    <w:rsid w:val="006C7691"/>
    <w:rsid w:val="006C7741"/>
    <w:rsid w:val="006D0369"/>
    <w:rsid w:val="006D0F12"/>
    <w:rsid w:val="006D1035"/>
    <w:rsid w:val="006D11B2"/>
    <w:rsid w:val="006D2D52"/>
    <w:rsid w:val="006D45EB"/>
    <w:rsid w:val="006D464C"/>
    <w:rsid w:val="006D4A92"/>
    <w:rsid w:val="006D573B"/>
    <w:rsid w:val="006E1D89"/>
    <w:rsid w:val="006E30C9"/>
    <w:rsid w:val="006E44A5"/>
    <w:rsid w:val="006E4CE0"/>
    <w:rsid w:val="006E4F5D"/>
    <w:rsid w:val="006F041C"/>
    <w:rsid w:val="006F053E"/>
    <w:rsid w:val="006F10FE"/>
    <w:rsid w:val="006F120B"/>
    <w:rsid w:val="006F29C1"/>
    <w:rsid w:val="006F445D"/>
    <w:rsid w:val="006F6CF9"/>
    <w:rsid w:val="006F7BE2"/>
    <w:rsid w:val="0070374E"/>
    <w:rsid w:val="00703E4E"/>
    <w:rsid w:val="007071C6"/>
    <w:rsid w:val="00707E82"/>
    <w:rsid w:val="00711E1C"/>
    <w:rsid w:val="007133BE"/>
    <w:rsid w:val="00713BD9"/>
    <w:rsid w:val="007164DB"/>
    <w:rsid w:val="007165DC"/>
    <w:rsid w:val="00721A7F"/>
    <w:rsid w:val="00721FBA"/>
    <w:rsid w:val="007222EB"/>
    <w:rsid w:val="00722B92"/>
    <w:rsid w:val="00723A19"/>
    <w:rsid w:val="00724C1B"/>
    <w:rsid w:val="0072524E"/>
    <w:rsid w:val="00726A9A"/>
    <w:rsid w:val="00726CED"/>
    <w:rsid w:val="00730352"/>
    <w:rsid w:val="0073063A"/>
    <w:rsid w:val="00731194"/>
    <w:rsid w:val="00731471"/>
    <w:rsid w:val="007330E2"/>
    <w:rsid w:val="00733A00"/>
    <w:rsid w:val="007351C9"/>
    <w:rsid w:val="0074024F"/>
    <w:rsid w:val="0074072E"/>
    <w:rsid w:val="00741029"/>
    <w:rsid w:val="00742839"/>
    <w:rsid w:val="00743826"/>
    <w:rsid w:val="00746C71"/>
    <w:rsid w:val="0074704E"/>
    <w:rsid w:val="0075005E"/>
    <w:rsid w:val="00754068"/>
    <w:rsid w:val="00755505"/>
    <w:rsid w:val="007609EE"/>
    <w:rsid w:val="007620A9"/>
    <w:rsid w:val="0076316D"/>
    <w:rsid w:val="007632E5"/>
    <w:rsid w:val="00763F8A"/>
    <w:rsid w:val="00770BE1"/>
    <w:rsid w:val="00771577"/>
    <w:rsid w:val="007723C7"/>
    <w:rsid w:val="00772993"/>
    <w:rsid w:val="00774407"/>
    <w:rsid w:val="007768BA"/>
    <w:rsid w:val="007815FB"/>
    <w:rsid w:val="00781D80"/>
    <w:rsid w:val="00783FEB"/>
    <w:rsid w:val="00786270"/>
    <w:rsid w:val="00786DF4"/>
    <w:rsid w:val="00787114"/>
    <w:rsid w:val="007874EC"/>
    <w:rsid w:val="00790259"/>
    <w:rsid w:val="00793EB9"/>
    <w:rsid w:val="007968CE"/>
    <w:rsid w:val="007A0054"/>
    <w:rsid w:val="007A13FA"/>
    <w:rsid w:val="007A44A6"/>
    <w:rsid w:val="007A5353"/>
    <w:rsid w:val="007A729C"/>
    <w:rsid w:val="007A78BD"/>
    <w:rsid w:val="007A7F76"/>
    <w:rsid w:val="007B010E"/>
    <w:rsid w:val="007B03B2"/>
    <w:rsid w:val="007B03E2"/>
    <w:rsid w:val="007B1393"/>
    <w:rsid w:val="007B330F"/>
    <w:rsid w:val="007B3D63"/>
    <w:rsid w:val="007B3F80"/>
    <w:rsid w:val="007B791E"/>
    <w:rsid w:val="007C0CE8"/>
    <w:rsid w:val="007C1A80"/>
    <w:rsid w:val="007C1E8C"/>
    <w:rsid w:val="007C1F20"/>
    <w:rsid w:val="007C2AF4"/>
    <w:rsid w:val="007C35A9"/>
    <w:rsid w:val="007C3F60"/>
    <w:rsid w:val="007C4481"/>
    <w:rsid w:val="007C55D0"/>
    <w:rsid w:val="007C5EC9"/>
    <w:rsid w:val="007C740A"/>
    <w:rsid w:val="007C7C2D"/>
    <w:rsid w:val="007D5167"/>
    <w:rsid w:val="007D54E1"/>
    <w:rsid w:val="007E1E4D"/>
    <w:rsid w:val="007E278A"/>
    <w:rsid w:val="007E31F7"/>
    <w:rsid w:val="007E761A"/>
    <w:rsid w:val="007F63C8"/>
    <w:rsid w:val="007F6903"/>
    <w:rsid w:val="007F772C"/>
    <w:rsid w:val="00800EB5"/>
    <w:rsid w:val="00812956"/>
    <w:rsid w:val="008139F4"/>
    <w:rsid w:val="00813BAC"/>
    <w:rsid w:val="00813CD4"/>
    <w:rsid w:val="00815047"/>
    <w:rsid w:val="00817667"/>
    <w:rsid w:val="0082064F"/>
    <w:rsid w:val="00821B9D"/>
    <w:rsid w:val="008222A9"/>
    <w:rsid w:val="00831E9F"/>
    <w:rsid w:val="0083296B"/>
    <w:rsid w:val="0083437E"/>
    <w:rsid w:val="00835277"/>
    <w:rsid w:val="00840667"/>
    <w:rsid w:val="00841096"/>
    <w:rsid w:val="0084248D"/>
    <w:rsid w:val="0084468C"/>
    <w:rsid w:val="008450C7"/>
    <w:rsid w:val="00847035"/>
    <w:rsid w:val="008546AF"/>
    <w:rsid w:val="008552A0"/>
    <w:rsid w:val="008553E9"/>
    <w:rsid w:val="00860F3C"/>
    <w:rsid w:val="008625D6"/>
    <w:rsid w:val="008647D5"/>
    <w:rsid w:val="00864FE3"/>
    <w:rsid w:val="0086502E"/>
    <w:rsid w:val="00865492"/>
    <w:rsid w:val="00867A7D"/>
    <w:rsid w:val="00867CB4"/>
    <w:rsid w:val="008708AB"/>
    <w:rsid w:val="00870F7D"/>
    <w:rsid w:val="00874ED5"/>
    <w:rsid w:val="008760FB"/>
    <w:rsid w:val="00876B0A"/>
    <w:rsid w:val="00876E18"/>
    <w:rsid w:val="00876F08"/>
    <w:rsid w:val="008817F6"/>
    <w:rsid w:val="00881B14"/>
    <w:rsid w:val="008827F7"/>
    <w:rsid w:val="00883B4E"/>
    <w:rsid w:val="00885A98"/>
    <w:rsid w:val="00886201"/>
    <w:rsid w:val="00886B6F"/>
    <w:rsid w:val="008919C4"/>
    <w:rsid w:val="00893D52"/>
    <w:rsid w:val="00897665"/>
    <w:rsid w:val="008A052C"/>
    <w:rsid w:val="008A243E"/>
    <w:rsid w:val="008A2551"/>
    <w:rsid w:val="008A37C8"/>
    <w:rsid w:val="008A3876"/>
    <w:rsid w:val="008A3CF8"/>
    <w:rsid w:val="008A6CFF"/>
    <w:rsid w:val="008A7871"/>
    <w:rsid w:val="008A7C97"/>
    <w:rsid w:val="008B25A6"/>
    <w:rsid w:val="008B2AC9"/>
    <w:rsid w:val="008B2FD1"/>
    <w:rsid w:val="008B427B"/>
    <w:rsid w:val="008B4DD9"/>
    <w:rsid w:val="008B64A6"/>
    <w:rsid w:val="008B6D56"/>
    <w:rsid w:val="008C0ABE"/>
    <w:rsid w:val="008C43CA"/>
    <w:rsid w:val="008C4C78"/>
    <w:rsid w:val="008C5B82"/>
    <w:rsid w:val="008D0C05"/>
    <w:rsid w:val="008D0C63"/>
    <w:rsid w:val="008D3303"/>
    <w:rsid w:val="008D446E"/>
    <w:rsid w:val="008D5661"/>
    <w:rsid w:val="008D7F0F"/>
    <w:rsid w:val="008E0321"/>
    <w:rsid w:val="008E04B6"/>
    <w:rsid w:val="008E090F"/>
    <w:rsid w:val="008E15AE"/>
    <w:rsid w:val="008E1FD7"/>
    <w:rsid w:val="008E306D"/>
    <w:rsid w:val="008E5679"/>
    <w:rsid w:val="008E7399"/>
    <w:rsid w:val="008E773B"/>
    <w:rsid w:val="008E7A91"/>
    <w:rsid w:val="008F0B6D"/>
    <w:rsid w:val="008F0D80"/>
    <w:rsid w:val="008F0E13"/>
    <w:rsid w:val="008F19E7"/>
    <w:rsid w:val="008F33BB"/>
    <w:rsid w:val="008F3908"/>
    <w:rsid w:val="008F7BD8"/>
    <w:rsid w:val="009014B6"/>
    <w:rsid w:val="0090223E"/>
    <w:rsid w:val="00904087"/>
    <w:rsid w:val="00904231"/>
    <w:rsid w:val="00904F58"/>
    <w:rsid w:val="00910632"/>
    <w:rsid w:val="0091262A"/>
    <w:rsid w:val="00912882"/>
    <w:rsid w:val="00912895"/>
    <w:rsid w:val="009201DA"/>
    <w:rsid w:val="009210DE"/>
    <w:rsid w:val="009232C3"/>
    <w:rsid w:val="00930531"/>
    <w:rsid w:val="00932BAA"/>
    <w:rsid w:val="00934F3B"/>
    <w:rsid w:val="0093508A"/>
    <w:rsid w:val="009352EA"/>
    <w:rsid w:val="009422FA"/>
    <w:rsid w:val="00943B87"/>
    <w:rsid w:val="00945027"/>
    <w:rsid w:val="00945B7B"/>
    <w:rsid w:val="009510C5"/>
    <w:rsid w:val="009539E4"/>
    <w:rsid w:val="009557B4"/>
    <w:rsid w:val="00955895"/>
    <w:rsid w:val="009568E6"/>
    <w:rsid w:val="00957E6C"/>
    <w:rsid w:val="009615C6"/>
    <w:rsid w:val="0096160F"/>
    <w:rsid w:val="009633CF"/>
    <w:rsid w:val="0096390B"/>
    <w:rsid w:val="0096473B"/>
    <w:rsid w:val="00964ACC"/>
    <w:rsid w:val="00965B80"/>
    <w:rsid w:val="009661CB"/>
    <w:rsid w:val="00966324"/>
    <w:rsid w:val="00966778"/>
    <w:rsid w:val="00966BEA"/>
    <w:rsid w:val="00967D94"/>
    <w:rsid w:val="0097047F"/>
    <w:rsid w:val="00970F5B"/>
    <w:rsid w:val="009712FA"/>
    <w:rsid w:val="00972490"/>
    <w:rsid w:val="00972548"/>
    <w:rsid w:val="00977779"/>
    <w:rsid w:val="00977E27"/>
    <w:rsid w:val="009807AF"/>
    <w:rsid w:val="00981154"/>
    <w:rsid w:val="00983318"/>
    <w:rsid w:val="00983C83"/>
    <w:rsid w:val="0098440C"/>
    <w:rsid w:val="00984710"/>
    <w:rsid w:val="00985969"/>
    <w:rsid w:val="00985F3D"/>
    <w:rsid w:val="00986335"/>
    <w:rsid w:val="0099186A"/>
    <w:rsid w:val="00992B8F"/>
    <w:rsid w:val="00994E44"/>
    <w:rsid w:val="00996433"/>
    <w:rsid w:val="00996C45"/>
    <w:rsid w:val="0099726D"/>
    <w:rsid w:val="009A05AD"/>
    <w:rsid w:val="009A2441"/>
    <w:rsid w:val="009A30A4"/>
    <w:rsid w:val="009A3C5A"/>
    <w:rsid w:val="009A5C27"/>
    <w:rsid w:val="009A788F"/>
    <w:rsid w:val="009B0B60"/>
    <w:rsid w:val="009B12D2"/>
    <w:rsid w:val="009B1DC1"/>
    <w:rsid w:val="009B2336"/>
    <w:rsid w:val="009B41EB"/>
    <w:rsid w:val="009C0A7A"/>
    <w:rsid w:val="009C12C9"/>
    <w:rsid w:val="009C15D9"/>
    <w:rsid w:val="009C1CE7"/>
    <w:rsid w:val="009C650C"/>
    <w:rsid w:val="009C7183"/>
    <w:rsid w:val="009C76EC"/>
    <w:rsid w:val="009D0F94"/>
    <w:rsid w:val="009D4B2E"/>
    <w:rsid w:val="009D4D13"/>
    <w:rsid w:val="009D50B1"/>
    <w:rsid w:val="009D55F7"/>
    <w:rsid w:val="009D69E8"/>
    <w:rsid w:val="009D6A46"/>
    <w:rsid w:val="009D7731"/>
    <w:rsid w:val="009D779D"/>
    <w:rsid w:val="009E1426"/>
    <w:rsid w:val="009E1B77"/>
    <w:rsid w:val="009E23E1"/>
    <w:rsid w:val="009E4778"/>
    <w:rsid w:val="009E4A3A"/>
    <w:rsid w:val="009E76BE"/>
    <w:rsid w:val="009E79BF"/>
    <w:rsid w:val="009F3FE6"/>
    <w:rsid w:val="009F48F4"/>
    <w:rsid w:val="009F4A98"/>
    <w:rsid w:val="009F53AF"/>
    <w:rsid w:val="009F5C34"/>
    <w:rsid w:val="009F70E3"/>
    <w:rsid w:val="009F7442"/>
    <w:rsid w:val="00A00E34"/>
    <w:rsid w:val="00A012EB"/>
    <w:rsid w:val="00A02895"/>
    <w:rsid w:val="00A02C7C"/>
    <w:rsid w:val="00A10257"/>
    <w:rsid w:val="00A104CF"/>
    <w:rsid w:val="00A10C6E"/>
    <w:rsid w:val="00A134F9"/>
    <w:rsid w:val="00A14332"/>
    <w:rsid w:val="00A146FC"/>
    <w:rsid w:val="00A16F5B"/>
    <w:rsid w:val="00A215AA"/>
    <w:rsid w:val="00A22090"/>
    <w:rsid w:val="00A2382D"/>
    <w:rsid w:val="00A23C42"/>
    <w:rsid w:val="00A23E28"/>
    <w:rsid w:val="00A25154"/>
    <w:rsid w:val="00A27D88"/>
    <w:rsid w:val="00A304D0"/>
    <w:rsid w:val="00A313DE"/>
    <w:rsid w:val="00A31D66"/>
    <w:rsid w:val="00A3286E"/>
    <w:rsid w:val="00A334ED"/>
    <w:rsid w:val="00A335C9"/>
    <w:rsid w:val="00A349BD"/>
    <w:rsid w:val="00A36699"/>
    <w:rsid w:val="00A4104C"/>
    <w:rsid w:val="00A41A3F"/>
    <w:rsid w:val="00A42623"/>
    <w:rsid w:val="00A43601"/>
    <w:rsid w:val="00A43B54"/>
    <w:rsid w:val="00A4607D"/>
    <w:rsid w:val="00A46271"/>
    <w:rsid w:val="00A4777C"/>
    <w:rsid w:val="00A47D4F"/>
    <w:rsid w:val="00A51314"/>
    <w:rsid w:val="00A516E5"/>
    <w:rsid w:val="00A517FD"/>
    <w:rsid w:val="00A53275"/>
    <w:rsid w:val="00A53EC9"/>
    <w:rsid w:val="00A54A70"/>
    <w:rsid w:val="00A565F9"/>
    <w:rsid w:val="00A60092"/>
    <w:rsid w:val="00A613A0"/>
    <w:rsid w:val="00A62569"/>
    <w:rsid w:val="00A65736"/>
    <w:rsid w:val="00A660BC"/>
    <w:rsid w:val="00A741C7"/>
    <w:rsid w:val="00A74A66"/>
    <w:rsid w:val="00A75CA0"/>
    <w:rsid w:val="00A75F88"/>
    <w:rsid w:val="00A76FDF"/>
    <w:rsid w:val="00A80569"/>
    <w:rsid w:val="00A81659"/>
    <w:rsid w:val="00A81FDC"/>
    <w:rsid w:val="00A83654"/>
    <w:rsid w:val="00A83FA0"/>
    <w:rsid w:val="00A842AB"/>
    <w:rsid w:val="00A851B2"/>
    <w:rsid w:val="00A870CE"/>
    <w:rsid w:val="00A90A8B"/>
    <w:rsid w:val="00A91229"/>
    <w:rsid w:val="00A91F95"/>
    <w:rsid w:val="00A92440"/>
    <w:rsid w:val="00A92E4F"/>
    <w:rsid w:val="00A93713"/>
    <w:rsid w:val="00A951D0"/>
    <w:rsid w:val="00AA022E"/>
    <w:rsid w:val="00AA1433"/>
    <w:rsid w:val="00AA1470"/>
    <w:rsid w:val="00AA2EC8"/>
    <w:rsid w:val="00AA3CD5"/>
    <w:rsid w:val="00AA421A"/>
    <w:rsid w:val="00AA4510"/>
    <w:rsid w:val="00AA6001"/>
    <w:rsid w:val="00AB104D"/>
    <w:rsid w:val="00AB17DA"/>
    <w:rsid w:val="00AB1C24"/>
    <w:rsid w:val="00AB1D63"/>
    <w:rsid w:val="00AB4DF4"/>
    <w:rsid w:val="00AB540D"/>
    <w:rsid w:val="00AB6BD3"/>
    <w:rsid w:val="00AB6D21"/>
    <w:rsid w:val="00AB71B8"/>
    <w:rsid w:val="00AC052A"/>
    <w:rsid w:val="00AC070E"/>
    <w:rsid w:val="00AC2B0F"/>
    <w:rsid w:val="00AC599C"/>
    <w:rsid w:val="00AC77D5"/>
    <w:rsid w:val="00AD0569"/>
    <w:rsid w:val="00AD0C73"/>
    <w:rsid w:val="00AD1B03"/>
    <w:rsid w:val="00AD1DB8"/>
    <w:rsid w:val="00AD7CCE"/>
    <w:rsid w:val="00AD7D20"/>
    <w:rsid w:val="00AE0BCF"/>
    <w:rsid w:val="00AE0E48"/>
    <w:rsid w:val="00AE0F15"/>
    <w:rsid w:val="00AE1A2D"/>
    <w:rsid w:val="00AE1CF1"/>
    <w:rsid w:val="00AE49E9"/>
    <w:rsid w:val="00AE5347"/>
    <w:rsid w:val="00AE55F6"/>
    <w:rsid w:val="00AE56DB"/>
    <w:rsid w:val="00AE7879"/>
    <w:rsid w:val="00AF29B1"/>
    <w:rsid w:val="00AF39C5"/>
    <w:rsid w:val="00AF7E9C"/>
    <w:rsid w:val="00B0007B"/>
    <w:rsid w:val="00B00664"/>
    <w:rsid w:val="00B028F3"/>
    <w:rsid w:val="00B02D37"/>
    <w:rsid w:val="00B03C41"/>
    <w:rsid w:val="00B04CFA"/>
    <w:rsid w:val="00B062A1"/>
    <w:rsid w:val="00B06EFE"/>
    <w:rsid w:val="00B10F37"/>
    <w:rsid w:val="00B1342C"/>
    <w:rsid w:val="00B13C87"/>
    <w:rsid w:val="00B15CEE"/>
    <w:rsid w:val="00B16F57"/>
    <w:rsid w:val="00B1710D"/>
    <w:rsid w:val="00B17632"/>
    <w:rsid w:val="00B17E04"/>
    <w:rsid w:val="00B24920"/>
    <w:rsid w:val="00B271AD"/>
    <w:rsid w:val="00B2799E"/>
    <w:rsid w:val="00B31570"/>
    <w:rsid w:val="00B32510"/>
    <w:rsid w:val="00B328CF"/>
    <w:rsid w:val="00B36D5E"/>
    <w:rsid w:val="00B36F9C"/>
    <w:rsid w:val="00B379DC"/>
    <w:rsid w:val="00B4135C"/>
    <w:rsid w:val="00B423F2"/>
    <w:rsid w:val="00B438DC"/>
    <w:rsid w:val="00B44304"/>
    <w:rsid w:val="00B44788"/>
    <w:rsid w:val="00B46394"/>
    <w:rsid w:val="00B50CC1"/>
    <w:rsid w:val="00B5146A"/>
    <w:rsid w:val="00B51A65"/>
    <w:rsid w:val="00B51EDD"/>
    <w:rsid w:val="00B5217B"/>
    <w:rsid w:val="00B526A8"/>
    <w:rsid w:val="00B52B4E"/>
    <w:rsid w:val="00B5502F"/>
    <w:rsid w:val="00B55822"/>
    <w:rsid w:val="00B55A9E"/>
    <w:rsid w:val="00B55FAB"/>
    <w:rsid w:val="00B5738F"/>
    <w:rsid w:val="00B60C11"/>
    <w:rsid w:val="00B62610"/>
    <w:rsid w:val="00B64E0F"/>
    <w:rsid w:val="00B64EE9"/>
    <w:rsid w:val="00B663D5"/>
    <w:rsid w:val="00B6734E"/>
    <w:rsid w:val="00B73CAD"/>
    <w:rsid w:val="00B73F93"/>
    <w:rsid w:val="00B746C9"/>
    <w:rsid w:val="00B76528"/>
    <w:rsid w:val="00B81323"/>
    <w:rsid w:val="00B83D9D"/>
    <w:rsid w:val="00B83E2F"/>
    <w:rsid w:val="00B84529"/>
    <w:rsid w:val="00B8471C"/>
    <w:rsid w:val="00B85914"/>
    <w:rsid w:val="00B85B1A"/>
    <w:rsid w:val="00B86889"/>
    <w:rsid w:val="00B90135"/>
    <w:rsid w:val="00B9058D"/>
    <w:rsid w:val="00B9073A"/>
    <w:rsid w:val="00B921CA"/>
    <w:rsid w:val="00B94450"/>
    <w:rsid w:val="00B9490C"/>
    <w:rsid w:val="00B94C07"/>
    <w:rsid w:val="00B9691F"/>
    <w:rsid w:val="00B96F7F"/>
    <w:rsid w:val="00B97F20"/>
    <w:rsid w:val="00BA0C96"/>
    <w:rsid w:val="00BA2AE7"/>
    <w:rsid w:val="00BA2C44"/>
    <w:rsid w:val="00BA4490"/>
    <w:rsid w:val="00BA482C"/>
    <w:rsid w:val="00BA7E95"/>
    <w:rsid w:val="00BB0963"/>
    <w:rsid w:val="00BB2111"/>
    <w:rsid w:val="00BB3F40"/>
    <w:rsid w:val="00BB71C8"/>
    <w:rsid w:val="00BB794C"/>
    <w:rsid w:val="00BC0993"/>
    <w:rsid w:val="00BC0BBE"/>
    <w:rsid w:val="00BC1DB4"/>
    <w:rsid w:val="00BC206E"/>
    <w:rsid w:val="00BC2524"/>
    <w:rsid w:val="00BC2DDF"/>
    <w:rsid w:val="00BC4262"/>
    <w:rsid w:val="00BC451B"/>
    <w:rsid w:val="00BC5D95"/>
    <w:rsid w:val="00BC64F8"/>
    <w:rsid w:val="00BC7FD2"/>
    <w:rsid w:val="00BD01D8"/>
    <w:rsid w:val="00BD01F7"/>
    <w:rsid w:val="00BD16A5"/>
    <w:rsid w:val="00BD1967"/>
    <w:rsid w:val="00BD24DD"/>
    <w:rsid w:val="00BD252C"/>
    <w:rsid w:val="00BD3F35"/>
    <w:rsid w:val="00BE13A5"/>
    <w:rsid w:val="00BE1AE0"/>
    <w:rsid w:val="00BE1CAE"/>
    <w:rsid w:val="00BE4A46"/>
    <w:rsid w:val="00BF0C21"/>
    <w:rsid w:val="00BF16ED"/>
    <w:rsid w:val="00BF246C"/>
    <w:rsid w:val="00BF3390"/>
    <w:rsid w:val="00BF49D5"/>
    <w:rsid w:val="00BF5B03"/>
    <w:rsid w:val="00BF776C"/>
    <w:rsid w:val="00C00B6E"/>
    <w:rsid w:val="00C03AE7"/>
    <w:rsid w:val="00C041DD"/>
    <w:rsid w:val="00C04785"/>
    <w:rsid w:val="00C05D9D"/>
    <w:rsid w:val="00C17713"/>
    <w:rsid w:val="00C20268"/>
    <w:rsid w:val="00C207B2"/>
    <w:rsid w:val="00C24CBC"/>
    <w:rsid w:val="00C31279"/>
    <w:rsid w:val="00C3350F"/>
    <w:rsid w:val="00C335D3"/>
    <w:rsid w:val="00C33B54"/>
    <w:rsid w:val="00C35592"/>
    <w:rsid w:val="00C356AF"/>
    <w:rsid w:val="00C40816"/>
    <w:rsid w:val="00C40D75"/>
    <w:rsid w:val="00C41927"/>
    <w:rsid w:val="00C43070"/>
    <w:rsid w:val="00C439D6"/>
    <w:rsid w:val="00C43B1F"/>
    <w:rsid w:val="00C43FD9"/>
    <w:rsid w:val="00C44EB2"/>
    <w:rsid w:val="00C45EEA"/>
    <w:rsid w:val="00C46091"/>
    <w:rsid w:val="00C46835"/>
    <w:rsid w:val="00C46C3A"/>
    <w:rsid w:val="00C47C90"/>
    <w:rsid w:val="00C47D2D"/>
    <w:rsid w:val="00C47E8F"/>
    <w:rsid w:val="00C53F39"/>
    <w:rsid w:val="00C5534F"/>
    <w:rsid w:val="00C561D6"/>
    <w:rsid w:val="00C606EA"/>
    <w:rsid w:val="00C60915"/>
    <w:rsid w:val="00C620A0"/>
    <w:rsid w:val="00C66FE7"/>
    <w:rsid w:val="00C73148"/>
    <w:rsid w:val="00C75B7A"/>
    <w:rsid w:val="00C76F8F"/>
    <w:rsid w:val="00C80012"/>
    <w:rsid w:val="00C807BF"/>
    <w:rsid w:val="00C80AF1"/>
    <w:rsid w:val="00C80D98"/>
    <w:rsid w:val="00C820DA"/>
    <w:rsid w:val="00C826FE"/>
    <w:rsid w:val="00C834C7"/>
    <w:rsid w:val="00C83EFE"/>
    <w:rsid w:val="00C8508E"/>
    <w:rsid w:val="00C86021"/>
    <w:rsid w:val="00C867FE"/>
    <w:rsid w:val="00C87D0A"/>
    <w:rsid w:val="00C9353F"/>
    <w:rsid w:val="00C93555"/>
    <w:rsid w:val="00C94317"/>
    <w:rsid w:val="00C964B8"/>
    <w:rsid w:val="00C96E04"/>
    <w:rsid w:val="00CA1274"/>
    <w:rsid w:val="00CA1AFC"/>
    <w:rsid w:val="00CA3FC9"/>
    <w:rsid w:val="00CA42AF"/>
    <w:rsid w:val="00CA45E2"/>
    <w:rsid w:val="00CA5A43"/>
    <w:rsid w:val="00CA5AEC"/>
    <w:rsid w:val="00CA7156"/>
    <w:rsid w:val="00CA7D64"/>
    <w:rsid w:val="00CB1862"/>
    <w:rsid w:val="00CB2349"/>
    <w:rsid w:val="00CB479D"/>
    <w:rsid w:val="00CB5BD2"/>
    <w:rsid w:val="00CB69D2"/>
    <w:rsid w:val="00CB75DA"/>
    <w:rsid w:val="00CC49A3"/>
    <w:rsid w:val="00CC4C2F"/>
    <w:rsid w:val="00CC571E"/>
    <w:rsid w:val="00CC5782"/>
    <w:rsid w:val="00CD087F"/>
    <w:rsid w:val="00CD34DD"/>
    <w:rsid w:val="00CD4791"/>
    <w:rsid w:val="00CE0357"/>
    <w:rsid w:val="00CE07A1"/>
    <w:rsid w:val="00CE0D1D"/>
    <w:rsid w:val="00CE0FFC"/>
    <w:rsid w:val="00CE2E2B"/>
    <w:rsid w:val="00CE3412"/>
    <w:rsid w:val="00CE39CE"/>
    <w:rsid w:val="00CE4922"/>
    <w:rsid w:val="00CE5E44"/>
    <w:rsid w:val="00CF2A50"/>
    <w:rsid w:val="00CF3862"/>
    <w:rsid w:val="00CF5067"/>
    <w:rsid w:val="00CF630D"/>
    <w:rsid w:val="00CF7673"/>
    <w:rsid w:val="00D012B8"/>
    <w:rsid w:val="00D01670"/>
    <w:rsid w:val="00D06A8B"/>
    <w:rsid w:val="00D075D4"/>
    <w:rsid w:val="00D07A0A"/>
    <w:rsid w:val="00D12050"/>
    <w:rsid w:val="00D133AE"/>
    <w:rsid w:val="00D149F0"/>
    <w:rsid w:val="00D14E43"/>
    <w:rsid w:val="00D15194"/>
    <w:rsid w:val="00D152E7"/>
    <w:rsid w:val="00D1575C"/>
    <w:rsid w:val="00D175AE"/>
    <w:rsid w:val="00D21F91"/>
    <w:rsid w:val="00D25E4D"/>
    <w:rsid w:val="00D27306"/>
    <w:rsid w:val="00D30CE3"/>
    <w:rsid w:val="00D32C1B"/>
    <w:rsid w:val="00D330DF"/>
    <w:rsid w:val="00D351CA"/>
    <w:rsid w:val="00D360E9"/>
    <w:rsid w:val="00D411EB"/>
    <w:rsid w:val="00D4152C"/>
    <w:rsid w:val="00D41F74"/>
    <w:rsid w:val="00D43235"/>
    <w:rsid w:val="00D44360"/>
    <w:rsid w:val="00D44871"/>
    <w:rsid w:val="00D44DC1"/>
    <w:rsid w:val="00D46AC2"/>
    <w:rsid w:val="00D515D2"/>
    <w:rsid w:val="00D52007"/>
    <w:rsid w:val="00D524BB"/>
    <w:rsid w:val="00D549B9"/>
    <w:rsid w:val="00D557EE"/>
    <w:rsid w:val="00D56058"/>
    <w:rsid w:val="00D560C1"/>
    <w:rsid w:val="00D56590"/>
    <w:rsid w:val="00D568CD"/>
    <w:rsid w:val="00D57F4B"/>
    <w:rsid w:val="00D60FA8"/>
    <w:rsid w:val="00D6133B"/>
    <w:rsid w:val="00D61A12"/>
    <w:rsid w:val="00D61C91"/>
    <w:rsid w:val="00D64B74"/>
    <w:rsid w:val="00D656AD"/>
    <w:rsid w:val="00D6667F"/>
    <w:rsid w:val="00D66DE7"/>
    <w:rsid w:val="00D7527C"/>
    <w:rsid w:val="00D75C0F"/>
    <w:rsid w:val="00D75C8E"/>
    <w:rsid w:val="00D76E91"/>
    <w:rsid w:val="00D806BF"/>
    <w:rsid w:val="00D8153A"/>
    <w:rsid w:val="00D8158C"/>
    <w:rsid w:val="00D816CB"/>
    <w:rsid w:val="00D825F9"/>
    <w:rsid w:val="00D82D5F"/>
    <w:rsid w:val="00D83B05"/>
    <w:rsid w:val="00D83F52"/>
    <w:rsid w:val="00D854E7"/>
    <w:rsid w:val="00D8560E"/>
    <w:rsid w:val="00D8722B"/>
    <w:rsid w:val="00D872D1"/>
    <w:rsid w:val="00D93A9A"/>
    <w:rsid w:val="00D95719"/>
    <w:rsid w:val="00D95929"/>
    <w:rsid w:val="00D95EBC"/>
    <w:rsid w:val="00D96EBF"/>
    <w:rsid w:val="00DA032D"/>
    <w:rsid w:val="00DA5B84"/>
    <w:rsid w:val="00DA5F32"/>
    <w:rsid w:val="00DA655D"/>
    <w:rsid w:val="00DA65B3"/>
    <w:rsid w:val="00DA7A15"/>
    <w:rsid w:val="00DB2311"/>
    <w:rsid w:val="00DB3EB8"/>
    <w:rsid w:val="00DB4809"/>
    <w:rsid w:val="00DB5E8F"/>
    <w:rsid w:val="00DB7634"/>
    <w:rsid w:val="00DC0485"/>
    <w:rsid w:val="00DC17A1"/>
    <w:rsid w:val="00DC1A90"/>
    <w:rsid w:val="00DC1AB3"/>
    <w:rsid w:val="00DC2260"/>
    <w:rsid w:val="00DC6BED"/>
    <w:rsid w:val="00DC7079"/>
    <w:rsid w:val="00DC7C3E"/>
    <w:rsid w:val="00DD0DE3"/>
    <w:rsid w:val="00DD22CF"/>
    <w:rsid w:val="00DD31DB"/>
    <w:rsid w:val="00DD41F2"/>
    <w:rsid w:val="00DD4DF0"/>
    <w:rsid w:val="00DD4E60"/>
    <w:rsid w:val="00DD6342"/>
    <w:rsid w:val="00DE08A0"/>
    <w:rsid w:val="00DE0FC9"/>
    <w:rsid w:val="00DE242C"/>
    <w:rsid w:val="00DE2E67"/>
    <w:rsid w:val="00DE30E0"/>
    <w:rsid w:val="00DE36A5"/>
    <w:rsid w:val="00DE517D"/>
    <w:rsid w:val="00DF0025"/>
    <w:rsid w:val="00DF40A1"/>
    <w:rsid w:val="00DF5CD4"/>
    <w:rsid w:val="00DF5E28"/>
    <w:rsid w:val="00E006B7"/>
    <w:rsid w:val="00E00D88"/>
    <w:rsid w:val="00E026D2"/>
    <w:rsid w:val="00E03476"/>
    <w:rsid w:val="00E03CE3"/>
    <w:rsid w:val="00E06BA7"/>
    <w:rsid w:val="00E105CF"/>
    <w:rsid w:val="00E108C6"/>
    <w:rsid w:val="00E12CA1"/>
    <w:rsid w:val="00E15D11"/>
    <w:rsid w:val="00E178A5"/>
    <w:rsid w:val="00E20B3F"/>
    <w:rsid w:val="00E212AB"/>
    <w:rsid w:val="00E22BCE"/>
    <w:rsid w:val="00E258A6"/>
    <w:rsid w:val="00E31942"/>
    <w:rsid w:val="00E326FF"/>
    <w:rsid w:val="00E32792"/>
    <w:rsid w:val="00E3467B"/>
    <w:rsid w:val="00E361B0"/>
    <w:rsid w:val="00E404EC"/>
    <w:rsid w:val="00E41848"/>
    <w:rsid w:val="00E43629"/>
    <w:rsid w:val="00E43830"/>
    <w:rsid w:val="00E46007"/>
    <w:rsid w:val="00E50CFD"/>
    <w:rsid w:val="00E51414"/>
    <w:rsid w:val="00E51DF9"/>
    <w:rsid w:val="00E5353A"/>
    <w:rsid w:val="00E53587"/>
    <w:rsid w:val="00E56F4F"/>
    <w:rsid w:val="00E60C6F"/>
    <w:rsid w:val="00E61586"/>
    <w:rsid w:val="00E62560"/>
    <w:rsid w:val="00E6270E"/>
    <w:rsid w:val="00E62DB8"/>
    <w:rsid w:val="00E6508C"/>
    <w:rsid w:val="00E65E24"/>
    <w:rsid w:val="00E67087"/>
    <w:rsid w:val="00E677EF"/>
    <w:rsid w:val="00E733A5"/>
    <w:rsid w:val="00E74BE3"/>
    <w:rsid w:val="00E769AB"/>
    <w:rsid w:val="00E76ADA"/>
    <w:rsid w:val="00E845AB"/>
    <w:rsid w:val="00E85285"/>
    <w:rsid w:val="00E859DF"/>
    <w:rsid w:val="00E87041"/>
    <w:rsid w:val="00E917B9"/>
    <w:rsid w:val="00E92DFD"/>
    <w:rsid w:val="00E937B1"/>
    <w:rsid w:val="00E95201"/>
    <w:rsid w:val="00EA154E"/>
    <w:rsid w:val="00EA1807"/>
    <w:rsid w:val="00EA3D46"/>
    <w:rsid w:val="00EA4947"/>
    <w:rsid w:val="00EA498B"/>
    <w:rsid w:val="00EA656D"/>
    <w:rsid w:val="00EA7145"/>
    <w:rsid w:val="00EB38DC"/>
    <w:rsid w:val="00EB6E44"/>
    <w:rsid w:val="00EC0C41"/>
    <w:rsid w:val="00EC1594"/>
    <w:rsid w:val="00EC51D1"/>
    <w:rsid w:val="00ED6274"/>
    <w:rsid w:val="00ED730E"/>
    <w:rsid w:val="00ED768E"/>
    <w:rsid w:val="00EE0AA2"/>
    <w:rsid w:val="00EE456B"/>
    <w:rsid w:val="00EE5BD7"/>
    <w:rsid w:val="00EE67EE"/>
    <w:rsid w:val="00EE722D"/>
    <w:rsid w:val="00EF2B7F"/>
    <w:rsid w:val="00F000DF"/>
    <w:rsid w:val="00F00A79"/>
    <w:rsid w:val="00F00C37"/>
    <w:rsid w:val="00F02E1C"/>
    <w:rsid w:val="00F02E95"/>
    <w:rsid w:val="00F034AC"/>
    <w:rsid w:val="00F045E9"/>
    <w:rsid w:val="00F046FD"/>
    <w:rsid w:val="00F07039"/>
    <w:rsid w:val="00F13BB1"/>
    <w:rsid w:val="00F13F1A"/>
    <w:rsid w:val="00F149DD"/>
    <w:rsid w:val="00F160D2"/>
    <w:rsid w:val="00F16DF9"/>
    <w:rsid w:val="00F17177"/>
    <w:rsid w:val="00F178EA"/>
    <w:rsid w:val="00F219C5"/>
    <w:rsid w:val="00F21AC4"/>
    <w:rsid w:val="00F22651"/>
    <w:rsid w:val="00F226DB"/>
    <w:rsid w:val="00F23826"/>
    <w:rsid w:val="00F2384B"/>
    <w:rsid w:val="00F250BE"/>
    <w:rsid w:val="00F25366"/>
    <w:rsid w:val="00F26007"/>
    <w:rsid w:val="00F26C0F"/>
    <w:rsid w:val="00F27811"/>
    <w:rsid w:val="00F316DD"/>
    <w:rsid w:val="00F334A5"/>
    <w:rsid w:val="00F335CC"/>
    <w:rsid w:val="00F33F57"/>
    <w:rsid w:val="00F344D0"/>
    <w:rsid w:val="00F34AC6"/>
    <w:rsid w:val="00F3661E"/>
    <w:rsid w:val="00F36A64"/>
    <w:rsid w:val="00F41D05"/>
    <w:rsid w:val="00F42B2A"/>
    <w:rsid w:val="00F453CC"/>
    <w:rsid w:val="00F46C2A"/>
    <w:rsid w:val="00F46E0C"/>
    <w:rsid w:val="00F47015"/>
    <w:rsid w:val="00F4748D"/>
    <w:rsid w:val="00F475F6"/>
    <w:rsid w:val="00F47DBA"/>
    <w:rsid w:val="00F503DD"/>
    <w:rsid w:val="00F50421"/>
    <w:rsid w:val="00F5510C"/>
    <w:rsid w:val="00F557BC"/>
    <w:rsid w:val="00F57DF8"/>
    <w:rsid w:val="00F612B3"/>
    <w:rsid w:val="00F63814"/>
    <w:rsid w:val="00F6622E"/>
    <w:rsid w:val="00F66533"/>
    <w:rsid w:val="00F67B1D"/>
    <w:rsid w:val="00F7064A"/>
    <w:rsid w:val="00F747AD"/>
    <w:rsid w:val="00F75BA8"/>
    <w:rsid w:val="00F75E33"/>
    <w:rsid w:val="00F763C9"/>
    <w:rsid w:val="00F812CE"/>
    <w:rsid w:val="00F82C88"/>
    <w:rsid w:val="00F8450D"/>
    <w:rsid w:val="00F84541"/>
    <w:rsid w:val="00F868FE"/>
    <w:rsid w:val="00F86EF5"/>
    <w:rsid w:val="00F874F4"/>
    <w:rsid w:val="00F87F28"/>
    <w:rsid w:val="00F905F7"/>
    <w:rsid w:val="00F91BA8"/>
    <w:rsid w:val="00F91C6C"/>
    <w:rsid w:val="00F942CA"/>
    <w:rsid w:val="00F9452C"/>
    <w:rsid w:val="00F976E2"/>
    <w:rsid w:val="00F97CC7"/>
    <w:rsid w:val="00FA16CA"/>
    <w:rsid w:val="00FA45DF"/>
    <w:rsid w:val="00FA4D4C"/>
    <w:rsid w:val="00FA6229"/>
    <w:rsid w:val="00FA7114"/>
    <w:rsid w:val="00FB65BA"/>
    <w:rsid w:val="00FB7206"/>
    <w:rsid w:val="00FC01CA"/>
    <w:rsid w:val="00FC0201"/>
    <w:rsid w:val="00FC1008"/>
    <w:rsid w:val="00FC1122"/>
    <w:rsid w:val="00FC1D72"/>
    <w:rsid w:val="00FC3A79"/>
    <w:rsid w:val="00FC5782"/>
    <w:rsid w:val="00FC5EBF"/>
    <w:rsid w:val="00FC74A0"/>
    <w:rsid w:val="00FC75D3"/>
    <w:rsid w:val="00FC7A3B"/>
    <w:rsid w:val="00FD061A"/>
    <w:rsid w:val="00FD134E"/>
    <w:rsid w:val="00FD22E8"/>
    <w:rsid w:val="00FD38AB"/>
    <w:rsid w:val="00FD44B0"/>
    <w:rsid w:val="00FD4937"/>
    <w:rsid w:val="00FD5787"/>
    <w:rsid w:val="00FD6612"/>
    <w:rsid w:val="00FE2614"/>
    <w:rsid w:val="00FE3B57"/>
    <w:rsid w:val="00FE428E"/>
    <w:rsid w:val="00FE52A8"/>
    <w:rsid w:val="00FE5577"/>
    <w:rsid w:val="00FE628D"/>
    <w:rsid w:val="00FF1450"/>
    <w:rsid w:val="00FF34CA"/>
    <w:rsid w:val="00FF4AA5"/>
    <w:rsid w:val="00FF55DD"/>
    <w:rsid w:val="00FF70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0487F9"/>
  <w15:docId w15:val="{EC354954-5BE8-4A93-8052-BA28BB8B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00"/>
    <w:rPr>
      <w:sz w:val="22"/>
      <w:lang w:val="en-GB"/>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36"/>
      <w:szCs w:val="52"/>
      <w:lang w:val="en-GB"/>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A47D4F"/>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1755C2"/>
    <w:pPr>
      <w:pBdr>
        <w:bottom w:val="single" w:sz="8" w:space="1" w:color="2F5773" w:themeColor="text2"/>
      </w:pBdr>
      <w:spacing w:after="120" w:line="276" w:lineRule="auto"/>
    </w:pPr>
    <w:rPr>
      <w:rFonts w:asciiTheme="majorHAnsi" w:eastAsiaTheme="majorEastAsia" w:hAnsiTheme="majorHAnsi" w:cstheme="majorBidi"/>
      <w:color w:val="2F5773" w:themeColor="text2"/>
      <w:spacing w:val="5"/>
      <w:kern w:val="28"/>
      <w:sz w:val="36"/>
      <w:szCs w:val="52"/>
      <w:lang w:val="en-GB"/>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SR footnote,Fußnote,lábléc,Footnote Text Char Char,lábléc Car Car Car,Fodnotetekst Tegn Tegn Tegn Tegn Tegn Tegn Tegn Char Char,Fodnotetekst Tegn Tegn Tegn Tegn Tegn Tegn Tegn Char Char Char Char,fn,C26 Footnote body,ft,text,f,Ch,Footnote"/>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aliases w:val="FSR footnote Char,Fußnote Char,lábléc Char,Footnote Text Char Char Char,lábléc Car Car Car Char,Fodnotetekst Tegn Tegn Tegn Tegn Tegn Tegn Tegn Char Char Char,Fodnotetekst Tegn Tegn Tegn Tegn Tegn Tegn Tegn Char Char Char Char Char"/>
    <w:basedOn w:val="DefaultParagraphFont"/>
    <w:link w:val="FootnoteText"/>
    <w:uiPriority w:val="99"/>
    <w:qFormat/>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styleId="ListParagraph">
    <w:name w:val="List Paragraph"/>
    <w:aliases w:val="List 1,Lettre d'introduction,Paragrafo elenco,List Paragraph1,1st level - Bullet List Paragraph,Dot pt,F5 List Paragraph,List Paragraph 1,Level 5,Numbered list,Level 3,Subhead 2,No Spacing1,List Paragraph Char Char Char,Indicator Text,3,E"/>
    <w:basedOn w:val="Normal"/>
    <w:link w:val="ListParagraphChar"/>
    <w:uiPriority w:val="34"/>
    <w:qFormat/>
    <w:rsid w:val="00D806BF"/>
    <w:pPr>
      <w:ind w:left="720"/>
      <w:contextualSpacing/>
    </w:pPr>
  </w:style>
  <w:style w:type="paragraph" w:customStyle="1" w:styleId="Text1">
    <w:name w:val="Text 1"/>
    <w:basedOn w:val="Normal"/>
    <w:rsid w:val="00A54A70"/>
    <w:pPr>
      <w:spacing w:before="120" w:after="120" w:line="360" w:lineRule="auto"/>
      <w:ind w:left="567"/>
      <w:outlineLvl w:val="0"/>
    </w:pPr>
    <w:rPr>
      <w:rFonts w:ascii="Times New Roman" w:eastAsia="Times New Roman" w:hAnsi="Times New Roman" w:cs="Times New Roman"/>
      <w:sz w:val="24"/>
    </w:rPr>
  </w:style>
  <w:style w:type="paragraph" w:customStyle="1" w:styleId="Titrearticle">
    <w:name w:val="Titre article"/>
    <w:basedOn w:val="Normal"/>
    <w:next w:val="Normal"/>
    <w:rsid w:val="00A54A70"/>
    <w:pPr>
      <w:keepNext/>
      <w:spacing w:before="360" w:after="120"/>
      <w:jc w:val="center"/>
    </w:pPr>
    <w:rPr>
      <w:rFonts w:ascii="Times New Roman" w:eastAsiaTheme="minorHAnsi" w:hAnsi="Times New Roman" w:cs="Times New Roman"/>
      <w:i/>
      <w:sz w:val="24"/>
      <w:szCs w:val="22"/>
    </w:rPr>
  </w:style>
  <w:style w:type="paragraph" w:customStyle="1" w:styleId="Default">
    <w:name w:val="Default"/>
    <w:rsid w:val="000531B1"/>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semiHidden/>
    <w:unhideWhenUsed/>
    <w:rsid w:val="000B7419"/>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0B7419"/>
    <w:rPr>
      <w:b/>
      <w:bCs/>
    </w:rPr>
  </w:style>
  <w:style w:type="character" w:styleId="CommentReference">
    <w:name w:val="annotation reference"/>
    <w:basedOn w:val="DefaultParagraphFont"/>
    <w:uiPriority w:val="99"/>
    <w:semiHidden/>
    <w:rsid w:val="006E4F5D"/>
    <w:rPr>
      <w:sz w:val="16"/>
      <w:szCs w:val="16"/>
    </w:rPr>
  </w:style>
  <w:style w:type="paragraph" w:styleId="CommentText">
    <w:name w:val="annotation text"/>
    <w:basedOn w:val="Normal"/>
    <w:link w:val="CommentTextChar"/>
    <w:uiPriority w:val="99"/>
    <w:semiHidden/>
    <w:rsid w:val="006E4F5D"/>
    <w:rPr>
      <w:sz w:val="20"/>
      <w:szCs w:val="20"/>
    </w:rPr>
  </w:style>
  <w:style w:type="character" w:customStyle="1" w:styleId="CommentTextChar">
    <w:name w:val="Comment Text Char"/>
    <w:basedOn w:val="DefaultParagraphFont"/>
    <w:link w:val="CommentText"/>
    <w:uiPriority w:val="99"/>
    <w:semiHidden/>
    <w:rsid w:val="006E4F5D"/>
    <w:rPr>
      <w:sz w:val="20"/>
      <w:szCs w:val="20"/>
      <w:lang w:val="en-GB"/>
    </w:rPr>
  </w:style>
  <w:style w:type="paragraph" w:styleId="CommentSubject">
    <w:name w:val="annotation subject"/>
    <w:basedOn w:val="CommentText"/>
    <w:next w:val="CommentText"/>
    <w:link w:val="CommentSubjectChar"/>
    <w:uiPriority w:val="99"/>
    <w:semiHidden/>
    <w:rsid w:val="006E4F5D"/>
    <w:rPr>
      <w:b/>
      <w:bCs/>
    </w:rPr>
  </w:style>
  <w:style w:type="character" w:customStyle="1" w:styleId="CommentSubjectChar">
    <w:name w:val="Comment Subject Char"/>
    <w:basedOn w:val="CommentTextChar"/>
    <w:link w:val="CommentSubject"/>
    <w:uiPriority w:val="99"/>
    <w:semiHidden/>
    <w:rsid w:val="006E4F5D"/>
    <w:rPr>
      <w:b/>
      <w:bCs/>
      <w:sz w:val="20"/>
      <w:szCs w:val="20"/>
      <w:lang w:val="en-GB"/>
    </w:rPr>
  </w:style>
  <w:style w:type="paragraph" w:styleId="Revision">
    <w:name w:val="Revision"/>
    <w:hidden/>
    <w:uiPriority w:val="99"/>
    <w:semiHidden/>
    <w:rsid w:val="003D70EF"/>
    <w:rPr>
      <w:sz w:val="22"/>
      <w:lang w:val="en-GB"/>
    </w:rPr>
  </w:style>
  <w:style w:type="paragraph" w:customStyle="1" w:styleId="BodyA">
    <w:name w:val="Body A"/>
    <w:basedOn w:val="Normal"/>
    <w:rsid w:val="001D7AE3"/>
    <w:rPr>
      <w:rFonts w:ascii="Times New Roman" w:eastAsiaTheme="minorHAnsi" w:hAnsi="Times New Roman" w:cs="Times New Roman"/>
      <w:color w:val="000000"/>
      <w:sz w:val="24"/>
      <w:lang w:eastAsia="nl-NL"/>
    </w:rPr>
  </w:style>
  <w:style w:type="table" w:styleId="LightList">
    <w:name w:val="Light List"/>
    <w:basedOn w:val="TableNormal"/>
    <w:uiPriority w:val="61"/>
    <w:rsid w:val="00680D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1">
    <w:name w:val="Medium Shading 2 Accent 1"/>
    <w:basedOn w:val="TableNormal"/>
    <w:uiPriority w:val="64"/>
    <w:rsid w:val="00680D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57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5773" w:themeFill="accent1"/>
      </w:tcPr>
    </w:tblStylePr>
    <w:tblStylePr w:type="lastCol">
      <w:rPr>
        <w:b/>
        <w:bCs/>
        <w:color w:val="FFFFFF" w:themeColor="background1"/>
      </w:rPr>
      <w:tblPr/>
      <w:tcPr>
        <w:tcBorders>
          <w:left w:val="nil"/>
          <w:right w:val="nil"/>
          <w:insideH w:val="nil"/>
          <w:insideV w:val="nil"/>
        </w:tcBorders>
        <w:shd w:val="clear" w:color="auto" w:fill="2F57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066E20"/>
    <w:tblPr>
      <w:tblStyleRowBandSize w:val="1"/>
      <w:tblStyleColBandSize w:val="1"/>
      <w:tblBorders>
        <w:top w:val="single" w:sz="8" w:space="0" w:color="2F5773" w:themeColor="accent1"/>
        <w:left w:val="single" w:sz="8" w:space="0" w:color="2F5773" w:themeColor="accent1"/>
        <w:bottom w:val="single" w:sz="8" w:space="0" w:color="2F5773" w:themeColor="accent1"/>
        <w:right w:val="single" w:sz="8" w:space="0" w:color="2F5773" w:themeColor="accent1"/>
      </w:tblBorders>
    </w:tblPr>
    <w:tblStylePr w:type="firstRow">
      <w:pPr>
        <w:spacing w:before="0" w:after="0" w:line="240" w:lineRule="auto"/>
      </w:pPr>
      <w:rPr>
        <w:b/>
        <w:bCs/>
        <w:color w:val="FFFFFF" w:themeColor="background1"/>
      </w:rPr>
      <w:tblPr/>
      <w:tcPr>
        <w:shd w:val="clear" w:color="auto" w:fill="2F5773" w:themeFill="accent1"/>
      </w:tcPr>
    </w:tblStylePr>
    <w:tblStylePr w:type="lastRow">
      <w:pPr>
        <w:spacing w:before="0" w:after="0" w:line="240" w:lineRule="auto"/>
      </w:pPr>
      <w:rPr>
        <w:b/>
        <w:bCs/>
      </w:rPr>
      <w:tblPr/>
      <w:tcPr>
        <w:tcBorders>
          <w:top w:val="double" w:sz="6" w:space="0" w:color="2F5773" w:themeColor="accent1"/>
          <w:left w:val="single" w:sz="8" w:space="0" w:color="2F5773" w:themeColor="accent1"/>
          <w:bottom w:val="single" w:sz="8" w:space="0" w:color="2F5773" w:themeColor="accent1"/>
          <w:right w:val="single" w:sz="8" w:space="0" w:color="2F5773" w:themeColor="accent1"/>
        </w:tcBorders>
      </w:tcPr>
    </w:tblStylePr>
    <w:tblStylePr w:type="firstCol">
      <w:rPr>
        <w:b/>
        <w:bCs/>
      </w:rPr>
    </w:tblStylePr>
    <w:tblStylePr w:type="lastCol">
      <w:rPr>
        <w:b/>
        <w:bCs/>
      </w:rPr>
    </w:tblStylePr>
    <w:tblStylePr w:type="band1Vert">
      <w:tblPr/>
      <w:tcPr>
        <w:tcBorders>
          <w:top w:val="single" w:sz="8" w:space="0" w:color="2F5773" w:themeColor="accent1"/>
          <w:left w:val="single" w:sz="8" w:space="0" w:color="2F5773" w:themeColor="accent1"/>
          <w:bottom w:val="single" w:sz="8" w:space="0" w:color="2F5773" w:themeColor="accent1"/>
          <w:right w:val="single" w:sz="8" w:space="0" w:color="2F5773" w:themeColor="accent1"/>
        </w:tcBorders>
      </w:tcPr>
    </w:tblStylePr>
    <w:tblStylePr w:type="band1Horz">
      <w:tblPr/>
      <w:tcPr>
        <w:tcBorders>
          <w:top w:val="single" w:sz="8" w:space="0" w:color="2F5773" w:themeColor="accent1"/>
          <w:left w:val="single" w:sz="8" w:space="0" w:color="2F5773" w:themeColor="accent1"/>
          <w:bottom w:val="single" w:sz="8" w:space="0" w:color="2F5773" w:themeColor="accent1"/>
          <w:right w:val="single" w:sz="8" w:space="0" w:color="2F5773" w:themeColor="accent1"/>
        </w:tcBorders>
      </w:tcPr>
    </w:tblStylePr>
  </w:style>
  <w:style w:type="paragraph" w:customStyle="1" w:styleId="Body0">
    <w:name w:val="Body"/>
    <w:rsid w:val="00111F53"/>
    <w:pPr>
      <w:pBdr>
        <w:top w:val="nil"/>
        <w:left w:val="nil"/>
        <w:bottom w:val="nil"/>
        <w:right w:val="nil"/>
        <w:between w:val="nil"/>
        <w:bar w:val="nil"/>
      </w:pBdr>
    </w:pPr>
    <w:rPr>
      <w:rFonts w:ascii="Times New Roman" w:eastAsia="Arial Unicode MS" w:hAnsi="Arial Unicode MS" w:cs="Arial Unicode MS"/>
      <w:color w:val="000000"/>
      <w:u w:color="000000"/>
      <w:bdr w:val="nil"/>
      <w:lang w:val="en-GB" w:eastAsia="en-GB"/>
    </w:rPr>
  </w:style>
  <w:style w:type="character" w:customStyle="1" w:styleId="normaltextrun">
    <w:name w:val="normaltextrun"/>
    <w:basedOn w:val="DefaultParagraphFont"/>
    <w:rsid w:val="00C041DD"/>
  </w:style>
  <w:style w:type="character" w:customStyle="1" w:styleId="eop">
    <w:name w:val="eop"/>
    <w:basedOn w:val="DefaultParagraphFont"/>
    <w:rsid w:val="00C041DD"/>
  </w:style>
  <w:style w:type="character" w:customStyle="1" w:styleId="ListParagraphChar">
    <w:name w:val="List Paragraph Char"/>
    <w:aliases w:val="List 1 Char,Lettre d'introduction Char,Paragrafo elenco Char,List Paragraph1 Char,1st level - Bullet List Paragraph Char,Dot pt Char,F5 List Paragraph Char,List Paragraph 1 Char,Level 5 Char,Numbered list Char,Level 3 Char,3 Char"/>
    <w:basedOn w:val="DefaultParagraphFont"/>
    <w:link w:val="ListParagraph"/>
    <w:uiPriority w:val="34"/>
    <w:qFormat/>
    <w:locked/>
    <w:rsid w:val="00F26C0F"/>
    <w:rPr>
      <w:sz w:val="22"/>
      <w:lang w:val="en-GB"/>
    </w:rPr>
  </w:style>
  <w:style w:type="paragraph" w:customStyle="1" w:styleId="paragraph">
    <w:name w:val="paragraph"/>
    <w:basedOn w:val="Normal"/>
    <w:rsid w:val="00F26C0F"/>
    <w:pPr>
      <w:spacing w:before="100" w:beforeAutospacing="1" w:after="100" w:afterAutospacing="1"/>
    </w:pPr>
    <w:rPr>
      <w:rFonts w:ascii="Times New Roman" w:eastAsiaTheme="minorHAnsi" w:hAnsi="Times New Roman" w:cs="Times New Roman"/>
      <w:sz w:val="24"/>
      <w:lang w:eastAsia="en-GB"/>
    </w:rPr>
  </w:style>
  <w:style w:type="character" w:customStyle="1" w:styleId="bodyChar">
    <w:name w:val="body Char"/>
    <w:basedOn w:val="DefaultParagraphFont"/>
    <w:link w:val="body"/>
    <w:locked/>
    <w:rsid w:val="00F26C0F"/>
    <w:rPr>
      <w:sz w:val="22"/>
    </w:rPr>
  </w:style>
  <w:style w:type="character" w:customStyle="1" w:styleId="UnresolvedMention">
    <w:name w:val="Unresolved Mention"/>
    <w:basedOn w:val="DefaultParagraphFont"/>
    <w:uiPriority w:val="99"/>
    <w:semiHidden/>
    <w:unhideWhenUsed/>
    <w:rsid w:val="00C47C90"/>
    <w:rPr>
      <w:color w:val="605E5C"/>
      <w:shd w:val="clear" w:color="auto" w:fill="E1DFDD"/>
    </w:rPr>
  </w:style>
  <w:style w:type="character" w:customStyle="1" w:styleId="contentauthor--name">
    <w:name w:val="content__author--name"/>
    <w:basedOn w:val="DefaultParagraphFont"/>
    <w:rsid w:val="004C361C"/>
  </w:style>
  <w:style w:type="character" w:customStyle="1" w:styleId="contentauthor--date">
    <w:name w:val="content__author--date"/>
    <w:basedOn w:val="DefaultParagraphFont"/>
    <w:rsid w:val="004C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0794">
      <w:bodyDiv w:val="1"/>
      <w:marLeft w:val="0"/>
      <w:marRight w:val="0"/>
      <w:marTop w:val="0"/>
      <w:marBottom w:val="0"/>
      <w:divBdr>
        <w:top w:val="none" w:sz="0" w:space="0" w:color="auto"/>
        <w:left w:val="none" w:sz="0" w:space="0" w:color="auto"/>
        <w:bottom w:val="none" w:sz="0" w:space="0" w:color="auto"/>
        <w:right w:val="none" w:sz="0" w:space="0" w:color="auto"/>
      </w:divBdr>
      <w:divsChild>
        <w:div w:id="346948808">
          <w:marLeft w:val="0"/>
          <w:marRight w:val="0"/>
          <w:marTop w:val="0"/>
          <w:marBottom w:val="0"/>
          <w:divBdr>
            <w:top w:val="none" w:sz="0" w:space="0" w:color="auto"/>
            <w:left w:val="none" w:sz="0" w:space="0" w:color="auto"/>
            <w:bottom w:val="none" w:sz="0" w:space="0" w:color="auto"/>
            <w:right w:val="none" w:sz="0" w:space="0" w:color="auto"/>
          </w:divBdr>
          <w:divsChild>
            <w:div w:id="763653141">
              <w:marLeft w:val="0"/>
              <w:marRight w:val="0"/>
              <w:marTop w:val="0"/>
              <w:marBottom w:val="0"/>
              <w:divBdr>
                <w:top w:val="none" w:sz="0" w:space="0" w:color="auto"/>
                <w:left w:val="none" w:sz="0" w:space="0" w:color="auto"/>
                <w:bottom w:val="none" w:sz="0" w:space="0" w:color="auto"/>
                <w:right w:val="none" w:sz="0" w:space="0" w:color="auto"/>
              </w:divBdr>
              <w:divsChild>
                <w:div w:id="1522861324">
                  <w:marLeft w:val="0"/>
                  <w:marRight w:val="0"/>
                  <w:marTop w:val="0"/>
                  <w:marBottom w:val="0"/>
                  <w:divBdr>
                    <w:top w:val="none" w:sz="0" w:space="0" w:color="auto"/>
                    <w:left w:val="none" w:sz="0" w:space="0" w:color="auto"/>
                    <w:bottom w:val="none" w:sz="0" w:space="0" w:color="auto"/>
                    <w:right w:val="none" w:sz="0" w:space="0" w:color="auto"/>
                  </w:divBdr>
                  <w:divsChild>
                    <w:div w:id="1649745914">
                      <w:marLeft w:val="0"/>
                      <w:marRight w:val="0"/>
                      <w:marTop w:val="0"/>
                      <w:marBottom w:val="0"/>
                      <w:divBdr>
                        <w:top w:val="none" w:sz="0" w:space="0" w:color="auto"/>
                        <w:left w:val="none" w:sz="0" w:space="0" w:color="auto"/>
                        <w:bottom w:val="none" w:sz="0" w:space="0" w:color="auto"/>
                        <w:right w:val="none" w:sz="0" w:space="0" w:color="auto"/>
                      </w:divBdr>
                      <w:divsChild>
                        <w:div w:id="1591356345">
                          <w:marLeft w:val="0"/>
                          <w:marRight w:val="0"/>
                          <w:marTop w:val="0"/>
                          <w:marBottom w:val="0"/>
                          <w:divBdr>
                            <w:top w:val="none" w:sz="0" w:space="0" w:color="auto"/>
                            <w:left w:val="none" w:sz="0" w:space="0" w:color="auto"/>
                            <w:bottom w:val="none" w:sz="0" w:space="0" w:color="auto"/>
                            <w:right w:val="none" w:sz="0" w:space="0" w:color="auto"/>
                          </w:divBdr>
                          <w:divsChild>
                            <w:div w:id="255091671">
                              <w:marLeft w:val="0"/>
                              <w:marRight w:val="0"/>
                              <w:marTop w:val="0"/>
                              <w:marBottom w:val="0"/>
                              <w:divBdr>
                                <w:top w:val="none" w:sz="0" w:space="0" w:color="auto"/>
                                <w:left w:val="none" w:sz="0" w:space="0" w:color="auto"/>
                                <w:bottom w:val="none" w:sz="0" w:space="0" w:color="auto"/>
                                <w:right w:val="none" w:sz="0" w:space="0" w:color="auto"/>
                              </w:divBdr>
                              <w:divsChild>
                                <w:div w:id="2114547103">
                                  <w:marLeft w:val="0"/>
                                  <w:marRight w:val="0"/>
                                  <w:marTop w:val="0"/>
                                  <w:marBottom w:val="0"/>
                                  <w:divBdr>
                                    <w:top w:val="none" w:sz="0" w:space="0" w:color="auto"/>
                                    <w:left w:val="none" w:sz="0" w:space="0" w:color="auto"/>
                                    <w:bottom w:val="none" w:sz="0" w:space="0" w:color="auto"/>
                                    <w:right w:val="none" w:sz="0" w:space="0" w:color="auto"/>
                                  </w:divBdr>
                                  <w:divsChild>
                                    <w:div w:id="83039530">
                                      <w:marLeft w:val="0"/>
                                      <w:marRight w:val="0"/>
                                      <w:marTop w:val="0"/>
                                      <w:marBottom w:val="0"/>
                                      <w:divBdr>
                                        <w:top w:val="none" w:sz="0" w:space="0" w:color="auto"/>
                                        <w:left w:val="none" w:sz="0" w:space="0" w:color="auto"/>
                                        <w:bottom w:val="none" w:sz="0" w:space="0" w:color="auto"/>
                                        <w:right w:val="none" w:sz="0" w:space="0" w:color="auto"/>
                                      </w:divBdr>
                                      <w:divsChild>
                                        <w:div w:id="108474008">
                                          <w:marLeft w:val="0"/>
                                          <w:marRight w:val="15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 w:id="1884175728">
          <w:marLeft w:val="0"/>
          <w:marRight w:val="0"/>
          <w:marTop w:val="0"/>
          <w:marBottom w:val="0"/>
          <w:divBdr>
            <w:top w:val="none" w:sz="0" w:space="0" w:color="auto"/>
            <w:left w:val="none" w:sz="0" w:space="0" w:color="auto"/>
            <w:bottom w:val="none" w:sz="0" w:space="0" w:color="auto"/>
            <w:right w:val="none" w:sz="0" w:space="0" w:color="auto"/>
          </w:divBdr>
        </w:div>
      </w:divsChild>
    </w:div>
    <w:div w:id="31544876">
      <w:bodyDiv w:val="1"/>
      <w:marLeft w:val="0"/>
      <w:marRight w:val="0"/>
      <w:marTop w:val="0"/>
      <w:marBottom w:val="0"/>
      <w:divBdr>
        <w:top w:val="none" w:sz="0" w:space="0" w:color="auto"/>
        <w:left w:val="none" w:sz="0" w:space="0" w:color="auto"/>
        <w:bottom w:val="none" w:sz="0" w:space="0" w:color="auto"/>
        <w:right w:val="none" w:sz="0" w:space="0" w:color="auto"/>
      </w:divBdr>
    </w:div>
    <w:div w:id="50466439">
      <w:bodyDiv w:val="1"/>
      <w:marLeft w:val="0"/>
      <w:marRight w:val="0"/>
      <w:marTop w:val="0"/>
      <w:marBottom w:val="0"/>
      <w:divBdr>
        <w:top w:val="none" w:sz="0" w:space="0" w:color="auto"/>
        <w:left w:val="none" w:sz="0" w:space="0" w:color="auto"/>
        <w:bottom w:val="none" w:sz="0" w:space="0" w:color="auto"/>
        <w:right w:val="none" w:sz="0" w:space="0" w:color="auto"/>
      </w:divBdr>
    </w:div>
    <w:div w:id="67701226">
      <w:bodyDiv w:val="1"/>
      <w:marLeft w:val="0"/>
      <w:marRight w:val="0"/>
      <w:marTop w:val="0"/>
      <w:marBottom w:val="0"/>
      <w:divBdr>
        <w:top w:val="none" w:sz="0" w:space="0" w:color="auto"/>
        <w:left w:val="none" w:sz="0" w:space="0" w:color="auto"/>
        <w:bottom w:val="none" w:sz="0" w:space="0" w:color="auto"/>
        <w:right w:val="none" w:sz="0" w:space="0" w:color="auto"/>
      </w:divBdr>
      <w:divsChild>
        <w:div w:id="1256816356">
          <w:marLeft w:val="360"/>
          <w:marRight w:val="0"/>
          <w:marTop w:val="240"/>
          <w:marBottom w:val="0"/>
          <w:divBdr>
            <w:top w:val="none" w:sz="0" w:space="0" w:color="auto"/>
            <w:left w:val="none" w:sz="0" w:space="0" w:color="auto"/>
            <w:bottom w:val="none" w:sz="0" w:space="0" w:color="auto"/>
            <w:right w:val="none" w:sz="0" w:space="0" w:color="auto"/>
          </w:divBdr>
        </w:div>
        <w:div w:id="2064331828">
          <w:marLeft w:val="1138"/>
          <w:marRight w:val="0"/>
          <w:marTop w:val="100"/>
          <w:marBottom w:val="0"/>
          <w:divBdr>
            <w:top w:val="none" w:sz="0" w:space="0" w:color="auto"/>
            <w:left w:val="none" w:sz="0" w:space="0" w:color="auto"/>
            <w:bottom w:val="none" w:sz="0" w:space="0" w:color="auto"/>
            <w:right w:val="none" w:sz="0" w:space="0" w:color="auto"/>
          </w:divBdr>
        </w:div>
        <w:div w:id="217209759">
          <w:marLeft w:val="1138"/>
          <w:marRight w:val="0"/>
          <w:marTop w:val="100"/>
          <w:marBottom w:val="0"/>
          <w:divBdr>
            <w:top w:val="none" w:sz="0" w:space="0" w:color="auto"/>
            <w:left w:val="none" w:sz="0" w:space="0" w:color="auto"/>
            <w:bottom w:val="none" w:sz="0" w:space="0" w:color="auto"/>
            <w:right w:val="none" w:sz="0" w:space="0" w:color="auto"/>
          </w:divBdr>
        </w:div>
        <w:div w:id="2083797653">
          <w:marLeft w:val="1138"/>
          <w:marRight w:val="0"/>
          <w:marTop w:val="100"/>
          <w:marBottom w:val="0"/>
          <w:divBdr>
            <w:top w:val="none" w:sz="0" w:space="0" w:color="auto"/>
            <w:left w:val="none" w:sz="0" w:space="0" w:color="auto"/>
            <w:bottom w:val="none" w:sz="0" w:space="0" w:color="auto"/>
            <w:right w:val="none" w:sz="0" w:space="0" w:color="auto"/>
          </w:divBdr>
        </w:div>
      </w:divsChild>
    </w:div>
    <w:div w:id="107046521">
      <w:bodyDiv w:val="1"/>
      <w:marLeft w:val="0"/>
      <w:marRight w:val="0"/>
      <w:marTop w:val="0"/>
      <w:marBottom w:val="0"/>
      <w:divBdr>
        <w:top w:val="none" w:sz="0" w:space="0" w:color="auto"/>
        <w:left w:val="none" w:sz="0" w:space="0" w:color="auto"/>
        <w:bottom w:val="none" w:sz="0" w:space="0" w:color="auto"/>
        <w:right w:val="none" w:sz="0" w:space="0" w:color="auto"/>
      </w:divBdr>
    </w:div>
    <w:div w:id="130826087">
      <w:bodyDiv w:val="1"/>
      <w:marLeft w:val="0"/>
      <w:marRight w:val="0"/>
      <w:marTop w:val="0"/>
      <w:marBottom w:val="0"/>
      <w:divBdr>
        <w:top w:val="none" w:sz="0" w:space="0" w:color="auto"/>
        <w:left w:val="none" w:sz="0" w:space="0" w:color="auto"/>
        <w:bottom w:val="none" w:sz="0" w:space="0" w:color="auto"/>
        <w:right w:val="none" w:sz="0" w:space="0" w:color="auto"/>
      </w:divBdr>
    </w:div>
    <w:div w:id="165705177">
      <w:bodyDiv w:val="1"/>
      <w:marLeft w:val="0"/>
      <w:marRight w:val="0"/>
      <w:marTop w:val="0"/>
      <w:marBottom w:val="0"/>
      <w:divBdr>
        <w:top w:val="none" w:sz="0" w:space="0" w:color="auto"/>
        <w:left w:val="none" w:sz="0" w:space="0" w:color="auto"/>
        <w:bottom w:val="none" w:sz="0" w:space="0" w:color="auto"/>
        <w:right w:val="none" w:sz="0" w:space="0" w:color="auto"/>
      </w:divBdr>
    </w:div>
    <w:div w:id="175661591">
      <w:bodyDiv w:val="1"/>
      <w:marLeft w:val="0"/>
      <w:marRight w:val="0"/>
      <w:marTop w:val="0"/>
      <w:marBottom w:val="0"/>
      <w:divBdr>
        <w:top w:val="none" w:sz="0" w:space="0" w:color="auto"/>
        <w:left w:val="none" w:sz="0" w:space="0" w:color="auto"/>
        <w:bottom w:val="none" w:sz="0" w:space="0" w:color="auto"/>
        <w:right w:val="none" w:sz="0" w:space="0" w:color="auto"/>
      </w:divBdr>
    </w:div>
    <w:div w:id="176386158">
      <w:bodyDiv w:val="1"/>
      <w:marLeft w:val="0"/>
      <w:marRight w:val="0"/>
      <w:marTop w:val="0"/>
      <w:marBottom w:val="0"/>
      <w:divBdr>
        <w:top w:val="none" w:sz="0" w:space="0" w:color="auto"/>
        <w:left w:val="none" w:sz="0" w:space="0" w:color="auto"/>
        <w:bottom w:val="none" w:sz="0" w:space="0" w:color="auto"/>
        <w:right w:val="none" w:sz="0" w:space="0" w:color="auto"/>
      </w:divBdr>
    </w:div>
    <w:div w:id="206914920">
      <w:bodyDiv w:val="1"/>
      <w:marLeft w:val="0"/>
      <w:marRight w:val="0"/>
      <w:marTop w:val="0"/>
      <w:marBottom w:val="0"/>
      <w:divBdr>
        <w:top w:val="none" w:sz="0" w:space="0" w:color="auto"/>
        <w:left w:val="none" w:sz="0" w:space="0" w:color="auto"/>
        <w:bottom w:val="none" w:sz="0" w:space="0" w:color="auto"/>
        <w:right w:val="none" w:sz="0" w:space="0" w:color="auto"/>
      </w:divBdr>
    </w:div>
    <w:div w:id="233205572">
      <w:bodyDiv w:val="1"/>
      <w:marLeft w:val="0"/>
      <w:marRight w:val="0"/>
      <w:marTop w:val="0"/>
      <w:marBottom w:val="0"/>
      <w:divBdr>
        <w:top w:val="none" w:sz="0" w:space="0" w:color="auto"/>
        <w:left w:val="none" w:sz="0" w:space="0" w:color="auto"/>
        <w:bottom w:val="none" w:sz="0" w:space="0" w:color="auto"/>
        <w:right w:val="none" w:sz="0" w:space="0" w:color="auto"/>
      </w:divBdr>
      <w:divsChild>
        <w:div w:id="2018187509">
          <w:marLeft w:val="547"/>
          <w:marRight w:val="0"/>
          <w:marTop w:val="0"/>
          <w:marBottom w:val="0"/>
          <w:divBdr>
            <w:top w:val="none" w:sz="0" w:space="0" w:color="auto"/>
            <w:left w:val="none" w:sz="0" w:space="0" w:color="auto"/>
            <w:bottom w:val="none" w:sz="0" w:space="0" w:color="auto"/>
            <w:right w:val="none" w:sz="0" w:space="0" w:color="auto"/>
          </w:divBdr>
        </w:div>
      </w:divsChild>
    </w:div>
    <w:div w:id="354500695">
      <w:bodyDiv w:val="1"/>
      <w:marLeft w:val="0"/>
      <w:marRight w:val="0"/>
      <w:marTop w:val="0"/>
      <w:marBottom w:val="0"/>
      <w:divBdr>
        <w:top w:val="none" w:sz="0" w:space="0" w:color="auto"/>
        <w:left w:val="none" w:sz="0" w:space="0" w:color="auto"/>
        <w:bottom w:val="none" w:sz="0" w:space="0" w:color="auto"/>
        <w:right w:val="none" w:sz="0" w:space="0" w:color="auto"/>
      </w:divBdr>
      <w:divsChild>
        <w:div w:id="1280919377">
          <w:marLeft w:val="547"/>
          <w:marRight w:val="0"/>
          <w:marTop w:val="0"/>
          <w:marBottom w:val="0"/>
          <w:divBdr>
            <w:top w:val="none" w:sz="0" w:space="0" w:color="auto"/>
            <w:left w:val="none" w:sz="0" w:space="0" w:color="auto"/>
            <w:bottom w:val="none" w:sz="0" w:space="0" w:color="auto"/>
            <w:right w:val="none" w:sz="0" w:space="0" w:color="auto"/>
          </w:divBdr>
        </w:div>
      </w:divsChild>
    </w:div>
    <w:div w:id="406731039">
      <w:bodyDiv w:val="1"/>
      <w:marLeft w:val="0"/>
      <w:marRight w:val="0"/>
      <w:marTop w:val="0"/>
      <w:marBottom w:val="0"/>
      <w:divBdr>
        <w:top w:val="none" w:sz="0" w:space="0" w:color="auto"/>
        <w:left w:val="none" w:sz="0" w:space="0" w:color="auto"/>
        <w:bottom w:val="none" w:sz="0" w:space="0" w:color="auto"/>
        <w:right w:val="none" w:sz="0" w:space="0" w:color="auto"/>
      </w:divBdr>
    </w:div>
    <w:div w:id="454061225">
      <w:bodyDiv w:val="1"/>
      <w:marLeft w:val="0"/>
      <w:marRight w:val="0"/>
      <w:marTop w:val="0"/>
      <w:marBottom w:val="0"/>
      <w:divBdr>
        <w:top w:val="none" w:sz="0" w:space="0" w:color="auto"/>
        <w:left w:val="none" w:sz="0" w:space="0" w:color="auto"/>
        <w:bottom w:val="none" w:sz="0" w:space="0" w:color="auto"/>
        <w:right w:val="none" w:sz="0" w:space="0" w:color="auto"/>
      </w:divBdr>
    </w:div>
    <w:div w:id="468590041">
      <w:bodyDiv w:val="1"/>
      <w:marLeft w:val="0"/>
      <w:marRight w:val="0"/>
      <w:marTop w:val="0"/>
      <w:marBottom w:val="0"/>
      <w:divBdr>
        <w:top w:val="none" w:sz="0" w:space="0" w:color="auto"/>
        <w:left w:val="none" w:sz="0" w:space="0" w:color="auto"/>
        <w:bottom w:val="none" w:sz="0" w:space="0" w:color="auto"/>
        <w:right w:val="none" w:sz="0" w:space="0" w:color="auto"/>
      </w:divBdr>
    </w:div>
    <w:div w:id="475151522">
      <w:bodyDiv w:val="1"/>
      <w:marLeft w:val="0"/>
      <w:marRight w:val="0"/>
      <w:marTop w:val="0"/>
      <w:marBottom w:val="0"/>
      <w:divBdr>
        <w:top w:val="none" w:sz="0" w:space="0" w:color="auto"/>
        <w:left w:val="none" w:sz="0" w:space="0" w:color="auto"/>
        <w:bottom w:val="none" w:sz="0" w:space="0" w:color="auto"/>
        <w:right w:val="none" w:sz="0" w:space="0" w:color="auto"/>
      </w:divBdr>
    </w:div>
    <w:div w:id="489832425">
      <w:bodyDiv w:val="1"/>
      <w:marLeft w:val="0"/>
      <w:marRight w:val="0"/>
      <w:marTop w:val="0"/>
      <w:marBottom w:val="0"/>
      <w:divBdr>
        <w:top w:val="none" w:sz="0" w:space="0" w:color="auto"/>
        <w:left w:val="none" w:sz="0" w:space="0" w:color="auto"/>
        <w:bottom w:val="none" w:sz="0" w:space="0" w:color="auto"/>
        <w:right w:val="none" w:sz="0" w:space="0" w:color="auto"/>
      </w:divBdr>
      <w:divsChild>
        <w:div w:id="18940001">
          <w:marLeft w:val="274"/>
          <w:marRight w:val="0"/>
          <w:marTop w:val="0"/>
          <w:marBottom w:val="0"/>
          <w:divBdr>
            <w:top w:val="none" w:sz="0" w:space="0" w:color="auto"/>
            <w:left w:val="none" w:sz="0" w:space="0" w:color="auto"/>
            <w:bottom w:val="none" w:sz="0" w:space="0" w:color="auto"/>
            <w:right w:val="none" w:sz="0" w:space="0" w:color="auto"/>
          </w:divBdr>
        </w:div>
        <w:div w:id="1760367284">
          <w:marLeft w:val="274"/>
          <w:marRight w:val="0"/>
          <w:marTop w:val="0"/>
          <w:marBottom w:val="0"/>
          <w:divBdr>
            <w:top w:val="none" w:sz="0" w:space="0" w:color="auto"/>
            <w:left w:val="none" w:sz="0" w:space="0" w:color="auto"/>
            <w:bottom w:val="none" w:sz="0" w:space="0" w:color="auto"/>
            <w:right w:val="none" w:sz="0" w:space="0" w:color="auto"/>
          </w:divBdr>
        </w:div>
        <w:div w:id="1650941607">
          <w:marLeft w:val="274"/>
          <w:marRight w:val="0"/>
          <w:marTop w:val="0"/>
          <w:marBottom w:val="0"/>
          <w:divBdr>
            <w:top w:val="none" w:sz="0" w:space="0" w:color="auto"/>
            <w:left w:val="none" w:sz="0" w:space="0" w:color="auto"/>
            <w:bottom w:val="none" w:sz="0" w:space="0" w:color="auto"/>
            <w:right w:val="none" w:sz="0" w:space="0" w:color="auto"/>
          </w:divBdr>
        </w:div>
        <w:div w:id="855925434">
          <w:marLeft w:val="274"/>
          <w:marRight w:val="0"/>
          <w:marTop w:val="0"/>
          <w:marBottom w:val="0"/>
          <w:divBdr>
            <w:top w:val="none" w:sz="0" w:space="0" w:color="auto"/>
            <w:left w:val="none" w:sz="0" w:space="0" w:color="auto"/>
            <w:bottom w:val="none" w:sz="0" w:space="0" w:color="auto"/>
            <w:right w:val="none" w:sz="0" w:space="0" w:color="auto"/>
          </w:divBdr>
        </w:div>
        <w:div w:id="2061174967">
          <w:marLeft w:val="274"/>
          <w:marRight w:val="0"/>
          <w:marTop w:val="0"/>
          <w:marBottom w:val="0"/>
          <w:divBdr>
            <w:top w:val="none" w:sz="0" w:space="0" w:color="auto"/>
            <w:left w:val="none" w:sz="0" w:space="0" w:color="auto"/>
            <w:bottom w:val="none" w:sz="0" w:space="0" w:color="auto"/>
            <w:right w:val="none" w:sz="0" w:space="0" w:color="auto"/>
          </w:divBdr>
        </w:div>
        <w:div w:id="1439372397">
          <w:marLeft w:val="274"/>
          <w:marRight w:val="0"/>
          <w:marTop w:val="0"/>
          <w:marBottom w:val="0"/>
          <w:divBdr>
            <w:top w:val="none" w:sz="0" w:space="0" w:color="auto"/>
            <w:left w:val="none" w:sz="0" w:space="0" w:color="auto"/>
            <w:bottom w:val="none" w:sz="0" w:space="0" w:color="auto"/>
            <w:right w:val="none" w:sz="0" w:space="0" w:color="auto"/>
          </w:divBdr>
        </w:div>
        <w:div w:id="187334008">
          <w:marLeft w:val="274"/>
          <w:marRight w:val="0"/>
          <w:marTop w:val="0"/>
          <w:marBottom w:val="0"/>
          <w:divBdr>
            <w:top w:val="none" w:sz="0" w:space="0" w:color="auto"/>
            <w:left w:val="none" w:sz="0" w:space="0" w:color="auto"/>
            <w:bottom w:val="none" w:sz="0" w:space="0" w:color="auto"/>
            <w:right w:val="none" w:sz="0" w:space="0" w:color="auto"/>
          </w:divBdr>
        </w:div>
        <w:div w:id="943457998">
          <w:marLeft w:val="274"/>
          <w:marRight w:val="0"/>
          <w:marTop w:val="0"/>
          <w:marBottom w:val="0"/>
          <w:divBdr>
            <w:top w:val="none" w:sz="0" w:space="0" w:color="auto"/>
            <w:left w:val="none" w:sz="0" w:space="0" w:color="auto"/>
            <w:bottom w:val="none" w:sz="0" w:space="0" w:color="auto"/>
            <w:right w:val="none" w:sz="0" w:space="0" w:color="auto"/>
          </w:divBdr>
        </w:div>
      </w:divsChild>
    </w:div>
    <w:div w:id="541334053">
      <w:bodyDiv w:val="1"/>
      <w:marLeft w:val="0"/>
      <w:marRight w:val="0"/>
      <w:marTop w:val="0"/>
      <w:marBottom w:val="0"/>
      <w:divBdr>
        <w:top w:val="none" w:sz="0" w:space="0" w:color="auto"/>
        <w:left w:val="none" w:sz="0" w:space="0" w:color="auto"/>
        <w:bottom w:val="none" w:sz="0" w:space="0" w:color="auto"/>
        <w:right w:val="none" w:sz="0" w:space="0" w:color="auto"/>
      </w:divBdr>
    </w:div>
    <w:div w:id="610287107">
      <w:bodyDiv w:val="1"/>
      <w:marLeft w:val="0"/>
      <w:marRight w:val="0"/>
      <w:marTop w:val="0"/>
      <w:marBottom w:val="0"/>
      <w:divBdr>
        <w:top w:val="none" w:sz="0" w:space="0" w:color="auto"/>
        <w:left w:val="none" w:sz="0" w:space="0" w:color="auto"/>
        <w:bottom w:val="none" w:sz="0" w:space="0" w:color="auto"/>
        <w:right w:val="none" w:sz="0" w:space="0" w:color="auto"/>
      </w:divBdr>
    </w:div>
    <w:div w:id="664673177">
      <w:bodyDiv w:val="1"/>
      <w:marLeft w:val="0"/>
      <w:marRight w:val="0"/>
      <w:marTop w:val="0"/>
      <w:marBottom w:val="0"/>
      <w:divBdr>
        <w:top w:val="none" w:sz="0" w:space="0" w:color="auto"/>
        <w:left w:val="none" w:sz="0" w:space="0" w:color="auto"/>
        <w:bottom w:val="none" w:sz="0" w:space="0" w:color="auto"/>
        <w:right w:val="none" w:sz="0" w:space="0" w:color="auto"/>
      </w:divBdr>
    </w:div>
    <w:div w:id="903300979">
      <w:bodyDiv w:val="1"/>
      <w:marLeft w:val="0"/>
      <w:marRight w:val="0"/>
      <w:marTop w:val="0"/>
      <w:marBottom w:val="0"/>
      <w:divBdr>
        <w:top w:val="none" w:sz="0" w:space="0" w:color="auto"/>
        <w:left w:val="none" w:sz="0" w:space="0" w:color="auto"/>
        <w:bottom w:val="none" w:sz="0" w:space="0" w:color="auto"/>
        <w:right w:val="none" w:sz="0" w:space="0" w:color="auto"/>
      </w:divBdr>
      <w:divsChild>
        <w:div w:id="2101901492">
          <w:marLeft w:val="547"/>
          <w:marRight w:val="0"/>
          <w:marTop w:val="0"/>
          <w:marBottom w:val="0"/>
          <w:divBdr>
            <w:top w:val="none" w:sz="0" w:space="0" w:color="auto"/>
            <w:left w:val="none" w:sz="0" w:space="0" w:color="auto"/>
            <w:bottom w:val="none" w:sz="0" w:space="0" w:color="auto"/>
            <w:right w:val="none" w:sz="0" w:space="0" w:color="auto"/>
          </w:divBdr>
        </w:div>
      </w:divsChild>
    </w:div>
    <w:div w:id="982388603">
      <w:bodyDiv w:val="1"/>
      <w:marLeft w:val="0"/>
      <w:marRight w:val="0"/>
      <w:marTop w:val="0"/>
      <w:marBottom w:val="0"/>
      <w:divBdr>
        <w:top w:val="none" w:sz="0" w:space="0" w:color="auto"/>
        <w:left w:val="none" w:sz="0" w:space="0" w:color="auto"/>
        <w:bottom w:val="none" w:sz="0" w:space="0" w:color="auto"/>
        <w:right w:val="none" w:sz="0" w:space="0" w:color="auto"/>
      </w:divBdr>
    </w:div>
    <w:div w:id="997614212">
      <w:bodyDiv w:val="1"/>
      <w:marLeft w:val="0"/>
      <w:marRight w:val="0"/>
      <w:marTop w:val="0"/>
      <w:marBottom w:val="0"/>
      <w:divBdr>
        <w:top w:val="none" w:sz="0" w:space="0" w:color="auto"/>
        <w:left w:val="none" w:sz="0" w:space="0" w:color="auto"/>
        <w:bottom w:val="none" w:sz="0" w:space="0" w:color="auto"/>
        <w:right w:val="none" w:sz="0" w:space="0" w:color="auto"/>
      </w:divBdr>
    </w:div>
    <w:div w:id="1014843325">
      <w:bodyDiv w:val="1"/>
      <w:marLeft w:val="0"/>
      <w:marRight w:val="0"/>
      <w:marTop w:val="0"/>
      <w:marBottom w:val="0"/>
      <w:divBdr>
        <w:top w:val="none" w:sz="0" w:space="0" w:color="auto"/>
        <w:left w:val="none" w:sz="0" w:space="0" w:color="auto"/>
        <w:bottom w:val="none" w:sz="0" w:space="0" w:color="auto"/>
        <w:right w:val="none" w:sz="0" w:space="0" w:color="auto"/>
      </w:divBdr>
    </w:div>
    <w:div w:id="1019239409">
      <w:bodyDiv w:val="1"/>
      <w:marLeft w:val="0"/>
      <w:marRight w:val="0"/>
      <w:marTop w:val="0"/>
      <w:marBottom w:val="0"/>
      <w:divBdr>
        <w:top w:val="none" w:sz="0" w:space="0" w:color="auto"/>
        <w:left w:val="none" w:sz="0" w:space="0" w:color="auto"/>
        <w:bottom w:val="none" w:sz="0" w:space="0" w:color="auto"/>
        <w:right w:val="none" w:sz="0" w:space="0" w:color="auto"/>
      </w:divBdr>
    </w:div>
    <w:div w:id="1034844202">
      <w:bodyDiv w:val="1"/>
      <w:marLeft w:val="0"/>
      <w:marRight w:val="0"/>
      <w:marTop w:val="0"/>
      <w:marBottom w:val="0"/>
      <w:divBdr>
        <w:top w:val="none" w:sz="0" w:space="0" w:color="auto"/>
        <w:left w:val="none" w:sz="0" w:space="0" w:color="auto"/>
        <w:bottom w:val="none" w:sz="0" w:space="0" w:color="auto"/>
        <w:right w:val="none" w:sz="0" w:space="0" w:color="auto"/>
      </w:divBdr>
    </w:div>
    <w:div w:id="1090346589">
      <w:bodyDiv w:val="1"/>
      <w:marLeft w:val="0"/>
      <w:marRight w:val="0"/>
      <w:marTop w:val="0"/>
      <w:marBottom w:val="0"/>
      <w:divBdr>
        <w:top w:val="none" w:sz="0" w:space="0" w:color="auto"/>
        <w:left w:val="none" w:sz="0" w:space="0" w:color="auto"/>
        <w:bottom w:val="none" w:sz="0" w:space="0" w:color="auto"/>
        <w:right w:val="none" w:sz="0" w:space="0" w:color="auto"/>
      </w:divBdr>
    </w:div>
    <w:div w:id="110823385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79277048">
      <w:bodyDiv w:val="1"/>
      <w:marLeft w:val="0"/>
      <w:marRight w:val="0"/>
      <w:marTop w:val="0"/>
      <w:marBottom w:val="0"/>
      <w:divBdr>
        <w:top w:val="none" w:sz="0" w:space="0" w:color="auto"/>
        <w:left w:val="none" w:sz="0" w:space="0" w:color="auto"/>
        <w:bottom w:val="none" w:sz="0" w:space="0" w:color="auto"/>
        <w:right w:val="none" w:sz="0" w:space="0" w:color="auto"/>
      </w:divBdr>
    </w:div>
    <w:div w:id="1196039237">
      <w:bodyDiv w:val="1"/>
      <w:marLeft w:val="0"/>
      <w:marRight w:val="0"/>
      <w:marTop w:val="0"/>
      <w:marBottom w:val="0"/>
      <w:divBdr>
        <w:top w:val="none" w:sz="0" w:space="0" w:color="auto"/>
        <w:left w:val="none" w:sz="0" w:space="0" w:color="auto"/>
        <w:bottom w:val="none" w:sz="0" w:space="0" w:color="auto"/>
        <w:right w:val="none" w:sz="0" w:space="0" w:color="auto"/>
      </w:divBdr>
    </w:div>
    <w:div w:id="1307590895">
      <w:bodyDiv w:val="1"/>
      <w:marLeft w:val="0"/>
      <w:marRight w:val="0"/>
      <w:marTop w:val="0"/>
      <w:marBottom w:val="0"/>
      <w:divBdr>
        <w:top w:val="none" w:sz="0" w:space="0" w:color="auto"/>
        <w:left w:val="none" w:sz="0" w:space="0" w:color="auto"/>
        <w:bottom w:val="none" w:sz="0" w:space="0" w:color="auto"/>
        <w:right w:val="none" w:sz="0" w:space="0" w:color="auto"/>
      </w:divBdr>
    </w:div>
    <w:div w:id="1488328593">
      <w:bodyDiv w:val="1"/>
      <w:marLeft w:val="0"/>
      <w:marRight w:val="0"/>
      <w:marTop w:val="0"/>
      <w:marBottom w:val="0"/>
      <w:divBdr>
        <w:top w:val="none" w:sz="0" w:space="0" w:color="auto"/>
        <w:left w:val="none" w:sz="0" w:space="0" w:color="auto"/>
        <w:bottom w:val="none" w:sz="0" w:space="0" w:color="auto"/>
        <w:right w:val="none" w:sz="0" w:space="0" w:color="auto"/>
      </w:divBdr>
    </w:div>
    <w:div w:id="1510870859">
      <w:bodyDiv w:val="1"/>
      <w:marLeft w:val="0"/>
      <w:marRight w:val="0"/>
      <w:marTop w:val="0"/>
      <w:marBottom w:val="0"/>
      <w:divBdr>
        <w:top w:val="none" w:sz="0" w:space="0" w:color="auto"/>
        <w:left w:val="none" w:sz="0" w:space="0" w:color="auto"/>
        <w:bottom w:val="none" w:sz="0" w:space="0" w:color="auto"/>
        <w:right w:val="none" w:sz="0" w:space="0" w:color="auto"/>
      </w:divBdr>
    </w:div>
    <w:div w:id="1617517063">
      <w:bodyDiv w:val="1"/>
      <w:marLeft w:val="0"/>
      <w:marRight w:val="0"/>
      <w:marTop w:val="0"/>
      <w:marBottom w:val="0"/>
      <w:divBdr>
        <w:top w:val="none" w:sz="0" w:space="0" w:color="auto"/>
        <w:left w:val="none" w:sz="0" w:space="0" w:color="auto"/>
        <w:bottom w:val="none" w:sz="0" w:space="0" w:color="auto"/>
        <w:right w:val="none" w:sz="0" w:space="0" w:color="auto"/>
      </w:divBdr>
    </w:div>
    <w:div w:id="1637907879">
      <w:bodyDiv w:val="1"/>
      <w:marLeft w:val="0"/>
      <w:marRight w:val="0"/>
      <w:marTop w:val="0"/>
      <w:marBottom w:val="0"/>
      <w:divBdr>
        <w:top w:val="none" w:sz="0" w:space="0" w:color="auto"/>
        <w:left w:val="none" w:sz="0" w:space="0" w:color="auto"/>
        <w:bottom w:val="none" w:sz="0" w:space="0" w:color="auto"/>
        <w:right w:val="none" w:sz="0" w:space="0" w:color="auto"/>
      </w:divBdr>
    </w:div>
    <w:div w:id="1703045665">
      <w:bodyDiv w:val="1"/>
      <w:marLeft w:val="0"/>
      <w:marRight w:val="0"/>
      <w:marTop w:val="0"/>
      <w:marBottom w:val="0"/>
      <w:divBdr>
        <w:top w:val="none" w:sz="0" w:space="0" w:color="auto"/>
        <w:left w:val="none" w:sz="0" w:space="0" w:color="auto"/>
        <w:bottom w:val="none" w:sz="0" w:space="0" w:color="auto"/>
        <w:right w:val="none" w:sz="0" w:space="0" w:color="auto"/>
      </w:divBdr>
    </w:div>
    <w:div w:id="1865049913">
      <w:bodyDiv w:val="1"/>
      <w:marLeft w:val="0"/>
      <w:marRight w:val="0"/>
      <w:marTop w:val="0"/>
      <w:marBottom w:val="0"/>
      <w:divBdr>
        <w:top w:val="none" w:sz="0" w:space="0" w:color="auto"/>
        <w:left w:val="none" w:sz="0" w:space="0" w:color="auto"/>
        <w:bottom w:val="none" w:sz="0" w:space="0" w:color="auto"/>
        <w:right w:val="none" w:sz="0" w:space="0" w:color="auto"/>
      </w:divBdr>
    </w:div>
    <w:div w:id="2042242584">
      <w:bodyDiv w:val="1"/>
      <w:marLeft w:val="0"/>
      <w:marRight w:val="0"/>
      <w:marTop w:val="0"/>
      <w:marBottom w:val="0"/>
      <w:divBdr>
        <w:top w:val="none" w:sz="0" w:space="0" w:color="auto"/>
        <w:left w:val="none" w:sz="0" w:space="0" w:color="auto"/>
        <w:bottom w:val="none" w:sz="0" w:space="0" w:color="auto"/>
        <w:right w:val="none" w:sz="0" w:space="0" w:color="auto"/>
      </w:divBdr>
    </w:div>
    <w:div w:id="2054963089">
      <w:bodyDiv w:val="1"/>
      <w:marLeft w:val="0"/>
      <w:marRight w:val="0"/>
      <w:marTop w:val="0"/>
      <w:marBottom w:val="0"/>
      <w:divBdr>
        <w:top w:val="none" w:sz="0" w:space="0" w:color="auto"/>
        <w:left w:val="none" w:sz="0" w:space="0" w:color="auto"/>
        <w:bottom w:val="none" w:sz="0" w:space="0" w:color="auto"/>
        <w:right w:val="none" w:sz="0" w:space="0" w:color="auto"/>
      </w:divBdr>
    </w:div>
    <w:div w:id="213490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financial-innovation-and-fintech/fintech-knowledge-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301C-244A-4250-8A5C-9175AE9E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Nimal Muriel</cp:lastModifiedBy>
  <cp:revision>2</cp:revision>
  <cp:lastPrinted>2022-03-08T14:07:00Z</cp:lastPrinted>
  <dcterms:created xsi:type="dcterms:W3CDTF">2022-06-03T14:54:00Z</dcterms:created>
  <dcterms:modified xsi:type="dcterms:W3CDTF">2022-06-03T14:54:00Z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7eb9de-735b-4a68-8fe4-c9c62709b012_Enabled">
    <vt:lpwstr>true</vt:lpwstr>
  </property>
  <property fmtid="{D5CDD505-2E9C-101B-9397-08002B2CF9AE}" pid="3" name="MSIP_Label_5c7eb9de-735b-4a68-8fe4-c9c62709b012_SetDate">
    <vt:lpwstr>2022-02-08T11:36:29Z</vt:lpwstr>
  </property>
  <property fmtid="{D5CDD505-2E9C-101B-9397-08002B2CF9AE}" pid="4" name="MSIP_Label_5c7eb9de-735b-4a68-8fe4-c9c62709b012_Method">
    <vt:lpwstr>Privileged</vt:lpwstr>
  </property>
  <property fmtid="{D5CDD505-2E9C-101B-9397-08002B2CF9AE}" pid="5" name="MSIP_Label_5c7eb9de-735b-4a68-8fe4-c9c62709b012_Name">
    <vt:lpwstr>EBA Regular Use</vt:lpwstr>
  </property>
  <property fmtid="{D5CDD505-2E9C-101B-9397-08002B2CF9AE}" pid="6" name="MSIP_Label_5c7eb9de-735b-4a68-8fe4-c9c62709b012_SiteId">
    <vt:lpwstr>3bacb4ff-f1a2-4c92-b96c-e99fec826b68</vt:lpwstr>
  </property>
  <property fmtid="{D5CDD505-2E9C-101B-9397-08002B2CF9AE}" pid="7" name="MSIP_Label_5c7eb9de-735b-4a68-8fe4-c9c62709b012_ActionId">
    <vt:lpwstr>b8bb6ec5-054f-4c53-8d85-b649e022fab7</vt:lpwstr>
  </property>
  <property fmtid="{D5CDD505-2E9C-101B-9397-08002B2CF9AE}" pid="8" name="MSIP_Label_5c7eb9de-735b-4a68-8fe4-c9c62709b012_ContentBits">
    <vt:lpwstr>1</vt:lpwstr>
  </property>
</Properties>
</file>