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477AF75" w14:textId="5BB1355B" w:rsidR="00C848E9" w:rsidRDefault="002F37AB">
      <w:pPr>
        <w:pStyle w:val="Title"/>
        <w:jc w:val="center"/>
        <w:rPr>
          <w:color w:val="4A86E8"/>
        </w:rPr>
      </w:pPr>
      <w:bookmarkStart w:id="0" w:name="_ro1qw9x4bsfk" w:colFirst="0" w:colLast="0"/>
      <w:bookmarkEnd w:id="0"/>
      <w:r>
        <w:rPr>
          <w:color w:val="4A86E8"/>
        </w:rPr>
        <w:t xml:space="preserve">DRAFT </w:t>
      </w:r>
      <w:r w:rsidR="00BF7D90">
        <w:rPr>
          <w:color w:val="4A86E8"/>
        </w:rPr>
        <w:t>WORKPLAN</w:t>
      </w:r>
      <w:bookmarkStart w:id="1" w:name="_GoBack"/>
      <w:bookmarkEnd w:id="1"/>
    </w:p>
    <w:p w14:paraId="5E92F6C4" w14:textId="77777777" w:rsidR="00C848E9" w:rsidRDefault="002F37AB">
      <w:pPr>
        <w:pStyle w:val="Heading1"/>
        <w:jc w:val="center"/>
        <w:rPr>
          <w:color w:val="4A86E8"/>
        </w:rPr>
      </w:pPr>
      <w:bookmarkStart w:id="2" w:name="_yiqvohrbzc80" w:colFirst="0" w:colLast="0"/>
      <w:bookmarkEnd w:id="2"/>
      <w:r>
        <w:rPr>
          <w:color w:val="4A86E8"/>
        </w:rPr>
        <w:t xml:space="preserve">Joint CARIFORUM-EU Consultative Committee </w:t>
      </w:r>
    </w:p>
    <w:p w14:paraId="4711A02F" w14:textId="77777777" w:rsidR="00C848E9" w:rsidRDefault="00C848E9">
      <w:pPr>
        <w:pStyle w:val="Normal1"/>
        <w:rPr>
          <w:b/>
        </w:rPr>
      </w:pPr>
    </w:p>
    <w:p w14:paraId="0A3B02E5" w14:textId="77777777" w:rsidR="00C848E9" w:rsidRDefault="00C848E9">
      <w:pPr>
        <w:pStyle w:val="Normal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9DAF8"/>
        <w:rPr>
          <w:b/>
        </w:rPr>
      </w:pPr>
    </w:p>
    <w:p w14:paraId="14EABA2D" w14:textId="77777777" w:rsidR="00C848E9" w:rsidRDefault="002F37AB">
      <w:pPr>
        <w:pStyle w:val="Normal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9DAF8"/>
        <w:rPr>
          <w:b/>
        </w:rPr>
      </w:pPr>
      <w:r>
        <w:rPr>
          <w:b/>
        </w:rPr>
        <w:t xml:space="preserve">EPA implementation (particularly Trade &amp; Sustainable Development dimension) is the framework for the JCC’s work  </w:t>
      </w:r>
    </w:p>
    <w:p w14:paraId="0BF4FF8E" w14:textId="77777777" w:rsidR="00C848E9" w:rsidRDefault="00C848E9">
      <w:pPr>
        <w:pStyle w:val="Normal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9DAF8"/>
        <w:rPr>
          <w:b/>
        </w:rPr>
      </w:pPr>
    </w:p>
    <w:p w14:paraId="50FCAEB2" w14:textId="77777777" w:rsidR="00C848E9" w:rsidRDefault="002F37AB">
      <w:pPr>
        <w:pStyle w:val="Normal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9DAF8"/>
        <w:rPr>
          <w:b/>
        </w:rPr>
      </w:pPr>
      <w:r>
        <w:rPr>
          <w:b/>
        </w:rPr>
        <w:t xml:space="preserve">The joint consultative committee (JCC) has developed a workplan which identifies issues and concrete actions, that will feed, inform and make recommendations the Trade &amp; Development Committee &amp; Joint Council </w:t>
      </w:r>
    </w:p>
    <w:p w14:paraId="08C6C0C7" w14:textId="77777777" w:rsidR="00C848E9" w:rsidRDefault="00C848E9">
      <w:pPr>
        <w:pStyle w:val="Normal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9DAF8"/>
        <w:rPr>
          <w:b/>
        </w:rPr>
      </w:pPr>
    </w:p>
    <w:p w14:paraId="29F65EEE" w14:textId="45272226" w:rsidR="00C848E9" w:rsidRDefault="002F37AB" w:rsidP="00BF0358">
      <w:pPr>
        <w:pStyle w:val="Normal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9DAF8"/>
        <w:rPr>
          <w:b/>
        </w:rPr>
      </w:pPr>
      <w:r w:rsidRPr="00521BCC">
        <w:rPr>
          <w:b/>
        </w:rPr>
        <w:t xml:space="preserve">The JCC will ensure it links to existing initiatives &amp; avoids duplication, in order to add value to </w:t>
      </w:r>
      <w:r w:rsidR="00BF0358" w:rsidRPr="00521BCC">
        <w:rPr>
          <w:b/>
        </w:rPr>
        <w:t>the EPA implementation process.</w:t>
      </w:r>
      <w:r w:rsidR="00BF0358">
        <w:rPr>
          <w:b/>
        </w:rPr>
        <w:t xml:space="preserve"> </w:t>
      </w:r>
      <w:r>
        <w:rPr>
          <w:b/>
        </w:rPr>
        <w:t xml:space="preserve"> </w:t>
      </w:r>
    </w:p>
    <w:p w14:paraId="6BA48DAD" w14:textId="77777777" w:rsidR="00C848E9" w:rsidRDefault="002F37AB">
      <w:pPr>
        <w:pStyle w:val="Normal1"/>
        <w:rPr>
          <w:b/>
        </w:rPr>
      </w:pPr>
      <w:r>
        <w:rPr>
          <w:b/>
        </w:rPr>
        <w:t xml:space="preserve">  </w:t>
      </w:r>
    </w:p>
    <w:p w14:paraId="22DC0F0D" w14:textId="77777777" w:rsidR="00C848E9" w:rsidRDefault="00C848E9">
      <w:pPr>
        <w:pStyle w:val="Normal1"/>
      </w:pPr>
    </w:p>
    <w:p w14:paraId="6F3A1A18" w14:textId="77777777" w:rsidR="00C848E9" w:rsidRDefault="002F37AB">
      <w:pPr>
        <w:pStyle w:val="Normal1"/>
      </w:pPr>
      <w:r w:rsidRPr="00BF0358">
        <w:rPr>
          <w:b/>
        </w:rPr>
        <w:t>Focus energy on where JCC has most LEVERAGE and the LOW HANGING FRUIT</w:t>
      </w:r>
    </w:p>
    <w:p w14:paraId="230809A6" w14:textId="7C4D60C1" w:rsidR="00BF0358" w:rsidRDefault="00BF0358">
      <w:pPr>
        <w:rPr>
          <w:b/>
        </w:rPr>
      </w:pPr>
    </w:p>
    <w:p w14:paraId="40BF0C73" w14:textId="77777777" w:rsidR="00C848E9" w:rsidRDefault="00C848E9">
      <w:pPr>
        <w:pStyle w:val="Normal1"/>
        <w:rPr>
          <w:b/>
        </w:rPr>
      </w:pPr>
    </w:p>
    <w:p w14:paraId="0666F3C2" w14:textId="77777777" w:rsidR="00C848E9" w:rsidRDefault="00BF7D90">
      <w:pPr>
        <w:pStyle w:val="Normal1"/>
      </w:pPr>
      <w:r>
        <w:pict w14:anchorId="4C794CE3">
          <v:rect id="_x0000_i1025" style="width:0;height:1.5pt" o:hralign="center" o:hrstd="t" o:hr="t" fillcolor="#a0a0a0" stroked="f"/>
        </w:pict>
      </w:r>
    </w:p>
    <w:p w14:paraId="36A213C6" w14:textId="77777777" w:rsidR="00C848E9" w:rsidRDefault="002F37AB">
      <w:pPr>
        <w:pStyle w:val="Normal1"/>
      </w:pPr>
      <w:r>
        <w:rPr>
          <w:sz w:val="24"/>
          <w:szCs w:val="24"/>
        </w:rPr>
        <w:t>[1]</w:t>
      </w:r>
      <w:r>
        <w:t xml:space="preserve"> Adaptation and renewal of energy are dealt with in other fora</w:t>
      </w:r>
    </w:p>
    <w:p w14:paraId="02DD528C" w14:textId="77777777" w:rsidR="002F37AB" w:rsidRDefault="002F37AB">
      <w:pPr>
        <w:pStyle w:val="Normal1"/>
        <w:rPr>
          <w:b/>
        </w:rPr>
      </w:pPr>
    </w:p>
    <w:p w14:paraId="7FB48080" w14:textId="77777777" w:rsidR="002F37AB" w:rsidRDefault="002F37AB">
      <w:pPr>
        <w:pStyle w:val="Normal1"/>
        <w:rPr>
          <w:b/>
        </w:rPr>
      </w:pPr>
    </w:p>
    <w:p w14:paraId="4AB29ED2" w14:textId="77777777" w:rsidR="002F37AB" w:rsidRDefault="002F37AB">
      <w:pPr>
        <w:pStyle w:val="Normal1"/>
        <w:rPr>
          <w:b/>
        </w:rPr>
      </w:pPr>
    </w:p>
    <w:p w14:paraId="4183B37C" w14:textId="77777777" w:rsidR="002F37AB" w:rsidRDefault="002F37AB">
      <w:pPr>
        <w:pStyle w:val="Normal1"/>
        <w:rPr>
          <w:b/>
        </w:rPr>
      </w:pPr>
    </w:p>
    <w:p w14:paraId="748963AD" w14:textId="77777777" w:rsidR="002F37AB" w:rsidRDefault="002F37AB">
      <w:pPr>
        <w:pStyle w:val="Normal1"/>
        <w:rPr>
          <w:b/>
        </w:rPr>
      </w:pPr>
    </w:p>
    <w:p w14:paraId="55C1D690" w14:textId="77777777" w:rsidR="002F37AB" w:rsidRDefault="002F37AB">
      <w:pPr>
        <w:pStyle w:val="Normal1"/>
        <w:rPr>
          <w:b/>
        </w:rPr>
      </w:pPr>
    </w:p>
    <w:p w14:paraId="08512FC0" w14:textId="77777777" w:rsidR="002F37AB" w:rsidRDefault="002F37AB">
      <w:pPr>
        <w:pStyle w:val="Normal1"/>
        <w:rPr>
          <w:b/>
        </w:rPr>
      </w:pPr>
    </w:p>
    <w:p w14:paraId="2DA19FA2" w14:textId="77777777" w:rsidR="002F37AB" w:rsidRDefault="002F37AB">
      <w:pPr>
        <w:pStyle w:val="Normal1"/>
        <w:rPr>
          <w:b/>
        </w:rPr>
      </w:pPr>
    </w:p>
    <w:p w14:paraId="2C75DD40" w14:textId="77777777" w:rsidR="002F37AB" w:rsidRDefault="002F37AB">
      <w:pPr>
        <w:pStyle w:val="Normal1"/>
        <w:rPr>
          <w:b/>
        </w:rPr>
      </w:pPr>
    </w:p>
    <w:p w14:paraId="40B59A18" w14:textId="77777777" w:rsidR="00C848E9" w:rsidRDefault="002F37AB">
      <w:pPr>
        <w:pStyle w:val="Normal1"/>
        <w:rPr>
          <w:b/>
        </w:rPr>
      </w:pPr>
      <w:r>
        <w:rPr>
          <w:b/>
        </w:rPr>
        <w:lastRenderedPageBreak/>
        <w:t>WORKPLAN 2017-2018</w:t>
      </w:r>
    </w:p>
    <w:p w14:paraId="11E56D41" w14:textId="77777777" w:rsidR="00C848E9" w:rsidRDefault="002F37AB">
      <w:pPr>
        <w:pStyle w:val="Normal1"/>
      </w:pPr>
      <w:r>
        <w:t xml:space="preserve"> </w:t>
      </w:r>
    </w:p>
    <w:tbl>
      <w:tblPr>
        <w:tblStyle w:val="a"/>
        <w:tblW w:w="132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2595"/>
        <w:gridCol w:w="2505"/>
        <w:gridCol w:w="1980"/>
        <w:gridCol w:w="1615"/>
        <w:gridCol w:w="2015"/>
      </w:tblGrid>
      <w:tr w:rsidR="00C848E9" w14:paraId="7973D503" w14:textId="77777777" w:rsidTr="00BF0358">
        <w:trPr>
          <w:trHeight w:val="106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D049F" w14:textId="77777777" w:rsidR="00C848E9" w:rsidRDefault="002F37AB">
            <w:pPr>
              <w:pStyle w:val="Normal1"/>
              <w:rPr>
                <w:b/>
              </w:rPr>
            </w:pPr>
            <w:r>
              <w:rPr>
                <w:b/>
              </w:rPr>
              <w:t>Information</w:t>
            </w:r>
          </w:p>
          <w:p w14:paraId="07C70F79" w14:textId="77777777" w:rsidR="00C848E9" w:rsidRDefault="002F37AB">
            <w:pPr>
              <w:pStyle w:val="Normal1"/>
              <w:rPr>
                <w:b/>
              </w:rPr>
            </w:pPr>
            <w:r>
              <w:rPr>
                <w:b/>
              </w:rPr>
              <w:t>Sharing</w:t>
            </w:r>
          </w:p>
          <w:p w14:paraId="7AA941E9" w14:textId="77777777" w:rsidR="00C848E9" w:rsidRDefault="002F37AB">
            <w:pPr>
              <w:pStyle w:val="Normal1"/>
              <w:rPr>
                <w:b/>
              </w:rPr>
            </w:pPr>
            <w:r>
              <w:rPr>
                <w:b/>
              </w:rPr>
              <w:t>Analysis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2873F" w14:textId="77777777" w:rsidR="00C848E9" w:rsidRDefault="002F37AB">
            <w:pPr>
              <w:pStyle w:val="Normal1"/>
              <w:rPr>
                <w:b/>
              </w:rPr>
            </w:pPr>
            <w:r>
              <w:rPr>
                <w:b/>
              </w:rPr>
              <w:t>Monitoring</w:t>
            </w: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1B629D" w14:textId="77777777" w:rsidR="00C848E9" w:rsidRDefault="002F37AB">
            <w:pPr>
              <w:pStyle w:val="Normal1"/>
              <w:rPr>
                <w:b/>
              </w:rPr>
            </w:pPr>
            <w:r>
              <w:rPr>
                <w:b/>
              </w:rPr>
              <w:t>Advocacy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2FC00" w14:textId="77777777" w:rsidR="00C848E9" w:rsidRDefault="002F37AB">
            <w:pPr>
              <w:pStyle w:val="Normal1"/>
              <w:rPr>
                <w:b/>
              </w:rPr>
            </w:pPr>
            <w:r>
              <w:rPr>
                <w:b/>
              </w:rPr>
              <w:t>Who</w:t>
            </w: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AA531C" w14:textId="77777777" w:rsidR="00C848E9" w:rsidRDefault="002F37AB">
            <w:pPr>
              <w:pStyle w:val="Normal1"/>
              <w:rPr>
                <w:b/>
              </w:rPr>
            </w:pPr>
            <w:r>
              <w:rPr>
                <w:b/>
              </w:rPr>
              <w:t>When</w:t>
            </w: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31B1D" w14:textId="77777777" w:rsidR="00C848E9" w:rsidRDefault="002F37AB">
            <w:pPr>
              <w:pStyle w:val="Normal1"/>
              <w:rPr>
                <w:b/>
              </w:rPr>
            </w:pPr>
            <w:r>
              <w:rPr>
                <w:b/>
              </w:rPr>
              <w:t>Modalities</w:t>
            </w:r>
          </w:p>
        </w:tc>
      </w:tr>
      <w:tr w:rsidR="00C848E9" w14:paraId="7ED809FB" w14:textId="77777777" w:rsidTr="00BF0358">
        <w:trPr>
          <w:trHeight w:val="180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BFDE1B" w14:textId="77777777" w:rsidR="00C848E9" w:rsidRDefault="002F37AB">
            <w:pPr>
              <w:pStyle w:val="Normal1"/>
            </w:pPr>
            <w:r>
              <w:t>Sharing existing information on the EPA institutional meetings (Agendas, reports, …)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8A220" w14:textId="77777777" w:rsidR="00C848E9" w:rsidRDefault="002F37AB">
            <w:pPr>
              <w:pStyle w:val="Normal1"/>
            </w:pPr>
            <w:r>
              <w:t xml:space="preserve"> Ratification process</w:t>
            </w: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08A41" w14:textId="77777777" w:rsidR="00C848E9" w:rsidRDefault="002F37AB">
            <w:pPr>
              <w:pStyle w:val="Normal1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4B747" w14:textId="77777777" w:rsidR="00C848E9" w:rsidRDefault="002F37AB">
            <w:pPr>
              <w:pStyle w:val="Normal1"/>
            </w:pPr>
            <w:r>
              <w:t>EESC</w:t>
            </w:r>
          </w:p>
          <w:p w14:paraId="56680C90" w14:textId="77777777" w:rsidR="00C848E9" w:rsidRDefault="002F37AB">
            <w:pPr>
              <w:pStyle w:val="Normal1"/>
            </w:pPr>
            <w:r>
              <w:t>CPDC</w:t>
            </w:r>
          </w:p>
          <w:p w14:paraId="70B6CE1F" w14:textId="77777777" w:rsidR="00C848E9" w:rsidRDefault="002F37AB">
            <w:pPr>
              <w:pStyle w:val="Normal1"/>
            </w:pPr>
            <w:r>
              <w:t xml:space="preserve"> </w:t>
            </w: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E64FD" w14:textId="77777777" w:rsidR="00C848E9" w:rsidRDefault="002F37AB">
            <w:pPr>
              <w:pStyle w:val="Normal1"/>
            </w:pPr>
            <w:r>
              <w:t>Ongoing on a permanent basis</w:t>
            </w: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4FCC7" w14:textId="77777777" w:rsidR="00C848E9" w:rsidRDefault="002F37AB">
            <w:pPr>
              <w:pStyle w:val="Normal1"/>
            </w:pPr>
            <w:r>
              <w:t>On existing EESC website</w:t>
            </w:r>
          </w:p>
          <w:p w14:paraId="78A220FA" w14:textId="77777777" w:rsidR="00C848E9" w:rsidRDefault="002F37AB">
            <w:pPr>
              <w:pStyle w:val="Normal1"/>
            </w:pPr>
            <w:r>
              <w:t>On a portal</w:t>
            </w:r>
          </w:p>
        </w:tc>
      </w:tr>
      <w:tr w:rsidR="00C848E9" w14:paraId="755D247E" w14:textId="77777777" w:rsidTr="00BF0358">
        <w:trPr>
          <w:trHeight w:val="96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03E96E" w14:textId="77777777" w:rsidR="00C848E9" w:rsidRDefault="00C848E9">
            <w:pPr>
              <w:pStyle w:val="Normal1"/>
            </w:pP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1EF58E" w14:textId="77777777" w:rsidR="00C848E9" w:rsidRDefault="002F37AB">
            <w:pPr>
              <w:pStyle w:val="Normal1"/>
            </w:pPr>
            <w:r>
              <w:t>Follow-up on the work of the taskforce of the EPA monitoring system</w:t>
            </w: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F2533" w14:textId="77777777" w:rsidR="00C848E9" w:rsidRDefault="00C848E9">
            <w:pPr>
              <w:pStyle w:val="Normal1"/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02DC7D" w14:textId="77777777" w:rsidR="00C848E9" w:rsidRDefault="002F37AB">
            <w:pPr>
              <w:pStyle w:val="Normal1"/>
            </w:pPr>
            <w:r>
              <w:t xml:space="preserve">CPDC </w:t>
            </w:r>
          </w:p>
          <w:p w14:paraId="7CD15B68" w14:textId="77777777" w:rsidR="00C848E9" w:rsidRDefault="00C848E9">
            <w:pPr>
              <w:pStyle w:val="Normal1"/>
            </w:pP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ACA73C" w14:textId="77777777" w:rsidR="00C848E9" w:rsidRDefault="00C848E9">
            <w:pPr>
              <w:pStyle w:val="Normal1"/>
            </w:pP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98656A" w14:textId="77777777" w:rsidR="00C848E9" w:rsidRDefault="002F37AB">
            <w:pPr>
              <w:pStyle w:val="Normal1"/>
              <w:widowControl w:val="0"/>
            </w:pPr>
            <w:r>
              <w:t>contact taskforce</w:t>
            </w:r>
          </w:p>
          <w:p w14:paraId="79776B52" w14:textId="77777777" w:rsidR="00C848E9" w:rsidRDefault="00C848E9">
            <w:pPr>
              <w:pStyle w:val="Normal1"/>
            </w:pPr>
          </w:p>
        </w:tc>
      </w:tr>
      <w:tr w:rsidR="00C848E9" w14:paraId="78261C1C" w14:textId="77777777" w:rsidTr="00BF0358">
        <w:trPr>
          <w:trHeight w:val="96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4DF1C8" w14:textId="77777777" w:rsidR="00C848E9" w:rsidRDefault="002F37AB">
            <w:pPr>
              <w:pStyle w:val="Normal1"/>
            </w:pPr>
            <w:r>
              <w:t xml:space="preserve">Undertake analysis at sectoral level (agricultural, fisheries, industry and services) 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150CE" w14:textId="77777777" w:rsidR="00C848E9" w:rsidRDefault="002F37AB">
            <w:pPr>
              <w:pStyle w:val="Normal1"/>
              <w:widowControl w:val="0"/>
            </w:pPr>
            <w:r>
              <w:t>Develop appropriate surveys for collection of data on the impact of the EPA</w:t>
            </w: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5F628" w14:textId="77777777" w:rsidR="00C848E9" w:rsidRDefault="002F37AB">
            <w:pPr>
              <w:pStyle w:val="Normal1"/>
            </w:pPr>
            <w:r>
              <w:t>Follow up on the committee on farming and fisheries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81382B" w14:textId="77777777" w:rsidR="00C848E9" w:rsidRDefault="002F37AB">
            <w:pPr>
              <w:pStyle w:val="Normal1"/>
              <w:widowControl w:val="0"/>
            </w:pPr>
            <w:r>
              <w:t>All members of JCC</w:t>
            </w:r>
          </w:p>
          <w:p w14:paraId="5B54A914" w14:textId="77777777" w:rsidR="00C848E9" w:rsidRDefault="002F37AB">
            <w:pPr>
              <w:pStyle w:val="Normal1"/>
              <w:widowControl w:val="0"/>
            </w:pPr>
            <w:r>
              <w:t>CAFAN</w:t>
            </w: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E74DD7" w14:textId="77777777" w:rsidR="00C848E9" w:rsidRDefault="00C848E9">
            <w:pPr>
              <w:pStyle w:val="Normal1"/>
            </w:pP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A20853" w14:textId="77777777" w:rsidR="00C848E9" w:rsidRDefault="00C848E9">
            <w:pPr>
              <w:pStyle w:val="Normal1"/>
              <w:widowControl w:val="0"/>
            </w:pPr>
          </w:p>
        </w:tc>
      </w:tr>
      <w:tr w:rsidR="00C848E9" w14:paraId="07BFE8AA" w14:textId="77777777" w:rsidTr="00BF0358">
        <w:trPr>
          <w:trHeight w:val="50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154B5" w14:textId="77777777" w:rsidR="00C848E9" w:rsidRDefault="00C848E9">
            <w:pPr>
              <w:pStyle w:val="Normal1"/>
              <w:rPr>
                <w:b/>
              </w:rPr>
            </w:pPr>
          </w:p>
          <w:p w14:paraId="58EB8B61" w14:textId="77777777" w:rsidR="00C848E9" w:rsidRDefault="002F37AB">
            <w:pPr>
              <w:pStyle w:val="Normal1"/>
              <w:rPr>
                <w:b/>
              </w:rPr>
            </w:pPr>
            <w:r>
              <w:rPr>
                <w:b/>
              </w:rPr>
              <w:t>SERVICES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EEA18" w14:textId="77777777" w:rsidR="00C848E9" w:rsidRDefault="00C848E9">
            <w:pPr>
              <w:pStyle w:val="Normal1"/>
            </w:pP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77D19" w14:textId="77777777" w:rsidR="00C848E9" w:rsidRDefault="00C848E9">
            <w:pPr>
              <w:pStyle w:val="Normal1"/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714E2" w14:textId="77777777" w:rsidR="00C848E9" w:rsidRDefault="00C848E9">
            <w:pPr>
              <w:pStyle w:val="Normal1"/>
            </w:pP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8CBAF" w14:textId="77777777" w:rsidR="00C848E9" w:rsidRDefault="00C848E9">
            <w:pPr>
              <w:pStyle w:val="Normal1"/>
            </w:pP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AF183" w14:textId="77777777" w:rsidR="00C848E9" w:rsidRDefault="00C848E9">
            <w:pPr>
              <w:pStyle w:val="Normal1"/>
            </w:pPr>
          </w:p>
        </w:tc>
      </w:tr>
      <w:tr w:rsidR="00C848E9" w14:paraId="08ABBF5A" w14:textId="77777777" w:rsidTr="00BF0358">
        <w:trPr>
          <w:trHeight w:val="50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4D6C77" w14:textId="77777777" w:rsidR="00C848E9" w:rsidRDefault="002F37AB">
            <w:pPr>
              <w:pStyle w:val="Normal1"/>
            </w:pPr>
            <w:r>
              <w:t>Analyse data/statistics on services (e.g. EUROSTAT, ECLAC)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6FF99" w14:textId="77777777" w:rsidR="00C848E9" w:rsidRDefault="002F37AB">
            <w:pPr>
              <w:pStyle w:val="Normal1"/>
            </w:pPr>
            <w:r>
              <w:t>Develop appropriate surveys for collection of primary data to be administered by coalitions</w:t>
            </w: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87FC7" w14:textId="77777777" w:rsidR="00C848E9" w:rsidRDefault="002F37AB">
            <w:pPr>
              <w:pStyle w:val="Normal1"/>
            </w:pPr>
            <w:r>
              <w:t>Push Caribbean institutions (ECLAC)  to develop new/serious services data collection for the region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ABE0C" w14:textId="77777777" w:rsidR="00C848E9" w:rsidRDefault="002F37AB">
            <w:pPr>
              <w:pStyle w:val="Normal1"/>
            </w:pPr>
            <w:r>
              <w:t>CPDC &amp; services coalition, CNSC</w:t>
            </w:r>
          </w:p>
          <w:p w14:paraId="4FB9BA82" w14:textId="77777777" w:rsidR="00C848E9" w:rsidRDefault="002F37AB">
            <w:pPr>
              <w:pStyle w:val="Normal1"/>
            </w:pPr>
            <w:r>
              <w:t>CAIC</w:t>
            </w:r>
          </w:p>
          <w:p w14:paraId="2334F980" w14:textId="77777777" w:rsidR="00C848E9" w:rsidRDefault="002F37AB">
            <w:pPr>
              <w:pStyle w:val="Normal1"/>
            </w:pPr>
            <w:r>
              <w:t>CEC, ESF</w:t>
            </w:r>
          </w:p>
          <w:p w14:paraId="42546909" w14:textId="77777777" w:rsidR="00C848E9" w:rsidRDefault="002F37AB">
            <w:pPr>
              <w:pStyle w:val="Normal1"/>
            </w:pPr>
            <w:r>
              <w:t>CODOPYME</w:t>
            </w: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E4753" w14:textId="77777777" w:rsidR="00C848E9" w:rsidRDefault="002F37AB">
            <w:pPr>
              <w:pStyle w:val="Normal1"/>
            </w:pPr>
            <w:r>
              <w:t xml:space="preserve"> </w:t>
            </w: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1318D0" w14:textId="77777777" w:rsidR="00C848E9" w:rsidRDefault="002F37AB">
            <w:pPr>
              <w:pStyle w:val="Normal1"/>
            </w:pPr>
            <w:r>
              <w:t xml:space="preserve"> TA resources to ?</w:t>
            </w:r>
          </w:p>
        </w:tc>
      </w:tr>
      <w:tr w:rsidR="00C848E9" w14:paraId="344FBAB5" w14:textId="77777777" w:rsidTr="00BF0358">
        <w:trPr>
          <w:trHeight w:val="50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8A6BA" w14:textId="77777777" w:rsidR="00C848E9" w:rsidRDefault="002F37AB">
            <w:pPr>
              <w:pStyle w:val="Normal1"/>
            </w:pPr>
            <w:r>
              <w:lastRenderedPageBreak/>
              <w:t xml:space="preserve">Learn how EU deals with Mode IV and business facilitation in other trade agreements 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10EE6" w14:textId="77777777" w:rsidR="00C848E9" w:rsidRDefault="002F37AB">
            <w:pPr>
              <w:pStyle w:val="Normal1"/>
            </w:pPr>
            <w:r>
              <w:t>Report empirical evidence of challenges linked with (business) visa problems - in context of mode IV</w:t>
            </w: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58BE2" w14:textId="77777777" w:rsidR="00C848E9" w:rsidRDefault="002F37AB">
            <w:pPr>
              <w:pStyle w:val="Normal1"/>
            </w:pPr>
            <w:r>
              <w:t xml:space="preserve">Push EU member states on visa issues for commercial presence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44089" w14:textId="77777777" w:rsidR="00C848E9" w:rsidRDefault="002F37AB">
            <w:pPr>
              <w:pStyle w:val="Normal1"/>
            </w:pPr>
            <w:r>
              <w:t>Using ACP ambassadors in EU to inquire at EU MS level</w:t>
            </w:r>
          </w:p>
          <w:p w14:paraId="40DC7CBE" w14:textId="77777777" w:rsidR="00C848E9" w:rsidRDefault="002F37AB">
            <w:pPr>
              <w:pStyle w:val="Normal1"/>
            </w:pPr>
            <w:r>
              <w:t>CAIC, CEC</w:t>
            </w:r>
          </w:p>
          <w:p w14:paraId="65AA6EF9" w14:textId="77777777" w:rsidR="00C848E9" w:rsidRDefault="002F37AB">
            <w:pPr>
              <w:pStyle w:val="Normal1"/>
            </w:pPr>
            <w:r>
              <w:t>CCL, ESP, CASME</w:t>
            </w:r>
          </w:p>
          <w:p w14:paraId="56703127" w14:textId="77777777" w:rsidR="00C848E9" w:rsidRDefault="002F37AB">
            <w:pPr>
              <w:pStyle w:val="Normal1"/>
            </w:pPr>
            <w:r>
              <w:t>CODOPYME</w:t>
            </w: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A982F" w14:textId="77777777" w:rsidR="00C848E9" w:rsidRDefault="002F37AB">
            <w:pPr>
              <w:pStyle w:val="Normal1"/>
            </w:pPr>
            <w:r>
              <w:t xml:space="preserve"> </w:t>
            </w: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D15F1" w14:textId="77777777" w:rsidR="00C848E9" w:rsidRDefault="002F37AB">
            <w:pPr>
              <w:pStyle w:val="Normal1"/>
            </w:pPr>
            <w:r>
              <w:t xml:space="preserve"> </w:t>
            </w:r>
          </w:p>
        </w:tc>
      </w:tr>
      <w:tr w:rsidR="00C848E9" w14:paraId="7897EC53" w14:textId="77777777" w:rsidTr="00BF0358">
        <w:trPr>
          <w:trHeight w:val="50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A8AD7" w14:textId="77777777" w:rsidR="00C848E9" w:rsidRDefault="002F37AB">
            <w:pPr>
              <w:pStyle w:val="Normal1"/>
            </w:pPr>
            <w:r>
              <w:t>Mutual recognition agreement - learn lessons from EU-</w:t>
            </w:r>
          </w:p>
          <w:p w14:paraId="1C6D5930" w14:textId="77777777" w:rsidR="00C848E9" w:rsidRDefault="002F37AB">
            <w:pPr>
              <w:pStyle w:val="Normal1"/>
            </w:pPr>
            <w:r>
              <w:t>Japan/Mexico/Canada</w:t>
            </w:r>
          </w:p>
          <w:p w14:paraId="2A033C50" w14:textId="77777777" w:rsidR="00C848E9" w:rsidRDefault="002F37AB">
            <w:pPr>
              <w:pStyle w:val="Normal1"/>
            </w:pPr>
            <w:r>
              <w:t>- professional services</w:t>
            </w:r>
          </w:p>
          <w:p w14:paraId="592D938A" w14:textId="77777777" w:rsidR="00C848E9" w:rsidRDefault="00C848E9">
            <w:pPr>
              <w:pStyle w:val="Normal1"/>
            </w:pP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82041A" w14:textId="77777777" w:rsidR="00C848E9" w:rsidRDefault="002F37AB">
            <w:pPr>
              <w:pStyle w:val="Normal1"/>
            </w:pPr>
            <w:r>
              <w:t xml:space="preserve">Get update of the intra cariforum MRAs signed  - </w:t>
            </w:r>
          </w:p>
          <w:p w14:paraId="4AE433A9" w14:textId="77777777" w:rsidR="00C848E9" w:rsidRDefault="002F37AB">
            <w:pPr>
              <w:pStyle w:val="Normal1"/>
            </w:pPr>
            <w:r>
              <w:t>Follow up on project for architects and engineers</w:t>
            </w: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9EA88C" w14:textId="77777777" w:rsidR="00C848E9" w:rsidRDefault="002F37AB">
            <w:pPr>
              <w:pStyle w:val="Normal1"/>
            </w:pPr>
            <w:r>
              <w:t xml:space="preserve">Advocate CARIFORUM countries to conclude MRAs with identified countries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4C7A4" w14:textId="77777777" w:rsidR="00C848E9" w:rsidRDefault="002F37AB">
            <w:pPr>
              <w:pStyle w:val="Normal1"/>
            </w:pPr>
            <w:r>
              <w:t>CPDC</w:t>
            </w:r>
          </w:p>
          <w:p w14:paraId="565BD50A" w14:textId="77777777" w:rsidR="00C848E9" w:rsidRDefault="002F37AB">
            <w:pPr>
              <w:pStyle w:val="Normal1"/>
            </w:pPr>
            <w:r>
              <w:t>Coalitions  of services</w:t>
            </w:r>
          </w:p>
          <w:p w14:paraId="1C08C138" w14:textId="77777777" w:rsidR="00C848E9" w:rsidRDefault="002F37AB">
            <w:pPr>
              <w:pStyle w:val="Normal1"/>
            </w:pPr>
            <w:r>
              <w:t>Caribbean export</w:t>
            </w:r>
          </w:p>
          <w:p w14:paraId="16E939FE" w14:textId="77777777" w:rsidR="00C848E9" w:rsidRDefault="002F37AB">
            <w:pPr>
              <w:pStyle w:val="Normal1"/>
            </w:pPr>
            <w:r>
              <w:t>CAIC, ESF</w:t>
            </w:r>
          </w:p>
          <w:p w14:paraId="0C62850A" w14:textId="77777777" w:rsidR="00C848E9" w:rsidRDefault="002F37AB">
            <w:pPr>
              <w:pStyle w:val="Normal1"/>
            </w:pPr>
            <w:r>
              <w:t>ACP YPN</w:t>
            </w:r>
          </w:p>
          <w:p w14:paraId="3A969A37" w14:textId="77777777" w:rsidR="00C848E9" w:rsidRDefault="002F37AB">
            <w:pPr>
              <w:pStyle w:val="Normal1"/>
            </w:pPr>
            <w:r>
              <w:t>Professional bodies</w:t>
            </w:r>
          </w:p>
          <w:p w14:paraId="3EA6F1B1" w14:textId="77777777" w:rsidR="00C848E9" w:rsidRDefault="002F37AB">
            <w:pPr>
              <w:pStyle w:val="Normal1"/>
            </w:pPr>
            <w:r>
              <w:t>CODOPYME</w:t>
            </w: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92F89B" w14:textId="77777777" w:rsidR="00C848E9" w:rsidRDefault="002F37AB">
            <w:pPr>
              <w:pStyle w:val="Normal1"/>
            </w:pPr>
            <w:r>
              <w:t xml:space="preserve"> </w:t>
            </w: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581BF7" w14:textId="77777777" w:rsidR="00C848E9" w:rsidRDefault="002F37AB">
            <w:pPr>
              <w:pStyle w:val="Normal1"/>
            </w:pPr>
            <w:r>
              <w:t>Follow-up research project</w:t>
            </w:r>
          </w:p>
          <w:p w14:paraId="59359B69" w14:textId="77777777" w:rsidR="00C848E9" w:rsidRDefault="002F37AB">
            <w:pPr>
              <w:pStyle w:val="Normal1"/>
            </w:pPr>
            <w:r>
              <w:t>Interns that can work on desk study</w:t>
            </w:r>
          </w:p>
        </w:tc>
      </w:tr>
      <w:tr w:rsidR="00C848E9" w14:paraId="6E440116" w14:textId="77777777" w:rsidTr="00BF0358">
        <w:trPr>
          <w:trHeight w:val="50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521C8B" w14:textId="77777777" w:rsidR="00C848E9" w:rsidRDefault="002F37AB">
            <w:pPr>
              <w:pStyle w:val="Normal1"/>
            </w:pPr>
            <w:r>
              <w:t>Encourage the development of trade in services mechanisms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1DEC05" w14:textId="77777777" w:rsidR="00C848E9" w:rsidRDefault="00C848E9">
            <w:pPr>
              <w:pStyle w:val="Normal1"/>
            </w:pP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F44878" w14:textId="77777777" w:rsidR="00C848E9" w:rsidRDefault="002F37AB">
            <w:pPr>
              <w:pStyle w:val="Normal1"/>
            </w:pPr>
            <w:r>
              <w:t>Lobby for the establishment of a Working Group on Trade in Services comprising both Public and private sector officials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8CF676" w14:textId="77777777" w:rsidR="00C848E9" w:rsidRDefault="002F37AB">
            <w:pPr>
              <w:pStyle w:val="Normal1"/>
            </w:pPr>
            <w:r>
              <w:t>CNSC</w:t>
            </w:r>
          </w:p>
          <w:p w14:paraId="52D80906" w14:textId="77777777" w:rsidR="00C848E9" w:rsidRDefault="002F37AB">
            <w:pPr>
              <w:pStyle w:val="Normal1"/>
            </w:pPr>
            <w:r>
              <w:t>ESF</w:t>
            </w:r>
          </w:p>
          <w:p w14:paraId="44DF0445" w14:textId="77777777" w:rsidR="00C848E9" w:rsidRDefault="002F37AB">
            <w:pPr>
              <w:pStyle w:val="Normal1"/>
            </w:pPr>
            <w:r>
              <w:t>CAIC</w:t>
            </w:r>
          </w:p>
          <w:p w14:paraId="3AB3A3C8" w14:textId="77777777" w:rsidR="00C848E9" w:rsidRDefault="002F37AB">
            <w:pPr>
              <w:pStyle w:val="Normal1"/>
            </w:pPr>
            <w:r>
              <w:t>CODOPYME</w:t>
            </w: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9F0BE5" w14:textId="77777777" w:rsidR="00C848E9" w:rsidRDefault="00C848E9">
            <w:pPr>
              <w:pStyle w:val="Normal1"/>
            </w:pP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981AAC" w14:textId="77777777" w:rsidR="00C848E9" w:rsidRDefault="00C848E9">
            <w:pPr>
              <w:pStyle w:val="Normal1"/>
            </w:pPr>
          </w:p>
        </w:tc>
      </w:tr>
      <w:tr w:rsidR="00C848E9" w14:paraId="29DA43E7" w14:textId="77777777" w:rsidTr="00BF0358">
        <w:trPr>
          <w:trHeight w:val="50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EAA992" w14:textId="77777777" w:rsidR="00C848E9" w:rsidRDefault="00C848E9">
            <w:pPr>
              <w:pStyle w:val="Normal1"/>
            </w:pP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81430" w14:textId="77777777" w:rsidR="00C848E9" w:rsidRDefault="002F37AB">
            <w:pPr>
              <w:pStyle w:val="Normal1"/>
              <w:widowControl w:val="0"/>
            </w:pPr>
            <w:r>
              <w:t xml:space="preserve">Check status of the Intra corporate transfer initiative </w:t>
            </w: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AB6096" w14:textId="77777777" w:rsidR="00C848E9" w:rsidRDefault="00C848E9">
            <w:pPr>
              <w:pStyle w:val="Normal1"/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52A97" w14:textId="77777777" w:rsidR="00C848E9" w:rsidRDefault="002F37AB">
            <w:pPr>
              <w:pStyle w:val="Normal1"/>
            </w:pPr>
            <w:r>
              <w:t>ESF</w:t>
            </w:r>
          </w:p>
          <w:p w14:paraId="6B5FC35C" w14:textId="77777777" w:rsidR="00C848E9" w:rsidRDefault="002F37AB">
            <w:pPr>
              <w:pStyle w:val="Normal1"/>
            </w:pPr>
            <w:r>
              <w:t>CNSC</w:t>
            </w:r>
          </w:p>
          <w:p w14:paraId="53D69ED3" w14:textId="77777777" w:rsidR="00C848E9" w:rsidRDefault="002F37AB">
            <w:pPr>
              <w:pStyle w:val="Normal1"/>
            </w:pPr>
            <w:r>
              <w:t>CODOPYME</w:t>
            </w: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97EEF9" w14:textId="77777777" w:rsidR="00C848E9" w:rsidRDefault="00C848E9">
            <w:pPr>
              <w:pStyle w:val="Normal1"/>
            </w:pP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B7BCFE" w14:textId="77777777" w:rsidR="00C848E9" w:rsidRDefault="00C848E9">
            <w:pPr>
              <w:pStyle w:val="Normal1"/>
            </w:pPr>
          </w:p>
        </w:tc>
      </w:tr>
      <w:tr w:rsidR="00C848E9" w14:paraId="34944487" w14:textId="77777777" w:rsidTr="00BF0358">
        <w:trPr>
          <w:trHeight w:val="50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BB069" w14:textId="77777777" w:rsidR="00C848E9" w:rsidRDefault="002F37AB">
            <w:pPr>
              <w:pStyle w:val="Normal1"/>
              <w:rPr>
                <w:b/>
              </w:rPr>
            </w:pPr>
            <w:r>
              <w:rPr>
                <w:b/>
              </w:rPr>
              <w:lastRenderedPageBreak/>
              <w:t xml:space="preserve"> YOUTH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B8E86" w14:textId="77777777" w:rsidR="00C848E9" w:rsidRDefault="002F37AB">
            <w:pPr>
              <w:pStyle w:val="Normal1"/>
            </w:pPr>
            <w:r>
              <w:t xml:space="preserve"> </w:t>
            </w: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779779" w14:textId="77777777" w:rsidR="00C848E9" w:rsidRDefault="002F37AB">
            <w:pPr>
              <w:pStyle w:val="Normal1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FAF344" w14:textId="77777777" w:rsidR="00C848E9" w:rsidRDefault="002F37AB">
            <w:pPr>
              <w:pStyle w:val="Normal1"/>
            </w:pPr>
            <w:r>
              <w:t xml:space="preserve"> </w:t>
            </w: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5370B7" w14:textId="77777777" w:rsidR="00C848E9" w:rsidRDefault="002F37AB">
            <w:pPr>
              <w:pStyle w:val="Normal1"/>
            </w:pPr>
            <w:r>
              <w:t xml:space="preserve"> </w:t>
            </w: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17DD5E" w14:textId="77777777" w:rsidR="00C848E9" w:rsidRDefault="002F37AB">
            <w:pPr>
              <w:pStyle w:val="Normal1"/>
            </w:pPr>
            <w:r>
              <w:t xml:space="preserve"> </w:t>
            </w:r>
          </w:p>
        </w:tc>
      </w:tr>
      <w:tr w:rsidR="00C848E9" w14:paraId="5D9C31AF" w14:textId="77777777" w:rsidTr="00BF0358">
        <w:trPr>
          <w:trHeight w:val="50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5BFAB" w14:textId="77777777" w:rsidR="00C848E9" w:rsidRDefault="002F37AB">
            <w:pPr>
              <w:pStyle w:val="Normal1"/>
            </w:pPr>
            <w:r>
              <w:t>Accreditation/ Equivalency of degrees/diplomas</w:t>
            </w:r>
          </w:p>
          <w:p w14:paraId="5866C7AE" w14:textId="77777777" w:rsidR="00C848E9" w:rsidRDefault="00C848E9">
            <w:pPr>
              <w:pStyle w:val="Normal1"/>
            </w:pP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073FC4" w14:textId="77777777" w:rsidR="00C848E9" w:rsidRDefault="002F37AB">
            <w:pPr>
              <w:pStyle w:val="Normal1"/>
            </w:pPr>
            <w:r>
              <w:t xml:space="preserve"> </w:t>
            </w: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262F14" w14:textId="77777777" w:rsidR="00C848E9" w:rsidRDefault="002F37AB">
            <w:pPr>
              <w:pStyle w:val="Normal1"/>
            </w:pPr>
            <w:r>
              <w:t>Push CARIFORUM states and EU member states to recognise equivalency of degrees/diplomas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E8C2E4" w14:textId="77777777" w:rsidR="00C848E9" w:rsidRDefault="002F37AB">
            <w:pPr>
              <w:pStyle w:val="Normal1"/>
            </w:pPr>
            <w:r>
              <w:t xml:space="preserve">UNICA </w:t>
            </w:r>
          </w:p>
          <w:p w14:paraId="7E89A09C" w14:textId="77777777" w:rsidR="00C848E9" w:rsidRDefault="002F37AB">
            <w:pPr>
              <w:pStyle w:val="Normal1"/>
            </w:pPr>
            <w:r>
              <w:t>ACPYPN</w:t>
            </w:r>
          </w:p>
          <w:p w14:paraId="00E3744A" w14:textId="77777777" w:rsidR="00C848E9" w:rsidRDefault="002F37AB">
            <w:pPr>
              <w:pStyle w:val="Normal1"/>
            </w:pPr>
            <w:r>
              <w:t>INTEC DR?</w:t>
            </w:r>
          </w:p>
          <w:p w14:paraId="30F0F8DA" w14:textId="77777777" w:rsidR="00C848E9" w:rsidRDefault="002F37AB">
            <w:pPr>
              <w:pStyle w:val="Normal1"/>
            </w:pPr>
            <w:r>
              <w:t>Member of ESF</w:t>
            </w:r>
          </w:p>
          <w:p w14:paraId="27877EFE" w14:textId="77777777" w:rsidR="00C848E9" w:rsidRDefault="00C848E9">
            <w:pPr>
              <w:pStyle w:val="Normal1"/>
            </w:pP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1F934E" w14:textId="77777777" w:rsidR="00C848E9" w:rsidRDefault="002F37AB">
            <w:pPr>
              <w:pStyle w:val="Normal1"/>
            </w:pPr>
            <w:r>
              <w:t xml:space="preserve"> </w:t>
            </w: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62DBEF" w14:textId="77777777" w:rsidR="00C848E9" w:rsidRDefault="002F37AB">
            <w:pPr>
              <w:pStyle w:val="Normal1"/>
            </w:pPr>
            <w:r>
              <w:t xml:space="preserve"> </w:t>
            </w:r>
          </w:p>
        </w:tc>
      </w:tr>
      <w:tr w:rsidR="00C848E9" w14:paraId="4B33139F" w14:textId="77777777" w:rsidTr="00BF0358">
        <w:trPr>
          <w:trHeight w:val="50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ADE34" w14:textId="77777777" w:rsidR="00C848E9" w:rsidRDefault="002F37AB">
            <w:pPr>
              <w:pStyle w:val="Normal1"/>
            </w:pPr>
            <w:r>
              <w:t xml:space="preserve">Analyse </w:t>
            </w:r>
            <w:r>
              <w:rPr>
                <w:b/>
              </w:rPr>
              <w:t>Youth exchange programmes</w:t>
            </w:r>
            <w:r>
              <w:t xml:space="preserve"> between CARIFORUM and EU</w:t>
            </w:r>
          </w:p>
          <w:p w14:paraId="239B47F6" w14:textId="77777777" w:rsidR="00C848E9" w:rsidRDefault="00C848E9">
            <w:pPr>
              <w:pStyle w:val="Normal1"/>
            </w:pP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245E65" w14:textId="77777777" w:rsidR="00C848E9" w:rsidRDefault="002F37AB">
            <w:pPr>
              <w:pStyle w:val="Normal1"/>
            </w:pPr>
            <w:r>
              <w:t xml:space="preserve"> </w:t>
            </w: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45FABE" w14:textId="77777777" w:rsidR="00C848E9" w:rsidRDefault="002F37AB">
            <w:pPr>
              <w:pStyle w:val="Normal1"/>
            </w:pPr>
            <w:r>
              <w:t xml:space="preserve">Bolster and encourage </w:t>
            </w:r>
            <w:r>
              <w:rPr>
                <w:b/>
              </w:rPr>
              <w:t>Youth exchange</w:t>
            </w:r>
            <w:r>
              <w:t xml:space="preserve"> between CARIFORUM and EU</w:t>
            </w:r>
          </w:p>
          <w:p w14:paraId="3CB131C0" w14:textId="77777777" w:rsidR="00C848E9" w:rsidRDefault="00C848E9">
            <w:pPr>
              <w:pStyle w:val="Normal1"/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E6DB6" w14:textId="77777777" w:rsidR="00C848E9" w:rsidRDefault="002F37AB">
            <w:pPr>
              <w:pStyle w:val="Normal1"/>
            </w:pPr>
            <w:r>
              <w:t xml:space="preserve">UNICA </w:t>
            </w:r>
          </w:p>
          <w:p w14:paraId="2E53CC97" w14:textId="77777777" w:rsidR="00C848E9" w:rsidRDefault="002F37AB">
            <w:pPr>
              <w:pStyle w:val="Normal1"/>
            </w:pPr>
            <w:r>
              <w:t>ECDPM</w:t>
            </w:r>
          </w:p>
          <w:p w14:paraId="5FDC7EDE" w14:textId="77777777" w:rsidR="00C848E9" w:rsidRDefault="002F37AB">
            <w:pPr>
              <w:pStyle w:val="Normal1"/>
            </w:pPr>
            <w:r>
              <w:t>ACPYPN</w:t>
            </w:r>
          </w:p>
          <w:p w14:paraId="28FBE577" w14:textId="77777777" w:rsidR="00C848E9" w:rsidRDefault="002F37AB">
            <w:pPr>
              <w:pStyle w:val="Normal1"/>
            </w:pPr>
            <w:r>
              <w:t xml:space="preserve">CYEN </w:t>
            </w:r>
          </w:p>
          <w:p w14:paraId="629EBF66" w14:textId="77777777" w:rsidR="00C848E9" w:rsidRDefault="002F37AB">
            <w:pPr>
              <w:pStyle w:val="Normal1"/>
            </w:pPr>
            <w:r>
              <w:t>CODOPYME</w:t>
            </w: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219C98" w14:textId="77777777" w:rsidR="00C848E9" w:rsidRDefault="002F37AB">
            <w:pPr>
              <w:pStyle w:val="Normal1"/>
            </w:pPr>
            <w:r>
              <w:t xml:space="preserve"> </w:t>
            </w: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16CAD" w14:textId="77777777" w:rsidR="00C848E9" w:rsidRDefault="002F37AB">
            <w:pPr>
              <w:pStyle w:val="Normal1"/>
            </w:pPr>
            <w:r>
              <w:t xml:space="preserve"> </w:t>
            </w:r>
          </w:p>
        </w:tc>
      </w:tr>
      <w:tr w:rsidR="00C848E9" w14:paraId="7AB78AE0" w14:textId="77777777" w:rsidTr="00BF0358">
        <w:trPr>
          <w:trHeight w:val="50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48E63" w14:textId="77777777" w:rsidR="00C848E9" w:rsidRDefault="00C848E9">
            <w:pPr>
              <w:pStyle w:val="Normal1"/>
            </w:pP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57145A" w14:textId="77777777" w:rsidR="00C848E9" w:rsidRDefault="00C848E9">
            <w:pPr>
              <w:pStyle w:val="Normal1"/>
            </w:pP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496DE" w14:textId="77777777" w:rsidR="00C848E9" w:rsidRDefault="002F37AB">
            <w:pPr>
              <w:pStyle w:val="Normal1"/>
            </w:pPr>
            <w:r>
              <w:t>Advocate for a registry of Caribbean and European young professional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C7D3F" w14:textId="77777777" w:rsidR="00C848E9" w:rsidRDefault="002F37AB">
            <w:pPr>
              <w:pStyle w:val="Normal1"/>
            </w:pPr>
            <w:r>
              <w:t>ACPYPN</w:t>
            </w:r>
          </w:p>
          <w:p w14:paraId="612D8F02" w14:textId="77777777" w:rsidR="00C848E9" w:rsidRDefault="002F37AB">
            <w:pPr>
              <w:pStyle w:val="Normal1"/>
            </w:pPr>
            <w:r>
              <w:t>CYEN</w:t>
            </w: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4379D" w14:textId="77777777" w:rsidR="00C848E9" w:rsidRDefault="002F37AB">
            <w:pPr>
              <w:pStyle w:val="Normal1"/>
            </w:pPr>
            <w:r>
              <w:t xml:space="preserve"> </w:t>
            </w: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664D7E" w14:textId="77777777" w:rsidR="00C848E9" w:rsidRDefault="002F37AB">
            <w:pPr>
              <w:pStyle w:val="Normal1"/>
            </w:pPr>
            <w:r>
              <w:t xml:space="preserve"> </w:t>
            </w:r>
          </w:p>
        </w:tc>
      </w:tr>
      <w:tr w:rsidR="00C848E9" w14:paraId="0D2A4D8B" w14:textId="77777777" w:rsidTr="00BF0358">
        <w:trPr>
          <w:trHeight w:val="50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7A4BD" w14:textId="77777777" w:rsidR="00C848E9" w:rsidRDefault="002F37AB">
            <w:pPr>
              <w:pStyle w:val="Normal1"/>
              <w:widowControl w:val="0"/>
              <w:rPr>
                <w:b/>
              </w:rPr>
            </w:pPr>
            <w:r>
              <w:rPr>
                <w:b/>
              </w:rPr>
              <w:t xml:space="preserve"> DECENT WORK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7E01F" w14:textId="77777777" w:rsidR="00C848E9" w:rsidRDefault="002F37AB">
            <w:pPr>
              <w:pStyle w:val="Normal1"/>
              <w:widowControl w:val="0"/>
            </w:pPr>
            <w:r>
              <w:t xml:space="preserve"> </w:t>
            </w: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DC9AC" w14:textId="77777777" w:rsidR="00C848E9" w:rsidRDefault="002F37AB">
            <w:pPr>
              <w:pStyle w:val="Normal1"/>
              <w:widowControl w:val="0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E9F1A" w14:textId="77777777" w:rsidR="00C848E9" w:rsidRDefault="002F37AB">
            <w:pPr>
              <w:pStyle w:val="Normal1"/>
              <w:widowControl w:val="0"/>
            </w:pPr>
            <w:r>
              <w:t xml:space="preserve"> </w:t>
            </w: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DA9D8E" w14:textId="77777777" w:rsidR="00C848E9" w:rsidRDefault="002F37AB">
            <w:pPr>
              <w:pStyle w:val="Normal1"/>
              <w:widowControl w:val="0"/>
            </w:pPr>
            <w:r>
              <w:t xml:space="preserve"> </w:t>
            </w: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DB4D1F" w14:textId="77777777" w:rsidR="00C848E9" w:rsidRDefault="002F37AB">
            <w:pPr>
              <w:pStyle w:val="Normal1"/>
              <w:widowControl w:val="0"/>
            </w:pPr>
            <w:r>
              <w:t xml:space="preserve"> </w:t>
            </w:r>
          </w:p>
        </w:tc>
      </w:tr>
      <w:tr w:rsidR="00C848E9" w14:paraId="5C1055F2" w14:textId="77777777" w:rsidTr="00BF0358">
        <w:trPr>
          <w:trHeight w:val="50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D9893" w14:textId="77777777" w:rsidR="00C848E9" w:rsidRDefault="00C848E9">
            <w:pPr>
              <w:pStyle w:val="Normal1"/>
              <w:widowControl w:val="0"/>
            </w:pPr>
          </w:p>
          <w:p w14:paraId="78031963" w14:textId="77777777" w:rsidR="00C848E9" w:rsidRDefault="00C848E9">
            <w:pPr>
              <w:pStyle w:val="Normal1"/>
              <w:widowControl w:val="0"/>
            </w:pPr>
          </w:p>
          <w:p w14:paraId="29F1F0F0" w14:textId="77777777" w:rsidR="00C848E9" w:rsidRDefault="00C848E9">
            <w:pPr>
              <w:pStyle w:val="Normal1"/>
              <w:widowControl w:val="0"/>
            </w:pPr>
          </w:p>
          <w:p w14:paraId="41B4F856" w14:textId="77777777" w:rsidR="00C848E9" w:rsidRDefault="00C848E9">
            <w:pPr>
              <w:pStyle w:val="Normal1"/>
              <w:widowControl w:val="0"/>
            </w:pP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A7CA37" w14:textId="77777777" w:rsidR="00C848E9" w:rsidRDefault="002F37AB">
            <w:pPr>
              <w:pStyle w:val="Normal1"/>
            </w:pPr>
            <w:r>
              <w:t>Monitor the application of Art 191 in chapter 5 of EPA</w:t>
            </w: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058B0D" w14:textId="77777777" w:rsidR="00C848E9" w:rsidRDefault="002F37AB">
            <w:pPr>
              <w:pStyle w:val="Normal1"/>
              <w:widowControl w:val="0"/>
            </w:pPr>
            <w:r>
              <w:t xml:space="preserve">Encourage and facilitate social dialogue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B46138" w14:textId="77777777" w:rsidR="00C848E9" w:rsidRDefault="002F37AB">
            <w:pPr>
              <w:pStyle w:val="Normal1"/>
              <w:widowControl w:val="0"/>
            </w:pPr>
            <w:r>
              <w:t>CCL, CEC</w:t>
            </w:r>
          </w:p>
          <w:p w14:paraId="64025F9B" w14:textId="77777777" w:rsidR="00C848E9" w:rsidRDefault="002F37AB">
            <w:pPr>
              <w:pStyle w:val="Normal1"/>
              <w:widowControl w:val="0"/>
            </w:pPr>
            <w:r>
              <w:t xml:space="preserve">EU Trade Union/Employers </w:t>
            </w:r>
          </w:p>
          <w:p w14:paraId="4A1ABB56" w14:textId="77777777" w:rsidR="00C848E9" w:rsidRDefault="002F37AB">
            <w:pPr>
              <w:pStyle w:val="Normal1"/>
              <w:widowControl w:val="0"/>
            </w:pPr>
            <w:r>
              <w:t>CAIC</w:t>
            </w:r>
          </w:p>
          <w:p w14:paraId="7E91C002" w14:textId="77777777" w:rsidR="00C848E9" w:rsidRDefault="002F37AB">
            <w:pPr>
              <w:pStyle w:val="Normal1"/>
              <w:widowControl w:val="0"/>
            </w:pPr>
            <w:r>
              <w:t>CAFRA</w:t>
            </w: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8010E7" w14:textId="77777777" w:rsidR="00C848E9" w:rsidRDefault="00C848E9">
            <w:pPr>
              <w:pStyle w:val="Normal1"/>
              <w:widowControl w:val="0"/>
            </w:pP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153148" w14:textId="77777777" w:rsidR="00C848E9" w:rsidRDefault="002F37AB">
            <w:pPr>
              <w:pStyle w:val="Normal1"/>
              <w:widowControl w:val="0"/>
            </w:pPr>
            <w:r>
              <w:t xml:space="preserve">Desk study </w:t>
            </w:r>
          </w:p>
        </w:tc>
      </w:tr>
      <w:tr w:rsidR="00C848E9" w14:paraId="025FEFC9" w14:textId="77777777" w:rsidTr="00BF0358">
        <w:trPr>
          <w:trHeight w:val="50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BE06FE" w14:textId="77777777" w:rsidR="00C848E9" w:rsidRDefault="00C848E9">
            <w:pPr>
              <w:pStyle w:val="Normal1"/>
              <w:widowControl w:val="0"/>
            </w:pP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1F3590" w14:textId="77777777" w:rsidR="00C848E9" w:rsidRDefault="002F37AB">
            <w:pPr>
              <w:pStyle w:val="Normal1"/>
            </w:pPr>
            <w:r>
              <w:t>Monitor the impact of the EPA on the informal sector</w:t>
            </w: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68F61" w14:textId="77777777" w:rsidR="00C848E9" w:rsidRDefault="00C848E9">
            <w:pPr>
              <w:pStyle w:val="Normal1"/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C773AD" w14:textId="77777777" w:rsidR="00C848E9" w:rsidRDefault="002F37AB">
            <w:pPr>
              <w:pStyle w:val="Normal1"/>
              <w:widowControl w:val="0"/>
            </w:pPr>
            <w:r>
              <w:t xml:space="preserve">CASME </w:t>
            </w:r>
          </w:p>
          <w:p w14:paraId="1FAD7BDB" w14:textId="77777777" w:rsidR="00C848E9" w:rsidRDefault="00C848E9">
            <w:pPr>
              <w:pStyle w:val="Normal1"/>
              <w:widowControl w:val="0"/>
            </w:pP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54963" w14:textId="77777777" w:rsidR="00C848E9" w:rsidRDefault="00C848E9">
            <w:pPr>
              <w:pStyle w:val="Normal1"/>
              <w:widowControl w:val="0"/>
            </w:pP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8D4A15" w14:textId="77777777" w:rsidR="00C848E9" w:rsidRDefault="00C848E9">
            <w:pPr>
              <w:pStyle w:val="Normal1"/>
              <w:widowControl w:val="0"/>
            </w:pPr>
          </w:p>
        </w:tc>
      </w:tr>
      <w:tr w:rsidR="00C848E9" w14:paraId="544B222C" w14:textId="77777777" w:rsidTr="00BF0358">
        <w:trPr>
          <w:trHeight w:val="50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7E91B7" w14:textId="77777777" w:rsidR="00C848E9" w:rsidRDefault="00C848E9">
            <w:pPr>
              <w:pStyle w:val="Normal1"/>
              <w:widowControl w:val="0"/>
            </w:pP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8ECF4" w14:textId="77777777" w:rsidR="00C848E9" w:rsidRDefault="002F37AB">
            <w:pPr>
              <w:pStyle w:val="Normal1"/>
              <w:widowControl w:val="0"/>
            </w:pPr>
            <w:r>
              <w:t>Raise awareness of Occupational Safety and Health (OSH)</w:t>
            </w: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72476" w14:textId="77777777" w:rsidR="00C848E9" w:rsidRDefault="002F37AB">
            <w:pPr>
              <w:pStyle w:val="Normal1"/>
              <w:widowControl w:val="0"/>
            </w:pPr>
            <w:r>
              <w:t>Encourage more dialogue on OSH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E71D9" w14:textId="77777777" w:rsidR="00C848E9" w:rsidRDefault="002F37AB">
            <w:pPr>
              <w:pStyle w:val="Normal1"/>
              <w:widowControl w:val="0"/>
            </w:pPr>
            <w:r>
              <w:t>CCL</w:t>
            </w:r>
          </w:p>
          <w:p w14:paraId="01426767" w14:textId="77777777" w:rsidR="00C848E9" w:rsidRDefault="002F37AB">
            <w:pPr>
              <w:pStyle w:val="Normal1"/>
              <w:widowControl w:val="0"/>
            </w:pPr>
            <w:r>
              <w:t>CEC</w:t>
            </w:r>
          </w:p>
          <w:p w14:paraId="6B859E87" w14:textId="77777777" w:rsidR="00C848E9" w:rsidRDefault="002F37AB">
            <w:pPr>
              <w:pStyle w:val="Normal1"/>
              <w:widowControl w:val="0"/>
            </w:pPr>
            <w:r>
              <w:t>EU Trade Union/Employers</w:t>
            </w: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1F7F29" w14:textId="77777777" w:rsidR="00C848E9" w:rsidRDefault="00C848E9">
            <w:pPr>
              <w:pStyle w:val="Normal1"/>
              <w:widowControl w:val="0"/>
            </w:pP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5DE5F1" w14:textId="77777777" w:rsidR="00C848E9" w:rsidRDefault="00C848E9">
            <w:pPr>
              <w:pStyle w:val="Normal1"/>
              <w:widowControl w:val="0"/>
            </w:pPr>
          </w:p>
        </w:tc>
      </w:tr>
      <w:tr w:rsidR="00C848E9" w14:paraId="440E4F02" w14:textId="77777777" w:rsidTr="00BF0358">
        <w:trPr>
          <w:trHeight w:val="50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ACF1E" w14:textId="77777777" w:rsidR="00C848E9" w:rsidRDefault="00C848E9">
            <w:pPr>
              <w:pStyle w:val="Normal1"/>
            </w:pP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8A9A2" w14:textId="77777777" w:rsidR="00C848E9" w:rsidRDefault="002F37AB">
            <w:pPr>
              <w:pStyle w:val="Normal1"/>
            </w:pPr>
            <w:r>
              <w:t>Monitor the job security in the context of the implementation of the EPA</w:t>
            </w: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08FBB" w14:textId="77777777" w:rsidR="00C848E9" w:rsidRDefault="002F37AB">
            <w:pPr>
              <w:pStyle w:val="Normal1"/>
            </w:pPr>
            <w:r>
              <w:t>Recognize that job security is at risk, identify issues and possible solutions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86D7A5" w14:textId="77777777" w:rsidR="00C848E9" w:rsidRDefault="002F37AB">
            <w:pPr>
              <w:pStyle w:val="Normal1"/>
              <w:widowControl w:val="0"/>
            </w:pPr>
            <w:r>
              <w:t>CCL</w:t>
            </w:r>
          </w:p>
          <w:p w14:paraId="700B9F31" w14:textId="77777777" w:rsidR="00C848E9" w:rsidRDefault="002F37AB">
            <w:pPr>
              <w:pStyle w:val="Normal1"/>
              <w:widowControl w:val="0"/>
            </w:pPr>
            <w:r>
              <w:t>CEC</w:t>
            </w:r>
          </w:p>
          <w:p w14:paraId="08E71B3B" w14:textId="77777777" w:rsidR="00C848E9" w:rsidRDefault="002F37AB">
            <w:pPr>
              <w:pStyle w:val="Normal1"/>
              <w:widowControl w:val="0"/>
            </w:pPr>
            <w:r>
              <w:t>EU Trade Union/Employers</w:t>
            </w: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0C66CD" w14:textId="77777777" w:rsidR="00C848E9" w:rsidRDefault="00C848E9">
            <w:pPr>
              <w:pStyle w:val="Normal1"/>
            </w:pP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07B12" w14:textId="77777777" w:rsidR="00C848E9" w:rsidRDefault="00C848E9">
            <w:pPr>
              <w:pStyle w:val="Normal1"/>
            </w:pPr>
          </w:p>
        </w:tc>
      </w:tr>
      <w:tr w:rsidR="00C848E9" w14:paraId="7AE27390" w14:textId="77777777" w:rsidTr="00BF0358">
        <w:trPr>
          <w:trHeight w:val="50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9E806" w14:textId="77777777" w:rsidR="00C848E9" w:rsidRDefault="002F37AB">
            <w:pPr>
              <w:pStyle w:val="Normal1"/>
            </w:pPr>
            <w:r>
              <w:t>Sharing lessons and results of the EU-CEC/CCL project on impact of EPA</w:t>
            </w:r>
          </w:p>
          <w:p w14:paraId="55472863" w14:textId="77777777" w:rsidR="00C848E9" w:rsidRDefault="00C848E9">
            <w:pPr>
              <w:pStyle w:val="Normal1"/>
              <w:widowControl w:val="0"/>
            </w:pP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E541B2" w14:textId="77777777" w:rsidR="00C848E9" w:rsidRDefault="00C848E9">
            <w:pPr>
              <w:pStyle w:val="Normal1"/>
              <w:widowControl w:val="0"/>
            </w:pP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61A6F" w14:textId="77777777" w:rsidR="00C848E9" w:rsidRDefault="002F37AB">
            <w:pPr>
              <w:pStyle w:val="Normal1"/>
              <w:widowControl w:val="0"/>
            </w:pPr>
            <w:r>
              <w:t>Advocating for continued follow-up work on the EU-CEC/CCL project on impact of EPA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10D2F" w14:textId="77777777" w:rsidR="00C848E9" w:rsidRDefault="002F37AB">
            <w:pPr>
              <w:pStyle w:val="Normal1"/>
              <w:widowControl w:val="0"/>
            </w:pPr>
            <w:r>
              <w:t>CCL</w:t>
            </w:r>
          </w:p>
          <w:p w14:paraId="01639D65" w14:textId="77777777" w:rsidR="00C848E9" w:rsidRDefault="002F37AB">
            <w:pPr>
              <w:pStyle w:val="Normal1"/>
              <w:widowControl w:val="0"/>
            </w:pPr>
            <w:r>
              <w:t>CEC</w:t>
            </w:r>
          </w:p>
          <w:p w14:paraId="6599CC95" w14:textId="77777777" w:rsidR="00C848E9" w:rsidRDefault="002F37AB">
            <w:pPr>
              <w:pStyle w:val="Normal1"/>
              <w:widowControl w:val="0"/>
            </w:pPr>
            <w:r>
              <w:t>CAIC</w:t>
            </w:r>
          </w:p>
          <w:p w14:paraId="584A665E" w14:textId="77777777" w:rsidR="00C848E9" w:rsidRDefault="002F37AB">
            <w:pPr>
              <w:pStyle w:val="Normal1"/>
              <w:widowControl w:val="0"/>
            </w:pPr>
            <w:r>
              <w:t>EESC</w:t>
            </w: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5FB37" w14:textId="77777777" w:rsidR="00C848E9" w:rsidRDefault="00C848E9">
            <w:pPr>
              <w:pStyle w:val="Normal1"/>
              <w:widowControl w:val="0"/>
            </w:pP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C3495E" w14:textId="77777777" w:rsidR="00C848E9" w:rsidRDefault="002F37AB">
            <w:pPr>
              <w:pStyle w:val="Normal1"/>
              <w:widowControl w:val="0"/>
            </w:pPr>
            <w:r>
              <w:t>Put information on website</w:t>
            </w:r>
          </w:p>
        </w:tc>
      </w:tr>
      <w:tr w:rsidR="00C848E9" w14:paraId="0A5A4688" w14:textId="77777777" w:rsidTr="00BF0358">
        <w:trPr>
          <w:trHeight w:val="50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8420A" w14:textId="77777777" w:rsidR="00C848E9" w:rsidRDefault="002F37AB">
            <w:pPr>
              <w:pStyle w:val="Normal1"/>
            </w:pPr>
            <w:r>
              <w:rPr>
                <w:b/>
              </w:rPr>
              <w:t>Resilience against climate change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A54AD" w14:textId="77777777" w:rsidR="00C848E9" w:rsidRDefault="00C848E9">
            <w:pPr>
              <w:pStyle w:val="Normal1"/>
            </w:pP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DF1890" w14:textId="77777777" w:rsidR="00C848E9" w:rsidRDefault="00C848E9">
            <w:pPr>
              <w:pStyle w:val="Normal1"/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E0A21" w14:textId="77777777" w:rsidR="00C848E9" w:rsidRDefault="00C848E9">
            <w:pPr>
              <w:pStyle w:val="Normal1"/>
            </w:pP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76835" w14:textId="77777777" w:rsidR="00C848E9" w:rsidRDefault="00C848E9">
            <w:pPr>
              <w:pStyle w:val="Normal1"/>
            </w:pP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59962" w14:textId="77777777" w:rsidR="00C848E9" w:rsidRDefault="00C848E9">
            <w:pPr>
              <w:pStyle w:val="Normal1"/>
            </w:pPr>
          </w:p>
        </w:tc>
      </w:tr>
      <w:tr w:rsidR="00C848E9" w14:paraId="2BDF67CB" w14:textId="77777777" w:rsidTr="00BF0358">
        <w:trPr>
          <w:trHeight w:val="50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5081AF" w14:textId="77777777" w:rsidR="00C848E9" w:rsidRDefault="002F37AB">
            <w:pPr>
              <w:pStyle w:val="Normal1"/>
              <w:widowControl w:val="0"/>
            </w:pPr>
            <w:r>
              <w:t xml:space="preserve">Share information on sustainable energy 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BEBD7" w14:textId="77777777" w:rsidR="00C848E9" w:rsidRDefault="00C848E9">
            <w:pPr>
              <w:pStyle w:val="Normal1"/>
              <w:widowControl w:val="0"/>
            </w:pP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38C12" w14:textId="77777777" w:rsidR="00C848E9" w:rsidRDefault="002F37AB">
            <w:pPr>
              <w:pStyle w:val="Normal1"/>
              <w:widowControl w:val="0"/>
            </w:pPr>
            <w:r>
              <w:t>Develop joint approach and launch initiative on loss and damage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8156C5" w14:textId="77777777" w:rsidR="00C848E9" w:rsidRDefault="002F37AB">
            <w:pPr>
              <w:pStyle w:val="Normal1"/>
            </w:pPr>
            <w:r>
              <w:t>CPDC</w:t>
            </w:r>
          </w:p>
          <w:p w14:paraId="5DEAA14D" w14:textId="77777777" w:rsidR="00C848E9" w:rsidRDefault="002F37AB">
            <w:pPr>
              <w:pStyle w:val="Normal1"/>
            </w:pPr>
            <w:r>
              <w:t>CAIC</w:t>
            </w:r>
          </w:p>
          <w:p w14:paraId="0D3AE9BB" w14:textId="77777777" w:rsidR="00C848E9" w:rsidRDefault="002F37AB">
            <w:pPr>
              <w:pStyle w:val="Normal1"/>
              <w:widowControl w:val="0"/>
            </w:pPr>
            <w:r>
              <w:t>CYEN</w:t>
            </w: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256DD9" w14:textId="77777777" w:rsidR="00C848E9" w:rsidRDefault="00C848E9">
            <w:pPr>
              <w:pStyle w:val="Normal1"/>
              <w:widowControl w:val="0"/>
            </w:pP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3D92D" w14:textId="77777777" w:rsidR="00C848E9" w:rsidRDefault="00C848E9">
            <w:pPr>
              <w:pStyle w:val="Normal1"/>
              <w:widowControl w:val="0"/>
            </w:pPr>
          </w:p>
        </w:tc>
      </w:tr>
      <w:tr w:rsidR="00C848E9" w14:paraId="7AF6A056" w14:textId="77777777" w:rsidTr="00BF0358">
        <w:trPr>
          <w:trHeight w:val="500"/>
        </w:trPr>
        <w:tc>
          <w:tcPr>
            <w:tcW w:w="2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DA56C" w14:textId="77777777" w:rsidR="00C848E9" w:rsidRDefault="002F37AB">
            <w:pPr>
              <w:pStyle w:val="Normal1"/>
              <w:widowControl w:val="0"/>
            </w:pPr>
            <w:r>
              <w:t xml:space="preserve">Transition to renewable energy </w:t>
            </w:r>
          </w:p>
        </w:tc>
        <w:tc>
          <w:tcPr>
            <w:tcW w:w="2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DFEF70" w14:textId="77777777" w:rsidR="00C848E9" w:rsidRDefault="00C848E9">
            <w:pPr>
              <w:pStyle w:val="Normal1"/>
              <w:widowControl w:val="0"/>
            </w:pP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14EF1" w14:textId="77777777" w:rsidR="00C848E9" w:rsidRDefault="002F37AB">
            <w:pPr>
              <w:pStyle w:val="Normal1"/>
              <w:widowControl w:val="0"/>
            </w:pPr>
            <w:r>
              <w:t>Develop joint approach and launch initiative on</w:t>
            </w:r>
          </w:p>
          <w:p w14:paraId="376E3052" w14:textId="77777777" w:rsidR="00C848E9" w:rsidRDefault="002F37AB">
            <w:pPr>
              <w:pStyle w:val="Normal1"/>
              <w:widowControl w:val="0"/>
            </w:pPr>
            <w:r>
              <w:t>Renewable energy</w:t>
            </w:r>
          </w:p>
          <w:p w14:paraId="1940792E" w14:textId="77777777" w:rsidR="00C848E9" w:rsidRDefault="002F37AB">
            <w:pPr>
              <w:pStyle w:val="Normal1"/>
              <w:widowControl w:val="0"/>
            </w:pPr>
            <w:r>
              <w:t>Issue of Business Continuity</w:t>
            </w:r>
          </w:p>
          <w:p w14:paraId="5975A6D0" w14:textId="77777777" w:rsidR="00C848E9" w:rsidRDefault="00C848E9">
            <w:pPr>
              <w:pStyle w:val="Normal1"/>
              <w:widowControl w:val="0"/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8D4FE2" w14:textId="77777777" w:rsidR="00C848E9" w:rsidRDefault="002F37AB">
            <w:pPr>
              <w:pStyle w:val="Normal1"/>
            </w:pPr>
            <w:r>
              <w:t>CPDC</w:t>
            </w:r>
          </w:p>
          <w:p w14:paraId="753E4E2A" w14:textId="77777777" w:rsidR="00C848E9" w:rsidRDefault="002F37AB">
            <w:pPr>
              <w:pStyle w:val="Normal1"/>
            </w:pPr>
            <w:r>
              <w:t>CAIC</w:t>
            </w:r>
          </w:p>
          <w:p w14:paraId="7249A2E2" w14:textId="77777777" w:rsidR="00C848E9" w:rsidRDefault="002F37AB">
            <w:pPr>
              <w:pStyle w:val="Normal1"/>
              <w:widowControl w:val="0"/>
            </w:pPr>
            <w:r>
              <w:t>CYEN</w:t>
            </w:r>
          </w:p>
          <w:p w14:paraId="0DFA9B3C" w14:textId="77777777" w:rsidR="00C848E9" w:rsidRDefault="002F37AB">
            <w:pPr>
              <w:pStyle w:val="Normal1"/>
              <w:widowControl w:val="0"/>
            </w:pPr>
            <w:r>
              <w:t>CASME</w:t>
            </w:r>
          </w:p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220C42" w14:textId="77777777" w:rsidR="00C848E9" w:rsidRDefault="00C848E9">
            <w:pPr>
              <w:pStyle w:val="Normal1"/>
              <w:widowControl w:val="0"/>
            </w:pP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D3A69" w14:textId="77777777" w:rsidR="00C848E9" w:rsidRDefault="00C848E9">
            <w:pPr>
              <w:pStyle w:val="Normal1"/>
              <w:widowControl w:val="0"/>
            </w:pPr>
          </w:p>
        </w:tc>
      </w:tr>
    </w:tbl>
    <w:p w14:paraId="62720D68" w14:textId="77777777" w:rsidR="00C848E9" w:rsidRDefault="00C848E9">
      <w:pPr>
        <w:pStyle w:val="Normal1"/>
        <w:rPr>
          <w:b/>
        </w:rPr>
      </w:pPr>
    </w:p>
    <w:sectPr w:rsidR="00C848E9">
      <w:pgSz w:w="16838" w:h="11906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848E9"/>
    <w:rsid w:val="002F37AB"/>
    <w:rsid w:val="00521BCC"/>
    <w:rsid w:val="00BF0358"/>
    <w:rsid w:val="00BF7D90"/>
    <w:rsid w:val="00C848E9"/>
    <w:rsid w:val="00ED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B40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ECDPM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Patrine Hinds</dc:creator>
  <cp:lastModifiedBy>Patrine Hinds</cp:lastModifiedBy>
  <cp:revision>3</cp:revision>
  <dcterms:created xsi:type="dcterms:W3CDTF">2017-11-16T16:13:00Z</dcterms:created>
  <dcterms:modified xsi:type="dcterms:W3CDTF">2017-11-17T15:48:00Z</dcterms:modified>
</cp:coreProperties>
</file>