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25DA" w:rsidRPr="007B5A65" w:rsidRDefault="004C25DA"/>
    <w:p w:rsidR="004C25DA" w:rsidRPr="007B5A65" w:rsidRDefault="00F72D03" w:rsidP="00F72D03">
      <w:pPr>
        <w:jc w:val="center"/>
      </w:pPr>
      <w:r w:rsidRPr="007B5A65">
        <w:rPr>
          <w:noProof/>
          <w:sz w:val="24"/>
          <w:lang w:val="en-US"/>
        </w:rPr>
        <w:drawing>
          <wp:inline distT="0" distB="0" distL="0" distR="0" wp14:anchorId="307FFFD0" wp14:editId="39859A64">
            <wp:extent cx="2268220" cy="15544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68220" cy="1554480"/>
                    </a:xfrm>
                    <a:prstGeom prst="rect">
                      <a:avLst/>
                    </a:prstGeom>
                    <a:noFill/>
                  </pic:spPr>
                </pic:pic>
              </a:graphicData>
            </a:graphic>
          </wp:inline>
        </w:drawing>
      </w:r>
    </w:p>
    <w:p w:rsidR="00F72D03" w:rsidRPr="007B5A65" w:rsidRDefault="007C2815">
      <w:pPr>
        <w:rPr>
          <w:sz w:val="24"/>
          <w:szCs w:val="24"/>
        </w:rPr>
      </w:pPr>
      <w:r w:rsidRPr="007B5A65">
        <w:rPr>
          <w:noProof/>
          <w:sz w:val="20"/>
          <w:lang w:val="en-US"/>
        </w:rPr>
        <mc:AlternateContent>
          <mc:Choice Requires="wps">
            <w:drawing>
              <wp:anchor distT="0" distB="0" distL="114300" distR="114300" simplePos="0" relativeHeight="251659264" behindDoc="1" locked="0" layoutInCell="0" allowOverlap="1" wp14:anchorId="288CAD5B" wp14:editId="37E34557">
                <wp:simplePos x="0" y="0"/>
                <wp:positionH relativeFrom="page">
                  <wp:posOffset>6769100</wp:posOffset>
                </wp:positionH>
                <wp:positionV relativeFrom="page">
                  <wp:posOffset>10081260</wp:posOffset>
                </wp:positionV>
                <wp:extent cx="647700" cy="396240"/>
                <wp:effectExtent l="0" t="3810" r="3175" b="0"/>
                <wp:wrapNone/>
                <wp:docPr id="1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2815" w:rsidRPr="00260E65" w:rsidRDefault="007C2815">
                            <w:pPr>
                              <w:jc w:val="center"/>
                              <w:rPr>
                                <w:rFonts w:ascii="Arial" w:hAnsi="Arial" w:cs="Arial"/>
                                <w:b/>
                                <w:bCs/>
                                <w:sz w:val="48"/>
                              </w:rPr>
                            </w:pPr>
                            <w:r>
                              <w:rPr>
                                <w:rFonts w:ascii="Arial" w:hAnsi="Arial"/>
                                <w:b/>
                                <w:sz w:val="48"/>
                              </w:rPr>
                              <w:t>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8CAD5B" id="_x0000_t202" coordsize="21600,21600" o:spt="202" path="m,l,21600r21600,l21600,xe">
                <v:stroke joinstyle="miter"/>
                <v:path gradientshapeok="t" o:connecttype="rect"/>
              </v:shapetype>
              <v:shape id="Text Box 18" o:spid="_x0000_s1026" type="#_x0000_t202"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" o:allowincell="f" filled="f" stroked="f">
                <v:textbox>
                  <w:txbxContent>
                    <w:p w:rsidR="007C2815" w:rsidRPr="00260E65" w:rsidRDefault="007C2815">
                      <w:pPr>
                        <w:jc w:val="center"/>
                        <w:rPr>
                          <w:rFonts w:ascii="Arial" w:hAnsi="Arial" w:cs="Arial"/>
                          <w:b/>
                          <w:bCs/>
                          <w:sz w:val="48"/>
                        </w:rPr>
                      </w:pPr>
                      <w:r>
                        <w:rPr>
                          <w:rFonts w:ascii="Arial" w:hAnsi="Arial"/>
                          <w:b/>
                          <w:sz w:val="48"/>
                        </w:rPr>
                        <w:t>EN</w:t>
                      </w:r>
                    </w:p>
                  </w:txbxContent>
                </v:textbox>
                <w10:wrap anchorx="page" anchory="page"/>
              </v:shape>
            </w:pict>
          </mc:Fallback>
        </mc:AlternateContent>
      </w:r>
    </w:p>
    <w:p w:rsidR="00562F0B" w:rsidRPr="007B5A65" w:rsidRDefault="00562F0B">
      <w:pPr>
        <w:rPr>
          <w:sz w:val="24"/>
          <w:szCs w:val="24"/>
        </w:rPr>
      </w:pPr>
    </w:p>
    <w:p w:rsidR="00562F0B" w:rsidRPr="007B5A65" w:rsidRDefault="00562F0B">
      <w:pPr>
        <w:rPr>
          <w:sz w:val="24"/>
          <w:szCs w:val="24"/>
        </w:rPr>
      </w:pPr>
    </w:p>
    <w:p w:rsidR="00527501" w:rsidRPr="007B5A65" w:rsidRDefault="00527501">
      <w:pPr>
        <w:rPr>
          <w:sz w:val="24"/>
          <w:szCs w:val="24"/>
        </w:rPr>
      </w:pPr>
    </w:p>
    <w:p w:rsidR="004C25DA" w:rsidRPr="007B5A65" w:rsidRDefault="00217033" w:rsidP="001607D3">
      <w:pPr>
        <w:jc w:val="center"/>
        <w:rPr>
          <w:b/>
          <w:sz w:val="24"/>
          <w:szCs w:val="24"/>
        </w:rPr>
      </w:pPr>
      <w:r w:rsidRPr="007B5A65">
        <w:rPr>
          <w:b/>
          <w:sz w:val="24"/>
        </w:rPr>
        <w:t>Joint Declaration</w:t>
      </w:r>
    </w:p>
    <w:p w:rsidR="004C25DA" w:rsidRPr="007B5A65" w:rsidRDefault="00217033" w:rsidP="001607D3">
      <w:pPr>
        <w:jc w:val="center"/>
        <w:rPr>
          <w:sz w:val="24"/>
          <w:szCs w:val="24"/>
        </w:rPr>
      </w:pPr>
      <w:bookmarkStart w:id="0" w:name="_heading=h.gjdgxs"/>
      <w:bookmarkEnd w:id="0"/>
      <w:r w:rsidRPr="007B5A65">
        <w:rPr>
          <w:b/>
          <w:sz w:val="24"/>
        </w:rPr>
        <w:t>Central American and European Union Advisory Groups established under the Trade and Sustainable Development Title of the Association Agreement between the European Union and Central America</w:t>
      </w:r>
    </w:p>
    <w:p w:rsidR="004C25DA" w:rsidRPr="007B5A65" w:rsidRDefault="004C25DA" w:rsidP="001607D3">
      <w:pPr>
        <w:rPr>
          <w:sz w:val="24"/>
          <w:szCs w:val="24"/>
        </w:rPr>
      </w:pPr>
    </w:p>
    <w:p w:rsidR="004C25DA" w:rsidRPr="007B5A65" w:rsidRDefault="004C25DA" w:rsidP="001607D3">
      <w:pPr>
        <w:rPr>
          <w:sz w:val="24"/>
          <w:szCs w:val="24"/>
        </w:rPr>
      </w:pPr>
    </w:p>
    <w:p w:rsidR="00527501" w:rsidRPr="007B5A65" w:rsidRDefault="00527501" w:rsidP="001607D3">
      <w:pPr>
        <w:rPr>
          <w:sz w:val="24"/>
          <w:szCs w:val="24"/>
        </w:rPr>
      </w:pPr>
    </w:p>
    <w:p w:rsidR="004C25DA" w:rsidRPr="007B5A65" w:rsidRDefault="004C25DA" w:rsidP="001607D3">
      <w:pPr>
        <w:rPr>
          <w:sz w:val="24"/>
          <w:szCs w:val="24"/>
        </w:rPr>
      </w:pPr>
    </w:p>
    <w:p w:rsidR="00F05DDE" w:rsidRPr="007B5A65" w:rsidRDefault="00217033" w:rsidP="00F05DDE">
      <w:pPr>
        <w:pStyle w:val="ListParagraph"/>
        <w:numPr>
          <w:ilvl w:val="0"/>
          <w:numId w:val="5"/>
        </w:numPr>
        <w:rPr>
          <w:sz w:val="24"/>
          <w:szCs w:val="24"/>
        </w:rPr>
      </w:pPr>
      <w:r w:rsidRPr="007B5A65">
        <w:rPr>
          <w:b/>
          <w:sz w:val="24"/>
        </w:rPr>
        <w:t>Foreword</w:t>
      </w:r>
      <w:r w:rsidRPr="007B5A65">
        <w:rPr>
          <w:sz w:val="24"/>
        </w:rPr>
        <w:t xml:space="preserve"> </w:t>
      </w:r>
    </w:p>
    <w:p w:rsidR="00F05DDE" w:rsidRPr="007B5A65" w:rsidRDefault="00F05DDE" w:rsidP="00F05DDE">
      <w:pPr>
        <w:rPr>
          <w:sz w:val="24"/>
          <w:szCs w:val="24"/>
        </w:rPr>
      </w:pPr>
    </w:p>
    <w:p w:rsidR="004C25DA" w:rsidRPr="007B5A65" w:rsidRDefault="00217033" w:rsidP="00B25050">
      <w:pPr>
        <w:pStyle w:val="ListParagraph"/>
        <w:numPr>
          <w:ilvl w:val="1"/>
          <w:numId w:val="6"/>
        </w:numPr>
        <w:ind w:left="0" w:firstLine="0"/>
        <w:rPr>
          <w:sz w:val="24"/>
          <w:szCs w:val="24"/>
        </w:rPr>
      </w:pPr>
      <w:r w:rsidRPr="007B5A65">
        <w:rPr>
          <w:sz w:val="24"/>
        </w:rPr>
        <w:t>We note that the recommendations put forward in the joint declaration made by the DAGs of the EU and of the six Central American countries in 2020 and presented again in 2021 have not been taken into account, nor have they been followed up by the Trade and Sustainable Development Board. There has been no response to the recommendations and they have not been taken into account in practice. The issues raised in this document are all the more urgent today, considering the global crisis –⁠ accentuated by the pandemic and its impact on the health of the population –⁠, the economic impact on people's living conditions, and the rising prices of raw materials and fuels resulting from the military conflict in Europe.</w:t>
      </w:r>
    </w:p>
    <w:p w:rsidR="001607D3" w:rsidRPr="007B5A65" w:rsidRDefault="001607D3" w:rsidP="001607D3">
      <w:pPr>
        <w:rPr>
          <w:strike/>
          <w:sz w:val="24"/>
          <w:szCs w:val="24"/>
        </w:rPr>
      </w:pPr>
    </w:p>
    <w:p w:rsidR="004C25DA" w:rsidRPr="007B5A65" w:rsidRDefault="00217033" w:rsidP="00B25050">
      <w:pPr>
        <w:pStyle w:val="ListParagraph"/>
        <w:numPr>
          <w:ilvl w:val="1"/>
          <w:numId w:val="7"/>
        </w:numPr>
        <w:ind w:left="0" w:firstLine="0"/>
        <w:rPr>
          <w:sz w:val="24"/>
          <w:szCs w:val="24"/>
        </w:rPr>
      </w:pPr>
      <w:r w:rsidRPr="007B5A65">
        <w:rPr>
          <w:sz w:val="24"/>
        </w:rPr>
        <w:t>In addition to this international situation, which is having a negative impact on trade and sustainable development, as well as on the protection of human rights and the fight against poverty, it is important to note the lack of effective mechanisms and practices for social dialogue within the EU-Central America Agreement.</w:t>
      </w:r>
    </w:p>
    <w:p w:rsidR="001607D3" w:rsidRPr="007B5A65" w:rsidRDefault="001607D3" w:rsidP="001607D3">
      <w:pPr>
        <w:rPr>
          <w:sz w:val="24"/>
          <w:szCs w:val="24"/>
        </w:rPr>
      </w:pPr>
    </w:p>
    <w:p w:rsidR="004C25DA" w:rsidRPr="007B5A65" w:rsidRDefault="002857DC" w:rsidP="00B25050">
      <w:pPr>
        <w:pStyle w:val="ListParagraph"/>
        <w:numPr>
          <w:ilvl w:val="1"/>
          <w:numId w:val="8"/>
        </w:numPr>
        <w:ind w:left="0" w:firstLine="0"/>
        <w:rPr>
          <w:sz w:val="24"/>
          <w:szCs w:val="24"/>
        </w:rPr>
      </w:pPr>
      <w:r w:rsidRPr="007B5A65">
        <w:rPr>
          <w:sz w:val="24"/>
        </w:rPr>
        <w:t>The task of strengthening social dialogue through workers' organisations, trade unions, employers' organisations and NGOs has been pending since the EU-Central America Agreement entered into force.</w:t>
      </w:r>
    </w:p>
    <w:p w:rsidR="004C25DA" w:rsidRPr="007B5A65" w:rsidRDefault="004C25DA" w:rsidP="001607D3">
      <w:pPr>
        <w:rPr>
          <w:sz w:val="24"/>
          <w:szCs w:val="24"/>
        </w:rPr>
      </w:pPr>
    </w:p>
    <w:p w:rsidR="004C25DA" w:rsidRPr="007B5A65" w:rsidRDefault="004C25DA" w:rsidP="001607D3">
      <w:pPr>
        <w:rPr>
          <w:sz w:val="24"/>
          <w:szCs w:val="24"/>
        </w:rPr>
      </w:pPr>
    </w:p>
    <w:p w:rsidR="004C25DA" w:rsidRPr="007B5A65" w:rsidRDefault="001607D3" w:rsidP="0001101D">
      <w:pPr>
        <w:pStyle w:val="ListParagraph"/>
        <w:keepNext/>
        <w:numPr>
          <w:ilvl w:val="0"/>
          <w:numId w:val="5"/>
        </w:numPr>
        <w:rPr>
          <w:sz w:val="24"/>
          <w:szCs w:val="24"/>
        </w:rPr>
      </w:pPr>
      <w:r w:rsidRPr="007B5A65">
        <w:rPr>
          <w:b/>
          <w:sz w:val="24"/>
        </w:rPr>
        <w:lastRenderedPageBreak/>
        <w:t>Comments on the human rights and labour situation evaluation process</w:t>
      </w:r>
    </w:p>
    <w:p w:rsidR="004C25DA" w:rsidRPr="007B5A65" w:rsidRDefault="004C25DA" w:rsidP="0001101D">
      <w:pPr>
        <w:keepNext/>
        <w:rPr>
          <w:sz w:val="24"/>
          <w:szCs w:val="24"/>
        </w:rPr>
      </w:pPr>
    </w:p>
    <w:p w:rsidR="004C25DA" w:rsidRPr="007B5A65" w:rsidRDefault="00217033" w:rsidP="00B25050">
      <w:pPr>
        <w:pStyle w:val="ListParagraph"/>
        <w:numPr>
          <w:ilvl w:val="1"/>
          <w:numId w:val="9"/>
        </w:numPr>
        <w:ind w:left="0" w:firstLine="0"/>
        <w:rPr>
          <w:sz w:val="24"/>
          <w:szCs w:val="24"/>
        </w:rPr>
      </w:pPr>
      <w:r w:rsidRPr="007B5A65">
        <w:rPr>
          <w:sz w:val="24"/>
        </w:rPr>
        <w:t>The format of the evaluation was very limited in terms of full and real participation. From the workers’ representation in the Central American DAGs, we would point out that the process did not allow for a real exchange of views or expression of opinions on the EU-Central America Association Agreement. We noticed that in the preliminary report on the evaluation of the Association Agreement there is incomplete information regarding labour and human rights in Central American countries.</w:t>
      </w:r>
    </w:p>
    <w:p w:rsidR="006059E2" w:rsidRPr="007B5A65" w:rsidRDefault="006059E2" w:rsidP="0001101D">
      <w:pPr>
        <w:pStyle w:val="ListParagraph"/>
        <w:ind w:left="0"/>
        <w:rPr>
          <w:sz w:val="24"/>
          <w:szCs w:val="24"/>
        </w:rPr>
      </w:pPr>
    </w:p>
    <w:p w:rsidR="006059E2" w:rsidRPr="007B5A65" w:rsidRDefault="006059E2" w:rsidP="00B25050">
      <w:pPr>
        <w:pStyle w:val="ListParagraph"/>
        <w:numPr>
          <w:ilvl w:val="1"/>
          <w:numId w:val="9"/>
        </w:numPr>
        <w:ind w:left="0" w:firstLine="0"/>
        <w:rPr>
          <w:sz w:val="24"/>
          <w:szCs w:val="24"/>
        </w:rPr>
      </w:pPr>
      <w:r w:rsidRPr="007B5A65">
        <w:rPr>
          <w:sz w:val="24"/>
        </w:rPr>
        <w:t>As observed, the evaluation report reflects a biased analysis, since the sources of information or verification (provable data) that were consulted and that would support the facts and findings are not cited. This data refers to violations - including in the area of labour - child labour, human rights, rights of indigenous peoples, property rights and freedom of association, among other things, which the report indicates have been carried out by some sections of the business sector, but there are no credible technical and legal grounds for this information.</w:t>
      </w:r>
    </w:p>
    <w:p w:rsidR="006059E2" w:rsidRPr="007B5A65" w:rsidRDefault="006059E2" w:rsidP="0001101D">
      <w:pPr>
        <w:pStyle w:val="ListParagraph"/>
        <w:ind w:left="0"/>
        <w:rPr>
          <w:sz w:val="24"/>
          <w:szCs w:val="24"/>
        </w:rPr>
      </w:pPr>
    </w:p>
    <w:p w:rsidR="006059E2" w:rsidRPr="007B5A65" w:rsidRDefault="006059E2" w:rsidP="00B25050">
      <w:pPr>
        <w:pStyle w:val="ListParagraph"/>
        <w:numPr>
          <w:ilvl w:val="1"/>
          <w:numId w:val="9"/>
        </w:numPr>
        <w:ind w:left="0" w:firstLine="0"/>
        <w:rPr>
          <w:sz w:val="24"/>
          <w:szCs w:val="24"/>
        </w:rPr>
      </w:pPr>
      <w:r w:rsidRPr="007B5A65">
        <w:rPr>
          <w:sz w:val="24"/>
        </w:rPr>
        <w:t>It is important to note that, while it is true that the study in question mentions that the evaluation document is not an official document and does not represent the opinion of the European Commission, the information it provides could in future cause confusion and lead to the wrong decisions being taken, because of the poor analysis, depth and knowledge of the sectors involved and the lack of documentary data (studies, analyses, reports, etc.).</w:t>
      </w:r>
    </w:p>
    <w:p w:rsidR="004C25DA" w:rsidRPr="007B5A65" w:rsidRDefault="004C25DA" w:rsidP="001607D3">
      <w:pPr>
        <w:rPr>
          <w:sz w:val="24"/>
          <w:szCs w:val="24"/>
        </w:rPr>
      </w:pPr>
    </w:p>
    <w:p w:rsidR="004C25DA" w:rsidRPr="007B5A65" w:rsidRDefault="004C25DA" w:rsidP="001607D3">
      <w:pPr>
        <w:rPr>
          <w:sz w:val="24"/>
          <w:szCs w:val="24"/>
        </w:rPr>
      </w:pPr>
    </w:p>
    <w:p w:rsidR="007C2815" w:rsidRPr="007B5A65" w:rsidRDefault="00217033" w:rsidP="00B25050">
      <w:pPr>
        <w:pStyle w:val="ListParagraph"/>
        <w:numPr>
          <w:ilvl w:val="0"/>
          <w:numId w:val="5"/>
        </w:numPr>
        <w:rPr>
          <w:sz w:val="24"/>
          <w:szCs w:val="24"/>
        </w:rPr>
      </w:pPr>
      <w:r w:rsidRPr="007B5A65">
        <w:rPr>
          <w:b/>
          <w:sz w:val="24"/>
        </w:rPr>
        <w:t>Civic space</w:t>
      </w:r>
    </w:p>
    <w:p w:rsidR="004C25DA" w:rsidRPr="007B5A65" w:rsidRDefault="004C25DA">
      <w:pPr>
        <w:rPr>
          <w:sz w:val="24"/>
          <w:szCs w:val="24"/>
        </w:rPr>
      </w:pPr>
    </w:p>
    <w:p w:rsidR="004C25DA" w:rsidRPr="007B5A65" w:rsidRDefault="00217033" w:rsidP="007B5A65">
      <w:pPr>
        <w:pStyle w:val="ListParagraph"/>
        <w:numPr>
          <w:ilvl w:val="1"/>
          <w:numId w:val="10"/>
        </w:numPr>
        <w:ind w:left="0" w:firstLine="0"/>
        <w:rPr>
          <w:sz w:val="24"/>
          <w:szCs w:val="24"/>
        </w:rPr>
      </w:pPr>
      <w:r w:rsidRPr="007B5A65">
        <w:rPr>
          <w:sz w:val="24"/>
        </w:rPr>
        <w:t>Considering that Article 1 of the Association Agreement between the EU and Central America stresses that democratic principles, fundamental human rights and the rule of law are key aspects of that agreement, and that respecting the freedom of action and the autonomy of civil society are essential prerequisites for promoting a form of trade that is conducive to sustainable development, we call on the Trade and Sustainable Development Board to convey to the Association Committee its deep concerns about some of the measures imposed in certain Central American and European countries. These measures limit the legitimate actions of labour organisations, trade unions and NGOs, in particular those working for trade and investment policies that respect and promote sustainable development.</w:t>
      </w:r>
    </w:p>
    <w:p w:rsidR="007C2815" w:rsidRPr="007B5A65" w:rsidRDefault="007C2815" w:rsidP="00B25050">
      <w:pPr>
        <w:pStyle w:val="ListParagraph"/>
        <w:spacing w:before="240" w:after="240"/>
        <w:ind w:left="0"/>
        <w:rPr>
          <w:sz w:val="24"/>
          <w:szCs w:val="24"/>
        </w:rPr>
      </w:pPr>
    </w:p>
    <w:p w:rsidR="004C25DA" w:rsidRPr="007B5A65" w:rsidRDefault="001607D3" w:rsidP="00B25050">
      <w:pPr>
        <w:pStyle w:val="ListParagraph"/>
        <w:numPr>
          <w:ilvl w:val="1"/>
          <w:numId w:val="11"/>
        </w:numPr>
        <w:ind w:left="0" w:firstLine="0"/>
        <w:rPr>
          <w:sz w:val="24"/>
          <w:szCs w:val="24"/>
        </w:rPr>
      </w:pPr>
      <w:r w:rsidRPr="007B5A65">
        <w:rPr>
          <w:sz w:val="24"/>
        </w:rPr>
        <w:t>We also call on the Parties to the agreement to broaden civic space and the organisational capacity of trade unions, of workers, of employers and of civil society in general, and to take appropriate measures to ensure respect for human rights and the rule of law in all signatory countries.</w:t>
      </w:r>
    </w:p>
    <w:p w:rsidR="00C5064B" w:rsidRPr="007B5A65" w:rsidRDefault="00C5064B" w:rsidP="0030661E">
      <w:pPr>
        <w:pStyle w:val="ListParagraph"/>
        <w:ind w:left="0"/>
        <w:rPr>
          <w:sz w:val="24"/>
          <w:szCs w:val="24"/>
        </w:rPr>
      </w:pPr>
    </w:p>
    <w:p w:rsidR="007C2815" w:rsidRPr="007B5A65" w:rsidRDefault="00217033" w:rsidP="00B25050">
      <w:pPr>
        <w:pStyle w:val="ListParagraph"/>
        <w:numPr>
          <w:ilvl w:val="0"/>
          <w:numId w:val="5"/>
        </w:numPr>
        <w:rPr>
          <w:sz w:val="24"/>
          <w:szCs w:val="24"/>
        </w:rPr>
      </w:pPr>
      <w:r w:rsidRPr="007B5A65">
        <w:rPr>
          <w:b/>
          <w:sz w:val="24"/>
        </w:rPr>
        <w:t>Formal establishment and functioning of DAGs</w:t>
      </w:r>
    </w:p>
    <w:p w:rsidR="004C25DA" w:rsidRPr="007B5A65" w:rsidRDefault="004C25DA">
      <w:pPr>
        <w:rPr>
          <w:sz w:val="24"/>
          <w:szCs w:val="24"/>
        </w:rPr>
      </w:pPr>
    </w:p>
    <w:p w:rsidR="004C25DA" w:rsidRPr="007B5A65" w:rsidRDefault="00217033" w:rsidP="00B25050">
      <w:pPr>
        <w:pStyle w:val="ListParagraph"/>
        <w:numPr>
          <w:ilvl w:val="1"/>
          <w:numId w:val="12"/>
        </w:numPr>
        <w:spacing w:before="240" w:line="276" w:lineRule="auto"/>
        <w:ind w:left="0" w:firstLine="0"/>
        <w:rPr>
          <w:sz w:val="24"/>
          <w:szCs w:val="24"/>
        </w:rPr>
      </w:pPr>
      <w:r w:rsidRPr="007B5A65">
        <w:rPr>
          <w:sz w:val="24"/>
        </w:rPr>
        <w:lastRenderedPageBreak/>
        <w:t>Now that the agreement has been in force for nine years, we believe that mechanisms for direct dialogue between the Trade and Sustainable Development Board and the Parties' Advisory Groups must be formally established. There is literally no exchange or dialogue between governments and Advisory Groups. The foundations of the agreement – promoting democracy and sustainable development in the signatory countries – are at stake.</w:t>
      </w:r>
    </w:p>
    <w:p w:rsidR="007C2815" w:rsidRPr="007B5A65" w:rsidRDefault="007C2815" w:rsidP="00B25050">
      <w:pPr>
        <w:pStyle w:val="ListParagraph"/>
        <w:spacing w:before="240" w:line="276" w:lineRule="auto"/>
        <w:ind w:left="0"/>
        <w:rPr>
          <w:sz w:val="24"/>
          <w:szCs w:val="24"/>
        </w:rPr>
      </w:pPr>
    </w:p>
    <w:p w:rsidR="004C25DA" w:rsidRPr="007B5A65" w:rsidRDefault="00217033" w:rsidP="00B25050">
      <w:pPr>
        <w:pStyle w:val="ListParagraph"/>
        <w:numPr>
          <w:ilvl w:val="1"/>
          <w:numId w:val="13"/>
        </w:numPr>
        <w:spacing w:before="240" w:line="276" w:lineRule="auto"/>
        <w:ind w:left="0" w:firstLine="0"/>
        <w:rPr>
          <w:sz w:val="24"/>
          <w:szCs w:val="24"/>
        </w:rPr>
      </w:pPr>
      <w:r w:rsidRPr="007B5A65">
        <w:rPr>
          <w:sz w:val="24"/>
        </w:rPr>
        <w:t>There are serious weaknesses in the formal establishment of the Central American DAGs, posing a major obstacle to full compliance with the guiding principles of th</w:t>
      </w:r>
      <w:r w:rsidR="007B5A65" w:rsidRPr="007B5A65">
        <w:rPr>
          <w:sz w:val="24"/>
        </w:rPr>
        <w:t>e EU-Central America Agreement.</w:t>
      </w:r>
    </w:p>
    <w:p w:rsidR="004C25DA" w:rsidRPr="007B5A65" w:rsidRDefault="004C25DA" w:rsidP="001607D3">
      <w:pPr>
        <w:rPr>
          <w:strike/>
          <w:sz w:val="24"/>
          <w:szCs w:val="24"/>
        </w:rPr>
      </w:pPr>
    </w:p>
    <w:p w:rsidR="004C25DA" w:rsidRPr="007B5A65" w:rsidRDefault="00217033" w:rsidP="00B25050">
      <w:pPr>
        <w:pStyle w:val="ListParagraph"/>
        <w:numPr>
          <w:ilvl w:val="1"/>
          <w:numId w:val="14"/>
        </w:numPr>
        <w:ind w:left="0" w:firstLine="0"/>
        <w:rPr>
          <w:sz w:val="24"/>
          <w:szCs w:val="24"/>
        </w:rPr>
      </w:pPr>
      <w:r w:rsidRPr="007B5A65">
        <w:rPr>
          <w:sz w:val="24"/>
        </w:rPr>
        <w:t>In order to achieve complian</w:t>
      </w:r>
      <w:r w:rsidR="007B5A65" w:rsidRPr="007B5A65">
        <w:rPr>
          <w:sz w:val="24"/>
        </w:rPr>
        <w:t>ce, we recommend the following:</w:t>
      </w:r>
    </w:p>
    <w:p w:rsidR="004C25DA" w:rsidRPr="007B5A65" w:rsidRDefault="004C25DA" w:rsidP="001607D3">
      <w:pPr>
        <w:rPr>
          <w:sz w:val="24"/>
          <w:szCs w:val="24"/>
        </w:rPr>
      </w:pPr>
    </w:p>
    <w:p w:rsidR="004C25DA" w:rsidRPr="007B5A65" w:rsidRDefault="00294092" w:rsidP="001607D3">
      <w:pPr>
        <w:numPr>
          <w:ilvl w:val="0"/>
          <w:numId w:val="2"/>
        </w:numPr>
        <w:rPr>
          <w:sz w:val="24"/>
          <w:szCs w:val="24"/>
        </w:rPr>
      </w:pPr>
      <w:r w:rsidRPr="007B5A65">
        <w:rPr>
          <w:sz w:val="24"/>
        </w:rPr>
        <w:t>promoting a direct link between the Central American Advisory Groups and the institutional structure of the regional integration process;</w:t>
      </w:r>
    </w:p>
    <w:p w:rsidR="001607D3" w:rsidRPr="007B5A65" w:rsidRDefault="001607D3" w:rsidP="001607D3">
      <w:pPr>
        <w:ind w:left="720"/>
        <w:rPr>
          <w:sz w:val="24"/>
          <w:szCs w:val="24"/>
        </w:rPr>
      </w:pPr>
    </w:p>
    <w:p w:rsidR="004C25DA" w:rsidRPr="007B5A65" w:rsidRDefault="00294092" w:rsidP="001607D3">
      <w:pPr>
        <w:numPr>
          <w:ilvl w:val="0"/>
          <w:numId w:val="2"/>
        </w:numPr>
        <w:rPr>
          <w:sz w:val="24"/>
          <w:szCs w:val="24"/>
        </w:rPr>
      </w:pPr>
      <w:r w:rsidRPr="007B5A65">
        <w:rPr>
          <w:sz w:val="24"/>
        </w:rPr>
        <w:t>using representativeness and independence criteria when appointing members of the Advisory Groups in each country;</w:t>
      </w:r>
    </w:p>
    <w:p w:rsidR="001607D3" w:rsidRPr="007B5A65" w:rsidRDefault="001607D3" w:rsidP="001607D3">
      <w:pPr>
        <w:ind w:left="720"/>
        <w:rPr>
          <w:sz w:val="24"/>
          <w:szCs w:val="24"/>
        </w:rPr>
      </w:pPr>
    </w:p>
    <w:p w:rsidR="00F64193" w:rsidRPr="007B5A65" w:rsidRDefault="00294092" w:rsidP="00F64193">
      <w:pPr>
        <w:numPr>
          <w:ilvl w:val="0"/>
          <w:numId w:val="2"/>
        </w:numPr>
        <w:rPr>
          <w:sz w:val="24"/>
          <w:szCs w:val="24"/>
        </w:rPr>
      </w:pPr>
      <w:r w:rsidRPr="007B5A65">
        <w:rPr>
          <w:sz w:val="24"/>
        </w:rPr>
        <w:t>it is essential for the Central American Advisory Groups to benefit from operational, logistical and financial conditions that enable them to effectively carry out the role laid down in the Association Agreement. They urgently need a regional technical secretariat similar to the EU Advisory Group's secretariat. We refer to the non-paper drawn up by all the Advisory Groups and submitted to the European Commission in 2021, with specific proposals on strengthening and improving the functioning of DAGs:</w:t>
      </w:r>
    </w:p>
    <w:p w:rsidR="00F64193" w:rsidRPr="007B5A65" w:rsidRDefault="001C11CF" w:rsidP="00AE26C3">
      <w:pPr>
        <w:ind w:left="709"/>
        <w:rPr>
          <w:sz w:val="24"/>
          <w:szCs w:val="24"/>
        </w:rPr>
      </w:pPr>
      <w:hyperlink r:id="rId12" w:history="1">
        <w:r w:rsidR="00F64193" w:rsidRPr="007B5A65">
          <w:rPr>
            <w:rStyle w:val="Hyperlink"/>
            <w:sz w:val="24"/>
          </w:rPr>
          <w:t>Non-paper of the EU DAGs</w:t>
        </w:r>
      </w:hyperlink>
      <w:r w:rsidR="007B5A65">
        <w:rPr>
          <w:rStyle w:val="Hyperlink"/>
          <w:sz w:val="24"/>
        </w:rPr>
        <w:t xml:space="preserve"> </w:t>
      </w:r>
      <w:r w:rsidR="00AE26C3">
        <w:rPr>
          <w:rStyle w:val="Hyperlink"/>
          <w:sz w:val="24"/>
        </w:rPr>
        <w:t xml:space="preserve">| </w:t>
      </w:r>
      <w:bookmarkStart w:id="1" w:name="_GoBack"/>
      <w:bookmarkEnd w:id="1"/>
      <w:r w:rsidRPr="007B5A65">
        <w:fldChar w:fldCharType="begin"/>
      </w:r>
      <w:r w:rsidRPr="007B5A65">
        <w:instrText xml:space="preserve"> HYPERLINK "https://www.eesc.europa.eu/en/documents/non-paper-eu-dags" </w:instrText>
      </w:r>
      <w:r w:rsidRPr="007B5A65">
        <w:fldChar w:fldCharType="separate"/>
      </w:r>
      <w:r w:rsidR="00F64193" w:rsidRPr="007B5A65">
        <w:rPr>
          <w:rStyle w:val="Hyperlink"/>
          <w:sz w:val="24"/>
        </w:rPr>
        <w:t>European Economic and Social Committee (europa.eu)</w:t>
      </w:r>
      <w:r w:rsidRPr="007B5A65">
        <w:rPr>
          <w:rStyle w:val="Hyperlink"/>
          <w:sz w:val="24"/>
        </w:rPr>
        <w:fldChar w:fldCharType="end"/>
      </w:r>
      <w:r w:rsidR="00F64193" w:rsidRPr="007B5A65">
        <w:t>.</w:t>
      </w:r>
    </w:p>
    <w:p w:rsidR="007B5A65" w:rsidRPr="007B5A65" w:rsidRDefault="007B5A65" w:rsidP="001607D3">
      <w:pPr>
        <w:rPr>
          <w:sz w:val="24"/>
          <w:szCs w:val="24"/>
        </w:rPr>
      </w:pPr>
    </w:p>
    <w:p w:rsidR="004C25DA" w:rsidRPr="007B5A65" w:rsidRDefault="00217033" w:rsidP="00B25050">
      <w:pPr>
        <w:pStyle w:val="ListParagraph"/>
        <w:numPr>
          <w:ilvl w:val="0"/>
          <w:numId w:val="5"/>
        </w:numPr>
        <w:rPr>
          <w:sz w:val="24"/>
          <w:szCs w:val="24"/>
        </w:rPr>
      </w:pPr>
      <w:r w:rsidRPr="007B5A65">
        <w:rPr>
          <w:b/>
          <w:sz w:val="24"/>
        </w:rPr>
        <w:t>Recommendations for strengthening the role of civil society and democracy</w:t>
      </w:r>
    </w:p>
    <w:p w:rsidR="004C25DA" w:rsidRPr="007B5A65" w:rsidRDefault="004C25DA" w:rsidP="001607D3">
      <w:pPr>
        <w:rPr>
          <w:sz w:val="24"/>
          <w:szCs w:val="24"/>
        </w:rPr>
      </w:pPr>
    </w:p>
    <w:p w:rsidR="004C25DA" w:rsidRPr="007B5A65" w:rsidRDefault="009D2323" w:rsidP="00B25050">
      <w:pPr>
        <w:pStyle w:val="ListParagraph"/>
        <w:numPr>
          <w:ilvl w:val="1"/>
          <w:numId w:val="15"/>
        </w:numPr>
        <w:ind w:left="0" w:firstLine="0"/>
        <w:rPr>
          <w:sz w:val="24"/>
          <w:szCs w:val="24"/>
        </w:rPr>
      </w:pPr>
      <w:r w:rsidRPr="007B5A65">
        <w:rPr>
          <w:sz w:val="24"/>
        </w:rPr>
        <w:t>As we have already stressed in previous declarations, strengthening the participation of all societies in the countries of both regions is a basic condition that the Association Agreement must foster to ensure compliance with t</w:t>
      </w:r>
      <w:r w:rsidR="007B5A65" w:rsidRPr="007B5A65">
        <w:rPr>
          <w:sz w:val="24"/>
        </w:rPr>
        <w:t>he principles of the agreement.</w:t>
      </w:r>
    </w:p>
    <w:p w:rsidR="004C25DA" w:rsidRPr="007B5A65" w:rsidRDefault="004C25DA" w:rsidP="001607D3">
      <w:pPr>
        <w:rPr>
          <w:sz w:val="24"/>
          <w:szCs w:val="24"/>
        </w:rPr>
      </w:pPr>
    </w:p>
    <w:p w:rsidR="004C25DA" w:rsidRPr="007B5A65" w:rsidRDefault="00217033" w:rsidP="00B25050">
      <w:pPr>
        <w:pStyle w:val="ListParagraph"/>
        <w:numPr>
          <w:ilvl w:val="1"/>
          <w:numId w:val="16"/>
        </w:numPr>
        <w:ind w:left="0" w:firstLine="0"/>
        <w:rPr>
          <w:sz w:val="24"/>
          <w:szCs w:val="24"/>
        </w:rPr>
      </w:pPr>
      <w:r w:rsidRPr="007B5A65">
        <w:rPr>
          <w:sz w:val="24"/>
        </w:rPr>
        <w:t>We therefore propose:</w:t>
      </w:r>
    </w:p>
    <w:p w:rsidR="00F05DDE" w:rsidRPr="007B5A65" w:rsidRDefault="00857840" w:rsidP="00F05DDE">
      <w:pPr>
        <w:numPr>
          <w:ilvl w:val="0"/>
          <w:numId w:val="1"/>
        </w:numPr>
        <w:spacing w:before="240"/>
        <w:rPr>
          <w:sz w:val="24"/>
          <w:szCs w:val="24"/>
        </w:rPr>
      </w:pPr>
      <w:r w:rsidRPr="007B5A65">
        <w:rPr>
          <w:b/>
          <w:sz w:val="24"/>
        </w:rPr>
        <w:t>to promote and drive forward,</w:t>
      </w:r>
      <w:r w:rsidRPr="007B5A65">
        <w:rPr>
          <w:sz w:val="24"/>
        </w:rPr>
        <w:t xml:space="preserve"> in dialogue with the various stakeholders, </w:t>
      </w:r>
      <w:r w:rsidRPr="007B5A65">
        <w:rPr>
          <w:b/>
          <w:sz w:val="24"/>
        </w:rPr>
        <w:t>national plans and public policies</w:t>
      </w:r>
      <w:r w:rsidRPr="007B5A65">
        <w:rPr>
          <w:sz w:val="24"/>
        </w:rPr>
        <w:t xml:space="preserve"> that put into practice the UN Guiding Principles on </w:t>
      </w:r>
      <w:r w:rsidRPr="007B5A65">
        <w:rPr>
          <w:b/>
          <w:sz w:val="24"/>
        </w:rPr>
        <w:t>Business and Human Rights</w:t>
      </w:r>
      <w:r w:rsidRPr="007B5A65">
        <w:rPr>
          <w:sz w:val="24"/>
        </w:rPr>
        <w:t xml:space="preserve"> and ensure implementation of the fundamental conventions of the ILO;</w:t>
      </w:r>
    </w:p>
    <w:p w:rsidR="00F05DDE" w:rsidRPr="007B5A65" w:rsidRDefault="00F05DDE" w:rsidP="00F05DDE">
      <w:pPr>
        <w:ind w:left="720"/>
        <w:rPr>
          <w:sz w:val="24"/>
          <w:szCs w:val="24"/>
        </w:rPr>
      </w:pPr>
    </w:p>
    <w:p w:rsidR="004C25DA" w:rsidRPr="007B5A65" w:rsidRDefault="00857840" w:rsidP="001607D3">
      <w:pPr>
        <w:numPr>
          <w:ilvl w:val="0"/>
          <w:numId w:val="1"/>
        </w:numPr>
        <w:rPr>
          <w:sz w:val="24"/>
          <w:szCs w:val="24"/>
        </w:rPr>
      </w:pPr>
      <w:r w:rsidRPr="007B5A65">
        <w:rPr>
          <w:b/>
          <w:sz w:val="24"/>
        </w:rPr>
        <w:t xml:space="preserve">promoting trade </w:t>
      </w:r>
      <w:r w:rsidRPr="007B5A65">
        <w:rPr>
          <w:sz w:val="24"/>
        </w:rPr>
        <w:t xml:space="preserve">in goods and services </w:t>
      </w:r>
      <w:r w:rsidRPr="007B5A65">
        <w:rPr>
          <w:b/>
          <w:sz w:val="24"/>
        </w:rPr>
        <w:t>conducive to sustainable development</w:t>
      </w:r>
      <w:r w:rsidRPr="007B5A65">
        <w:rPr>
          <w:sz w:val="24"/>
        </w:rPr>
        <w:t xml:space="preserve"> by supporting fair trade initiatives and fostering cooperation between customs administrations, and between business organisations and regulatory authorities in Central America and the EU, in order to address technical barriers to such trade;</w:t>
      </w:r>
    </w:p>
    <w:p w:rsidR="00F05DDE" w:rsidRPr="007B5A65" w:rsidRDefault="00F05DDE" w:rsidP="00F05DDE">
      <w:pPr>
        <w:spacing w:line="276" w:lineRule="auto"/>
        <w:ind w:left="720"/>
        <w:rPr>
          <w:sz w:val="24"/>
          <w:szCs w:val="24"/>
        </w:rPr>
      </w:pPr>
    </w:p>
    <w:p w:rsidR="004C25DA" w:rsidRPr="007B5A65" w:rsidRDefault="00857840" w:rsidP="001607D3">
      <w:pPr>
        <w:numPr>
          <w:ilvl w:val="0"/>
          <w:numId w:val="1"/>
        </w:numPr>
        <w:spacing w:line="276" w:lineRule="auto"/>
        <w:rPr>
          <w:sz w:val="24"/>
          <w:szCs w:val="24"/>
        </w:rPr>
      </w:pPr>
      <w:r w:rsidRPr="007B5A65">
        <w:rPr>
          <w:b/>
          <w:sz w:val="24"/>
        </w:rPr>
        <w:lastRenderedPageBreak/>
        <w:t>promoting</w:t>
      </w:r>
      <w:r w:rsidRPr="007B5A65">
        <w:rPr>
          <w:sz w:val="24"/>
        </w:rPr>
        <w:t xml:space="preserve"> seminars or activities dedicated to </w:t>
      </w:r>
      <w:r w:rsidRPr="007B5A65">
        <w:rPr>
          <w:b/>
          <w:sz w:val="24"/>
        </w:rPr>
        <w:t>decent work</w:t>
      </w:r>
      <w:r w:rsidRPr="007B5A65">
        <w:rPr>
          <w:sz w:val="24"/>
        </w:rPr>
        <w:t>, both in Central American and EU countries.</w:t>
      </w:r>
    </w:p>
    <w:p w:rsidR="00F22264" w:rsidRPr="007B5A65" w:rsidRDefault="00F22264" w:rsidP="0030661E">
      <w:pPr>
        <w:spacing w:line="276" w:lineRule="auto"/>
        <w:ind w:left="720"/>
        <w:rPr>
          <w:sz w:val="24"/>
          <w:szCs w:val="24"/>
        </w:rPr>
      </w:pPr>
    </w:p>
    <w:p w:rsidR="00F22264" w:rsidRPr="007B5A65" w:rsidRDefault="00F22264" w:rsidP="001607D3">
      <w:pPr>
        <w:numPr>
          <w:ilvl w:val="0"/>
          <w:numId w:val="1"/>
        </w:numPr>
        <w:spacing w:line="276" w:lineRule="auto"/>
        <w:rPr>
          <w:sz w:val="24"/>
          <w:szCs w:val="24"/>
        </w:rPr>
      </w:pPr>
      <w:r w:rsidRPr="007B5A65">
        <w:rPr>
          <w:b/>
          <w:sz w:val="24"/>
        </w:rPr>
        <w:t>promoting</w:t>
      </w:r>
      <w:r w:rsidRPr="007B5A65">
        <w:rPr>
          <w:sz w:val="24"/>
        </w:rPr>
        <w:t xml:space="preserve"> the fight against climate change and the environmental preservation of the planet, working on the need to ensure access to water for all, avoiding land take through deforestation and promoting a sustainable agriculture model and support for farmers and livestock farmers living in rural areas.</w:t>
      </w:r>
    </w:p>
    <w:p w:rsidR="004C25DA" w:rsidRPr="007B5A65" w:rsidRDefault="004C25DA" w:rsidP="001607D3">
      <w:pPr>
        <w:ind w:left="720"/>
        <w:rPr>
          <w:sz w:val="24"/>
          <w:szCs w:val="24"/>
        </w:rPr>
      </w:pPr>
    </w:p>
    <w:p w:rsidR="00F05DDE" w:rsidRPr="007B5A65" w:rsidRDefault="00F05DDE" w:rsidP="00B25050">
      <w:pPr>
        <w:pStyle w:val="ListParagraph"/>
        <w:numPr>
          <w:ilvl w:val="0"/>
          <w:numId w:val="5"/>
        </w:numPr>
        <w:rPr>
          <w:b/>
          <w:sz w:val="24"/>
          <w:szCs w:val="24"/>
        </w:rPr>
      </w:pPr>
      <w:r w:rsidRPr="007B5A65">
        <w:rPr>
          <w:b/>
          <w:sz w:val="24"/>
        </w:rPr>
        <w:t>Conclusions</w:t>
      </w:r>
    </w:p>
    <w:p w:rsidR="00F05DDE" w:rsidRPr="007B5A65" w:rsidRDefault="00F05DDE" w:rsidP="001607D3">
      <w:pPr>
        <w:rPr>
          <w:sz w:val="24"/>
          <w:szCs w:val="24"/>
        </w:rPr>
      </w:pPr>
    </w:p>
    <w:p w:rsidR="004C25DA" w:rsidRPr="007B5A65" w:rsidRDefault="00217033" w:rsidP="001607D3">
      <w:pPr>
        <w:rPr>
          <w:sz w:val="24"/>
          <w:szCs w:val="24"/>
        </w:rPr>
      </w:pPr>
      <w:r w:rsidRPr="007B5A65">
        <w:rPr>
          <w:sz w:val="24"/>
        </w:rPr>
        <w:t>We hope to receive a response regarding the points set out above and are hopeful about the possibility of initiating a real dialogue between the Parties and the Trade and Sustainable Development Board at the annual EU-Central America Association Agreement meeting in 2022.</w:t>
      </w:r>
    </w:p>
    <w:p w:rsidR="004C25DA" w:rsidRPr="007B5A65" w:rsidRDefault="004C25DA" w:rsidP="001607D3"/>
    <w:sectPr w:rsidR="004C25DA" w:rsidRPr="007B5A65" w:rsidSect="006B1346">
      <w:headerReference w:type="even" r:id="rId13"/>
      <w:headerReference w:type="default" r:id="rId14"/>
      <w:footerReference w:type="even" r:id="rId15"/>
      <w:footerReference w:type="default" r:id="rId16"/>
      <w:headerReference w:type="first" r:id="rId17"/>
      <w:footerReference w:type="first" r:id="rId18"/>
      <w:pgSz w:w="11907" w:h="16839"/>
      <w:pgMar w:top="992" w:right="1417" w:bottom="1417" w:left="1417"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6775" w:rsidRDefault="00706775">
      <w:pPr>
        <w:spacing w:line="240" w:lineRule="auto"/>
      </w:pPr>
      <w:r>
        <w:separator/>
      </w:r>
    </w:p>
  </w:endnote>
  <w:endnote w:type="continuationSeparator" w:id="0">
    <w:p w:rsidR="00706775" w:rsidRDefault="0070677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7501" w:rsidRPr="006B1346" w:rsidRDefault="00527501" w:rsidP="006B13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2815" w:rsidRPr="006B1346" w:rsidRDefault="006B1346" w:rsidP="006B1346">
    <w:pPr>
      <w:pStyle w:val="Footer"/>
    </w:pPr>
    <w:r>
      <w:t xml:space="preserve">EESC-2022-02504-00-03-TCD-TRA (ES) </w:t>
    </w:r>
    <w:r>
      <w:fldChar w:fldCharType="begin"/>
    </w:r>
    <w:r>
      <w:instrText xml:space="preserve"> PAGE  \* Arabic  \* MERGEFORMAT </w:instrText>
    </w:r>
    <w:r>
      <w:fldChar w:fldCharType="separate"/>
    </w:r>
    <w:r w:rsidR="001C11CF">
      <w:rPr>
        <w:noProof/>
      </w:rPr>
      <w:t>1</w:t>
    </w:r>
    <w:r>
      <w:fldChar w:fldCharType="end"/>
    </w:r>
    <w:r>
      <w:t>/</w:t>
    </w:r>
    <w:r w:rsidR="001C11CF">
      <w:fldChar w:fldCharType="begin"/>
    </w:r>
    <w:r w:rsidR="001C11CF">
      <w:instrText xml:space="preserve"> NUMPAGES </w:instrText>
    </w:r>
    <w:r w:rsidR="001C11CF">
      <w:fldChar w:fldCharType="separate"/>
    </w:r>
    <w:r w:rsidR="001C11CF">
      <w:rPr>
        <w:noProof/>
      </w:rPr>
      <w:t>4</w:t>
    </w:r>
    <w:r w:rsidR="001C11CF">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7501" w:rsidRPr="006B1346" w:rsidRDefault="00527501" w:rsidP="006B13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6775" w:rsidRDefault="00706775">
      <w:pPr>
        <w:spacing w:line="240" w:lineRule="auto"/>
      </w:pPr>
      <w:r>
        <w:separator/>
      </w:r>
    </w:p>
  </w:footnote>
  <w:footnote w:type="continuationSeparator" w:id="0">
    <w:p w:rsidR="00706775" w:rsidRDefault="0070677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7501" w:rsidRPr="006B1346" w:rsidRDefault="00527501" w:rsidP="006B13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7501" w:rsidRPr="006B1346" w:rsidRDefault="00527501" w:rsidP="006B13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7501" w:rsidRPr="006B1346" w:rsidRDefault="00527501" w:rsidP="006B13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D395D"/>
    <w:multiLevelType w:val="multilevel"/>
    <w:tmpl w:val="5FBAB5AC"/>
    <w:lvl w:ilvl="0">
      <w:start w:val="1"/>
      <w:numFmt w:val="decimal"/>
      <w:lvlText w:val="%1)"/>
      <w:lvlJc w:val="left"/>
      <w:pPr>
        <w:ind w:left="360" w:hanging="360"/>
      </w:pPr>
      <w:rPr>
        <w:rFonts w:hint="default"/>
      </w:rPr>
    </w:lvl>
    <w:lvl w:ilvl="1">
      <w:start w:val="1"/>
      <w:numFmt w:val="none"/>
      <w:lvlText w:val="4.1"/>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CD430B7"/>
    <w:multiLevelType w:val="multilevel"/>
    <w:tmpl w:val="87CAE776"/>
    <w:lvl w:ilvl="0">
      <w:start w:val="1"/>
      <w:numFmt w:val="decimal"/>
      <w:lvlText w:val="%1)"/>
      <w:lvlJc w:val="left"/>
      <w:pPr>
        <w:ind w:left="360" w:hanging="360"/>
      </w:pPr>
      <w:rPr>
        <w:rFonts w:hint="default"/>
      </w:rPr>
    </w:lvl>
    <w:lvl w:ilvl="1">
      <w:start w:val="1"/>
      <w:numFmt w:val="none"/>
      <w:lvlText w:val="4.3"/>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FA535DA"/>
    <w:multiLevelType w:val="hybridMultilevel"/>
    <w:tmpl w:val="772089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1C61DB"/>
    <w:multiLevelType w:val="multilevel"/>
    <w:tmpl w:val="58B209FA"/>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4F86595"/>
    <w:multiLevelType w:val="multilevel"/>
    <w:tmpl w:val="8ADC93F2"/>
    <w:lvl w:ilvl="0">
      <w:start w:val="1"/>
      <w:numFmt w:val="decimal"/>
      <w:lvlText w:val="%1)"/>
      <w:lvlJc w:val="left"/>
      <w:pPr>
        <w:ind w:left="360" w:hanging="360"/>
      </w:pPr>
      <w:rPr>
        <w:rFonts w:hint="default"/>
      </w:rPr>
    </w:lvl>
    <w:lvl w:ilvl="1">
      <w:start w:val="1"/>
      <w:numFmt w:val="none"/>
      <w:lvlText w:val="3.1"/>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3EEA5142"/>
    <w:multiLevelType w:val="multilevel"/>
    <w:tmpl w:val="C432369C"/>
    <w:lvl w:ilvl="0">
      <w:start w:val="1"/>
      <w:numFmt w:val="decimal"/>
      <w:lvlText w:val="%1)"/>
      <w:lvlJc w:val="left"/>
      <w:pPr>
        <w:ind w:left="360" w:hanging="360"/>
      </w:pPr>
      <w:rPr>
        <w:rFonts w:hint="default"/>
      </w:rPr>
    </w:lvl>
    <w:lvl w:ilvl="1">
      <w:start w:val="1"/>
      <w:numFmt w:val="decimal"/>
      <w:lvlText w:val="%2.1"/>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435D7B4B"/>
    <w:multiLevelType w:val="multilevel"/>
    <w:tmpl w:val="A8EAC20A"/>
    <w:lvl w:ilvl="0">
      <w:start w:val="1"/>
      <w:numFmt w:val="decimal"/>
      <w:lvlText w:val="%1)"/>
      <w:lvlJc w:val="left"/>
      <w:pPr>
        <w:ind w:left="360" w:hanging="360"/>
      </w:pPr>
      <w:rPr>
        <w:rFonts w:hint="default"/>
      </w:rPr>
    </w:lvl>
    <w:lvl w:ilvl="1">
      <w:start w:val="1"/>
      <w:numFmt w:val="none"/>
      <w:lvlText w:val="4.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4AEA32BF"/>
    <w:multiLevelType w:val="multilevel"/>
    <w:tmpl w:val="F9CEDD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B622C8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0051A0E"/>
    <w:multiLevelType w:val="multilevel"/>
    <w:tmpl w:val="E87445A8"/>
    <w:lvl w:ilvl="0">
      <w:start w:val="1"/>
      <w:numFmt w:val="decimal"/>
      <w:lvlText w:val="%1)"/>
      <w:lvlJc w:val="left"/>
      <w:pPr>
        <w:ind w:left="360" w:hanging="360"/>
      </w:pPr>
      <w:rPr>
        <w:rFonts w:hint="default"/>
      </w:rPr>
    </w:lvl>
    <w:lvl w:ilvl="1">
      <w:start w:val="1"/>
      <w:numFmt w:val="none"/>
      <w:lvlText w:val="5.1"/>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5BE121EB"/>
    <w:multiLevelType w:val="multilevel"/>
    <w:tmpl w:val="BC1C2FDE"/>
    <w:lvl w:ilvl="0">
      <w:start w:val="1"/>
      <w:numFmt w:val="decimal"/>
      <w:lvlText w:val="%1)"/>
      <w:lvlJc w:val="left"/>
      <w:pPr>
        <w:ind w:left="360" w:hanging="360"/>
      </w:pPr>
      <w:rPr>
        <w:rFonts w:hint="default"/>
      </w:rPr>
    </w:lvl>
    <w:lvl w:ilvl="1">
      <w:start w:val="1"/>
      <w:numFmt w:val="none"/>
      <w:lvlText w:val="3.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5F200FCE"/>
    <w:multiLevelType w:val="multilevel"/>
    <w:tmpl w:val="74CEA26E"/>
    <w:lvl w:ilvl="0">
      <w:start w:val="1"/>
      <w:numFmt w:val="decimal"/>
      <w:lvlText w:val="%1)"/>
      <w:lvlJc w:val="left"/>
      <w:pPr>
        <w:ind w:left="360" w:hanging="360"/>
      </w:pPr>
      <w:rPr>
        <w:rFonts w:hint="default"/>
      </w:rPr>
    </w:lvl>
    <w:lvl w:ilvl="1">
      <w:start w:val="1"/>
      <w:numFmt w:val="decimal"/>
      <w:lvlText w:val="%2.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6B0C74F0"/>
    <w:multiLevelType w:val="multilevel"/>
    <w:tmpl w:val="EF9819DC"/>
    <w:lvl w:ilvl="0">
      <w:start w:val="1"/>
      <w:numFmt w:val="bullet"/>
      <w:pStyle w:val="Heading1"/>
      <w:lvlText w:val="●"/>
      <w:lvlJc w:val="left"/>
      <w:pPr>
        <w:ind w:left="720" w:hanging="360"/>
      </w:pPr>
      <w:rPr>
        <w:u w:val="none"/>
      </w:rPr>
    </w:lvl>
    <w:lvl w:ilvl="1">
      <w:start w:val="1"/>
      <w:numFmt w:val="bullet"/>
      <w:pStyle w:val="Heading2"/>
      <w:lvlText w:val="○"/>
      <w:lvlJc w:val="left"/>
      <w:pPr>
        <w:ind w:left="1440" w:hanging="360"/>
      </w:pPr>
      <w:rPr>
        <w:u w:val="none"/>
      </w:rPr>
    </w:lvl>
    <w:lvl w:ilvl="2">
      <w:start w:val="1"/>
      <w:numFmt w:val="bullet"/>
      <w:pStyle w:val="Heading3"/>
      <w:lvlText w:val="■"/>
      <w:lvlJc w:val="left"/>
      <w:pPr>
        <w:ind w:left="2160" w:hanging="360"/>
      </w:pPr>
      <w:rPr>
        <w:u w:val="none"/>
      </w:rPr>
    </w:lvl>
    <w:lvl w:ilvl="3">
      <w:start w:val="1"/>
      <w:numFmt w:val="bullet"/>
      <w:pStyle w:val="Heading4"/>
      <w:lvlText w:val="●"/>
      <w:lvlJc w:val="left"/>
      <w:pPr>
        <w:ind w:left="2880" w:hanging="360"/>
      </w:pPr>
      <w:rPr>
        <w:u w:val="none"/>
      </w:rPr>
    </w:lvl>
    <w:lvl w:ilvl="4">
      <w:start w:val="1"/>
      <w:numFmt w:val="bullet"/>
      <w:pStyle w:val="Heading5"/>
      <w:lvlText w:val="○"/>
      <w:lvlJc w:val="left"/>
      <w:pPr>
        <w:ind w:left="3600" w:hanging="360"/>
      </w:pPr>
      <w:rPr>
        <w:u w:val="none"/>
      </w:rPr>
    </w:lvl>
    <w:lvl w:ilvl="5">
      <w:start w:val="1"/>
      <w:numFmt w:val="bullet"/>
      <w:pStyle w:val="Heading6"/>
      <w:lvlText w:val="■"/>
      <w:lvlJc w:val="left"/>
      <w:pPr>
        <w:ind w:left="4320" w:hanging="360"/>
      </w:pPr>
      <w:rPr>
        <w:u w:val="none"/>
      </w:rPr>
    </w:lvl>
    <w:lvl w:ilvl="6">
      <w:start w:val="1"/>
      <w:numFmt w:val="bullet"/>
      <w:pStyle w:val="Heading7"/>
      <w:lvlText w:val="●"/>
      <w:lvlJc w:val="left"/>
      <w:pPr>
        <w:ind w:left="5040" w:hanging="360"/>
      </w:pPr>
      <w:rPr>
        <w:u w:val="none"/>
      </w:rPr>
    </w:lvl>
    <w:lvl w:ilvl="7">
      <w:start w:val="1"/>
      <w:numFmt w:val="bullet"/>
      <w:pStyle w:val="Heading8"/>
      <w:lvlText w:val="○"/>
      <w:lvlJc w:val="left"/>
      <w:pPr>
        <w:ind w:left="5760" w:hanging="360"/>
      </w:pPr>
      <w:rPr>
        <w:u w:val="none"/>
      </w:rPr>
    </w:lvl>
    <w:lvl w:ilvl="8">
      <w:start w:val="1"/>
      <w:numFmt w:val="bullet"/>
      <w:pStyle w:val="Heading9"/>
      <w:lvlText w:val="■"/>
      <w:lvlJc w:val="left"/>
      <w:pPr>
        <w:ind w:left="6480" w:hanging="360"/>
      </w:pPr>
      <w:rPr>
        <w:u w:val="none"/>
      </w:rPr>
    </w:lvl>
  </w:abstractNum>
  <w:abstractNum w:abstractNumId="13" w15:restartNumberingAfterBreak="0">
    <w:nsid w:val="77C91BB4"/>
    <w:multiLevelType w:val="multilevel"/>
    <w:tmpl w:val="8342188A"/>
    <w:lvl w:ilvl="0">
      <w:start w:val="1"/>
      <w:numFmt w:val="decimal"/>
      <w:lvlText w:val="%1)"/>
      <w:lvlJc w:val="left"/>
      <w:pPr>
        <w:ind w:left="360" w:hanging="360"/>
      </w:pPr>
      <w:rPr>
        <w:rFonts w:hint="default"/>
      </w:rPr>
    </w:lvl>
    <w:lvl w:ilvl="1">
      <w:start w:val="1"/>
      <w:numFmt w:val="decimal"/>
      <w:lvlText w:val="%2.3"/>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7E600AE2"/>
    <w:multiLevelType w:val="multilevel"/>
    <w:tmpl w:val="B282B04C"/>
    <w:lvl w:ilvl="0">
      <w:start w:val="1"/>
      <w:numFmt w:val="decimal"/>
      <w:lvlText w:val="%1)"/>
      <w:lvlJc w:val="left"/>
      <w:pPr>
        <w:ind w:left="360" w:hanging="360"/>
      </w:pPr>
      <w:rPr>
        <w:rFonts w:hint="default"/>
      </w:rPr>
    </w:lvl>
    <w:lvl w:ilvl="1">
      <w:start w:val="1"/>
      <w:numFmt w:val="none"/>
      <w:lvlText w:val="5.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7FE2570E"/>
    <w:multiLevelType w:val="multilevel"/>
    <w:tmpl w:val="F014E344"/>
    <w:lvl w:ilvl="0">
      <w:start w:val="1"/>
      <w:numFmt w:val="decimal"/>
      <w:lvlText w:val="%1)"/>
      <w:lvlJc w:val="left"/>
      <w:pPr>
        <w:ind w:left="360" w:hanging="360"/>
      </w:pPr>
      <w:rPr>
        <w:rFonts w:hint="default"/>
      </w:rPr>
    </w:lvl>
    <w:lvl w:ilvl="1">
      <w:start w:val="1"/>
      <w:numFmt w:val="decimal"/>
      <w:lvlText w:val="2.%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2"/>
  </w:num>
  <w:num w:numId="2">
    <w:abstractNumId w:val="7"/>
  </w:num>
  <w:num w:numId="3">
    <w:abstractNumId w:val="2"/>
  </w:num>
  <w:num w:numId="4">
    <w:abstractNumId w:val="8"/>
  </w:num>
  <w:num w:numId="5">
    <w:abstractNumId w:val="3"/>
  </w:num>
  <w:num w:numId="6">
    <w:abstractNumId w:val="5"/>
  </w:num>
  <w:num w:numId="7">
    <w:abstractNumId w:val="11"/>
  </w:num>
  <w:num w:numId="8">
    <w:abstractNumId w:val="13"/>
  </w:num>
  <w:num w:numId="9">
    <w:abstractNumId w:val="15"/>
  </w:num>
  <w:num w:numId="10">
    <w:abstractNumId w:val="4"/>
  </w:num>
  <w:num w:numId="11">
    <w:abstractNumId w:val="10"/>
  </w:num>
  <w:num w:numId="12">
    <w:abstractNumId w:val="0"/>
  </w:num>
  <w:num w:numId="13">
    <w:abstractNumId w:val="6"/>
  </w:num>
  <w:num w:numId="14">
    <w:abstractNumId w:val="1"/>
  </w:num>
  <w:num w:numId="15">
    <w:abstractNumId w:val="9"/>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5DA"/>
    <w:rsid w:val="0001101D"/>
    <w:rsid w:val="00030815"/>
    <w:rsid w:val="00090F7D"/>
    <w:rsid w:val="000C464E"/>
    <w:rsid w:val="00101935"/>
    <w:rsid w:val="001607D3"/>
    <w:rsid w:val="001B3089"/>
    <w:rsid w:val="001C11CF"/>
    <w:rsid w:val="001C6F27"/>
    <w:rsid w:val="001C749E"/>
    <w:rsid w:val="00217033"/>
    <w:rsid w:val="00253678"/>
    <w:rsid w:val="002857DC"/>
    <w:rsid w:val="00294092"/>
    <w:rsid w:val="0030661E"/>
    <w:rsid w:val="00334657"/>
    <w:rsid w:val="003424CA"/>
    <w:rsid w:val="003667E0"/>
    <w:rsid w:val="00414D46"/>
    <w:rsid w:val="004248FF"/>
    <w:rsid w:val="004537AE"/>
    <w:rsid w:val="004A65C7"/>
    <w:rsid w:val="004C25DA"/>
    <w:rsid w:val="00527501"/>
    <w:rsid w:val="00562F0B"/>
    <w:rsid w:val="00576655"/>
    <w:rsid w:val="006059E2"/>
    <w:rsid w:val="006B1346"/>
    <w:rsid w:val="00706775"/>
    <w:rsid w:val="007B5A65"/>
    <w:rsid w:val="007C2815"/>
    <w:rsid w:val="0083283A"/>
    <w:rsid w:val="00857840"/>
    <w:rsid w:val="00883CBF"/>
    <w:rsid w:val="008A7975"/>
    <w:rsid w:val="008F6BE5"/>
    <w:rsid w:val="009903EA"/>
    <w:rsid w:val="009D0594"/>
    <w:rsid w:val="009D2323"/>
    <w:rsid w:val="00A0609E"/>
    <w:rsid w:val="00A35671"/>
    <w:rsid w:val="00A50BEA"/>
    <w:rsid w:val="00AE26C3"/>
    <w:rsid w:val="00B070C8"/>
    <w:rsid w:val="00B25050"/>
    <w:rsid w:val="00BA36CD"/>
    <w:rsid w:val="00C5064B"/>
    <w:rsid w:val="00C50F06"/>
    <w:rsid w:val="00CB4E66"/>
    <w:rsid w:val="00D6595F"/>
    <w:rsid w:val="00E45E3D"/>
    <w:rsid w:val="00F05DDE"/>
    <w:rsid w:val="00F22264"/>
    <w:rsid w:val="00F64193"/>
    <w:rsid w:val="00F72D03"/>
    <w:rsid w:val="00F73148"/>
    <w:rsid w:val="00F8222D"/>
    <w:rsid w:val="00F91D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C94ECFC"/>
  <w15:docId w15:val="{A9453CC5-F361-4B89-9F19-3C709DFAB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GB" w:eastAsia="en-US" w:bidi="ar-SA"/>
      </w:rPr>
    </w:rPrDefault>
    <w:pPrDefault>
      <w:pPr>
        <w:spacing w:line="288"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43D3"/>
  </w:style>
  <w:style w:type="paragraph" w:styleId="Heading1">
    <w:name w:val="heading 1"/>
    <w:basedOn w:val="Normal"/>
    <w:next w:val="Normal"/>
    <w:link w:val="Heading1Char"/>
    <w:qFormat/>
    <w:rsid w:val="00D943D3"/>
    <w:pPr>
      <w:numPr>
        <w:numId w:val="1"/>
      </w:numPr>
      <w:ind w:left="567" w:hanging="567"/>
      <w:outlineLvl w:val="0"/>
    </w:pPr>
    <w:rPr>
      <w:kern w:val="28"/>
    </w:rPr>
  </w:style>
  <w:style w:type="paragraph" w:styleId="Heading2">
    <w:name w:val="heading 2"/>
    <w:basedOn w:val="Normal"/>
    <w:next w:val="Normal"/>
    <w:link w:val="Heading2Char"/>
    <w:qFormat/>
    <w:rsid w:val="00D943D3"/>
    <w:pPr>
      <w:numPr>
        <w:ilvl w:val="1"/>
        <w:numId w:val="1"/>
      </w:numPr>
      <w:ind w:left="567" w:hanging="567"/>
      <w:outlineLvl w:val="1"/>
    </w:pPr>
  </w:style>
  <w:style w:type="paragraph" w:styleId="Heading3">
    <w:name w:val="heading 3"/>
    <w:basedOn w:val="Normal"/>
    <w:next w:val="Normal"/>
    <w:link w:val="Heading3Char"/>
    <w:qFormat/>
    <w:rsid w:val="00D943D3"/>
    <w:pPr>
      <w:numPr>
        <w:ilvl w:val="2"/>
        <w:numId w:val="1"/>
      </w:numPr>
      <w:ind w:left="567" w:hanging="567"/>
      <w:outlineLvl w:val="2"/>
    </w:pPr>
  </w:style>
  <w:style w:type="paragraph" w:styleId="Heading4">
    <w:name w:val="heading 4"/>
    <w:basedOn w:val="Normal"/>
    <w:next w:val="Normal"/>
    <w:link w:val="Heading4Char"/>
    <w:qFormat/>
    <w:rsid w:val="00D943D3"/>
    <w:pPr>
      <w:numPr>
        <w:ilvl w:val="3"/>
        <w:numId w:val="1"/>
      </w:numPr>
      <w:ind w:left="567" w:hanging="567"/>
      <w:outlineLvl w:val="3"/>
    </w:pPr>
  </w:style>
  <w:style w:type="paragraph" w:styleId="Heading5">
    <w:name w:val="heading 5"/>
    <w:basedOn w:val="Normal"/>
    <w:next w:val="Normal"/>
    <w:link w:val="Heading5Char"/>
    <w:qFormat/>
    <w:rsid w:val="00D943D3"/>
    <w:pPr>
      <w:numPr>
        <w:ilvl w:val="4"/>
        <w:numId w:val="1"/>
      </w:numPr>
      <w:ind w:left="567" w:hanging="567"/>
      <w:outlineLvl w:val="4"/>
    </w:pPr>
  </w:style>
  <w:style w:type="paragraph" w:styleId="Heading6">
    <w:name w:val="heading 6"/>
    <w:basedOn w:val="Normal"/>
    <w:next w:val="Normal"/>
    <w:link w:val="Heading6Char"/>
    <w:qFormat/>
    <w:rsid w:val="00D943D3"/>
    <w:pPr>
      <w:numPr>
        <w:ilvl w:val="5"/>
        <w:numId w:val="1"/>
      </w:numPr>
      <w:ind w:left="567" w:hanging="567"/>
      <w:outlineLvl w:val="5"/>
    </w:pPr>
  </w:style>
  <w:style w:type="paragraph" w:styleId="Heading7">
    <w:name w:val="heading 7"/>
    <w:basedOn w:val="Normal"/>
    <w:next w:val="Normal"/>
    <w:link w:val="Heading7Char"/>
    <w:qFormat/>
    <w:rsid w:val="00D943D3"/>
    <w:pPr>
      <w:numPr>
        <w:ilvl w:val="6"/>
        <w:numId w:val="1"/>
      </w:numPr>
      <w:ind w:left="567" w:hanging="567"/>
      <w:outlineLvl w:val="6"/>
    </w:pPr>
  </w:style>
  <w:style w:type="paragraph" w:styleId="Heading8">
    <w:name w:val="heading 8"/>
    <w:basedOn w:val="Normal"/>
    <w:next w:val="Normal"/>
    <w:link w:val="Heading8Char"/>
    <w:qFormat/>
    <w:rsid w:val="00D943D3"/>
    <w:pPr>
      <w:numPr>
        <w:ilvl w:val="7"/>
        <w:numId w:val="1"/>
      </w:numPr>
      <w:ind w:left="567" w:hanging="567"/>
      <w:outlineLvl w:val="7"/>
    </w:pPr>
  </w:style>
  <w:style w:type="paragraph" w:styleId="Heading9">
    <w:name w:val="heading 9"/>
    <w:basedOn w:val="Normal"/>
    <w:next w:val="Normal"/>
    <w:link w:val="Heading9Char"/>
    <w:qFormat/>
    <w:rsid w:val="00D943D3"/>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rsid w:val="00D943D3"/>
    <w:rPr>
      <w:rFonts w:ascii="Times New Roman" w:eastAsia="Times New Roman" w:hAnsi="Times New Roman" w:cs="Times New Roman"/>
      <w:kern w:val="28"/>
    </w:rPr>
  </w:style>
  <w:style w:type="character" w:customStyle="1" w:styleId="Heading2Char">
    <w:name w:val="Heading 2 Char"/>
    <w:basedOn w:val="DefaultParagraphFont"/>
    <w:link w:val="Heading2"/>
    <w:rsid w:val="00D943D3"/>
    <w:rPr>
      <w:rFonts w:ascii="Times New Roman" w:eastAsia="Times New Roman" w:hAnsi="Times New Roman" w:cs="Times New Roman"/>
    </w:rPr>
  </w:style>
  <w:style w:type="character" w:customStyle="1" w:styleId="Heading3Char">
    <w:name w:val="Heading 3 Char"/>
    <w:basedOn w:val="DefaultParagraphFont"/>
    <w:link w:val="Heading3"/>
    <w:rsid w:val="00D943D3"/>
    <w:rPr>
      <w:rFonts w:ascii="Times New Roman" w:eastAsia="Times New Roman" w:hAnsi="Times New Roman" w:cs="Times New Roman"/>
    </w:rPr>
  </w:style>
  <w:style w:type="character" w:customStyle="1" w:styleId="Heading4Char">
    <w:name w:val="Heading 4 Char"/>
    <w:basedOn w:val="DefaultParagraphFont"/>
    <w:link w:val="Heading4"/>
    <w:rsid w:val="00D943D3"/>
    <w:rPr>
      <w:rFonts w:ascii="Times New Roman" w:eastAsia="Times New Roman" w:hAnsi="Times New Roman" w:cs="Times New Roman"/>
    </w:rPr>
  </w:style>
  <w:style w:type="character" w:customStyle="1" w:styleId="Heading5Char">
    <w:name w:val="Heading 5 Char"/>
    <w:basedOn w:val="DefaultParagraphFont"/>
    <w:link w:val="Heading5"/>
    <w:rsid w:val="00D943D3"/>
    <w:rPr>
      <w:rFonts w:ascii="Times New Roman" w:eastAsia="Times New Roman" w:hAnsi="Times New Roman" w:cs="Times New Roman"/>
    </w:rPr>
  </w:style>
  <w:style w:type="character" w:customStyle="1" w:styleId="Heading6Char">
    <w:name w:val="Heading 6 Char"/>
    <w:basedOn w:val="DefaultParagraphFont"/>
    <w:link w:val="Heading6"/>
    <w:rsid w:val="00D943D3"/>
    <w:rPr>
      <w:rFonts w:ascii="Times New Roman" w:eastAsia="Times New Roman" w:hAnsi="Times New Roman" w:cs="Times New Roman"/>
    </w:rPr>
  </w:style>
  <w:style w:type="character" w:customStyle="1" w:styleId="Heading7Char">
    <w:name w:val="Heading 7 Char"/>
    <w:basedOn w:val="DefaultParagraphFont"/>
    <w:link w:val="Heading7"/>
    <w:rsid w:val="00D943D3"/>
    <w:rPr>
      <w:rFonts w:ascii="Times New Roman" w:eastAsia="Times New Roman" w:hAnsi="Times New Roman" w:cs="Times New Roman"/>
    </w:rPr>
  </w:style>
  <w:style w:type="character" w:customStyle="1" w:styleId="Heading8Char">
    <w:name w:val="Heading 8 Char"/>
    <w:basedOn w:val="DefaultParagraphFont"/>
    <w:link w:val="Heading8"/>
    <w:rsid w:val="00D943D3"/>
    <w:rPr>
      <w:rFonts w:ascii="Times New Roman" w:eastAsia="Times New Roman" w:hAnsi="Times New Roman" w:cs="Times New Roman"/>
    </w:rPr>
  </w:style>
  <w:style w:type="character" w:customStyle="1" w:styleId="Heading9Char">
    <w:name w:val="Heading 9 Char"/>
    <w:basedOn w:val="DefaultParagraphFont"/>
    <w:link w:val="Heading9"/>
    <w:rsid w:val="00D943D3"/>
    <w:rPr>
      <w:rFonts w:ascii="Times New Roman" w:eastAsia="Times New Roman" w:hAnsi="Times New Roman" w:cs="Times New Roman"/>
    </w:rPr>
  </w:style>
  <w:style w:type="paragraph" w:styleId="Footer">
    <w:name w:val="footer"/>
    <w:basedOn w:val="Normal"/>
    <w:link w:val="FooterChar"/>
    <w:qFormat/>
    <w:rsid w:val="00D943D3"/>
  </w:style>
  <w:style w:type="character" w:customStyle="1" w:styleId="FooterChar">
    <w:name w:val="Footer Char"/>
    <w:basedOn w:val="DefaultParagraphFont"/>
    <w:link w:val="Footer"/>
    <w:rsid w:val="00D943D3"/>
  </w:style>
  <w:style w:type="paragraph" w:styleId="FootnoteText">
    <w:name w:val="footnote text"/>
    <w:basedOn w:val="Normal"/>
    <w:link w:val="FootnoteTextChar"/>
    <w:qFormat/>
    <w:rsid w:val="00D943D3"/>
    <w:pPr>
      <w:keepLines/>
      <w:spacing w:after="60" w:line="240" w:lineRule="auto"/>
      <w:ind w:left="567" w:hanging="567"/>
    </w:pPr>
    <w:rPr>
      <w:sz w:val="16"/>
    </w:rPr>
  </w:style>
  <w:style w:type="character" w:customStyle="1" w:styleId="FootnoteTextChar">
    <w:name w:val="Footnote Text Char"/>
    <w:basedOn w:val="DefaultParagraphFont"/>
    <w:link w:val="FootnoteText"/>
    <w:rsid w:val="00D943D3"/>
    <w:rPr>
      <w:rFonts w:ascii="Times New Roman" w:eastAsia="Times New Roman" w:hAnsi="Times New Roman" w:cs="Times New Roman"/>
      <w:sz w:val="16"/>
    </w:rPr>
  </w:style>
  <w:style w:type="paragraph" w:styleId="Header">
    <w:name w:val="header"/>
    <w:basedOn w:val="Normal"/>
    <w:link w:val="HeaderChar"/>
    <w:qFormat/>
    <w:rsid w:val="00D943D3"/>
  </w:style>
  <w:style w:type="character" w:customStyle="1" w:styleId="HeaderChar">
    <w:name w:val="Header Char"/>
    <w:basedOn w:val="DefaultParagraphFont"/>
    <w:link w:val="Header"/>
    <w:rsid w:val="00D943D3"/>
  </w:style>
  <w:style w:type="paragraph" w:customStyle="1" w:styleId="quotes">
    <w:name w:val="quotes"/>
    <w:basedOn w:val="Normal"/>
    <w:next w:val="Normal"/>
    <w:rsid w:val="00D943D3"/>
    <w:pPr>
      <w:ind w:left="720"/>
    </w:pPr>
    <w:rPr>
      <w:i/>
    </w:rPr>
  </w:style>
  <w:style w:type="character" w:styleId="FootnoteReference">
    <w:name w:val="footnote reference"/>
    <w:basedOn w:val="DefaultParagraphFont"/>
    <w:unhideWhenUsed/>
    <w:qFormat/>
    <w:rsid w:val="00D943D3"/>
    <w:rPr>
      <w:sz w:val="24"/>
      <w:vertAlign w:val="superscript"/>
    </w:rPr>
  </w:style>
  <w:style w:type="character" w:styleId="Hyperlink">
    <w:name w:val="Hyperlink"/>
    <w:basedOn w:val="DefaultParagraphFont"/>
    <w:uiPriority w:val="99"/>
    <w:unhideWhenUsed/>
    <w:rsid w:val="002C2A9B"/>
    <w:rPr>
      <w:color w:val="0563C1" w:themeColor="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F72D0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2D03"/>
    <w:rPr>
      <w:rFonts w:ascii="Segoe UI" w:hAnsi="Segoe UI" w:cs="Segoe UI"/>
      <w:sz w:val="18"/>
      <w:szCs w:val="18"/>
    </w:rPr>
  </w:style>
  <w:style w:type="paragraph" w:styleId="ListParagraph">
    <w:name w:val="List Paragraph"/>
    <w:basedOn w:val="Normal"/>
    <w:uiPriority w:val="34"/>
    <w:qFormat/>
    <w:rsid w:val="00F05DDE"/>
    <w:pPr>
      <w:ind w:left="720"/>
      <w:contextualSpacing/>
    </w:pPr>
  </w:style>
  <w:style w:type="character" w:styleId="FollowedHyperlink">
    <w:name w:val="FollowedHyperlink"/>
    <w:basedOn w:val="DefaultParagraphFont"/>
    <w:uiPriority w:val="99"/>
    <w:semiHidden/>
    <w:unhideWhenUsed/>
    <w:rsid w:val="00F6419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163401">
      <w:bodyDiv w:val="1"/>
      <w:marLeft w:val="0"/>
      <w:marRight w:val="0"/>
      <w:marTop w:val="0"/>
      <w:marBottom w:val="0"/>
      <w:divBdr>
        <w:top w:val="none" w:sz="0" w:space="0" w:color="auto"/>
        <w:left w:val="none" w:sz="0" w:space="0" w:color="auto"/>
        <w:bottom w:val="none" w:sz="0" w:space="0" w:color="auto"/>
        <w:right w:val="none" w:sz="0" w:space="0" w:color="auto"/>
      </w:divBdr>
    </w:div>
    <w:div w:id="214434827">
      <w:bodyDiv w:val="1"/>
      <w:marLeft w:val="0"/>
      <w:marRight w:val="0"/>
      <w:marTop w:val="0"/>
      <w:marBottom w:val="0"/>
      <w:divBdr>
        <w:top w:val="none" w:sz="0" w:space="0" w:color="auto"/>
        <w:left w:val="none" w:sz="0" w:space="0" w:color="auto"/>
        <w:bottom w:val="none" w:sz="0" w:space="0" w:color="auto"/>
        <w:right w:val="none" w:sz="0" w:space="0" w:color="auto"/>
      </w:divBdr>
    </w:div>
    <w:div w:id="4967006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esc.europa.eu/en/documents/non-paper-eu-dag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M Document" ma:contentTypeID="0x010100EA97B91038054C99906057A708A1480A00B7EA8BE5AE7448468DCE544D2FDA8E5D" ma:contentTypeVersion="4" ma:contentTypeDescription="Defines the documents for Document Manager V2" ma:contentTypeScope="" ma:versionID="0d80cc0fd7b1ba3f19584657d9e1d016">
  <xsd:schema xmlns:xsd="http://www.w3.org/2001/XMLSchema" xmlns:xs="http://www.w3.org/2001/XMLSchema" xmlns:p="http://schemas.microsoft.com/office/2006/metadata/properties" xmlns:ns2="1299d781-265f-4ceb-999e-e1eca3df2c90" xmlns:ns3="http://schemas.microsoft.com/sharepoint/v3/fields" xmlns:ns4="4a7f0de2-9719-4c76-97f8-3d69024ce342" targetNamespace="http://schemas.microsoft.com/office/2006/metadata/properties" ma:root="true" ma:fieldsID="0c1c4e7f6260ad1dd7bcdd31c79c6b50" ns2:_="" ns3:_="" ns4:_="">
    <xsd:import namespace="1299d781-265f-4ceb-999e-e1eca3df2c90"/>
    <xsd:import namespace="http://schemas.microsoft.com/sharepoint/v3/fields"/>
    <xsd:import namespace="4a7f0de2-9719-4c76-97f8-3d69024ce342"/>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99d781-265f-4ceb-999e-e1eca3df2c9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7ea9cc77-7db7-4067-9972-efc9a75de26f}" ma:internalName="TaxCatchAll" ma:showField="CatchAllData" ma:web="1299d781-265f-4ceb-999e-e1eca3df2c90">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7ea9cc77-7db7-4067-9972-efc9a75de26f}" ma:internalName="TaxCatchAllLabel" ma:readOnly="true" ma:showField="CatchAllDataLabel" ma:web="1299d781-265f-4ceb-999e-e1eca3df2c90">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995823bb-b37b-4c02-aebb-d0209d382c3c"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995823bb-b37b-4c02-aebb-d0209d382c3c"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995823bb-b37b-4c02-aebb-d0209d382c3c"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995823bb-b37b-4c02-aebb-d0209d382c3c"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995823bb-b37b-4c02-aebb-d0209d382c3c"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995823bb-b37b-4c02-aebb-d0209d382c3c"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995823bb-b37b-4c02-aebb-d0209d382c3c"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a7f0de2-9719-4c76-97f8-3d69024ce342"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1299d781-265f-4ceb-999e-e1eca3df2c90">P6FJPSUHKDC2-288331576-2853</_dlc_DocId>
    <_dlc_DocIdUrl xmlns="1299d781-265f-4ceb-999e-e1eca3df2c90">
      <Url>http://dm2016/eesc/2022/_layouts/15/DocIdRedir.aspx?ID=P6FJPSUHKDC2-288331576-2853</Url>
      <Description>P6FJPSUHKDC2-288331576-2853</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TCD</TermName>
          <TermId xmlns="http://schemas.microsoft.com/office/infopath/2007/PartnerControls">cd9d6eb6-3f4f-424a-b2d1-57c9d450eaaf</TermId>
        </TermInfo>
      </Terms>
    </DocumentType_0>
    <Procedure xmlns="1299d781-265f-4ceb-999e-e1eca3df2c90"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1299d781-265f-4ceb-999e-e1eca3df2c90">2022-05-24T12:00:00+00:00</ProductionDate>
    <DocumentNumber xmlns="4a7f0de2-9719-4c76-97f8-3d69024ce342">2504</DocumentNumber>
    <FicheYear xmlns="1299d781-265f-4ceb-999e-e1eca3df2c90" xsi:nil="true"/>
    <DocumentVersion xmlns="1299d781-265f-4ceb-999e-e1eca3df2c90">3</DocumentVersion>
    <DossierNumber xmlns="1299d781-265f-4ceb-999e-e1eca3df2c90"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1299d781-265f-4ceb-999e-e1eca3df2c90">2022-05-23T12:00:00+00:00</MeetingDate>
    <TaxCatchAll xmlns="1299d781-265f-4ceb-999e-e1eca3df2c90">
      <Value>31</Value>
      <Value>9</Value>
      <Value>25</Value>
      <Value>7</Value>
      <Value>6</Value>
      <Value>154</Value>
      <Value>4</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1299d781-265f-4ceb-999e-e1eca3df2c90" xsi:nil="true"/>
    <DocumentYear xmlns="1299d781-265f-4ceb-999e-e1eca3df2c90">2022</DocumentYear>
    <FicheNumber xmlns="1299d781-265f-4ceb-999e-e1eca3df2c90">6552</FicheNumber>
    <OriginalSender xmlns="1299d781-265f-4ceb-999e-e1eca3df2c90">
      <UserInfo>
        <DisplayName>Brown Sarah</DisplayName>
        <AccountId>1794</AccountId>
        <AccountType/>
      </UserInfo>
    </OriginalSender>
    <DocumentPart xmlns="1299d781-265f-4ceb-999e-e1eca3df2c90">0</DocumentPart>
    <AdoptionDate xmlns="1299d781-265f-4ceb-999e-e1eca3df2c90" xsi:nil="true"/>
    <RequestingService xmlns="1299d781-265f-4ceb-999e-e1eca3df2c90">Relations extérieures</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DAG CA</TermName>
          <TermId xmlns="http://schemas.microsoft.com/office/infopath/2007/PartnerControls">f112eb26-7e38-4fa1-8d44-6a93d2612c38</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ES</TermName>
          <TermId xmlns="http://schemas.microsoft.com/office/infopath/2007/PartnerControls">e7a6b05b-ae16-40c8-add9-68b64b03aeba</TermId>
        </TermInfo>
      </Terms>
    </OriginalLanguage_0>
    <MeetingNumber xmlns="4a7f0de2-9719-4c76-97f8-3d69024ce342" xsi:nil="true"/>
    <DossierName_0 xmlns="http://schemas.microsoft.com/sharepoint/v3/fields">
      <Terms xmlns="http://schemas.microsoft.com/office/infopath/2007/PartnerControls"/>
    </DossierName_0>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CCE7BC-B7CF-4159-8618-5A077E980E48}">
  <ds:schemaRefs>
    <ds:schemaRef ds:uri="http://schemas.microsoft.com/sharepoint/events"/>
  </ds:schemaRefs>
</ds:datastoreItem>
</file>

<file path=customXml/itemProps2.xml><?xml version="1.0" encoding="utf-8"?>
<ds:datastoreItem xmlns:ds="http://schemas.openxmlformats.org/officeDocument/2006/customXml" ds:itemID="{17F01E6C-4A4A-450E-B793-D101808D98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99d781-265f-4ceb-999e-e1eca3df2c90"/>
    <ds:schemaRef ds:uri="http://schemas.microsoft.com/sharepoint/v3/fields"/>
    <ds:schemaRef ds:uri="4a7f0de2-9719-4c76-97f8-3d69024ce3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1D280B-6420-4472-84A8-0205BAD8F79E}">
  <ds:schemaRefs>
    <ds:schemaRef ds:uri="http://schemas.microsoft.com/office/2006/documentManagement/types"/>
    <ds:schemaRef ds:uri="http://schemas.openxmlformats.org/package/2006/metadata/core-properties"/>
    <ds:schemaRef ds:uri="1299d781-265f-4ceb-999e-e1eca3df2c90"/>
    <ds:schemaRef ds:uri="http://purl.org/dc/elements/1.1/"/>
    <ds:schemaRef ds:uri="http://schemas.microsoft.com/office/2006/metadata/properties"/>
    <ds:schemaRef ds:uri="http://purl.org/dc/terms/"/>
    <ds:schemaRef ds:uri="http://schemas.microsoft.com/office/infopath/2007/PartnerControls"/>
    <ds:schemaRef ds:uri="4a7f0de2-9719-4c76-97f8-3d69024ce342"/>
    <ds:schemaRef ds:uri="http://schemas.microsoft.com/sharepoint/v3/fields"/>
    <ds:schemaRef ds:uri="http://www.w3.org/XML/1998/namespace"/>
    <ds:schemaRef ds:uri="http://purl.org/dc/dcmitype/"/>
  </ds:schemaRefs>
</ds:datastoreItem>
</file>

<file path=customXml/itemProps4.xml><?xml version="1.0" encoding="utf-8"?>
<ds:datastoreItem xmlns:ds="http://schemas.openxmlformats.org/officeDocument/2006/customXml" ds:itemID="{58A744D9-2971-46FE-9BDD-CC1BD8E044F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1119</Words>
  <Characters>6382</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Joint Declaration - Central American DAG</vt:lpstr>
    </vt:vector>
  </TitlesOfParts>
  <Company>EESC-ECOR</Company>
  <LinksUpToDate>false</LinksUpToDate>
  <CharactersWithSpaces>7487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Joint Declaration - Central American DAG</dc:title>
  <dc:subject>TCD</dc:subject>
  <dc:creator>Tomaszewska Ewa</dc:creator>
  <cp:keywords>EESC-2022-02504-00-03-TCD-TRA-ES</cp:keywords>
  <dc:description>Rapporteur:  - Original language: ES - Date of document: 24/05/2022 - Date of meeting: 30/23/2022 10:30 - External documents:  - Administrator: MME TOMASZEWSKA Ewa Karolina</dc:description>
  <cp:lastModifiedBy>Tomaszewska Ewa</cp:lastModifiedBy>
  <cp:revision>2</cp:revision>
  <dcterms:created xsi:type="dcterms:W3CDTF">2022-05-24T12:02:00Z</dcterms:created>
  <dcterms:modified xsi:type="dcterms:W3CDTF">2022-05-24T12:02:00Z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24/05/2022, 16/05/2022, 10/05/2022</vt:lpwstr>
  </property>
  <property fmtid="{D5CDD505-2E9C-101B-9397-08002B2CF9AE}" pid="4" name="Pref_Time">
    <vt:lpwstr>10:46:58, 10:04:01, 16:44:14</vt:lpwstr>
  </property>
  <property fmtid="{D5CDD505-2E9C-101B-9397-08002B2CF9AE}" pid="5" name="Pref_User">
    <vt:lpwstr>pacup, pacup, pacup</vt:lpwstr>
  </property>
  <property fmtid="{D5CDD505-2E9C-101B-9397-08002B2CF9AE}" pid="6" name="Pref_FileName">
    <vt:lpwstr>EESC-2022-02504-00-03-TCD-TRA.docx, EESC-2022-02504-00-01-TCD-TRA-ES-CRR.docx, EESC-2022-02504-00-00-TCD-TRA-ES-CRR.docx</vt:lpwstr>
  </property>
  <property fmtid="{D5CDD505-2E9C-101B-9397-08002B2CF9AE}" pid="7" name="ContentTypeId">
    <vt:lpwstr>0x010100EA97B91038054C99906057A708A1480A00B7EA8BE5AE7448468DCE544D2FDA8E5D</vt:lpwstr>
  </property>
  <property fmtid="{D5CDD505-2E9C-101B-9397-08002B2CF9AE}" pid="8" name="_dlc_DocIdItemGuid">
    <vt:lpwstr>2ff74728-1b5b-41af-949f-f4cff84d0814</vt:lpwstr>
  </property>
  <property fmtid="{D5CDD505-2E9C-101B-9397-08002B2CF9AE}" pid="9" name="AvailableTranslations">
    <vt:lpwstr>31;#ES|e7a6b05b-ae16-40c8-add9-68b64b03aeba;#4;#EN|f2175f21-25d7-44a3-96da-d6a61b075e1b</vt:lpwstr>
  </property>
  <property fmtid="{D5CDD505-2E9C-101B-9397-08002B2CF9AE}" pid="10" name="DocumentType_0">
    <vt:lpwstr>TCD|cd9d6eb6-3f4f-424a-b2d1-57c9d450eaaf</vt:lpwstr>
  </property>
  <property fmtid="{D5CDD505-2E9C-101B-9397-08002B2CF9AE}" pid="11" name="DossierName_0">
    <vt:lpwstr/>
  </property>
  <property fmtid="{D5CDD505-2E9C-101B-9397-08002B2CF9AE}" pid="12" name="DocumentSource_0">
    <vt:lpwstr>EESC|422833ec-8d7e-4e65-8e4e-8bed07ffb729</vt:lpwstr>
  </property>
  <property fmtid="{D5CDD505-2E9C-101B-9397-08002B2CF9AE}" pid="13" name="DocumentNumber">
    <vt:i4>2504</vt:i4>
  </property>
  <property fmtid="{D5CDD505-2E9C-101B-9397-08002B2CF9AE}" pid="14" name="DocumentYear">
    <vt:i4>2022</vt:i4>
  </property>
  <property fmtid="{D5CDD505-2E9C-101B-9397-08002B2CF9AE}" pid="15" name="DocumentVersion">
    <vt:i4>3</vt:i4>
  </property>
  <property fmtid="{D5CDD505-2E9C-101B-9397-08002B2CF9AE}" pid="16" name="FicheNumber">
    <vt:i4>6552</vt:i4>
  </property>
  <property fmtid="{D5CDD505-2E9C-101B-9397-08002B2CF9AE}" pid="17" name="DocumentStatus">
    <vt:lpwstr>7;#TRA|150d2a88-1431-44e6-a8ca-0bb753ab8672</vt:lpwstr>
  </property>
  <property fmtid="{D5CDD505-2E9C-101B-9397-08002B2CF9AE}" pid="18" name="DocumentPart">
    <vt:i4>0</vt:i4>
  </property>
  <property fmtid="{D5CDD505-2E9C-101B-9397-08002B2CF9AE}" pid="19" name="DossierName">
    <vt:lpwstr/>
  </property>
  <property fmtid="{D5CDD505-2E9C-101B-9397-08002B2CF9AE}" pid="20" name="DocumentSource">
    <vt:lpwstr>1;#EESC|422833ec-8d7e-4e65-8e4e-8bed07ffb729</vt:lpwstr>
  </property>
  <property fmtid="{D5CDD505-2E9C-101B-9397-08002B2CF9AE}" pid="21" name="DocumentType">
    <vt:lpwstr>25;#TCD|cd9d6eb6-3f4f-424a-b2d1-57c9d450eaaf</vt:lpwstr>
  </property>
  <property fmtid="{D5CDD505-2E9C-101B-9397-08002B2CF9AE}" pid="22" name="RequestingService">
    <vt:lpwstr>Relations extérieures</vt:lpwstr>
  </property>
  <property fmtid="{D5CDD505-2E9C-101B-9397-08002B2CF9AE}" pid="23" name="Confidentiality">
    <vt:lpwstr>9;#Unrestricted|826e22d7-d029-4ec0-a450-0c28ff673572</vt:lpwstr>
  </property>
  <property fmtid="{D5CDD505-2E9C-101B-9397-08002B2CF9AE}" pid="24" name="MeetingName_0">
    <vt:lpwstr>DAG CA|f112eb26-7e38-4fa1-8d44-6a93d2612c38</vt:lpwstr>
  </property>
  <property fmtid="{D5CDD505-2E9C-101B-9397-08002B2CF9AE}" pid="25" name="Confidentiality_0">
    <vt:lpwstr>Unrestricted|826e22d7-d029-4ec0-a450-0c28ff673572</vt:lpwstr>
  </property>
  <property fmtid="{D5CDD505-2E9C-101B-9397-08002B2CF9AE}" pid="26" name="OriginalLanguage">
    <vt:lpwstr>31;#ES|e7a6b05b-ae16-40c8-add9-68b64b03aeba</vt:lpwstr>
  </property>
  <property fmtid="{D5CDD505-2E9C-101B-9397-08002B2CF9AE}" pid="27" name="MeetingName">
    <vt:lpwstr>154;#DAG CA|f112eb26-7e38-4fa1-8d44-6a93d2612c38</vt:lpwstr>
  </property>
  <property fmtid="{D5CDD505-2E9C-101B-9397-08002B2CF9AE}" pid="28" name="MeetingDate">
    <vt:filetime>2022-05-23T12:00:00Z</vt:filetime>
  </property>
  <property fmtid="{D5CDD505-2E9C-101B-9397-08002B2CF9AE}" pid="29" name="AvailableTranslations_0">
    <vt:lpwstr>ES|e7a6b05b-ae16-40c8-add9-68b64b03aeba</vt:lpwstr>
  </property>
  <property fmtid="{D5CDD505-2E9C-101B-9397-08002B2CF9AE}" pid="30" name="DocumentStatus_0">
    <vt:lpwstr>TRA|150d2a88-1431-44e6-a8ca-0bb753ab8672</vt:lpwstr>
  </property>
  <property fmtid="{D5CDD505-2E9C-101B-9397-08002B2CF9AE}" pid="31" name="OriginalLanguage_0">
    <vt:lpwstr>ES|e7a6b05b-ae16-40c8-add9-68b64b03aeba</vt:lpwstr>
  </property>
  <property fmtid="{D5CDD505-2E9C-101B-9397-08002B2CF9AE}" pid="32" name="TaxCatchAll">
    <vt:lpwstr>31;#ES|e7a6b05b-ae16-40c8-add9-68b64b03aeba;#9;#Unrestricted|826e22d7-d029-4ec0-a450-0c28ff673572;#25;#TCD|cd9d6eb6-3f4f-424a-b2d1-57c9d450eaaf;#7;#TRA|150d2a88-1431-44e6-a8ca-0bb753ab8672;#6;#Final|ea5e6674-7b27-4bac-b091-73adbb394efe;#154;#DAG CA|f112eb</vt:lpwstr>
  </property>
  <property fmtid="{D5CDD505-2E9C-101B-9397-08002B2CF9AE}" pid="33" name="VersionStatus_0">
    <vt:lpwstr>Final|ea5e6674-7b27-4bac-b091-73adbb394efe</vt:lpwstr>
  </property>
  <property fmtid="{D5CDD505-2E9C-101B-9397-08002B2CF9AE}" pid="34" name="VersionStatus">
    <vt:lpwstr>6;#Final|ea5e6674-7b27-4bac-b091-73adbb394efe</vt:lpwstr>
  </property>
  <property fmtid="{D5CDD505-2E9C-101B-9397-08002B2CF9AE}" pid="35" name="DocumentLanguage">
    <vt:lpwstr>4;#EN|f2175f21-25d7-44a3-96da-d6a61b075e1b</vt:lpwstr>
  </property>
  <property fmtid="{D5CDD505-2E9C-101B-9397-08002B2CF9AE}" pid="36" name="_docset_NoMedatataSyncRequired">
    <vt:lpwstr>False</vt:lpwstr>
  </property>
</Properties>
</file>