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611423" w:rsidRDefault="00E84236" w:rsidP="007F0055">
      <w:pPr>
        <w:ind w:left="-993"/>
        <w:jc w:val="center"/>
      </w:pPr>
      <w:bookmarkStart w:id="0" w:name="_GoBack"/>
      <w:bookmarkEnd w:id="0"/>
      <w:r>
        <w:rPr>
          <w:noProof/>
          <w:lang w:val="en-GB" w:eastAsia="en-GB" w:bidi="ar-SA"/>
        </w:rPr>
        <w:drawing>
          <wp:inline distT="0" distB="0" distL="0" distR="0" wp14:anchorId="22CC25C6" wp14:editId="0CD1E7B6">
            <wp:extent cx="7080250" cy="1587500"/>
            <wp:effectExtent l="0" t="0" r="6350" b="0"/>
            <wp:docPr id="5" name="Picture 5"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o\Desktop\CP-CESE-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0250" cy="15875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24A80" w:rsidTr="00FB0E98">
        <w:trPr>
          <w:cantSplit/>
        </w:trPr>
        <w:tc>
          <w:tcPr>
            <w:tcW w:w="5168" w:type="dxa"/>
          </w:tcPr>
          <w:p w:rsidR="007F0055" w:rsidRPr="00611423" w:rsidRDefault="00F11CFC" w:rsidP="00E84236">
            <w:pPr>
              <w:spacing w:line="240" w:lineRule="auto"/>
              <w:rPr>
                <w:rFonts w:ascii="Verdana" w:hAnsi="Verdana"/>
                <w:b/>
                <w:bCs/>
                <w:sz w:val="18"/>
                <w:szCs w:val="18"/>
              </w:rPr>
            </w:pPr>
            <w:r>
              <w:rPr>
                <w:rFonts w:ascii="Verdana" w:hAnsi="Verdana"/>
                <w:b/>
                <w:sz w:val="18"/>
              </w:rPr>
              <w:t>N</w:t>
            </w:r>
            <w:r w:rsidR="00E84236">
              <w:rPr>
                <w:rFonts w:ascii="Verdana" w:hAnsi="Verdana"/>
                <w:b/>
                <w:sz w:val="18"/>
              </w:rPr>
              <w:t>° </w:t>
            </w:r>
            <w:r>
              <w:rPr>
                <w:rFonts w:ascii="Verdana" w:hAnsi="Verdana"/>
                <w:b/>
                <w:sz w:val="18"/>
              </w:rPr>
              <w:t>42/2017</w:t>
            </w:r>
          </w:p>
        </w:tc>
        <w:tc>
          <w:tcPr>
            <w:tcW w:w="4119" w:type="dxa"/>
          </w:tcPr>
          <w:p w:rsidR="007F0055" w:rsidRPr="00F24A80" w:rsidRDefault="00487081" w:rsidP="00E84236">
            <w:pPr>
              <w:spacing w:line="240" w:lineRule="auto"/>
              <w:jc w:val="right"/>
              <w:rPr>
                <w:rFonts w:ascii="Verdana" w:hAnsi="Verdana"/>
                <w:b/>
                <w:bCs/>
                <w:sz w:val="18"/>
                <w:szCs w:val="18"/>
              </w:rPr>
            </w:pPr>
            <w:r>
              <w:rPr>
                <w:rFonts w:ascii="Verdana" w:hAnsi="Verdana"/>
                <w:b/>
                <w:sz w:val="18"/>
              </w:rPr>
              <w:t>Le 30</w:t>
            </w:r>
            <w:r w:rsidR="00E84236">
              <w:rPr>
                <w:rFonts w:ascii="Verdana" w:hAnsi="Verdana"/>
                <w:b/>
                <w:sz w:val="18"/>
              </w:rPr>
              <w:t> </w:t>
            </w:r>
            <w:r>
              <w:rPr>
                <w:rFonts w:ascii="Verdana" w:hAnsi="Verdana"/>
                <w:b/>
                <w:sz w:val="18"/>
              </w:rPr>
              <w:t>août</w:t>
            </w:r>
            <w:r w:rsidR="00E84236">
              <w:rPr>
                <w:rFonts w:ascii="Verdana" w:hAnsi="Verdana"/>
                <w:b/>
                <w:sz w:val="18"/>
              </w:rPr>
              <w:t> </w:t>
            </w:r>
            <w:r>
              <w:rPr>
                <w:rFonts w:ascii="Verdana" w:hAnsi="Verdana"/>
                <w:b/>
                <w:sz w:val="18"/>
              </w:rPr>
              <w:t>2017</w:t>
            </w:r>
          </w:p>
        </w:tc>
      </w:tr>
    </w:tbl>
    <w:p w:rsidR="007F0055" w:rsidRPr="00F24A80" w:rsidRDefault="007F0055" w:rsidP="007F0055">
      <w:pPr>
        <w:spacing w:line="240" w:lineRule="auto"/>
        <w:rPr>
          <w:rFonts w:ascii="Verdana" w:hAnsi="Verdana"/>
          <w:b/>
          <w:i/>
          <w:sz w:val="20"/>
        </w:rPr>
        <w:sectPr w:rsidR="007F0055" w:rsidRPr="00F24A80" w:rsidSect="00FB0E98">
          <w:footerReference w:type="default" r:id="rId14"/>
          <w:pgSz w:w="11907" w:h="16839" w:code="9"/>
          <w:pgMar w:top="426" w:right="1418" w:bottom="1418" w:left="1418" w:header="3062" w:footer="118" w:gutter="0"/>
          <w:cols w:space="720"/>
          <w:docGrid w:linePitch="299"/>
        </w:sectPr>
      </w:pPr>
    </w:p>
    <w:p w:rsidR="002E6FCD" w:rsidRDefault="002E6FCD" w:rsidP="00262225">
      <w:pPr>
        <w:spacing w:line="276" w:lineRule="auto"/>
        <w:jc w:val="center"/>
        <w:rPr>
          <w:rFonts w:ascii="Verdana" w:hAnsi="Verdana"/>
          <w:b/>
          <w:color w:val="0000CC"/>
          <w:sz w:val="32"/>
          <w:szCs w:val="32"/>
        </w:rPr>
      </w:pPr>
    </w:p>
    <w:p w:rsidR="002E6FCD" w:rsidRPr="0018426C" w:rsidRDefault="00006F1C" w:rsidP="00262225">
      <w:pPr>
        <w:spacing w:line="276" w:lineRule="auto"/>
        <w:jc w:val="center"/>
        <w:rPr>
          <w:rFonts w:ascii="Verdana" w:hAnsi="Verdana"/>
          <w:b/>
          <w:color w:val="0000CC"/>
          <w:sz w:val="32"/>
          <w:szCs w:val="32"/>
        </w:rPr>
      </w:pPr>
      <w:r>
        <w:rPr>
          <w:rFonts w:ascii="Verdana" w:hAnsi="Verdana"/>
          <w:b/>
          <w:color w:val="0000CC"/>
          <w:sz w:val="32"/>
        </w:rPr>
        <w:t xml:space="preserve">La perte de biodiversité menace les conditions </w:t>
      </w:r>
      <w:r w:rsidR="00E84236">
        <w:rPr>
          <w:rFonts w:ascii="Verdana" w:hAnsi="Verdana"/>
          <w:b/>
          <w:color w:val="0000CC"/>
          <w:sz w:val="32"/>
        </w:rPr>
        <w:br/>
      </w:r>
      <w:r>
        <w:rPr>
          <w:rFonts w:ascii="Verdana" w:hAnsi="Verdana"/>
          <w:b/>
          <w:color w:val="0000CC"/>
          <w:sz w:val="32"/>
        </w:rPr>
        <w:t>de notre existence</w:t>
      </w:r>
    </w:p>
    <w:p w:rsidR="00074DDB" w:rsidRDefault="00074DDB" w:rsidP="00262225">
      <w:pPr>
        <w:spacing w:line="276" w:lineRule="auto"/>
        <w:jc w:val="center"/>
        <w:rPr>
          <w:rFonts w:ascii="Verdana" w:hAnsi="Verdana"/>
          <w:b/>
          <w:color w:val="0070C0"/>
          <w:sz w:val="24"/>
          <w:szCs w:val="24"/>
        </w:rPr>
      </w:pPr>
      <w:r>
        <w:rPr>
          <w:rFonts w:ascii="Verdana" w:hAnsi="Verdana"/>
          <w:b/>
          <w:color w:val="0070C0"/>
          <w:sz w:val="24"/>
        </w:rPr>
        <w:t xml:space="preserve">Le CESE tire la sonnette d’alarme et reproche à la Commission </w:t>
      </w:r>
      <w:r w:rsidR="00E84236">
        <w:rPr>
          <w:rFonts w:ascii="Verdana" w:hAnsi="Verdana"/>
          <w:b/>
          <w:color w:val="0070C0"/>
          <w:sz w:val="24"/>
        </w:rPr>
        <w:br/>
      </w:r>
      <w:r>
        <w:rPr>
          <w:rFonts w:ascii="Verdana" w:hAnsi="Verdana"/>
          <w:b/>
          <w:color w:val="0070C0"/>
          <w:sz w:val="24"/>
        </w:rPr>
        <w:t xml:space="preserve">et aux États membres leur manque de volonté politique </w:t>
      </w:r>
    </w:p>
    <w:p w:rsidR="0018426C" w:rsidRPr="002E6FCD" w:rsidRDefault="0018426C" w:rsidP="00262225">
      <w:pPr>
        <w:spacing w:line="276" w:lineRule="auto"/>
        <w:jc w:val="center"/>
        <w:rPr>
          <w:rFonts w:ascii="Verdana" w:hAnsi="Verdana"/>
          <w:b/>
          <w:color w:val="0070C0"/>
          <w:sz w:val="24"/>
          <w:szCs w:val="24"/>
        </w:rPr>
      </w:pPr>
    </w:p>
    <w:p w:rsidR="00FB21B2" w:rsidRPr="00A23191" w:rsidRDefault="00EC3B5E" w:rsidP="001D3B35">
      <w:pPr>
        <w:spacing w:line="276" w:lineRule="auto"/>
        <w:ind w:left="-142"/>
        <w:rPr>
          <w:rFonts w:ascii="Verdana" w:hAnsi="Verdana"/>
          <w:b/>
          <w:color w:val="0070C0"/>
          <w:sz w:val="20"/>
        </w:rPr>
      </w:pPr>
      <w:r>
        <w:rPr>
          <w:rFonts w:ascii="Verdana" w:hAnsi="Verdana"/>
          <w:b/>
          <w:sz w:val="18"/>
        </w:rPr>
        <w:t xml:space="preserve">Le CESE tire la sonnette d’alarme dans le contexte d’un été marqué par de fortes tempêtes, des glissements de terrain et autres phénomènes météorologiques inhabituels. Plusieurs propositions du CESE pour améliorer la protection de la nature sont restées jusqu’à présent sans réponse que ce soit de la part de la Commission ou des États membres. </w:t>
      </w:r>
      <w:r>
        <w:rPr>
          <w:rFonts w:ascii="Verdana" w:hAnsi="Verdana"/>
          <w:b/>
          <w:i/>
          <w:sz w:val="18"/>
        </w:rPr>
        <w:t>«Nous appelons une fois encore la Commission et les États membres à garantir une mise en œuvre cohérente et immédiate de la stratégie en faveur de la biodiversité, notamment des directives «Oiseaux» et «Habitats» ainsi que de la directive relative à l’eau, qui constituent des moyens importants permettant de préserver la biodiversité»</w:t>
      </w:r>
      <w:r>
        <w:rPr>
          <w:rFonts w:ascii="Verdana" w:hAnsi="Verdana"/>
          <w:b/>
          <w:sz w:val="18"/>
        </w:rPr>
        <w:t>, déclare M. Lutz </w:t>
      </w:r>
      <w:proofErr w:type="spellStart"/>
      <w:r>
        <w:rPr>
          <w:rFonts w:ascii="Verdana" w:hAnsi="Verdana"/>
          <w:b/>
          <w:sz w:val="18"/>
        </w:rPr>
        <w:t>Ribbe</w:t>
      </w:r>
      <w:proofErr w:type="spellEnd"/>
      <w:r>
        <w:rPr>
          <w:rFonts w:ascii="Verdana" w:hAnsi="Verdana"/>
          <w:b/>
          <w:sz w:val="18"/>
        </w:rPr>
        <w:t xml:space="preserve">, membre allemand du CESE, se référant à son </w:t>
      </w:r>
      <w:hyperlink r:id="rId15">
        <w:r>
          <w:rPr>
            <w:rStyle w:val="Hyperlink"/>
            <w:rFonts w:ascii="Verdana" w:hAnsi="Verdana"/>
            <w:b/>
            <w:sz w:val="18"/>
          </w:rPr>
          <w:t xml:space="preserve">avis sur </w:t>
        </w:r>
        <w:r>
          <w:rPr>
            <w:rStyle w:val="Hyperlink"/>
            <w:rFonts w:ascii="Verdana" w:hAnsi="Verdana"/>
            <w:b/>
            <w:i/>
            <w:sz w:val="18"/>
          </w:rPr>
          <w:t>la politique de l’UE en matière de biodiversité</w:t>
        </w:r>
      </w:hyperlink>
      <w:r>
        <w:t>.</w:t>
      </w:r>
      <w:r>
        <w:rPr>
          <w:rFonts w:ascii="Verdana" w:hAnsi="Verdana"/>
          <w:b/>
          <w:sz w:val="18"/>
        </w:rPr>
        <w:t xml:space="preserve"> </w:t>
      </w:r>
    </w:p>
    <w:p w:rsidR="00292700" w:rsidRDefault="00292700" w:rsidP="001D3B35">
      <w:pPr>
        <w:spacing w:line="276" w:lineRule="auto"/>
        <w:ind w:left="-142"/>
        <w:rPr>
          <w:rFonts w:ascii="Verdana" w:hAnsi="Verdana"/>
          <w:b/>
          <w:color w:val="0070C0"/>
          <w:sz w:val="20"/>
        </w:rPr>
      </w:pPr>
    </w:p>
    <w:p w:rsidR="002536CF" w:rsidRDefault="00A23191" w:rsidP="002536CF">
      <w:pPr>
        <w:spacing w:line="276" w:lineRule="auto"/>
        <w:ind w:left="-142"/>
        <w:rPr>
          <w:rFonts w:ascii="Verdana" w:hAnsi="Verdana"/>
          <w:b/>
          <w:color w:val="0070C0"/>
          <w:sz w:val="20"/>
        </w:rPr>
      </w:pPr>
      <w:r>
        <w:rPr>
          <w:rFonts w:ascii="Verdana" w:hAnsi="Verdana"/>
          <w:b/>
          <w:color w:val="0070C0"/>
          <w:sz w:val="20"/>
        </w:rPr>
        <w:t xml:space="preserve">Les 20 ans de retard de </w:t>
      </w:r>
      <w:proofErr w:type="spellStart"/>
      <w:r>
        <w:rPr>
          <w:rFonts w:ascii="Verdana" w:hAnsi="Verdana"/>
          <w:b/>
          <w:color w:val="0070C0"/>
          <w:sz w:val="20"/>
        </w:rPr>
        <w:t>Natura</w:t>
      </w:r>
      <w:proofErr w:type="spellEnd"/>
      <w:r>
        <w:rPr>
          <w:rFonts w:ascii="Verdana" w:hAnsi="Verdana"/>
          <w:b/>
          <w:color w:val="0070C0"/>
          <w:sz w:val="20"/>
        </w:rPr>
        <w:t xml:space="preserve"> 2000: le CESE plaide pour un budget spécifique </w:t>
      </w:r>
    </w:p>
    <w:p w:rsidR="00D026A0" w:rsidRPr="002536CF" w:rsidRDefault="00A23191" w:rsidP="002536CF">
      <w:pPr>
        <w:spacing w:line="276" w:lineRule="auto"/>
        <w:ind w:left="-142"/>
        <w:rPr>
          <w:rFonts w:ascii="Verdana" w:hAnsi="Verdana"/>
          <w:b/>
          <w:sz w:val="18"/>
          <w:szCs w:val="18"/>
        </w:rPr>
      </w:pPr>
      <w:r>
        <w:rPr>
          <w:rFonts w:ascii="Verdana" w:hAnsi="Verdana"/>
          <w:sz w:val="18"/>
        </w:rPr>
        <w:t xml:space="preserve">Le réseau </w:t>
      </w:r>
      <w:proofErr w:type="spellStart"/>
      <w:r>
        <w:rPr>
          <w:rFonts w:ascii="Verdana" w:hAnsi="Verdana"/>
          <w:sz w:val="18"/>
        </w:rPr>
        <w:t>Natura</w:t>
      </w:r>
      <w:proofErr w:type="spellEnd"/>
      <w:r>
        <w:rPr>
          <w:rFonts w:ascii="Verdana" w:hAnsi="Verdana"/>
          <w:sz w:val="18"/>
        </w:rPr>
        <w:t> 2000 se fonde essentiellement sur la directive «Habitats» et comporte certaines zones de protection spéciale pour les oiseaux au titre de la directive «Oiseaux». Il vise à préserver des espèces rares de la flore et de la faune ainsi que certains biotopes uniques situés dans des zones désignées. Ce réseau devrait être achevé depuis</w:t>
      </w:r>
      <w:r w:rsidR="00E84236">
        <w:rPr>
          <w:rFonts w:ascii="Verdana" w:hAnsi="Verdana"/>
          <w:sz w:val="18"/>
        </w:rPr>
        <w:t> </w:t>
      </w:r>
      <w:r>
        <w:rPr>
          <w:rFonts w:ascii="Verdana" w:hAnsi="Verdana"/>
          <w:sz w:val="18"/>
        </w:rPr>
        <w:t>1995. Aujourd’hui, en</w:t>
      </w:r>
      <w:r w:rsidR="00E84236">
        <w:rPr>
          <w:rFonts w:ascii="Verdana" w:hAnsi="Verdana"/>
          <w:sz w:val="18"/>
        </w:rPr>
        <w:t> </w:t>
      </w:r>
      <w:r>
        <w:rPr>
          <w:rFonts w:ascii="Verdana" w:hAnsi="Verdana"/>
          <w:sz w:val="18"/>
        </w:rPr>
        <w:t xml:space="preserve">2017, </w:t>
      </w:r>
      <w:proofErr w:type="gramStart"/>
      <w:r>
        <w:rPr>
          <w:rFonts w:ascii="Verdana" w:hAnsi="Verdana"/>
          <w:sz w:val="18"/>
        </w:rPr>
        <w:t xml:space="preserve">la </w:t>
      </w:r>
      <w:proofErr w:type="spellStart"/>
      <w:r>
        <w:rPr>
          <w:rFonts w:ascii="Verdana" w:hAnsi="Verdana"/>
          <w:sz w:val="18"/>
        </w:rPr>
        <w:t>quasi</w:t>
      </w:r>
      <w:proofErr w:type="gramEnd"/>
      <w:r>
        <w:rPr>
          <w:rFonts w:ascii="Verdana" w:hAnsi="Verdana"/>
          <w:sz w:val="18"/>
        </w:rPr>
        <w:t xml:space="preserve"> totalité</w:t>
      </w:r>
      <w:proofErr w:type="spellEnd"/>
      <w:r>
        <w:rPr>
          <w:rFonts w:ascii="Verdana" w:hAnsi="Verdana"/>
          <w:sz w:val="18"/>
        </w:rPr>
        <w:t xml:space="preserve"> des sites </w:t>
      </w:r>
      <w:proofErr w:type="spellStart"/>
      <w:r>
        <w:rPr>
          <w:rFonts w:ascii="Verdana" w:hAnsi="Verdana"/>
          <w:sz w:val="18"/>
        </w:rPr>
        <w:t>Natura</w:t>
      </w:r>
      <w:proofErr w:type="spellEnd"/>
      <w:r>
        <w:rPr>
          <w:rFonts w:ascii="Verdana" w:hAnsi="Verdana"/>
          <w:sz w:val="18"/>
        </w:rPr>
        <w:t> 2000 sont enfin désignés –</w:t>
      </w:r>
      <w:r w:rsidR="00E84236">
        <w:rPr>
          <w:rFonts w:ascii="Verdana" w:hAnsi="Verdana"/>
          <w:sz w:val="18"/>
        </w:rPr>
        <w:t> </w:t>
      </w:r>
      <w:r>
        <w:rPr>
          <w:rFonts w:ascii="Verdana" w:hAnsi="Verdana"/>
          <w:sz w:val="18"/>
        </w:rPr>
        <w:t>représentant près de 18 % de la superficie terrestre de l’Union</w:t>
      </w:r>
      <w:r w:rsidR="00E84236">
        <w:rPr>
          <w:rFonts w:ascii="Verdana" w:hAnsi="Verdana"/>
          <w:sz w:val="18"/>
        </w:rPr>
        <w:t> </w:t>
      </w:r>
      <w:r>
        <w:rPr>
          <w:rFonts w:ascii="Verdana" w:hAnsi="Verdana"/>
          <w:sz w:val="18"/>
        </w:rPr>
        <w:t xml:space="preserve">– mais de nombreux sites ne disposent toujours pas de protection juridique permanente, et seulement la moitié d’entre eux environ disposent de plans de gestion. </w:t>
      </w:r>
      <w:r>
        <w:rPr>
          <w:rFonts w:ascii="Verdana" w:hAnsi="Verdana"/>
          <w:i/>
          <w:sz w:val="18"/>
        </w:rPr>
        <w:t>«C’est une preuve d’incapacité, ou simplement d’ignorance, de la part de l’Union européenne et de bon nombre de ses États membres. Nous comprenons que l’Union est confrontée à de nombreux défis, tels que le «</w:t>
      </w:r>
      <w:proofErr w:type="spellStart"/>
      <w:r>
        <w:rPr>
          <w:rFonts w:ascii="Verdana" w:hAnsi="Verdana"/>
          <w:i/>
          <w:sz w:val="18"/>
        </w:rPr>
        <w:t>Brexit</w:t>
      </w:r>
      <w:proofErr w:type="spellEnd"/>
      <w:r>
        <w:rPr>
          <w:rFonts w:ascii="Verdana" w:hAnsi="Verdana"/>
          <w:i/>
          <w:sz w:val="18"/>
        </w:rPr>
        <w:t xml:space="preserve">», le chômage et le terrorisme, des sujets sur lesquels, en tant que représentants de la société civile, nous œuvrons aux côtés de la Commission. </w:t>
      </w:r>
      <w:r>
        <w:rPr>
          <w:rFonts w:ascii="Verdana" w:hAnsi="Verdana"/>
          <w:b/>
          <w:i/>
          <w:sz w:val="18"/>
        </w:rPr>
        <w:t xml:space="preserve">Mais nous ne devons pas </w:t>
      </w:r>
      <w:proofErr w:type="gramStart"/>
      <w:r>
        <w:rPr>
          <w:rFonts w:ascii="Verdana" w:hAnsi="Verdana"/>
          <w:b/>
          <w:i/>
          <w:sz w:val="18"/>
        </w:rPr>
        <w:t>oublier</w:t>
      </w:r>
      <w:proofErr w:type="gramEnd"/>
      <w:r>
        <w:rPr>
          <w:rFonts w:ascii="Verdana" w:hAnsi="Verdana"/>
          <w:b/>
          <w:i/>
          <w:sz w:val="18"/>
        </w:rPr>
        <w:t xml:space="preserve"> que la biodiversité conditionne notre existence même et que la poursuite du pillage de notre nature nous prive de nos conditions de subsistance»</w:t>
      </w:r>
      <w:r>
        <w:rPr>
          <w:rFonts w:ascii="Verdana" w:hAnsi="Verdana"/>
          <w:sz w:val="18"/>
        </w:rPr>
        <w:t>, met en garde M. </w:t>
      </w:r>
      <w:proofErr w:type="spellStart"/>
      <w:r>
        <w:rPr>
          <w:rFonts w:ascii="Verdana" w:hAnsi="Verdana"/>
          <w:sz w:val="18"/>
        </w:rPr>
        <w:t>Ribbe</w:t>
      </w:r>
      <w:proofErr w:type="spellEnd"/>
      <w:r>
        <w:rPr>
          <w:rFonts w:ascii="Verdana" w:hAnsi="Verdana"/>
          <w:sz w:val="18"/>
        </w:rPr>
        <w:t xml:space="preserve">. Le CESE estime que l’une des raisons principales du retard observé dans la réalisation des objectifs initiaux réside dans le financement des zones </w:t>
      </w:r>
      <w:proofErr w:type="spellStart"/>
      <w:r>
        <w:rPr>
          <w:rFonts w:ascii="Verdana" w:hAnsi="Verdana"/>
          <w:sz w:val="18"/>
        </w:rPr>
        <w:t>Natura</w:t>
      </w:r>
      <w:proofErr w:type="spellEnd"/>
      <w:r>
        <w:rPr>
          <w:rFonts w:ascii="Verdana" w:hAnsi="Verdana"/>
          <w:sz w:val="18"/>
        </w:rPr>
        <w:t> 2000 qui provient presque exclusivement du Fonds européen de développement régional (FEDER) et du Fonds européen agricole pour le développement rural (</w:t>
      </w:r>
      <w:proofErr w:type="spellStart"/>
      <w:r>
        <w:rPr>
          <w:rFonts w:ascii="Verdana" w:hAnsi="Verdana"/>
          <w:sz w:val="18"/>
        </w:rPr>
        <w:t>Feader</w:t>
      </w:r>
      <w:proofErr w:type="spellEnd"/>
      <w:r>
        <w:rPr>
          <w:rFonts w:ascii="Verdana" w:hAnsi="Verdana"/>
          <w:sz w:val="18"/>
        </w:rPr>
        <w:t xml:space="preserve">). </w:t>
      </w:r>
      <w:r>
        <w:rPr>
          <w:rFonts w:ascii="Verdana" w:hAnsi="Verdana"/>
          <w:i/>
          <w:sz w:val="18"/>
        </w:rPr>
        <w:t xml:space="preserve">«Au sein de ces deux fonds, </w:t>
      </w:r>
      <w:proofErr w:type="spellStart"/>
      <w:r>
        <w:rPr>
          <w:rFonts w:ascii="Verdana" w:hAnsi="Verdana"/>
          <w:i/>
          <w:sz w:val="18"/>
        </w:rPr>
        <w:t>Natura</w:t>
      </w:r>
      <w:proofErr w:type="spellEnd"/>
      <w:r>
        <w:rPr>
          <w:rFonts w:ascii="Verdana" w:hAnsi="Verdana"/>
          <w:i/>
          <w:sz w:val="18"/>
        </w:rPr>
        <w:t xml:space="preserve"> 2000 entre en conflit avec de nombreux autres projets, et la protection de la nature en sort rarement vainqueur. Nous avons toujours mis en garde contre ce conflit entre intérêts divergents, et nous appelons une nouvelle fois la Commission à autoriser sans tarder une augmentation du budget dédié à </w:t>
      </w:r>
      <w:proofErr w:type="spellStart"/>
      <w:r>
        <w:rPr>
          <w:rFonts w:ascii="Verdana" w:hAnsi="Verdana"/>
          <w:i/>
          <w:sz w:val="18"/>
        </w:rPr>
        <w:t>Natura</w:t>
      </w:r>
      <w:proofErr w:type="spellEnd"/>
      <w:r>
        <w:rPr>
          <w:rFonts w:ascii="Verdana" w:hAnsi="Verdana"/>
          <w:i/>
          <w:sz w:val="18"/>
        </w:rPr>
        <w:t> 2000 en partant d’une évaluation précise des coûts</w:t>
      </w:r>
      <w:r>
        <w:rPr>
          <w:rFonts w:ascii="Verdana" w:hAnsi="Verdana"/>
          <w:sz w:val="18"/>
        </w:rPr>
        <w:t>», souligne M. </w:t>
      </w:r>
      <w:proofErr w:type="spellStart"/>
      <w:r>
        <w:rPr>
          <w:rFonts w:ascii="Verdana" w:hAnsi="Verdana"/>
          <w:sz w:val="18"/>
        </w:rPr>
        <w:t>Ribbe</w:t>
      </w:r>
      <w:proofErr w:type="spellEnd"/>
      <w:r>
        <w:rPr>
          <w:rFonts w:ascii="Verdana" w:hAnsi="Verdana"/>
          <w:sz w:val="18"/>
        </w:rPr>
        <w:t>.</w:t>
      </w:r>
      <w:r>
        <w:rPr>
          <w:rFonts w:ascii="Verdana" w:hAnsi="Verdana"/>
          <w:i/>
          <w:sz w:val="18"/>
        </w:rPr>
        <w:t xml:space="preserve"> </w:t>
      </w:r>
      <w:r>
        <w:rPr>
          <w:rFonts w:ascii="Verdana" w:hAnsi="Verdana"/>
          <w:sz w:val="18"/>
        </w:rPr>
        <w:t xml:space="preserve">Des experts estiment que quelque dix milliards d’euros par an </w:t>
      </w:r>
      <w:proofErr w:type="gramStart"/>
      <w:r>
        <w:rPr>
          <w:rFonts w:ascii="Verdana" w:hAnsi="Verdana"/>
          <w:sz w:val="18"/>
        </w:rPr>
        <w:t>sont</w:t>
      </w:r>
      <w:proofErr w:type="gramEnd"/>
      <w:r>
        <w:rPr>
          <w:rFonts w:ascii="Verdana" w:hAnsi="Verdana"/>
          <w:sz w:val="18"/>
        </w:rPr>
        <w:t xml:space="preserve"> nécessaires, notamment pour indemniser les pertes de terrain des propriétaires ou encore pour payer des services spéciaux. «</w:t>
      </w:r>
      <w:r>
        <w:rPr>
          <w:rFonts w:ascii="Verdana" w:hAnsi="Verdana" w:cstheme="minorBidi"/>
          <w:i/>
          <w:sz w:val="18"/>
        </w:rPr>
        <w:t>La protection de la nature est un bien public et elle ne saurait se réaliser au détriment des propriétaires fonciers</w:t>
      </w:r>
      <w:r>
        <w:rPr>
          <w:rFonts w:ascii="Verdana" w:hAnsi="Verdana"/>
          <w:sz w:val="18"/>
        </w:rPr>
        <w:t xml:space="preserve">», affirme le CESE. </w:t>
      </w:r>
    </w:p>
    <w:p w:rsidR="00056A6B" w:rsidRDefault="00056A6B" w:rsidP="001D3B35">
      <w:pPr>
        <w:spacing w:line="276" w:lineRule="auto"/>
        <w:ind w:left="-142"/>
        <w:rPr>
          <w:rFonts w:ascii="Verdana" w:hAnsi="Verdana"/>
          <w:i/>
          <w:sz w:val="18"/>
          <w:szCs w:val="18"/>
        </w:rPr>
      </w:pPr>
    </w:p>
    <w:p w:rsidR="00687DF6" w:rsidRPr="0018426C" w:rsidRDefault="00687DF6" w:rsidP="00E84236">
      <w:pPr>
        <w:keepNext/>
        <w:keepLines/>
        <w:spacing w:line="276" w:lineRule="auto"/>
        <w:ind w:left="-142"/>
        <w:rPr>
          <w:rFonts w:ascii="Verdana" w:hAnsi="Verdana"/>
          <w:b/>
          <w:color w:val="0070C0"/>
          <w:sz w:val="20"/>
        </w:rPr>
      </w:pPr>
      <w:r>
        <w:rPr>
          <w:rFonts w:ascii="Verdana" w:hAnsi="Verdana"/>
          <w:b/>
          <w:color w:val="0070C0"/>
          <w:sz w:val="20"/>
        </w:rPr>
        <w:lastRenderedPageBreak/>
        <w:t>La biodiversité est une question transversale: la réforme de la PAC doit en tenir compte</w:t>
      </w:r>
    </w:p>
    <w:p w:rsidR="00EA0012" w:rsidRDefault="007F4A89" w:rsidP="00E84236">
      <w:pPr>
        <w:keepNext/>
        <w:keepLines/>
        <w:spacing w:line="276" w:lineRule="auto"/>
        <w:ind w:left="-142"/>
        <w:rPr>
          <w:rFonts w:ascii="Verdana" w:hAnsi="Verdana"/>
          <w:sz w:val="18"/>
          <w:szCs w:val="18"/>
        </w:rPr>
      </w:pPr>
      <w:r>
        <w:rPr>
          <w:rFonts w:ascii="Verdana" w:hAnsi="Verdana"/>
          <w:sz w:val="18"/>
        </w:rPr>
        <w:t>Des espèces telles que les pollinisateurs, les décomposeurs et bien d’autres ne peuvent être protégées si l’on se focalise uniquement sur la désignation de zones protégées. La biodiversité doit être intégrée aux autres politiques, notamment celles visant le secteur agricole. C’est principalement ce secteur – tout comme l’ont souligné à juste titre la Commission et le Conseil – qui exerce la pression la plus forte sur les écosystèmes terrestres. «</w:t>
      </w:r>
      <w:r>
        <w:rPr>
          <w:rFonts w:ascii="Verdana" w:hAnsi="Verdana"/>
          <w:i/>
          <w:sz w:val="18"/>
        </w:rPr>
        <w:t>Par conséquent, nous espérons que l’évaluation à mi-parcours des «surfaces d’intérêt écologique» et la prochaine réforme de la politique agricole commune (PAC) seront également axées sur la réalisation des objectifs en matière de biodiversité</w:t>
      </w:r>
      <w:r>
        <w:rPr>
          <w:rFonts w:ascii="Verdana" w:hAnsi="Verdana"/>
          <w:sz w:val="18"/>
        </w:rPr>
        <w:t>», explique M. </w:t>
      </w:r>
      <w:proofErr w:type="spellStart"/>
      <w:r>
        <w:rPr>
          <w:rFonts w:ascii="Verdana" w:hAnsi="Verdana"/>
          <w:sz w:val="18"/>
        </w:rPr>
        <w:t>Ribbe</w:t>
      </w:r>
      <w:proofErr w:type="spellEnd"/>
      <w:r>
        <w:rPr>
          <w:rFonts w:ascii="Verdana" w:hAnsi="Verdana"/>
          <w:sz w:val="18"/>
        </w:rPr>
        <w:t xml:space="preserve">. </w:t>
      </w:r>
    </w:p>
    <w:p w:rsidR="001646CD" w:rsidRDefault="001646CD" w:rsidP="00EA0012">
      <w:pPr>
        <w:spacing w:line="276" w:lineRule="auto"/>
        <w:ind w:left="-142"/>
        <w:rPr>
          <w:rFonts w:ascii="Verdana" w:hAnsi="Verdana"/>
          <w:sz w:val="18"/>
          <w:szCs w:val="18"/>
        </w:rPr>
      </w:pPr>
    </w:p>
    <w:p w:rsidR="003044D9" w:rsidRPr="002536CF" w:rsidRDefault="007F4A89" w:rsidP="008A5123">
      <w:pPr>
        <w:spacing w:line="276" w:lineRule="auto"/>
        <w:ind w:left="-142"/>
        <w:rPr>
          <w:rFonts w:ascii="Verdana" w:hAnsi="Verdana"/>
          <w:b/>
          <w:sz w:val="18"/>
          <w:szCs w:val="18"/>
        </w:rPr>
      </w:pPr>
      <w:r>
        <w:rPr>
          <w:rFonts w:ascii="Verdana" w:hAnsi="Verdana"/>
          <w:sz w:val="18"/>
        </w:rPr>
        <w:t xml:space="preserve">Les incohérences des politiques de l’Union ne se limitent pas à la politique agricole; des insuffisances en matière de mise en œuvre et d’action concertée peuvent être également relevées dans d’autres domaines. Pour le CESE, la question de la biodiversité est comparable à celle de la protection du climat qui </w:t>
      </w:r>
      <w:proofErr w:type="gramStart"/>
      <w:r>
        <w:rPr>
          <w:rFonts w:ascii="Verdana" w:hAnsi="Verdana"/>
          <w:sz w:val="18"/>
        </w:rPr>
        <w:t>doivent</w:t>
      </w:r>
      <w:proofErr w:type="gramEnd"/>
      <w:r>
        <w:rPr>
          <w:rFonts w:ascii="Verdana" w:hAnsi="Verdana"/>
          <w:sz w:val="18"/>
        </w:rPr>
        <w:t xml:space="preserve"> l’une et l’autre être prises en compte dans l’ensemble des politiques. Il n’en va pas seulement de la conservation des espèces animales ou végétales: </w:t>
      </w:r>
      <w:r>
        <w:rPr>
          <w:rFonts w:ascii="Verdana" w:hAnsi="Verdana"/>
          <w:b/>
          <w:sz w:val="18"/>
        </w:rPr>
        <w:t xml:space="preserve">ce sont les conditions mêmes de l’existence humaine qui sont en jeu, et il est donc nécessaire d'en faire une question transversale. </w:t>
      </w:r>
    </w:p>
    <w:p w:rsidR="003044D9" w:rsidRPr="003044D9" w:rsidRDefault="003044D9" w:rsidP="00EA0012">
      <w:pPr>
        <w:spacing w:line="276" w:lineRule="auto"/>
        <w:ind w:left="-142"/>
        <w:rPr>
          <w:rFonts w:ascii="Verdana" w:hAnsi="Verdana"/>
          <w:sz w:val="18"/>
          <w:szCs w:val="18"/>
        </w:rPr>
      </w:pPr>
    </w:p>
    <w:p w:rsidR="00FC616B" w:rsidRPr="008A5123" w:rsidRDefault="005400A4" w:rsidP="008A5123">
      <w:pPr>
        <w:spacing w:line="276" w:lineRule="auto"/>
        <w:ind w:left="-142"/>
        <w:rPr>
          <w:rFonts w:ascii="Verdana" w:hAnsi="Verdana"/>
          <w:sz w:val="18"/>
          <w:szCs w:val="18"/>
        </w:rPr>
      </w:pPr>
      <w:r>
        <w:rPr>
          <w:rFonts w:ascii="Verdana" w:hAnsi="Verdana"/>
          <w:sz w:val="18"/>
        </w:rPr>
        <w:t xml:space="preserve">S'agissant de la protection de la biodiversité, le CESE souligne qu’au sein de l’Union, ce ne sont pas les lois, les réglementations, les déclarations politiques ou les recommandations qui manquent. </w:t>
      </w:r>
      <w:r>
        <w:rPr>
          <w:rFonts w:ascii="Verdana" w:hAnsi="Verdana"/>
          <w:i/>
          <w:sz w:val="18"/>
        </w:rPr>
        <w:t>«Le problème, c’est bien celui d’un déficit de mise en œuvre. Aussi longtemps qu’il ne se traduit pas en actions concrètes, tout ce cadre juridique ne vaut pas le prix du papier sur lequel on l’imprime</w:t>
      </w:r>
      <w:r>
        <w:rPr>
          <w:rFonts w:ascii="Verdana" w:hAnsi="Verdana"/>
          <w:sz w:val="18"/>
        </w:rPr>
        <w:t>» conclut M. </w:t>
      </w:r>
      <w:proofErr w:type="spellStart"/>
      <w:r>
        <w:rPr>
          <w:rFonts w:ascii="Verdana" w:hAnsi="Verdana"/>
          <w:sz w:val="18"/>
        </w:rPr>
        <w:t>Ribbe</w:t>
      </w:r>
      <w:proofErr w:type="spellEnd"/>
      <w:r>
        <w:rPr>
          <w:rFonts w:ascii="Verdana" w:hAnsi="Verdana"/>
          <w:sz w:val="18"/>
        </w:rPr>
        <w:t>.</w:t>
      </w:r>
      <w:r>
        <w:rPr>
          <w:rFonts w:ascii="Verdana" w:hAnsi="Verdana"/>
          <w:i/>
          <w:sz w:val="18"/>
        </w:rPr>
        <w:t xml:space="preserve"> «La Commission dispose des outils et des moyens, notamment dans le cadre du semestre européen, pour encourager les États membres à se conformer à leurs obligations. Pour nous, ce manquement est le signe d’un défaut de volonté politique et de coopération de la part de la Commission et des États membres.» </w:t>
      </w:r>
    </w:p>
    <w:p w:rsidR="00861F5F" w:rsidRDefault="00861F5F" w:rsidP="00861F5F">
      <w:pPr>
        <w:spacing w:line="276" w:lineRule="auto"/>
        <w:ind w:left="-142"/>
        <w:rPr>
          <w:rFonts w:ascii="Verdana" w:hAnsi="Verdana"/>
          <w:sz w:val="18"/>
          <w:szCs w:val="18"/>
        </w:rPr>
      </w:pPr>
    </w:p>
    <w:p w:rsidR="00616784" w:rsidRDefault="00616784" w:rsidP="00882AFD">
      <w:pPr>
        <w:jc w:val="center"/>
        <w:rPr>
          <w:rFonts w:ascii="Verdana" w:hAnsi="Verdana"/>
          <w:b/>
          <w:bCs/>
          <w:sz w:val="18"/>
          <w:szCs w:val="18"/>
        </w:rPr>
      </w:pPr>
    </w:p>
    <w:p w:rsidR="008277EC" w:rsidRDefault="008277EC" w:rsidP="00882AFD">
      <w:pPr>
        <w:jc w:val="center"/>
        <w:rPr>
          <w:rFonts w:ascii="Verdana" w:hAnsi="Verdana"/>
          <w:b/>
          <w:bCs/>
          <w:sz w:val="18"/>
          <w:szCs w:val="18"/>
        </w:rPr>
      </w:pPr>
      <w:r>
        <w:rPr>
          <w:rFonts w:ascii="Verdana" w:hAnsi="Verdana"/>
          <w:b/>
          <w:sz w:val="18"/>
        </w:rPr>
        <w:t>Pour de plus amples informations, veuillez contacter:</w:t>
      </w:r>
    </w:p>
    <w:p w:rsidR="008277EC" w:rsidRDefault="008277EC" w:rsidP="00882AFD">
      <w:pPr>
        <w:jc w:val="center"/>
        <w:rPr>
          <w:rFonts w:ascii="Verdana" w:hAnsi="Verdana"/>
          <w:sz w:val="18"/>
          <w:szCs w:val="18"/>
        </w:rPr>
      </w:pPr>
      <w:r>
        <w:rPr>
          <w:rFonts w:ascii="Verdana" w:hAnsi="Verdana"/>
          <w:sz w:val="18"/>
        </w:rPr>
        <w:t>Silvia Aumair</w:t>
      </w:r>
    </w:p>
    <w:p w:rsidR="008277EC" w:rsidRDefault="008277EC" w:rsidP="00882AFD">
      <w:pPr>
        <w:jc w:val="center"/>
        <w:rPr>
          <w:rFonts w:ascii="Verdana" w:hAnsi="Verdana"/>
          <w:sz w:val="18"/>
          <w:szCs w:val="18"/>
        </w:rPr>
      </w:pPr>
      <w:r>
        <w:rPr>
          <w:rFonts w:ascii="Verdana" w:hAnsi="Verdana"/>
          <w:sz w:val="18"/>
        </w:rPr>
        <w:t>Courrier électronique:</w:t>
      </w:r>
      <w:r>
        <w:t xml:space="preserve"> </w:t>
      </w:r>
      <w:hyperlink r:id="rId16">
        <w:r>
          <w:rPr>
            <w:rStyle w:val="Hyperlink"/>
            <w:rFonts w:ascii="Verdana" w:hAnsi="Verdana"/>
            <w:sz w:val="18"/>
          </w:rPr>
          <w:t>press@eesc.europa.eu</w:t>
        </w:r>
      </w:hyperlink>
    </w:p>
    <w:p w:rsidR="008277EC" w:rsidRDefault="008277EC" w:rsidP="00882AFD">
      <w:pPr>
        <w:jc w:val="center"/>
        <w:rPr>
          <w:rFonts w:ascii="Verdana" w:hAnsi="Verdana"/>
          <w:sz w:val="18"/>
          <w:szCs w:val="18"/>
        </w:rPr>
      </w:pPr>
      <w:r>
        <w:rPr>
          <w:rFonts w:ascii="Verdana" w:hAnsi="Verdana"/>
          <w:sz w:val="18"/>
        </w:rPr>
        <w:t>Tél.: +32 2 5468141</w:t>
      </w:r>
    </w:p>
    <w:p w:rsidR="008277EC" w:rsidRDefault="008277EC" w:rsidP="00882AFD">
      <w:pPr>
        <w:jc w:val="center"/>
        <w:rPr>
          <w:rFonts w:ascii="Verdana" w:hAnsi="Verdana"/>
          <w:b/>
          <w:bCs/>
          <w:sz w:val="16"/>
          <w:szCs w:val="16"/>
        </w:rPr>
      </w:pPr>
      <w:r>
        <w:rPr>
          <w:rFonts w:ascii="Verdana" w:hAnsi="Verdana"/>
          <w:b/>
          <w:sz w:val="16"/>
        </w:rPr>
        <w:t>@EESC_PRESS</w:t>
      </w:r>
    </w:p>
    <w:p w:rsidR="008277EC" w:rsidRDefault="006E166F" w:rsidP="00882AFD">
      <w:pPr>
        <w:jc w:val="center"/>
        <w:rPr>
          <w:rFonts w:ascii="Calibri" w:hAnsi="Calibri"/>
          <w:szCs w:val="22"/>
        </w:rPr>
      </w:pPr>
      <w:hyperlink r:id="rId17">
        <w:r w:rsidR="007075C6">
          <w:rPr>
            <w:rStyle w:val="Hyperlink"/>
            <w:rFonts w:ascii="Verdana" w:hAnsi="Verdana"/>
            <w:sz w:val="18"/>
          </w:rPr>
          <w:t>VIDÉO: Comment le CESE influence-t-il le cours des choses?</w:t>
        </w:r>
      </w:hyperlink>
    </w:p>
    <w:p w:rsidR="008277EC" w:rsidRDefault="008277EC" w:rsidP="008277EC">
      <w:pPr>
        <w:jc w:val="center"/>
        <w:rPr>
          <w:rFonts w:ascii="Verdana" w:hAnsi="Verdana"/>
          <w:sz w:val="16"/>
          <w:szCs w:val="16"/>
        </w:rPr>
      </w:pPr>
    </w:p>
    <w:p w:rsidR="008277EC" w:rsidRDefault="008277EC" w:rsidP="008277EC">
      <w:pPr>
        <w:jc w:val="center"/>
        <w:rPr>
          <w:rFonts w:ascii="Verdana" w:hAnsi="Verdana"/>
          <w:sz w:val="16"/>
          <w:szCs w:val="16"/>
        </w:rPr>
      </w:pPr>
    </w:p>
    <w:p w:rsidR="008277EC" w:rsidRDefault="008277EC" w:rsidP="00657D6A">
      <w:pPr>
        <w:pBdr>
          <w:top w:val="single" w:sz="4" w:space="1" w:color="auto"/>
          <w:bottom w:val="single" w:sz="4" w:space="1" w:color="auto"/>
        </w:pBdr>
        <w:rPr>
          <w:rFonts w:ascii="Verdana" w:hAnsi="Verdana"/>
          <w:i/>
          <w:iCs/>
          <w:sz w:val="14"/>
          <w:szCs w:val="14"/>
        </w:rPr>
      </w:pPr>
      <w:r>
        <w:rPr>
          <w:rFonts w:ascii="Verdana" w:hAnsi="Verdana"/>
          <w:i/>
          <w:sz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8277EC" w:rsidRDefault="008277EC" w:rsidP="00657D6A">
      <w:pPr>
        <w:rPr>
          <w:rFonts w:ascii="Verdana" w:hAnsi="Verdana"/>
          <w:b/>
          <w:bCs/>
          <w:i/>
          <w:iCs/>
          <w:sz w:val="16"/>
          <w:szCs w:val="16"/>
        </w:rPr>
      </w:pPr>
    </w:p>
    <w:p w:rsidR="00474E33" w:rsidRDefault="008277EC" w:rsidP="007075C6">
      <w:r>
        <w:rPr>
          <w:rFonts w:ascii="Verdana" w:hAnsi="Verdana"/>
          <w:sz w:val="16"/>
        </w:rPr>
        <w:t xml:space="preserve">Si vous ne souhaitez plus recevoir de notifications, veuillez nous envoyer un courriel à l’adresse suivante: </w:t>
      </w:r>
      <w:hyperlink r:id="rId18">
        <w:r>
          <w:rPr>
            <w:rStyle w:val="Hyperlink"/>
            <w:rFonts w:ascii="Verdana" w:hAnsi="Verdana"/>
            <w:sz w:val="16"/>
          </w:rPr>
          <w:t>press@eesc.europa.eu</w:t>
        </w:r>
      </w:hyperlink>
      <w:r>
        <w:t>.</w:t>
      </w:r>
    </w:p>
    <w:sectPr w:rsidR="00474E33" w:rsidSect="001D3B35">
      <w:type w:val="continuous"/>
      <w:pgSz w:w="11907" w:h="16839" w:code="9"/>
      <w:pgMar w:top="993" w:right="992"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EA" w:rsidRDefault="007253EA">
      <w:r>
        <w:separator/>
      </w:r>
    </w:p>
  </w:endnote>
  <w:endnote w:type="continuationSeparator" w:id="0">
    <w:p w:rsidR="007253EA" w:rsidRDefault="007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6B" w:rsidRPr="00EA5513" w:rsidRDefault="00056A6B" w:rsidP="00FB0E98">
    <w:pPr>
      <w:spacing w:line="240" w:lineRule="auto"/>
      <w:jc w:val="center"/>
      <w:rPr>
        <w:rFonts w:ascii="Verdana" w:hAnsi="Verdana"/>
        <w:sz w:val="16"/>
      </w:rPr>
    </w:pPr>
    <w:r>
      <w:rPr>
        <w:rFonts w:ascii="Verdana" w:hAnsi="Verdana"/>
        <w:sz w:val="16"/>
      </w:rPr>
      <w:t>Rue Belliard 99 – 1040 Bruxelles – BELGIQUE</w:t>
    </w:r>
  </w:p>
  <w:p w:rsidR="00056A6B" w:rsidRPr="00EA5513" w:rsidRDefault="00056A6B" w:rsidP="00FB0E98">
    <w:pPr>
      <w:spacing w:line="240" w:lineRule="auto"/>
      <w:jc w:val="center"/>
      <w:rPr>
        <w:rFonts w:ascii="Verdana" w:hAnsi="Verdana"/>
        <w:sz w:val="16"/>
      </w:rPr>
    </w:pPr>
    <w:r>
      <w:rPr>
        <w:rFonts w:ascii="Verdana" w:hAnsi="Verdana"/>
        <w:sz w:val="16"/>
      </w:rPr>
      <w:t>Tél. +32 2 546 9779 – Fax +32 25469764</w:t>
    </w:r>
  </w:p>
  <w:p w:rsidR="00056A6B" w:rsidRPr="00EA5513" w:rsidRDefault="00056A6B" w:rsidP="00FB0E98">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056A6B" w:rsidRPr="00473E94" w:rsidRDefault="00056A6B" w:rsidP="00FB0E98">
    <w:pPr>
      <w:spacing w:line="240" w:lineRule="auto"/>
      <w:jc w:val="center"/>
    </w:pPr>
    <w:r>
      <w:rPr>
        <w:rFonts w:ascii="Verdana" w:hAnsi="Verdana"/>
        <w:sz w:val="16"/>
      </w:rPr>
      <w:t xml:space="preserve">Suivez le CESE sur </w:t>
    </w:r>
    <w:r>
      <w:rPr>
        <w:noProof/>
        <w:lang w:val="en-GB" w:eastAsia="en-GB" w:bidi="ar-SA"/>
      </w:rPr>
      <w:drawing>
        <wp:inline distT="0" distB="0" distL="0" distR="0" wp14:anchorId="11E25271" wp14:editId="32817106">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bidi="ar-SA"/>
      </w:rPr>
      <w:drawing>
        <wp:inline distT="0" distB="0" distL="0" distR="0" wp14:anchorId="2AD9C0F5" wp14:editId="7ECC3F4E">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bidi="ar-SA"/>
      </w:rPr>
      <w:drawing>
        <wp:inline distT="0" distB="0" distL="0" distR="0" wp14:anchorId="7CA59E66" wp14:editId="78BAB40D">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EA" w:rsidRDefault="007253EA">
      <w:r>
        <w:separator/>
      </w:r>
    </w:p>
  </w:footnote>
  <w:footnote w:type="continuationSeparator" w:id="0">
    <w:p w:rsidR="007253EA" w:rsidRDefault="00725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8E65A3"/>
    <w:multiLevelType w:val="hybridMultilevel"/>
    <w:tmpl w:val="F90A7B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2CF60F2"/>
    <w:multiLevelType w:val="hybridMultilevel"/>
    <w:tmpl w:val="F9108E34"/>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4">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06D01"/>
    <w:rsid w:val="00006F1C"/>
    <w:rsid w:val="00012346"/>
    <w:rsid w:val="0002395B"/>
    <w:rsid w:val="00027DA8"/>
    <w:rsid w:val="00027ECE"/>
    <w:rsid w:val="0003102D"/>
    <w:rsid w:val="000354D9"/>
    <w:rsid w:val="000426D9"/>
    <w:rsid w:val="0005033B"/>
    <w:rsid w:val="0005131C"/>
    <w:rsid w:val="00051720"/>
    <w:rsid w:val="00056A6B"/>
    <w:rsid w:val="0006290E"/>
    <w:rsid w:val="000723EC"/>
    <w:rsid w:val="00074DDB"/>
    <w:rsid w:val="00083BD0"/>
    <w:rsid w:val="00085E2B"/>
    <w:rsid w:val="000872FC"/>
    <w:rsid w:val="00092CF1"/>
    <w:rsid w:val="000A4136"/>
    <w:rsid w:val="000A6518"/>
    <w:rsid w:val="000B358E"/>
    <w:rsid w:val="000C2077"/>
    <w:rsid w:val="000E3882"/>
    <w:rsid w:val="000E4DF9"/>
    <w:rsid w:val="000F1E35"/>
    <w:rsid w:val="0010165C"/>
    <w:rsid w:val="0010176B"/>
    <w:rsid w:val="00110004"/>
    <w:rsid w:val="00122CF2"/>
    <w:rsid w:val="00124AC7"/>
    <w:rsid w:val="00132D36"/>
    <w:rsid w:val="00136FB1"/>
    <w:rsid w:val="001376DA"/>
    <w:rsid w:val="0014587D"/>
    <w:rsid w:val="00154CD8"/>
    <w:rsid w:val="00163C39"/>
    <w:rsid w:val="001646CD"/>
    <w:rsid w:val="00174D14"/>
    <w:rsid w:val="0017578E"/>
    <w:rsid w:val="00176E23"/>
    <w:rsid w:val="00177E02"/>
    <w:rsid w:val="001821BC"/>
    <w:rsid w:val="0018426C"/>
    <w:rsid w:val="001A7776"/>
    <w:rsid w:val="001B7D30"/>
    <w:rsid w:val="001D0035"/>
    <w:rsid w:val="001D3B35"/>
    <w:rsid w:val="001D3F83"/>
    <w:rsid w:val="001D7F63"/>
    <w:rsid w:val="001E1D5D"/>
    <w:rsid w:val="001E7029"/>
    <w:rsid w:val="001F5F00"/>
    <w:rsid w:val="00202513"/>
    <w:rsid w:val="00212750"/>
    <w:rsid w:val="00213771"/>
    <w:rsid w:val="00214B74"/>
    <w:rsid w:val="00214FAB"/>
    <w:rsid w:val="00220724"/>
    <w:rsid w:val="0022334F"/>
    <w:rsid w:val="00223EED"/>
    <w:rsid w:val="00225877"/>
    <w:rsid w:val="00236CC8"/>
    <w:rsid w:val="00241BA9"/>
    <w:rsid w:val="002423D2"/>
    <w:rsid w:val="0024398A"/>
    <w:rsid w:val="002523E2"/>
    <w:rsid w:val="00252E1E"/>
    <w:rsid w:val="002536CF"/>
    <w:rsid w:val="00257B69"/>
    <w:rsid w:val="00262225"/>
    <w:rsid w:val="00265BD4"/>
    <w:rsid w:val="002801C2"/>
    <w:rsid w:val="002855D6"/>
    <w:rsid w:val="002876E6"/>
    <w:rsid w:val="002906EF"/>
    <w:rsid w:val="00292700"/>
    <w:rsid w:val="00293841"/>
    <w:rsid w:val="00296386"/>
    <w:rsid w:val="002A198C"/>
    <w:rsid w:val="002A1F48"/>
    <w:rsid w:val="002A4F6A"/>
    <w:rsid w:val="002A77BD"/>
    <w:rsid w:val="002B47DD"/>
    <w:rsid w:val="002B4BBC"/>
    <w:rsid w:val="002B6258"/>
    <w:rsid w:val="002C73F9"/>
    <w:rsid w:val="002D3680"/>
    <w:rsid w:val="002D4C4D"/>
    <w:rsid w:val="002E0B35"/>
    <w:rsid w:val="002E25EB"/>
    <w:rsid w:val="002E6FCD"/>
    <w:rsid w:val="002F1F53"/>
    <w:rsid w:val="002F25C2"/>
    <w:rsid w:val="002F6138"/>
    <w:rsid w:val="003044D9"/>
    <w:rsid w:val="003060A9"/>
    <w:rsid w:val="003070FB"/>
    <w:rsid w:val="00310015"/>
    <w:rsid w:val="00315ECC"/>
    <w:rsid w:val="00321B20"/>
    <w:rsid w:val="00322CF8"/>
    <w:rsid w:val="003308C2"/>
    <w:rsid w:val="00333FF2"/>
    <w:rsid w:val="00335862"/>
    <w:rsid w:val="00347565"/>
    <w:rsid w:val="00352101"/>
    <w:rsid w:val="00363F94"/>
    <w:rsid w:val="003819C6"/>
    <w:rsid w:val="003819E4"/>
    <w:rsid w:val="0038737B"/>
    <w:rsid w:val="00393C8F"/>
    <w:rsid w:val="003940F2"/>
    <w:rsid w:val="003B59EA"/>
    <w:rsid w:val="003C46C1"/>
    <w:rsid w:val="003E32A0"/>
    <w:rsid w:val="003F0224"/>
    <w:rsid w:val="003F34AA"/>
    <w:rsid w:val="003F6FAA"/>
    <w:rsid w:val="00412B09"/>
    <w:rsid w:val="004144E1"/>
    <w:rsid w:val="00416D30"/>
    <w:rsid w:val="0043667D"/>
    <w:rsid w:val="00440542"/>
    <w:rsid w:val="004409F6"/>
    <w:rsid w:val="004418DE"/>
    <w:rsid w:val="00441BA1"/>
    <w:rsid w:val="004424F7"/>
    <w:rsid w:val="00465A83"/>
    <w:rsid w:val="00467DD6"/>
    <w:rsid w:val="004701CB"/>
    <w:rsid w:val="00471207"/>
    <w:rsid w:val="00474E33"/>
    <w:rsid w:val="00485C31"/>
    <w:rsid w:val="00487081"/>
    <w:rsid w:val="004879C9"/>
    <w:rsid w:val="004901A5"/>
    <w:rsid w:val="0049036C"/>
    <w:rsid w:val="004915D9"/>
    <w:rsid w:val="00494B7B"/>
    <w:rsid w:val="004A0A3E"/>
    <w:rsid w:val="004A276C"/>
    <w:rsid w:val="004A587E"/>
    <w:rsid w:val="004B2E5B"/>
    <w:rsid w:val="004B3A43"/>
    <w:rsid w:val="004B41BD"/>
    <w:rsid w:val="004C154C"/>
    <w:rsid w:val="004C3355"/>
    <w:rsid w:val="004D496C"/>
    <w:rsid w:val="004D73D5"/>
    <w:rsid w:val="004E158C"/>
    <w:rsid w:val="004E3F4D"/>
    <w:rsid w:val="004F27B6"/>
    <w:rsid w:val="004F67F7"/>
    <w:rsid w:val="00500314"/>
    <w:rsid w:val="005046FB"/>
    <w:rsid w:val="0050545C"/>
    <w:rsid w:val="00521626"/>
    <w:rsid w:val="00525110"/>
    <w:rsid w:val="00526DE5"/>
    <w:rsid w:val="005304D7"/>
    <w:rsid w:val="005400A4"/>
    <w:rsid w:val="00557AA5"/>
    <w:rsid w:val="005633F0"/>
    <w:rsid w:val="0056698D"/>
    <w:rsid w:val="00567BF1"/>
    <w:rsid w:val="005712FF"/>
    <w:rsid w:val="00581617"/>
    <w:rsid w:val="00582628"/>
    <w:rsid w:val="00587E22"/>
    <w:rsid w:val="005929F9"/>
    <w:rsid w:val="00592DB2"/>
    <w:rsid w:val="005956B9"/>
    <w:rsid w:val="005975D6"/>
    <w:rsid w:val="005B04DF"/>
    <w:rsid w:val="005B1566"/>
    <w:rsid w:val="005B15EF"/>
    <w:rsid w:val="005B5A8B"/>
    <w:rsid w:val="005C42B7"/>
    <w:rsid w:val="005C5536"/>
    <w:rsid w:val="005D14F8"/>
    <w:rsid w:val="005D59DC"/>
    <w:rsid w:val="005D5D1F"/>
    <w:rsid w:val="005E0C6F"/>
    <w:rsid w:val="005E2475"/>
    <w:rsid w:val="005F66FD"/>
    <w:rsid w:val="00606BA4"/>
    <w:rsid w:val="00615350"/>
    <w:rsid w:val="00616784"/>
    <w:rsid w:val="0062197B"/>
    <w:rsid w:val="00625F10"/>
    <w:rsid w:val="00626D7F"/>
    <w:rsid w:val="006532BC"/>
    <w:rsid w:val="006536D5"/>
    <w:rsid w:val="00654E05"/>
    <w:rsid w:val="00656044"/>
    <w:rsid w:val="00657D6A"/>
    <w:rsid w:val="00663169"/>
    <w:rsid w:val="00665EA7"/>
    <w:rsid w:val="00666832"/>
    <w:rsid w:val="006713DB"/>
    <w:rsid w:val="0068006A"/>
    <w:rsid w:val="00680C74"/>
    <w:rsid w:val="00685223"/>
    <w:rsid w:val="00686150"/>
    <w:rsid w:val="00687DF6"/>
    <w:rsid w:val="006A3F57"/>
    <w:rsid w:val="006A455B"/>
    <w:rsid w:val="006A67B5"/>
    <w:rsid w:val="006B135B"/>
    <w:rsid w:val="006B4650"/>
    <w:rsid w:val="006B7452"/>
    <w:rsid w:val="006B7F6F"/>
    <w:rsid w:val="006C692B"/>
    <w:rsid w:val="006C6EE9"/>
    <w:rsid w:val="006C7FB3"/>
    <w:rsid w:val="006D0C97"/>
    <w:rsid w:val="006D2A07"/>
    <w:rsid w:val="006D3A89"/>
    <w:rsid w:val="006D43E8"/>
    <w:rsid w:val="006D7366"/>
    <w:rsid w:val="006D73B0"/>
    <w:rsid w:val="006E166F"/>
    <w:rsid w:val="006E1CF9"/>
    <w:rsid w:val="006E234F"/>
    <w:rsid w:val="006E2CD5"/>
    <w:rsid w:val="006E3969"/>
    <w:rsid w:val="006E4EB9"/>
    <w:rsid w:val="006E71D9"/>
    <w:rsid w:val="006F3085"/>
    <w:rsid w:val="006F49F1"/>
    <w:rsid w:val="00702F9A"/>
    <w:rsid w:val="007075C6"/>
    <w:rsid w:val="00713F27"/>
    <w:rsid w:val="00716EB6"/>
    <w:rsid w:val="00724291"/>
    <w:rsid w:val="007253EA"/>
    <w:rsid w:val="007269C8"/>
    <w:rsid w:val="0073068F"/>
    <w:rsid w:val="007368F8"/>
    <w:rsid w:val="00751BB3"/>
    <w:rsid w:val="00753FBC"/>
    <w:rsid w:val="00763EC7"/>
    <w:rsid w:val="007642F1"/>
    <w:rsid w:val="007750C2"/>
    <w:rsid w:val="00776265"/>
    <w:rsid w:val="0077769C"/>
    <w:rsid w:val="007778C5"/>
    <w:rsid w:val="0078148E"/>
    <w:rsid w:val="00783164"/>
    <w:rsid w:val="007B120B"/>
    <w:rsid w:val="007B6D57"/>
    <w:rsid w:val="007C1EA7"/>
    <w:rsid w:val="007C4858"/>
    <w:rsid w:val="007D49EF"/>
    <w:rsid w:val="007F0055"/>
    <w:rsid w:val="007F4A89"/>
    <w:rsid w:val="00800BAC"/>
    <w:rsid w:val="00801D49"/>
    <w:rsid w:val="008025EB"/>
    <w:rsid w:val="0080553F"/>
    <w:rsid w:val="00812AEF"/>
    <w:rsid w:val="00815995"/>
    <w:rsid w:val="00815CCE"/>
    <w:rsid w:val="00820EDA"/>
    <w:rsid w:val="00823CFE"/>
    <w:rsid w:val="00827629"/>
    <w:rsid w:val="008277EC"/>
    <w:rsid w:val="00835406"/>
    <w:rsid w:val="00837C9C"/>
    <w:rsid w:val="00855176"/>
    <w:rsid w:val="00855EA7"/>
    <w:rsid w:val="008604B0"/>
    <w:rsid w:val="00861F5F"/>
    <w:rsid w:val="0086564C"/>
    <w:rsid w:val="00871793"/>
    <w:rsid w:val="00882AFD"/>
    <w:rsid w:val="00884FD2"/>
    <w:rsid w:val="00885501"/>
    <w:rsid w:val="00890326"/>
    <w:rsid w:val="008933DF"/>
    <w:rsid w:val="00897166"/>
    <w:rsid w:val="008A16D8"/>
    <w:rsid w:val="008A42B7"/>
    <w:rsid w:val="008A5123"/>
    <w:rsid w:val="008A57C7"/>
    <w:rsid w:val="008B2610"/>
    <w:rsid w:val="008B27C1"/>
    <w:rsid w:val="008B631E"/>
    <w:rsid w:val="008D2A30"/>
    <w:rsid w:val="008D2F9F"/>
    <w:rsid w:val="008F2649"/>
    <w:rsid w:val="008F2A4F"/>
    <w:rsid w:val="009112DE"/>
    <w:rsid w:val="009133CA"/>
    <w:rsid w:val="009134AE"/>
    <w:rsid w:val="00915CBE"/>
    <w:rsid w:val="00923AA1"/>
    <w:rsid w:val="0093047F"/>
    <w:rsid w:val="009313D6"/>
    <w:rsid w:val="00932CBD"/>
    <w:rsid w:val="00933640"/>
    <w:rsid w:val="009441C7"/>
    <w:rsid w:val="0095681D"/>
    <w:rsid w:val="0095773D"/>
    <w:rsid w:val="009577F1"/>
    <w:rsid w:val="00961654"/>
    <w:rsid w:val="0096676D"/>
    <w:rsid w:val="00974F1A"/>
    <w:rsid w:val="00990362"/>
    <w:rsid w:val="00991035"/>
    <w:rsid w:val="0099186D"/>
    <w:rsid w:val="00994ACA"/>
    <w:rsid w:val="009972F3"/>
    <w:rsid w:val="009A2733"/>
    <w:rsid w:val="009A6695"/>
    <w:rsid w:val="009A7D21"/>
    <w:rsid w:val="009B7E8D"/>
    <w:rsid w:val="009C0513"/>
    <w:rsid w:val="009C5E6F"/>
    <w:rsid w:val="009D24BB"/>
    <w:rsid w:val="009D3EC6"/>
    <w:rsid w:val="009D50F2"/>
    <w:rsid w:val="009D6324"/>
    <w:rsid w:val="009E2D20"/>
    <w:rsid w:val="009E5BC8"/>
    <w:rsid w:val="009F0071"/>
    <w:rsid w:val="009F1D68"/>
    <w:rsid w:val="00A00A95"/>
    <w:rsid w:val="00A053EF"/>
    <w:rsid w:val="00A14F04"/>
    <w:rsid w:val="00A23191"/>
    <w:rsid w:val="00A233A4"/>
    <w:rsid w:val="00A25A28"/>
    <w:rsid w:val="00A271CA"/>
    <w:rsid w:val="00A3451B"/>
    <w:rsid w:val="00A411E4"/>
    <w:rsid w:val="00A50421"/>
    <w:rsid w:val="00A50479"/>
    <w:rsid w:val="00A57194"/>
    <w:rsid w:val="00A617DC"/>
    <w:rsid w:val="00A6741D"/>
    <w:rsid w:val="00A726C7"/>
    <w:rsid w:val="00A8002B"/>
    <w:rsid w:val="00A84B0A"/>
    <w:rsid w:val="00A872FD"/>
    <w:rsid w:val="00A95110"/>
    <w:rsid w:val="00A97A93"/>
    <w:rsid w:val="00AA08CC"/>
    <w:rsid w:val="00AC147F"/>
    <w:rsid w:val="00AD05F3"/>
    <w:rsid w:val="00AD2A23"/>
    <w:rsid w:val="00AE681F"/>
    <w:rsid w:val="00B01C52"/>
    <w:rsid w:val="00B2172F"/>
    <w:rsid w:val="00B21B80"/>
    <w:rsid w:val="00B21E30"/>
    <w:rsid w:val="00B55BE0"/>
    <w:rsid w:val="00B576D4"/>
    <w:rsid w:val="00B6158C"/>
    <w:rsid w:val="00B66ACC"/>
    <w:rsid w:val="00BA4082"/>
    <w:rsid w:val="00BB64C2"/>
    <w:rsid w:val="00BD137E"/>
    <w:rsid w:val="00BD68D8"/>
    <w:rsid w:val="00BE33B4"/>
    <w:rsid w:val="00BF2520"/>
    <w:rsid w:val="00C04726"/>
    <w:rsid w:val="00C04BD5"/>
    <w:rsid w:val="00C14D46"/>
    <w:rsid w:val="00C15D3D"/>
    <w:rsid w:val="00C215D3"/>
    <w:rsid w:val="00C31288"/>
    <w:rsid w:val="00C31F65"/>
    <w:rsid w:val="00C41B7E"/>
    <w:rsid w:val="00C4694C"/>
    <w:rsid w:val="00C54654"/>
    <w:rsid w:val="00C549EC"/>
    <w:rsid w:val="00C56152"/>
    <w:rsid w:val="00C561D0"/>
    <w:rsid w:val="00C65475"/>
    <w:rsid w:val="00C7089D"/>
    <w:rsid w:val="00C803D2"/>
    <w:rsid w:val="00C805EA"/>
    <w:rsid w:val="00C86236"/>
    <w:rsid w:val="00C9195B"/>
    <w:rsid w:val="00CA5181"/>
    <w:rsid w:val="00CB7912"/>
    <w:rsid w:val="00CB79DE"/>
    <w:rsid w:val="00CC100A"/>
    <w:rsid w:val="00CC362B"/>
    <w:rsid w:val="00CC4D35"/>
    <w:rsid w:val="00CC5C21"/>
    <w:rsid w:val="00CC745E"/>
    <w:rsid w:val="00CC775E"/>
    <w:rsid w:val="00CD2B9F"/>
    <w:rsid w:val="00CD5177"/>
    <w:rsid w:val="00CE2258"/>
    <w:rsid w:val="00CE6CB3"/>
    <w:rsid w:val="00D01AED"/>
    <w:rsid w:val="00D0222B"/>
    <w:rsid w:val="00D026A0"/>
    <w:rsid w:val="00D15561"/>
    <w:rsid w:val="00D20CFD"/>
    <w:rsid w:val="00D23754"/>
    <w:rsid w:val="00D2509C"/>
    <w:rsid w:val="00D25E6B"/>
    <w:rsid w:val="00D36367"/>
    <w:rsid w:val="00D37E15"/>
    <w:rsid w:val="00D4072C"/>
    <w:rsid w:val="00D44A5E"/>
    <w:rsid w:val="00D45810"/>
    <w:rsid w:val="00D5772A"/>
    <w:rsid w:val="00D7254D"/>
    <w:rsid w:val="00D73660"/>
    <w:rsid w:val="00D74E72"/>
    <w:rsid w:val="00D81293"/>
    <w:rsid w:val="00D902E8"/>
    <w:rsid w:val="00D90D93"/>
    <w:rsid w:val="00DA38B6"/>
    <w:rsid w:val="00DA76AA"/>
    <w:rsid w:val="00DB0142"/>
    <w:rsid w:val="00DB1A17"/>
    <w:rsid w:val="00DD2F4B"/>
    <w:rsid w:val="00DD3D41"/>
    <w:rsid w:val="00DF1A72"/>
    <w:rsid w:val="00DF25C8"/>
    <w:rsid w:val="00DF588D"/>
    <w:rsid w:val="00E124D5"/>
    <w:rsid w:val="00E23B46"/>
    <w:rsid w:val="00E27305"/>
    <w:rsid w:val="00E27C0E"/>
    <w:rsid w:val="00E56013"/>
    <w:rsid w:val="00E64F52"/>
    <w:rsid w:val="00E70121"/>
    <w:rsid w:val="00E7291F"/>
    <w:rsid w:val="00E74388"/>
    <w:rsid w:val="00E83753"/>
    <w:rsid w:val="00E84236"/>
    <w:rsid w:val="00E86438"/>
    <w:rsid w:val="00E902B3"/>
    <w:rsid w:val="00E94ED6"/>
    <w:rsid w:val="00EA0012"/>
    <w:rsid w:val="00EA0FE3"/>
    <w:rsid w:val="00EA136C"/>
    <w:rsid w:val="00EA1E60"/>
    <w:rsid w:val="00EA346E"/>
    <w:rsid w:val="00EA4262"/>
    <w:rsid w:val="00EA6691"/>
    <w:rsid w:val="00EB0910"/>
    <w:rsid w:val="00EC3B5E"/>
    <w:rsid w:val="00ED33DF"/>
    <w:rsid w:val="00EE1DCE"/>
    <w:rsid w:val="00EE3680"/>
    <w:rsid w:val="00EE77CB"/>
    <w:rsid w:val="00EF59CE"/>
    <w:rsid w:val="00F11CFC"/>
    <w:rsid w:val="00F13585"/>
    <w:rsid w:val="00F1734D"/>
    <w:rsid w:val="00F439F5"/>
    <w:rsid w:val="00F44330"/>
    <w:rsid w:val="00F52CCB"/>
    <w:rsid w:val="00F6407F"/>
    <w:rsid w:val="00F64924"/>
    <w:rsid w:val="00F65731"/>
    <w:rsid w:val="00F67CD7"/>
    <w:rsid w:val="00F7044E"/>
    <w:rsid w:val="00F730E9"/>
    <w:rsid w:val="00F73F98"/>
    <w:rsid w:val="00F81886"/>
    <w:rsid w:val="00F84EA0"/>
    <w:rsid w:val="00F87FC9"/>
    <w:rsid w:val="00F9570C"/>
    <w:rsid w:val="00F97AE7"/>
    <w:rsid w:val="00FB00B9"/>
    <w:rsid w:val="00FB0E98"/>
    <w:rsid w:val="00FB1704"/>
    <w:rsid w:val="00FB21B2"/>
    <w:rsid w:val="00FB2AC6"/>
    <w:rsid w:val="00FB5E7A"/>
    <w:rsid w:val="00FB7330"/>
    <w:rsid w:val="00FC0CC1"/>
    <w:rsid w:val="00FC616B"/>
    <w:rsid w:val="00FC7436"/>
    <w:rsid w:val="00FD2025"/>
    <w:rsid w:val="00FD36DD"/>
    <w:rsid w:val="00FD5013"/>
    <w:rsid w:val="00FE155B"/>
    <w:rsid w:val="00FE469D"/>
    <w:rsid w:val="00FF7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fr-FR"/>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fr-FR"/>
    </w:rPr>
  </w:style>
  <w:style w:type="paragraph" w:styleId="Revision">
    <w:name w:val="Revision"/>
    <w:hidden/>
    <w:uiPriority w:val="99"/>
    <w:semiHidden/>
    <w:rsid w:val="00885501"/>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fr-FR"/>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fr-FR"/>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fr-FR"/>
    </w:rPr>
  </w:style>
  <w:style w:type="paragraph" w:styleId="Revision">
    <w:name w:val="Revision"/>
    <w:hidden/>
    <w:uiPriority w:val="99"/>
    <w:semiHidden/>
    <w:rsid w:val="00885501"/>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007">
      <w:bodyDiv w:val="1"/>
      <w:marLeft w:val="0"/>
      <w:marRight w:val="0"/>
      <w:marTop w:val="0"/>
      <w:marBottom w:val="0"/>
      <w:divBdr>
        <w:top w:val="none" w:sz="0" w:space="0" w:color="auto"/>
        <w:left w:val="none" w:sz="0" w:space="0" w:color="auto"/>
        <w:bottom w:val="none" w:sz="0" w:space="0" w:color="auto"/>
        <w:right w:val="none" w:sz="0" w:space="0" w:color="auto"/>
      </w:divBdr>
    </w:div>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09810353">
      <w:bodyDiv w:val="1"/>
      <w:marLeft w:val="0"/>
      <w:marRight w:val="0"/>
      <w:marTop w:val="0"/>
      <w:marBottom w:val="0"/>
      <w:divBdr>
        <w:top w:val="none" w:sz="0" w:space="0" w:color="auto"/>
        <w:left w:val="none" w:sz="0" w:space="0" w:color="auto"/>
        <w:bottom w:val="none" w:sz="0" w:space="0" w:color="auto"/>
        <w:right w:val="none" w:sz="0" w:space="0" w:color="auto"/>
      </w:divBdr>
      <w:divsChild>
        <w:div w:id="988367521">
          <w:marLeft w:val="0"/>
          <w:marRight w:val="0"/>
          <w:marTop w:val="0"/>
          <w:marBottom w:val="0"/>
          <w:divBdr>
            <w:top w:val="none" w:sz="0" w:space="0" w:color="auto"/>
            <w:left w:val="none" w:sz="0" w:space="0" w:color="auto"/>
            <w:bottom w:val="none" w:sz="0" w:space="0" w:color="auto"/>
            <w:right w:val="none" w:sz="0" w:space="0" w:color="auto"/>
          </w:divBdr>
        </w:div>
      </w:divsChild>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652951251">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1157266887">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927839275">
      <w:bodyDiv w:val="1"/>
      <w:marLeft w:val="0"/>
      <w:marRight w:val="0"/>
      <w:marTop w:val="0"/>
      <w:marBottom w:val="0"/>
      <w:divBdr>
        <w:top w:val="none" w:sz="0" w:space="0" w:color="auto"/>
        <w:left w:val="none" w:sz="0" w:space="0" w:color="auto"/>
        <w:bottom w:val="none" w:sz="0" w:space="0" w:color="auto"/>
        <w:right w:val="none" w:sz="0" w:space="0" w:color="auto"/>
      </w:divBdr>
    </w:div>
    <w:div w:id="1996446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fr.videos&amp;itemCode=41081" TargetMode="Externa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fr/our-work/opinions-information-reports/opinions/la-politique-de-lue-en-matiere-de-biodiversite-avis-dinitiativ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WTPCSN73YJ26-6-3666</_dlc_DocId>
    <_dlc_DocIdUrl xmlns="8a3471f6-0f36-4ccf-b5ee-1ca67ea797ef">
      <Url>http://dm/EESC/2017/_layouts/DocIdRedir.aspx?ID=WTPCSN73YJ26-6-3666</Url>
      <Description>WTPCSN73YJ26-6-3666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2017-08-29T12:00:00+00:00</ProductionDate>
    <DocumentNumber xmlns="a69ddb54-d4ad-4195-8174-7b7c39303c90">3811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14</Value>
      <Value>37</Value>
      <Value>36</Value>
      <Value>8</Value>
      <Value>57</Value>
      <Value>33</Value>
      <Value>29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8975</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4CEC-3CC6-4FDB-B6CB-D5F4C968C8F8}">
  <ds:schemaRefs>
    <ds:schemaRef ds:uri="http://schemas.microsoft.com/sharepoint/v3/field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purl.org/dc/dcmitype/"/>
    <ds:schemaRef ds:uri="a69ddb54-d4ad-4195-8174-7b7c39303c90"/>
    <ds:schemaRef ds:uri="http://schemas.microsoft.com/office/infopath/2007/PartnerControls"/>
    <ds:schemaRef ds:uri="http://schemas.openxmlformats.org/package/2006/metadata/core-properties"/>
    <ds:schemaRef ds:uri="8a3471f6-0f36-4ccf-b5ee-1ca67ea797ef"/>
  </ds:schemaRefs>
</ds:datastoreItem>
</file>

<file path=customXml/itemProps2.xml><?xml version="1.0" encoding="utf-8"?>
<ds:datastoreItem xmlns:ds="http://schemas.openxmlformats.org/officeDocument/2006/customXml" ds:itemID="{A329D2C7-977B-4B8A-BF78-7BBD1CC276C8}">
  <ds:schemaRefs>
    <ds:schemaRef ds:uri="http://schemas.microsoft.com/sharepoint/events"/>
  </ds:schemaRefs>
</ds:datastoreItem>
</file>

<file path=customXml/itemProps3.xml><?xml version="1.0" encoding="utf-8"?>
<ds:datastoreItem xmlns:ds="http://schemas.openxmlformats.org/officeDocument/2006/customXml" ds:itemID="{079A6F09-D406-471B-AAD8-29CD8D8A2A29}">
  <ds:schemaRefs>
    <ds:schemaRef ds:uri="http://schemas.microsoft.com/sharepoint/v3/contenttype/forms"/>
  </ds:schemaRefs>
</ds:datastoreItem>
</file>

<file path=customXml/itemProps4.xml><?xml version="1.0" encoding="utf-8"?>
<ds:datastoreItem xmlns:ds="http://schemas.openxmlformats.org/officeDocument/2006/customXml" ds:itemID="{0E130F51-EFBB-4525-9E90-7594C1792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DECA7-9FEC-43FD-9627-C537061B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995</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Biodiversité</vt:lpstr>
      <vt:lpstr/>
    </vt:vector>
  </TitlesOfParts>
  <Company>CESE-CdR</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Biodiversité</dc:title>
  <dc:subject>Communiqué de presse</dc:subject>
  <dc:creator>Daniela Marangoni</dc:creator>
  <cp:keywords>EESC-2017-03811-00-00-CP-TRA-FR</cp:keywords>
  <dc:description>Rapporteur : -_x000d_
Langue originale : EN_x000d_
Date du document : 29/08/2017_x000d_
Date de la réunion : _x000d_
Documents externes : -_x000d_
Fonctionnaire responsable : Marangoni Daniela, téléphone : + 2 546 8422_x000d_
_x000d_
Résumé :</dc:description>
  <cp:lastModifiedBy>Daniela Marangoni</cp:lastModifiedBy>
  <cp:revision>2</cp:revision>
  <cp:lastPrinted>2017-08-21T12:42:00Z</cp:lastPrinted>
  <dcterms:created xsi:type="dcterms:W3CDTF">2017-08-30T10:05:00Z</dcterms:created>
  <dcterms:modified xsi:type="dcterms:W3CDTF">2017-08-30T10:05:00Z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29/08/2017</vt:lpwstr>
  </property>
  <property fmtid="{D5CDD505-2E9C-101B-9397-08002B2CF9AE}" pid="4" name="Pref_Time">
    <vt:lpwstr>10:50:44</vt:lpwstr>
  </property>
  <property fmtid="{D5CDD505-2E9C-101B-9397-08002B2CF9AE}" pid="5" name="Pref_User">
    <vt:lpwstr>enied</vt:lpwstr>
  </property>
  <property fmtid="{D5CDD505-2E9C-101B-9397-08002B2CF9AE}" pid="6" name="Pref_FileName">
    <vt:lpwstr>EESC-2017-03811-00-00-CP-ORI.docx</vt:lpwstr>
  </property>
  <property fmtid="{D5CDD505-2E9C-101B-9397-08002B2CF9AE}" pid="7" name="ContentTypeId">
    <vt:lpwstr>0x010100EA97B91038054C99906057A708A1480A000224593A4FB8494193408E2BE75730F3</vt:lpwstr>
  </property>
  <property fmtid="{D5CDD505-2E9C-101B-9397-08002B2CF9AE}" pid="8" name="_dlc_DocIdItemGuid">
    <vt:lpwstr>9f4975ef-b3c9-4f6a-90d0-d06a7ea016c2</vt:lpwstr>
  </property>
  <property fmtid="{D5CDD505-2E9C-101B-9397-08002B2CF9AE}" pid="9" name="DocumentType_0">
    <vt:lpwstr>CP|de8ad211-9e8d-408b-8324-674d21bb7d18</vt:lpwstr>
  </property>
  <property fmtid="{D5CDD505-2E9C-101B-9397-08002B2CF9AE}" pid="10" name="AvailableTranslations">
    <vt:lpwstr>18;#DE|f6b31e5a-26fa-4935-b661-318e46daf27e;#33;#PL|1e03da61-4678-4e07-b136-b5024ca9197b;#37;#RO|feb747a2-64cd-4299-af12-4833ddc30497;#14;#ES|e7a6b05b-ae16-40c8-add9-68b64b03aeba;#29;#HU|6b229040-c589-4408-b4c1-4285663d20a8;#4;#EN|f2175f21-25d7-44a3-96da-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3811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22;#IT|0774613c-01ed-4e5d-a25d-11d2388de825;#18;#DE|f6b31e5a-26fa-4935-b661-318e46daf27e;#14;#ES|e7a6b05b-ae16-40c8-add9-68b64b03aeba;#37;#RO|feb747a2-64cd-4299-af12-4833ddc30497;#57;#CP|de8ad211-9e8d-408b-8324-674d21bb7d18;#29;#HU|6b229040-c589-4408-b4c1</vt:lpwstr>
  </property>
  <property fmtid="{D5CDD505-2E9C-101B-9397-08002B2CF9AE}" pid="30" name="AvailableTranslations_0">
    <vt:lpwstr>DE|f6b31e5a-26fa-4935-b661-318e46daf27e;RO|feb747a2-64cd-4299-af12-4833ddc30497;ES|e7a6b05b-ae16-40c8-add9-68b64b03aeba;HU|6b229040-c589-4408-b4c1-4285663d20a8;EN|f2175f21-25d7-44a3-96da-d6a61b075e1b;IT|0774613c-01ed-4e5d-a25d-11d2388de825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8975</vt:i4>
  </property>
  <property fmtid="{D5CDD505-2E9C-101B-9397-08002B2CF9AE}" pid="34" name="DocumentYear">
    <vt:i4>2017</vt:i4>
  </property>
  <property fmtid="{D5CDD505-2E9C-101B-9397-08002B2CF9AE}" pid="35" name="DocumentLanguage">
    <vt:lpwstr>8;#FR|d2afafd3-4c81-4f60-8f52-ee33f2f54ff3</vt:lpwstr>
  </property>
</Properties>
</file>