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6D6" w:rsidRDefault="009656D6"/>
    <w:p w:rsidR="00E660CB" w:rsidRDefault="00D66AA0">
      <w:r>
        <w:rPr>
          <w:noProof/>
          <w:sz w:val="20"/>
          <w:lang w:val="fr-BE" w:eastAsia="fr-BE" w:bidi="ar-SA"/>
        </w:rPr>
        <mc:AlternateContent>
          <mc:Choice Requires="wps">
            <w:drawing>
              <wp:anchor distT="0" distB="0" distL="114300" distR="114300" simplePos="0" relativeHeight="251658240" behindDoc="1" locked="0" layoutInCell="0" allowOverlap="1" wp14:anchorId="692545DB" wp14:editId="494E8789">
                <wp:simplePos x="0" y="0"/>
                <wp:positionH relativeFrom="page">
                  <wp:posOffset>6766560</wp:posOffset>
                </wp:positionH>
                <wp:positionV relativeFrom="page">
                  <wp:posOffset>10074303</wp:posOffset>
                </wp:positionV>
                <wp:extent cx="652007" cy="397565"/>
                <wp:effectExtent l="0" t="0" r="0" b="254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07" cy="397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AA1" w:rsidRPr="00260E65" w:rsidRDefault="00227AA1">
                            <w:pPr>
                              <w:jc w:val="center"/>
                              <w:rPr>
                                <w:rFonts w:ascii="Arial" w:hAnsi="Arial" w:cs="Arial"/>
                                <w:b/>
                                <w:bCs/>
                                <w:sz w:val="48"/>
                              </w:rPr>
                            </w:pPr>
                            <w:r>
                              <w:rPr>
                                <w:rFonts w:ascii="Arial" w:hAnsi="Arial"/>
                                <w:b/>
                                <w:sz w:val="48"/>
                              </w:rPr>
                              <w:t>HU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17" style="position:absolute;left:0;text-align:left;margin-left:532.8pt;margin-top:793.25pt;width:51.35pt;height:3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">
                <v:textbox>
                  <w:txbxContent>
                    <w:p xmlns:w14="http://schemas.microsoft.com/office/word/2010/wordml" w:rsidRPr="00260E65" w:rsidR="00227AA1" w:rsidRDefault="00227AA1" w14:paraId="7CB96EEC" w14:textId="77777777">
                      <w:pPr>
                        <w:jc w:val="center"/>
                        <w:rPr>
                          <w:rFonts w:ascii="Arial" w:hAnsi="Arial" w:cs="Arial"/>
                          <w:b/>
                          <w:bCs/>
                          <w:sz w:val="48"/>
                        </w:rPr>
                      </w:pPr>
                      <w:r>
                        <w:rPr>
                          <w:rFonts w:ascii="Arial" w:hAnsi="Arial"/>
                          <w:b/>
                          <w:sz w:val="48"/>
                        </w:rPr>
                        <w:t>HU</w:t>
                      </w:r>
                    </w:p>
                  </w:txbxContent>
                </v:textbox>
                <w10:wrap xmlns:w10="urn:schemas-microsoft-com:office:word" anchorx="page" anchory="page"/>
              </v:shape>
            </w:pict>
          </mc:Fallback>
        </mc:AlternateConten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9"/>
      </w:tblGrid>
      <w:tr w:rsidR="00866437">
        <w:tc>
          <w:tcPr>
            <w:tcW w:w="5000" w:type="pct"/>
            <w:shd w:val="clear" w:color="auto" w:fill="DBE5F1" w:themeFill="accent1" w:themeFillTint="33"/>
          </w:tcPr>
          <w:p w:rsidR="00A708B0" w:rsidRPr="005F794B" w:rsidRDefault="009C7C24" w:rsidP="00DE0BB3">
            <w:pPr>
              <w:jc w:val="center"/>
              <w:rPr>
                <w:rFonts w:eastAsia="Calibri"/>
                <w:b/>
                <w:sz w:val="32"/>
              </w:rPr>
            </w:pPr>
            <w:r>
              <w:rPr>
                <w:b/>
                <w:sz w:val="32"/>
              </w:rPr>
              <w:t xml:space="preserve">ÁTMENET </w:t>
            </w:r>
            <w:proofErr w:type="gramStart"/>
            <w:r>
              <w:rPr>
                <w:b/>
                <w:sz w:val="32"/>
              </w:rPr>
              <w:t>A</w:t>
            </w:r>
            <w:proofErr w:type="gramEnd"/>
            <w:r>
              <w:rPr>
                <w:b/>
                <w:sz w:val="32"/>
              </w:rPr>
              <w:t xml:space="preserve"> 2020 UTÁNI EURÓPA FELÉ</w:t>
            </w:r>
          </w:p>
        </w:tc>
      </w:tr>
      <w:tr w:rsidR="00866437">
        <w:tc>
          <w:tcPr>
            <w:tcW w:w="5000" w:type="pct"/>
          </w:tcPr>
          <w:p w:rsidR="00A708B0" w:rsidRPr="005F794B" w:rsidRDefault="00A708B0" w:rsidP="00ED3DF8">
            <w:pPr>
              <w:jc w:val="center"/>
              <w:rPr>
                <w:sz w:val="32"/>
              </w:rPr>
            </w:pPr>
            <w:r>
              <w:rPr>
                <w:b/>
                <w:sz w:val="32"/>
              </w:rPr>
              <w:t>2017. november 27–28.</w:t>
            </w:r>
          </w:p>
        </w:tc>
      </w:tr>
      <w:tr w:rsidR="00866437">
        <w:tc>
          <w:tcPr>
            <w:tcW w:w="5000" w:type="pct"/>
          </w:tcPr>
          <w:p w:rsidR="00ED3DF8" w:rsidRPr="005F794B" w:rsidRDefault="00A708B0" w:rsidP="00ED3DF8">
            <w:pPr>
              <w:jc w:val="center"/>
              <w:rPr>
                <w:rFonts w:eastAsia="Calibri"/>
              </w:rPr>
            </w:pPr>
            <w:r>
              <w:rPr>
                <w:b/>
              </w:rPr>
              <w:t>Helyszín:</w:t>
            </w:r>
            <w:r>
              <w:t xml:space="preserve"> </w:t>
            </w:r>
          </w:p>
          <w:p w:rsidR="00A708B0" w:rsidRPr="005F794B" w:rsidRDefault="00FF04DF" w:rsidP="00ED3DF8">
            <w:pPr>
              <w:jc w:val="center"/>
              <w:rPr>
                <w:rFonts w:eastAsia="Calibri"/>
              </w:rPr>
            </w:pPr>
            <w:r>
              <w:t>Magyar Tudományos Akadémia</w:t>
            </w:r>
          </w:p>
          <w:p w:rsidR="00FF04DF" w:rsidRPr="005F794B" w:rsidRDefault="00FF04DF" w:rsidP="00ED3DF8">
            <w:pPr>
              <w:jc w:val="center"/>
              <w:rPr>
                <w:rFonts w:eastAsia="Calibri"/>
              </w:rPr>
            </w:pPr>
            <w:r>
              <w:t>Széchenyi István tér 9.</w:t>
            </w:r>
          </w:p>
          <w:p w:rsidR="00A708B0" w:rsidRPr="005F794B" w:rsidRDefault="00FF04DF" w:rsidP="00ED3DF8">
            <w:pPr>
              <w:jc w:val="center"/>
              <w:rPr>
                <w:rFonts w:eastAsia="Calibri"/>
              </w:rPr>
            </w:pPr>
            <w:r>
              <w:t>1051 Budapest</w:t>
            </w:r>
          </w:p>
        </w:tc>
      </w:tr>
      <w:tr w:rsidR="00866437">
        <w:tc>
          <w:tcPr>
            <w:tcW w:w="5000" w:type="pct"/>
          </w:tcPr>
          <w:p w:rsidR="00A708B0" w:rsidRPr="00A95C77" w:rsidRDefault="00363F79" w:rsidP="009810F8">
            <w:pPr>
              <w:tabs>
                <w:tab w:val="center" w:pos="4536"/>
              </w:tabs>
              <w:jc w:val="center"/>
            </w:pPr>
            <w:r>
              <w:t>#Europe2020</w:t>
            </w:r>
            <w:r w:rsidR="007D2A06">
              <w:t xml:space="preserve"> #EESC</w:t>
            </w:r>
          </w:p>
        </w:tc>
      </w:tr>
      <w:tr w:rsidR="00866437">
        <w:tc>
          <w:tcPr>
            <w:tcW w:w="5000" w:type="pct"/>
          </w:tcPr>
          <w:p w:rsidR="00A708B0" w:rsidRPr="00A95C77" w:rsidRDefault="00A708B0" w:rsidP="00ED3DF8">
            <w:pPr>
              <w:jc w:val="center"/>
            </w:pPr>
          </w:p>
        </w:tc>
      </w:tr>
      <w:tr w:rsidR="00866437">
        <w:tc>
          <w:tcPr>
            <w:tcW w:w="5000" w:type="pct"/>
          </w:tcPr>
          <w:p w:rsidR="00A708B0" w:rsidRPr="00A95C77" w:rsidRDefault="00A708B0" w:rsidP="009656D6">
            <w:pPr>
              <w:jc w:val="left"/>
              <w:rPr>
                <w:rFonts w:eastAsia="Calibri"/>
                <w:b/>
              </w:rPr>
            </w:pPr>
            <w:r>
              <w:rPr>
                <w:b/>
              </w:rPr>
              <w:t>Háttér</w:t>
            </w:r>
          </w:p>
        </w:tc>
      </w:tr>
      <w:tr w:rsidR="00866437">
        <w:tc>
          <w:tcPr>
            <w:tcW w:w="5000" w:type="pct"/>
          </w:tcPr>
          <w:p w:rsidR="00233A5F" w:rsidRPr="00A95C77" w:rsidRDefault="00233A5F" w:rsidP="002C5B74">
            <w:r>
              <w:t xml:space="preserve">2010-ben az Európai Unió (EU) elindította a lisszaboni stratégiát felváltó 10 éves programját: az intelligens, fenntartható és inkluzív növekedést célzó Európa 2020 stratégiát, amely meghatározta az EU 2020-ig elérendő közös céljait és politikai prioritásait. Az elmúlt hét évben az EU és a tagállamok az európai szemeszter segítségével hajtották végre a stratégiát. A gazdasági fellendülés garantálása érdekében más kezdeményezésekről is megegyeztek. 2015-ben elindították az európai beruházási tervet (az úgynevezett </w:t>
            </w:r>
            <w:proofErr w:type="spellStart"/>
            <w:r>
              <w:t>Juncker-tervet</w:t>
            </w:r>
            <w:proofErr w:type="spellEnd"/>
            <w:r>
              <w:t>), melynek feladata, hogy kezelje az európai beruházások alacsony szintjét. Az Európa 2020 stratégia azonban hamarosan a végéhez ér, így az EU-nak elő kell készítenie a következő évtizedre és az azt követő időszakra vonatkozó új keretet.</w:t>
            </w:r>
          </w:p>
          <w:p w:rsidR="00233A5F" w:rsidRPr="00A95C77" w:rsidRDefault="00233A5F" w:rsidP="00233A5F"/>
          <w:p w:rsidR="00233A5F" w:rsidRPr="00A95C77" w:rsidRDefault="00233A5F" w:rsidP="002C5B74">
            <w:r>
              <w:t>2010 óta jelentősen megváltozott az európai politikai és gazdasági helyzet. Európa ugyan lassacskán magára talál az elhúzódó hatásokkal járó gazdasági és pénzügyi válságot követően, de új politikai, gazdasági, környezeti és társadalmi problémák merültek fel. Minden szereplő egyetért abban, hogy az EU fontos válaszúthoz érkezett, és a jövője forog kockán. Ebben az új helyzetben olyan megújult keretre van szükség, amely hatékonyabb európai válaszokkal szolgál a fenti kihívásokra és új, fenntartható távlatokat nyit az európai projekt számára.</w:t>
            </w:r>
          </w:p>
          <w:p w:rsidR="00233A5F" w:rsidRPr="00A95C77" w:rsidRDefault="00233A5F" w:rsidP="00233A5F"/>
          <w:p w:rsidR="00233A5F" w:rsidRPr="00A95C77" w:rsidRDefault="00233A5F" w:rsidP="009810F8">
            <w:pPr>
              <w:rPr>
                <w:rFonts w:eastAsia="Calibri"/>
                <w:bCs/>
              </w:rPr>
            </w:pPr>
            <w:r>
              <w:t>Ebből kiindulva az Európai Bizottság 2017 márciusában fehér könyvet tett közzé Európa jövőjéről, és ezzel egy olyan gondolkodási időszakot indított el, amely a tervek szerint egészen a 2019-es európai parlamenti választásokig tart majd. Ez a konferencia ebbe a gondolkodási folyamatba illeszkedik: összehozza a civil társadalom képviselőit, akik megvitathatják, hogy miként tudnának ők is hozzájárulni a 2020 utáni, részvételen alapuló, hosszú távú stratégiához.</w:t>
            </w:r>
          </w:p>
        </w:tc>
      </w:tr>
    </w:tbl>
    <w:p w:rsidR="00E660CB" w:rsidRDefault="00E660CB"/>
    <w:p w:rsidR="00E660CB" w:rsidRDefault="00E660CB"/>
    <w:p w:rsidR="00E660CB" w:rsidRDefault="00E660CB" w:rsidP="00E660CB">
      <w:r>
        <w:t>Támogatók:</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2"/>
        <w:gridCol w:w="803"/>
        <w:gridCol w:w="1418"/>
        <w:gridCol w:w="1276"/>
        <w:gridCol w:w="1380"/>
        <w:gridCol w:w="1280"/>
      </w:tblGrid>
      <w:tr w:rsidR="00866437">
        <w:trPr>
          <w:trHeight w:val="397"/>
        </w:trPr>
        <w:tc>
          <w:tcPr>
            <w:tcW w:w="1686" w:type="pct"/>
          </w:tcPr>
          <w:p w:rsidR="00E660CB" w:rsidRPr="00E80D86" w:rsidRDefault="00E660CB" w:rsidP="009810F8">
            <w:pPr>
              <w:spacing w:after="200"/>
              <w:jc w:val="center"/>
              <w:rPr>
                <w:sz w:val="20"/>
              </w:rPr>
            </w:pPr>
            <w:r>
              <w:rPr>
                <w:noProof/>
                <w:sz w:val="20"/>
                <w:lang w:val="fr-BE" w:eastAsia="fr-BE" w:bidi="ar-SA"/>
              </w:rPr>
              <w:drawing>
                <wp:inline distT="0" distB="0" distL="0" distR="0" wp14:anchorId="33C3889A" wp14:editId="6F5C4F90">
                  <wp:extent cx="481618" cy="50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481618" cy="504000"/>
                          </a:xfrm>
                          <a:prstGeom prst="rect">
                            <a:avLst/>
                          </a:prstGeom>
                          <a:noFill/>
                        </pic:spPr>
                      </pic:pic>
                    </a:graphicData>
                  </a:graphic>
                </wp:inline>
              </w:drawing>
            </w:r>
          </w:p>
          <w:p w:rsidR="00E660CB" w:rsidRPr="00E80D86" w:rsidRDefault="00E660CB" w:rsidP="009810F8">
            <w:pPr>
              <w:spacing w:after="200"/>
              <w:jc w:val="center"/>
              <w:rPr>
                <w:sz w:val="20"/>
                <w:szCs w:val="16"/>
              </w:rPr>
            </w:pPr>
            <w:r>
              <w:rPr>
                <w:sz w:val="16"/>
              </w:rPr>
              <w:t>Magyar Közgazdasági Társaság</w:t>
            </w:r>
          </w:p>
        </w:tc>
        <w:tc>
          <w:tcPr>
            <w:tcW w:w="432" w:type="pct"/>
            <w:vAlign w:val="center"/>
          </w:tcPr>
          <w:p w:rsidR="00E660CB" w:rsidRPr="009810F8" w:rsidRDefault="00E660CB" w:rsidP="009810F8">
            <w:pPr>
              <w:spacing w:after="200"/>
              <w:jc w:val="center"/>
              <w:rPr>
                <w:sz w:val="20"/>
              </w:rPr>
            </w:pPr>
            <w:r>
              <w:rPr>
                <w:sz w:val="20"/>
              </w:rPr>
              <w:t xml:space="preserve">és </w:t>
            </w:r>
          </w:p>
        </w:tc>
        <w:tc>
          <w:tcPr>
            <w:tcW w:w="763" w:type="pct"/>
            <w:vAlign w:val="center"/>
          </w:tcPr>
          <w:p w:rsidR="00E660CB" w:rsidRPr="00E80D86" w:rsidRDefault="00E660CB" w:rsidP="009810F8">
            <w:pPr>
              <w:spacing w:after="200"/>
              <w:jc w:val="center"/>
              <w:rPr>
                <w:sz w:val="20"/>
              </w:rPr>
            </w:pPr>
            <w:r>
              <w:rPr>
                <w:noProof/>
                <w:sz w:val="20"/>
                <w:lang w:val="fr-BE" w:eastAsia="fr-BE" w:bidi="ar-SA"/>
              </w:rPr>
              <w:drawing>
                <wp:inline distT="0" distB="0" distL="0" distR="0" wp14:anchorId="43653C6D" wp14:editId="1DCBF7D8">
                  <wp:extent cx="685264" cy="468000"/>
                  <wp:effectExtent l="0" t="0" r="635" b="8255"/>
                  <wp:docPr id="8" name="Picture 8" descr="C:\Users\aboat\AppData\Local\Microsoft\Windows\Temporary Internet Files\Content.Outlook\0ITE7QUG\emmi_color-cmyk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oat\AppData\Local\Microsoft\Windows\Temporary Internet Files\Content.Outlook\0ITE7QUG\emmi_color-cmyk (6).jpg"/>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685264" cy="468000"/>
                          </a:xfrm>
                          <a:prstGeom prst="rect">
                            <a:avLst/>
                          </a:prstGeom>
                          <a:noFill/>
                          <a:ln>
                            <a:noFill/>
                          </a:ln>
                        </pic:spPr>
                      </pic:pic>
                    </a:graphicData>
                  </a:graphic>
                </wp:inline>
              </w:drawing>
            </w:r>
          </w:p>
        </w:tc>
        <w:tc>
          <w:tcPr>
            <w:tcW w:w="687" w:type="pct"/>
            <w:vAlign w:val="center"/>
          </w:tcPr>
          <w:p w:rsidR="00E660CB" w:rsidRPr="00E80D86" w:rsidRDefault="00E660CB" w:rsidP="009810F8">
            <w:pPr>
              <w:spacing w:after="200"/>
              <w:jc w:val="center"/>
              <w:rPr>
                <w:sz w:val="20"/>
              </w:rPr>
            </w:pPr>
            <w:r>
              <w:rPr>
                <w:noProof/>
                <w:sz w:val="20"/>
                <w:lang w:val="fr-BE" w:eastAsia="fr-BE" w:bidi="ar-SA"/>
              </w:rPr>
              <w:drawing>
                <wp:inline distT="0" distB="0" distL="0" distR="0" wp14:anchorId="34EFCF91" wp14:editId="6EFACD0F">
                  <wp:extent cx="664216" cy="468000"/>
                  <wp:effectExtent l="0" t="0" r="254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4216" cy="468000"/>
                          </a:xfrm>
                          <a:prstGeom prst="rect">
                            <a:avLst/>
                          </a:prstGeom>
                          <a:noFill/>
                        </pic:spPr>
                      </pic:pic>
                    </a:graphicData>
                  </a:graphic>
                </wp:inline>
              </w:drawing>
            </w:r>
          </w:p>
        </w:tc>
        <w:tc>
          <w:tcPr>
            <w:tcW w:w="743" w:type="pct"/>
            <w:vAlign w:val="center"/>
          </w:tcPr>
          <w:p w:rsidR="00E660CB" w:rsidRPr="00E80D86" w:rsidRDefault="00E660CB" w:rsidP="009810F8">
            <w:pPr>
              <w:spacing w:after="200"/>
              <w:jc w:val="center"/>
              <w:rPr>
                <w:sz w:val="20"/>
              </w:rPr>
            </w:pPr>
            <w:r>
              <w:rPr>
                <w:noProof/>
                <w:sz w:val="20"/>
                <w:lang w:val="fr-BE" w:eastAsia="fr-BE" w:bidi="ar-SA"/>
              </w:rPr>
              <w:drawing>
                <wp:inline distT="0" distB="0" distL="0" distR="0" wp14:anchorId="26999B0F" wp14:editId="6DDE436C">
                  <wp:extent cx="721588" cy="396000"/>
                  <wp:effectExtent l="0" t="0" r="2540" b="4445"/>
                  <wp:docPr id="10" name="Picture 10" descr="C:\Users\aboat\AppData\Local\Microsoft\Windows\Temporary Internet Files\Content.Outlook\0ITE7QUG\nfft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oat\AppData\Local\Microsoft\Windows\Temporary Internet Files\Content.Outlook\0ITE7QUG\nfft_logo.bmp"/>
                          <pic:cNvPicPr>
                            <a:picLocks noChangeAspect="1" noChangeArrowheads="1"/>
                          </pic:cNvPicPr>
                        </pic:nvPicPr>
                        <pic:blipFill>
                          <a:blip r:embed="rId18" cstate="print">
                            <a:extLst>
                              <a:ext uri="{BEBA8EAE-BF5A-486C-A8C5-ECC9F3942E4B}">
                                <a14:imgProps xmlns:a14="http://schemas.microsoft.com/office/drawing/2010/main">
                                  <a14:imgLayer r:embed="rId19">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721588" cy="396000"/>
                          </a:xfrm>
                          <a:prstGeom prst="rect">
                            <a:avLst/>
                          </a:prstGeom>
                          <a:noFill/>
                          <a:ln>
                            <a:noFill/>
                          </a:ln>
                        </pic:spPr>
                      </pic:pic>
                    </a:graphicData>
                  </a:graphic>
                </wp:inline>
              </w:drawing>
            </w:r>
          </w:p>
        </w:tc>
        <w:tc>
          <w:tcPr>
            <w:tcW w:w="689" w:type="pct"/>
            <w:vAlign w:val="center"/>
          </w:tcPr>
          <w:p w:rsidR="00E660CB" w:rsidRPr="00E80D86" w:rsidRDefault="00E660CB" w:rsidP="009810F8">
            <w:pPr>
              <w:spacing w:after="200"/>
              <w:jc w:val="center"/>
              <w:rPr>
                <w:sz w:val="20"/>
              </w:rPr>
            </w:pPr>
            <w:r>
              <w:rPr>
                <w:noProof/>
                <w:sz w:val="20"/>
                <w:lang w:val="fr-BE" w:eastAsia="fr-BE" w:bidi="ar-SA"/>
              </w:rPr>
              <w:drawing>
                <wp:inline distT="0" distB="0" distL="0" distR="0" wp14:anchorId="02CD7030" wp14:editId="1E558EEC">
                  <wp:extent cx="675995" cy="468000"/>
                  <wp:effectExtent l="0" t="0" r="0" b="8255"/>
                  <wp:docPr id="11" name="Picture 1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associée"/>
                          <pic:cNvPicPr>
                            <a:picLocks noChangeAspect="1" noChangeArrowheads="1"/>
                          </pic:cNvPicPr>
                        </pic:nvPicPr>
                        <pic:blipFill>
                          <a:blip r:embed="rId20" cstate="print">
                            <a:extLst>
                              <a:ext uri="{BEBA8EAE-BF5A-486C-A8C5-ECC9F3942E4B}">
                                <a14:imgProps xmlns:a14="http://schemas.microsoft.com/office/drawing/2010/main">
                                  <a14:imgLayer r:embed="rId21">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675995" cy="468000"/>
                          </a:xfrm>
                          <a:prstGeom prst="rect">
                            <a:avLst/>
                          </a:prstGeom>
                          <a:noFill/>
                          <a:ln>
                            <a:noFill/>
                          </a:ln>
                        </pic:spPr>
                      </pic:pic>
                    </a:graphicData>
                  </a:graphic>
                </wp:inline>
              </w:drawing>
            </w:r>
          </w:p>
        </w:tc>
      </w:tr>
    </w:tbl>
    <w:p w:rsidR="00E660CB" w:rsidRDefault="00E660CB"/>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9"/>
      </w:tblGrid>
      <w:tr w:rsidR="00866437">
        <w:tc>
          <w:tcPr>
            <w:tcW w:w="5000" w:type="pct"/>
          </w:tcPr>
          <w:p w:rsidR="00840F7E" w:rsidRPr="002C5B74" w:rsidRDefault="00840F7E" w:rsidP="00E660CB">
            <w:pPr>
              <w:jc w:val="left"/>
              <w:rPr>
                <w:rFonts w:asciiTheme="majorBidi" w:eastAsia="Calibri" w:hAnsiTheme="majorBidi" w:cstheme="majorBidi"/>
                <w:bCs/>
              </w:rPr>
            </w:pPr>
            <w:r>
              <w:rPr>
                <w:rFonts w:asciiTheme="majorBidi" w:hAnsiTheme="majorBidi" w:cstheme="majorBidi"/>
              </w:rPr>
              <w:lastRenderedPageBreak/>
              <w:t xml:space="preserve">A konferencia </w:t>
            </w:r>
            <w:r w:rsidRPr="0024566A">
              <w:rPr>
                <w:rFonts w:asciiTheme="majorBidi" w:hAnsiTheme="majorBidi" w:cstheme="majorBidi"/>
                <w:b/>
              </w:rPr>
              <w:t>célkitűzései</w:t>
            </w:r>
            <w:r>
              <w:rPr>
                <w:rFonts w:asciiTheme="majorBidi" w:hAnsiTheme="majorBidi" w:cstheme="majorBidi"/>
              </w:rPr>
              <w:t xml:space="preserve"> a következők:</w:t>
            </w:r>
          </w:p>
        </w:tc>
      </w:tr>
      <w:tr w:rsidR="00866437">
        <w:tc>
          <w:tcPr>
            <w:tcW w:w="5000" w:type="pct"/>
          </w:tcPr>
          <w:p w:rsidR="00840F7E" w:rsidRPr="002C5B74" w:rsidRDefault="00840F7E" w:rsidP="00E4562A">
            <w:pPr>
              <w:pStyle w:val="ListParagraph"/>
              <w:numPr>
                <w:ilvl w:val="0"/>
                <w:numId w:val="3"/>
              </w:numPr>
              <w:overflowPunct/>
              <w:autoSpaceDE/>
              <w:autoSpaceDN/>
              <w:adjustRightInd/>
              <w:textAlignment w:val="auto"/>
              <w:rPr>
                <w:rFonts w:asciiTheme="majorBidi" w:eastAsia="Calibri" w:hAnsiTheme="majorBidi" w:cstheme="majorBidi"/>
                <w:bCs/>
                <w:szCs w:val="22"/>
              </w:rPr>
            </w:pPr>
            <w:r>
              <w:rPr>
                <w:rFonts w:asciiTheme="majorBidi" w:hAnsiTheme="majorBidi" w:cstheme="majorBidi"/>
              </w:rPr>
              <w:t>Az Európa 2020 nyomába lépő új európai stratégia felé történő átmenetről szóló széles körű vita elősegítése.</w:t>
            </w:r>
          </w:p>
        </w:tc>
      </w:tr>
      <w:tr w:rsidR="00866437">
        <w:tc>
          <w:tcPr>
            <w:tcW w:w="5000" w:type="pct"/>
          </w:tcPr>
          <w:p w:rsidR="00840F7E" w:rsidRPr="002C5B74" w:rsidDel="00E10565" w:rsidRDefault="00840F7E" w:rsidP="002C5B74">
            <w:pPr>
              <w:pStyle w:val="ListParagraph"/>
              <w:numPr>
                <w:ilvl w:val="0"/>
                <w:numId w:val="3"/>
              </w:numPr>
              <w:overflowPunct/>
              <w:autoSpaceDE/>
              <w:autoSpaceDN/>
              <w:adjustRightInd/>
              <w:textAlignment w:val="auto"/>
              <w:rPr>
                <w:rFonts w:asciiTheme="majorBidi" w:eastAsia="Calibri" w:hAnsiTheme="majorBidi" w:cstheme="majorBidi"/>
                <w:bCs/>
                <w:szCs w:val="22"/>
              </w:rPr>
            </w:pPr>
            <w:r>
              <w:rPr>
                <w:rFonts w:asciiTheme="majorBidi" w:hAnsiTheme="majorBidi" w:cstheme="majorBidi"/>
              </w:rPr>
              <w:t>Vita indítása Európa jövőjéről és az európai projektről, szem előtt tartva az Európában végbemenő mélyreható átalakulásokat.</w:t>
            </w:r>
          </w:p>
        </w:tc>
      </w:tr>
      <w:tr w:rsidR="00866437">
        <w:tc>
          <w:tcPr>
            <w:tcW w:w="5000" w:type="pct"/>
          </w:tcPr>
          <w:p w:rsidR="00840F7E" w:rsidRPr="002C5B74" w:rsidRDefault="00840F7E" w:rsidP="00ED3DF8">
            <w:pPr>
              <w:pStyle w:val="ListParagraph"/>
              <w:numPr>
                <w:ilvl w:val="0"/>
                <w:numId w:val="3"/>
              </w:numPr>
              <w:overflowPunct/>
              <w:autoSpaceDE/>
              <w:autoSpaceDN/>
              <w:adjustRightInd/>
              <w:textAlignment w:val="auto"/>
              <w:rPr>
                <w:rFonts w:asciiTheme="majorBidi" w:eastAsia="Calibri" w:hAnsiTheme="majorBidi" w:cstheme="majorBidi"/>
                <w:bCs/>
                <w:szCs w:val="22"/>
              </w:rPr>
            </w:pPr>
            <w:r>
              <w:rPr>
                <w:rFonts w:asciiTheme="majorBidi" w:hAnsiTheme="majorBidi" w:cstheme="majorBidi"/>
              </w:rPr>
              <w:t xml:space="preserve">A fejlemények megvitatása a lisszaboni stratégiától a közelmúltbeli </w:t>
            </w:r>
            <w:proofErr w:type="spellStart"/>
            <w:r>
              <w:rPr>
                <w:rFonts w:asciiTheme="majorBidi" w:hAnsiTheme="majorBidi" w:cstheme="majorBidi"/>
              </w:rPr>
              <w:t>Juncker-tervig</w:t>
            </w:r>
            <w:proofErr w:type="spellEnd"/>
            <w:r>
              <w:rPr>
                <w:rFonts w:asciiTheme="majorBidi" w:hAnsiTheme="majorBidi" w:cstheme="majorBidi"/>
              </w:rPr>
              <w:t>, és a válság idején tett stabilizációs erőfeszítésekből levont tanulságok végiggondolása.</w:t>
            </w:r>
          </w:p>
        </w:tc>
      </w:tr>
      <w:tr w:rsidR="00866437">
        <w:tc>
          <w:tcPr>
            <w:tcW w:w="5000" w:type="pct"/>
          </w:tcPr>
          <w:p w:rsidR="00840F7E" w:rsidRPr="002C5B74" w:rsidRDefault="00840F7E" w:rsidP="00AF61E9">
            <w:pPr>
              <w:pStyle w:val="ListParagraph"/>
              <w:numPr>
                <w:ilvl w:val="0"/>
                <w:numId w:val="2"/>
              </w:numPr>
              <w:rPr>
                <w:rFonts w:asciiTheme="majorBidi" w:eastAsia="Calibri" w:hAnsiTheme="majorBidi" w:cstheme="majorBidi"/>
                <w:b/>
                <w:szCs w:val="22"/>
              </w:rPr>
            </w:pPr>
            <w:r>
              <w:rPr>
                <w:rFonts w:asciiTheme="majorBidi" w:hAnsiTheme="majorBidi" w:cstheme="majorBidi"/>
              </w:rPr>
              <w:t>Az európai értékek, köztük a béke, a kohézió és az innováció megóvását célzó különféle megközelítések és lehetséges megoldások feltárása.</w:t>
            </w:r>
          </w:p>
        </w:tc>
      </w:tr>
      <w:tr w:rsidR="00866437">
        <w:tc>
          <w:tcPr>
            <w:tcW w:w="5000" w:type="pct"/>
          </w:tcPr>
          <w:p w:rsidR="00840F7E" w:rsidRPr="002C5B74" w:rsidRDefault="00840F7E" w:rsidP="002C5B74">
            <w:pPr>
              <w:pStyle w:val="ListParagraph"/>
              <w:numPr>
                <w:ilvl w:val="0"/>
                <w:numId w:val="2"/>
              </w:numPr>
              <w:rPr>
                <w:rFonts w:asciiTheme="majorBidi" w:eastAsia="Calibri" w:hAnsiTheme="majorBidi" w:cstheme="majorBidi"/>
                <w:szCs w:val="22"/>
              </w:rPr>
            </w:pPr>
            <w:r>
              <w:rPr>
                <w:rFonts w:asciiTheme="majorBidi" w:hAnsiTheme="majorBidi" w:cstheme="majorBidi"/>
              </w:rPr>
              <w:t xml:space="preserve">A </w:t>
            </w:r>
            <w:proofErr w:type="spellStart"/>
            <w:r>
              <w:rPr>
                <w:rFonts w:asciiTheme="majorBidi" w:hAnsiTheme="majorBidi" w:cstheme="majorBidi"/>
              </w:rPr>
              <w:t>digitalizáció</w:t>
            </w:r>
            <w:proofErr w:type="spellEnd"/>
            <w:r>
              <w:rPr>
                <w:rFonts w:asciiTheme="majorBidi" w:hAnsiTheme="majorBidi" w:cstheme="majorBidi"/>
              </w:rPr>
              <w:t xml:space="preserve"> és a felgyorsult technológiai változások (az ipari és információs forradalom) gazdaságra és társadalomra gyakorolt átalakító hatásának kezelése.</w:t>
            </w:r>
          </w:p>
        </w:tc>
      </w:tr>
      <w:tr w:rsidR="00866437">
        <w:tc>
          <w:tcPr>
            <w:tcW w:w="5000" w:type="pct"/>
          </w:tcPr>
          <w:p w:rsidR="00840F7E" w:rsidRPr="009810F8" w:rsidRDefault="00840F7E" w:rsidP="006B3B81">
            <w:pPr>
              <w:pStyle w:val="ListParagraph"/>
              <w:numPr>
                <w:ilvl w:val="0"/>
                <w:numId w:val="2"/>
              </w:numPr>
              <w:rPr>
                <w:rFonts w:asciiTheme="majorBidi" w:eastAsia="Calibri" w:hAnsiTheme="majorBidi"/>
              </w:rPr>
            </w:pPr>
            <w:r>
              <w:rPr>
                <w:rFonts w:asciiTheme="majorBidi" w:hAnsiTheme="majorBidi"/>
              </w:rPr>
              <w:t>Álláspont kialakítása a munkahelyteremtés, a növekedés és a beruházások fenntartható módon történő újbóli fellendítése kapcsán.</w:t>
            </w:r>
          </w:p>
        </w:tc>
      </w:tr>
      <w:tr w:rsidR="00866437">
        <w:tc>
          <w:tcPr>
            <w:tcW w:w="5000" w:type="pct"/>
          </w:tcPr>
          <w:p w:rsidR="00840F7E" w:rsidRPr="00D66AA0" w:rsidRDefault="00840F7E" w:rsidP="00840F7E">
            <w:pPr>
              <w:pStyle w:val="ListParagraph"/>
              <w:numPr>
                <w:ilvl w:val="0"/>
                <w:numId w:val="2"/>
              </w:numPr>
              <w:rPr>
                <w:rFonts w:eastAsia="Calibri"/>
              </w:rPr>
            </w:pPr>
            <w:r>
              <w:t>A makrogazdasági stabilitás és egy ellenállóképes jóléti rendszer közötti kölcsönhatás megvizsgálása.</w:t>
            </w:r>
          </w:p>
          <w:p w:rsidR="00AF61E9" w:rsidRPr="00D66AA0" w:rsidRDefault="00AF61E9" w:rsidP="006B3B81">
            <w:pPr>
              <w:pStyle w:val="ListParagraph"/>
              <w:numPr>
                <w:ilvl w:val="0"/>
                <w:numId w:val="2"/>
              </w:numPr>
              <w:rPr>
                <w:rFonts w:eastAsia="Calibri"/>
              </w:rPr>
            </w:pPr>
            <w:r>
              <w:t>Iránymutatás azzal kapcsolatban, hogy milyen felelősség hárul a civil társadalomra, ha vezető szerepet akar vállalni a fenntartható, inkluzív és összetartó európai jövő kialakításában.</w:t>
            </w:r>
          </w:p>
        </w:tc>
      </w:tr>
    </w:tbl>
    <w:p w:rsidR="00A708B0" w:rsidRDefault="00A708B0" w:rsidP="00ED3DF8"/>
    <w:p w:rsidR="00E660CB" w:rsidRDefault="00E660CB" w:rsidP="00E660CB"/>
    <w:p w:rsidR="00663BA4" w:rsidRDefault="00663BA4" w:rsidP="009810F8">
      <w:pPr>
        <w:spacing w:after="200" w:line="276" w:lineRule="auto"/>
        <w:jc w:val="left"/>
      </w:pPr>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9"/>
      </w:tblGrid>
      <w:tr w:rsidR="00866437">
        <w:tc>
          <w:tcPr>
            <w:tcW w:w="5000" w:type="pct"/>
            <w:shd w:val="clear" w:color="auto" w:fill="DBE5F1" w:themeFill="accent1" w:themeFillTint="33"/>
          </w:tcPr>
          <w:p w:rsidR="00A708B0" w:rsidRPr="00E10565" w:rsidRDefault="00A708B0" w:rsidP="00ED3DF8">
            <w:pPr>
              <w:jc w:val="center"/>
              <w:rPr>
                <w:b/>
              </w:rPr>
            </w:pPr>
            <w:r>
              <w:lastRenderedPageBreak/>
              <w:br w:type="page"/>
            </w:r>
            <w:r>
              <w:rPr>
                <w:b/>
              </w:rPr>
              <w:t>PROGRAMTERVEZET</w:t>
            </w:r>
          </w:p>
        </w:tc>
      </w:tr>
    </w:tbl>
    <w:p w:rsidR="00A708B0" w:rsidRPr="00E10565" w:rsidRDefault="00A708B0" w:rsidP="00ED3DF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054"/>
      </w:tblGrid>
      <w:tr w:rsidR="00866437">
        <w:tc>
          <w:tcPr>
            <w:tcW w:w="9289" w:type="dxa"/>
            <w:gridSpan w:val="2"/>
            <w:shd w:val="clear" w:color="auto" w:fill="DBE5F1" w:themeFill="accent1" w:themeFillTint="33"/>
          </w:tcPr>
          <w:p w:rsidR="00A708B0" w:rsidRPr="00E10565" w:rsidRDefault="00A0290C" w:rsidP="00ED3DF8">
            <w:pPr>
              <w:jc w:val="center"/>
            </w:pPr>
            <w:r>
              <w:rPr>
                <w:b/>
              </w:rPr>
              <w:t>NOVEMBER 27</w:t>
            </w:r>
            <w:proofErr w:type="gramStart"/>
            <w:r>
              <w:rPr>
                <w:b/>
              </w:rPr>
              <w:t>.,</w:t>
            </w:r>
            <w:proofErr w:type="gramEnd"/>
            <w:r>
              <w:rPr>
                <w:b/>
              </w:rPr>
              <w:t xml:space="preserve"> HÉTFŐ</w:t>
            </w:r>
          </w:p>
        </w:tc>
      </w:tr>
      <w:tr w:rsidR="00866437">
        <w:tc>
          <w:tcPr>
            <w:tcW w:w="9289" w:type="dxa"/>
            <w:gridSpan w:val="2"/>
          </w:tcPr>
          <w:p w:rsidR="00A0290C" w:rsidRPr="00E10565" w:rsidRDefault="00A0290C" w:rsidP="00ED3DF8">
            <w:pPr>
              <w:jc w:val="center"/>
              <w:rPr>
                <w:b/>
              </w:rPr>
            </w:pPr>
          </w:p>
        </w:tc>
      </w:tr>
      <w:tr w:rsidR="00866437">
        <w:tc>
          <w:tcPr>
            <w:tcW w:w="2235" w:type="dxa"/>
          </w:tcPr>
          <w:p w:rsidR="00A708B0" w:rsidRPr="00E10565" w:rsidRDefault="00A708B0" w:rsidP="007D2A06">
            <w:pPr>
              <w:rPr>
                <w:b/>
              </w:rPr>
            </w:pPr>
            <w:r>
              <w:rPr>
                <w:b/>
              </w:rPr>
              <w:t>14.00–14.</w:t>
            </w:r>
            <w:r w:rsidR="007D2A06">
              <w:rPr>
                <w:b/>
              </w:rPr>
              <w:t>3</w:t>
            </w:r>
            <w:r>
              <w:rPr>
                <w:b/>
              </w:rPr>
              <w:t>0</w:t>
            </w:r>
          </w:p>
        </w:tc>
        <w:tc>
          <w:tcPr>
            <w:tcW w:w="7054" w:type="dxa"/>
          </w:tcPr>
          <w:p w:rsidR="00A708B0" w:rsidRPr="00E10565" w:rsidRDefault="00A708B0" w:rsidP="00ED3DF8">
            <w:r>
              <w:rPr>
                <w:b/>
              </w:rPr>
              <w:t>Érkezés, regisztráció és kávé</w:t>
            </w:r>
          </w:p>
        </w:tc>
      </w:tr>
      <w:tr w:rsidR="00866437">
        <w:tc>
          <w:tcPr>
            <w:tcW w:w="2235" w:type="dxa"/>
          </w:tcPr>
          <w:p w:rsidR="00A708B0" w:rsidRPr="00E10565" w:rsidRDefault="00A708B0" w:rsidP="00ED3DF8"/>
        </w:tc>
        <w:tc>
          <w:tcPr>
            <w:tcW w:w="7054" w:type="dxa"/>
          </w:tcPr>
          <w:p w:rsidR="00A708B0" w:rsidRPr="00E10565" w:rsidRDefault="00A708B0" w:rsidP="00ED3DF8"/>
        </w:tc>
      </w:tr>
      <w:tr w:rsidR="00866437">
        <w:trPr>
          <w:trHeight w:val="1033"/>
        </w:trPr>
        <w:tc>
          <w:tcPr>
            <w:tcW w:w="2235" w:type="dxa"/>
          </w:tcPr>
          <w:p w:rsidR="008175E3" w:rsidRDefault="008175E3">
            <w:pPr>
              <w:rPr>
                <w:rFonts w:eastAsia="Calibri"/>
                <w:b/>
              </w:rPr>
            </w:pPr>
            <w:r>
              <w:rPr>
                <w:b/>
              </w:rPr>
              <w:t>14.</w:t>
            </w:r>
            <w:r w:rsidR="007D2A06">
              <w:rPr>
                <w:b/>
              </w:rPr>
              <w:t>3</w:t>
            </w:r>
            <w:r>
              <w:rPr>
                <w:b/>
              </w:rPr>
              <w:t>0–14.</w:t>
            </w:r>
            <w:r w:rsidR="007D2A06">
              <w:rPr>
                <w:b/>
              </w:rPr>
              <w:t>40</w:t>
            </w:r>
          </w:p>
          <w:p w:rsidR="00806F50" w:rsidRPr="00806F50" w:rsidRDefault="00806F50">
            <w:pPr>
              <w:rPr>
                <w:rFonts w:eastAsia="Calibri"/>
                <w:bCs/>
              </w:rPr>
            </w:pPr>
          </w:p>
          <w:p w:rsidR="00806F50" w:rsidRPr="009810F8" w:rsidRDefault="00806F50" w:rsidP="009810F8">
            <w:pPr>
              <w:jc w:val="center"/>
              <w:rPr>
                <w:i/>
              </w:rPr>
            </w:pPr>
          </w:p>
        </w:tc>
        <w:tc>
          <w:tcPr>
            <w:tcW w:w="7054" w:type="dxa"/>
          </w:tcPr>
          <w:p w:rsidR="008175E3" w:rsidRPr="00FF7776" w:rsidRDefault="004C698E" w:rsidP="00ED3DF8">
            <w:pPr>
              <w:rPr>
                <w:rFonts w:eastAsia="Calibri"/>
                <w:b/>
              </w:rPr>
            </w:pPr>
            <w:r>
              <w:rPr>
                <w:b/>
              </w:rPr>
              <w:t>Üdvözlőbeszéd</w:t>
            </w:r>
          </w:p>
          <w:p w:rsidR="008175E3" w:rsidRPr="00FF7776" w:rsidRDefault="008175E3" w:rsidP="00ED3DF8">
            <w:pPr>
              <w:ind w:left="360"/>
            </w:pPr>
            <w:r>
              <w:rPr>
                <w:b/>
              </w:rPr>
              <w:t>Baráth Etele</w:t>
            </w:r>
            <w:r>
              <w:t>, az Európai Gazdasági és Szociális Bizottság (EGSZB) Európa 2020 irányítóbizottságának elnöke</w:t>
            </w:r>
          </w:p>
          <w:p w:rsidR="00ED3DF8" w:rsidRPr="00FF7776" w:rsidRDefault="00ED3DF8" w:rsidP="009810F8">
            <w:pPr>
              <w:ind w:left="360"/>
            </w:pPr>
          </w:p>
        </w:tc>
      </w:tr>
      <w:tr w:rsidR="00866437">
        <w:trPr>
          <w:trHeight w:val="434"/>
        </w:trPr>
        <w:tc>
          <w:tcPr>
            <w:tcW w:w="2235" w:type="dxa"/>
          </w:tcPr>
          <w:p w:rsidR="00A1378B" w:rsidRPr="00E10565" w:rsidRDefault="00E32D16" w:rsidP="007D2A06">
            <w:pPr>
              <w:rPr>
                <w:rFonts w:eastAsia="Calibri"/>
              </w:rPr>
            </w:pPr>
            <w:r>
              <w:rPr>
                <w:b/>
              </w:rPr>
              <w:t>14.</w:t>
            </w:r>
            <w:r w:rsidR="007D2A06">
              <w:rPr>
                <w:b/>
              </w:rPr>
              <w:t>40</w:t>
            </w:r>
            <w:r>
              <w:rPr>
                <w:b/>
              </w:rPr>
              <w:t>–14.4</w:t>
            </w:r>
            <w:r w:rsidR="007D2A06">
              <w:rPr>
                <w:b/>
              </w:rPr>
              <w:t>5</w:t>
            </w:r>
          </w:p>
        </w:tc>
        <w:tc>
          <w:tcPr>
            <w:tcW w:w="7054" w:type="dxa"/>
          </w:tcPr>
          <w:p w:rsidR="004C698E" w:rsidRPr="00FF7776" w:rsidRDefault="004C698E" w:rsidP="00ED3DF8">
            <w:pPr>
              <w:rPr>
                <w:b/>
              </w:rPr>
            </w:pPr>
            <w:r>
              <w:rPr>
                <w:b/>
              </w:rPr>
              <w:t>Bevezető</w:t>
            </w:r>
          </w:p>
        </w:tc>
      </w:tr>
      <w:tr w:rsidR="00866437">
        <w:trPr>
          <w:trHeight w:val="403"/>
        </w:trPr>
        <w:tc>
          <w:tcPr>
            <w:tcW w:w="2235" w:type="dxa"/>
          </w:tcPr>
          <w:p w:rsidR="00806F50" w:rsidRPr="00E10565" w:rsidRDefault="00806F50" w:rsidP="00806F50">
            <w:pPr>
              <w:jc w:val="center"/>
              <w:rPr>
                <w:rFonts w:eastAsia="Calibri"/>
                <w:b/>
              </w:rPr>
            </w:pPr>
          </w:p>
        </w:tc>
        <w:tc>
          <w:tcPr>
            <w:tcW w:w="7054" w:type="dxa"/>
          </w:tcPr>
          <w:p w:rsidR="00985AC4" w:rsidRPr="00985AC4" w:rsidRDefault="00985AC4" w:rsidP="00985AC4">
            <w:pPr>
              <w:ind w:left="360"/>
              <w:rPr>
                <w:b/>
                <w:iCs/>
                <w:lang w:val="en-GB"/>
              </w:rPr>
            </w:pPr>
            <w:r w:rsidRPr="00985AC4">
              <w:rPr>
                <w:b/>
                <w:lang w:val="en-GB"/>
              </w:rPr>
              <w:t xml:space="preserve">Katalin Langerne, </w:t>
            </w:r>
            <w:r w:rsidRPr="00985AC4">
              <w:rPr>
                <w:lang w:val="en-GB"/>
              </w:rPr>
              <w:t>Deputy State Secretary for Social Inclusion in the Ministry of Human Capacities</w:t>
            </w:r>
          </w:p>
          <w:p w:rsidR="00890B0C" w:rsidRPr="00FF7776" w:rsidRDefault="00890B0C" w:rsidP="00ED3DF8">
            <w:pPr>
              <w:rPr>
                <w:b/>
              </w:rPr>
            </w:pPr>
          </w:p>
        </w:tc>
      </w:tr>
      <w:tr w:rsidR="00866437">
        <w:trPr>
          <w:trHeight w:val="423"/>
        </w:trPr>
        <w:tc>
          <w:tcPr>
            <w:tcW w:w="2235" w:type="dxa"/>
          </w:tcPr>
          <w:p w:rsidR="00A708B0" w:rsidRPr="00E10565" w:rsidRDefault="00A708B0" w:rsidP="007D2A06">
            <w:pPr>
              <w:rPr>
                <w:b/>
              </w:rPr>
            </w:pPr>
            <w:r>
              <w:rPr>
                <w:b/>
              </w:rPr>
              <w:t>14.4</w:t>
            </w:r>
            <w:r w:rsidR="007D2A06">
              <w:rPr>
                <w:b/>
              </w:rPr>
              <w:t>5</w:t>
            </w:r>
            <w:r>
              <w:rPr>
                <w:b/>
              </w:rPr>
              <w:t>–15.4</w:t>
            </w:r>
            <w:r w:rsidR="007D2A06">
              <w:rPr>
                <w:b/>
              </w:rPr>
              <w:t>5</w:t>
            </w:r>
          </w:p>
        </w:tc>
        <w:tc>
          <w:tcPr>
            <w:tcW w:w="7054" w:type="dxa"/>
          </w:tcPr>
          <w:p w:rsidR="00A708B0" w:rsidRPr="00FF7776" w:rsidRDefault="00736546" w:rsidP="00ED3DF8">
            <w:r>
              <w:rPr>
                <w:b/>
              </w:rPr>
              <w:t>Meghívott előadók</w:t>
            </w:r>
          </w:p>
        </w:tc>
      </w:tr>
      <w:tr w:rsidR="00866437">
        <w:trPr>
          <w:trHeight w:val="2891"/>
        </w:trPr>
        <w:tc>
          <w:tcPr>
            <w:tcW w:w="2235" w:type="dxa"/>
          </w:tcPr>
          <w:p w:rsidR="00806F50" w:rsidRPr="00E10565" w:rsidRDefault="00806F50" w:rsidP="00ED3DF8">
            <w:pPr>
              <w:jc w:val="center"/>
              <w:rPr>
                <w:b/>
                <w:bCs/>
              </w:rPr>
            </w:pPr>
          </w:p>
        </w:tc>
        <w:tc>
          <w:tcPr>
            <w:tcW w:w="7054" w:type="dxa"/>
          </w:tcPr>
          <w:p w:rsidR="004C698E" w:rsidRDefault="00FE68D9" w:rsidP="004C698E">
            <w:pPr>
              <w:ind w:left="360"/>
              <w:rPr>
                <w:iCs/>
              </w:rPr>
            </w:pPr>
            <w:r>
              <w:rPr>
                <w:b/>
              </w:rPr>
              <w:t>Luca Jahier</w:t>
            </w:r>
            <w:r>
              <w:t>, az EGSZB „Különféle érdekcsoportok” csoportjának elnöke</w:t>
            </w:r>
            <w:r w:rsidR="00EF0094">
              <w:t>:</w:t>
            </w:r>
            <w:r>
              <w:t xml:space="preserve"> </w:t>
            </w:r>
          </w:p>
          <w:p w:rsidR="009B49E4" w:rsidRPr="00FF7776" w:rsidRDefault="00890B0C" w:rsidP="004C698E">
            <w:pPr>
              <w:ind w:left="360"/>
              <w:rPr>
                <w:i/>
              </w:rPr>
            </w:pPr>
            <w:r>
              <w:rPr>
                <w:i/>
              </w:rPr>
              <w:t>„A civil társadalom fenntartható európai jövővel kapcsolatos új felelőssége”</w:t>
            </w:r>
          </w:p>
          <w:p w:rsidR="009B49E4" w:rsidRDefault="009B49E4" w:rsidP="00CB0F0C">
            <w:pPr>
              <w:ind w:left="360"/>
            </w:pPr>
            <w:r>
              <w:rPr>
                <w:b/>
              </w:rPr>
              <w:t>Székely István Pál</w:t>
            </w:r>
            <w:r>
              <w:t>, az Európai Bizottság Gazdasági és Pénzügyi Főigazgatóságának igazgatója</w:t>
            </w:r>
            <w:r w:rsidR="001F044E">
              <w:t>:</w:t>
            </w:r>
          </w:p>
          <w:p w:rsidR="001F044E" w:rsidRPr="002C5B74" w:rsidRDefault="001F044E" w:rsidP="00CB0F0C">
            <w:pPr>
              <w:ind w:left="360"/>
            </w:pPr>
            <w:r>
              <w:rPr>
                <w:i/>
              </w:rPr>
              <w:t>„</w:t>
            </w:r>
            <w:proofErr w:type="spellStart"/>
            <w:r w:rsidRPr="00E93942">
              <w:rPr>
                <w:i/>
              </w:rPr>
              <w:t>Inclusive</w:t>
            </w:r>
            <w:proofErr w:type="spellEnd"/>
            <w:r w:rsidRPr="00E93942">
              <w:rPr>
                <w:i/>
              </w:rPr>
              <w:t xml:space="preserve"> and </w:t>
            </w:r>
            <w:proofErr w:type="spellStart"/>
            <w:r w:rsidRPr="00E93942">
              <w:rPr>
                <w:i/>
              </w:rPr>
              <w:t>sustainable</w:t>
            </w:r>
            <w:proofErr w:type="spellEnd"/>
            <w:r w:rsidRPr="00E93942">
              <w:rPr>
                <w:i/>
              </w:rPr>
              <w:t xml:space="preserve"> Union – </w:t>
            </w:r>
            <w:proofErr w:type="spellStart"/>
            <w:r w:rsidRPr="00E93942">
              <w:rPr>
                <w:i/>
              </w:rPr>
              <w:t>how</w:t>
            </w:r>
            <w:proofErr w:type="spellEnd"/>
            <w:r w:rsidRPr="00E93942">
              <w:rPr>
                <w:i/>
              </w:rPr>
              <w:t xml:space="preserve"> </w:t>
            </w:r>
            <w:proofErr w:type="spellStart"/>
            <w:r w:rsidRPr="00E93942">
              <w:rPr>
                <w:i/>
              </w:rPr>
              <w:t>to</w:t>
            </w:r>
            <w:proofErr w:type="spellEnd"/>
            <w:r w:rsidRPr="00E93942">
              <w:rPr>
                <w:i/>
              </w:rPr>
              <w:t xml:space="preserve"> </w:t>
            </w:r>
            <w:proofErr w:type="spellStart"/>
            <w:r w:rsidRPr="00E93942">
              <w:rPr>
                <w:i/>
              </w:rPr>
              <w:t>get</w:t>
            </w:r>
            <w:proofErr w:type="spellEnd"/>
            <w:r w:rsidRPr="00E93942">
              <w:rPr>
                <w:i/>
              </w:rPr>
              <w:t xml:space="preserve"> </w:t>
            </w:r>
            <w:proofErr w:type="spellStart"/>
            <w:r w:rsidRPr="00E93942">
              <w:rPr>
                <w:i/>
              </w:rPr>
              <w:t>there</w:t>
            </w:r>
            <w:proofErr w:type="spellEnd"/>
            <w:r w:rsidRPr="00E93942">
              <w:rPr>
                <w:i/>
              </w:rPr>
              <w:t>?</w:t>
            </w:r>
            <w:r>
              <w:rPr>
                <w:i/>
              </w:rPr>
              <w:t>”</w:t>
            </w:r>
          </w:p>
          <w:p w:rsidR="00FE68D9" w:rsidRDefault="00BA31B6" w:rsidP="00CB0F0C">
            <w:pPr>
              <w:ind w:left="360"/>
            </w:pPr>
            <w:r>
              <w:rPr>
                <w:b/>
              </w:rPr>
              <w:t xml:space="preserve">Philippe </w:t>
            </w:r>
            <w:proofErr w:type="spellStart"/>
            <w:r>
              <w:rPr>
                <w:b/>
              </w:rPr>
              <w:t>Lamberts</w:t>
            </w:r>
            <w:proofErr w:type="spellEnd"/>
            <w:r>
              <w:t>, európai parlamenti képviselő, az Európai Parlament Zöldek/Európai Szabad Szövetség képviselőcsoportjának társelnöke</w:t>
            </w:r>
          </w:p>
          <w:p w:rsidR="001F044E" w:rsidRPr="002C5B74" w:rsidRDefault="001F044E" w:rsidP="00CB0F0C">
            <w:pPr>
              <w:ind w:left="360"/>
              <w:rPr>
                <w:iCs/>
              </w:rPr>
            </w:pPr>
            <w:r>
              <w:rPr>
                <w:i/>
              </w:rPr>
              <w:t>„</w:t>
            </w:r>
            <w:proofErr w:type="spellStart"/>
            <w:r w:rsidRPr="00E93942">
              <w:rPr>
                <w:i/>
              </w:rPr>
              <w:t>Which</w:t>
            </w:r>
            <w:proofErr w:type="spellEnd"/>
            <w:r w:rsidRPr="00E93942">
              <w:rPr>
                <w:i/>
              </w:rPr>
              <w:t xml:space="preserve"> </w:t>
            </w:r>
            <w:proofErr w:type="spellStart"/>
            <w:r w:rsidRPr="00E93942">
              <w:rPr>
                <w:i/>
              </w:rPr>
              <w:t>common</w:t>
            </w:r>
            <w:proofErr w:type="spellEnd"/>
            <w:r w:rsidRPr="00E93942">
              <w:rPr>
                <w:i/>
              </w:rPr>
              <w:t xml:space="preserve"> </w:t>
            </w:r>
            <w:proofErr w:type="spellStart"/>
            <w:r w:rsidRPr="00E93942">
              <w:rPr>
                <w:i/>
              </w:rPr>
              <w:t>ambition</w:t>
            </w:r>
            <w:proofErr w:type="spellEnd"/>
            <w:r w:rsidRPr="00E93942">
              <w:rPr>
                <w:i/>
              </w:rPr>
              <w:t xml:space="preserve"> </w:t>
            </w:r>
            <w:proofErr w:type="spellStart"/>
            <w:r w:rsidRPr="00E93942">
              <w:rPr>
                <w:i/>
              </w:rPr>
              <w:t>for</w:t>
            </w:r>
            <w:proofErr w:type="spellEnd"/>
            <w:r w:rsidRPr="00E93942">
              <w:rPr>
                <w:i/>
              </w:rPr>
              <w:t xml:space="preserve"> </w:t>
            </w:r>
            <w:proofErr w:type="spellStart"/>
            <w:r w:rsidRPr="00E93942">
              <w:rPr>
                <w:i/>
              </w:rPr>
              <w:t>Europeans</w:t>
            </w:r>
            <w:proofErr w:type="spellEnd"/>
            <w:r w:rsidRPr="00E93942">
              <w:rPr>
                <w:i/>
              </w:rPr>
              <w:t xml:space="preserve"> </w:t>
            </w:r>
            <w:proofErr w:type="spellStart"/>
            <w:r w:rsidRPr="00E93942">
              <w:rPr>
                <w:i/>
              </w:rPr>
              <w:t>beyond</w:t>
            </w:r>
            <w:proofErr w:type="spellEnd"/>
            <w:r w:rsidRPr="00E93942">
              <w:rPr>
                <w:i/>
              </w:rPr>
              <w:t xml:space="preserve"> 2020?</w:t>
            </w:r>
            <w:r>
              <w:rPr>
                <w:i/>
              </w:rPr>
              <w:t>”</w:t>
            </w:r>
          </w:p>
          <w:p w:rsidR="00BB6CCB" w:rsidRDefault="00EA7B26" w:rsidP="002C5B74">
            <w:pPr>
              <w:ind w:left="360"/>
            </w:pPr>
            <w:r>
              <w:rPr>
                <w:b/>
              </w:rPr>
              <w:t xml:space="preserve">Iván </w:t>
            </w:r>
            <w:r w:rsidR="002C5B74">
              <w:rPr>
                <w:b/>
              </w:rPr>
              <w:t>Gábor</w:t>
            </w:r>
            <w:r w:rsidR="002C5B74">
              <w:t>, az Európai Unió Tanácsa Általános Politikai Igazgatóságának igazgatója</w:t>
            </w:r>
            <w:r w:rsidR="00DC42B1">
              <w:t>:</w:t>
            </w:r>
          </w:p>
          <w:p w:rsidR="00DC42B1" w:rsidRDefault="00DC42B1" w:rsidP="002C5B74">
            <w:pPr>
              <w:ind w:left="360"/>
              <w:rPr>
                <w:i/>
                <w:iCs/>
              </w:rPr>
            </w:pPr>
            <w:r w:rsidRPr="00307FD7">
              <w:rPr>
                <w:i/>
                <w:iCs/>
              </w:rPr>
              <w:t>''</w:t>
            </w:r>
            <w:proofErr w:type="spellStart"/>
            <w:r w:rsidRPr="00307FD7">
              <w:rPr>
                <w:i/>
                <w:iCs/>
              </w:rPr>
              <w:t>Unprecedented</w:t>
            </w:r>
            <w:proofErr w:type="spellEnd"/>
            <w:r w:rsidRPr="00307FD7">
              <w:rPr>
                <w:i/>
                <w:iCs/>
              </w:rPr>
              <w:t xml:space="preserve"> </w:t>
            </w:r>
            <w:proofErr w:type="spellStart"/>
            <w:r w:rsidRPr="00307FD7">
              <w:rPr>
                <w:i/>
                <w:iCs/>
              </w:rPr>
              <w:t>debate</w:t>
            </w:r>
            <w:proofErr w:type="spellEnd"/>
            <w:r w:rsidRPr="00307FD7">
              <w:rPr>
                <w:i/>
                <w:iCs/>
              </w:rPr>
              <w:t xml:space="preserve"> </w:t>
            </w:r>
            <w:proofErr w:type="spellStart"/>
            <w:r w:rsidRPr="00307FD7">
              <w:rPr>
                <w:i/>
                <w:iCs/>
              </w:rPr>
              <w:t>on</w:t>
            </w:r>
            <w:proofErr w:type="spellEnd"/>
            <w:r w:rsidRPr="00307FD7">
              <w:rPr>
                <w:i/>
                <w:iCs/>
              </w:rPr>
              <w:t xml:space="preserve"> Financial Framework: </w:t>
            </w:r>
            <w:proofErr w:type="spellStart"/>
            <w:r w:rsidRPr="00307FD7">
              <w:rPr>
                <w:i/>
                <w:iCs/>
              </w:rPr>
              <w:t>the</w:t>
            </w:r>
            <w:proofErr w:type="spellEnd"/>
            <w:r w:rsidRPr="00307FD7">
              <w:rPr>
                <w:i/>
                <w:iCs/>
              </w:rPr>
              <w:t xml:space="preserve"> </w:t>
            </w:r>
            <w:proofErr w:type="spellStart"/>
            <w:r w:rsidRPr="00307FD7">
              <w:rPr>
                <w:i/>
                <w:iCs/>
              </w:rPr>
              <w:t>next</w:t>
            </w:r>
            <w:proofErr w:type="spellEnd"/>
            <w:r w:rsidRPr="00307FD7">
              <w:rPr>
                <w:i/>
                <w:iCs/>
              </w:rPr>
              <w:t xml:space="preserve"> </w:t>
            </w:r>
            <w:proofErr w:type="spellStart"/>
            <w:r w:rsidRPr="00307FD7">
              <w:rPr>
                <w:i/>
                <w:iCs/>
              </w:rPr>
              <w:t>one</w:t>
            </w:r>
            <w:proofErr w:type="spellEnd"/>
            <w:r w:rsidRPr="00307FD7">
              <w:rPr>
                <w:i/>
                <w:iCs/>
              </w:rPr>
              <w:t>''</w:t>
            </w:r>
          </w:p>
          <w:p w:rsidR="00985AC4" w:rsidRPr="00985AC4" w:rsidRDefault="00985AC4" w:rsidP="00985AC4">
            <w:pPr>
              <w:ind w:left="360"/>
              <w:rPr>
                <w:i/>
                <w:iCs/>
                <w:lang w:val="en-GB"/>
              </w:rPr>
            </w:pPr>
            <w:proofErr w:type="spellStart"/>
            <w:r w:rsidRPr="00985AC4">
              <w:rPr>
                <w:b/>
                <w:bCs/>
                <w:i/>
                <w:iCs/>
                <w:lang w:val="en-GB"/>
              </w:rPr>
              <w:t>Balázs</w:t>
            </w:r>
            <w:proofErr w:type="spellEnd"/>
            <w:r w:rsidRPr="00985AC4">
              <w:rPr>
                <w:b/>
                <w:bCs/>
                <w:i/>
                <w:iCs/>
                <w:lang w:val="en-GB"/>
              </w:rPr>
              <w:t xml:space="preserve"> </w:t>
            </w:r>
            <w:proofErr w:type="spellStart"/>
            <w:r w:rsidRPr="00985AC4">
              <w:rPr>
                <w:b/>
                <w:bCs/>
                <w:i/>
                <w:iCs/>
                <w:lang w:val="en-GB"/>
              </w:rPr>
              <w:t>Molnár</w:t>
            </w:r>
            <w:proofErr w:type="spellEnd"/>
            <w:r w:rsidRPr="00985AC4">
              <w:rPr>
                <w:i/>
                <w:iCs/>
                <w:lang w:val="en-GB"/>
              </w:rPr>
              <w:t>, Deputy State Secretary in the Hungary's Prime Minister's Office:</w:t>
            </w:r>
          </w:p>
          <w:p w:rsidR="00985AC4" w:rsidRPr="00FF7776" w:rsidRDefault="00985AC4" w:rsidP="00985AC4">
            <w:pPr>
              <w:ind w:left="360"/>
            </w:pPr>
            <w:r w:rsidRPr="00985AC4">
              <w:rPr>
                <w:i/>
                <w:iCs/>
                <w:lang w:val="en-GB"/>
              </w:rPr>
              <w:t>''Competitiveness and convergence – The European Union of new realities''</w:t>
            </w:r>
          </w:p>
        </w:tc>
      </w:tr>
      <w:tr w:rsidR="00866437">
        <w:tc>
          <w:tcPr>
            <w:tcW w:w="2235" w:type="dxa"/>
          </w:tcPr>
          <w:p w:rsidR="00A708B0" w:rsidRDefault="00A708B0" w:rsidP="00ED3DF8">
            <w:pPr>
              <w:rPr>
                <w:rFonts w:eastAsia="Calibri"/>
                <w:b/>
              </w:rPr>
            </w:pPr>
            <w:r>
              <w:rPr>
                <w:b/>
              </w:rPr>
              <w:t>15.4</w:t>
            </w:r>
            <w:r w:rsidR="007D2A06">
              <w:rPr>
                <w:b/>
              </w:rPr>
              <w:t>5</w:t>
            </w:r>
            <w:r>
              <w:rPr>
                <w:b/>
              </w:rPr>
              <w:t>–16.30</w:t>
            </w:r>
          </w:p>
          <w:p w:rsidR="00C96C86" w:rsidRPr="00C96C86" w:rsidRDefault="00C96C86" w:rsidP="009810F8">
            <w:pPr>
              <w:jc w:val="center"/>
              <w:rPr>
                <w:bCs/>
                <w:i/>
                <w:iCs/>
              </w:rPr>
            </w:pPr>
          </w:p>
        </w:tc>
        <w:tc>
          <w:tcPr>
            <w:tcW w:w="7054" w:type="dxa"/>
          </w:tcPr>
          <w:p w:rsidR="00FC35C2" w:rsidRPr="00E10565" w:rsidRDefault="00A708B0">
            <w:pPr>
              <w:rPr>
                <w:b/>
              </w:rPr>
            </w:pPr>
            <w:r>
              <w:rPr>
                <w:b/>
              </w:rPr>
              <w:t>Kérdések és válaszok – moderátor: Baráth Etele</w:t>
            </w:r>
            <w:r>
              <w:t>, az EGSZB Európa 2020 irányítóbizottságának elnöke</w:t>
            </w:r>
          </w:p>
        </w:tc>
      </w:tr>
      <w:tr w:rsidR="00866437">
        <w:tc>
          <w:tcPr>
            <w:tcW w:w="2235" w:type="dxa"/>
            <w:shd w:val="clear" w:color="auto" w:fill="DBE5F1" w:themeFill="accent1" w:themeFillTint="33"/>
          </w:tcPr>
          <w:p w:rsidR="00BA31B6" w:rsidRPr="00E10565" w:rsidRDefault="00BA31B6" w:rsidP="00ED3DF8">
            <w:pPr>
              <w:rPr>
                <w:rFonts w:eastAsia="Calibri"/>
                <w:b/>
              </w:rPr>
            </w:pPr>
            <w:r>
              <w:rPr>
                <w:b/>
              </w:rPr>
              <w:t>16.30–16.45</w:t>
            </w:r>
          </w:p>
        </w:tc>
        <w:tc>
          <w:tcPr>
            <w:tcW w:w="7054" w:type="dxa"/>
            <w:shd w:val="clear" w:color="auto" w:fill="DBE5F1" w:themeFill="accent1" w:themeFillTint="33"/>
          </w:tcPr>
          <w:p w:rsidR="00890B0C" w:rsidRPr="00E10565" w:rsidRDefault="008175E3" w:rsidP="00ED3DF8">
            <w:pPr>
              <w:rPr>
                <w:b/>
              </w:rPr>
            </w:pPr>
            <w:r>
              <w:rPr>
                <w:b/>
              </w:rPr>
              <w:t>Kávészünet</w:t>
            </w:r>
          </w:p>
        </w:tc>
      </w:tr>
      <w:tr w:rsidR="00866437">
        <w:tc>
          <w:tcPr>
            <w:tcW w:w="2235" w:type="dxa"/>
          </w:tcPr>
          <w:p w:rsidR="00890B0C" w:rsidRPr="00E10565" w:rsidRDefault="00890B0C" w:rsidP="00ED3DF8">
            <w:pPr>
              <w:rPr>
                <w:rFonts w:eastAsia="Calibri"/>
                <w:b/>
              </w:rPr>
            </w:pPr>
          </w:p>
          <w:p w:rsidR="00A708B0" w:rsidRDefault="007372BD" w:rsidP="00ED3DF8">
            <w:pPr>
              <w:rPr>
                <w:rFonts w:eastAsia="Calibri"/>
                <w:b/>
              </w:rPr>
            </w:pPr>
            <w:r>
              <w:rPr>
                <w:b/>
              </w:rPr>
              <w:t>16.45–17.30</w:t>
            </w:r>
          </w:p>
          <w:p w:rsidR="001674A7" w:rsidRPr="0032470B" w:rsidRDefault="001674A7" w:rsidP="009810F8">
            <w:pPr>
              <w:jc w:val="center"/>
              <w:rPr>
                <w:rFonts w:eastAsia="Calibri"/>
                <w:bCs/>
                <w:i/>
                <w:iCs/>
              </w:rPr>
            </w:pPr>
          </w:p>
        </w:tc>
        <w:tc>
          <w:tcPr>
            <w:tcW w:w="7054" w:type="dxa"/>
          </w:tcPr>
          <w:p w:rsidR="00890B0C" w:rsidRPr="00E10565" w:rsidRDefault="00890B0C" w:rsidP="00ED3DF8">
            <w:pPr>
              <w:rPr>
                <w:b/>
              </w:rPr>
            </w:pPr>
          </w:p>
          <w:p w:rsidR="00FE68D9" w:rsidRPr="009810F8" w:rsidRDefault="00A708B0" w:rsidP="009F255D">
            <w:pPr>
              <w:rPr>
                <w:i/>
              </w:rPr>
            </w:pPr>
            <w:r>
              <w:rPr>
                <w:b/>
              </w:rPr>
              <w:t>Vita</w:t>
            </w:r>
            <w:r>
              <w:t xml:space="preserve"> a nemzeti gazdasági és szociális tanácsok képviselőivel. Téma: </w:t>
            </w:r>
            <w:r>
              <w:rPr>
                <w:i/>
              </w:rPr>
              <w:t>A szervezett civil társadalom és Európa jövője</w:t>
            </w:r>
            <w:r>
              <w:t xml:space="preserve">. Moderátor: </w:t>
            </w:r>
            <w:r>
              <w:rPr>
                <w:b/>
              </w:rPr>
              <w:t>Szücs Attila</w:t>
            </w:r>
            <w:r>
              <w:t>, a magyar Nemzeti Gazdasági és Társadalmi Tanács elnöke</w:t>
            </w:r>
          </w:p>
          <w:p w:rsidR="008175E3" w:rsidRPr="00FF7776" w:rsidRDefault="009B49E4" w:rsidP="00ED3DF8">
            <w:r>
              <w:t xml:space="preserve">Meghívott előadó: </w:t>
            </w:r>
          </w:p>
          <w:p w:rsidR="00ED3DF8" w:rsidRPr="00E10565" w:rsidRDefault="009B49E4" w:rsidP="0032470B">
            <w:pPr>
              <w:ind w:left="360"/>
              <w:rPr>
                <w:b/>
              </w:rPr>
            </w:pPr>
            <w:r>
              <w:rPr>
                <w:b/>
              </w:rPr>
              <w:t>Paul Fourier</w:t>
            </w:r>
            <w:r>
              <w:t xml:space="preserve">, a Francia Gazdasági, Szociális és Környezetvédelmi </w:t>
            </w:r>
            <w:r>
              <w:lastRenderedPageBreak/>
              <w:t>Tanács Általános Munkaügyi Szövetségének tagja</w:t>
            </w:r>
          </w:p>
          <w:p w:rsidR="00FF7776" w:rsidRDefault="009F255D" w:rsidP="009F255D">
            <w:pPr>
              <w:ind w:left="33"/>
              <w:rPr>
                <w:bCs/>
              </w:rPr>
            </w:pPr>
            <w:r>
              <w:t>Különböző nemzeti gazdasági és szociális tanácsok képviselői:</w:t>
            </w:r>
          </w:p>
          <w:p w:rsidR="004C698E" w:rsidRPr="004C698E" w:rsidRDefault="008277FE" w:rsidP="004C698E">
            <w:pPr>
              <w:ind w:left="317"/>
              <w:rPr>
                <w:bCs/>
              </w:rPr>
            </w:pPr>
            <w:r>
              <w:t xml:space="preserve">NGTT: Kuti László, Szendrei Róbert </w:t>
            </w:r>
          </w:p>
          <w:p w:rsidR="004C698E" w:rsidRPr="004C698E" w:rsidRDefault="008277FE" w:rsidP="004C698E">
            <w:pPr>
              <w:ind w:left="317"/>
              <w:rPr>
                <w:bCs/>
              </w:rPr>
            </w:pPr>
            <w:r>
              <w:t xml:space="preserve">Luxemburgi </w:t>
            </w:r>
            <w:proofErr w:type="spellStart"/>
            <w:r>
              <w:t>Gszt</w:t>
            </w:r>
            <w:proofErr w:type="spellEnd"/>
            <w:r>
              <w:t>: Daniel Becker</w:t>
            </w:r>
          </w:p>
          <w:p w:rsidR="003970F7" w:rsidRDefault="008277FE" w:rsidP="004C698E">
            <w:pPr>
              <w:ind w:left="317"/>
              <w:rPr>
                <w:bCs/>
              </w:rPr>
            </w:pPr>
            <w:r>
              <w:t xml:space="preserve">Spanyol </w:t>
            </w:r>
            <w:proofErr w:type="spellStart"/>
            <w:r>
              <w:t>Gszt</w:t>
            </w:r>
            <w:proofErr w:type="spellEnd"/>
            <w:r>
              <w:t xml:space="preserve">: Beatriz Martín Nieto </w:t>
            </w:r>
          </w:p>
          <w:p w:rsidR="008277FE" w:rsidRPr="00E10565" w:rsidRDefault="008277FE" w:rsidP="009810F8">
            <w:pPr>
              <w:ind w:left="317"/>
              <w:rPr>
                <w:b/>
              </w:rPr>
            </w:pPr>
            <w:r>
              <w:t xml:space="preserve">Holland </w:t>
            </w:r>
            <w:proofErr w:type="spellStart"/>
            <w:r>
              <w:t>Gszt</w:t>
            </w:r>
            <w:proofErr w:type="spellEnd"/>
            <w:r>
              <w:t>: Roland Zwiers</w:t>
            </w:r>
          </w:p>
        </w:tc>
      </w:tr>
    </w:tbl>
    <w:p w:rsidR="003970F7" w:rsidRDefault="003970F7" w:rsidP="009810F8"/>
    <w:tbl>
      <w:tblPr>
        <w:tblStyle w:val="TableGrid"/>
        <w:tblW w:w="0" w:type="auto"/>
        <w:tblLook w:val="04A0" w:firstRow="1" w:lastRow="0" w:firstColumn="1" w:lastColumn="0" w:noHBand="0" w:noVBand="1"/>
      </w:tblPr>
      <w:tblGrid>
        <w:gridCol w:w="2235"/>
        <w:gridCol w:w="7054"/>
      </w:tblGrid>
      <w:tr w:rsidR="00866437">
        <w:tc>
          <w:tcPr>
            <w:tcW w:w="9289" w:type="dxa"/>
            <w:gridSpan w:val="2"/>
            <w:tcBorders>
              <w:top w:val="nil"/>
              <w:left w:val="nil"/>
              <w:bottom w:val="nil"/>
              <w:right w:val="nil"/>
            </w:tcBorders>
            <w:shd w:val="clear" w:color="auto" w:fill="DBE5F1" w:themeFill="accent1" w:themeFillTint="33"/>
          </w:tcPr>
          <w:p w:rsidR="00A708B0" w:rsidRPr="00E10565" w:rsidRDefault="00A0290C" w:rsidP="001E2ABF">
            <w:pPr>
              <w:keepNext/>
              <w:jc w:val="center"/>
            </w:pPr>
            <w:r>
              <w:rPr>
                <w:b/>
              </w:rPr>
              <w:t>NOVEMBER 28</w:t>
            </w:r>
            <w:proofErr w:type="gramStart"/>
            <w:r>
              <w:rPr>
                <w:b/>
              </w:rPr>
              <w:t>.,</w:t>
            </w:r>
            <w:proofErr w:type="gramEnd"/>
            <w:r>
              <w:rPr>
                <w:b/>
              </w:rPr>
              <w:t xml:space="preserve"> KEDD</w:t>
            </w:r>
          </w:p>
        </w:tc>
      </w:tr>
      <w:tr w:rsidR="00866437">
        <w:tc>
          <w:tcPr>
            <w:tcW w:w="9289" w:type="dxa"/>
            <w:gridSpan w:val="2"/>
            <w:tcBorders>
              <w:top w:val="nil"/>
              <w:left w:val="nil"/>
              <w:bottom w:val="nil"/>
              <w:right w:val="nil"/>
            </w:tcBorders>
          </w:tcPr>
          <w:p w:rsidR="00A0290C" w:rsidRPr="009810F8" w:rsidRDefault="00A0290C" w:rsidP="009810F8">
            <w:pPr>
              <w:keepNext/>
              <w:jc w:val="center"/>
              <w:rPr>
                <w:b/>
              </w:rPr>
            </w:pPr>
          </w:p>
        </w:tc>
      </w:tr>
      <w:tr w:rsidR="00866437">
        <w:tc>
          <w:tcPr>
            <w:tcW w:w="2235" w:type="dxa"/>
            <w:tcBorders>
              <w:top w:val="nil"/>
              <w:left w:val="nil"/>
              <w:bottom w:val="nil"/>
              <w:right w:val="nil"/>
            </w:tcBorders>
          </w:tcPr>
          <w:p w:rsidR="00A708B0" w:rsidRPr="00E10565" w:rsidRDefault="00A708B0">
            <w:pPr>
              <w:rPr>
                <w:b/>
              </w:rPr>
            </w:pPr>
            <w:r>
              <w:rPr>
                <w:b/>
              </w:rPr>
              <w:t>8.30–9.00</w:t>
            </w:r>
          </w:p>
        </w:tc>
        <w:tc>
          <w:tcPr>
            <w:tcW w:w="7054" w:type="dxa"/>
            <w:tcBorders>
              <w:top w:val="nil"/>
              <w:left w:val="nil"/>
              <w:bottom w:val="nil"/>
              <w:right w:val="nil"/>
            </w:tcBorders>
          </w:tcPr>
          <w:p w:rsidR="00A708B0" w:rsidRPr="00E10565" w:rsidRDefault="00A708B0" w:rsidP="00ED3DF8">
            <w:r>
              <w:rPr>
                <w:b/>
              </w:rPr>
              <w:t>Érkezés és kávé</w:t>
            </w:r>
          </w:p>
        </w:tc>
      </w:tr>
      <w:tr w:rsidR="00866437">
        <w:tc>
          <w:tcPr>
            <w:tcW w:w="2235" w:type="dxa"/>
            <w:tcBorders>
              <w:top w:val="nil"/>
              <w:left w:val="nil"/>
              <w:bottom w:val="nil"/>
              <w:right w:val="nil"/>
            </w:tcBorders>
          </w:tcPr>
          <w:p w:rsidR="00A708B0" w:rsidRPr="00E10565" w:rsidRDefault="00A708B0" w:rsidP="00ED3DF8"/>
        </w:tc>
        <w:tc>
          <w:tcPr>
            <w:tcW w:w="7054" w:type="dxa"/>
            <w:tcBorders>
              <w:top w:val="nil"/>
              <w:left w:val="nil"/>
              <w:bottom w:val="nil"/>
              <w:right w:val="nil"/>
            </w:tcBorders>
          </w:tcPr>
          <w:p w:rsidR="00A708B0" w:rsidRPr="00E10565" w:rsidRDefault="00A708B0" w:rsidP="00ED3DF8"/>
        </w:tc>
      </w:tr>
      <w:tr w:rsidR="00866437">
        <w:trPr>
          <w:trHeight w:val="404"/>
        </w:trPr>
        <w:tc>
          <w:tcPr>
            <w:tcW w:w="2235" w:type="dxa"/>
            <w:tcBorders>
              <w:top w:val="nil"/>
              <w:left w:val="nil"/>
              <w:bottom w:val="nil"/>
              <w:right w:val="nil"/>
            </w:tcBorders>
          </w:tcPr>
          <w:p w:rsidR="00B74AA6" w:rsidRDefault="00B74AA6">
            <w:pPr>
              <w:rPr>
                <w:rFonts w:eastAsia="Calibri"/>
                <w:b/>
              </w:rPr>
            </w:pPr>
            <w:r>
              <w:rPr>
                <w:b/>
              </w:rPr>
              <w:t>9.00–10.45</w:t>
            </w:r>
          </w:p>
          <w:p w:rsidR="001674A7" w:rsidRPr="009810F8" w:rsidRDefault="001674A7" w:rsidP="009810F8">
            <w:pPr>
              <w:jc w:val="center"/>
              <w:rPr>
                <w:i/>
              </w:rPr>
            </w:pPr>
          </w:p>
        </w:tc>
        <w:tc>
          <w:tcPr>
            <w:tcW w:w="7054" w:type="dxa"/>
            <w:tcBorders>
              <w:top w:val="nil"/>
              <w:left w:val="nil"/>
              <w:bottom w:val="nil"/>
              <w:right w:val="nil"/>
            </w:tcBorders>
          </w:tcPr>
          <w:p w:rsidR="00B74AA6" w:rsidRPr="00E10565" w:rsidRDefault="00B74AA6" w:rsidP="00ED3DF8">
            <w:pPr>
              <w:rPr>
                <w:rFonts w:eastAsia="Calibri"/>
                <w:b/>
              </w:rPr>
            </w:pPr>
            <w:r>
              <w:rPr>
                <w:b/>
              </w:rPr>
              <w:t>1. VITAFÓRUM: MIÉRT VAN SZÜKSÉG ÚJ PROGRAMRA AZ EURÓPA 2020 STRATÉGIA UTÁN?</w:t>
            </w:r>
          </w:p>
          <w:p w:rsidR="00ED3DF8" w:rsidRPr="009810F8" w:rsidRDefault="00ED3DF8" w:rsidP="00ED3DF8">
            <w:pPr>
              <w:rPr>
                <w:rFonts w:eastAsia="Calibri"/>
                <w:b/>
                <w:sz w:val="20"/>
              </w:rPr>
            </w:pPr>
          </w:p>
        </w:tc>
      </w:tr>
      <w:tr w:rsidR="00866437">
        <w:trPr>
          <w:trHeight w:val="973"/>
        </w:trPr>
        <w:tc>
          <w:tcPr>
            <w:tcW w:w="2235" w:type="dxa"/>
            <w:tcBorders>
              <w:top w:val="nil"/>
              <w:left w:val="nil"/>
              <w:bottom w:val="nil"/>
              <w:right w:val="nil"/>
            </w:tcBorders>
          </w:tcPr>
          <w:p w:rsidR="00B74AA6" w:rsidRDefault="00B74AA6">
            <w:r>
              <w:t>9.00–9.50</w:t>
            </w:r>
          </w:p>
          <w:p w:rsidR="001674A7" w:rsidRPr="00E10565" w:rsidRDefault="001674A7" w:rsidP="009810F8">
            <w:pPr>
              <w:jc w:val="center"/>
              <w:rPr>
                <w:rFonts w:eastAsia="Calibri"/>
              </w:rPr>
            </w:pPr>
          </w:p>
        </w:tc>
        <w:tc>
          <w:tcPr>
            <w:tcW w:w="7054" w:type="dxa"/>
            <w:tcBorders>
              <w:top w:val="nil"/>
              <w:left w:val="nil"/>
              <w:bottom w:val="nil"/>
              <w:right w:val="nil"/>
            </w:tcBorders>
          </w:tcPr>
          <w:p w:rsidR="008F7A2A" w:rsidRPr="00E10565" w:rsidRDefault="00B44069" w:rsidP="00ED3DF8">
            <w:pPr>
              <w:rPr>
                <w:b/>
              </w:rPr>
            </w:pPr>
            <w:r>
              <w:rPr>
                <w:b/>
              </w:rPr>
              <w:t>Meghívott előadók:</w:t>
            </w:r>
          </w:p>
          <w:p w:rsidR="008F7A2A" w:rsidRPr="00FF7776" w:rsidRDefault="008F7A2A" w:rsidP="00ED3DF8">
            <w:pPr>
              <w:ind w:left="360"/>
              <w:rPr>
                <w:b/>
                <w:u w:val="single"/>
              </w:rPr>
            </w:pPr>
            <w:r>
              <w:rPr>
                <w:b/>
              </w:rPr>
              <w:t>Brenda King</w:t>
            </w:r>
            <w:r>
              <w:t>, az EGSZB fenntartható fejlődés megfigyelőközpontjának elnöke – bevezető és az ülés levezetése</w:t>
            </w:r>
          </w:p>
          <w:p w:rsidR="008F7A2A" w:rsidRPr="00E10565" w:rsidRDefault="00B44069" w:rsidP="00ED3DF8">
            <w:pPr>
              <w:ind w:left="360"/>
            </w:pPr>
            <w:r>
              <w:rPr>
                <w:b/>
              </w:rPr>
              <w:t>Enrico Giovannini</w:t>
            </w:r>
            <w:r>
              <w:t>, az olaszországi Szövetség a fenntartható fejlődésért igazgatója (</w:t>
            </w:r>
            <w:proofErr w:type="spellStart"/>
            <w:r>
              <w:t>Skype-on</w:t>
            </w:r>
            <w:proofErr w:type="spellEnd"/>
            <w:r>
              <w:t xml:space="preserve"> keresztül)</w:t>
            </w:r>
          </w:p>
          <w:p w:rsidR="00B44069" w:rsidRPr="009810F8" w:rsidRDefault="00B44069" w:rsidP="009810F8">
            <w:pPr>
              <w:ind w:left="360"/>
              <w:rPr>
                <w:b/>
                <w:strike/>
              </w:rPr>
            </w:pPr>
            <w:r>
              <w:rPr>
                <w:b/>
              </w:rPr>
              <w:t>Balázs Péter</w:t>
            </w:r>
            <w:r>
              <w:t>, a Közép-európai Egyetem professzora, korábban a regionális politikáért felelős európai biztos</w:t>
            </w:r>
          </w:p>
        </w:tc>
      </w:tr>
      <w:tr w:rsidR="00866437">
        <w:tc>
          <w:tcPr>
            <w:tcW w:w="2235" w:type="dxa"/>
            <w:tcBorders>
              <w:top w:val="nil"/>
              <w:left w:val="nil"/>
              <w:bottom w:val="nil"/>
              <w:right w:val="nil"/>
            </w:tcBorders>
          </w:tcPr>
          <w:p w:rsidR="00BB449C" w:rsidRDefault="00BB449C" w:rsidP="00ED3DF8">
            <w:r>
              <w:t>9.50–10.45</w:t>
            </w:r>
          </w:p>
          <w:p w:rsidR="001674A7" w:rsidRPr="00E10565" w:rsidRDefault="001674A7" w:rsidP="009810F8">
            <w:pPr>
              <w:jc w:val="center"/>
            </w:pPr>
          </w:p>
        </w:tc>
        <w:tc>
          <w:tcPr>
            <w:tcW w:w="7054" w:type="dxa"/>
            <w:tcBorders>
              <w:top w:val="nil"/>
              <w:left w:val="nil"/>
              <w:bottom w:val="nil"/>
              <w:right w:val="nil"/>
            </w:tcBorders>
          </w:tcPr>
          <w:p w:rsidR="008F7A2A" w:rsidRPr="00E10565" w:rsidRDefault="0028625E" w:rsidP="00ED3DF8">
            <w:pPr>
              <w:pStyle w:val="ListParagraph"/>
              <w:ind w:left="0"/>
              <w:rPr>
                <w:szCs w:val="22"/>
              </w:rPr>
            </w:pPr>
            <w:r>
              <w:rPr>
                <w:b/>
              </w:rPr>
              <w:t>Résztvevők:</w:t>
            </w:r>
          </w:p>
          <w:p w:rsidR="007E2C98" w:rsidRPr="00FF7776" w:rsidRDefault="007E2C98" w:rsidP="00ED3DF8">
            <w:pPr>
              <w:ind w:left="360"/>
              <w:rPr>
                <w:b/>
              </w:rPr>
            </w:pPr>
            <w:r>
              <w:rPr>
                <w:b/>
              </w:rPr>
              <w:t xml:space="preserve">Moderátor: </w:t>
            </w:r>
            <w:proofErr w:type="spellStart"/>
            <w:r>
              <w:rPr>
                <w:b/>
              </w:rPr>
              <w:t>Halm</w:t>
            </w:r>
            <w:proofErr w:type="spellEnd"/>
            <w:r>
              <w:rPr>
                <w:b/>
              </w:rPr>
              <w:t xml:space="preserve"> Tamás</w:t>
            </w:r>
            <w:r>
              <w:t>, a Magyar Közgazdasági Társaság elnökségi tagja</w:t>
            </w:r>
            <w:r>
              <w:rPr>
                <w:b/>
              </w:rPr>
              <w:t xml:space="preserve"> </w:t>
            </w:r>
          </w:p>
          <w:p w:rsidR="008F7A2A" w:rsidRPr="00FF7776" w:rsidRDefault="008F7A2A" w:rsidP="00ED3DF8">
            <w:pPr>
              <w:ind w:left="360"/>
            </w:pPr>
            <w:r>
              <w:rPr>
                <w:b/>
              </w:rPr>
              <w:t>Kőrösi Csaba</w:t>
            </w:r>
            <w:r>
              <w:t>, a Köztársasági Elnöki Hivatal Környezeti Fenntarthatóság Igazgatóságának igazgatója</w:t>
            </w:r>
          </w:p>
          <w:p w:rsidR="006D7684" w:rsidRPr="00FF7776" w:rsidRDefault="00BB449C" w:rsidP="008B0C06">
            <w:pPr>
              <w:ind w:left="360"/>
            </w:pPr>
            <w:r>
              <w:rPr>
                <w:b/>
              </w:rPr>
              <w:t>Juraj Sipko</w:t>
            </w:r>
            <w:r>
              <w:t xml:space="preserve">, az EGSZB tagja </w:t>
            </w:r>
          </w:p>
          <w:p w:rsidR="006D7684" w:rsidRPr="00E10565" w:rsidRDefault="006D7684" w:rsidP="009810F8">
            <w:pPr>
              <w:ind w:left="360"/>
            </w:pPr>
            <w:r>
              <w:rPr>
                <w:b/>
              </w:rPr>
              <w:t>Bartus Gábor</w:t>
            </w:r>
            <w:r>
              <w:t>, a Nemzeti Fenntartható Fejlődés Tanácsának főtitkára</w:t>
            </w:r>
          </w:p>
        </w:tc>
      </w:tr>
      <w:tr w:rsidR="00866437">
        <w:tc>
          <w:tcPr>
            <w:tcW w:w="2235" w:type="dxa"/>
            <w:tcBorders>
              <w:top w:val="nil"/>
              <w:left w:val="nil"/>
              <w:bottom w:val="nil"/>
              <w:right w:val="nil"/>
            </w:tcBorders>
          </w:tcPr>
          <w:p w:rsidR="00A708B0" w:rsidRDefault="00A708B0" w:rsidP="00ED3DF8"/>
          <w:p w:rsidR="001674A7" w:rsidRPr="009810F8" w:rsidRDefault="001674A7" w:rsidP="009810F8">
            <w:pPr>
              <w:jc w:val="center"/>
              <w:rPr>
                <w:i/>
              </w:rPr>
            </w:pPr>
          </w:p>
        </w:tc>
        <w:tc>
          <w:tcPr>
            <w:tcW w:w="7054" w:type="dxa"/>
            <w:tcBorders>
              <w:top w:val="nil"/>
              <w:left w:val="nil"/>
              <w:bottom w:val="nil"/>
              <w:right w:val="nil"/>
            </w:tcBorders>
          </w:tcPr>
          <w:p w:rsidR="00315E7F" w:rsidRPr="00E10565" w:rsidRDefault="00315E7F" w:rsidP="00ED3DF8">
            <w:pPr>
              <w:rPr>
                <w:b/>
              </w:rPr>
            </w:pPr>
          </w:p>
          <w:p w:rsidR="00A708B0" w:rsidRPr="00E10565" w:rsidRDefault="00E92C78" w:rsidP="00610394">
            <w:pPr>
              <w:rPr>
                <w:b/>
              </w:rPr>
            </w:pPr>
            <w:r>
              <w:rPr>
                <w:b/>
              </w:rPr>
              <w:t>Nyílt vita és írásbeli hozzászólások élőben a részt vevő egyetemek diákjaitól</w:t>
            </w:r>
            <w:r w:rsidR="00610394">
              <w:rPr>
                <w:b/>
              </w:rPr>
              <w:t xml:space="preserve">: </w:t>
            </w:r>
            <w:r w:rsidR="00610394" w:rsidRPr="0010187B">
              <w:t xml:space="preserve">Budapest Business </w:t>
            </w:r>
            <w:proofErr w:type="spellStart"/>
            <w:r w:rsidR="00610394" w:rsidRPr="0010187B">
              <w:t>School</w:t>
            </w:r>
            <w:proofErr w:type="spellEnd"/>
            <w:r w:rsidR="00610394" w:rsidRPr="0010187B">
              <w:t xml:space="preserve"> (Budapesti Gazdasági Egyetem)</w:t>
            </w:r>
            <w:r w:rsidR="00610394">
              <w:t>;</w:t>
            </w:r>
            <w:r w:rsidR="00610394" w:rsidRPr="0010187B">
              <w:t xml:space="preserve"> Pázmány Péter </w:t>
            </w:r>
            <w:proofErr w:type="spellStart"/>
            <w:r w:rsidR="00610394" w:rsidRPr="0010187B">
              <w:t>Catholic</w:t>
            </w:r>
            <w:proofErr w:type="spellEnd"/>
            <w:r w:rsidR="00610394" w:rsidRPr="0010187B">
              <w:t xml:space="preserve"> University</w:t>
            </w:r>
            <w:r w:rsidR="00610394">
              <w:t xml:space="preserve">, </w:t>
            </w:r>
            <w:r w:rsidR="00610394" w:rsidRPr="0010187B">
              <w:t>Budapest</w:t>
            </w:r>
            <w:r w:rsidR="00610394">
              <w:t>;</w:t>
            </w:r>
            <w:r w:rsidR="00610394" w:rsidRPr="0010187B">
              <w:t xml:space="preserve"> Debreceni Tudományegyetem</w:t>
            </w:r>
            <w:r w:rsidR="00610394">
              <w:t xml:space="preserve">, </w:t>
            </w:r>
            <w:r w:rsidR="00610394" w:rsidRPr="0010187B">
              <w:t>Debrecen</w:t>
            </w:r>
            <w:r w:rsidR="00610394">
              <w:t xml:space="preserve">; </w:t>
            </w:r>
            <w:r w:rsidR="00610394" w:rsidRPr="0010187B">
              <w:t>Nationa</w:t>
            </w:r>
            <w:r w:rsidR="00610394">
              <w:t>l University of Public Service, Budapest (</w:t>
            </w:r>
            <w:r w:rsidR="00610394" w:rsidRPr="0010187B">
              <w:t>Nemzeti Közszolgálati Egyetem</w:t>
            </w:r>
            <w:r w:rsidR="00610394">
              <w:t>).</w:t>
            </w:r>
            <w:r>
              <w:rPr>
                <w:b/>
              </w:rPr>
              <w:t xml:space="preserve"> </w:t>
            </w:r>
          </w:p>
        </w:tc>
      </w:tr>
      <w:tr w:rsidR="00866437">
        <w:tc>
          <w:tcPr>
            <w:tcW w:w="9289" w:type="dxa"/>
            <w:gridSpan w:val="2"/>
            <w:tcBorders>
              <w:top w:val="nil"/>
              <w:left w:val="nil"/>
              <w:bottom w:val="nil"/>
              <w:right w:val="nil"/>
            </w:tcBorders>
          </w:tcPr>
          <w:p w:rsidR="004A10A2" w:rsidRPr="00E10565" w:rsidRDefault="004A10A2" w:rsidP="00ED3DF8"/>
        </w:tc>
      </w:tr>
      <w:tr w:rsidR="00866437">
        <w:trPr>
          <w:trHeight w:val="1418"/>
        </w:trPr>
        <w:tc>
          <w:tcPr>
            <w:tcW w:w="9289" w:type="dxa"/>
            <w:gridSpan w:val="2"/>
            <w:tcBorders>
              <w:top w:val="nil"/>
              <w:left w:val="nil"/>
              <w:bottom w:val="nil"/>
              <w:right w:val="nil"/>
            </w:tcBorders>
          </w:tcPr>
          <w:p w:rsidR="00E92C78" w:rsidRPr="00E10565" w:rsidRDefault="00E92C78" w:rsidP="00ED3DF8">
            <w:r>
              <w:t xml:space="preserve">Az </w:t>
            </w:r>
            <w:r>
              <w:rPr>
                <w:b/>
              </w:rPr>
              <w:t>első vitafórum</w:t>
            </w:r>
            <w:r>
              <w:t xml:space="preserve"> főbb témái az alábbiak:</w:t>
            </w:r>
          </w:p>
          <w:p w:rsidR="00AF61E9" w:rsidRDefault="00AF61E9" w:rsidP="00AF61E9">
            <w:pPr>
              <w:pStyle w:val="ListParagraph"/>
              <w:numPr>
                <w:ilvl w:val="0"/>
                <w:numId w:val="4"/>
              </w:numPr>
              <w:rPr>
                <w:szCs w:val="22"/>
              </w:rPr>
            </w:pPr>
            <w:r>
              <w:t>Az Európa 2020 stratégia erősségeinek és kihívásainak elemzése;</w:t>
            </w:r>
          </w:p>
          <w:p w:rsidR="00A95C77" w:rsidRPr="00610394" w:rsidRDefault="00AF61E9" w:rsidP="006B3B81">
            <w:pPr>
              <w:pStyle w:val="ListParagraph"/>
              <w:numPr>
                <w:ilvl w:val="0"/>
                <w:numId w:val="4"/>
              </w:numPr>
              <w:rPr>
                <w:szCs w:val="22"/>
              </w:rPr>
            </w:pPr>
            <w:r>
              <w:t>Egy 2020 utáni koherens, horizontális uniós fejlesztési stratégia szükségessége a jövőt tekintve;</w:t>
            </w:r>
          </w:p>
          <w:p w:rsidR="00610394" w:rsidRDefault="00610394" w:rsidP="006B3B81">
            <w:pPr>
              <w:pStyle w:val="ListParagraph"/>
              <w:numPr>
                <w:ilvl w:val="0"/>
                <w:numId w:val="4"/>
              </w:numPr>
              <w:rPr>
                <w:szCs w:val="22"/>
              </w:rPr>
            </w:pPr>
            <w:r>
              <w:t xml:space="preserve">A jövőbeli horizontális uniós stratégia </w:t>
            </w:r>
            <w:r w:rsidRPr="00706FD2">
              <w:t>fenntartható fejlesztési célok</w:t>
            </w:r>
            <w:r>
              <w:t xml:space="preserve"> formájában történő meghatározása, különös hangsúlyt helyezve a növekedés és a munkahelyteremtés szociális aspektusaira.</w:t>
            </w:r>
          </w:p>
          <w:p w:rsidR="00BA31B6" w:rsidRPr="00E10565" w:rsidRDefault="00E92C78" w:rsidP="00706FD2">
            <w:pPr>
              <w:pStyle w:val="ListParagraph"/>
              <w:numPr>
                <w:ilvl w:val="0"/>
                <w:numId w:val="4"/>
              </w:numPr>
            </w:pPr>
            <w:r>
              <w:lastRenderedPageBreak/>
              <w:t>Új paradigma a 2020 utáni átmenet számára.</w:t>
            </w:r>
          </w:p>
        </w:tc>
      </w:tr>
    </w:tbl>
    <w:p w:rsidR="00B74AA6" w:rsidRPr="00E10565" w:rsidRDefault="00B74AA6" w:rsidP="00ED3DF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2235"/>
        <w:gridCol w:w="7054"/>
      </w:tblGrid>
      <w:tr w:rsidR="00866437">
        <w:tc>
          <w:tcPr>
            <w:tcW w:w="2235" w:type="dxa"/>
            <w:shd w:val="clear" w:color="auto" w:fill="DBE5F1" w:themeFill="accent1" w:themeFillTint="33"/>
          </w:tcPr>
          <w:p w:rsidR="00B74AA6" w:rsidRPr="001E2ABF" w:rsidRDefault="00B74AA6">
            <w:pPr>
              <w:rPr>
                <w:b/>
              </w:rPr>
            </w:pPr>
            <w:r>
              <w:rPr>
                <w:b/>
              </w:rPr>
              <w:t>10.45–11.00</w:t>
            </w:r>
          </w:p>
        </w:tc>
        <w:tc>
          <w:tcPr>
            <w:tcW w:w="7054" w:type="dxa"/>
            <w:shd w:val="clear" w:color="auto" w:fill="DBE5F1" w:themeFill="accent1" w:themeFillTint="33"/>
          </w:tcPr>
          <w:p w:rsidR="00B74AA6" w:rsidRPr="00E10565" w:rsidRDefault="008F7A2A" w:rsidP="00ED3DF8">
            <w:pPr>
              <w:rPr>
                <w:b/>
              </w:rPr>
            </w:pPr>
            <w:r>
              <w:rPr>
                <w:b/>
              </w:rPr>
              <w:t>Kávészünet</w:t>
            </w:r>
          </w:p>
        </w:tc>
      </w:tr>
    </w:tbl>
    <w:p w:rsidR="00B44069" w:rsidRPr="00E10565" w:rsidRDefault="00B44069" w:rsidP="00ED3DF8"/>
    <w:tbl>
      <w:tblPr>
        <w:tblStyle w:val="TableGrid"/>
        <w:tblW w:w="0" w:type="auto"/>
        <w:tblLook w:val="04A0" w:firstRow="1" w:lastRow="0" w:firstColumn="1" w:lastColumn="0" w:noHBand="0" w:noVBand="1"/>
      </w:tblPr>
      <w:tblGrid>
        <w:gridCol w:w="2376"/>
        <w:gridCol w:w="6911"/>
      </w:tblGrid>
      <w:tr w:rsidR="00866437">
        <w:trPr>
          <w:trHeight w:val="404"/>
        </w:trPr>
        <w:tc>
          <w:tcPr>
            <w:tcW w:w="2376" w:type="dxa"/>
            <w:tcBorders>
              <w:top w:val="nil"/>
              <w:left w:val="nil"/>
              <w:bottom w:val="nil"/>
              <w:right w:val="nil"/>
            </w:tcBorders>
          </w:tcPr>
          <w:p w:rsidR="00ED4EF3" w:rsidRPr="001E2ABF" w:rsidRDefault="00ED4EF3" w:rsidP="001E2ABF">
            <w:pPr>
              <w:keepNext/>
              <w:rPr>
                <w:rFonts w:eastAsia="Calibri"/>
                <w:b/>
              </w:rPr>
            </w:pPr>
            <w:r>
              <w:rPr>
                <w:b/>
              </w:rPr>
              <w:t>11.00–12.45</w:t>
            </w:r>
          </w:p>
          <w:p w:rsidR="00ED4EF3" w:rsidRPr="001E2ABF" w:rsidRDefault="00ED4EF3" w:rsidP="009810F8">
            <w:pPr>
              <w:keepNext/>
              <w:jc w:val="center"/>
              <w:rPr>
                <w:b/>
              </w:rPr>
            </w:pPr>
          </w:p>
        </w:tc>
        <w:tc>
          <w:tcPr>
            <w:tcW w:w="6911" w:type="dxa"/>
            <w:tcBorders>
              <w:top w:val="nil"/>
              <w:left w:val="nil"/>
              <w:bottom w:val="nil"/>
              <w:right w:val="nil"/>
            </w:tcBorders>
          </w:tcPr>
          <w:p w:rsidR="00ED4EF3" w:rsidRPr="00E10565" w:rsidRDefault="00ED4EF3" w:rsidP="001E2ABF">
            <w:pPr>
              <w:keepNext/>
              <w:rPr>
                <w:rFonts w:eastAsia="Calibri"/>
                <w:b/>
              </w:rPr>
            </w:pPr>
            <w:r>
              <w:rPr>
                <w:b/>
              </w:rPr>
              <w:t>2. VITAFÓRUM: ÚJ TRENDEK AZ ÁTALAKULÓ TÁRSADALMAKBAN</w:t>
            </w:r>
          </w:p>
          <w:p w:rsidR="00ED3DF8" w:rsidRPr="009810F8" w:rsidRDefault="00ED3DF8" w:rsidP="009810F8">
            <w:pPr>
              <w:keepNext/>
              <w:rPr>
                <w:rFonts w:eastAsia="Calibri"/>
                <w:b/>
              </w:rPr>
            </w:pPr>
          </w:p>
        </w:tc>
      </w:tr>
      <w:tr w:rsidR="00866437">
        <w:trPr>
          <w:trHeight w:val="403"/>
        </w:trPr>
        <w:tc>
          <w:tcPr>
            <w:tcW w:w="2376" w:type="dxa"/>
            <w:tcBorders>
              <w:top w:val="nil"/>
              <w:left w:val="nil"/>
              <w:bottom w:val="nil"/>
              <w:right w:val="nil"/>
            </w:tcBorders>
          </w:tcPr>
          <w:p w:rsidR="00ED4EF3" w:rsidRDefault="008175E3">
            <w:pPr>
              <w:rPr>
                <w:rFonts w:eastAsia="Calibri"/>
              </w:rPr>
            </w:pPr>
            <w:r>
              <w:t>11.00–11.</w:t>
            </w:r>
            <w:r w:rsidR="00F14334">
              <w:t>3</w:t>
            </w:r>
            <w:r>
              <w:t>0</w:t>
            </w:r>
          </w:p>
          <w:p w:rsidR="0032470B" w:rsidRPr="001E2ABF" w:rsidRDefault="0032470B" w:rsidP="009810F8">
            <w:pPr>
              <w:jc w:val="center"/>
              <w:rPr>
                <w:rFonts w:eastAsia="Calibri"/>
              </w:rPr>
            </w:pPr>
          </w:p>
        </w:tc>
        <w:tc>
          <w:tcPr>
            <w:tcW w:w="6911" w:type="dxa"/>
            <w:tcBorders>
              <w:top w:val="nil"/>
              <w:left w:val="nil"/>
              <w:bottom w:val="nil"/>
              <w:right w:val="nil"/>
            </w:tcBorders>
          </w:tcPr>
          <w:p w:rsidR="00ED4EF3" w:rsidRPr="00E10565" w:rsidRDefault="00B44069" w:rsidP="00ED3DF8">
            <w:pPr>
              <w:rPr>
                <w:b/>
              </w:rPr>
            </w:pPr>
            <w:r>
              <w:rPr>
                <w:b/>
              </w:rPr>
              <w:t>Meghívott előadók:</w:t>
            </w:r>
          </w:p>
          <w:p w:rsidR="00FF7776" w:rsidRPr="009F255D" w:rsidRDefault="00ED4EF3" w:rsidP="009F255D">
            <w:pPr>
              <w:ind w:left="360"/>
              <w:rPr>
                <w:i/>
              </w:rPr>
            </w:pPr>
            <w:r>
              <w:rPr>
                <w:b/>
              </w:rPr>
              <w:t>Pavel Trantina</w:t>
            </w:r>
            <w:r>
              <w:t>, az EGSZB „Foglalkoztatás, szociálpolitika, uniós polgárság” (SOC) szekciójának elnöke – bevezető és az ülés levezetése</w:t>
            </w:r>
          </w:p>
          <w:p w:rsidR="00E4562A" w:rsidRPr="004C698E" w:rsidRDefault="00E4562A" w:rsidP="004C698E">
            <w:pPr>
              <w:ind w:left="360"/>
              <w:rPr>
                <w:bCs/>
              </w:rPr>
            </w:pPr>
            <w:r>
              <w:rPr>
                <w:b/>
              </w:rPr>
              <w:t>Seamus Boland</w:t>
            </w:r>
            <w:r>
              <w:t>, az EGSZB tagja</w:t>
            </w:r>
          </w:p>
          <w:p w:rsidR="005D08DF" w:rsidRPr="005D08DF" w:rsidRDefault="00985AC4" w:rsidP="009810F8">
            <w:pPr>
              <w:ind w:left="360"/>
            </w:pPr>
            <w:r>
              <w:rPr>
                <w:b/>
              </w:rPr>
              <w:t>Anne Demelenne</w:t>
            </w:r>
            <w:r>
              <w:t>, az EGSZB tagja</w:t>
            </w:r>
          </w:p>
        </w:tc>
      </w:tr>
      <w:tr w:rsidR="00866437">
        <w:tc>
          <w:tcPr>
            <w:tcW w:w="2376" w:type="dxa"/>
            <w:tcBorders>
              <w:top w:val="nil"/>
              <w:left w:val="nil"/>
              <w:bottom w:val="nil"/>
              <w:right w:val="nil"/>
            </w:tcBorders>
          </w:tcPr>
          <w:p w:rsidR="00B74AA6" w:rsidRDefault="00B74AA6" w:rsidP="00ED3DF8">
            <w:r>
              <w:t>11.</w:t>
            </w:r>
            <w:r w:rsidR="00F14334">
              <w:t>3</w:t>
            </w:r>
            <w:r>
              <w:t>0–12.45</w:t>
            </w:r>
          </w:p>
          <w:p w:rsidR="0032470B" w:rsidRDefault="0032470B" w:rsidP="00ED3DF8"/>
          <w:p w:rsidR="0032470B" w:rsidRPr="001E2ABF" w:rsidRDefault="0032470B" w:rsidP="0032470B"/>
        </w:tc>
        <w:tc>
          <w:tcPr>
            <w:tcW w:w="6911" w:type="dxa"/>
            <w:tcBorders>
              <w:top w:val="nil"/>
              <w:left w:val="nil"/>
              <w:bottom w:val="nil"/>
              <w:right w:val="nil"/>
            </w:tcBorders>
          </w:tcPr>
          <w:p w:rsidR="008F7A2A" w:rsidRPr="00E10565" w:rsidRDefault="0028625E" w:rsidP="00ED3DF8">
            <w:pPr>
              <w:rPr>
                <w:b/>
              </w:rPr>
            </w:pPr>
            <w:r>
              <w:rPr>
                <w:b/>
              </w:rPr>
              <w:t>Résztvevők:</w:t>
            </w:r>
          </w:p>
          <w:p w:rsidR="007E2C98" w:rsidRPr="00C82ED6" w:rsidRDefault="007E2C98" w:rsidP="00ED3DF8">
            <w:pPr>
              <w:ind w:left="360"/>
              <w:rPr>
                <w:b/>
              </w:rPr>
            </w:pPr>
            <w:r>
              <w:rPr>
                <w:b/>
              </w:rPr>
              <w:t xml:space="preserve">Moderátor: </w:t>
            </w:r>
            <w:proofErr w:type="spellStart"/>
            <w:r>
              <w:rPr>
                <w:b/>
              </w:rPr>
              <w:t>Halm</w:t>
            </w:r>
            <w:proofErr w:type="spellEnd"/>
            <w:r>
              <w:rPr>
                <w:b/>
              </w:rPr>
              <w:t xml:space="preserve"> Tamás</w:t>
            </w:r>
            <w:r>
              <w:t>, a Magyar Közgazdasági Társaság elnökségi tagja</w:t>
            </w:r>
          </w:p>
          <w:p w:rsidR="00B74AA6" w:rsidRPr="00E10565" w:rsidRDefault="00B74AA6" w:rsidP="00ED3DF8">
            <w:pPr>
              <w:ind w:left="360"/>
            </w:pPr>
            <w:r>
              <w:rPr>
                <w:b/>
              </w:rPr>
              <w:t>Petri Bernadett</w:t>
            </w:r>
            <w:r>
              <w:t xml:space="preserve">, </w:t>
            </w:r>
            <w:proofErr w:type="spellStart"/>
            <w:r>
              <w:t>Navracsics</w:t>
            </w:r>
            <w:proofErr w:type="spellEnd"/>
            <w:r>
              <w:t xml:space="preserve"> Tibor európai biztos kabinetjének szakpolitikai asszisztense</w:t>
            </w:r>
          </w:p>
          <w:p w:rsidR="00B74AA6" w:rsidRPr="006B7D2E" w:rsidRDefault="00B74AA6" w:rsidP="00E63F6C">
            <w:pPr>
              <w:ind w:left="360"/>
            </w:pPr>
            <w:r>
              <w:rPr>
                <w:b/>
              </w:rPr>
              <w:t>Stefano Palmieri</w:t>
            </w:r>
            <w:r>
              <w:t xml:space="preserve">, az EGSZB tagja </w:t>
            </w:r>
          </w:p>
          <w:p w:rsidR="00FF7776" w:rsidRPr="004C698E" w:rsidRDefault="00E4562A" w:rsidP="004C698E">
            <w:pPr>
              <w:ind w:left="360"/>
              <w:rPr>
                <w:b/>
              </w:rPr>
            </w:pPr>
            <w:r>
              <w:rPr>
                <w:b/>
              </w:rPr>
              <w:t>Joó Kinga</w:t>
            </w:r>
            <w:r>
              <w:t>, az EGSZB tagja</w:t>
            </w:r>
          </w:p>
          <w:p w:rsidR="003263EB" w:rsidRPr="00985AC4" w:rsidRDefault="00985AC4" w:rsidP="009810F8">
            <w:pPr>
              <w:ind w:left="360"/>
            </w:pPr>
            <w:r>
              <w:rPr>
                <w:b/>
              </w:rPr>
              <w:t>Stéphane Buffetaut</w:t>
            </w:r>
            <w:r>
              <w:t>, az EGSZB tagja</w:t>
            </w:r>
          </w:p>
        </w:tc>
      </w:tr>
      <w:tr w:rsidR="00866437">
        <w:trPr>
          <w:trHeight w:val="1022"/>
        </w:trPr>
        <w:tc>
          <w:tcPr>
            <w:tcW w:w="2376" w:type="dxa"/>
            <w:tcBorders>
              <w:top w:val="nil"/>
              <w:left w:val="nil"/>
              <w:bottom w:val="nil"/>
              <w:right w:val="nil"/>
            </w:tcBorders>
          </w:tcPr>
          <w:p w:rsidR="00B74AA6" w:rsidRPr="00E10565" w:rsidRDefault="00B74AA6" w:rsidP="00ED3DF8"/>
        </w:tc>
        <w:tc>
          <w:tcPr>
            <w:tcW w:w="6911" w:type="dxa"/>
            <w:tcBorders>
              <w:top w:val="nil"/>
              <w:left w:val="nil"/>
              <w:bottom w:val="nil"/>
              <w:right w:val="nil"/>
            </w:tcBorders>
          </w:tcPr>
          <w:p w:rsidR="00315E7F" w:rsidRPr="00E10565" w:rsidRDefault="00315E7F" w:rsidP="00ED3DF8">
            <w:pPr>
              <w:rPr>
                <w:b/>
              </w:rPr>
            </w:pPr>
          </w:p>
          <w:p w:rsidR="00B74AA6" w:rsidRPr="00E10565" w:rsidRDefault="00B74AA6" w:rsidP="00ED3DF8">
            <w:pPr>
              <w:rPr>
                <w:b/>
              </w:rPr>
            </w:pPr>
            <w:r>
              <w:rPr>
                <w:b/>
              </w:rPr>
              <w:t xml:space="preserve">Nyílt vita és írásbeli hozzászólások a részt vevő egyetemek diákjaitól </w:t>
            </w:r>
            <w:r w:rsidR="00610394" w:rsidRPr="0010187B">
              <w:t xml:space="preserve">Budapest Business </w:t>
            </w:r>
            <w:proofErr w:type="spellStart"/>
            <w:r w:rsidR="00610394" w:rsidRPr="0010187B">
              <w:t>School</w:t>
            </w:r>
            <w:proofErr w:type="spellEnd"/>
            <w:r w:rsidR="00610394" w:rsidRPr="0010187B">
              <w:t xml:space="preserve"> (Budapesti Gazdasági Egyetem)</w:t>
            </w:r>
            <w:r w:rsidR="00610394">
              <w:t>;</w:t>
            </w:r>
            <w:r w:rsidR="00610394" w:rsidRPr="0010187B">
              <w:t xml:space="preserve"> Pázmány Péter </w:t>
            </w:r>
            <w:proofErr w:type="spellStart"/>
            <w:r w:rsidR="00610394" w:rsidRPr="0010187B">
              <w:t>Catholic</w:t>
            </w:r>
            <w:proofErr w:type="spellEnd"/>
            <w:r w:rsidR="00610394" w:rsidRPr="0010187B">
              <w:t xml:space="preserve"> University</w:t>
            </w:r>
            <w:r w:rsidR="00610394">
              <w:t xml:space="preserve">, </w:t>
            </w:r>
            <w:r w:rsidR="00610394" w:rsidRPr="0010187B">
              <w:t>Budapest</w:t>
            </w:r>
            <w:r w:rsidR="00610394">
              <w:t>;</w:t>
            </w:r>
            <w:r w:rsidR="00610394" w:rsidRPr="0010187B">
              <w:t xml:space="preserve"> Debreceni Tudományegyetem</w:t>
            </w:r>
            <w:r w:rsidR="00610394">
              <w:t xml:space="preserve">, </w:t>
            </w:r>
            <w:r w:rsidR="00610394" w:rsidRPr="0010187B">
              <w:t>Debrecen</w:t>
            </w:r>
            <w:r w:rsidR="00610394">
              <w:t xml:space="preserve">; </w:t>
            </w:r>
            <w:r w:rsidR="00610394" w:rsidRPr="0010187B">
              <w:t>Nationa</w:t>
            </w:r>
            <w:r w:rsidR="00610394">
              <w:t>l University of Public Service, Budapest (</w:t>
            </w:r>
            <w:r w:rsidR="00610394" w:rsidRPr="0010187B">
              <w:t>Nemzeti Közszolgálati Egyetem</w:t>
            </w:r>
            <w:r w:rsidR="00610394">
              <w:t>).</w:t>
            </w:r>
          </w:p>
        </w:tc>
      </w:tr>
      <w:tr w:rsidR="00866437">
        <w:tc>
          <w:tcPr>
            <w:tcW w:w="9287" w:type="dxa"/>
            <w:gridSpan w:val="2"/>
            <w:tcBorders>
              <w:top w:val="nil"/>
              <w:left w:val="nil"/>
              <w:bottom w:val="nil"/>
              <w:right w:val="nil"/>
            </w:tcBorders>
          </w:tcPr>
          <w:p w:rsidR="00B74AA6" w:rsidRPr="00E10565" w:rsidRDefault="00B74AA6" w:rsidP="00ED3DF8"/>
        </w:tc>
      </w:tr>
      <w:tr w:rsidR="00866437">
        <w:trPr>
          <w:trHeight w:val="1655"/>
        </w:trPr>
        <w:tc>
          <w:tcPr>
            <w:tcW w:w="9287" w:type="dxa"/>
            <w:gridSpan w:val="2"/>
            <w:tcBorders>
              <w:top w:val="nil"/>
              <w:left w:val="nil"/>
              <w:bottom w:val="nil"/>
              <w:right w:val="nil"/>
            </w:tcBorders>
          </w:tcPr>
          <w:p w:rsidR="00B74AA6" w:rsidRPr="00E10565" w:rsidRDefault="00B74AA6" w:rsidP="00ED3DF8">
            <w:r>
              <w:t xml:space="preserve">A </w:t>
            </w:r>
            <w:r>
              <w:rPr>
                <w:b/>
              </w:rPr>
              <w:t>második vitafórum</w:t>
            </w:r>
            <w:r>
              <w:t xml:space="preserve"> főbb témái az alábbiak:</w:t>
            </w:r>
          </w:p>
          <w:p w:rsidR="00AF61E9" w:rsidRPr="009810F8" w:rsidRDefault="00AF61E9" w:rsidP="009810F8">
            <w:pPr>
              <w:pStyle w:val="ListParagraph"/>
              <w:numPr>
                <w:ilvl w:val="0"/>
                <w:numId w:val="42"/>
              </w:numPr>
            </w:pPr>
            <w:r>
              <w:t>Az Európa előtt álló, a fenntartható fejlesztési célokhoz kapcsolódó főbb kihívások a következő évtizedekben (erőforrások kimerülése, társadalmi egyenlőtlenségek, demokratikus kihívások);</w:t>
            </w:r>
          </w:p>
          <w:p w:rsidR="00A95C77" w:rsidRPr="00A95C77" w:rsidRDefault="00AF61E9" w:rsidP="00A95C77">
            <w:pPr>
              <w:pStyle w:val="ListParagraph"/>
              <w:numPr>
                <w:ilvl w:val="0"/>
                <w:numId w:val="42"/>
              </w:numPr>
            </w:pPr>
            <w:r>
              <w:t xml:space="preserve">Megatrendek: globalizáció, </w:t>
            </w:r>
            <w:proofErr w:type="spellStart"/>
            <w:r>
              <w:t>digitalizáció</w:t>
            </w:r>
            <w:proofErr w:type="spellEnd"/>
            <w:r>
              <w:t xml:space="preserve"> és felgyorsult technológiai változás;</w:t>
            </w:r>
          </w:p>
          <w:p w:rsidR="00E833BB" w:rsidRPr="009810F8" w:rsidRDefault="00AF61E9" w:rsidP="009810F8">
            <w:pPr>
              <w:pStyle w:val="ListParagraph"/>
              <w:numPr>
                <w:ilvl w:val="0"/>
                <w:numId w:val="42"/>
              </w:numPr>
            </w:pPr>
            <w:r>
              <w:t>E kihívások és megatrendek várható társadalmi-gazdasági hatásai, például a foglalkoztatás terén a tudásalapú gazdaságban.</w:t>
            </w:r>
          </w:p>
        </w:tc>
      </w:tr>
    </w:tbl>
    <w:p w:rsidR="00B74AA6" w:rsidRDefault="00B74AA6" w:rsidP="00ED3DF8"/>
    <w:p w:rsidR="00985AC4" w:rsidRDefault="00985AC4" w:rsidP="00ED3DF8"/>
    <w:p w:rsidR="00985AC4" w:rsidRPr="00E10565" w:rsidRDefault="00985AC4" w:rsidP="00ED3DF8"/>
    <w:p w:rsidR="00E833BB" w:rsidRPr="00E10565" w:rsidRDefault="00E833BB" w:rsidP="00ED3DF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2235"/>
        <w:gridCol w:w="7054"/>
      </w:tblGrid>
      <w:tr w:rsidR="00866437">
        <w:tc>
          <w:tcPr>
            <w:tcW w:w="2235" w:type="dxa"/>
            <w:shd w:val="clear" w:color="auto" w:fill="DBE5F1" w:themeFill="accent1" w:themeFillTint="33"/>
          </w:tcPr>
          <w:p w:rsidR="007D5FFF" w:rsidRPr="00E10565" w:rsidRDefault="0032470B" w:rsidP="0032470B">
            <w:pPr>
              <w:rPr>
                <w:b/>
              </w:rPr>
            </w:pPr>
            <w:r>
              <w:rPr>
                <w:b/>
              </w:rPr>
              <w:lastRenderedPageBreak/>
              <w:t>12.45–13.00</w:t>
            </w:r>
          </w:p>
        </w:tc>
        <w:tc>
          <w:tcPr>
            <w:tcW w:w="7054" w:type="dxa"/>
            <w:shd w:val="clear" w:color="auto" w:fill="DBE5F1" w:themeFill="accent1" w:themeFillTint="33"/>
          </w:tcPr>
          <w:p w:rsidR="007D5FFF" w:rsidRDefault="004C7F80" w:rsidP="00ED3DF8">
            <w:pPr>
              <w:rPr>
                <w:b/>
              </w:rPr>
            </w:pPr>
            <w:r>
              <w:rPr>
                <w:b/>
              </w:rPr>
              <w:t>Üdvözlőbeszéd:</w:t>
            </w:r>
          </w:p>
          <w:p w:rsidR="004C698E" w:rsidRPr="004C7F80" w:rsidRDefault="00985AC4" w:rsidP="00985AC4">
            <w:pPr>
              <w:rPr>
                <w:b/>
              </w:rPr>
            </w:pPr>
            <w:proofErr w:type="spellStart"/>
            <w:r>
              <w:rPr>
                <w:b/>
              </w:rPr>
              <w:t>Pleschinger</w:t>
            </w:r>
            <w:proofErr w:type="spellEnd"/>
            <w:r>
              <w:rPr>
                <w:b/>
              </w:rPr>
              <w:t xml:space="preserve"> Gyula</w:t>
            </w:r>
            <w:r>
              <w:t>, a Magyar Közgazdasági Társaság elnöke, a Monetáris Tanács tagja</w:t>
            </w:r>
          </w:p>
        </w:tc>
      </w:tr>
      <w:tr w:rsidR="00866437">
        <w:tc>
          <w:tcPr>
            <w:tcW w:w="2235" w:type="dxa"/>
            <w:shd w:val="clear" w:color="auto" w:fill="DBE5F1" w:themeFill="accent1" w:themeFillTint="33"/>
          </w:tcPr>
          <w:p w:rsidR="006C5B45" w:rsidRPr="00E10565" w:rsidRDefault="006C5B45" w:rsidP="0032470B">
            <w:pPr>
              <w:rPr>
                <w:b/>
              </w:rPr>
            </w:pPr>
            <w:r>
              <w:rPr>
                <w:b/>
              </w:rPr>
              <w:t>13.00–14.30</w:t>
            </w:r>
          </w:p>
        </w:tc>
        <w:tc>
          <w:tcPr>
            <w:tcW w:w="7054" w:type="dxa"/>
            <w:shd w:val="clear" w:color="auto" w:fill="DBE5F1" w:themeFill="accent1" w:themeFillTint="33"/>
          </w:tcPr>
          <w:p w:rsidR="006C5B45" w:rsidRPr="00E10565" w:rsidRDefault="008F7A2A" w:rsidP="00ED3DF8">
            <w:pPr>
              <w:rPr>
                <w:b/>
              </w:rPr>
            </w:pPr>
            <w:r>
              <w:rPr>
                <w:b/>
              </w:rPr>
              <w:t>Ebédszünet</w:t>
            </w:r>
          </w:p>
        </w:tc>
      </w:tr>
    </w:tbl>
    <w:p w:rsidR="00BB449C" w:rsidRDefault="00BB449C" w:rsidP="00ED3DF8"/>
    <w:p w:rsidR="008147E8" w:rsidRDefault="008147E8" w:rsidP="00ED3DF8"/>
    <w:p w:rsidR="008147E8" w:rsidRDefault="008147E8" w:rsidP="00ED3DF8"/>
    <w:p w:rsidR="008147E8" w:rsidRPr="00E10565" w:rsidRDefault="008147E8" w:rsidP="00ED3DF8"/>
    <w:p w:rsidR="00ED3DF8" w:rsidRPr="00E10565" w:rsidRDefault="00ED3DF8" w:rsidP="00ED3DF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054"/>
      </w:tblGrid>
      <w:tr w:rsidR="00866437">
        <w:trPr>
          <w:trHeight w:val="404"/>
        </w:trPr>
        <w:tc>
          <w:tcPr>
            <w:tcW w:w="2235" w:type="dxa"/>
          </w:tcPr>
          <w:p w:rsidR="007D6FB6" w:rsidRDefault="007D6FB6" w:rsidP="001E2ABF">
            <w:pPr>
              <w:keepNext/>
              <w:rPr>
                <w:rFonts w:eastAsia="Calibri"/>
                <w:b/>
              </w:rPr>
            </w:pPr>
            <w:r>
              <w:rPr>
                <w:b/>
              </w:rPr>
              <w:t>14.</w:t>
            </w:r>
            <w:r w:rsidR="00610394">
              <w:rPr>
                <w:b/>
              </w:rPr>
              <w:t>3</w:t>
            </w:r>
            <w:r>
              <w:rPr>
                <w:b/>
              </w:rPr>
              <w:t>0–15.45</w:t>
            </w:r>
          </w:p>
          <w:p w:rsidR="001674A7" w:rsidRPr="009810F8" w:rsidRDefault="001674A7" w:rsidP="009810F8">
            <w:pPr>
              <w:keepNext/>
              <w:jc w:val="center"/>
              <w:rPr>
                <w:rFonts w:eastAsia="Calibri"/>
                <w:i/>
              </w:rPr>
            </w:pPr>
          </w:p>
        </w:tc>
        <w:tc>
          <w:tcPr>
            <w:tcW w:w="7054" w:type="dxa"/>
          </w:tcPr>
          <w:p w:rsidR="007D6FB6" w:rsidRPr="00E10565" w:rsidRDefault="007D6FB6" w:rsidP="001E2ABF">
            <w:pPr>
              <w:keepNext/>
              <w:rPr>
                <w:rFonts w:eastAsia="Calibri"/>
                <w:b/>
              </w:rPr>
            </w:pPr>
            <w:r>
              <w:rPr>
                <w:b/>
              </w:rPr>
              <w:t>3. VITAFÓRUM: MILYEN ÚJ KORMÁNYZÁSI FORMÁRA VAN SZÜKSÉG?</w:t>
            </w:r>
          </w:p>
          <w:p w:rsidR="00315E7F" w:rsidRPr="009810F8" w:rsidRDefault="00315E7F" w:rsidP="009810F8">
            <w:pPr>
              <w:keepNext/>
              <w:rPr>
                <w:rFonts w:eastAsia="Calibri"/>
                <w:b/>
              </w:rPr>
            </w:pPr>
          </w:p>
        </w:tc>
      </w:tr>
      <w:tr w:rsidR="00866437">
        <w:trPr>
          <w:trHeight w:val="403"/>
        </w:trPr>
        <w:tc>
          <w:tcPr>
            <w:tcW w:w="2235" w:type="dxa"/>
          </w:tcPr>
          <w:p w:rsidR="007D6FB6" w:rsidRDefault="007D6FB6" w:rsidP="001E2ABF">
            <w:pPr>
              <w:keepNext/>
              <w:rPr>
                <w:rFonts w:eastAsia="Calibri"/>
              </w:rPr>
            </w:pPr>
            <w:r>
              <w:t>14.</w:t>
            </w:r>
            <w:r w:rsidR="00610394">
              <w:t>3</w:t>
            </w:r>
            <w:r>
              <w:t>0–1</w:t>
            </w:r>
            <w:r w:rsidR="00610394">
              <w:t>5</w:t>
            </w:r>
            <w:r>
              <w:t>.</w:t>
            </w:r>
            <w:r w:rsidR="00610394">
              <w:t>0</w:t>
            </w:r>
            <w:r>
              <w:t>0</w:t>
            </w:r>
          </w:p>
          <w:p w:rsidR="0032470B" w:rsidRPr="001E2ABF" w:rsidRDefault="0032470B" w:rsidP="009810F8">
            <w:pPr>
              <w:keepNext/>
              <w:jc w:val="center"/>
              <w:rPr>
                <w:rFonts w:eastAsia="Calibri"/>
              </w:rPr>
            </w:pPr>
          </w:p>
        </w:tc>
        <w:tc>
          <w:tcPr>
            <w:tcW w:w="7054" w:type="dxa"/>
          </w:tcPr>
          <w:p w:rsidR="007D6FB6" w:rsidRPr="00E10565" w:rsidRDefault="0028625E" w:rsidP="001E2ABF">
            <w:pPr>
              <w:keepNext/>
              <w:rPr>
                <w:i/>
                <w:strike/>
              </w:rPr>
            </w:pPr>
            <w:r>
              <w:rPr>
                <w:b/>
              </w:rPr>
              <w:t>Meghívott előadók:</w:t>
            </w:r>
          </w:p>
          <w:p w:rsidR="0028625E" w:rsidRPr="00FF7776" w:rsidRDefault="0028625E" w:rsidP="001E2ABF">
            <w:pPr>
              <w:keepNext/>
              <w:ind w:left="360"/>
              <w:rPr>
                <w:i/>
              </w:rPr>
            </w:pPr>
            <w:proofErr w:type="spellStart"/>
            <w:r>
              <w:rPr>
                <w:b/>
              </w:rPr>
              <w:t>Bod</w:t>
            </w:r>
            <w:proofErr w:type="spellEnd"/>
            <w:r>
              <w:rPr>
                <w:b/>
              </w:rPr>
              <w:t xml:space="preserve"> Péter Ákos</w:t>
            </w:r>
            <w:r>
              <w:t>, a Budapesti Corvinus Egyetem professzora, a Magyar Tudományos Akadémia tagja</w:t>
            </w:r>
          </w:p>
          <w:p w:rsidR="00FF7776" w:rsidRPr="0032470B" w:rsidRDefault="00610394">
            <w:pPr>
              <w:keepNext/>
              <w:ind w:left="360"/>
              <w:rPr>
                <w:iCs/>
              </w:rPr>
            </w:pPr>
            <w:r>
              <w:rPr>
                <w:b/>
              </w:rPr>
              <w:t>Carlos Trias Pintó</w:t>
            </w:r>
            <w:r>
              <w:t>, az EGSZB tagja</w:t>
            </w:r>
            <w:r>
              <w:rPr>
                <w:b/>
              </w:rPr>
              <w:t xml:space="preserve"> </w:t>
            </w:r>
          </w:p>
        </w:tc>
      </w:tr>
      <w:tr w:rsidR="00866437">
        <w:tc>
          <w:tcPr>
            <w:tcW w:w="2235" w:type="dxa"/>
          </w:tcPr>
          <w:p w:rsidR="0086290A" w:rsidRDefault="006C5B45" w:rsidP="00ED3DF8">
            <w:r>
              <w:t>1</w:t>
            </w:r>
            <w:r w:rsidR="00610394">
              <w:t>5</w:t>
            </w:r>
            <w:r>
              <w:t>.</w:t>
            </w:r>
            <w:r w:rsidR="00610394">
              <w:t>0</w:t>
            </w:r>
            <w:r>
              <w:t>0–15.45</w:t>
            </w:r>
          </w:p>
          <w:p w:rsidR="0032470B" w:rsidRPr="001E2ABF" w:rsidRDefault="0032470B" w:rsidP="0032470B"/>
        </w:tc>
        <w:tc>
          <w:tcPr>
            <w:tcW w:w="7054" w:type="dxa"/>
          </w:tcPr>
          <w:p w:rsidR="0086290A" w:rsidRPr="00E10565" w:rsidRDefault="0028625E" w:rsidP="00ED3DF8">
            <w:r>
              <w:rPr>
                <w:b/>
              </w:rPr>
              <w:t>Résztvevők:</w:t>
            </w:r>
          </w:p>
          <w:p w:rsidR="007E2C98" w:rsidRPr="00E10565" w:rsidRDefault="007E2C98" w:rsidP="00ED3DF8">
            <w:pPr>
              <w:ind w:left="360"/>
              <w:rPr>
                <w:b/>
              </w:rPr>
            </w:pPr>
            <w:r>
              <w:rPr>
                <w:b/>
              </w:rPr>
              <w:t xml:space="preserve">Moderátor: </w:t>
            </w:r>
            <w:proofErr w:type="spellStart"/>
            <w:r>
              <w:rPr>
                <w:b/>
              </w:rPr>
              <w:t>Halm</w:t>
            </w:r>
            <w:proofErr w:type="spellEnd"/>
            <w:r>
              <w:rPr>
                <w:b/>
              </w:rPr>
              <w:t xml:space="preserve"> Tamás</w:t>
            </w:r>
            <w:r>
              <w:t>, a Magyar Közgazdasági Társaság elnökségi tagja</w:t>
            </w:r>
          </w:p>
          <w:p w:rsidR="007D5FFF" w:rsidRDefault="007D5FFF" w:rsidP="009810F8">
            <w:pPr>
              <w:ind w:left="360"/>
            </w:pPr>
            <w:proofErr w:type="spellStart"/>
            <w:r>
              <w:rPr>
                <w:b/>
              </w:rPr>
              <w:t>Báger</w:t>
            </w:r>
            <w:proofErr w:type="spellEnd"/>
            <w:r>
              <w:rPr>
                <w:b/>
              </w:rPr>
              <w:t xml:space="preserve"> Gusztáv</w:t>
            </w:r>
            <w:r>
              <w:t>, Magyar Tudományos Akadémia</w:t>
            </w:r>
          </w:p>
          <w:p w:rsidR="00985AC4" w:rsidRPr="00E10565" w:rsidRDefault="00985AC4" w:rsidP="009810F8">
            <w:pPr>
              <w:ind w:left="360"/>
            </w:pPr>
            <w:r w:rsidRPr="00985AC4">
              <w:rPr>
                <w:b/>
                <w:bCs/>
                <w:lang w:val="en-GB"/>
              </w:rPr>
              <w:t xml:space="preserve">Tibor </w:t>
            </w:r>
            <w:proofErr w:type="spellStart"/>
            <w:r w:rsidRPr="00985AC4">
              <w:rPr>
                <w:b/>
                <w:bCs/>
                <w:lang w:val="en-GB"/>
              </w:rPr>
              <w:t>Faragó</w:t>
            </w:r>
            <w:proofErr w:type="spellEnd"/>
            <w:r w:rsidRPr="00985AC4">
              <w:rPr>
                <w:b/>
                <w:bCs/>
                <w:lang w:val="en-GB"/>
              </w:rPr>
              <w:t>,</w:t>
            </w:r>
            <w:r w:rsidRPr="00985AC4">
              <w:rPr>
                <w:lang w:val="en-GB"/>
              </w:rPr>
              <w:t xml:space="preserve"> </w:t>
            </w:r>
            <w:r w:rsidRPr="00985AC4">
              <w:rPr>
                <w:bCs/>
                <w:lang w:val="en-GB"/>
              </w:rPr>
              <w:t>Professor honoris causa at St Istvan University</w:t>
            </w:r>
          </w:p>
        </w:tc>
      </w:tr>
      <w:tr w:rsidR="00866437">
        <w:tc>
          <w:tcPr>
            <w:tcW w:w="2235" w:type="dxa"/>
          </w:tcPr>
          <w:p w:rsidR="007D5FFF" w:rsidRPr="001E2ABF" w:rsidRDefault="007D5FFF" w:rsidP="00ED3DF8"/>
        </w:tc>
        <w:tc>
          <w:tcPr>
            <w:tcW w:w="7054" w:type="dxa"/>
          </w:tcPr>
          <w:p w:rsidR="007D5FFF" w:rsidRDefault="007D5FFF" w:rsidP="00ED3DF8">
            <w:pPr>
              <w:rPr>
                <w:b/>
              </w:rPr>
            </w:pPr>
          </w:p>
          <w:p w:rsidR="007D5FFF" w:rsidRPr="00E10565" w:rsidRDefault="007D5FFF" w:rsidP="00ED3DF8">
            <w:pPr>
              <w:rPr>
                <w:b/>
              </w:rPr>
            </w:pPr>
            <w:r>
              <w:rPr>
                <w:b/>
              </w:rPr>
              <w:t>Nyílt vita</w:t>
            </w:r>
          </w:p>
        </w:tc>
      </w:tr>
      <w:tr w:rsidR="00866437">
        <w:tc>
          <w:tcPr>
            <w:tcW w:w="9289" w:type="dxa"/>
            <w:gridSpan w:val="2"/>
          </w:tcPr>
          <w:p w:rsidR="00857F87" w:rsidRPr="00E10565" w:rsidRDefault="00857F87" w:rsidP="00ED3DF8"/>
        </w:tc>
      </w:tr>
      <w:tr w:rsidR="00866437">
        <w:trPr>
          <w:trHeight w:val="3288"/>
        </w:trPr>
        <w:tc>
          <w:tcPr>
            <w:tcW w:w="9289" w:type="dxa"/>
            <w:gridSpan w:val="2"/>
          </w:tcPr>
          <w:p w:rsidR="00857F87" w:rsidRPr="00E10565" w:rsidRDefault="00857F87" w:rsidP="00315E7F">
            <w:r>
              <w:t xml:space="preserve">A </w:t>
            </w:r>
            <w:r>
              <w:rPr>
                <w:b/>
              </w:rPr>
              <w:t>harmadik vitafórum</w:t>
            </w:r>
            <w:r>
              <w:t xml:space="preserve"> főbb témái az alábbiak:</w:t>
            </w:r>
          </w:p>
          <w:p w:rsidR="00AF61E9" w:rsidRDefault="00AF61E9" w:rsidP="00AF61E9">
            <w:pPr>
              <w:pStyle w:val="ListParagraph"/>
              <w:numPr>
                <w:ilvl w:val="0"/>
                <w:numId w:val="4"/>
              </w:numPr>
              <w:rPr>
                <w:szCs w:val="22"/>
              </w:rPr>
            </w:pPr>
            <w:r>
              <w:t>Milyen szerepet játszhat a 2020 utáni horizontális stratégia egy olyan társadalom felépítésében, amilyenre az európaiak vágynak?</w:t>
            </w:r>
          </w:p>
          <w:p w:rsidR="00AF61E9" w:rsidRPr="00E10565" w:rsidRDefault="00AF61E9" w:rsidP="006B3B81">
            <w:pPr>
              <w:pStyle w:val="ListParagraph"/>
              <w:numPr>
                <w:ilvl w:val="0"/>
                <w:numId w:val="4"/>
              </w:numPr>
              <w:rPr>
                <w:szCs w:val="22"/>
              </w:rPr>
            </w:pPr>
            <w:r>
              <w:t>Milyen módszerekkel járulhat hozzá az EU ennek a változásnak a sikeréhez? (pl. szakpolitikák meghatározása és a változást segítő vagy akadályozó tényezők meghatározása)</w:t>
            </w:r>
          </w:p>
          <w:p w:rsidR="00A95C77" w:rsidRDefault="00AF61E9" w:rsidP="00AF61E9">
            <w:pPr>
              <w:pStyle w:val="ListParagraph"/>
              <w:numPr>
                <w:ilvl w:val="0"/>
                <w:numId w:val="4"/>
              </w:numPr>
              <w:rPr>
                <w:szCs w:val="22"/>
              </w:rPr>
            </w:pPr>
            <w:r>
              <w:t>Milyen szerepet kell betölteniük az uniós döntéshozatal résztvevőinek és milyen új szerep hárul a többi európai érdekcsoportra (különösen a civil társadalmi képviselőkre)?</w:t>
            </w:r>
          </w:p>
          <w:p w:rsidR="00A95C77" w:rsidRDefault="00A95C77" w:rsidP="006B3B81">
            <w:pPr>
              <w:pStyle w:val="ListParagraph"/>
              <w:numPr>
                <w:ilvl w:val="0"/>
                <w:numId w:val="4"/>
              </w:numPr>
              <w:rPr>
                <w:szCs w:val="22"/>
              </w:rPr>
            </w:pPr>
            <w:r>
              <w:t xml:space="preserve">Milyen lehetőségei vannak a nemzeti </w:t>
            </w:r>
            <w:proofErr w:type="spellStart"/>
            <w:r>
              <w:t>gszt-knek</w:t>
            </w:r>
            <w:proofErr w:type="spellEnd"/>
            <w:r>
              <w:t>, gazdasági és szociális partnereknek, valamint fenntartható fejlesztési szervezeteknek arra, hogy nagyobb mértékben hozzászóljanak a szükséges fellépésekhez?</w:t>
            </w:r>
          </w:p>
          <w:p w:rsidR="00857F87" w:rsidRPr="00A95C77" w:rsidRDefault="00AF61E9">
            <w:pPr>
              <w:pStyle w:val="ListParagraph"/>
              <w:numPr>
                <w:ilvl w:val="0"/>
                <w:numId w:val="4"/>
              </w:numPr>
              <w:rPr>
                <w:szCs w:val="22"/>
              </w:rPr>
            </w:pPr>
            <w:r>
              <w:t>Milyen kihívások elé állíthatják a jövőbeli átalakulások a részvételen alapuló kormányzást?</w:t>
            </w:r>
          </w:p>
        </w:tc>
      </w:tr>
    </w:tbl>
    <w:p w:rsidR="00610394" w:rsidRDefault="00610394" w:rsidP="00ED3DF8"/>
    <w:p w:rsidR="00FE2F0C" w:rsidRDefault="00FE2F0C" w:rsidP="00ED3DF8"/>
    <w:p w:rsidR="00FE2F0C" w:rsidRDefault="00FE2F0C" w:rsidP="00ED3DF8"/>
    <w:p w:rsidR="00FE2F0C" w:rsidRDefault="00FE2F0C" w:rsidP="00ED3DF8"/>
    <w:p w:rsidR="00FE2F0C" w:rsidRDefault="00FE2F0C" w:rsidP="00ED3DF8"/>
    <w:p w:rsidR="00FE2F0C" w:rsidRDefault="00FE2F0C" w:rsidP="00ED3DF8"/>
    <w:p w:rsidR="00FE2F0C" w:rsidRDefault="00FE2F0C" w:rsidP="00ED3DF8"/>
    <w:p w:rsidR="00FE2F0C" w:rsidRPr="00E10565" w:rsidRDefault="00FE2F0C" w:rsidP="00ED3DF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054"/>
      </w:tblGrid>
      <w:tr w:rsidR="00866437">
        <w:trPr>
          <w:trHeight w:val="404"/>
        </w:trPr>
        <w:tc>
          <w:tcPr>
            <w:tcW w:w="2235" w:type="dxa"/>
          </w:tcPr>
          <w:p w:rsidR="00857F87" w:rsidRDefault="00857F87" w:rsidP="001E2ABF">
            <w:pPr>
              <w:keepNext/>
              <w:rPr>
                <w:rFonts w:eastAsia="Calibri"/>
                <w:b/>
              </w:rPr>
            </w:pPr>
            <w:r>
              <w:rPr>
                <w:b/>
              </w:rPr>
              <w:t>16.00–17.30</w:t>
            </w:r>
          </w:p>
          <w:p w:rsidR="00526ECF" w:rsidRPr="009810F8" w:rsidRDefault="00526ECF" w:rsidP="009810F8">
            <w:pPr>
              <w:keepNext/>
              <w:jc w:val="center"/>
              <w:rPr>
                <w:i/>
              </w:rPr>
            </w:pPr>
          </w:p>
        </w:tc>
        <w:tc>
          <w:tcPr>
            <w:tcW w:w="7054" w:type="dxa"/>
          </w:tcPr>
          <w:p w:rsidR="00857F87" w:rsidRPr="00E10565" w:rsidRDefault="00857F87" w:rsidP="0024566A">
            <w:pPr>
              <w:keepNext/>
              <w:tabs>
                <w:tab w:val="left" w:pos="1876"/>
              </w:tabs>
              <w:ind w:left="2880" w:hanging="2880"/>
              <w:jc w:val="left"/>
              <w:rPr>
                <w:rFonts w:eastAsia="Calibri"/>
                <w:b/>
              </w:rPr>
            </w:pPr>
            <w:r>
              <w:rPr>
                <w:b/>
              </w:rPr>
              <w:t>KÖVETKEZTETÉSEK:</w:t>
            </w:r>
            <w:r>
              <w:tab/>
            </w:r>
            <w:r>
              <w:rPr>
                <w:b/>
              </w:rPr>
              <w:t>KÜLÖNFÉLE FORGATÓKÖNYVEK EURÓPA JÖVŐJÉRŐL</w:t>
            </w:r>
          </w:p>
          <w:p w:rsidR="00315E7F" w:rsidRPr="00E10565" w:rsidRDefault="00315E7F" w:rsidP="001E2ABF">
            <w:pPr>
              <w:keepNext/>
              <w:jc w:val="center"/>
              <w:rPr>
                <w:rFonts w:eastAsia="Calibri"/>
                <w:b/>
              </w:rPr>
            </w:pPr>
          </w:p>
        </w:tc>
      </w:tr>
      <w:tr w:rsidR="00866437">
        <w:trPr>
          <w:trHeight w:val="1764"/>
        </w:trPr>
        <w:tc>
          <w:tcPr>
            <w:tcW w:w="2235" w:type="dxa"/>
          </w:tcPr>
          <w:p w:rsidR="008175E3" w:rsidRPr="00E10565" w:rsidRDefault="00B44BB2" w:rsidP="00ED3DF8">
            <w:pPr>
              <w:rPr>
                <w:rFonts w:eastAsia="Calibri"/>
              </w:rPr>
            </w:pPr>
            <w:r>
              <w:t>16.00–17.</w:t>
            </w:r>
            <w:r w:rsidR="008447FA">
              <w:t>2</w:t>
            </w:r>
            <w:r>
              <w:t>0</w:t>
            </w:r>
          </w:p>
          <w:p w:rsidR="008175E3" w:rsidRPr="00E10565" w:rsidRDefault="008175E3" w:rsidP="00ED3DF8"/>
          <w:p w:rsidR="008175E3" w:rsidRPr="00E10565" w:rsidRDefault="008175E3" w:rsidP="009810F8">
            <w:pPr>
              <w:jc w:val="center"/>
              <w:rPr>
                <w:rFonts w:eastAsia="Calibri"/>
              </w:rPr>
            </w:pPr>
          </w:p>
        </w:tc>
        <w:tc>
          <w:tcPr>
            <w:tcW w:w="7054" w:type="dxa"/>
          </w:tcPr>
          <w:p w:rsidR="008175E3" w:rsidRPr="00E10565" w:rsidRDefault="008175E3" w:rsidP="00ED3DF8">
            <w:pPr>
              <w:rPr>
                <w:b/>
              </w:rPr>
            </w:pPr>
            <w:r>
              <w:rPr>
                <w:b/>
              </w:rPr>
              <w:t>Meghívott előadók:</w:t>
            </w:r>
          </w:p>
          <w:p w:rsidR="008175E3" w:rsidRPr="00B44BB2" w:rsidRDefault="00471CD4" w:rsidP="00B44BB2">
            <w:pPr>
              <w:ind w:left="360"/>
              <w:rPr>
                <w:b/>
              </w:rPr>
            </w:pPr>
            <w:r>
              <w:rPr>
                <w:b/>
              </w:rPr>
              <w:t>Baráth Etele</w:t>
            </w:r>
            <w:r>
              <w:t>, az EGSZB Európa 2020 irányítóbizottságának elnöke</w:t>
            </w:r>
          </w:p>
          <w:p w:rsidR="008175E3" w:rsidRPr="00FF7776" w:rsidRDefault="00A9514B" w:rsidP="00ED3DF8">
            <w:pPr>
              <w:ind w:left="360"/>
              <w:rPr>
                <w:rFonts w:eastAsia="Calibri"/>
              </w:rPr>
            </w:pPr>
            <w:proofErr w:type="spellStart"/>
            <w:r>
              <w:rPr>
                <w:b/>
              </w:rPr>
              <w:t>Zupkó</w:t>
            </w:r>
            <w:proofErr w:type="spellEnd"/>
            <w:r>
              <w:rPr>
                <w:b/>
              </w:rPr>
              <w:t xml:space="preserve"> Gábor</w:t>
            </w:r>
            <w:r>
              <w:t>, az Európai Bizottság Magyarországi Képviseletének vezetője</w:t>
            </w:r>
          </w:p>
          <w:p w:rsidR="007D5FFF" w:rsidRPr="007D5FFF" w:rsidRDefault="00616A9D" w:rsidP="009810F8">
            <w:pPr>
              <w:ind w:left="360"/>
              <w:rPr>
                <w:iCs/>
              </w:rPr>
            </w:pPr>
            <w:proofErr w:type="spellStart"/>
            <w:r>
              <w:rPr>
                <w:b/>
              </w:rPr>
              <w:t>Pleschinger</w:t>
            </w:r>
            <w:proofErr w:type="spellEnd"/>
            <w:r>
              <w:rPr>
                <w:b/>
              </w:rPr>
              <w:t xml:space="preserve"> Gyula</w:t>
            </w:r>
            <w:r>
              <w:t>, a Magyar Közgazdasági Társaság elnöke, a Monetáris Tanács tagja</w:t>
            </w:r>
          </w:p>
        </w:tc>
      </w:tr>
      <w:tr w:rsidR="00866437">
        <w:tc>
          <w:tcPr>
            <w:tcW w:w="2235" w:type="dxa"/>
          </w:tcPr>
          <w:p w:rsidR="00315E7F" w:rsidRPr="00E10565" w:rsidRDefault="00315E7F" w:rsidP="00ED3DF8">
            <w:bookmarkStart w:id="0" w:name="_GoBack"/>
            <w:bookmarkEnd w:id="0"/>
          </w:p>
          <w:p w:rsidR="00FA60AF" w:rsidRPr="00E10565" w:rsidRDefault="006C5B45" w:rsidP="00ED3DF8">
            <w:r>
              <w:t>17.20–17.30</w:t>
            </w:r>
          </w:p>
        </w:tc>
        <w:tc>
          <w:tcPr>
            <w:tcW w:w="7054" w:type="dxa"/>
          </w:tcPr>
          <w:p w:rsidR="006C5B45" w:rsidRPr="00E10565" w:rsidRDefault="006C5B45" w:rsidP="00ED3DF8">
            <w:pPr>
              <w:rPr>
                <w:b/>
              </w:rPr>
            </w:pPr>
          </w:p>
          <w:p w:rsidR="00857F87" w:rsidRPr="00E10565" w:rsidRDefault="00857F87" w:rsidP="00ED3DF8">
            <w:pPr>
              <w:rPr>
                <w:b/>
              </w:rPr>
            </w:pPr>
            <w:r>
              <w:rPr>
                <w:b/>
              </w:rPr>
              <w:t>Zárszó:</w:t>
            </w:r>
          </w:p>
          <w:p w:rsidR="00FA60AF" w:rsidRPr="00E10565" w:rsidRDefault="00FC35C2" w:rsidP="00ED3DF8">
            <w:pPr>
              <w:ind w:left="360"/>
            </w:pPr>
            <w:r>
              <w:rPr>
                <w:b/>
              </w:rPr>
              <w:t>Baráth Etele</w:t>
            </w:r>
            <w:r>
              <w:t>, az EGSZB Európa 2020 irányítóbizottságának elnöke</w:t>
            </w:r>
          </w:p>
        </w:tc>
      </w:tr>
      <w:tr w:rsidR="00866437">
        <w:tc>
          <w:tcPr>
            <w:tcW w:w="9289" w:type="dxa"/>
            <w:gridSpan w:val="2"/>
          </w:tcPr>
          <w:p w:rsidR="00E80D86" w:rsidRPr="00E10565" w:rsidRDefault="00E80D86" w:rsidP="00ED3DF8"/>
        </w:tc>
      </w:tr>
      <w:tr w:rsidR="00866437">
        <w:tc>
          <w:tcPr>
            <w:tcW w:w="9289" w:type="dxa"/>
            <w:gridSpan w:val="2"/>
          </w:tcPr>
          <w:p w:rsidR="00857F87" w:rsidRPr="00E10565" w:rsidRDefault="00047774" w:rsidP="00047774">
            <w:pPr>
              <w:rPr>
                <w:bCs/>
              </w:rPr>
            </w:pPr>
            <w:r>
              <w:t>Az európai bizottsági fehér könyv öt forgatókönyvet ismertetett Európa jövőjével kapcsolatban, melyekről az EGSZB egy állásfoglalásban elemzést készített, és minden tagállamban – konzultációk keretében – vitát is folytatott. A vita az öt forgatókönyvön alapul, de nem korlátozódik azokra.</w:t>
            </w:r>
          </w:p>
        </w:tc>
      </w:tr>
    </w:tbl>
    <w:p w:rsidR="002B43E2" w:rsidRDefault="002B43E2" w:rsidP="00ED3DF8"/>
    <w:p w:rsidR="00277431" w:rsidRDefault="00277431" w:rsidP="00ED3DF8"/>
    <w:p w:rsidR="00277431" w:rsidRDefault="00277431" w:rsidP="00ED3DF8"/>
    <w:p w:rsidR="00277431" w:rsidRPr="00E10565" w:rsidRDefault="00277431" w:rsidP="00ED3DF8"/>
    <w:tbl>
      <w:tblPr>
        <w:tblStyle w:val="TableGrid"/>
        <w:tblW w:w="0" w:type="auto"/>
        <w:tblLook w:val="04A0" w:firstRow="1" w:lastRow="0" w:firstColumn="1" w:lastColumn="0" w:noHBand="0" w:noVBand="1"/>
      </w:tblPr>
      <w:tblGrid>
        <w:gridCol w:w="9289"/>
      </w:tblGrid>
      <w:tr w:rsidR="00866437">
        <w:tc>
          <w:tcPr>
            <w:tcW w:w="9289" w:type="dxa"/>
            <w:shd w:val="clear" w:color="auto" w:fill="DBE5F1" w:themeFill="accent1" w:themeFillTint="33"/>
          </w:tcPr>
          <w:p w:rsidR="00857F87" w:rsidRPr="00E10565" w:rsidRDefault="00AF61E9" w:rsidP="00AF61E9">
            <w:pPr>
              <w:rPr>
                <w:b/>
              </w:rPr>
            </w:pPr>
            <w:r>
              <w:rPr>
                <w:b/>
              </w:rPr>
              <w:t>Vezérelvek</w:t>
            </w:r>
          </w:p>
        </w:tc>
      </w:tr>
      <w:tr w:rsidR="00866437">
        <w:tc>
          <w:tcPr>
            <w:tcW w:w="9289" w:type="dxa"/>
          </w:tcPr>
          <w:p w:rsidR="00857F87" w:rsidRPr="00E10565" w:rsidRDefault="00A95C77" w:rsidP="009810F8">
            <w:pPr>
              <w:numPr>
                <w:ilvl w:val="0"/>
                <w:numId w:val="39"/>
              </w:numPr>
              <w:tabs>
                <w:tab w:val="left" w:pos="567"/>
              </w:tabs>
              <w:ind w:left="0" w:firstLine="0"/>
              <w:rPr>
                <w:iCs/>
              </w:rPr>
            </w:pPr>
            <w:r>
              <w:t>A politikai eszközöket és stratégiákat újra kell gondolni, hogy új, erősebb pilléreket javasoljunk az európai projekt alátámasztására. Nagyobb figyelmet kell fordítani a társadalmi kohézió megerősítésére, a GMU továbbfejlesztésére, az európai projekt legitimitásának garantálására a polgárok körében, az érdekcsoportok részvételére és a szubszidiaritás elvének tiszteletben tartására.</w:t>
            </w:r>
          </w:p>
        </w:tc>
      </w:tr>
      <w:tr w:rsidR="00866437">
        <w:tc>
          <w:tcPr>
            <w:tcW w:w="9289" w:type="dxa"/>
          </w:tcPr>
          <w:p w:rsidR="00857F87" w:rsidRPr="00E10565" w:rsidRDefault="00047774" w:rsidP="009810F8">
            <w:pPr>
              <w:numPr>
                <w:ilvl w:val="0"/>
                <w:numId w:val="39"/>
              </w:numPr>
              <w:tabs>
                <w:tab w:val="left" w:pos="567"/>
              </w:tabs>
              <w:ind w:left="0" w:firstLine="0"/>
            </w:pPr>
            <w:r>
              <w:t>A konferenciának meg kellene határoznia egy olyan jövőbeli horizontális stratégia kidolgozásának menetrendjét, amely megfelelően rugalmas ahhoz, hogy reagáljon a rövid, közép- és hosszú távú szükségletekre.</w:t>
            </w:r>
          </w:p>
        </w:tc>
      </w:tr>
      <w:tr w:rsidR="00866437">
        <w:tc>
          <w:tcPr>
            <w:tcW w:w="9289" w:type="dxa"/>
          </w:tcPr>
          <w:p w:rsidR="00857F87" w:rsidRPr="00E10565" w:rsidRDefault="00047774" w:rsidP="009810F8">
            <w:pPr>
              <w:numPr>
                <w:ilvl w:val="0"/>
                <w:numId w:val="39"/>
              </w:numPr>
              <w:tabs>
                <w:tab w:val="left" w:pos="567"/>
              </w:tabs>
              <w:ind w:left="0" w:firstLine="0"/>
            </w:pPr>
            <w:r>
              <w:t>Az európai projektet egy fokozott részvételen alapuló, a fenntartható fejlesztésre koncentráló, a szervezett civil társadalomnak központi szerepet biztosító európai kormányzási modell segítségével kellene irányítani.</w:t>
            </w:r>
          </w:p>
        </w:tc>
      </w:tr>
    </w:tbl>
    <w:p w:rsidR="00277431" w:rsidRDefault="00277431" w:rsidP="00ED3DF8"/>
    <w:p w:rsidR="00277431" w:rsidRPr="00E10565" w:rsidRDefault="00277431" w:rsidP="00ED3DF8"/>
    <w:tbl>
      <w:tblPr>
        <w:tblW w:w="5000" w:type="pct"/>
        <w:tblLook w:val="0000" w:firstRow="0" w:lastRow="0" w:firstColumn="0" w:lastColumn="0" w:noHBand="0" w:noVBand="0"/>
      </w:tblPr>
      <w:tblGrid>
        <w:gridCol w:w="2969"/>
        <w:gridCol w:w="6320"/>
      </w:tblGrid>
      <w:tr w:rsidR="00866437">
        <w:trPr>
          <w:trHeight w:val="251"/>
        </w:trPr>
        <w:tc>
          <w:tcPr>
            <w:tcW w:w="1598" w:type="pct"/>
          </w:tcPr>
          <w:p w:rsidR="00DE0BB3" w:rsidRPr="00E10565" w:rsidRDefault="00DE0BB3" w:rsidP="00DE0BB3">
            <w:pPr>
              <w:rPr>
                <w:b/>
                <w:bCs/>
              </w:rPr>
            </w:pPr>
            <w:r>
              <w:rPr>
                <w:b/>
              </w:rPr>
              <w:t>Igényelt tolmácsolás:</w:t>
            </w:r>
          </w:p>
        </w:tc>
        <w:tc>
          <w:tcPr>
            <w:tcW w:w="3402" w:type="pct"/>
          </w:tcPr>
          <w:p w:rsidR="00DE0BB3" w:rsidRPr="00E10565" w:rsidRDefault="00DE0BB3" w:rsidP="00DE0BB3">
            <w:r>
              <w:t>DE/EN/FR/</w:t>
            </w:r>
            <w:proofErr w:type="gramStart"/>
            <w:r>
              <w:t>HU</w:t>
            </w:r>
            <w:proofErr w:type="gramEnd"/>
            <w:r>
              <w:t xml:space="preserve"> nyelvről</w:t>
            </w:r>
          </w:p>
        </w:tc>
      </w:tr>
      <w:tr w:rsidR="00866437">
        <w:trPr>
          <w:trHeight w:val="250"/>
        </w:trPr>
        <w:tc>
          <w:tcPr>
            <w:tcW w:w="1598" w:type="pct"/>
          </w:tcPr>
          <w:p w:rsidR="00DE0BB3" w:rsidRPr="00E10565" w:rsidRDefault="00DE0BB3" w:rsidP="00DE0BB3">
            <w:pPr>
              <w:jc w:val="right"/>
              <w:rPr>
                <w:b/>
              </w:rPr>
            </w:pPr>
            <w:r>
              <w:rPr>
                <w:b/>
              </w:rPr>
              <w:t xml:space="preserve"> </w:t>
            </w:r>
          </w:p>
        </w:tc>
        <w:tc>
          <w:tcPr>
            <w:tcW w:w="3402" w:type="pct"/>
          </w:tcPr>
          <w:p w:rsidR="00DE0BB3" w:rsidRPr="00E10565" w:rsidRDefault="00DE0BB3" w:rsidP="00DE0BB3">
            <w:r>
              <w:t>DE/EN/FR/</w:t>
            </w:r>
            <w:proofErr w:type="gramStart"/>
            <w:r>
              <w:t>HU</w:t>
            </w:r>
            <w:proofErr w:type="gramEnd"/>
            <w:r>
              <w:t xml:space="preserve"> nyelvre</w:t>
            </w:r>
          </w:p>
        </w:tc>
      </w:tr>
    </w:tbl>
    <w:p w:rsidR="003F025E" w:rsidRPr="00E10565" w:rsidRDefault="003F025E"/>
    <w:sectPr w:rsidR="003F025E" w:rsidRPr="00E10565" w:rsidSect="009810F8">
      <w:headerReference w:type="default" r:id="rId22"/>
      <w:footerReference w:type="default" r:id="rId23"/>
      <w:pgSz w:w="11907" w:h="16839" w:code="9"/>
      <w:pgMar w:top="2835" w:right="1417" w:bottom="1276" w:left="1417" w:header="284"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3A3" w:rsidRDefault="007A43A3" w:rsidP="00A708B0">
      <w:pPr>
        <w:spacing w:line="240" w:lineRule="auto"/>
      </w:pPr>
      <w:r>
        <w:separator/>
      </w:r>
    </w:p>
  </w:endnote>
  <w:endnote w:type="continuationSeparator" w:id="0">
    <w:p w:rsidR="007A43A3" w:rsidRDefault="007A43A3" w:rsidP="00A708B0">
      <w:pPr>
        <w:spacing w:line="240" w:lineRule="auto"/>
      </w:pPr>
      <w:r>
        <w:continuationSeparator/>
      </w:r>
    </w:p>
  </w:endnote>
  <w:endnote w:type="continuationNotice" w:id="1">
    <w:p w:rsidR="007A43A3" w:rsidRDefault="007A43A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A1" w:rsidRPr="009656D6" w:rsidRDefault="009656D6" w:rsidP="009656D6">
    <w:pPr>
      <w:pStyle w:val="Footer"/>
      <w:jc w:val="center"/>
    </w:pPr>
    <w:r>
      <w:fldChar w:fldCharType="begin"/>
    </w:r>
    <w:r>
      <w:instrText xml:space="preserve"> PAGE  \* Arabic  \* MERGEFORMAT </w:instrText>
    </w:r>
    <w:r>
      <w:fldChar w:fldCharType="separate"/>
    </w:r>
    <w:r w:rsidR="00985AC4">
      <w:rPr>
        <w:noProof/>
      </w:rPr>
      <w:t>7</w:t>
    </w:r>
    <w:r>
      <w:fldChar w:fldCharType="end"/>
    </w:r>
    <w:r>
      <w:t>/</w:t>
    </w:r>
    <w:r>
      <w:fldChar w:fldCharType="begin"/>
    </w:r>
    <w:r>
      <w:instrText xml:space="preserve"> = </w:instrText>
    </w:r>
    <w:fldSimple w:instr=" NUMPAGES ">
      <w:r w:rsidR="00985AC4">
        <w:rPr>
          <w:noProof/>
        </w:rPr>
        <w:instrText>7</w:instrText>
      </w:r>
    </w:fldSimple>
    <w:r>
      <w:instrText xml:space="preserve"> -0 </w:instrText>
    </w:r>
    <w:r>
      <w:fldChar w:fldCharType="separate"/>
    </w:r>
    <w:r w:rsidR="00985AC4">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3A3" w:rsidRDefault="007A43A3" w:rsidP="00A708B0">
      <w:pPr>
        <w:spacing w:line="240" w:lineRule="auto"/>
      </w:pPr>
      <w:r>
        <w:separator/>
      </w:r>
    </w:p>
  </w:footnote>
  <w:footnote w:type="continuationSeparator" w:id="0">
    <w:p w:rsidR="007A43A3" w:rsidRDefault="007A43A3" w:rsidP="00A708B0">
      <w:pPr>
        <w:spacing w:line="240" w:lineRule="auto"/>
      </w:pPr>
      <w:r>
        <w:continuationSeparator/>
      </w:r>
    </w:p>
  </w:footnote>
  <w:footnote w:type="continuationNotice" w:id="1">
    <w:p w:rsidR="007A43A3" w:rsidRDefault="007A43A3">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A1" w:rsidRDefault="00985AC4" w:rsidP="009810F8">
    <w:pPr>
      <w:pStyle w:val="Header"/>
      <w:ind w:left="-284"/>
      <w:jc w:val="center"/>
    </w:pPr>
    <w:sdt>
      <w:sdtPr>
        <w:id w:val="-1991860408"/>
        <w:docPartObj>
          <w:docPartGallery w:val="Watermarks"/>
          <w:docPartUnique/>
        </w:docPartObj>
      </w:sdtPr>
      <w:sdtEndPr/>
      <w:sdtContent/>
    </w:sdt>
    <w:r w:rsidR="0024566A">
      <w:rPr>
        <w:noProof/>
        <w:lang w:val="fr-BE" w:eastAsia="fr-BE" w:bidi="ar-SA"/>
      </w:rPr>
      <w:drawing>
        <wp:inline distT="0" distB="0" distL="0" distR="0" wp14:anchorId="3AE5F19E" wp14:editId="227315AA">
          <wp:extent cx="6051550" cy="1231429"/>
          <wp:effectExtent l="0" t="0" r="635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7559" cy="123468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8A6123"/>
    <w:multiLevelType w:val="hybridMultilevel"/>
    <w:tmpl w:val="72D6E1D2"/>
    <w:lvl w:ilvl="0" w:tplc="08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4F4F1C"/>
    <w:multiLevelType w:val="hybridMultilevel"/>
    <w:tmpl w:val="0C940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0B2309"/>
    <w:multiLevelType w:val="hybridMultilevel"/>
    <w:tmpl w:val="A6C8DA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4A83803"/>
    <w:multiLevelType w:val="hybridMultilevel"/>
    <w:tmpl w:val="376C92EA"/>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D9350C2"/>
    <w:multiLevelType w:val="hybridMultilevel"/>
    <w:tmpl w:val="5906A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DD274B"/>
    <w:multiLevelType w:val="hybridMultilevel"/>
    <w:tmpl w:val="2E307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A36AFB"/>
    <w:multiLevelType w:val="hybridMultilevel"/>
    <w:tmpl w:val="E4366D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56E1FCF"/>
    <w:multiLevelType w:val="hybridMultilevel"/>
    <w:tmpl w:val="DB7E23B2"/>
    <w:lvl w:ilvl="0" w:tplc="040C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257B0B24"/>
    <w:multiLevelType w:val="hybridMultilevel"/>
    <w:tmpl w:val="17D6D1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577923"/>
    <w:multiLevelType w:val="hybridMultilevel"/>
    <w:tmpl w:val="03065886"/>
    <w:lvl w:ilvl="0" w:tplc="040C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2B454321"/>
    <w:multiLevelType w:val="hybridMultilevel"/>
    <w:tmpl w:val="157EE53C"/>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2D6402C0"/>
    <w:multiLevelType w:val="hybridMultilevel"/>
    <w:tmpl w:val="607861AC"/>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FED48EA"/>
    <w:multiLevelType w:val="hybridMultilevel"/>
    <w:tmpl w:val="E7625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04346E"/>
    <w:multiLevelType w:val="hybridMultilevel"/>
    <w:tmpl w:val="2118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074078"/>
    <w:multiLevelType w:val="hybridMultilevel"/>
    <w:tmpl w:val="1676F9EE"/>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355E0830"/>
    <w:multiLevelType w:val="hybridMultilevel"/>
    <w:tmpl w:val="7B086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5664042"/>
    <w:multiLevelType w:val="hybridMultilevel"/>
    <w:tmpl w:val="DCF092E0"/>
    <w:lvl w:ilvl="0" w:tplc="0409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8">
    <w:nsid w:val="390664FC"/>
    <w:multiLevelType w:val="hybridMultilevel"/>
    <w:tmpl w:val="83ACD4CE"/>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3C3F03B2"/>
    <w:multiLevelType w:val="hybridMultilevel"/>
    <w:tmpl w:val="053C2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D25771B"/>
    <w:multiLevelType w:val="hybridMultilevel"/>
    <w:tmpl w:val="1E1EBF7C"/>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3DEE068B"/>
    <w:multiLevelType w:val="hybridMultilevel"/>
    <w:tmpl w:val="4A98F78E"/>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43612C7F"/>
    <w:multiLevelType w:val="hybridMultilevel"/>
    <w:tmpl w:val="7D34B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6378EA"/>
    <w:multiLevelType w:val="hybridMultilevel"/>
    <w:tmpl w:val="097EA7F0"/>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4B694933"/>
    <w:multiLevelType w:val="hybridMultilevel"/>
    <w:tmpl w:val="FD1C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D048C4"/>
    <w:multiLevelType w:val="hybridMultilevel"/>
    <w:tmpl w:val="7A7694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F60619C"/>
    <w:multiLevelType w:val="hybridMultilevel"/>
    <w:tmpl w:val="DAC0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85760A"/>
    <w:multiLevelType w:val="hybridMultilevel"/>
    <w:tmpl w:val="7B061B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24D24A7"/>
    <w:multiLevelType w:val="hybridMultilevel"/>
    <w:tmpl w:val="9C388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C1F5FA1"/>
    <w:multiLevelType w:val="hybridMultilevel"/>
    <w:tmpl w:val="D60A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E007A1"/>
    <w:multiLevelType w:val="hybridMultilevel"/>
    <w:tmpl w:val="973EA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2852CC"/>
    <w:multiLevelType w:val="hybridMultilevel"/>
    <w:tmpl w:val="5C686498"/>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65E2541A"/>
    <w:multiLevelType w:val="hybridMultilevel"/>
    <w:tmpl w:val="42263750"/>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67A444DA"/>
    <w:multiLevelType w:val="hybridMultilevel"/>
    <w:tmpl w:val="2C60E8C8"/>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6F5A1CDA"/>
    <w:multiLevelType w:val="hybridMultilevel"/>
    <w:tmpl w:val="31D40412"/>
    <w:lvl w:ilvl="0" w:tplc="0409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5">
    <w:nsid w:val="6F747881"/>
    <w:multiLevelType w:val="hybridMultilevel"/>
    <w:tmpl w:val="597A27C0"/>
    <w:lvl w:ilvl="0" w:tplc="040C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0134C5E"/>
    <w:multiLevelType w:val="hybridMultilevel"/>
    <w:tmpl w:val="143C9C52"/>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73A843EF"/>
    <w:multiLevelType w:val="hybridMultilevel"/>
    <w:tmpl w:val="E5741578"/>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7B7B6925"/>
    <w:multiLevelType w:val="hybridMultilevel"/>
    <w:tmpl w:val="1624E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D1A1C92"/>
    <w:multiLevelType w:val="hybridMultilevel"/>
    <w:tmpl w:val="6770C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D514E2B"/>
    <w:multiLevelType w:val="hybridMultilevel"/>
    <w:tmpl w:val="20801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AA0D14"/>
    <w:multiLevelType w:val="hybridMultilevel"/>
    <w:tmpl w:val="F45C01DA"/>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8"/>
  </w:num>
  <w:num w:numId="4">
    <w:abstractNumId w:val="10"/>
  </w:num>
  <w:num w:numId="5">
    <w:abstractNumId w:val="9"/>
  </w:num>
  <w:num w:numId="6">
    <w:abstractNumId w:val="14"/>
  </w:num>
  <w:num w:numId="7">
    <w:abstractNumId w:val="22"/>
  </w:num>
  <w:num w:numId="8">
    <w:abstractNumId w:val="24"/>
  </w:num>
  <w:num w:numId="9">
    <w:abstractNumId w:val="13"/>
  </w:num>
  <w:num w:numId="10">
    <w:abstractNumId w:val="5"/>
  </w:num>
  <w:num w:numId="11">
    <w:abstractNumId w:val="38"/>
  </w:num>
  <w:num w:numId="12">
    <w:abstractNumId w:val="29"/>
  </w:num>
  <w:num w:numId="13">
    <w:abstractNumId w:val="40"/>
  </w:num>
  <w:num w:numId="14">
    <w:abstractNumId w:val="30"/>
  </w:num>
  <w:num w:numId="15">
    <w:abstractNumId w:val="2"/>
  </w:num>
  <w:num w:numId="16">
    <w:abstractNumId w:val="19"/>
  </w:num>
  <w:num w:numId="17">
    <w:abstractNumId w:val="16"/>
  </w:num>
  <w:num w:numId="18">
    <w:abstractNumId w:val="6"/>
  </w:num>
  <w:num w:numId="19">
    <w:abstractNumId w:val="4"/>
  </w:num>
  <w:num w:numId="20">
    <w:abstractNumId w:val="36"/>
  </w:num>
  <w:num w:numId="21">
    <w:abstractNumId w:val="15"/>
  </w:num>
  <w:num w:numId="22">
    <w:abstractNumId w:val="34"/>
  </w:num>
  <w:num w:numId="23">
    <w:abstractNumId w:val="20"/>
  </w:num>
  <w:num w:numId="24">
    <w:abstractNumId w:val="32"/>
  </w:num>
  <w:num w:numId="25">
    <w:abstractNumId w:val="21"/>
  </w:num>
  <w:num w:numId="26">
    <w:abstractNumId w:val="41"/>
  </w:num>
  <w:num w:numId="27">
    <w:abstractNumId w:val="17"/>
  </w:num>
  <w:num w:numId="28">
    <w:abstractNumId w:val="33"/>
  </w:num>
  <w:num w:numId="29">
    <w:abstractNumId w:val="12"/>
  </w:num>
  <w:num w:numId="30">
    <w:abstractNumId w:val="31"/>
  </w:num>
  <w:num w:numId="31">
    <w:abstractNumId w:val="37"/>
  </w:num>
  <w:num w:numId="32">
    <w:abstractNumId w:val="18"/>
  </w:num>
  <w:num w:numId="33">
    <w:abstractNumId w:val="23"/>
  </w:num>
  <w:num w:numId="34">
    <w:abstractNumId w:val="11"/>
  </w:num>
  <w:num w:numId="35">
    <w:abstractNumId w:val="3"/>
  </w:num>
  <w:num w:numId="36">
    <w:abstractNumId w:val="27"/>
  </w:num>
  <w:num w:numId="37">
    <w:abstractNumId w:val="25"/>
  </w:num>
  <w:num w:numId="38">
    <w:abstractNumId w:val="7"/>
  </w:num>
  <w:num w:numId="39">
    <w:abstractNumId w:val="1"/>
  </w:num>
  <w:num w:numId="40">
    <w:abstractNumId w:val="28"/>
  </w:num>
  <w:num w:numId="41">
    <w:abstractNumId w:val="39"/>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8B0"/>
    <w:rsid w:val="00006157"/>
    <w:rsid w:val="00012395"/>
    <w:rsid w:val="0001485F"/>
    <w:rsid w:val="00022563"/>
    <w:rsid w:val="00027072"/>
    <w:rsid w:val="000320A7"/>
    <w:rsid w:val="000403DA"/>
    <w:rsid w:val="0004183D"/>
    <w:rsid w:val="00047774"/>
    <w:rsid w:val="000613F0"/>
    <w:rsid w:val="00066FFD"/>
    <w:rsid w:val="000766CC"/>
    <w:rsid w:val="00085CE7"/>
    <w:rsid w:val="000935B6"/>
    <w:rsid w:val="000A0098"/>
    <w:rsid w:val="000A2229"/>
    <w:rsid w:val="000B6F3B"/>
    <w:rsid w:val="000C0A18"/>
    <w:rsid w:val="000F326A"/>
    <w:rsid w:val="000F495B"/>
    <w:rsid w:val="00120824"/>
    <w:rsid w:val="001251DC"/>
    <w:rsid w:val="00137256"/>
    <w:rsid w:val="001549C3"/>
    <w:rsid w:val="00156BB6"/>
    <w:rsid w:val="001674A7"/>
    <w:rsid w:val="00195FD9"/>
    <w:rsid w:val="00196C62"/>
    <w:rsid w:val="001A22FC"/>
    <w:rsid w:val="001A2D48"/>
    <w:rsid w:val="001B0D41"/>
    <w:rsid w:val="001B1F17"/>
    <w:rsid w:val="001C0BD0"/>
    <w:rsid w:val="001E2ABF"/>
    <w:rsid w:val="001E5AA5"/>
    <w:rsid w:val="001E6326"/>
    <w:rsid w:val="001F044E"/>
    <w:rsid w:val="00202652"/>
    <w:rsid w:val="00227AA1"/>
    <w:rsid w:val="00232A14"/>
    <w:rsid w:val="00233A5F"/>
    <w:rsid w:val="0024566A"/>
    <w:rsid w:val="00272B2E"/>
    <w:rsid w:val="00275F3E"/>
    <w:rsid w:val="00277431"/>
    <w:rsid w:val="0028625E"/>
    <w:rsid w:val="00297762"/>
    <w:rsid w:val="002B43E2"/>
    <w:rsid w:val="002C5B74"/>
    <w:rsid w:val="002D5213"/>
    <w:rsid w:val="002E1BA1"/>
    <w:rsid w:val="002E4C20"/>
    <w:rsid w:val="002F484F"/>
    <w:rsid w:val="00315E7F"/>
    <w:rsid w:val="0031735D"/>
    <w:rsid w:val="0032470B"/>
    <w:rsid w:val="003263EB"/>
    <w:rsid w:val="00333696"/>
    <w:rsid w:val="00334441"/>
    <w:rsid w:val="0034330C"/>
    <w:rsid w:val="00352851"/>
    <w:rsid w:val="00363F79"/>
    <w:rsid w:val="00364F27"/>
    <w:rsid w:val="00371151"/>
    <w:rsid w:val="00371A4A"/>
    <w:rsid w:val="00390383"/>
    <w:rsid w:val="003970F7"/>
    <w:rsid w:val="003A65DA"/>
    <w:rsid w:val="003A664A"/>
    <w:rsid w:val="003A6EC7"/>
    <w:rsid w:val="003B7671"/>
    <w:rsid w:val="003C165E"/>
    <w:rsid w:val="003C2EF4"/>
    <w:rsid w:val="003C41B7"/>
    <w:rsid w:val="003E059A"/>
    <w:rsid w:val="003E41FB"/>
    <w:rsid w:val="003F025E"/>
    <w:rsid w:val="003F2CB8"/>
    <w:rsid w:val="003F3EE3"/>
    <w:rsid w:val="003F5E41"/>
    <w:rsid w:val="00410F9B"/>
    <w:rsid w:val="004263EC"/>
    <w:rsid w:val="00442527"/>
    <w:rsid w:val="00444E80"/>
    <w:rsid w:val="00446C88"/>
    <w:rsid w:val="004472F6"/>
    <w:rsid w:val="0046035C"/>
    <w:rsid w:val="00463AD3"/>
    <w:rsid w:val="0046473B"/>
    <w:rsid w:val="00471CD4"/>
    <w:rsid w:val="00494769"/>
    <w:rsid w:val="00495C43"/>
    <w:rsid w:val="004A10A2"/>
    <w:rsid w:val="004A2FD4"/>
    <w:rsid w:val="004A3DA7"/>
    <w:rsid w:val="004B69A0"/>
    <w:rsid w:val="004C698E"/>
    <w:rsid w:val="004C7F80"/>
    <w:rsid w:val="004F25AB"/>
    <w:rsid w:val="005067D5"/>
    <w:rsid w:val="005141CE"/>
    <w:rsid w:val="00514526"/>
    <w:rsid w:val="00521805"/>
    <w:rsid w:val="00526ECF"/>
    <w:rsid w:val="00547750"/>
    <w:rsid w:val="00562B91"/>
    <w:rsid w:val="00564B6C"/>
    <w:rsid w:val="0057251F"/>
    <w:rsid w:val="00574BA1"/>
    <w:rsid w:val="00580168"/>
    <w:rsid w:val="00584525"/>
    <w:rsid w:val="005B26E7"/>
    <w:rsid w:val="005B2CDF"/>
    <w:rsid w:val="005D08DF"/>
    <w:rsid w:val="005D39FE"/>
    <w:rsid w:val="005E1EB3"/>
    <w:rsid w:val="005E4105"/>
    <w:rsid w:val="005E52B3"/>
    <w:rsid w:val="005F794B"/>
    <w:rsid w:val="0060668C"/>
    <w:rsid w:val="00610394"/>
    <w:rsid w:val="006140A3"/>
    <w:rsid w:val="00616A9D"/>
    <w:rsid w:val="006244FA"/>
    <w:rsid w:val="00627959"/>
    <w:rsid w:val="00632AF1"/>
    <w:rsid w:val="0063634A"/>
    <w:rsid w:val="00663BA4"/>
    <w:rsid w:val="00666842"/>
    <w:rsid w:val="00667B72"/>
    <w:rsid w:val="006A393A"/>
    <w:rsid w:val="006A6B06"/>
    <w:rsid w:val="006B160D"/>
    <w:rsid w:val="006B3B81"/>
    <w:rsid w:val="006B7D2E"/>
    <w:rsid w:val="006C368A"/>
    <w:rsid w:val="006C59B2"/>
    <w:rsid w:val="006C5B45"/>
    <w:rsid w:val="006D3E45"/>
    <w:rsid w:val="006D7684"/>
    <w:rsid w:val="006E23B0"/>
    <w:rsid w:val="00701731"/>
    <w:rsid w:val="00706FD2"/>
    <w:rsid w:val="00716208"/>
    <w:rsid w:val="00736546"/>
    <w:rsid w:val="007372BD"/>
    <w:rsid w:val="0074044A"/>
    <w:rsid w:val="00740F66"/>
    <w:rsid w:val="00741BD7"/>
    <w:rsid w:val="007471CD"/>
    <w:rsid w:val="007559C7"/>
    <w:rsid w:val="0075703D"/>
    <w:rsid w:val="0076138E"/>
    <w:rsid w:val="00767B0B"/>
    <w:rsid w:val="00772360"/>
    <w:rsid w:val="00777BCD"/>
    <w:rsid w:val="00781162"/>
    <w:rsid w:val="007A0480"/>
    <w:rsid w:val="007A093D"/>
    <w:rsid w:val="007A43A3"/>
    <w:rsid w:val="007C1BCB"/>
    <w:rsid w:val="007C4998"/>
    <w:rsid w:val="007D2A06"/>
    <w:rsid w:val="007D5FFF"/>
    <w:rsid w:val="007D6FB6"/>
    <w:rsid w:val="007E2C98"/>
    <w:rsid w:val="007E4E43"/>
    <w:rsid w:val="007F2471"/>
    <w:rsid w:val="007F7F84"/>
    <w:rsid w:val="00806F50"/>
    <w:rsid w:val="00811142"/>
    <w:rsid w:val="0081132A"/>
    <w:rsid w:val="008147E8"/>
    <w:rsid w:val="00815595"/>
    <w:rsid w:val="008175E3"/>
    <w:rsid w:val="00823B99"/>
    <w:rsid w:val="00824FB0"/>
    <w:rsid w:val="008277FE"/>
    <w:rsid w:val="00835F5A"/>
    <w:rsid w:val="00840F7E"/>
    <w:rsid w:val="008447FA"/>
    <w:rsid w:val="0085174C"/>
    <w:rsid w:val="00857F87"/>
    <w:rsid w:val="0086290A"/>
    <w:rsid w:val="008631BF"/>
    <w:rsid w:val="00866437"/>
    <w:rsid w:val="00875986"/>
    <w:rsid w:val="00890B0C"/>
    <w:rsid w:val="00892A92"/>
    <w:rsid w:val="00893B0D"/>
    <w:rsid w:val="00897FDC"/>
    <w:rsid w:val="008B0C06"/>
    <w:rsid w:val="008B16C1"/>
    <w:rsid w:val="008D6721"/>
    <w:rsid w:val="008E4FFA"/>
    <w:rsid w:val="008E59C2"/>
    <w:rsid w:val="008F7A2A"/>
    <w:rsid w:val="009060C2"/>
    <w:rsid w:val="0092131F"/>
    <w:rsid w:val="009218BA"/>
    <w:rsid w:val="00921AC6"/>
    <w:rsid w:val="00937E46"/>
    <w:rsid w:val="0094297D"/>
    <w:rsid w:val="009656D6"/>
    <w:rsid w:val="00970D19"/>
    <w:rsid w:val="00974654"/>
    <w:rsid w:val="009810F8"/>
    <w:rsid w:val="0098573D"/>
    <w:rsid w:val="00985AC4"/>
    <w:rsid w:val="009B49E4"/>
    <w:rsid w:val="009C7C24"/>
    <w:rsid w:val="009D6132"/>
    <w:rsid w:val="009E2F92"/>
    <w:rsid w:val="009E769B"/>
    <w:rsid w:val="009F08FD"/>
    <w:rsid w:val="009F255D"/>
    <w:rsid w:val="009F2862"/>
    <w:rsid w:val="009F602E"/>
    <w:rsid w:val="009F769B"/>
    <w:rsid w:val="00A01F0F"/>
    <w:rsid w:val="00A0290C"/>
    <w:rsid w:val="00A108B3"/>
    <w:rsid w:val="00A1378B"/>
    <w:rsid w:val="00A56240"/>
    <w:rsid w:val="00A6545D"/>
    <w:rsid w:val="00A708B0"/>
    <w:rsid w:val="00A723FF"/>
    <w:rsid w:val="00A75DF4"/>
    <w:rsid w:val="00A77286"/>
    <w:rsid w:val="00A92B76"/>
    <w:rsid w:val="00A942E8"/>
    <w:rsid w:val="00A9514B"/>
    <w:rsid w:val="00A95C77"/>
    <w:rsid w:val="00AA25E8"/>
    <w:rsid w:val="00AA40E5"/>
    <w:rsid w:val="00AA4CC2"/>
    <w:rsid w:val="00AB5753"/>
    <w:rsid w:val="00AC36D6"/>
    <w:rsid w:val="00AD2E88"/>
    <w:rsid w:val="00AF52DD"/>
    <w:rsid w:val="00AF61E9"/>
    <w:rsid w:val="00B01F0D"/>
    <w:rsid w:val="00B16B7A"/>
    <w:rsid w:val="00B40EBE"/>
    <w:rsid w:val="00B42F16"/>
    <w:rsid w:val="00B44069"/>
    <w:rsid w:val="00B44BB2"/>
    <w:rsid w:val="00B4577A"/>
    <w:rsid w:val="00B523CA"/>
    <w:rsid w:val="00B555D9"/>
    <w:rsid w:val="00B74AA6"/>
    <w:rsid w:val="00B75463"/>
    <w:rsid w:val="00B877E5"/>
    <w:rsid w:val="00B87929"/>
    <w:rsid w:val="00BA31B6"/>
    <w:rsid w:val="00BB449C"/>
    <w:rsid w:val="00BB5147"/>
    <w:rsid w:val="00BB6CCB"/>
    <w:rsid w:val="00BD72CF"/>
    <w:rsid w:val="00BF602D"/>
    <w:rsid w:val="00C1391A"/>
    <w:rsid w:val="00C226F6"/>
    <w:rsid w:val="00C35792"/>
    <w:rsid w:val="00C413B8"/>
    <w:rsid w:val="00C615FF"/>
    <w:rsid w:val="00C70C11"/>
    <w:rsid w:val="00C82ED6"/>
    <w:rsid w:val="00C96C86"/>
    <w:rsid w:val="00CA6105"/>
    <w:rsid w:val="00CB0AF6"/>
    <w:rsid w:val="00CB0F0C"/>
    <w:rsid w:val="00CC23C0"/>
    <w:rsid w:val="00CD1E7E"/>
    <w:rsid w:val="00CD3A4C"/>
    <w:rsid w:val="00CE6C84"/>
    <w:rsid w:val="00CE7745"/>
    <w:rsid w:val="00D014AF"/>
    <w:rsid w:val="00D1555B"/>
    <w:rsid w:val="00D2678E"/>
    <w:rsid w:val="00D31B9F"/>
    <w:rsid w:val="00D454BB"/>
    <w:rsid w:val="00D577B7"/>
    <w:rsid w:val="00D66AA0"/>
    <w:rsid w:val="00D732BF"/>
    <w:rsid w:val="00D972A5"/>
    <w:rsid w:val="00D97FD4"/>
    <w:rsid w:val="00DA02FF"/>
    <w:rsid w:val="00DB4B1C"/>
    <w:rsid w:val="00DB7397"/>
    <w:rsid w:val="00DC2E40"/>
    <w:rsid w:val="00DC362F"/>
    <w:rsid w:val="00DC42B1"/>
    <w:rsid w:val="00DE0BB3"/>
    <w:rsid w:val="00DF37EE"/>
    <w:rsid w:val="00E029C8"/>
    <w:rsid w:val="00E02B3C"/>
    <w:rsid w:val="00E04727"/>
    <w:rsid w:val="00E10565"/>
    <w:rsid w:val="00E32D16"/>
    <w:rsid w:val="00E420AC"/>
    <w:rsid w:val="00E4562A"/>
    <w:rsid w:val="00E524A3"/>
    <w:rsid w:val="00E63F6C"/>
    <w:rsid w:val="00E660CB"/>
    <w:rsid w:val="00E7255C"/>
    <w:rsid w:val="00E80D86"/>
    <w:rsid w:val="00E833BB"/>
    <w:rsid w:val="00E8368B"/>
    <w:rsid w:val="00E87333"/>
    <w:rsid w:val="00E92C78"/>
    <w:rsid w:val="00EA7B26"/>
    <w:rsid w:val="00ED3DF8"/>
    <w:rsid w:val="00ED4EF3"/>
    <w:rsid w:val="00EE328F"/>
    <w:rsid w:val="00EF0094"/>
    <w:rsid w:val="00EF62C7"/>
    <w:rsid w:val="00F00106"/>
    <w:rsid w:val="00F115E7"/>
    <w:rsid w:val="00F14334"/>
    <w:rsid w:val="00F16E95"/>
    <w:rsid w:val="00F25AA2"/>
    <w:rsid w:val="00F362C5"/>
    <w:rsid w:val="00F42D81"/>
    <w:rsid w:val="00F62069"/>
    <w:rsid w:val="00F703D8"/>
    <w:rsid w:val="00F73ABE"/>
    <w:rsid w:val="00F73B31"/>
    <w:rsid w:val="00F74B50"/>
    <w:rsid w:val="00F82776"/>
    <w:rsid w:val="00F919D9"/>
    <w:rsid w:val="00FA60AF"/>
    <w:rsid w:val="00FB6DB6"/>
    <w:rsid w:val="00FC35C2"/>
    <w:rsid w:val="00FE1609"/>
    <w:rsid w:val="00FE2F0C"/>
    <w:rsid w:val="00FE31BA"/>
    <w:rsid w:val="00FE68D9"/>
    <w:rsid w:val="00FF04DF"/>
    <w:rsid w:val="00FF2E20"/>
    <w:rsid w:val="00FF7776"/>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70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5F794B"/>
    <w:pPr>
      <w:numPr>
        <w:numId w:val="1"/>
      </w:numPr>
      <w:ind w:left="567" w:hanging="567"/>
      <w:outlineLvl w:val="0"/>
    </w:pPr>
    <w:rPr>
      <w:kern w:val="28"/>
    </w:rPr>
  </w:style>
  <w:style w:type="paragraph" w:styleId="Heading2">
    <w:name w:val="heading 2"/>
    <w:basedOn w:val="Normal"/>
    <w:next w:val="Normal"/>
    <w:link w:val="Heading2Char"/>
    <w:qFormat/>
    <w:rsid w:val="005F794B"/>
    <w:pPr>
      <w:numPr>
        <w:ilvl w:val="1"/>
        <w:numId w:val="1"/>
      </w:numPr>
      <w:ind w:left="567" w:hanging="567"/>
      <w:outlineLvl w:val="1"/>
    </w:pPr>
  </w:style>
  <w:style w:type="paragraph" w:styleId="Heading3">
    <w:name w:val="heading 3"/>
    <w:basedOn w:val="Normal"/>
    <w:next w:val="Normal"/>
    <w:link w:val="Heading3Char"/>
    <w:qFormat/>
    <w:rsid w:val="005F794B"/>
    <w:pPr>
      <w:numPr>
        <w:ilvl w:val="2"/>
        <w:numId w:val="1"/>
      </w:numPr>
      <w:ind w:left="567" w:hanging="567"/>
      <w:outlineLvl w:val="2"/>
    </w:pPr>
  </w:style>
  <w:style w:type="paragraph" w:styleId="Heading4">
    <w:name w:val="heading 4"/>
    <w:basedOn w:val="Normal"/>
    <w:next w:val="Normal"/>
    <w:link w:val="Heading4Char"/>
    <w:qFormat/>
    <w:rsid w:val="005F794B"/>
    <w:pPr>
      <w:numPr>
        <w:ilvl w:val="3"/>
        <w:numId w:val="1"/>
      </w:numPr>
      <w:ind w:left="567" w:hanging="567"/>
      <w:outlineLvl w:val="3"/>
    </w:pPr>
  </w:style>
  <w:style w:type="paragraph" w:styleId="Heading5">
    <w:name w:val="heading 5"/>
    <w:basedOn w:val="Normal"/>
    <w:next w:val="Normal"/>
    <w:link w:val="Heading5Char"/>
    <w:qFormat/>
    <w:rsid w:val="005F794B"/>
    <w:pPr>
      <w:numPr>
        <w:ilvl w:val="4"/>
        <w:numId w:val="1"/>
      </w:numPr>
      <w:ind w:left="567" w:hanging="567"/>
      <w:outlineLvl w:val="4"/>
    </w:pPr>
  </w:style>
  <w:style w:type="paragraph" w:styleId="Heading6">
    <w:name w:val="heading 6"/>
    <w:basedOn w:val="Normal"/>
    <w:next w:val="Normal"/>
    <w:link w:val="Heading6Char"/>
    <w:qFormat/>
    <w:rsid w:val="005F794B"/>
    <w:pPr>
      <w:numPr>
        <w:ilvl w:val="5"/>
        <w:numId w:val="1"/>
      </w:numPr>
      <w:ind w:left="567" w:hanging="567"/>
      <w:outlineLvl w:val="5"/>
    </w:pPr>
  </w:style>
  <w:style w:type="paragraph" w:styleId="Heading7">
    <w:name w:val="heading 7"/>
    <w:basedOn w:val="Normal"/>
    <w:next w:val="Normal"/>
    <w:link w:val="Heading7Char"/>
    <w:qFormat/>
    <w:rsid w:val="005F794B"/>
    <w:pPr>
      <w:numPr>
        <w:ilvl w:val="6"/>
        <w:numId w:val="1"/>
      </w:numPr>
      <w:ind w:left="567" w:hanging="567"/>
      <w:outlineLvl w:val="6"/>
    </w:pPr>
  </w:style>
  <w:style w:type="paragraph" w:styleId="Heading8">
    <w:name w:val="heading 8"/>
    <w:basedOn w:val="Normal"/>
    <w:next w:val="Normal"/>
    <w:link w:val="Heading8Char"/>
    <w:qFormat/>
    <w:rsid w:val="005F794B"/>
    <w:pPr>
      <w:numPr>
        <w:ilvl w:val="7"/>
        <w:numId w:val="1"/>
      </w:numPr>
      <w:ind w:left="567" w:hanging="567"/>
      <w:outlineLvl w:val="7"/>
    </w:pPr>
  </w:style>
  <w:style w:type="paragraph" w:styleId="Heading9">
    <w:name w:val="heading 9"/>
    <w:basedOn w:val="Normal"/>
    <w:next w:val="Normal"/>
    <w:link w:val="Heading9Char"/>
    <w:qFormat/>
    <w:rsid w:val="005F794B"/>
    <w:pPr>
      <w:numPr>
        <w:ilvl w:val="8"/>
        <w:numId w:val="1"/>
      </w:numPr>
      <w:ind w:left="567" w:hanging="567"/>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08B0"/>
    <w:rPr>
      <w:rFonts w:ascii="Times New Roman" w:eastAsia="Times New Roman" w:hAnsi="Times New Roman" w:cs="Times New Roman"/>
      <w:kern w:val="28"/>
      <w:lang w:val="hu-HU"/>
    </w:rPr>
  </w:style>
  <w:style w:type="character" w:customStyle="1" w:styleId="Heading2Char">
    <w:name w:val="Heading 2 Char"/>
    <w:basedOn w:val="DefaultParagraphFont"/>
    <w:link w:val="Heading2"/>
    <w:rsid w:val="00A708B0"/>
    <w:rPr>
      <w:rFonts w:ascii="Times New Roman" w:eastAsia="Times New Roman" w:hAnsi="Times New Roman" w:cs="Times New Roman"/>
      <w:lang w:val="hu-HU"/>
    </w:rPr>
  </w:style>
  <w:style w:type="character" w:customStyle="1" w:styleId="Heading3Char">
    <w:name w:val="Heading 3 Char"/>
    <w:basedOn w:val="DefaultParagraphFont"/>
    <w:link w:val="Heading3"/>
    <w:rsid w:val="00A708B0"/>
    <w:rPr>
      <w:rFonts w:ascii="Times New Roman" w:eastAsia="Times New Roman" w:hAnsi="Times New Roman" w:cs="Times New Roman"/>
      <w:lang w:val="hu-HU"/>
    </w:rPr>
  </w:style>
  <w:style w:type="character" w:customStyle="1" w:styleId="Heading4Char">
    <w:name w:val="Heading 4 Char"/>
    <w:basedOn w:val="DefaultParagraphFont"/>
    <w:link w:val="Heading4"/>
    <w:rsid w:val="00A708B0"/>
    <w:rPr>
      <w:rFonts w:ascii="Times New Roman" w:eastAsia="Times New Roman" w:hAnsi="Times New Roman" w:cs="Times New Roman"/>
      <w:lang w:val="hu-HU"/>
    </w:rPr>
  </w:style>
  <w:style w:type="character" w:customStyle="1" w:styleId="Heading5Char">
    <w:name w:val="Heading 5 Char"/>
    <w:basedOn w:val="DefaultParagraphFont"/>
    <w:link w:val="Heading5"/>
    <w:rsid w:val="00A708B0"/>
    <w:rPr>
      <w:rFonts w:ascii="Times New Roman" w:eastAsia="Times New Roman" w:hAnsi="Times New Roman" w:cs="Times New Roman"/>
      <w:lang w:val="hu-HU"/>
    </w:rPr>
  </w:style>
  <w:style w:type="character" w:customStyle="1" w:styleId="Heading6Char">
    <w:name w:val="Heading 6 Char"/>
    <w:basedOn w:val="DefaultParagraphFont"/>
    <w:link w:val="Heading6"/>
    <w:rsid w:val="00A708B0"/>
    <w:rPr>
      <w:rFonts w:ascii="Times New Roman" w:eastAsia="Times New Roman" w:hAnsi="Times New Roman" w:cs="Times New Roman"/>
      <w:lang w:val="hu-HU"/>
    </w:rPr>
  </w:style>
  <w:style w:type="character" w:customStyle="1" w:styleId="Heading7Char">
    <w:name w:val="Heading 7 Char"/>
    <w:basedOn w:val="DefaultParagraphFont"/>
    <w:link w:val="Heading7"/>
    <w:rsid w:val="00A708B0"/>
    <w:rPr>
      <w:rFonts w:ascii="Times New Roman" w:eastAsia="Times New Roman" w:hAnsi="Times New Roman" w:cs="Times New Roman"/>
      <w:lang w:val="hu-HU"/>
    </w:rPr>
  </w:style>
  <w:style w:type="character" w:customStyle="1" w:styleId="Heading8Char">
    <w:name w:val="Heading 8 Char"/>
    <w:basedOn w:val="DefaultParagraphFont"/>
    <w:link w:val="Heading8"/>
    <w:rsid w:val="00A708B0"/>
    <w:rPr>
      <w:rFonts w:ascii="Times New Roman" w:eastAsia="Times New Roman" w:hAnsi="Times New Roman" w:cs="Times New Roman"/>
      <w:lang w:val="hu-HU"/>
    </w:rPr>
  </w:style>
  <w:style w:type="character" w:customStyle="1" w:styleId="Heading9Char">
    <w:name w:val="Heading 9 Char"/>
    <w:basedOn w:val="DefaultParagraphFont"/>
    <w:link w:val="Heading9"/>
    <w:rsid w:val="00A708B0"/>
    <w:rPr>
      <w:rFonts w:ascii="Times New Roman" w:eastAsia="Times New Roman" w:hAnsi="Times New Roman" w:cs="Times New Roman"/>
      <w:lang w:val="hu-HU"/>
    </w:rPr>
  </w:style>
  <w:style w:type="paragraph" w:styleId="Footer">
    <w:name w:val="footer"/>
    <w:basedOn w:val="Normal"/>
    <w:link w:val="FooterChar"/>
    <w:qFormat/>
    <w:rsid w:val="005F794B"/>
  </w:style>
  <w:style w:type="character" w:customStyle="1" w:styleId="FooterChar">
    <w:name w:val="Footer Char"/>
    <w:basedOn w:val="DefaultParagraphFont"/>
    <w:link w:val="Footer"/>
    <w:rsid w:val="00A708B0"/>
    <w:rPr>
      <w:rFonts w:ascii="Times New Roman" w:eastAsia="Times New Roman" w:hAnsi="Times New Roman" w:cs="Times New Roman"/>
      <w:lang w:val="hu-HU"/>
    </w:rPr>
  </w:style>
  <w:style w:type="paragraph" w:styleId="FootnoteText">
    <w:name w:val="footnote text"/>
    <w:basedOn w:val="Normal"/>
    <w:link w:val="FootnoteTextChar"/>
    <w:qFormat/>
    <w:rsid w:val="005F794B"/>
    <w:pPr>
      <w:keepLines/>
      <w:spacing w:after="60" w:line="240" w:lineRule="auto"/>
      <w:ind w:left="567" w:hanging="567"/>
    </w:pPr>
    <w:rPr>
      <w:sz w:val="16"/>
    </w:rPr>
  </w:style>
  <w:style w:type="character" w:customStyle="1" w:styleId="FootnoteTextChar">
    <w:name w:val="Footnote Text Char"/>
    <w:basedOn w:val="DefaultParagraphFont"/>
    <w:link w:val="FootnoteText"/>
    <w:rsid w:val="00A708B0"/>
    <w:rPr>
      <w:rFonts w:ascii="Times New Roman" w:eastAsia="Times New Roman" w:hAnsi="Times New Roman" w:cs="Times New Roman"/>
      <w:sz w:val="16"/>
      <w:lang w:val="hu-HU"/>
    </w:rPr>
  </w:style>
  <w:style w:type="paragraph" w:styleId="Header">
    <w:name w:val="header"/>
    <w:basedOn w:val="Normal"/>
    <w:link w:val="HeaderChar"/>
    <w:qFormat/>
    <w:rsid w:val="005F794B"/>
  </w:style>
  <w:style w:type="character" w:customStyle="1" w:styleId="HeaderChar">
    <w:name w:val="Header Char"/>
    <w:basedOn w:val="DefaultParagraphFont"/>
    <w:link w:val="Header"/>
    <w:rsid w:val="00A708B0"/>
    <w:rPr>
      <w:rFonts w:ascii="Times New Roman" w:eastAsia="Times New Roman" w:hAnsi="Times New Roman" w:cs="Times New Roman"/>
      <w:lang w:val="hu-HU"/>
    </w:rPr>
  </w:style>
  <w:style w:type="paragraph" w:customStyle="1" w:styleId="quotes">
    <w:name w:val="quotes"/>
    <w:basedOn w:val="Normal"/>
    <w:next w:val="Normal"/>
    <w:rsid w:val="005F794B"/>
    <w:pPr>
      <w:ind w:left="720"/>
    </w:pPr>
    <w:rPr>
      <w:i/>
    </w:rPr>
  </w:style>
  <w:style w:type="character" w:styleId="FootnoteReference">
    <w:name w:val="footnote reference"/>
    <w:basedOn w:val="DefaultParagraphFont"/>
    <w:unhideWhenUsed/>
    <w:qFormat/>
    <w:rsid w:val="005F794B"/>
    <w:rPr>
      <w:sz w:val="24"/>
      <w:vertAlign w:val="superscript"/>
    </w:rPr>
  </w:style>
  <w:style w:type="table" w:styleId="TableGrid">
    <w:name w:val="Table Grid"/>
    <w:basedOn w:val="TableNormal"/>
    <w:uiPriority w:val="59"/>
    <w:rsid w:val="00A70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6B3B81"/>
    <w:pPr>
      <w:overflowPunct w:val="0"/>
      <w:autoSpaceDE w:val="0"/>
      <w:autoSpaceDN w:val="0"/>
      <w:adjustRightInd w:val="0"/>
      <w:ind w:left="720"/>
      <w:contextualSpacing/>
      <w:textAlignment w:val="baseline"/>
    </w:pPr>
    <w:rPr>
      <w:szCs w:val="20"/>
    </w:rPr>
  </w:style>
  <w:style w:type="character" w:styleId="Emphasis">
    <w:name w:val="Emphasis"/>
    <w:basedOn w:val="DefaultParagraphFont"/>
    <w:uiPriority w:val="20"/>
    <w:qFormat/>
    <w:rsid w:val="00463AD3"/>
    <w:rPr>
      <w:i/>
      <w:iCs/>
    </w:rPr>
  </w:style>
  <w:style w:type="paragraph" w:styleId="Revision">
    <w:name w:val="Revision"/>
    <w:hidden/>
    <w:uiPriority w:val="99"/>
    <w:semiHidden/>
    <w:rsid w:val="006D3E45"/>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935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5B6"/>
    <w:rPr>
      <w:rFonts w:ascii="Tahoma" w:eastAsia="Times New Roman" w:hAnsi="Tahoma" w:cs="Tahoma"/>
      <w:sz w:val="16"/>
      <w:szCs w:val="16"/>
      <w:lang w:val="hu-HU"/>
    </w:rPr>
  </w:style>
  <w:style w:type="character" w:styleId="CommentReference">
    <w:name w:val="annotation reference"/>
    <w:basedOn w:val="DefaultParagraphFont"/>
    <w:uiPriority w:val="99"/>
    <w:semiHidden/>
    <w:unhideWhenUsed/>
    <w:rsid w:val="00233A5F"/>
    <w:rPr>
      <w:sz w:val="16"/>
      <w:szCs w:val="16"/>
    </w:rPr>
  </w:style>
  <w:style w:type="paragraph" w:styleId="CommentText">
    <w:name w:val="annotation text"/>
    <w:basedOn w:val="Normal"/>
    <w:link w:val="CommentTextChar"/>
    <w:uiPriority w:val="99"/>
    <w:semiHidden/>
    <w:unhideWhenUsed/>
    <w:rsid w:val="00233A5F"/>
    <w:pPr>
      <w:spacing w:line="240" w:lineRule="auto"/>
    </w:pPr>
    <w:rPr>
      <w:sz w:val="20"/>
      <w:szCs w:val="20"/>
    </w:rPr>
  </w:style>
  <w:style w:type="character" w:customStyle="1" w:styleId="CommentTextChar">
    <w:name w:val="Comment Text Char"/>
    <w:basedOn w:val="DefaultParagraphFont"/>
    <w:link w:val="CommentText"/>
    <w:uiPriority w:val="99"/>
    <w:semiHidden/>
    <w:rsid w:val="00233A5F"/>
    <w:rPr>
      <w:rFonts w:ascii="Times New Roman" w:eastAsia="Times New Roman" w:hAnsi="Times New Roman" w:cs="Times New Roman"/>
      <w:sz w:val="20"/>
      <w:szCs w:val="20"/>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70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5F794B"/>
    <w:pPr>
      <w:numPr>
        <w:numId w:val="1"/>
      </w:numPr>
      <w:ind w:left="567" w:hanging="567"/>
      <w:outlineLvl w:val="0"/>
    </w:pPr>
    <w:rPr>
      <w:kern w:val="28"/>
    </w:rPr>
  </w:style>
  <w:style w:type="paragraph" w:styleId="Heading2">
    <w:name w:val="heading 2"/>
    <w:basedOn w:val="Normal"/>
    <w:next w:val="Normal"/>
    <w:link w:val="Heading2Char"/>
    <w:qFormat/>
    <w:rsid w:val="005F794B"/>
    <w:pPr>
      <w:numPr>
        <w:ilvl w:val="1"/>
        <w:numId w:val="1"/>
      </w:numPr>
      <w:ind w:left="567" w:hanging="567"/>
      <w:outlineLvl w:val="1"/>
    </w:pPr>
  </w:style>
  <w:style w:type="paragraph" w:styleId="Heading3">
    <w:name w:val="heading 3"/>
    <w:basedOn w:val="Normal"/>
    <w:next w:val="Normal"/>
    <w:link w:val="Heading3Char"/>
    <w:qFormat/>
    <w:rsid w:val="005F794B"/>
    <w:pPr>
      <w:numPr>
        <w:ilvl w:val="2"/>
        <w:numId w:val="1"/>
      </w:numPr>
      <w:ind w:left="567" w:hanging="567"/>
      <w:outlineLvl w:val="2"/>
    </w:pPr>
  </w:style>
  <w:style w:type="paragraph" w:styleId="Heading4">
    <w:name w:val="heading 4"/>
    <w:basedOn w:val="Normal"/>
    <w:next w:val="Normal"/>
    <w:link w:val="Heading4Char"/>
    <w:qFormat/>
    <w:rsid w:val="005F794B"/>
    <w:pPr>
      <w:numPr>
        <w:ilvl w:val="3"/>
        <w:numId w:val="1"/>
      </w:numPr>
      <w:ind w:left="567" w:hanging="567"/>
      <w:outlineLvl w:val="3"/>
    </w:pPr>
  </w:style>
  <w:style w:type="paragraph" w:styleId="Heading5">
    <w:name w:val="heading 5"/>
    <w:basedOn w:val="Normal"/>
    <w:next w:val="Normal"/>
    <w:link w:val="Heading5Char"/>
    <w:qFormat/>
    <w:rsid w:val="005F794B"/>
    <w:pPr>
      <w:numPr>
        <w:ilvl w:val="4"/>
        <w:numId w:val="1"/>
      </w:numPr>
      <w:ind w:left="567" w:hanging="567"/>
      <w:outlineLvl w:val="4"/>
    </w:pPr>
  </w:style>
  <w:style w:type="paragraph" w:styleId="Heading6">
    <w:name w:val="heading 6"/>
    <w:basedOn w:val="Normal"/>
    <w:next w:val="Normal"/>
    <w:link w:val="Heading6Char"/>
    <w:qFormat/>
    <w:rsid w:val="005F794B"/>
    <w:pPr>
      <w:numPr>
        <w:ilvl w:val="5"/>
        <w:numId w:val="1"/>
      </w:numPr>
      <w:ind w:left="567" w:hanging="567"/>
      <w:outlineLvl w:val="5"/>
    </w:pPr>
  </w:style>
  <w:style w:type="paragraph" w:styleId="Heading7">
    <w:name w:val="heading 7"/>
    <w:basedOn w:val="Normal"/>
    <w:next w:val="Normal"/>
    <w:link w:val="Heading7Char"/>
    <w:qFormat/>
    <w:rsid w:val="005F794B"/>
    <w:pPr>
      <w:numPr>
        <w:ilvl w:val="6"/>
        <w:numId w:val="1"/>
      </w:numPr>
      <w:ind w:left="567" w:hanging="567"/>
      <w:outlineLvl w:val="6"/>
    </w:pPr>
  </w:style>
  <w:style w:type="paragraph" w:styleId="Heading8">
    <w:name w:val="heading 8"/>
    <w:basedOn w:val="Normal"/>
    <w:next w:val="Normal"/>
    <w:link w:val="Heading8Char"/>
    <w:qFormat/>
    <w:rsid w:val="005F794B"/>
    <w:pPr>
      <w:numPr>
        <w:ilvl w:val="7"/>
        <w:numId w:val="1"/>
      </w:numPr>
      <w:ind w:left="567" w:hanging="567"/>
      <w:outlineLvl w:val="7"/>
    </w:pPr>
  </w:style>
  <w:style w:type="paragraph" w:styleId="Heading9">
    <w:name w:val="heading 9"/>
    <w:basedOn w:val="Normal"/>
    <w:next w:val="Normal"/>
    <w:link w:val="Heading9Char"/>
    <w:qFormat/>
    <w:rsid w:val="005F794B"/>
    <w:pPr>
      <w:numPr>
        <w:ilvl w:val="8"/>
        <w:numId w:val="1"/>
      </w:numPr>
      <w:ind w:left="567" w:hanging="567"/>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08B0"/>
    <w:rPr>
      <w:rFonts w:ascii="Times New Roman" w:eastAsia="Times New Roman" w:hAnsi="Times New Roman" w:cs="Times New Roman"/>
      <w:kern w:val="28"/>
      <w:lang w:val="hu-HU"/>
    </w:rPr>
  </w:style>
  <w:style w:type="character" w:customStyle="1" w:styleId="Heading2Char">
    <w:name w:val="Heading 2 Char"/>
    <w:basedOn w:val="DefaultParagraphFont"/>
    <w:link w:val="Heading2"/>
    <w:rsid w:val="00A708B0"/>
    <w:rPr>
      <w:rFonts w:ascii="Times New Roman" w:eastAsia="Times New Roman" w:hAnsi="Times New Roman" w:cs="Times New Roman"/>
      <w:lang w:val="hu-HU"/>
    </w:rPr>
  </w:style>
  <w:style w:type="character" w:customStyle="1" w:styleId="Heading3Char">
    <w:name w:val="Heading 3 Char"/>
    <w:basedOn w:val="DefaultParagraphFont"/>
    <w:link w:val="Heading3"/>
    <w:rsid w:val="00A708B0"/>
    <w:rPr>
      <w:rFonts w:ascii="Times New Roman" w:eastAsia="Times New Roman" w:hAnsi="Times New Roman" w:cs="Times New Roman"/>
      <w:lang w:val="hu-HU"/>
    </w:rPr>
  </w:style>
  <w:style w:type="character" w:customStyle="1" w:styleId="Heading4Char">
    <w:name w:val="Heading 4 Char"/>
    <w:basedOn w:val="DefaultParagraphFont"/>
    <w:link w:val="Heading4"/>
    <w:rsid w:val="00A708B0"/>
    <w:rPr>
      <w:rFonts w:ascii="Times New Roman" w:eastAsia="Times New Roman" w:hAnsi="Times New Roman" w:cs="Times New Roman"/>
      <w:lang w:val="hu-HU"/>
    </w:rPr>
  </w:style>
  <w:style w:type="character" w:customStyle="1" w:styleId="Heading5Char">
    <w:name w:val="Heading 5 Char"/>
    <w:basedOn w:val="DefaultParagraphFont"/>
    <w:link w:val="Heading5"/>
    <w:rsid w:val="00A708B0"/>
    <w:rPr>
      <w:rFonts w:ascii="Times New Roman" w:eastAsia="Times New Roman" w:hAnsi="Times New Roman" w:cs="Times New Roman"/>
      <w:lang w:val="hu-HU"/>
    </w:rPr>
  </w:style>
  <w:style w:type="character" w:customStyle="1" w:styleId="Heading6Char">
    <w:name w:val="Heading 6 Char"/>
    <w:basedOn w:val="DefaultParagraphFont"/>
    <w:link w:val="Heading6"/>
    <w:rsid w:val="00A708B0"/>
    <w:rPr>
      <w:rFonts w:ascii="Times New Roman" w:eastAsia="Times New Roman" w:hAnsi="Times New Roman" w:cs="Times New Roman"/>
      <w:lang w:val="hu-HU"/>
    </w:rPr>
  </w:style>
  <w:style w:type="character" w:customStyle="1" w:styleId="Heading7Char">
    <w:name w:val="Heading 7 Char"/>
    <w:basedOn w:val="DefaultParagraphFont"/>
    <w:link w:val="Heading7"/>
    <w:rsid w:val="00A708B0"/>
    <w:rPr>
      <w:rFonts w:ascii="Times New Roman" w:eastAsia="Times New Roman" w:hAnsi="Times New Roman" w:cs="Times New Roman"/>
      <w:lang w:val="hu-HU"/>
    </w:rPr>
  </w:style>
  <w:style w:type="character" w:customStyle="1" w:styleId="Heading8Char">
    <w:name w:val="Heading 8 Char"/>
    <w:basedOn w:val="DefaultParagraphFont"/>
    <w:link w:val="Heading8"/>
    <w:rsid w:val="00A708B0"/>
    <w:rPr>
      <w:rFonts w:ascii="Times New Roman" w:eastAsia="Times New Roman" w:hAnsi="Times New Roman" w:cs="Times New Roman"/>
      <w:lang w:val="hu-HU"/>
    </w:rPr>
  </w:style>
  <w:style w:type="character" w:customStyle="1" w:styleId="Heading9Char">
    <w:name w:val="Heading 9 Char"/>
    <w:basedOn w:val="DefaultParagraphFont"/>
    <w:link w:val="Heading9"/>
    <w:rsid w:val="00A708B0"/>
    <w:rPr>
      <w:rFonts w:ascii="Times New Roman" w:eastAsia="Times New Roman" w:hAnsi="Times New Roman" w:cs="Times New Roman"/>
      <w:lang w:val="hu-HU"/>
    </w:rPr>
  </w:style>
  <w:style w:type="paragraph" w:styleId="Footer">
    <w:name w:val="footer"/>
    <w:basedOn w:val="Normal"/>
    <w:link w:val="FooterChar"/>
    <w:qFormat/>
    <w:rsid w:val="005F794B"/>
  </w:style>
  <w:style w:type="character" w:customStyle="1" w:styleId="FooterChar">
    <w:name w:val="Footer Char"/>
    <w:basedOn w:val="DefaultParagraphFont"/>
    <w:link w:val="Footer"/>
    <w:rsid w:val="00A708B0"/>
    <w:rPr>
      <w:rFonts w:ascii="Times New Roman" w:eastAsia="Times New Roman" w:hAnsi="Times New Roman" w:cs="Times New Roman"/>
      <w:lang w:val="hu-HU"/>
    </w:rPr>
  </w:style>
  <w:style w:type="paragraph" w:styleId="FootnoteText">
    <w:name w:val="footnote text"/>
    <w:basedOn w:val="Normal"/>
    <w:link w:val="FootnoteTextChar"/>
    <w:qFormat/>
    <w:rsid w:val="005F794B"/>
    <w:pPr>
      <w:keepLines/>
      <w:spacing w:after="60" w:line="240" w:lineRule="auto"/>
      <w:ind w:left="567" w:hanging="567"/>
    </w:pPr>
    <w:rPr>
      <w:sz w:val="16"/>
    </w:rPr>
  </w:style>
  <w:style w:type="character" w:customStyle="1" w:styleId="FootnoteTextChar">
    <w:name w:val="Footnote Text Char"/>
    <w:basedOn w:val="DefaultParagraphFont"/>
    <w:link w:val="FootnoteText"/>
    <w:rsid w:val="00A708B0"/>
    <w:rPr>
      <w:rFonts w:ascii="Times New Roman" w:eastAsia="Times New Roman" w:hAnsi="Times New Roman" w:cs="Times New Roman"/>
      <w:sz w:val="16"/>
      <w:lang w:val="hu-HU"/>
    </w:rPr>
  </w:style>
  <w:style w:type="paragraph" w:styleId="Header">
    <w:name w:val="header"/>
    <w:basedOn w:val="Normal"/>
    <w:link w:val="HeaderChar"/>
    <w:qFormat/>
    <w:rsid w:val="005F794B"/>
  </w:style>
  <w:style w:type="character" w:customStyle="1" w:styleId="HeaderChar">
    <w:name w:val="Header Char"/>
    <w:basedOn w:val="DefaultParagraphFont"/>
    <w:link w:val="Header"/>
    <w:rsid w:val="00A708B0"/>
    <w:rPr>
      <w:rFonts w:ascii="Times New Roman" w:eastAsia="Times New Roman" w:hAnsi="Times New Roman" w:cs="Times New Roman"/>
      <w:lang w:val="hu-HU"/>
    </w:rPr>
  </w:style>
  <w:style w:type="paragraph" w:customStyle="1" w:styleId="quotes">
    <w:name w:val="quotes"/>
    <w:basedOn w:val="Normal"/>
    <w:next w:val="Normal"/>
    <w:rsid w:val="005F794B"/>
    <w:pPr>
      <w:ind w:left="720"/>
    </w:pPr>
    <w:rPr>
      <w:i/>
    </w:rPr>
  </w:style>
  <w:style w:type="character" w:styleId="FootnoteReference">
    <w:name w:val="footnote reference"/>
    <w:basedOn w:val="DefaultParagraphFont"/>
    <w:unhideWhenUsed/>
    <w:qFormat/>
    <w:rsid w:val="005F794B"/>
    <w:rPr>
      <w:sz w:val="24"/>
      <w:vertAlign w:val="superscript"/>
    </w:rPr>
  </w:style>
  <w:style w:type="table" w:styleId="TableGrid">
    <w:name w:val="Table Grid"/>
    <w:basedOn w:val="TableNormal"/>
    <w:uiPriority w:val="59"/>
    <w:rsid w:val="00A70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6B3B81"/>
    <w:pPr>
      <w:overflowPunct w:val="0"/>
      <w:autoSpaceDE w:val="0"/>
      <w:autoSpaceDN w:val="0"/>
      <w:adjustRightInd w:val="0"/>
      <w:ind w:left="720"/>
      <w:contextualSpacing/>
      <w:textAlignment w:val="baseline"/>
    </w:pPr>
    <w:rPr>
      <w:szCs w:val="20"/>
    </w:rPr>
  </w:style>
  <w:style w:type="character" w:styleId="Emphasis">
    <w:name w:val="Emphasis"/>
    <w:basedOn w:val="DefaultParagraphFont"/>
    <w:uiPriority w:val="20"/>
    <w:qFormat/>
    <w:rsid w:val="00463AD3"/>
    <w:rPr>
      <w:i/>
      <w:iCs/>
    </w:rPr>
  </w:style>
  <w:style w:type="paragraph" w:styleId="Revision">
    <w:name w:val="Revision"/>
    <w:hidden/>
    <w:uiPriority w:val="99"/>
    <w:semiHidden/>
    <w:rsid w:val="006D3E45"/>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935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5B6"/>
    <w:rPr>
      <w:rFonts w:ascii="Tahoma" w:eastAsia="Times New Roman" w:hAnsi="Tahoma" w:cs="Tahoma"/>
      <w:sz w:val="16"/>
      <w:szCs w:val="16"/>
      <w:lang w:val="hu-HU"/>
    </w:rPr>
  </w:style>
  <w:style w:type="character" w:styleId="CommentReference">
    <w:name w:val="annotation reference"/>
    <w:basedOn w:val="DefaultParagraphFont"/>
    <w:uiPriority w:val="99"/>
    <w:semiHidden/>
    <w:unhideWhenUsed/>
    <w:rsid w:val="00233A5F"/>
    <w:rPr>
      <w:sz w:val="16"/>
      <w:szCs w:val="16"/>
    </w:rPr>
  </w:style>
  <w:style w:type="paragraph" w:styleId="CommentText">
    <w:name w:val="annotation text"/>
    <w:basedOn w:val="Normal"/>
    <w:link w:val="CommentTextChar"/>
    <w:uiPriority w:val="99"/>
    <w:semiHidden/>
    <w:unhideWhenUsed/>
    <w:rsid w:val="00233A5F"/>
    <w:pPr>
      <w:spacing w:line="240" w:lineRule="auto"/>
    </w:pPr>
    <w:rPr>
      <w:sz w:val="20"/>
      <w:szCs w:val="20"/>
    </w:rPr>
  </w:style>
  <w:style w:type="character" w:customStyle="1" w:styleId="CommentTextChar">
    <w:name w:val="Comment Text Char"/>
    <w:basedOn w:val="DefaultParagraphFont"/>
    <w:link w:val="CommentText"/>
    <w:uiPriority w:val="99"/>
    <w:semiHidden/>
    <w:rsid w:val="00233A5F"/>
    <w:rPr>
      <w:rFonts w:ascii="Times New Roman" w:eastAsia="Times New Roman" w:hAnsi="Times New Roman" w:cs="Times New Roman"/>
      <w:sz w:val="20"/>
      <w:szCs w:val="20"/>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767829">
      <w:bodyDiv w:val="1"/>
      <w:marLeft w:val="0"/>
      <w:marRight w:val="0"/>
      <w:marTop w:val="0"/>
      <w:marBottom w:val="0"/>
      <w:divBdr>
        <w:top w:val="none" w:sz="0" w:space="0" w:color="auto"/>
        <w:left w:val="none" w:sz="0" w:space="0" w:color="auto"/>
        <w:bottom w:val="none" w:sz="0" w:space="0" w:color="auto"/>
        <w:right w:val="none" w:sz="0" w:space="0" w:color="auto"/>
      </w:divBdr>
    </w:div>
    <w:div w:id="1009915254">
      <w:bodyDiv w:val="1"/>
      <w:marLeft w:val="0"/>
      <w:marRight w:val="0"/>
      <w:marTop w:val="0"/>
      <w:marBottom w:val="0"/>
      <w:divBdr>
        <w:top w:val="none" w:sz="0" w:space="0" w:color="auto"/>
        <w:left w:val="none" w:sz="0" w:space="0" w:color="auto"/>
        <w:bottom w:val="none" w:sz="0" w:space="0" w:color="auto"/>
        <w:right w:val="none" w:sz="0" w:space="0" w:color="auto"/>
      </w:divBdr>
    </w:div>
    <w:div w:id="1015764264">
      <w:bodyDiv w:val="1"/>
      <w:marLeft w:val="0"/>
      <w:marRight w:val="0"/>
      <w:marTop w:val="0"/>
      <w:marBottom w:val="0"/>
      <w:divBdr>
        <w:top w:val="none" w:sz="0" w:space="0" w:color="auto"/>
        <w:left w:val="none" w:sz="0" w:space="0" w:color="auto"/>
        <w:bottom w:val="none" w:sz="0" w:space="0" w:color="auto"/>
        <w:right w:val="none" w:sz="0" w:space="0" w:color="auto"/>
      </w:divBdr>
    </w:div>
    <w:div w:id="1436484028">
      <w:bodyDiv w:val="1"/>
      <w:marLeft w:val="0"/>
      <w:marRight w:val="0"/>
      <w:marTop w:val="0"/>
      <w:marBottom w:val="0"/>
      <w:divBdr>
        <w:top w:val="none" w:sz="0" w:space="0" w:color="auto"/>
        <w:left w:val="none" w:sz="0" w:space="0" w:color="auto"/>
        <w:bottom w:val="none" w:sz="0" w:space="0" w:color="auto"/>
        <w:right w:val="none" w:sz="0" w:space="0" w:color="auto"/>
      </w:divBdr>
    </w:div>
    <w:div w:id="165675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4.png"/><Relationship Id="rId3" Type="http://schemas.openxmlformats.org/officeDocument/2006/relationships/customXml" Target="../customXml/item3.xml"/><Relationship Id="rId21" Type="http://schemas.microsoft.com/office/2007/relationships/hdphoto" Target="media/hdphoto4.wdp"/><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hdphoto" Target="media/hdphoto2.wdp"/><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oter" Target="footer1.xml"/><Relationship Id="rId10" Type="http://schemas.openxmlformats.org/officeDocument/2006/relationships/webSettings" Target="webSettings.xml"/><Relationship Id="rId19" Type="http://schemas.microsoft.com/office/2007/relationships/hdphoto" Target="media/hdphoto3.wdp"/><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07/relationships/hdphoto" Target="media/hdphoto1.wdp"/><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WTPCSN73YJ26-8-1788</_dlc_DocId>
    <_dlc_DocIdUrl xmlns="8a3471f6-0f36-4ccf-b5ee-1ca67ea797ef">
      <Url>http://dm/EESC/2017/_layouts/DocIdRedir.aspx?ID=WTPCSN73YJ26-8-1788</Url>
      <Description>WTPCSN73YJ26-8-1788</Description>
    </_dlc_DocIdUrl>
    <MeetingNumber xmlns="aec2565f-fa8c-45b6-95fc-3f27706042d7">32</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2017-11-21T12:00:00+00:00</ProductionDate>
    <DocumentNumber xmlns="aec2565f-fa8c-45b6-95fc-3f27706042d7">5055</DocumentNumber>
    <FicheYear xmlns="8a3471f6-0f36-4ccf-b5ee-1ca67ea797ef">2017</FicheYear>
    <DocumentVersion xmlns="8a3471f6-0f36-4ccf-b5ee-1ca67ea797ef">3</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2017-11-27T12:00:00+00:00</MeetingDate>
    <TaxCatchAll xmlns="8a3471f6-0f36-4ccf-b5ee-1ca67ea797ef">
      <Value>18</Value>
      <Value>29</Value>
      <Value>8</Value>
      <Value>95</Value>
      <Value>6</Value>
      <Value>5</Value>
      <Value>4</Value>
      <Value>3</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12733</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EU2020</TermName>
          <TermId xmlns="http://schemas.microsoft.com/office/infopath/2007/PartnerControls">0efd4cd5-54df-4969-b9f8-ac11177e941d</TermId>
        </TermInfo>
      </Terms>
    </MeetingName_0>
    <RequestingService xmlns="8a3471f6-0f36-4ccf-b5ee-1ca67ea797ef">Europe 2020 - Comite de pilotage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98B203C585D2E54E8477D21D46703D0B" ma:contentTypeVersion="4" ma:contentTypeDescription="Defines the documents for Document Manager V2" ma:contentTypeScope="" ma:versionID="3f64119e6ef0341831616a1b03f5ae53">
  <xsd:schema xmlns:xsd="http://www.w3.org/2001/XMLSchema" xmlns:xs="http://www.w3.org/2001/XMLSchema" xmlns:p="http://schemas.microsoft.com/office/2006/metadata/properties" xmlns:ns2="8a3471f6-0f36-4ccf-b5ee-1ca67ea797ef" xmlns:ns3="http://schemas.microsoft.com/sharepoint/v3/fields" xmlns:ns4="aec2565f-fa8c-45b6-95fc-3f27706042d7" targetNamespace="http://schemas.microsoft.com/office/2006/metadata/properties" ma:root="true" ma:fieldsID="d5014c4f35df7613a330b0d3999c5d27" ns2:_="" ns3:_="" ns4:_="">
    <xsd:import namespace="8a3471f6-0f36-4ccf-b5ee-1ca67ea797ef"/>
    <xsd:import namespace="http://schemas.microsoft.com/sharepoint/v3/fields"/>
    <xsd:import namespace="aec2565f-fa8c-45b6-95fc-3f27706042d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c2565f-fa8c-45b6-95fc-3f27706042d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32DDD-0360-4313-8FBA-99A8BAB5621B}">
  <ds:schemaRefs>
    <ds:schemaRef ds:uri="http://schemas.microsoft.com/sharepoint/events"/>
  </ds:schemaRefs>
</ds:datastoreItem>
</file>

<file path=customXml/itemProps2.xml><?xml version="1.0" encoding="utf-8"?>
<ds:datastoreItem xmlns:ds="http://schemas.openxmlformats.org/officeDocument/2006/customXml" ds:itemID="{8FF0763C-72DD-4008-8991-5A9C6672196F}">
  <ds:schemaRefs>
    <ds:schemaRef ds:uri="http://schemas.microsoft.com/sharepoint/v3/contenttype/forms"/>
  </ds:schemaRefs>
</ds:datastoreItem>
</file>

<file path=customXml/itemProps3.xml><?xml version="1.0" encoding="utf-8"?>
<ds:datastoreItem xmlns:ds="http://schemas.openxmlformats.org/officeDocument/2006/customXml" ds:itemID="{0517E583-A9C4-423F-A7AF-8610951CC645}">
  <ds:schemaRefs>
    <ds:schemaRef ds:uri="http://purl.org/dc/elements/1.1/"/>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aec2565f-fa8c-45b6-95fc-3f27706042d7"/>
    <ds:schemaRef ds:uri="http://schemas.microsoft.com/office/2006/documentManagement/types"/>
    <ds:schemaRef ds:uri="http://schemas.microsoft.com/sharepoint/v3/fields"/>
    <ds:schemaRef ds:uri="8a3471f6-0f36-4ccf-b5ee-1ca67ea797ef"/>
    <ds:schemaRef ds:uri="http://purl.org/dc/dcmitype/"/>
    <ds:schemaRef ds:uri="http://purl.org/dc/terms/"/>
  </ds:schemaRefs>
</ds:datastoreItem>
</file>

<file path=customXml/itemProps4.xml><?xml version="1.0" encoding="utf-8"?>
<ds:datastoreItem xmlns:ds="http://schemas.openxmlformats.org/officeDocument/2006/customXml" ds:itemID="{A88637BE-643F-45EA-84D7-2F7CC18A6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aec2565f-fa8c-45b6-95fc-3f2770604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CF5158-1A6B-48FF-9BA4-53C954D5A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1675</Words>
  <Characters>9218</Characters>
  <Application>Microsoft Office Word</Application>
  <DocSecurity>0</DocSecurity>
  <Lines>76</Lines>
  <Paragraphs>21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Programtervezet, Budapest</vt:lpstr>
      <vt:lpstr>EU2020 Budapest 27-28 Nov Draft programme</vt:lpstr>
    </vt:vector>
  </TitlesOfParts>
  <Company>CESE-CdR</Company>
  <LinksUpToDate>false</LinksUpToDate>
  <CharactersWithSpaces>10872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Programtervezet, Budapest</dc:title>
  <dc:creator>Jean-Pierre Faure</dc:creator>
  <cp:keywords>EESC-2017-05055-00-03-INFO-TRA-EN</cp:keywords>
  <dc:description>Rapporteur:  - Original language: EN - Date of document: 21/11/2017 - Date of meeting: 27/11/2017 - External documents:  - Administrator: Mme Dubiec Ludmila Monika</dc:description>
  <cp:lastModifiedBy>Anca Boatca</cp:lastModifiedBy>
  <cp:revision>3</cp:revision>
  <cp:lastPrinted>2017-11-15T15:24:00Z</cp:lastPrinted>
  <dcterms:created xsi:type="dcterms:W3CDTF">2017-12-14T16:09:00Z</dcterms:created>
  <dcterms:modified xsi:type="dcterms:W3CDTF">2017-12-14T16:12:00Z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17/11/2017, 26/10/2017, 25/10/2017, 25/10/2017</vt:lpwstr>
  </property>
  <property fmtid="{D5CDD505-2E9C-101B-9397-08002B2CF9AE}" pid="4" name="Pref_Time">
    <vt:lpwstr>15:10:53, 11:09:46, 17:18:51, 17:08:29</vt:lpwstr>
  </property>
  <property fmtid="{D5CDD505-2E9C-101B-9397-08002B2CF9AE}" pid="5" name="Pref_User">
    <vt:lpwstr>mkop, enied, mkop, ssex</vt:lpwstr>
  </property>
  <property fmtid="{D5CDD505-2E9C-101B-9397-08002B2CF9AE}" pid="6" name="Pref_FileName">
    <vt:lpwstr>EESC-2017-05055-00-03-INFO-ORI.docx, EESC-2017-05055-00-01-INFO-ORI.docx, EESC-2017-05055-00-00-INFO-TRA-EN-CRR.docx, EESC-2017-05055-00-00-INFO-CRR-EN.docx</vt:lpwstr>
  </property>
  <property fmtid="{D5CDD505-2E9C-101B-9397-08002B2CF9AE}" pid="7" name="ContentTypeId">
    <vt:lpwstr>0x010100EA97B91038054C99906057A708A1480A0098B203C585D2E54E8477D21D46703D0B</vt:lpwstr>
  </property>
  <property fmtid="{D5CDD505-2E9C-101B-9397-08002B2CF9AE}" pid="8" name="_dlc_DocIdItemGuid">
    <vt:lpwstr>5da88cbe-c076-405c-a71d-c204b0a0e830</vt:lpwstr>
  </property>
  <property fmtid="{D5CDD505-2E9C-101B-9397-08002B2CF9AE}" pid="9" name="MeetingNumber">
    <vt:i4>32</vt:i4>
  </property>
  <property fmtid="{D5CDD505-2E9C-101B-9397-08002B2CF9AE}" pid="10" name="DocumentType_0">
    <vt:lpwstr>INFO|d9136e7c-93a9-4c42-9d28-92b61e85f80c</vt:lpwstr>
  </property>
  <property fmtid="{D5CDD505-2E9C-101B-9397-08002B2CF9AE}" pid="11" name="AvailableTranslations">
    <vt:lpwstr>4;#EN|f2175f21-25d7-44a3-96da-d6a61b075e1b;#18;#DE|f6b31e5a-26fa-4935-b661-318e46daf27e;#8;#FR|d2afafd3-4c81-4f60-8f52-ee33f2f54ff3;#29;#HU|6b229040-c589-4408-b4c1-4285663d20a8</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FicheYear">
    <vt:i4>2017</vt:i4>
  </property>
  <property fmtid="{D5CDD505-2E9C-101B-9397-08002B2CF9AE}" pid="15" name="DocumentNumber">
    <vt:i4>5055</vt:i4>
  </property>
  <property fmtid="{D5CDD505-2E9C-101B-9397-08002B2CF9AE}" pid="16" name="DocumentVersion">
    <vt:i4>3</vt:i4>
  </property>
  <property fmtid="{D5CDD505-2E9C-101B-9397-08002B2CF9AE}" pid="17" name="DocumentSource">
    <vt:lpwstr>1;#EESC|422833ec-8d7e-4e65-8e4e-8bed07ffb729</vt:lpwstr>
  </property>
  <property fmtid="{D5CDD505-2E9C-101B-9397-08002B2CF9AE}" pid="18" name="DocumentType">
    <vt:lpwstr>3;#INFO|d9136e7c-93a9-4c42-9d28-92b61e85f80c</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Europe 2020 - Comite de pilotage</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EU2020|0efd4cd5-54df-4969-b9f8-ac11177e941d</vt:lpwstr>
  </property>
  <property fmtid="{D5CDD505-2E9C-101B-9397-08002B2CF9AE}" pid="26" name="OriginalLanguage">
    <vt:lpwstr>4;#EN|f2175f21-25d7-44a3-96da-d6a61b075e1b</vt:lpwstr>
  </property>
  <property fmtid="{D5CDD505-2E9C-101B-9397-08002B2CF9AE}" pid="27" name="MeetingName">
    <vt:lpwstr>95;#EU2020|0efd4cd5-54df-4969-b9f8-ac11177e941d</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MeetingDate">
    <vt:filetime>2017-11-27T12:00:00Z</vt:filetime>
  </property>
  <property fmtid="{D5CDD505-2E9C-101B-9397-08002B2CF9AE}" pid="31" name="TaxCatchAll">
    <vt:lpwstr>18;#DE|f6b31e5a-26fa-4935-b661-318e46daf27e;#8;#FR|d2afafd3-4c81-4f60-8f52-ee33f2f54ff3;#95;#EU2020|0efd4cd5-54df-4969-b9f8-ac11177e941d;#6;#Final|ea5e6674-7b27-4bac-b091-73adbb394efe;#5;#Unrestricted|826e22d7-d029-4ec0-a450-0c28ff673572;#4;#EN|f2175f21-2</vt:lpwstr>
  </property>
  <property fmtid="{D5CDD505-2E9C-101B-9397-08002B2CF9AE}" pid="32" name="AvailableTranslations_0">
    <vt:lpwstr>EN|f2175f21-25d7-44a3-96da-d6a61b075e1b;DE|f6b31e5a-26fa-4935-b661-318e46daf27e;FR|d2afafd3-4c81-4f60-8f52-ee33f2f54ff3</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12733</vt:i4>
  </property>
  <property fmtid="{D5CDD505-2E9C-101B-9397-08002B2CF9AE}" pid="36" name="DocumentYear">
    <vt:i4>2017</vt:i4>
  </property>
  <property fmtid="{D5CDD505-2E9C-101B-9397-08002B2CF9AE}" pid="37" name="DocumentLanguage">
    <vt:lpwstr>29;#HU|6b229040-c589-4408-b4c1-4285663d20a8</vt:lpwstr>
  </property>
</Properties>
</file>