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D6" w:rsidRPr="005B0888" w:rsidRDefault="009656D6">
      <w:bookmarkStart w:id="0" w:name="_GoBack"/>
      <w:bookmarkEnd w:id="0"/>
    </w:p>
    <w:p w:rsidR="00E660CB" w:rsidRPr="005B0888" w:rsidRDefault="00D66AA0">
      <w:r w:rsidRPr="005B0888">
        <w:rPr>
          <w:noProof/>
          <w:sz w:val="20"/>
          <w:lang w:val="fr-BE" w:eastAsia="fr-BE" w:bidi="ar-SA"/>
        </w:rPr>
        <mc:AlternateContent>
          <mc:Choice Requires="wps">
            <w:drawing>
              <wp:anchor distT="0" distB="0" distL="114300" distR="114300" simplePos="0" relativeHeight="251658240" behindDoc="1" locked="0" layoutInCell="0" allowOverlap="1" wp14:anchorId="25D3B4FA" wp14:editId="45D29903">
                <wp:simplePos x="0" y="0"/>
                <wp:positionH relativeFrom="page">
                  <wp:posOffset>6766560</wp:posOffset>
                </wp:positionH>
                <wp:positionV relativeFrom="page">
                  <wp:posOffset>10074303</wp:posOffset>
                </wp:positionV>
                <wp:extent cx="652007" cy="397565"/>
                <wp:effectExtent l="0" t="0" r="0" b="254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 cy="39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AA1" w:rsidRPr="00260E65" w:rsidRDefault="00227AA1">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8pt;margin-top:793.25pt;width:51.35pt;height:3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7dtQIAALo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" o:allowincell="f" filled="f" stroked="f">
                <v:textbox>
                  <w:txbxContent>
                    <w:p w:rsidR="00227AA1" w:rsidRPr="00260E65" w:rsidRDefault="00227AA1">
                      <w:pPr>
                        <w:jc w:val="center"/>
                        <w:rPr>
                          <w:rFonts w:ascii="Arial" w:hAnsi="Arial" w:cs="Arial"/>
                          <w:b/>
                          <w:bCs/>
                          <w:sz w:val="48"/>
                        </w:rPr>
                      </w:pPr>
                      <w:r>
                        <w:rPr>
                          <w:rFonts w:ascii="Arial" w:hAnsi="Arial"/>
                          <w:b/>
                          <w:sz w:val="48"/>
                        </w:rPr>
                        <w:t>FR</w:t>
                      </w:r>
                    </w:p>
                  </w:txbxContent>
                </v:textbox>
                <w10:wrap anchorx="page" anchory="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FF04BA" w:rsidRPr="005B0888">
        <w:tc>
          <w:tcPr>
            <w:tcW w:w="5000" w:type="pct"/>
            <w:shd w:val="clear" w:color="auto" w:fill="DBE5F1" w:themeFill="accent1" w:themeFillTint="33"/>
          </w:tcPr>
          <w:p w:rsidR="00A708B0" w:rsidRPr="005B0888" w:rsidRDefault="009C7C24" w:rsidP="00DE0BB3">
            <w:pPr>
              <w:jc w:val="center"/>
              <w:rPr>
                <w:rFonts w:eastAsia="Calibri"/>
                <w:b/>
                <w:sz w:val="32"/>
              </w:rPr>
            </w:pPr>
            <w:r w:rsidRPr="005B0888">
              <w:rPr>
                <w:b/>
                <w:sz w:val="32"/>
              </w:rPr>
              <w:t>LA TRANSITION VERS L</w:t>
            </w:r>
            <w:r w:rsidR="005B0888" w:rsidRPr="005B0888">
              <w:rPr>
                <w:b/>
                <w:sz w:val="32"/>
              </w:rPr>
              <w:t>’</w:t>
            </w:r>
            <w:r w:rsidRPr="005B0888">
              <w:rPr>
                <w:b/>
                <w:sz w:val="32"/>
              </w:rPr>
              <w:t>EUROPE DE L</w:t>
            </w:r>
            <w:r w:rsidR="005B0888" w:rsidRPr="005B0888">
              <w:rPr>
                <w:b/>
                <w:sz w:val="32"/>
              </w:rPr>
              <w:t>’</w:t>
            </w:r>
            <w:r w:rsidRPr="005B0888">
              <w:rPr>
                <w:b/>
                <w:sz w:val="32"/>
              </w:rPr>
              <w:t>APRÈS-2020</w:t>
            </w:r>
          </w:p>
        </w:tc>
      </w:tr>
      <w:tr w:rsidR="00FF04BA" w:rsidRPr="005B0888">
        <w:tc>
          <w:tcPr>
            <w:tcW w:w="5000" w:type="pct"/>
          </w:tcPr>
          <w:p w:rsidR="00A708B0" w:rsidRPr="005B0888" w:rsidRDefault="00A708B0" w:rsidP="00ED3DF8">
            <w:pPr>
              <w:jc w:val="center"/>
              <w:rPr>
                <w:sz w:val="32"/>
              </w:rPr>
            </w:pPr>
            <w:r w:rsidRPr="005B0888">
              <w:rPr>
                <w:b/>
                <w:sz w:val="32"/>
              </w:rPr>
              <w:t>27 et 28 novembre 2017</w:t>
            </w:r>
          </w:p>
        </w:tc>
      </w:tr>
      <w:tr w:rsidR="00FF04BA" w:rsidRPr="005B0888">
        <w:tc>
          <w:tcPr>
            <w:tcW w:w="5000" w:type="pct"/>
          </w:tcPr>
          <w:p w:rsidR="00ED3DF8" w:rsidRPr="005B0888" w:rsidRDefault="00A708B0" w:rsidP="00ED3DF8">
            <w:pPr>
              <w:jc w:val="center"/>
              <w:rPr>
                <w:rFonts w:eastAsia="Calibri"/>
              </w:rPr>
            </w:pPr>
            <w:r w:rsidRPr="005B0888">
              <w:rPr>
                <w:b/>
              </w:rPr>
              <w:t>Lieu:</w:t>
            </w:r>
            <w:r w:rsidRPr="005B0888">
              <w:t xml:space="preserve"> </w:t>
            </w:r>
          </w:p>
          <w:p w:rsidR="00A708B0" w:rsidRPr="005B0888" w:rsidRDefault="00FF04DF" w:rsidP="00ED3DF8">
            <w:pPr>
              <w:jc w:val="center"/>
              <w:rPr>
                <w:rFonts w:eastAsia="Calibri"/>
              </w:rPr>
            </w:pPr>
            <w:r w:rsidRPr="005B0888">
              <w:t>Académie hongroise des sciences</w:t>
            </w:r>
          </w:p>
          <w:p w:rsidR="00FF04DF" w:rsidRPr="005B0888" w:rsidRDefault="00FF04DF" w:rsidP="00ED3DF8">
            <w:pPr>
              <w:jc w:val="center"/>
              <w:rPr>
                <w:rFonts w:eastAsia="Calibri"/>
              </w:rPr>
            </w:pPr>
            <w:r w:rsidRPr="005B0888">
              <w:t>9 Place István Széchenyi</w:t>
            </w:r>
          </w:p>
          <w:p w:rsidR="00A708B0" w:rsidRPr="005B0888" w:rsidRDefault="00FF04DF" w:rsidP="00ED3DF8">
            <w:pPr>
              <w:jc w:val="center"/>
              <w:rPr>
                <w:rFonts w:eastAsia="Calibri"/>
              </w:rPr>
            </w:pPr>
            <w:r w:rsidRPr="005B0888">
              <w:t>1051 Budapest, Hongrie</w:t>
            </w:r>
          </w:p>
        </w:tc>
      </w:tr>
      <w:tr w:rsidR="00FF04BA" w:rsidRPr="005B0888">
        <w:tc>
          <w:tcPr>
            <w:tcW w:w="5000" w:type="pct"/>
          </w:tcPr>
          <w:p w:rsidR="00A708B0" w:rsidRPr="005B0888" w:rsidRDefault="00363F79" w:rsidP="009810F8">
            <w:pPr>
              <w:tabs>
                <w:tab w:val="center" w:pos="4536"/>
              </w:tabs>
              <w:jc w:val="center"/>
            </w:pPr>
            <w:r w:rsidRPr="005B0888">
              <w:t>#Europe2020</w:t>
            </w:r>
            <w:r w:rsidR="00241CCD">
              <w:t xml:space="preserve"> #EESC</w:t>
            </w:r>
          </w:p>
        </w:tc>
      </w:tr>
      <w:tr w:rsidR="00FF04BA" w:rsidRPr="005B0888">
        <w:tc>
          <w:tcPr>
            <w:tcW w:w="5000" w:type="pct"/>
          </w:tcPr>
          <w:p w:rsidR="00A708B0" w:rsidRPr="005B0888" w:rsidRDefault="00A708B0" w:rsidP="00ED3DF8">
            <w:pPr>
              <w:jc w:val="center"/>
            </w:pPr>
          </w:p>
        </w:tc>
      </w:tr>
      <w:tr w:rsidR="00FF04BA" w:rsidRPr="005B0888">
        <w:tc>
          <w:tcPr>
            <w:tcW w:w="5000" w:type="pct"/>
          </w:tcPr>
          <w:p w:rsidR="00A708B0" w:rsidRPr="005B0888" w:rsidRDefault="00A708B0" w:rsidP="009656D6">
            <w:pPr>
              <w:jc w:val="left"/>
              <w:rPr>
                <w:rFonts w:eastAsia="Calibri"/>
                <w:b/>
              </w:rPr>
            </w:pPr>
            <w:r w:rsidRPr="005B0888">
              <w:rPr>
                <w:b/>
              </w:rPr>
              <w:t>Contexte</w:t>
            </w:r>
          </w:p>
        </w:tc>
      </w:tr>
      <w:tr w:rsidR="00FF04BA" w:rsidRPr="005B0888">
        <w:tc>
          <w:tcPr>
            <w:tcW w:w="5000" w:type="pct"/>
          </w:tcPr>
          <w:p w:rsidR="00233A5F" w:rsidRPr="005B0888" w:rsidRDefault="00233A5F" w:rsidP="002C5B74">
            <w:r w:rsidRPr="005B0888">
              <w:t>En 2010, pour remplacer la stratégie de Lisbonne, l</w:t>
            </w:r>
            <w:r w:rsidR="005B0888" w:rsidRPr="005B0888">
              <w:t>’</w:t>
            </w:r>
            <w:r w:rsidRPr="005B0888">
              <w:t>Union européenne (UE) a lancé la stratégie décennale Europe 2020 pour une croissance intelligente, durable et inclusive. Cette stratégie a fixé les objectifs communs et les priorités stratégiques de l</w:t>
            </w:r>
            <w:r w:rsidR="005B0888" w:rsidRPr="005B0888">
              <w:t>’</w:t>
            </w:r>
            <w:r w:rsidRPr="005B0888">
              <w:t>UE jusqu</w:t>
            </w:r>
            <w:r w:rsidR="005B0888" w:rsidRPr="005B0888">
              <w:t>’</w:t>
            </w:r>
            <w:r w:rsidRPr="005B0888">
              <w:t>en 2020. Au cours des sept dernières années, l</w:t>
            </w:r>
            <w:r w:rsidR="005B0888" w:rsidRPr="005B0888">
              <w:t>’</w:t>
            </w:r>
            <w:r w:rsidRPr="005B0888">
              <w:t>UE et ses États membres ont mis en œuvre cette stratégie en s</w:t>
            </w:r>
            <w:r w:rsidR="005B0888" w:rsidRPr="005B0888">
              <w:t>’</w:t>
            </w:r>
            <w:r w:rsidRPr="005B0888">
              <w:t>appuyant sur le semestre européen. En outre, ils ont adopté d</w:t>
            </w:r>
            <w:r w:rsidR="005B0888" w:rsidRPr="005B0888">
              <w:t>’</w:t>
            </w:r>
            <w:r w:rsidRPr="005B0888">
              <w:t>autres initiatives afin d</w:t>
            </w:r>
            <w:r w:rsidR="005B0888" w:rsidRPr="005B0888">
              <w:t>’</w:t>
            </w:r>
            <w:r w:rsidRPr="005B0888">
              <w:t>assurer le redressement économique. En 2015, le plan d</w:t>
            </w:r>
            <w:r w:rsidR="005B0888" w:rsidRPr="005B0888">
              <w:t>’</w:t>
            </w:r>
            <w:r w:rsidRPr="005B0888">
              <w:t>investissement pour l</w:t>
            </w:r>
            <w:r w:rsidR="005B0888" w:rsidRPr="005B0888">
              <w:t>’</w:t>
            </w:r>
            <w:r w:rsidRPr="005B0888">
              <w:t>Europe («plan Juncker») a été lancé afin de remédier aux faibles niveaux d</w:t>
            </w:r>
            <w:r w:rsidR="005B0888" w:rsidRPr="005B0888">
              <w:t>’</w:t>
            </w:r>
            <w:r w:rsidRPr="005B0888">
              <w:t>investissement en Europe. Toutefois, la stratégie Europe 2020 arrive bientôt à échéance et l</w:t>
            </w:r>
            <w:r w:rsidR="005B0888" w:rsidRPr="005B0888">
              <w:t>’</w:t>
            </w:r>
            <w:r w:rsidRPr="005B0888">
              <w:t>UE doit préparer un nouveau cadre pour la prochaine décennie et au-delà.</w:t>
            </w:r>
          </w:p>
          <w:p w:rsidR="00233A5F" w:rsidRPr="005B0888" w:rsidRDefault="00233A5F" w:rsidP="00233A5F"/>
          <w:p w:rsidR="00233A5F" w:rsidRPr="005B0888" w:rsidRDefault="00233A5F" w:rsidP="002C5B74">
            <w:r w:rsidRPr="005B0888">
              <w:t>Depuis 2010, la situation politique et économique a fortement changé en Europe. Alors que cette dernière se remet progressivement des effets à long terme de la crise économique et financière, de nouveaux défis politiques, économiques, environnementaux et sociaux sont apparus. Tous les acteurs s</w:t>
            </w:r>
            <w:r w:rsidR="005B0888" w:rsidRPr="005B0888">
              <w:t>’</w:t>
            </w:r>
            <w:r w:rsidRPr="005B0888">
              <w:t>accordent à dire que l</w:t>
            </w:r>
            <w:r w:rsidR="005B0888" w:rsidRPr="005B0888">
              <w:t>’</w:t>
            </w:r>
            <w:r w:rsidRPr="005B0888">
              <w:t>UE est face à un tournant décisif et que son avenir est en jeu. Ce nouveau contexte nécessite un cadre renouvelé qui renforce la réaction de l</w:t>
            </w:r>
            <w:r w:rsidR="005B0888" w:rsidRPr="005B0888">
              <w:t>’</w:t>
            </w:r>
            <w:r w:rsidRPr="005B0888">
              <w:t>Europe à ces défis et offre de nouvelles perspectives pérennes pour le projet européen.</w:t>
            </w:r>
          </w:p>
          <w:p w:rsidR="00233A5F" w:rsidRPr="005B0888" w:rsidRDefault="00233A5F" w:rsidP="00233A5F"/>
          <w:p w:rsidR="00233A5F" w:rsidRPr="005B0888" w:rsidRDefault="00233A5F" w:rsidP="009810F8">
            <w:pPr>
              <w:rPr>
                <w:rFonts w:eastAsia="Calibri"/>
                <w:bCs/>
              </w:rPr>
            </w:pPr>
            <w:r w:rsidRPr="005B0888">
              <w:t>Dans ce contexte, une période de réflexion a débuté avec la publication, en mars 2017, du livre blanc de la Commission européenne sur l</w:t>
            </w:r>
            <w:r w:rsidR="005B0888" w:rsidRPr="005B0888">
              <w:t>’</w:t>
            </w:r>
            <w:r w:rsidRPr="005B0888">
              <w:t>avenir de l</w:t>
            </w:r>
            <w:r w:rsidR="005B0888" w:rsidRPr="005B0888">
              <w:t>’</w:t>
            </w:r>
            <w:r w:rsidRPr="005B0888">
              <w:t>Europe et se conclura par la tenue des élections au Parlement européen en 2019. Cette conférence s</w:t>
            </w:r>
            <w:r w:rsidR="005B0888" w:rsidRPr="005B0888">
              <w:t>’</w:t>
            </w:r>
            <w:r w:rsidRPr="005B0888">
              <w:t>inscrit dans cette réflexion en réunissant des représentants de la société civile, afin qu</w:t>
            </w:r>
            <w:r w:rsidR="005B0888" w:rsidRPr="005B0888">
              <w:t>’</w:t>
            </w:r>
            <w:r w:rsidRPr="005B0888">
              <w:t>ils échangent et fournissent leur contribution essentielle à la transition vers une nouvelle stratégie participative à long terme pour l</w:t>
            </w:r>
            <w:r w:rsidR="005B0888" w:rsidRPr="005B0888">
              <w:t>’</w:t>
            </w:r>
            <w:r w:rsidRPr="005B0888">
              <w:t>après-2020.</w:t>
            </w:r>
          </w:p>
        </w:tc>
      </w:tr>
    </w:tbl>
    <w:p w:rsidR="00E660CB" w:rsidRPr="005B0888" w:rsidRDefault="00E660CB"/>
    <w:p w:rsidR="00E660CB" w:rsidRPr="005B0888" w:rsidRDefault="00E660CB"/>
    <w:p w:rsidR="00E660CB" w:rsidRPr="005B0888" w:rsidRDefault="00E660CB" w:rsidP="00E660CB">
      <w:r w:rsidRPr="005B0888">
        <w:t>Avec le soutien de: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803"/>
        <w:gridCol w:w="1418"/>
        <w:gridCol w:w="1276"/>
        <w:gridCol w:w="1380"/>
        <w:gridCol w:w="1280"/>
      </w:tblGrid>
      <w:tr w:rsidR="00FF04BA" w:rsidRPr="005B0888">
        <w:trPr>
          <w:trHeight w:val="397"/>
        </w:trPr>
        <w:tc>
          <w:tcPr>
            <w:tcW w:w="1686" w:type="pct"/>
          </w:tcPr>
          <w:p w:rsidR="00E660CB" w:rsidRPr="005B0888" w:rsidRDefault="00E660CB" w:rsidP="009810F8">
            <w:pPr>
              <w:spacing w:after="200"/>
              <w:jc w:val="center"/>
              <w:rPr>
                <w:sz w:val="20"/>
              </w:rPr>
            </w:pPr>
            <w:r w:rsidRPr="005B0888">
              <w:rPr>
                <w:noProof/>
                <w:sz w:val="20"/>
                <w:lang w:val="fr-BE" w:eastAsia="fr-BE" w:bidi="ar-SA"/>
              </w:rPr>
              <w:drawing>
                <wp:inline distT="0" distB="0" distL="0" distR="0" wp14:anchorId="3B44D8CA" wp14:editId="5B3D88E9">
                  <wp:extent cx="481618"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81618" cy="504000"/>
                          </a:xfrm>
                          <a:prstGeom prst="rect">
                            <a:avLst/>
                          </a:prstGeom>
                          <a:noFill/>
                        </pic:spPr>
                      </pic:pic>
                    </a:graphicData>
                  </a:graphic>
                </wp:inline>
              </w:drawing>
            </w:r>
          </w:p>
          <w:p w:rsidR="00E660CB" w:rsidRPr="005B0888" w:rsidRDefault="00E660CB" w:rsidP="009810F8">
            <w:pPr>
              <w:spacing w:after="200"/>
              <w:jc w:val="center"/>
              <w:rPr>
                <w:sz w:val="20"/>
                <w:szCs w:val="16"/>
              </w:rPr>
            </w:pPr>
            <w:r w:rsidRPr="005B0888">
              <w:rPr>
                <w:sz w:val="16"/>
              </w:rPr>
              <w:t>Société hongroise d</w:t>
            </w:r>
            <w:r w:rsidR="005B0888" w:rsidRPr="005B0888">
              <w:rPr>
                <w:sz w:val="16"/>
              </w:rPr>
              <w:t>’</w:t>
            </w:r>
            <w:r w:rsidRPr="005B0888">
              <w:rPr>
                <w:sz w:val="16"/>
              </w:rPr>
              <w:t>économie</w:t>
            </w:r>
          </w:p>
        </w:tc>
        <w:tc>
          <w:tcPr>
            <w:tcW w:w="432" w:type="pct"/>
            <w:vAlign w:val="center"/>
          </w:tcPr>
          <w:p w:rsidR="00E660CB" w:rsidRPr="005B0888" w:rsidRDefault="00E660CB" w:rsidP="009810F8">
            <w:pPr>
              <w:spacing w:after="200"/>
              <w:jc w:val="center"/>
              <w:rPr>
                <w:sz w:val="20"/>
              </w:rPr>
            </w:pPr>
            <w:r w:rsidRPr="005B0888">
              <w:rPr>
                <w:sz w:val="20"/>
              </w:rPr>
              <w:t xml:space="preserve">et de: </w:t>
            </w:r>
          </w:p>
        </w:tc>
        <w:tc>
          <w:tcPr>
            <w:tcW w:w="763" w:type="pct"/>
            <w:vAlign w:val="center"/>
          </w:tcPr>
          <w:p w:rsidR="00E660CB" w:rsidRPr="005B0888" w:rsidRDefault="00E660CB" w:rsidP="009810F8">
            <w:pPr>
              <w:spacing w:after="200"/>
              <w:jc w:val="center"/>
              <w:rPr>
                <w:sz w:val="20"/>
              </w:rPr>
            </w:pPr>
            <w:r w:rsidRPr="005B0888">
              <w:rPr>
                <w:noProof/>
                <w:sz w:val="20"/>
                <w:lang w:val="fr-BE" w:eastAsia="fr-BE" w:bidi="ar-SA"/>
              </w:rPr>
              <w:drawing>
                <wp:inline distT="0" distB="0" distL="0" distR="0" wp14:anchorId="62BA3014" wp14:editId="1BD35C83">
                  <wp:extent cx="685264" cy="468000"/>
                  <wp:effectExtent l="0" t="0" r="635" b="8255"/>
                  <wp:docPr id="8" name="Picture 8" descr="C:\Users\aboat\AppData\Local\Microsoft\Windows\Temporary Internet Files\Content.Outlook\0ITE7QUG\emmi_color-cmyk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at\AppData\Local\Microsoft\Windows\Temporary Internet Files\Content.Outlook\0ITE7QUG\emmi_color-cmyk (6).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85264" cy="468000"/>
                          </a:xfrm>
                          <a:prstGeom prst="rect">
                            <a:avLst/>
                          </a:prstGeom>
                          <a:noFill/>
                          <a:ln>
                            <a:noFill/>
                          </a:ln>
                        </pic:spPr>
                      </pic:pic>
                    </a:graphicData>
                  </a:graphic>
                </wp:inline>
              </w:drawing>
            </w:r>
          </w:p>
        </w:tc>
        <w:tc>
          <w:tcPr>
            <w:tcW w:w="687" w:type="pct"/>
            <w:vAlign w:val="center"/>
          </w:tcPr>
          <w:p w:rsidR="00E660CB" w:rsidRPr="005B0888" w:rsidRDefault="00E660CB" w:rsidP="009810F8">
            <w:pPr>
              <w:spacing w:after="200"/>
              <w:jc w:val="center"/>
              <w:rPr>
                <w:sz w:val="20"/>
              </w:rPr>
            </w:pPr>
            <w:r w:rsidRPr="005B0888">
              <w:rPr>
                <w:noProof/>
                <w:sz w:val="20"/>
                <w:lang w:val="fr-BE" w:eastAsia="fr-BE" w:bidi="ar-SA"/>
              </w:rPr>
              <w:drawing>
                <wp:inline distT="0" distB="0" distL="0" distR="0" wp14:anchorId="1690E0FD" wp14:editId="4F1403C1">
                  <wp:extent cx="664216" cy="468000"/>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216" cy="468000"/>
                          </a:xfrm>
                          <a:prstGeom prst="rect">
                            <a:avLst/>
                          </a:prstGeom>
                          <a:noFill/>
                        </pic:spPr>
                      </pic:pic>
                    </a:graphicData>
                  </a:graphic>
                </wp:inline>
              </w:drawing>
            </w:r>
          </w:p>
        </w:tc>
        <w:tc>
          <w:tcPr>
            <w:tcW w:w="743" w:type="pct"/>
            <w:vAlign w:val="center"/>
          </w:tcPr>
          <w:p w:rsidR="00E660CB" w:rsidRPr="005B0888" w:rsidRDefault="00E660CB" w:rsidP="009810F8">
            <w:pPr>
              <w:spacing w:after="200"/>
              <w:jc w:val="center"/>
              <w:rPr>
                <w:sz w:val="20"/>
              </w:rPr>
            </w:pPr>
            <w:r w:rsidRPr="005B0888">
              <w:rPr>
                <w:noProof/>
                <w:sz w:val="20"/>
                <w:lang w:val="fr-BE" w:eastAsia="fr-BE" w:bidi="ar-SA"/>
              </w:rPr>
              <w:drawing>
                <wp:inline distT="0" distB="0" distL="0" distR="0" wp14:anchorId="4DE0E5A5" wp14:editId="47D6BF4F">
                  <wp:extent cx="721588" cy="396000"/>
                  <wp:effectExtent l="0" t="0" r="2540" b="4445"/>
                  <wp:docPr id="10" name="Picture 10" descr="C:\Users\aboat\AppData\Local\Microsoft\Windows\Temporary Internet Files\Content.Outlook\0ITE7QUG\nfft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oat\AppData\Local\Microsoft\Windows\Temporary Internet Files\Content.Outlook\0ITE7QUG\nfft_logo.bmp"/>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21588" cy="396000"/>
                          </a:xfrm>
                          <a:prstGeom prst="rect">
                            <a:avLst/>
                          </a:prstGeom>
                          <a:noFill/>
                          <a:ln>
                            <a:noFill/>
                          </a:ln>
                        </pic:spPr>
                      </pic:pic>
                    </a:graphicData>
                  </a:graphic>
                </wp:inline>
              </w:drawing>
            </w:r>
          </w:p>
        </w:tc>
        <w:tc>
          <w:tcPr>
            <w:tcW w:w="689" w:type="pct"/>
            <w:vAlign w:val="center"/>
          </w:tcPr>
          <w:p w:rsidR="00E660CB" w:rsidRPr="005B0888" w:rsidRDefault="00E660CB" w:rsidP="009810F8">
            <w:pPr>
              <w:spacing w:after="200"/>
              <w:jc w:val="center"/>
              <w:rPr>
                <w:sz w:val="20"/>
              </w:rPr>
            </w:pPr>
            <w:r w:rsidRPr="005B0888">
              <w:rPr>
                <w:noProof/>
                <w:sz w:val="20"/>
                <w:lang w:val="fr-BE" w:eastAsia="fr-BE" w:bidi="ar-SA"/>
              </w:rPr>
              <w:drawing>
                <wp:inline distT="0" distB="0" distL="0" distR="0" wp14:anchorId="147627C6" wp14:editId="13E083E4">
                  <wp:extent cx="675995" cy="468000"/>
                  <wp:effectExtent l="0" t="0" r="0" b="8255"/>
                  <wp:docPr id="11" name="Pictur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75995" cy="468000"/>
                          </a:xfrm>
                          <a:prstGeom prst="rect">
                            <a:avLst/>
                          </a:prstGeom>
                          <a:noFill/>
                          <a:ln>
                            <a:noFill/>
                          </a:ln>
                        </pic:spPr>
                      </pic:pic>
                    </a:graphicData>
                  </a:graphic>
                </wp:inline>
              </w:drawing>
            </w:r>
          </w:p>
        </w:tc>
      </w:tr>
    </w:tbl>
    <w:p w:rsidR="00E660CB" w:rsidRPr="005B0888" w:rsidRDefault="00E660C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FF04BA" w:rsidRPr="005B0888">
        <w:tc>
          <w:tcPr>
            <w:tcW w:w="5000" w:type="pct"/>
          </w:tcPr>
          <w:p w:rsidR="00840F7E" w:rsidRPr="005B0888" w:rsidRDefault="00840F7E" w:rsidP="00E660CB">
            <w:pPr>
              <w:jc w:val="left"/>
              <w:rPr>
                <w:rFonts w:asciiTheme="majorBidi" w:eastAsia="Calibri" w:hAnsiTheme="majorBidi" w:cstheme="majorBidi"/>
                <w:bCs/>
              </w:rPr>
            </w:pPr>
            <w:r w:rsidRPr="005B0888">
              <w:rPr>
                <w:rFonts w:asciiTheme="majorBidi" w:hAnsiTheme="majorBidi" w:cstheme="majorBidi"/>
              </w:rPr>
              <w:lastRenderedPageBreak/>
              <w:t>La conférence poursuivra les objectifs suivants:</w:t>
            </w:r>
          </w:p>
        </w:tc>
      </w:tr>
      <w:tr w:rsidR="00FF04BA" w:rsidRPr="005B0888">
        <w:tc>
          <w:tcPr>
            <w:tcW w:w="5000" w:type="pct"/>
          </w:tcPr>
          <w:p w:rsidR="00840F7E" w:rsidRPr="005B0888" w:rsidRDefault="00840F7E" w:rsidP="00E4562A">
            <w:pPr>
              <w:pStyle w:val="ListParagraph"/>
              <w:numPr>
                <w:ilvl w:val="0"/>
                <w:numId w:val="3"/>
              </w:numPr>
              <w:overflowPunct/>
              <w:autoSpaceDE/>
              <w:autoSpaceDN/>
              <w:adjustRightInd/>
              <w:textAlignment w:val="auto"/>
              <w:rPr>
                <w:rFonts w:asciiTheme="majorBidi" w:eastAsia="Calibri" w:hAnsiTheme="majorBidi" w:cstheme="majorBidi"/>
                <w:bCs/>
                <w:szCs w:val="22"/>
              </w:rPr>
            </w:pPr>
            <w:r w:rsidRPr="005B0888">
              <w:rPr>
                <w:rFonts w:asciiTheme="majorBidi" w:hAnsiTheme="majorBidi" w:cstheme="majorBidi"/>
              </w:rPr>
              <w:t>contribuer à un vaste débat sur la transition vers une nouvelle stratégie européenne post-Europe 2020;</w:t>
            </w:r>
          </w:p>
        </w:tc>
      </w:tr>
      <w:tr w:rsidR="00FF04BA" w:rsidRPr="005B0888">
        <w:tc>
          <w:tcPr>
            <w:tcW w:w="5000" w:type="pct"/>
          </w:tcPr>
          <w:p w:rsidR="00840F7E" w:rsidRPr="005B0888" w:rsidDel="00E10565" w:rsidRDefault="00840F7E" w:rsidP="002C5B74">
            <w:pPr>
              <w:pStyle w:val="ListParagraph"/>
              <w:numPr>
                <w:ilvl w:val="0"/>
                <w:numId w:val="3"/>
              </w:numPr>
              <w:overflowPunct/>
              <w:autoSpaceDE/>
              <w:autoSpaceDN/>
              <w:adjustRightInd/>
              <w:textAlignment w:val="auto"/>
              <w:rPr>
                <w:rFonts w:asciiTheme="majorBidi" w:eastAsia="Calibri" w:hAnsiTheme="majorBidi" w:cstheme="majorBidi"/>
                <w:bCs/>
                <w:szCs w:val="22"/>
              </w:rPr>
            </w:pPr>
            <w:r w:rsidRPr="005B0888">
              <w:rPr>
                <w:rFonts w:asciiTheme="majorBidi" w:hAnsiTheme="majorBidi" w:cstheme="majorBidi"/>
              </w:rPr>
              <w:t>entamer le débat sur l</w:t>
            </w:r>
            <w:r w:rsidR="005B0888" w:rsidRPr="005B0888">
              <w:rPr>
                <w:rFonts w:asciiTheme="majorBidi" w:hAnsiTheme="majorBidi" w:cstheme="majorBidi"/>
              </w:rPr>
              <w:t>’</w:t>
            </w:r>
            <w:r w:rsidRPr="005B0888">
              <w:rPr>
                <w:rFonts w:asciiTheme="majorBidi" w:hAnsiTheme="majorBidi" w:cstheme="majorBidi"/>
              </w:rPr>
              <w:t>avenir de l</w:t>
            </w:r>
            <w:r w:rsidR="005B0888" w:rsidRPr="005B0888">
              <w:rPr>
                <w:rFonts w:asciiTheme="majorBidi" w:hAnsiTheme="majorBidi" w:cstheme="majorBidi"/>
              </w:rPr>
              <w:t>’</w:t>
            </w:r>
            <w:r w:rsidRPr="005B0888">
              <w:rPr>
                <w:rFonts w:asciiTheme="majorBidi" w:hAnsiTheme="majorBidi" w:cstheme="majorBidi"/>
              </w:rPr>
              <w:t>Europe et le projet européen en toute connaissance des profondes transformations que connaît l</w:t>
            </w:r>
            <w:r w:rsidR="005B0888" w:rsidRPr="005B0888">
              <w:rPr>
                <w:rFonts w:asciiTheme="majorBidi" w:hAnsiTheme="majorBidi" w:cstheme="majorBidi"/>
              </w:rPr>
              <w:t>’</w:t>
            </w:r>
            <w:r w:rsidRPr="005B0888">
              <w:rPr>
                <w:rFonts w:asciiTheme="majorBidi" w:hAnsiTheme="majorBidi" w:cstheme="majorBidi"/>
              </w:rPr>
              <w:t>Europe;</w:t>
            </w:r>
          </w:p>
        </w:tc>
      </w:tr>
      <w:tr w:rsidR="00FF04BA" w:rsidRPr="005B0888">
        <w:tc>
          <w:tcPr>
            <w:tcW w:w="5000" w:type="pct"/>
          </w:tcPr>
          <w:p w:rsidR="00840F7E" w:rsidRPr="005B0888" w:rsidRDefault="00840F7E" w:rsidP="00ED3DF8">
            <w:pPr>
              <w:pStyle w:val="ListParagraph"/>
              <w:numPr>
                <w:ilvl w:val="0"/>
                <w:numId w:val="3"/>
              </w:numPr>
              <w:overflowPunct/>
              <w:autoSpaceDE/>
              <w:autoSpaceDN/>
              <w:adjustRightInd/>
              <w:textAlignment w:val="auto"/>
              <w:rPr>
                <w:rFonts w:asciiTheme="majorBidi" w:eastAsia="Calibri" w:hAnsiTheme="majorBidi" w:cstheme="majorBidi"/>
                <w:bCs/>
                <w:szCs w:val="22"/>
              </w:rPr>
            </w:pPr>
            <w:r w:rsidRPr="005B0888">
              <w:rPr>
                <w:rFonts w:asciiTheme="majorBidi" w:hAnsiTheme="majorBidi" w:cstheme="majorBidi"/>
              </w:rPr>
              <w:t>étudier les évolutions à l</w:t>
            </w:r>
            <w:r w:rsidR="005B0888" w:rsidRPr="005B0888">
              <w:rPr>
                <w:rFonts w:asciiTheme="majorBidi" w:hAnsiTheme="majorBidi" w:cstheme="majorBidi"/>
              </w:rPr>
              <w:t>’</w:t>
            </w:r>
            <w:r w:rsidRPr="005B0888">
              <w:rPr>
                <w:rFonts w:asciiTheme="majorBidi" w:hAnsiTheme="majorBidi" w:cstheme="majorBidi"/>
              </w:rPr>
              <w:t>œuvre depuis la stratégie de Lisbonne jusqu</w:t>
            </w:r>
            <w:r w:rsidR="005B0888" w:rsidRPr="005B0888">
              <w:rPr>
                <w:rFonts w:asciiTheme="majorBidi" w:hAnsiTheme="majorBidi" w:cstheme="majorBidi"/>
              </w:rPr>
              <w:t>’</w:t>
            </w:r>
            <w:r w:rsidRPr="005B0888">
              <w:rPr>
                <w:rFonts w:asciiTheme="majorBidi" w:hAnsiTheme="majorBidi" w:cstheme="majorBidi"/>
              </w:rPr>
              <w:t>au plan Juncker et méditer les enseignements tirés des efforts de stabilisation déployés durant la crise;</w:t>
            </w:r>
          </w:p>
        </w:tc>
      </w:tr>
      <w:tr w:rsidR="00FF04BA" w:rsidRPr="005B0888">
        <w:tc>
          <w:tcPr>
            <w:tcW w:w="5000" w:type="pct"/>
          </w:tcPr>
          <w:p w:rsidR="00840F7E" w:rsidRPr="005B0888" w:rsidRDefault="00840F7E" w:rsidP="00AF61E9">
            <w:pPr>
              <w:pStyle w:val="ListParagraph"/>
              <w:numPr>
                <w:ilvl w:val="0"/>
                <w:numId w:val="2"/>
              </w:numPr>
              <w:rPr>
                <w:rFonts w:asciiTheme="majorBidi" w:eastAsia="Calibri" w:hAnsiTheme="majorBidi" w:cstheme="majorBidi"/>
                <w:b/>
                <w:szCs w:val="22"/>
              </w:rPr>
            </w:pPr>
            <w:r w:rsidRPr="005B0888">
              <w:rPr>
                <w:rFonts w:asciiTheme="majorBidi" w:hAnsiTheme="majorBidi" w:cstheme="majorBidi"/>
              </w:rPr>
              <w:t>mettre en évidence différentes approches et de possibles solutions afin de préserver les valeurs européennes, dont notamment la paix, la cohésion et l</w:t>
            </w:r>
            <w:r w:rsidR="005B0888" w:rsidRPr="005B0888">
              <w:rPr>
                <w:rFonts w:asciiTheme="majorBidi" w:hAnsiTheme="majorBidi" w:cstheme="majorBidi"/>
              </w:rPr>
              <w:t>’</w:t>
            </w:r>
            <w:r w:rsidRPr="005B0888">
              <w:rPr>
                <w:rFonts w:asciiTheme="majorBidi" w:hAnsiTheme="majorBidi" w:cstheme="majorBidi"/>
              </w:rPr>
              <w:t>innovation;</w:t>
            </w:r>
          </w:p>
        </w:tc>
      </w:tr>
      <w:tr w:rsidR="00FF04BA" w:rsidRPr="005B0888">
        <w:tc>
          <w:tcPr>
            <w:tcW w:w="5000" w:type="pct"/>
          </w:tcPr>
          <w:p w:rsidR="00840F7E" w:rsidRPr="005B0888" w:rsidRDefault="00840F7E" w:rsidP="002C5B74">
            <w:pPr>
              <w:pStyle w:val="ListParagraph"/>
              <w:numPr>
                <w:ilvl w:val="0"/>
                <w:numId w:val="2"/>
              </w:numPr>
              <w:rPr>
                <w:rFonts w:asciiTheme="majorBidi" w:eastAsia="Calibri" w:hAnsiTheme="majorBidi" w:cstheme="majorBidi"/>
                <w:szCs w:val="22"/>
              </w:rPr>
            </w:pPr>
            <w:r w:rsidRPr="005B0888">
              <w:rPr>
                <w:rFonts w:asciiTheme="majorBidi" w:hAnsiTheme="majorBidi" w:cstheme="majorBidi"/>
              </w:rPr>
              <w:t>traiter des effets transformateurs qu</w:t>
            </w:r>
            <w:r w:rsidR="005B0888" w:rsidRPr="005B0888">
              <w:rPr>
                <w:rFonts w:asciiTheme="majorBidi" w:hAnsiTheme="majorBidi" w:cstheme="majorBidi"/>
              </w:rPr>
              <w:t>’</w:t>
            </w:r>
            <w:r w:rsidRPr="005B0888">
              <w:rPr>
                <w:rFonts w:asciiTheme="majorBidi" w:hAnsiTheme="majorBidi" w:cstheme="majorBidi"/>
              </w:rPr>
              <w:t>exercent la numérisation et l</w:t>
            </w:r>
            <w:r w:rsidR="005B0888" w:rsidRPr="005B0888">
              <w:rPr>
                <w:rFonts w:asciiTheme="majorBidi" w:hAnsiTheme="majorBidi" w:cstheme="majorBidi"/>
              </w:rPr>
              <w:t>’</w:t>
            </w:r>
            <w:r w:rsidRPr="005B0888">
              <w:rPr>
                <w:rFonts w:asciiTheme="majorBidi" w:hAnsiTheme="majorBidi" w:cstheme="majorBidi"/>
              </w:rPr>
              <w:t>accélération des mutations technologiques (la révolution industrielle et informatique) sur l</w:t>
            </w:r>
            <w:r w:rsidR="005B0888" w:rsidRPr="005B0888">
              <w:rPr>
                <w:rFonts w:asciiTheme="majorBidi" w:hAnsiTheme="majorBidi" w:cstheme="majorBidi"/>
              </w:rPr>
              <w:t>’</w:t>
            </w:r>
            <w:r w:rsidRPr="005B0888">
              <w:rPr>
                <w:rFonts w:asciiTheme="majorBidi" w:hAnsiTheme="majorBidi" w:cstheme="majorBidi"/>
              </w:rPr>
              <w:t>économie et la société;</w:t>
            </w:r>
          </w:p>
        </w:tc>
      </w:tr>
      <w:tr w:rsidR="00FF04BA" w:rsidRPr="005B0888">
        <w:tc>
          <w:tcPr>
            <w:tcW w:w="5000" w:type="pct"/>
          </w:tcPr>
          <w:p w:rsidR="00840F7E" w:rsidRPr="005B0888" w:rsidRDefault="00840F7E" w:rsidP="006B3B81">
            <w:pPr>
              <w:pStyle w:val="ListParagraph"/>
              <w:numPr>
                <w:ilvl w:val="0"/>
                <w:numId w:val="2"/>
              </w:numPr>
              <w:rPr>
                <w:rFonts w:asciiTheme="majorBidi" w:eastAsia="Calibri" w:hAnsiTheme="majorBidi"/>
              </w:rPr>
            </w:pPr>
            <w:r w:rsidRPr="005B0888">
              <w:rPr>
                <w:rFonts w:asciiTheme="majorBidi" w:hAnsiTheme="majorBidi"/>
              </w:rPr>
              <w:t>élaborer une position sur un nouvel élan durable en faveur de l</w:t>
            </w:r>
            <w:r w:rsidR="005B0888" w:rsidRPr="005B0888">
              <w:rPr>
                <w:rFonts w:asciiTheme="majorBidi" w:hAnsiTheme="majorBidi"/>
              </w:rPr>
              <w:t>’</w:t>
            </w:r>
            <w:r w:rsidRPr="005B0888">
              <w:rPr>
                <w:rFonts w:asciiTheme="majorBidi" w:hAnsiTheme="majorBidi"/>
              </w:rPr>
              <w:t>emploi, la croissance et l</w:t>
            </w:r>
            <w:r w:rsidR="005B0888" w:rsidRPr="005B0888">
              <w:rPr>
                <w:rFonts w:asciiTheme="majorBidi" w:hAnsiTheme="majorBidi"/>
              </w:rPr>
              <w:t>’</w:t>
            </w:r>
            <w:r w:rsidRPr="005B0888">
              <w:rPr>
                <w:rFonts w:asciiTheme="majorBidi" w:hAnsiTheme="majorBidi"/>
              </w:rPr>
              <w:t>investissement;</w:t>
            </w:r>
          </w:p>
        </w:tc>
      </w:tr>
      <w:tr w:rsidR="00FF04BA" w:rsidRPr="005B0888">
        <w:tc>
          <w:tcPr>
            <w:tcW w:w="5000" w:type="pct"/>
          </w:tcPr>
          <w:p w:rsidR="00840F7E" w:rsidRPr="005B0888" w:rsidRDefault="00840F7E" w:rsidP="00840F7E">
            <w:pPr>
              <w:pStyle w:val="ListParagraph"/>
              <w:numPr>
                <w:ilvl w:val="0"/>
                <w:numId w:val="2"/>
              </w:numPr>
              <w:rPr>
                <w:rFonts w:eastAsia="Calibri"/>
              </w:rPr>
            </w:pPr>
            <w:r w:rsidRPr="005B0888">
              <w:t>examiner le lien entre la stabilité macroéconomique et un système résilient de protection sociale;</w:t>
            </w:r>
          </w:p>
          <w:p w:rsidR="00AF61E9" w:rsidRPr="005B0888" w:rsidRDefault="00AF61E9" w:rsidP="006B3B81">
            <w:pPr>
              <w:pStyle w:val="ListParagraph"/>
              <w:numPr>
                <w:ilvl w:val="0"/>
                <w:numId w:val="2"/>
              </w:numPr>
              <w:rPr>
                <w:rFonts w:eastAsia="Calibri"/>
              </w:rPr>
            </w:pPr>
            <w:r w:rsidRPr="005B0888">
              <w:t>donner des orientations sur les responsabilités qui incombent à la société civile de prendre la tête du mouvement pour construire un avenir européen durable, inclusif et cohésif.</w:t>
            </w:r>
          </w:p>
        </w:tc>
      </w:tr>
    </w:tbl>
    <w:p w:rsidR="00A708B0" w:rsidRPr="005B0888" w:rsidRDefault="00A708B0" w:rsidP="00ED3DF8"/>
    <w:p w:rsidR="00E660CB" w:rsidRPr="005B0888" w:rsidRDefault="00E660CB" w:rsidP="00E660CB"/>
    <w:p w:rsidR="00663BA4" w:rsidRPr="005B0888" w:rsidRDefault="00663BA4" w:rsidP="009810F8">
      <w:pPr>
        <w:spacing w:after="200" w:line="276" w:lineRule="auto"/>
        <w:jc w:val="left"/>
      </w:pPr>
      <w:r w:rsidRPr="005B0888">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FF04BA" w:rsidRPr="005B0888">
        <w:tc>
          <w:tcPr>
            <w:tcW w:w="5000" w:type="pct"/>
            <w:shd w:val="clear" w:color="auto" w:fill="DBE5F1" w:themeFill="accent1" w:themeFillTint="33"/>
          </w:tcPr>
          <w:p w:rsidR="00A708B0" w:rsidRPr="005B0888" w:rsidRDefault="00A708B0" w:rsidP="00ED3DF8">
            <w:pPr>
              <w:jc w:val="center"/>
              <w:rPr>
                <w:b/>
              </w:rPr>
            </w:pPr>
            <w:r w:rsidRPr="005B0888">
              <w:lastRenderedPageBreak/>
              <w:br w:type="page"/>
            </w:r>
            <w:r w:rsidRPr="005B0888">
              <w:rPr>
                <w:b/>
              </w:rPr>
              <w:t>PROGRAMME PROVISOIRE</w:t>
            </w:r>
          </w:p>
        </w:tc>
      </w:tr>
    </w:tbl>
    <w:p w:rsidR="00A708B0" w:rsidRPr="005B0888" w:rsidRDefault="00A708B0"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FF04BA" w:rsidRPr="005B0888">
        <w:tc>
          <w:tcPr>
            <w:tcW w:w="9289" w:type="dxa"/>
            <w:gridSpan w:val="2"/>
            <w:shd w:val="clear" w:color="auto" w:fill="DBE5F1" w:themeFill="accent1" w:themeFillTint="33"/>
          </w:tcPr>
          <w:p w:rsidR="00A708B0" w:rsidRPr="005B0888" w:rsidRDefault="00A0290C" w:rsidP="00ED3DF8">
            <w:pPr>
              <w:jc w:val="center"/>
            </w:pPr>
            <w:r w:rsidRPr="005B0888">
              <w:rPr>
                <w:b/>
              </w:rPr>
              <w:t>LUNDI 27 NOVEMBRE</w:t>
            </w:r>
          </w:p>
        </w:tc>
      </w:tr>
      <w:tr w:rsidR="00FF04BA" w:rsidRPr="005B0888">
        <w:tc>
          <w:tcPr>
            <w:tcW w:w="9289" w:type="dxa"/>
            <w:gridSpan w:val="2"/>
          </w:tcPr>
          <w:p w:rsidR="00A0290C" w:rsidRPr="005B0888" w:rsidRDefault="00A0290C" w:rsidP="00ED3DF8">
            <w:pPr>
              <w:jc w:val="center"/>
              <w:rPr>
                <w:b/>
              </w:rPr>
            </w:pPr>
          </w:p>
        </w:tc>
      </w:tr>
      <w:tr w:rsidR="00FF04BA" w:rsidRPr="005B0888">
        <w:tc>
          <w:tcPr>
            <w:tcW w:w="2235" w:type="dxa"/>
          </w:tcPr>
          <w:p w:rsidR="00A708B0" w:rsidRPr="005B0888" w:rsidRDefault="00A708B0">
            <w:pPr>
              <w:rPr>
                <w:b/>
              </w:rPr>
            </w:pPr>
            <w:r w:rsidRPr="005B0888">
              <w:rPr>
                <w:b/>
              </w:rPr>
              <w:t>14 h 00 – 14 h 30</w:t>
            </w:r>
          </w:p>
        </w:tc>
        <w:tc>
          <w:tcPr>
            <w:tcW w:w="7054" w:type="dxa"/>
          </w:tcPr>
          <w:p w:rsidR="00A708B0" w:rsidRPr="005B0888" w:rsidRDefault="00A708B0" w:rsidP="00ED3DF8">
            <w:r w:rsidRPr="005B0888">
              <w:rPr>
                <w:b/>
              </w:rPr>
              <w:t>Enregistrement, accueil et café</w:t>
            </w:r>
          </w:p>
        </w:tc>
      </w:tr>
      <w:tr w:rsidR="00FF04BA" w:rsidRPr="005B0888">
        <w:tc>
          <w:tcPr>
            <w:tcW w:w="2235" w:type="dxa"/>
          </w:tcPr>
          <w:p w:rsidR="00A708B0" w:rsidRPr="005B0888" w:rsidRDefault="00A708B0" w:rsidP="00ED3DF8"/>
        </w:tc>
        <w:tc>
          <w:tcPr>
            <w:tcW w:w="7054" w:type="dxa"/>
          </w:tcPr>
          <w:p w:rsidR="00A708B0" w:rsidRPr="005B0888" w:rsidRDefault="00A708B0" w:rsidP="00ED3DF8"/>
        </w:tc>
      </w:tr>
      <w:tr w:rsidR="00FF04BA" w:rsidRPr="005B0888">
        <w:trPr>
          <w:trHeight w:val="1033"/>
        </w:trPr>
        <w:tc>
          <w:tcPr>
            <w:tcW w:w="2235" w:type="dxa"/>
          </w:tcPr>
          <w:p w:rsidR="008175E3" w:rsidRPr="005B0888" w:rsidRDefault="008175E3">
            <w:pPr>
              <w:rPr>
                <w:rFonts w:eastAsia="Calibri"/>
                <w:b/>
              </w:rPr>
            </w:pPr>
            <w:r w:rsidRPr="005B0888">
              <w:rPr>
                <w:b/>
              </w:rPr>
              <w:t>14 h 30 – 14 h </w:t>
            </w:r>
            <w:r w:rsidR="00241CCD">
              <w:rPr>
                <w:b/>
              </w:rPr>
              <w:t>40</w:t>
            </w:r>
          </w:p>
          <w:p w:rsidR="00806F50" w:rsidRPr="005B0888" w:rsidRDefault="00806F50">
            <w:pPr>
              <w:rPr>
                <w:rFonts w:eastAsia="Calibri"/>
                <w:bCs/>
              </w:rPr>
            </w:pPr>
          </w:p>
          <w:p w:rsidR="00806F50" w:rsidRPr="005B0888" w:rsidRDefault="00806F50" w:rsidP="009810F8">
            <w:pPr>
              <w:jc w:val="center"/>
              <w:rPr>
                <w:i/>
              </w:rPr>
            </w:pPr>
          </w:p>
        </w:tc>
        <w:tc>
          <w:tcPr>
            <w:tcW w:w="7054" w:type="dxa"/>
          </w:tcPr>
          <w:p w:rsidR="008175E3" w:rsidRPr="005B0888" w:rsidRDefault="004C698E" w:rsidP="00ED3DF8">
            <w:pPr>
              <w:rPr>
                <w:rFonts w:eastAsia="Calibri"/>
                <w:b/>
              </w:rPr>
            </w:pPr>
            <w:r w:rsidRPr="005B0888">
              <w:rPr>
                <w:b/>
              </w:rPr>
              <w:t>Message de bienvenue</w:t>
            </w:r>
          </w:p>
          <w:p w:rsidR="008175E3" w:rsidRPr="005B0888" w:rsidRDefault="008175E3" w:rsidP="00ED3DF8">
            <w:pPr>
              <w:ind w:left="360"/>
            </w:pPr>
            <w:r w:rsidRPr="005B0888">
              <w:rPr>
                <w:b/>
              </w:rPr>
              <w:t>M. Etele Baráth</w:t>
            </w:r>
            <w:r w:rsidRPr="005B0888">
              <w:t>, président du comité de pilotage Europe 2020 du Comité économique et social européen (CESE)</w:t>
            </w:r>
          </w:p>
          <w:p w:rsidR="00ED3DF8" w:rsidRPr="005B0888" w:rsidRDefault="00ED3DF8" w:rsidP="009810F8">
            <w:pPr>
              <w:ind w:left="360"/>
            </w:pPr>
          </w:p>
        </w:tc>
      </w:tr>
      <w:tr w:rsidR="00FF04BA" w:rsidRPr="005B0888">
        <w:trPr>
          <w:trHeight w:val="434"/>
        </w:trPr>
        <w:tc>
          <w:tcPr>
            <w:tcW w:w="2235" w:type="dxa"/>
          </w:tcPr>
          <w:p w:rsidR="00A1378B" w:rsidRPr="005B0888" w:rsidRDefault="00E32D16" w:rsidP="00241CCD">
            <w:pPr>
              <w:rPr>
                <w:rFonts w:eastAsia="Calibri"/>
              </w:rPr>
            </w:pPr>
            <w:r w:rsidRPr="005B0888">
              <w:rPr>
                <w:b/>
              </w:rPr>
              <w:t>14 h </w:t>
            </w:r>
            <w:r w:rsidR="00241CCD">
              <w:rPr>
                <w:b/>
              </w:rPr>
              <w:t>40</w:t>
            </w:r>
            <w:r w:rsidRPr="005B0888">
              <w:rPr>
                <w:b/>
              </w:rPr>
              <w:t> – 14 h 4</w:t>
            </w:r>
            <w:r w:rsidR="00241CCD">
              <w:rPr>
                <w:b/>
              </w:rPr>
              <w:t>5</w:t>
            </w:r>
          </w:p>
        </w:tc>
        <w:tc>
          <w:tcPr>
            <w:tcW w:w="7054" w:type="dxa"/>
          </w:tcPr>
          <w:p w:rsidR="004C698E" w:rsidRPr="005B0888" w:rsidRDefault="004C698E" w:rsidP="00ED3DF8">
            <w:pPr>
              <w:rPr>
                <w:b/>
              </w:rPr>
            </w:pPr>
            <w:r w:rsidRPr="005B0888">
              <w:rPr>
                <w:b/>
              </w:rPr>
              <w:t>Observations liminaires</w:t>
            </w:r>
          </w:p>
        </w:tc>
      </w:tr>
      <w:tr w:rsidR="00FF04BA" w:rsidRPr="005B0888">
        <w:trPr>
          <w:trHeight w:val="403"/>
        </w:trPr>
        <w:tc>
          <w:tcPr>
            <w:tcW w:w="2235" w:type="dxa"/>
          </w:tcPr>
          <w:p w:rsidR="00806F50" w:rsidRPr="005B0888" w:rsidRDefault="00806F50" w:rsidP="00806F50">
            <w:pPr>
              <w:jc w:val="center"/>
              <w:rPr>
                <w:rFonts w:eastAsia="Calibri"/>
                <w:b/>
              </w:rPr>
            </w:pPr>
          </w:p>
        </w:tc>
        <w:tc>
          <w:tcPr>
            <w:tcW w:w="7054" w:type="dxa"/>
          </w:tcPr>
          <w:p w:rsidR="005E1EB3" w:rsidRPr="005B0888" w:rsidRDefault="000F495B" w:rsidP="004C7F80">
            <w:pPr>
              <w:ind w:left="360"/>
              <w:rPr>
                <w:iCs/>
              </w:rPr>
            </w:pPr>
            <w:r w:rsidRPr="005B0888">
              <w:rPr>
                <w:b/>
              </w:rPr>
              <w:t>M</w:t>
            </w:r>
            <w:r w:rsidRPr="005B0888">
              <w:rPr>
                <w:b/>
                <w:vertAlign w:val="superscript"/>
              </w:rPr>
              <w:t>me</w:t>
            </w:r>
            <w:r w:rsidRPr="005B0888">
              <w:rPr>
                <w:b/>
              </w:rPr>
              <w:t> </w:t>
            </w:r>
            <w:r w:rsidR="00130F0A">
              <w:rPr>
                <w:b/>
              </w:rPr>
              <w:t xml:space="preserve">Katalin </w:t>
            </w:r>
            <w:proofErr w:type="spellStart"/>
            <w:r w:rsidR="00130F0A">
              <w:rPr>
                <w:b/>
              </w:rPr>
              <w:t>Langerne</w:t>
            </w:r>
            <w:proofErr w:type="spellEnd"/>
            <w:r w:rsidR="00130F0A" w:rsidRPr="00BB631D">
              <w:rPr>
                <w:bCs/>
              </w:rPr>
              <w:t>,</w:t>
            </w:r>
            <w:r w:rsidR="00130F0A">
              <w:rPr>
                <w:bCs/>
              </w:rPr>
              <w:t xml:space="preserve"> </w:t>
            </w:r>
            <w:proofErr w:type="spellStart"/>
            <w:r w:rsidR="00130F0A" w:rsidRPr="00113C47">
              <w:t>Deputy</w:t>
            </w:r>
            <w:proofErr w:type="spellEnd"/>
            <w:r w:rsidR="00130F0A" w:rsidRPr="00113C47">
              <w:t xml:space="preserve"> State Secretary for Social Inclusion in the Ministry of </w:t>
            </w:r>
            <w:proofErr w:type="spellStart"/>
            <w:r w:rsidR="00130F0A" w:rsidRPr="00113C47">
              <w:t>Human</w:t>
            </w:r>
            <w:proofErr w:type="spellEnd"/>
            <w:r w:rsidR="00130F0A" w:rsidRPr="00113C47">
              <w:t xml:space="preserve"> </w:t>
            </w:r>
            <w:proofErr w:type="spellStart"/>
            <w:r w:rsidR="00130F0A" w:rsidRPr="00113C47">
              <w:t>Capacities</w:t>
            </w:r>
            <w:proofErr w:type="spellEnd"/>
            <w:r w:rsidR="00130F0A" w:rsidRPr="005B0888">
              <w:t xml:space="preserve"> </w:t>
            </w:r>
          </w:p>
          <w:p w:rsidR="00890B0C" w:rsidRPr="005B0888" w:rsidRDefault="00890B0C" w:rsidP="00ED3DF8">
            <w:pPr>
              <w:rPr>
                <w:b/>
              </w:rPr>
            </w:pPr>
          </w:p>
        </w:tc>
      </w:tr>
      <w:tr w:rsidR="00FF04BA" w:rsidRPr="005B0888">
        <w:trPr>
          <w:trHeight w:val="423"/>
        </w:trPr>
        <w:tc>
          <w:tcPr>
            <w:tcW w:w="2235" w:type="dxa"/>
          </w:tcPr>
          <w:p w:rsidR="00A708B0" w:rsidRPr="005B0888" w:rsidRDefault="00A708B0" w:rsidP="00241CCD">
            <w:pPr>
              <w:rPr>
                <w:b/>
              </w:rPr>
            </w:pPr>
            <w:r w:rsidRPr="005B0888">
              <w:rPr>
                <w:b/>
              </w:rPr>
              <w:t>14 h 4</w:t>
            </w:r>
            <w:r w:rsidR="00241CCD">
              <w:rPr>
                <w:b/>
              </w:rPr>
              <w:t>5</w:t>
            </w:r>
            <w:r w:rsidRPr="005B0888">
              <w:rPr>
                <w:b/>
              </w:rPr>
              <w:t> – 15 h 4</w:t>
            </w:r>
            <w:r w:rsidR="00241CCD">
              <w:rPr>
                <w:b/>
              </w:rPr>
              <w:t>5</w:t>
            </w:r>
          </w:p>
        </w:tc>
        <w:tc>
          <w:tcPr>
            <w:tcW w:w="7054" w:type="dxa"/>
          </w:tcPr>
          <w:p w:rsidR="00A708B0" w:rsidRPr="005B0888" w:rsidRDefault="00736546" w:rsidP="00ED3DF8">
            <w:r w:rsidRPr="005B0888">
              <w:rPr>
                <w:b/>
              </w:rPr>
              <w:t>Principaux intervenants</w:t>
            </w:r>
          </w:p>
        </w:tc>
      </w:tr>
      <w:tr w:rsidR="00FF04BA" w:rsidRPr="005B0888">
        <w:trPr>
          <w:trHeight w:val="2891"/>
        </w:trPr>
        <w:tc>
          <w:tcPr>
            <w:tcW w:w="2235" w:type="dxa"/>
          </w:tcPr>
          <w:p w:rsidR="00806F50" w:rsidRPr="005B0888" w:rsidRDefault="00806F50" w:rsidP="00ED3DF8">
            <w:pPr>
              <w:jc w:val="center"/>
              <w:rPr>
                <w:b/>
                <w:bCs/>
              </w:rPr>
            </w:pPr>
          </w:p>
        </w:tc>
        <w:tc>
          <w:tcPr>
            <w:tcW w:w="7054" w:type="dxa"/>
          </w:tcPr>
          <w:p w:rsidR="004C698E" w:rsidRPr="005B0888" w:rsidRDefault="00FE68D9" w:rsidP="004C698E">
            <w:pPr>
              <w:ind w:left="360"/>
              <w:rPr>
                <w:iCs/>
              </w:rPr>
            </w:pPr>
            <w:r w:rsidRPr="005B0888">
              <w:rPr>
                <w:b/>
              </w:rPr>
              <w:t>M. Luca Jahier</w:t>
            </w:r>
            <w:r w:rsidRPr="005B0888">
              <w:t>, président du groupe «Activités diverses</w:t>
            </w:r>
            <w:r w:rsidRPr="009E164F">
              <w:t>» du CESE:</w:t>
            </w:r>
          </w:p>
          <w:p w:rsidR="009B49E4" w:rsidRPr="005B0888" w:rsidRDefault="00890B0C" w:rsidP="004C698E">
            <w:pPr>
              <w:ind w:left="360"/>
              <w:rPr>
                <w:i/>
              </w:rPr>
            </w:pPr>
            <w:r w:rsidRPr="005B0888">
              <w:rPr>
                <w:i/>
              </w:rPr>
              <w:t>«Les responsabilités nouvelles de la société civile pour un avenir européen durable»</w:t>
            </w:r>
          </w:p>
          <w:p w:rsidR="009B49E4" w:rsidRDefault="009B49E4" w:rsidP="00CB0F0C">
            <w:pPr>
              <w:ind w:left="360"/>
            </w:pPr>
            <w:r w:rsidRPr="005B0888">
              <w:rPr>
                <w:b/>
              </w:rPr>
              <w:t xml:space="preserve">M. István </w:t>
            </w:r>
            <w:proofErr w:type="spellStart"/>
            <w:r w:rsidRPr="005B0888">
              <w:rPr>
                <w:b/>
              </w:rPr>
              <w:t>Pál</w:t>
            </w:r>
            <w:proofErr w:type="spellEnd"/>
            <w:r w:rsidRPr="005B0888">
              <w:rPr>
                <w:b/>
              </w:rPr>
              <w:t xml:space="preserve"> </w:t>
            </w:r>
            <w:proofErr w:type="spellStart"/>
            <w:r w:rsidRPr="005B0888">
              <w:rPr>
                <w:b/>
              </w:rPr>
              <w:t>Székely</w:t>
            </w:r>
            <w:proofErr w:type="spellEnd"/>
            <w:r w:rsidRPr="005B0888">
              <w:t>, directeur près la direction générale des affaires économiques et financières de la Commission européenne</w:t>
            </w:r>
            <w:r w:rsidR="00241CCD">
              <w:t>:</w:t>
            </w:r>
          </w:p>
          <w:p w:rsidR="00241CCD" w:rsidRPr="005B0888" w:rsidRDefault="00241CCD" w:rsidP="00CB0F0C">
            <w:pPr>
              <w:ind w:left="360"/>
            </w:pPr>
            <w:r w:rsidRPr="005B0888">
              <w:rPr>
                <w:i/>
              </w:rPr>
              <w:t>«</w:t>
            </w:r>
            <w:r w:rsidRPr="008E4F30">
              <w:rPr>
                <w:i/>
              </w:rPr>
              <w:t xml:space="preserve">Inclusive and </w:t>
            </w:r>
            <w:proofErr w:type="spellStart"/>
            <w:r w:rsidRPr="008E4F30">
              <w:rPr>
                <w:i/>
              </w:rPr>
              <w:t>sustainable</w:t>
            </w:r>
            <w:proofErr w:type="spellEnd"/>
            <w:r w:rsidRPr="008E4F30">
              <w:rPr>
                <w:i/>
              </w:rPr>
              <w:t xml:space="preserve"> Union – how </w:t>
            </w:r>
            <w:r>
              <w:rPr>
                <w:i/>
              </w:rPr>
              <w:t xml:space="preserve">to </w:t>
            </w:r>
            <w:proofErr w:type="spellStart"/>
            <w:r>
              <w:rPr>
                <w:i/>
              </w:rPr>
              <w:t>get</w:t>
            </w:r>
            <w:proofErr w:type="spellEnd"/>
            <w:r>
              <w:rPr>
                <w:i/>
              </w:rPr>
              <w:t xml:space="preserve"> </w:t>
            </w:r>
            <w:proofErr w:type="spellStart"/>
            <w:r>
              <w:rPr>
                <w:i/>
              </w:rPr>
              <w:t>there</w:t>
            </w:r>
            <w:proofErr w:type="spellEnd"/>
            <w:r>
              <w:rPr>
                <w:i/>
              </w:rPr>
              <w:t>?</w:t>
            </w:r>
            <w:r w:rsidRPr="005B0888">
              <w:rPr>
                <w:i/>
              </w:rPr>
              <w:t>»</w:t>
            </w:r>
          </w:p>
          <w:p w:rsidR="00FE68D9" w:rsidRDefault="00BA31B6" w:rsidP="00CB0F0C">
            <w:pPr>
              <w:ind w:left="360"/>
            </w:pPr>
            <w:r w:rsidRPr="005B0888">
              <w:rPr>
                <w:b/>
              </w:rPr>
              <w:t xml:space="preserve">M. Philippe </w:t>
            </w:r>
            <w:proofErr w:type="spellStart"/>
            <w:r w:rsidRPr="005B0888">
              <w:rPr>
                <w:b/>
              </w:rPr>
              <w:t>Lamberts</w:t>
            </w:r>
            <w:proofErr w:type="spellEnd"/>
            <w:r w:rsidRPr="005B0888">
              <w:t>, député au Parlement européen, coprésident du groupe des Verts/Alliance libre européenne au Parlement européen</w:t>
            </w:r>
            <w:r w:rsidR="00241CCD">
              <w:t>:</w:t>
            </w:r>
          </w:p>
          <w:p w:rsidR="00890B0C" w:rsidRPr="005B0888" w:rsidRDefault="00241CCD" w:rsidP="002C5B74">
            <w:pPr>
              <w:ind w:left="360"/>
              <w:rPr>
                <w:iCs/>
              </w:rPr>
            </w:pPr>
            <w:r w:rsidRPr="005B0888">
              <w:rPr>
                <w:i/>
              </w:rPr>
              <w:t>«</w:t>
            </w:r>
            <w:proofErr w:type="spellStart"/>
            <w:r w:rsidRPr="008E4F30">
              <w:rPr>
                <w:i/>
              </w:rPr>
              <w:t>Which</w:t>
            </w:r>
            <w:proofErr w:type="spellEnd"/>
            <w:r w:rsidRPr="008E4F30">
              <w:rPr>
                <w:i/>
              </w:rPr>
              <w:t xml:space="preserve"> </w:t>
            </w:r>
            <w:proofErr w:type="spellStart"/>
            <w:r w:rsidRPr="008E4F30">
              <w:rPr>
                <w:i/>
              </w:rPr>
              <w:t>common</w:t>
            </w:r>
            <w:proofErr w:type="spellEnd"/>
            <w:r w:rsidRPr="008E4F30">
              <w:rPr>
                <w:i/>
              </w:rPr>
              <w:t xml:space="preserve"> ambition for </w:t>
            </w:r>
            <w:proofErr w:type="spellStart"/>
            <w:r w:rsidRPr="008E4F30">
              <w:rPr>
                <w:i/>
              </w:rPr>
              <w:t>Europeans</w:t>
            </w:r>
            <w:proofErr w:type="spellEnd"/>
            <w:r w:rsidRPr="008E4F30">
              <w:rPr>
                <w:i/>
              </w:rPr>
              <w:t xml:space="preserve"> </w:t>
            </w:r>
            <w:proofErr w:type="spellStart"/>
            <w:r w:rsidRPr="008E4F30">
              <w:rPr>
                <w:i/>
              </w:rPr>
              <w:t>beyond</w:t>
            </w:r>
            <w:proofErr w:type="spellEnd"/>
            <w:r w:rsidRPr="008E4F30">
              <w:rPr>
                <w:i/>
              </w:rPr>
              <w:t xml:space="preserve"> 2020?</w:t>
            </w:r>
            <w:r w:rsidRPr="005B0888">
              <w:rPr>
                <w:i/>
              </w:rPr>
              <w:t>»</w:t>
            </w:r>
          </w:p>
          <w:p w:rsidR="00BB6CCB" w:rsidRDefault="002C5B74" w:rsidP="002C5B74">
            <w:pPr>
              <w:ind w:left="360"/>
            </w:pPr>
            <w:r w:rsidRPr="005B0888">
              <w:rPr>
                <w:b/>
              </w:rPr>
              <w:t xml:space="preserve">M. Gábor </w:t>
            </w:r>
            <w:proofErr w:type="spellStart"/>
            <w:r w:rsidRPr="005B0888">
              <w:rPr>
                <w:b/>
              </w:rPr>
              <w:t>Iván</w:t>
            </w:r>
            <w:proofErr w:type="spellEnd"/>
            <w:r w:rsidRPr="005B0888">
              <w:t>, directeur de la direction Politique générale du Conseil de l</w:t>
            </w:r>
            <w:r w:rsidR="005B0888" w:rsidRPr="005B0888">
              <w:t>’</w:t>
            </w:r>
            <w:r w:rsidRPr="005B0888">
              <w:t>Union européenne</w:t>
            </w:r>
            <w:r w:rsidR="00EF1D04">
              <w:t>:</w:t>
            </w:r>
          </w:p>
          <w:p w:rsidR="00EF1D04" w:rsidRDefault="00EF1D04" w:rsidP="002C5B74">
            <w:pPr>
              <w:ind w:left="360"/>
              <w:rPr>
                <w:i/>
                <w:iCs/>
              </w:rPr>
            </w:pPr>
            <w:r w:rsidRPr="00307FD7">
              <w:rPr>
                <w:i/>
                <w:iCs/>
              </w:rPr>
              <w:t>''</w:t>
            </w:r>
            <w:proofErr w:type="spellStart"/>
            <w:r w:rsidRPr="00307FD7">
              <w:rPr>
                <w:i/>
                <w:iCs/>
              </w:rPr>
              <w:t>Unprecedented</w:t>
            </w:r>
            <w:proofErr w:type="spellEnd"/>
            <w:r w:rsidRPr="00307FD7">
              <w:rPr>
                <w:i/>
                <w:iCs/>
              </w:rPr>
              <w:t xml:space="preserve"> </w:t>
            </w:r>
            <w:proofErr w:type="spellStart"/>
            <w:r w:rsidRPr="00307FD7">
              <w:rPr>
                <w:i/>
                <w:iCs/>
              </w:rPr>
              <w:t>debate</w:t>
            </w:r>
            <w:proofErr w:type="spellEnd"/>
            <w:r w:rsidRPr="00307FD7">
              <w:rPr>
                <w:i/>
                <w:iCs/>
              </w:rPr>
              <w:t xml:space="preserve"> on Financial Framework: the </w:t>
            </w:r>
            <w:proofErr w:type="spellStart"/>
            <w:r w:rsidRPr="00307FD7">
              <w:rPr>
                <w:i/>
                <w:iCs/>
              </w:rPr>
              <w:t>next</w:t>
            </w:r>
            <w:proofErr w:type="spellEnd"/>
            <w:r w:rsidRPr="00307FD7">
              <w:rPr>
                <w:i/>
                <w:iCs/>
              </w:rPr>
              <w:t xml:space="preserve"> one''</w:t>
            </w:r>
          </w:p>
          <w:p w:rsidR="009579C2" w:rsidRPr="00113C47" w:rsidRDefault="009579C2" w:rsidP="009579C2">
            <w:pPr>
              <w:ind w:left="360"/>
              <w:rPr>
                <w:iCs/>
              </w:rPr>
            </w:pPr>
            <w:proofErr w:type="spellStart"/>
            <w:r w:rsidRPr="00113C47">
              <w:rPr>
                <w:b/>
                <w:bCs/>
                <w:iCs/>
              </w:rPr>
              <w:t>Balázs</w:t>
            </w:r>
            <w:proofErr w:type="spellEnd"/>
            <w:r w:rsidRPr="00113C47">
              <w:rPr>
                <w:b/>
                <w:bCs/>
                <w:iCs/>
              </w:rPr>
              <w:t xml:space="preserve"> </w:t>
            </w:r>
            <w:proofErr w:type="spellStart"/>
            <w:r w:rsidRPr="00113C47">
              <w:rPr>
                <w:b/>
                <w:bCs/>
                <w:iCs/>
              </w:rPr>
              <w:t>Molnár</w:t>
            </w:r>
            <w:proofErr w:type="spellEnd"/>
            <w:r w:rsidRPr="00113C47">
              <w:rPr>
                <w:iCs/>
              </w:rPr>
              <w:t xml:space="preserve">, </w:t>
            </w:r>
            <w:proofErr w:type="spellStart"/>
            <w:r w:rsidRPr="00113C47">
              <w:rPr>
                <w:iCs/>
              </w:rPr>
              <w:t>Deputy</w:t>
            </w:r>
            <w:proofErr w:type="spellEnd"/>
            <w:r w:rsidRPr="00113C47">
              <w:rPr>
                <w:iCs/>
              </w:rPr>
              <w:t xml:space="preserve"> State Secretary in the </w:t>
            </w:r>
            <w:proofErr w:type="spellStart"/>
            <w:r w:rsidRPr="00113C47">
              <w:rPr>
                <w:iCs/>
              </w:rPr>
              <w:t>Hungary's</w:t>
            </w:r>
            <w:proofErr w:type="spellEnd"/>
            <w:r w:rsidRPr="00113C47">
              <w:rPr>
                <w:iCs/>
              </w:rPr>
              <w:t xml:space="preserve"> Prime </w:t>
            </w:r>
            <w:proofErr w:type="spellStart"/>
            <w:r w:rsidRPr="00113C47">
              <w:rPr>
                <w:iCs/>
              </w:rPr>
              <w:t>Minister's</w:t>
            </w:r>
            <w:proofErr w:type="spellEnd"/>
            <w:r w:rsidRPr="00113C47">
              <w:rPr>
                <w:iCs/>
              </w:rPr>
              <w:t xml:space="preserve"> Office:</w:t>
            </w:r>
          </w:p>
          <w:p w:rsidR="009579C2" w:rsidRPr="005B0888" w:rsidRDefault="009579C2" w:rsidP="009579C2">
            <w:pPr>
              <w:ind w:left="360"/>
            </w:pPr>
            <w:r w:rsidRPr="00113C47">
              <w:rPr>
                <w:i/>
                <w:iCs/>
              </w:rPr>
              <w:t>''</w:t>
            </w:r>
            <w:proofErr w:type="spellStart"/>
            <w:r w:rsidRPr="00113C47">
              <w:rPr>
                <w:i/>
                <w:iCs/>
              </w:rPr>
              <w:t>Competitiveness</w:t>
            </w:r>
            <w:proofErr w:type="spellEnd"/>
            <w:r w:rsidRPr="00113C47">
              <w:rPr>
                <w:i/>
                <w:iCs/>
              </w:rPr>
              <w:t xml:space="preserve"> and convergence – The </w:t>
            </w:r>
            <w:proofErr w:type="spellStart"/>
            <w:r w:rsidRPr="00113C47">
              <w:rPr>
                <w:i/>
                <w:iCs/>
              </w:rPr>
              <w:t>European</w:t>
            </w:r>
            <w:proofErr w:type="spellEnd"/>
            <w:r w:rsidRPr="00113C47">
              <w:rPr>
                <w:i/>
                <w:iCs/>
              </w:rPr>
              <w:t xml:space="preserve"> Union of new </w:t>
            </w:r>
            <w:proofErr w:type="spellStart"/>
            <w:r w:rsidRPr="00113C47">
              <w:rPr>
                <w:i/>
                <w:iCs/>
              </w:rPr>
              <w:t>realities</w:t>
            </w:r>
            <w:proofErr w:type="spellEnd"/>
            <w:r w:rsidRPr="00113C47">
              <w:rPr>
                <w:i/>
                <w:iCs/>
              </w:rPr>
              <w:t>''</w:t>
            </w:r>
          </w:p>
        </w:tc>
      </w:tr>
      <w:tr w:rsidR="00FF04BA" w:rsidRPr="005B0888">
        <w:tc>
          <w:tcPr>
            <w:tcW w:w="2235" w:type="dxa"/>
          </w:tcPr>
          <w:p w:rsidR="00A708B0" w:rsidRPr="005B0888" w:rsidRDefault="00A708B0" w:rsidP="00ED3DF8">
            <w:pPr>
              <w:rPr>
                <w:rFonts w:eastAsia="Calibri"/>
                <w:b/>
              </w:rPr>
            </w:pPr>
            <w:r w:rsidRPr="005B0888">
              <w:rPr>
                <w:b/>
              </w:rPr>
              <w:t>15 h 40 – 16 h 30</w:t>
            </w:r>
          </w:p>
          <w:p w:rsidR="00C96C86" w:rsidRPr="005B0888" w:rsidRDefault="00C96C86" w:rsidP="009810F8">
            <w:pPr>
              <w:jc w:val="center"/>
              <w:rPr>
                <w:bCs/>
                <w:i/>
                <w:iCs/>
              </w:rPr>
            </w:pPr>
          </w:p>
        </w:tc>
        <w:tc>
          <w:tcPr>
            <w:tcW w:w="7054" w:type="dxa"/>
          </w:tcPr>
          <w:p w:rsidR="00890B0C" w:rsidRPr="005B0888" w:rsidRDefault="00A708B0" w:rsidP="00806F50">
            <w:pPr>
              <w:rPr>
                <w:b/>
              </w:rPr>
            </w:pPr>
            <w:r w:rsidRPr="005B0888">
              <w:rPr>
                <w:b/>
              </w:rPr>
              <w:t>Séance de questions et réponses animée par M. Etele Baráth</w:t>
            </w:r>
            <w:r w:rsidRPr="005B0888">
              <w:t>, président du comité de pilotage Europe 2020 du CESE</w:t>
            </w:r>
          </w:p>
          <w:p w:rsidR="00FC35C2" w:rsidRPr="005B0888" w:rsidRDefault="00FC35C2" w:rsidP="00ED3DF8">
            <w:pPr>
              <w:rPr>
                <w:b/>
              </w:rPr>
            </w:pPr>
          </w:p>
        </w:tc>
      </w:tr>
      <w:tr w:rsidR="00FF04BA" w:rsidRPr="005B0888">
        <w:tc>
          <w:tcPr>
            <w:tcW w:w="2235" w:type="dxa"/>
            <w:shd w:val="clear" w:color="auto" w:fill="DBE5F1" w:themeFill="accent1" w:themeFillTint="33"/>
          </w:tcPr>
          <w:p w:rsidR="00BA31B6" w:rsidRPr="005B0888" w:rsidRDefault="00BA31B6" w:rsidP="00ED3DF8">
            <w:pPr>
              <w:rPr>
                <w:rFonts w:eastAsia="Calibri"/>
                <w:b/>
              </w:rPr>
            </w:pPr>
            <w:r w:rsidRPr="005B0888">
              <w:rPr>
                <w:b/>
              </w:rPr>
              <w:t>16 h 30 – 16 h 45</w:t>
            </w:r>
          </w:p>
        </w:tc>
        <w:tc>
          <w:tcPr>
            <w:tcW w:w="7054" w:type="dxa"/>
            <w:shd w:val="clear" w:color="auto" w:fill="DBE5F1" w:themeFill="accent1" w:themeFillTint="33"/>
          </w:tcPr>
          <w:p w:rsidR="00890B0C" w:rsidRPr="005B0888" w:rsidRDefault="008175E3" w:rsidP="00ED3DF8">
            <w:pPr>
              <w:rPr>
                <w:b/>
              </w:rPr>
            </w:pPr>
            <w:r w:rsidRPr="005B0888">
              <w:rPr>
                <w:b/>
              </w:rPr>
              <w:t>Pause-café</w:t>
            </w:r>
          </w:p>
        </w:tc>
      </w:tr>
      <w:tr w:rsidR="00FF04BA" w:rsidRPr="005B0888">
        <w:tc>
          <w:tcPr>
            <w:tcW w:w="2235" w:type="dxa"/>
          </w:tcPr>
          <w:p w:rsidR="00890B0C" w:rsidRPr="005B0888" w:rsidRDefault="00890B0C" w:rsidP="00ED3DF8">
            <w:pPr>
              <w:rPr>
                <w:rFonts w:eastAsia="Calibri"/>
                <w:b/>
              </w:rPr>
            </w:pPr>
          </w:p>
          <w:p w:rsidR="00A708B0" w:rsidRPr="005B0888" w:rsidRDefault="007372BD" w:rsidP="00ED3DF8">
            <w:pPr>
              <w:rPr>
                <w:rFonts w:eastAsia="Calibri"/>
                <w:b/>
              </w:rPr>
            </w:pPr>
            <w:r w:rsidRPr="005B0888">
              <w:rPr>
                <w:b/>
              </w:rPr>
              <w:t>16 h 45 – 17 h 30</w:t>
            </w:r>
          </w:p>
          <w:p w:rsidR="001674A7" w:rsidRPr="005B0888" w:rsidRDefault="001674A7" w:rsidP="009810F8">
            <w:pPr>
              <w:jc w:val="center"/>
              <w:rPr>
                <w:rFonts w:eastAsia="Calibri"/>
                <w:bCs/>
                <w:i/>
                <w:iCs/>
              </w:rPr>
            </w:pPr>
          </w:p>
        </w:tc>
        <w:tc>
          <w:tcPr>
            <w:tcW w:w="7054" w:type="dxa"/>
          </w:tcPr>
          <w:p w:rsidR="00890B0C" w:rsidRPr="005B0888" w:rsidRDefault="00890B0C" w:rsidP="00ED3DF8">
            <w:pPr>
              <w:rPr>
                <w:b/>
              </w:rPr>
            </w:pPr>
          </w:p>
          <w:p w:rsidR="00FE68D9" w:rsidRPr="005B0888" w:rsidRDefault="00A708B0" w:rsidP="009F255D">
            <w:pPr>
              <w:rPr>
                <w:i/>
              </w:rPr>
            </w:pPr>
            <w:r w:rsidRPr="005B0888">
              <w:rPr>
                <w:b/>
              </w:rPr>
              <w:t>Débat</w:t>
            </w:r>
            <w:r w:rsidRPr="005B0888">
              <w:t xml:space="preserve"> avec les représentants des conseils économiques et sociaux nationaux sur le thème de </w:t>
            </w:r>
            <w:r w:rsidRPr="005B0888">
              <w:rPr>
                <w:i/>
              </w:rPr>
              <w:t>la société civile organisée et l</w:t>
            </w:r>
            <w:r w:rsidR="005B0888" w:rsidRPr="005B0888">
              <w:rPr>
                <w:i/>
              </w:rPr>
              <w:t>’</w:t>
            </w:r>
            <w:r w:rsidRPr="005B0888">
              <w:rPr>
                <w:i/>
              </w:rPr>
              <w:t>avenir de l</w:t>
            </w:r>
            <w:r w:rsidR="005B0888" w:rsidRPr="005B0888">
              <w:rPr>
                <w:i/>
              </w:rPr>
              <w:t>’</w:t>
            </w:r>
            <w:r w:rsidRPr="005B0888">
              <w:rPr>
                <w:i/>
              </w:rPr>
              <w:t>Europe</w:t>
            </w:r>
            <w:r w:rsidRPr="005B0888">
              <w:t xml:space="preserve">, animé par </w:t>
            </w:r>
            <w:r w:rsidRPr="005B0888">
              <w:rPr>
                <w:b/>
              </w:rPr>
              <w:t xml:space="preserve">M. Attila </w:t>
            </w:r>
            <w:proofErr w:type="spellStart"/>
            <w:r w:rsidRPr="005B0888">
              <w:rPr>
                <w:b/>
              </w:rPr>
              <w:t>Szücs</w:t>
            </w:r>
            <w:proofErr w:type="spellEnd"/>
            <w:r w:rsidRPr="005B0888">
              <w:t xml:space="preserve">, président du Conseil national économique et social de </w:t>
            </w:r>
            <w:r w:rsidRPr="005B0888">
              <w:lastRenderedPageBreak/>
              <w:t>Hongrie</w:t>
            </w:r>
          </w:p>
          <w:p w:rsidR="009579C2" w:rsidRDefault="009579C2" w:rsidP="00ED3DF8"/>
          <w:p w:rsidR="008175E3" w:rsidRPr="005B0888" w:rsidRDefault="009B49E4" w:rsidP="00ED3DF8">
            <w:r w:rsidRPr="005B0888">
              <w:t xml:space="preserve">Orateur principal: </w:t>
            </w:r>
          </w:p>
          <w:p w:rsidR="00ED3DF8" w:rsidRPr="005B0888" w:rsidRDefault="009B49E4" w:rsidP="0032470B">
            <w:pPr>
              <w:ind w:left="360"/>
              <w:rPr>
                <w:b/>
              </w:rPr>
            </w:pPr>
            <w:r w:rsidRPr="005B0888">
              <w:rPr>
                <w:b/>
              </w:rPr>
              <w:t>M. Paul Fourier</w:t>
            </w:r>
            <w:r w:rsidRPr="005B0888">
              <w:t>, membre du Conseil économique social et environnemental français désigné par la Confédération générale du travail</w:t>
            </w:r>
          </w:p>
          <w:p w:rsidR="00FF7776" w:rsidRPr="005B0888" w:rsidRDefault="009F255D" w:rsidP="009F255D">
            <w:pPr>
              <w:ind w:left="33"/>
              <w:rPr>
                <w:bCs/>
              </w:rPr>
            </w:pPr>
            <w:r w:rsidRPr="005B0888">
              <w:t>Représentants des conseils économiques et sociaux nationaux:</w:t>
            </w:r>
          </w:p>
          <w:p w:rsidR="004C698E" w:rsidRPr="005B0888" w:rsidRDefault="008277FE" w:rsidP="004C698E">
            <w:pPr>
              <w:ind w:left="317"/>
              <w:rPr>
                <w:bCs/>
              </w:rPr>
            </w:pPr>
            <w:r w:rsidRPr="005B0888">
              <w:t xml:space="preserve">CES de Hongrie: M. László </w:t>
            </w:r>
            <w:proofErr w:type="spellStart"/>
            <w:r w:rsidRPr="005B0888">
              <w:t>Kuti</w:t>
            </w:r>
            <w:proofErr w:type="spellEnd"/>
            <w:r w:rsidRPr="005B0888">
              <w:t>, M. </w:t>
            </w:r>
            <w:proofErr w:type="spellStart"/>
            <w:r w:rsidR="00F877EA" w:rsidRPr="004C698E">
              <w:rPr>
                <w:bCs/>
              </w:rPr>
              <w:t>Róbert</w:t>
            </w:r>
            <w:proofErr w:type="spellEnd"/>
            <w:r w:rsidR="00F877EA" w:rsidRPr="004C698E">
              <w:rPr>
                <w:bCs/>
              </w:rPr>
              <w:t xml:space="preserve"> </w:t>
            </w:r>
            <w:proofErr w:type="spellStart"/>
            <w:r w:rsidR="00F877EA" w:rsidRPr="004C698E">
              <w:rPr>
                <w:bCs/>
              </w:rPr>
              <w:t>Sz</w:t>
            </w:r>
            <w:r w:rsidR="00F877EA">
              <w:rPr>
                <w:bCs/>
              </w:rPr>
              <w:t>e</w:t>
            </w:r>
            <w:r w:rsidR="00F877EA" w:rsidRPr="004C698E">
              <w:rPr>
                <w:bCs/>
              </w:rPr>
              <w:t>ndre</w:t>
            </w:r>
            <w:r w:rsidR="00F877EA">
              <w:rPr>
                <w:bCs/>
              </w:rPr>
              <w:t>i</w:t>
            </w:r>
            <w:proofErr w:type="spellEnd"/>
          </w:p>
          <w:p w:rsidR="004C698E" w:rsidRPr="005B0888" w:rsidRDefault="008277FE" w:rsidP="004C698E">
            <w:pPr>
              <w:ind w:left="317"/>
              <w:rPr>
                <w:bCs/>
              </w:rPr>
            </w:pPr>
            <w:r w:rsidRPr="005B0888">
              <w:t>CES du Luxembourg: M. Daniel Becker</w:t>
            </w:r>
          </w:p>
          <w:p w:rsidR="003970F7" w:rsidRPr="005B0888" w:rsidRDefault="008277FE" w:rsidP="004C698E">
            <w:pPr>
              <w:ind w:left="317"/>
              <w:rPr>
                <w:bCs/>
              </w:rPr>
            </w:pPr>
            <w:r w:rsidRPr="005B0888">
              <w:t>CES d</w:t>
            </w:r>
            <w:r w:rsidR="005B0888" w:rsidRPr="005B0888">
              <w:t>’</w:t>
            </w:r>
            <w:r w:rsidRPr="005B0888">
              <w:t>Espagne: M</w:t>
            </w:r>
            <w:r w:rsidRPr="005B0888">
              <w:rPr>
                <w:vertAlign w:val="superscript"/>
              </w:rPr>
              <w:t>me</w:t>
            </w:r>
            <w:r w:rsidRPr="005B0888">
              <w:t xml:space="preserve"> Beatriz Martín Nieto </w:t>
            </w:r>
          </w:p>
          <w:p w:rsidR="00EF1D04" w:rsidRDefault="008277FE" w:rsidP="009579C2">
            <w:pPr>
              <w:ind w:left="317"/>
              <w:rPr>
                <w:b/>
              </w:rPr>
            </w:pPr>
            <w:r w:rsidRPr="005B0888">
              <w:t>CES des Pays-Bas: M. Roland Zwiers</w:t>
            </w:r>
          </w:p>
          <w:p w:rsidR="009579C2" w:rsidRPr="005B0888" w:rsidRDefault="009579C2" w:rsidP="009579C2">
            <w:pPr>
              <w:ind w:left="317"/>
              <w:rPr>
                <w:b/>
              </w:rPr>
            </w:pPr>
          </w:p>
        </w:tc>
      </w:tr>
      <w:tr w:rsidR="00FF04BA" w:rsidRPr="005B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9" w:type="dxa"/>
            <w:gridSpan w:val="2"/>
            <w:tcBorders>
              <w:top w:val="nil"/>
              <w:left w:val="nil"/>
              <w:bottom w:val="nil"/>
              <w:right w:val="nil"/>
            </w:tcBorders>
            <w:shd w:val="clear" w:color="auto" w:fill="DBE5F1" w:themeFill="accent1" w:themeFillTint="33"/>
          </w:tcPr>
          <w:p w:rsidR="00A708B0" w:rsidRPr="005B0888" w:rsidRDefault="00A0290C" w:rsidP="001E2ABF">
            <w:pPr>
              <w:keepNext/>
              <w:jc w:val="center"/>
            </w:pPr>
            <w:r w:rsidRPr="005B0888">
              <w:rPr>
                <w:b/>
              </w:rPr>
              <w:lastRenderedPageBreak/>
              <w:t>MARDI 28 NOVEMBRE</w:t>
            </w:r>
          </w:p>
        </w:tc>
      </w:tr>
      <w:tr w:rsidR="00FF04BA" w:rsidRPr="005B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A708B0" w:rsidRPr="005B0888" w:rsidRDefault="00A708B0">
            <w:pPr>
              <w:rPr>
                <w:b/>
              </w:rPr>
            </w:pPr>
            <w:r w:rsidRPr="005B0888">
              <w:rPr>
                <w:b/>
              </w:rPr>
              <w:t>8 h 30 – 9 h 00</w:t>
            </w:r>
          </w:p>
        </w:tc>
        <w:tc>
          <w:tcPr>
            <w:tcW w:w="7054" w:type="dxa"/>
            <w:tcBorders>
              <w:top w:val="nil"/>
              <w:left w:val="nil"/>
              <w:bottom w:val="nil"/>
              <w:right w:val="nil"/>
            </w:tcBorders>
          </w:tcPr>
          <w:p w:rsidR="00A708B0" w:rsidRPr="005B0888" w:rsidRDefault="00A708B0" w:rsidP="00ED3DF8">
            <w:r w:rsidRPr="005B0888">
              <w:rPr>
                <w:b/>
              </w:rPr>
              <w:t>Accueil et café</w:t>
            </w:r>
          </w:p>
        </w:tc>
      </w:tr>
      <w:tr w:rsidR="00FF04BA" w:rsidRPr="005B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A708B0" w:rsidRPr="005B0888" w:rsidRDefault="00A708B0" w:rsidP="00ED3DF8"/>
        </w:tc>
        <w:tc>
          <w:tcPr>
            <w:tcW w:w="7054" w:type="dxa"/>
            <w:tcBorders>
              <w:top w:val="nil"/>
              <w:left w:val="nil"/>
              <w:bottom w:val="nil"/>
              <w:right w:val="nil"/>
            </w:tcBorders>
          </w:tcPr>
          <w:p w:rsidR="00A708B0" w:rsidRPr="005B0888" w:rsidRDefault="00A708B0" w:rsidP="00ED3DF8"/>
        </w:tc>
      </w:tr>
      <w:tr w:rsidR="00FF04BA" w:rsidRPr="005B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235" w:type="dxa"/>
            <w:tcBorders>
              <w:top w:val="nil"/>
              <w:left w:val="nil"/>
              <w:bottom w:val="nil"/>
              <w:right w:val="nil"/>
            </w:tcBorders>
          </w:tcPr>
          <w:p w:rsidR="00B74AA6" w:rsidRPr="005B0888" w:rsidRDefault="00B74AA6">
            <w:pPr>
              <w:rPr>
                <w:rFonts w:eastAsia="Calibri"/>
                <w:b/>
              </w:rPr>
            </w:pPr>
            <w:r w:rsidRPr="005B0888">
              <w:rPr>
                <w:b/>
              </w:rPr>
              <w:t>9 h 00 – 10 h 45</w:t>
            </w:r>
          </w:p>
          <w:p w:rsidR="001674A7" w:rsidRPr="005B0888" w:rsidRDefault="001674A7" w:rsidP="009810F8">
            <w:pPr>
              <w:jc w:val="center"/>
              <w:rPr>
                <w:i/>
              </w:rPr>
            </w:pPr>
          </w:p>
        </w:tc>
        <w:tc>
          <w:tcPr>
            <w:tcW w:w="7054" w:type="dxa"/>
            <w:tcBorders>
              <w:top w:val="nil"/>
              <w:left w:val="nil"/>
              <w:bottom w:val="nil"/>
              <w:right w:val="nil"/>
            </w:tcBorders>
          </w:tcPr>
          <w:p w:rsidR="00ED3DF8" w:rsidRPr="005B0888" w:rsidRDefault="00B74AA6" w:rsidP="00F1663F">
            <w:pPr>
              <w:rPr>
                <w:rFonts w:eastAsia="Calibri"/>
                <w:b/>
                <w:sz w:val="20"/>
              </w:rPr>
            </w:pPr>
            <w:r w:rsidRPr="005B0888">
              <w:rPr>
                <w:b/>
              </w:rPr>
              <w:t>TABLE RONDE 1 – POURQUOI NOUS FAUT-IL UNE SUITE À LA STRATÉGIE UE 2020?</w:t>
            </w:r>
          </w:p>
        </w:tc>
      </w:tr>
      <w:tr w:rsidR="00FF04BA" w:rsidRPr="005B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tcW w:w="2235" w:type="dxa"/>
            <w:tcBorders>
              <w:top w:val="nil"/>
              <w:left w:val="nil"/>
              <w:bottom w:val="nil"/>
              <w:right w:val="nil"/>
            </w:tcBorders>
          </w:tcPr>
          <w:p w:rsidR="00B74AA6" w:rsidRPr="005B0888" w:rsidRDefault="00B74AA6">
            <w:r w:rsidRPr="005B0888">
              <w:t>9 h 00 – 9 h 50</w:t>
            </w:r>
          </w:p>
          <w:p w:rsidR="001674A7" w:rsidRPr="005B0888" w:rsidRDefault="001674A7" w:rsidP="009810F8">
            <w:pPr>
              <w:jc w:val="center"/>
              <w:rPr>
                <w:rFonts w:eastAsia="Calibri"/>
              </w:rPr>
            </w:pPr>
          </w:p>
        </w:tc>
        <w:tc>
          <w:tcPr>
            <w:tcW w:w="7054" w:type="dxa"/>
            <w:tcBorders>
              <w:top w:val="nil"/>
              <w:left w:val="nil"/>
              <w:bottom w:val="nil"/>
              <w:right w:val="nil"/>
            </w:tcBorders>
          </w:tcPr>
          <w:p w:rsidR="008F7A2A" w:rsidRPr="005B0888" w:rsidRDefault="00B44069" w:rsidP="00ED3DF8">
            <w:pPr>
              <w:rPr>
                <w:b/>
              </w:rPr>
            </w:pPr>
            <w:r w:rsidRPr="005B0888">
              <w:rPr>
                <w:b/>
              </w:rPr>
              <w:t>Principaux intervenants:</w:t>
            </w:r>
          </w:p>
          <w:p w:rsidR="008F7A2A" w:rsidRPr="005B0888" w:rsidRDefault="008F7A2A" w:rsidP="00ED3DF8">
            <w:pPr>
              <w:ind w:left="360"/>
              <w:rPr>
                <w:b/>
                <w:u w:val="single"/>
              </w:rPr>
            </w:pPr>
            <w:r w:rsidRPr="005B0888">
              <w:rPr>
                <w:b/>
              </w:rPr>
              <w:t>M</w:t>
            </w:r>
            <w:r w:rsidRPr="005B0888">
              <w:rPr>
                <w:b/>
                <w:vertAlign w:val="superscript"/>
              </w:rPr>
              <w:t>me</w:t>
            </w:r>
            <w:r w:rsidRPr="005B0888">
              <w:rPr>
                <w:b/>
              </w:rPr>
              <w:t> Brenda King</w:t>
            </w:r>
            <w:r w:rsidRPr="005B0888">
              <w:t>, présidente de l</w:t>
            </w:r>
            <w:r w:rsidR="005B0888" w:rsidRPr="005B0888">
              <w:t>’</w:t>
            </w:r>
            <w:r w:rsidRPr="005B0888">
              <w:t>Observatoire du développement durable du CESE – introduction/présidence</w:t>
            </w:r>
          </w:p>
          <w:p w:rsidR="008F7A2A" w:rsidRPr="005B0888" w:rsidRDefault="00B44069" w:rsidP="00ED3DF8">
            <w:pPr>
              <w:ind w:left="360"/>
            </w:pPr>
            <w:r w:rsidRPr="005B0888">
              <w:rPr>
                <w:b/>
              </w:rPr>
              <w:t>M. Enrico Giovannini</w:t>
            </w:r>
            <w:r w:rsidRPr="005B0888">
              <w:t>, directeur de l</w:t>
            </w:r>
            <w:r w:rsidR="005B0888" w:rsidRPr="005B0888">
              <w:t>’</w:t>
            </w:r>
            <w:r w:rsidRPr="005B0888">
              <w:t>Alliance italienne pour le développement durable (par Skype)</w:t>
            </w:r>
          </w:p>
          <w:p w:rsidR="00B44069" w:rsidRPr="005B0888" w:rsidRDefault="00B44069" w:rsidP="009810F8">
            <w:pPr>
              <w:ind w:left="360"/>
              <w:rPr>
                <w:b/>
                <w:strike/>
              </w:rPr>
            </w:pPr>
            <w:r w:rsidRPr="005B0888">
              <w:rPr>
                <w:b/>
              </w:rPr>
              <w:t xml:space="preserve">M. Péter </w:t>
            </w:r>
            <w:proofErr w:type="spellStart"/>
            <w:r w:rsidRPr="005B0888">
              <w:rPr>
                <w:b/>
              </w:rPr>
              <w:t>Balázs</w:t>
            </w:r>
            <w:proofErr w:type="spellEnd"/>
            <w:r w:rsidRPr="005B0888">
              <w:t>, professeur à l</w:t>
            </w:r>
            <w:r w:rsidR="005B0888" w:rsidRPr="005B0888">
              <w:t>’</w:t>
            </w:r>
            <w:r w:rsidRPr="005B0888">
              <w:t>Université d</w:t>
            </w:r>
            <w:r w:rsidR="005B0888" w:rsidRPr="005B0888">
              <w:t>’</w:t>
            </w:r>
            <w:r w:rsidRPr="005B0888">
              <w:t>Europe centrale et ancien commissaire européen chargé de la politique régionale</w:t>
            </w:r>
          </w:p>
        </w:tc>
      </w:tr>
      <w:tr w:rsidR="00FF04BA" w:rsidRPr="005B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BB449C" w:rsidRPr="005B0888" w:rsidRDefault="00BB449C" w:rsidP="00ED3DF8">
            <w:r w:rsidRPr="005B0888">
              <w:t>9 h 50 – 10 h 45</w:t>
            </w:r>
          </w:p>
          <w:p w:rsidR="001674A7" w:rsidRPr="005B0888" w:rsidRDefault="001674A7" w:rsidP="009810F8">
            <w:pPr>
              <w:jc w:val="center"/>
            </w:pPr>
          </w:p>
        </w:tc>
        <w:tc>
          <w:tcPr>
            <w:tcW w:w="7054" w:type="dxa"/>
            <w:tcBorders>
              <w:top w:val="nil"/>
              <w:left w:val="nil"/>
              <w:bottom w:val="nil"/>
              <w:right w:val="nil"/>
            </w:tcBorders>
          </w:tcPr>
          <w:p w:rsidR="008F7A2A" w:rsidRPr="005B0888" w:rsidRDefault="0028625E" w:rsidP="00ED3DF8">
            <w:pPr>
              <w:pStyle w:val="ListParagraph"/>
              <w:ind w:left="0"/>
              <w:rPr>
                <w:szCs w:val="22"/>
              </w:rPr>
            </w:pPr>
            <w:r w:rsidRPr="005B0888">
              <w:rPr>
                <w:b/>
              </w:rPr>
              <w:t>Membres de la table ronde:</w:t>
            </w:r>
          </w:p>
          <w:p w:rsidR="007E2C98" w:rsidRPr="005B0888" w:rsidRDefault="007E2C98" w:rsidP="00ED3DF8">
            <w:pPr>
              <w:ind w:left="360"/>
              <w:rPr>
                <w:b/>
              </w:rPr>
            </w:pPr>
            <w:r w:rsidRPr="005B0888">
              <w:rPr>
                <w:b/>
              </w:rPr>
              <w:t>Animateur</w:t>
            </w:r>
            <w:r w:rsidRPr="005B0888">
              <w:t xml:space="preserve">: </w:t>
            </w:r>
            <w:r w:rsidRPr="005B0888">
              <w:rPr>
                <w:b/>
              </w:rPr>
              <w:t xml:space="preserve">M. Tamás </w:t>
            </w:r>
            <w:proofErr w:type="spellStart"/>
            <w:r w:rsidRPr="005B0888">
              <w:rPr>
                <w:b/>
              </w:rPr>
              <w:t>Halm</w:t>
            </w:r>
            <w:proofErr w:type="spellEnd"/>
            <w:r w:rsidRPr="005B0888">
              <w:t>, membre du directoire de la Société hongroise d</w:t>
            </w:r>
            <w:r w:rsidR="005B0888" w:rsidRPr="005B0888">
              <w:t>’</w:t>
            </w:r>
            <w:r w:rsidRPr="005B0888">
              <w:t>économie</w:t>
            </w:r>
            <w:r w:rsidRPr="005B0888">
              <w:rPr>
                <w:b/>
              </w:rPr>
              <w:t xml:space="preserve"> </w:t>
            </w:r>
          </w:p>
          <w:p w:rsidR="008F7A2A" w:rsidRPr="005B0888" w:rsidRDefault="008F7A2A" w:rsidP="00ED3DF8">
            <w:pPr>
              <w:ind w:left="360"/>
            </w:pPr>
            <w:r w:rsidRPr="005B0888">
              <w:rPr>
                <w:b/>
              </w:rPr>
              <w:t>M. Csaba Kőrösi</w:t>
            </w:r>
            <w:r w:rsidRPr="005B0888">
              <w:t>, directeur chargé de la viabilité environnementale au sein du cabinet du président de la République de Hongrie</w:t>
            </w:r>
          </w:p>
          <w:p w:rsidR="006D7684" w:rsidRPr="005B0888" w:rsidRDefault="00BB449C" w:rsidP="008B0C06">
            <w:pPr>
              <w:ind w:left="360"/>
            </w:pPr>
            <w:r w:rsidRPr="005B0888">
              <w:rPr>
                <w:b/>
              </w:rPr>
              <w:t>M. Juraj Sipko</w:t>
            </w:r>
            <w:r w:rsidRPr="005B0888">
              <w:t xml:space="preserve">, membre du CESE </w:t>
            </w:r>
          </w:p>
          <w:p w:rsidR="006D7684" w:rsidRPr="005B0888" w:rsidRDefault="006D7684" w:rsidP="009810F8">
            <w:pPr>
              <w:ind w:left="360"/>
            </w:pPr>
            <w:r w:rsidRPr="005B0888">
              <w:rPr>
                <w:b/>
              </w:rPr>
              <w:t>M. Gábor Bartus</w:t>
            </w:r>
            <w:r w:rsidRPr="005B0888">
              <w:t>, secrétaire général du Conseil national pour le développement durable de Hongrie</w:t>
            </w:r>
          </w:p>
        </w:tc>
      </w:tr>
      <w:tr w:rsidR="00FF04BA" w:rsidRPr="005B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A708B0" w:rsidRPr="005B0888" w:rsidRDefault="00A708B0" w:rsidP="00ED3DF8"/>
          <w:p w:rsidR="001674A7" w:rsidRPr="005B0888" w:rsidRDefault="001674A7" w:rsidP="009810F8">
            <w:pPr>
              <w:jc w:val="center"/>
              <w:rPr>
                <w:i/>
              </w:rPr>
            </w:pPr>
          </w:p>
        </w:tc>
        <w:tc>
          <w:tcPr>
            <w:tcW w:w="7054" w:type="dxa"/>
            <w:tcBorders>
              <w:top w:val="nil"/>
              <w:left w:val="nil"/>
              <w:bottom w:val="nil"/>
              <w:right w:val="nil"/>
            </w:tcBorders>
          </w:tcPr>
          <w:p w:rsidR="00315E7F" w:rsidRPr="005B0888" w:rsidRDefault="00315E7F" w:rsidP="00ED3DF8">
            <w:pPr>
              <w:rPr>
                <w:b/>
              </w:rPr>
            </w:pPr>
          </w:p>
          <w:p w:rsidR="00A708B0" w:rsidRPr="005B0888" w:rsidRDefault="00E92C78" w:rsidP="00F877EA">
            <w:pPr>
              <w:rPr>
                <w:b/>
              </w:rPr>
            </w:pPr>
            <w:r w:rsidRPr="005B0888">
              <w:rPr>
                <w:b/>
              </w:rPr>
              <w:t>Discussion libre et contributions écrites en direct des étudiants des universités participantes</w:t>
            </w:r>
            <w:r w:rsidR="00F877EA">
              <w:rPr>
                <w:b/>
              </w:rPr>
              <w:t xml:space="preserve">: </w:t>
            </w:r>
            <w:r w:rsidR="00F877EA" w:rsidRPr="0010187B">
              <w:t xml:space="preserve">Budapest Business </w:t>
            </w:r>
            <w:proofErr w:type="spellStart"/>
            <w:r w:rsidR="00F877EA" w:rsidRPr="0010187B">
              <w:t>School</w:t>
            </w:r>
            <w:proofErr w:type="spellEnd"/>
            <w:r w:rsidR="00F877EA" w:rsidRPr="0010187B">
              <w:t xml:space="preserve"> (</w:t>
            </w:r>
            <w:proofErr w:type="spellStart"/>
            <w:r w:rsidR="00F877EA" w:rsidRPr="0010187B">
              <w:t>Budapesti</w:t>
            </w:r>
            <w:proofErr w:type="spellEnd"/>
            <w:r w:rsidR="00F877EA" w:rsidRPr="0010187B">
              <w:t xml:space="preserve"> </w:t>
            </w:r>
            <w:proofErr w:type="spellStart"/>
            <w:r w:rsidR="00F877EA" w:rsidRPr="0010187B">
              <w:t>Gazdasági</w:t>
            </w:r>
            <w:proofErr w:type="spellEnd"/>
            <w:r w:rsidR="00F877EA" w:rsidRPr="0010187B">
              <w:t xml:space="preserve"> </w:t>
            </w:r>
            <w:proofErr w:type="spellStart"/>
            <w:r w:rsidR="00F877EA" w:rsidRPr="0010187B">
              <w:t>Egyetem</w:t>
            </w:r>
            <w:proofErr w:type="spellEnd"/>
            <w:r w:rsidR="00F877EA" w:rsidRPr="0010187B">
              <w:t>)</w:t>
            </w:r>
            <w:r w:rsidR="00F877EA">
              <w:t>;</w:t>
            </w:r>
            <w:r w:rsidR="00F877EA" w:rsidRPr="0010187B">
              <w:t xml:space="preserve"> </w:t>
            </w:r>
            <w:proofErr w:type="spellStart"/>
            <w:r w:rsidR="00F877EA" w:rsidRPr="0010187B">
              <w:t>Pázmány</w:t>
            </w:r>
            <w:proofErr w:type="spellEnd"/>
            <w:r w:rsidR="00F877EA" w:rsidRPr="0010187B">
              <w:t xml:space="preserve"> Péter </w:t>
            </w:r>
            <w:proofErr w:type="spellStart"/>
            <w:r w:rsidR="00F877EA" w:rsidRPr="0010187B">
              <w:t>Catholic</w:t>
            </w:r>
            <w:proofErr w:type="spellEnd"/>
            <w:r w:rsidR="00F877EA" w:rsidRPr="0010187B">
              <w:t xml:space="preserve"> </w:t>
            </w:r>
            <w:proofErr w:type="spellStart"/>
            <w:r w:rsidR="00F877EA" w:rsidRPr="0010187B">
              <w:t>University</w:t>
            </w:r>
            <w:proofErr w:type="spellEnd"/>
            <w:r w:rsidR="00F877EA">
              <w:t xml:space="preserve">, </w:t>
            </w:r>
            <w:r w:rsidR="00F877EA" w:rsidRPr="0010187B">
              <w:t>Budapest</w:t>
            </w:r>
            <w:r w:rsidR="00F877EA">
              <w:t>;</w:t>
            </w:r>
            <w:r w:rsidR="00F877EA" w:rsidRPr="0010187B">
              <w:t xml:space="preserve"> </w:t>
            </w:r>
            <w:proofErr w:type="spellStart"/>
            <w:r w:rsidR="00F877EA" w:rsidRPr="0010187B">
              <w:t>Debreceni</w:t>
            </w:r>
            <w:proofErr w:type="spellEnd"/>
            <w:r w:rsidR="00F877EA" w:rsidRPr="0010187B">
              <w:t xml:space="preserve"> </w:t>
            </w:r>
            <w:proofErr w:type="spellStart"/>
            <w:r w:rsidR="00F877EA" w:rsidRPr="0010187B">
              <w:t>Tudományegyetem</w:t>
            </w:r>
            <w:proofErr w:type="spellEnd"/>
            <w:r w:rsidR="00F877EA">
              <w:t xml:space="preserve">, </w:t>
            </w:r>
            <w:r w:rsidR="00F877EA" w:rsidRPr="0010187B">
              <w:t>Debrecen</w:t>
            </w:r>
            <w:r w:rsidR="00F877EA">
              <w:t xml:space="preserve">; </w:t>
            </w:r>
            <w:r w:rsidR="00F877EA" w:rsidRPr="0010187B">
              <w:t>Nationa</w:t>
            </w:r>
            <w:r w:rsidR="00F877EA">
              <w:t xml:space="preserve">l </w:t>
            </w:r>
            <w:proofErr w:type="spellStart"/>
            <w:r w:rsidR="00F877EA">
              <w:t>University</w:t>
            </w:r>
            <w:proofErr w:type="spellEnd"/>
            <w:r w:rsidR="00F877EA">
              <w:t xml:space="preserve"> of Public Service, Budapest (</w:t>
            </w:r>
            <w:proofErr w:type="spellStart"/>
            <w:r w:rsidR="00F877EA" w:rsidRPr="0010187B">
              <w:t>Nemzeti</w:t>
            </w:r>
            <w:proofErr w:type="spellEnd"/>
            <w:r w:rsidR="00F877EA" w:rsidRPr="0010187B">
              <w:t xml:space="preserve"> </w:t>
            </w:r>
            <w:proofErr w:type="spellStart"/>
            <w:r w:rsidR="00F877EA" w:rsidRPr="0010187B">
              <w:t>Közszolgálati</w:t>
            </w:r>
            <w:proofErr w:type="spellEnd"/>
            <w:r w:rsidR="00F877EA" w:rsidRPr="0010187B">
              <w:t xml:space="preserve"> </w:t>
            </w:r>
            <w:proofErr w:type="spellStart"/>
            <w:r w:rsidR="00F877EA" w:rsidRPr="0010187B">
              <w:t>Egyetem</w:t>
            </w:r>
            <w:proofErr w:type="spellEnd"/>
            <w:r w:rsidR="00F877EA">
              <w:t>).</w:t>
            </w:r>
          </w:p>
        </w:tc>
      </w:tr>
      <w:tr w:rsidR="00FF04BA" w:rsidRPr="005B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9" w:type="dxa"/>
            <w:gridSpan w:val="2"/>
            <w:tcBorders>
              <w:top w:val="nil"/>
              <w:left w:val="nil"/>
              <w:bottom w:val="nil"/>
              <w:right w:val="nil"/>
            </w:tcBorders>
          </w:tcPr>
          <w:p w:rsidR="004A10A2" w:rsidRPr="005B0888" w:rsidRDefault="004A10A2" w:rsidP="00ED3DF8"/>
        </w:tc>
      </w:tr>
      <w:tr w:rsidR="00FF04BA" w:rsidRPr="005B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9289" w:type="dxa"/>
            <w:gridSpan w:val="2"/>
            <w:tcBorders>
              <w:top w:val="nil"/>
              <w:left w:val="nil"/>
              <w:bottom w:val="nil"/>
              <w:right w:val="nil"/>
            </w:tcBorders>
          </w:tcPr>
          <w:p w:rsidR="00E92C78" w:rsidRPr="005B0888" w:rsidRDefault="00E92C78" w:rsidP="00ED3DF8">
            <w:r w:rsidRPr="005B0888">
              <w:lastRenderedPageBreak/>
              <w:t xml:space="preserve">Cette </w:t>
            </w:r>
            <w:r w:rsidRPr="005B0888">
              <w:rPr>
                <w:b/>
              </w:rPr>
              <w:t>première table ronde</w:t>
            </w:r>
            <w:r w:rsidRPr="005B0888">
              <w:t xml:space="preserve"> s</w:t>
            </w:r>
            <w:r w:rsidR="005B0888" w:rsidRPr="005B0888">
              <w:t>’</w:t>
            </w:r>
            <w:r w:rsidRPr="005B0888">
              <w:t>attellera avant tout aux tâches suivantes:</w:t>
            </w:r>
          </w:p>
          <w:p w:rsidR="00AF61E9" w:rsidRPr="005B0888" w:rsidRDefault="00AF61E9" w:rsidP="00AF61E9">
            <w:pPr>
              <w:pStyle w:val="ListParagraph"/>
              <w:numPr>
                <w:ilvl w:val="0"/>
                <w:numId w:val="4"/>
              </w:numPr>
              <w:rPr>
                <w:szCs w:val="22"/>
              </w:rPr>
            </w:pPr>
            <w:r w:rsidRPr="005B0888">
              <w:t>analyser les points forts et les problèmes de la stratégie Europe 2020;</w:t>
            </w:r>
          </w:p>
          <w:p w:rsidR="00A95C77" w:rsidRPr="00F877EA" w:rsidRDefault="00AF61E9" w:rsidP="006B3B81">
            <w:pPr>
              <w:pStyle w:val="ListParagraph"/>
              <w:numPr>
                <w:ilvl w:val="0"/>
                <w:numId w:val="4"/>
              </w:numPr>
              <w:rPr>
                <w:szCs w:val="22"/>
              </w:rPr>
            </w:pPr>
            <w:r w:rsidRPr="005B0888">
              <w:t>faire valoir la nécessité pour l</w:t>
            </w:r>
            <w:r w:rsidR="005B0888" w:rsidRPr="005B0888">
              <w:t>’</w:t>
            </w:r>
            <w:r w:rsidRPr="005B0888">
              <w:t>avenir d</w:t>
            </w:r>
            <w:r w:rsidR="005B0888" w:rsidRPr="005B0888">
              <w:t>’</w:t>
            </w:r>
            <w:r w:rsidRPr="005B0888">
              <w:t>une stratégie cohérente et transversale de développement de l</w:t>
            </w:r>
            <w:r w:rsidR="005B0888" w:rsidRPr="005B0888">
              <w:t>’</w:t>
            </w:r>
            <w:r w:rsidRPr="005B0888">
              <w:t>UE après 2020;</w:t>
            </w:r>
          </w:p>
          <w:p w:rsidR="00F877EA" w:rsidRPr="005B0888" w:rsidRDefault="00F877EA" w:rsidP="006B3B81">
            <w:pPr>
              <w:pStyle w:val="ListParagraph"/>
              <w:numPr>
                <w:ilvl w:val="0"/>
                <w:numId w:val="4"/>
              </w:numPr>
              <w:rPr>
                <w:szCs w:val="22"/>
              </w:rPr>
            </w:pPr>
            <w:r>
              <w:t>affirmer les</w:t>
            </w:r>
            <w:r>
              <w:rPr>
                <w:i/>
              </w:rPr>
              <w:t xml:space="preserve"> </w:t>
            </w:r>
            <w:r w:rsidRPr="007214DC">
              <w:t>objectifs de développement durable</w:t>
            </w:r>
            <w:r>
              <w:t xml:space="preserve"> (ODD) comme la future stratégie transversale de l’UE en mettant tout spécialement l’accent sur les aspects sociaux de la croissance et de l’emploi;</w:t>
            </w:r>
          </w:p>
          <w:p w:rsidR="00BA31B6" w:rsidRPr="005B0888" w:rsidRDefault="00E92C78" w:rsidP="007214DC">
            <w:pPr>
              <w:pStyle w:val="ListParagraph"/>
              <w:numPr>
                <w:ilvl w:val="0"/>
                <w:numId w:val="4"/>
              </w:numPr>
            </w:pPr>
            <w:r w:rsidRPr="005B0888">
              <w:t>poser un nouveau modèle pour la transition vers l</w:t>
            </w:r>
            <w:r w:rsidR="005B0888" w:rsidRPr="005B0888">
              <w:t>’</w:t>
            </w:r>
            <w:r w:rsidRPr="005B0888">
              <w:t>après-2020.</w:t>
            </w:r>
          </w:p>
        </w:tc>
      </w:tr>
    </w:tbl>
    <w:p w:rsidR="00B74AA6" w:rsidRPr="005B0888" w:rsidRDefault="00B74AA6"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235"/>
        <w:gridCol w:w="7054"/>
      </w:tblGrid>
      <w:tr w:rsidR="00FF04BA" w:rsidRPr="005B0888">
        <w:tc>
          <w:tcPr>
            <w:tcW w:w="2235" w:type="dxa"/>
            <w:shd w:val="clear" w:color="auto" w:fill="DBE5F1" w:themeFill="accent1" w:themeFillTint="33"/>
          </w:tcPr>
          <w:p w:rsidR="00B74AA6" w:rsidRPr="005B0888" w:rsidRDefault="00B74AA6">
            <w:pPr>
              <w:rPr>
                <w:b/>
              </w:rPr>
            </w:pPr>
            <w:r w:rsidRPr="005B0888">
              <w:rPr>
                <w:b/>
              </w:rPr>
              <w:t>10 h 45 – 11 h 00</w:t>
            </w:r>
          </w:p>
        </w:tc>
        <w:tc>
          <w:tcPr>
            <w:tcW w:w="7054" w:type="dxa"/>
            <w:shd w:val="clear" w:color="auto" w:fill="DBE5F1" w:themeFill="accent1" w:themeFillTint="33"/>
          </w:tcPr>
          <w:p w:rsidR="00B74AA6" w:rsidRPr="005B0888" w:rsidRDefault="008F7A2A" w:rsidP="00ED3DF8">
            <w:pPr>
              <w:rPr>
                <w:b/>
              </w:rPr>
            </w:pPr>
            <w:r w:rsidRPr="005B0888">
              <w:rPr>
                <w:b/>
              </w:rPr>
              <w:t>Pause-café</w:t>
            </w:r>
          </w:p>
        </w:tc>
      </w:tr>
    </w:tbl>
    <w:p w:rsidR="00B44069" w:rsidRPr="005B0888" w:rsidRDefault="00B44069" w:rsidP="00ED3DF8"/>
    <w:tbl>
      <w:tblPr>
        <w:tblStyle w:val="TableGrid"/>
        <w:tblW w:w="0" w:type="auto"/>
        <w:tblLook w:val="04A0" w:firstRow="1" w:lastRow="0" w:firstColumn="1" w:lastColumn="0" w:noHBand="0" w:noVBand="1"/>
      </w:tblPr>
      <w:tblGrid>
        <w:gridCol w:w="2376"/>
        <w:gridCol w:w="6911"/>
      </w:tblGrid>
      <w:tr w:rsidR="00FF04BA" w:rsidRPr="005B0888">
        <w:trPr>
          <w:trHeight w:val="404"/>
        </w:trPr>
        <w:tc>
          <w:tcPr>
            <w:tcW w:w="2376" w:type="dxa"/>
            <w:tcBorders>
              <w:top w:val="nil"/>
              <w:left w:val="nil"/>
              <w:bottom w:val="nil"/>
              <w:right w:val="nil"/>
            </w:tcBorders>
          </w:tcPr>
          <w:p w:rsidR="00ED4EF3" w:rsidRPr="005B0888" w:rsidRDefault="00ED4EF3" w:rsidP="001E2ABF">
            <w:pPr>
              <w:keepNext/>
              <w:rPr>
                <w:rFonts w:eastAsia="Calibri"/>
                <w:b/>
              </w:rPr>
            </w:pPr>
            <w:r w:rsidRPr="005B0888">
              <w:rPr>
                <w:b/>
              </w:rPr>
              <w:t>11 h 00 – 12 h 45</w:t>
            </w:r>
          </w:p>
          <w:p w:rsidR="00ED4EF3" w:rsidRPr="005B0888" w:rsidRDefault="00ED4EF3" w:rsidP="009810F8">
            <w:pPr>
              <w:keepNext/>
              <w:jc w:val="center"/>
              <w:rPr>
                <w:b/>
              </w:rPr>
            </w:pPr>
          </w:p>
        </w:tc>
        <w:tc>
          <w:tcPr>
            <w:tcW w:w="6911" w:type="dxa"/>
            <w:tcBorders>
              <w:top w:val="nil"/>
              <w:left w:val="nil"/>
              <w:bottom w:val="nil"/>
              <w:right w:val="nil"/>
            </w:tcBorders>
          </w:tcPr>
          <w:p w:rsidR="00ED4EF3" w:rsidRPr="005B0888" w:rsidRDefault="00ED4EF3" w:rsidP="001E2ABF">
            <w:pPr>
              <w:keepNext/>
              <w:rPr>
                <w:rFonts w:eastAsia="Calibri"/>
                <w:b/>
              </w:rPr>
            </w:pPr>
            <w:r w:rsidRPr="005B0888">
              <w:rPr>
                <w:b/>
              </w:rPr>
              <w:t>TABLE RONDE 2 – QUELLES SONT LES NOUVELLES TENDANCES DE FOND À L</w:t>
            </w:r>
            <w:r w:rsidR="005B0888" w:rsidRPr="005B0888">
              <w:rPr>
                <w:b/>
              </w:rPr>
              <w:t>’</w:t>
            </w:r>
            <w:r w:rsidRPr="005B0888">
              <w:rPr>
                <w:b/>
              </w:rPr>
              <w:t>OEUVRE AU SEIN D</w:t>
            </w:r>
            <w:r w:rsidR="005B0888" w:rsidRPr="005B0888">
              <w:rPr>
                <w:b/>
              </w:rPr>
              <w:t>’</w:t>
            </w:r>
            <w:r w:rsidRPr="005B0888">
              <w:rPr>
                <w:b/>
              </w:rPr>
              <w:t>UNE SOCIÉTÉ DE TRANSITIONS?</w:t>
            </w:r>
          </w:p>
          <w:p w:rsidR="00ED3DF8" w:rsidRPr="005B0888" w:rsidRDefault="00ED3DF8" w:rsidP="009810F8">
            <w:pPr>
              <w:keepNext/>
              <w:rPr>
                <w:rFonts w:eastAsia="Calibri"/>
                <w:b/>
              </w:rPr>
            </w:pPr>
          </w:p>
        </w:tc>
      </w:tr>
      <w:tr w:rsidR="00FF04BA" w:rsidRPr="005B0888">
        <w:trPr>
          <w:trHeight w:val="403"/>
        </w:trPr>
        <w:tc>
          <w:tcPr>
            <w:tcW w:w="2376" w:type="dxa"/>
            <w:tcBorders>
              <w:top w:val="nil"/>
              <w:left w:val="nil"/>
              <w:bottom w:val="nil"/>
              <w:right w:val="nil"/>
            </w:tcBorders>
          </w:tcPr>
          <w:p w:rsidR="00ED4EF3" w:rsidRPr="005B0888" w:rsidRDefault="008175E3">
            <w:pPr>
              <w:rPr>
                <w:rFonts w:eastAsia="Calibri"/>
              </w:rPr>
            </w:pPr>
            <w:r w:rsidRPr="005B0888">
              <w:t>11 h 00 – 11 h </w:t>
            </w:r>
            <w:r w:rsidR="00476E8F">
              <w:t>3</w:t>
            </w:r>
            <w:r w:rsidRPr="005B0888">
              <w:t>0</w:t>
            </w:r>
          </w:p>
          <w:p w:rsidR="0032470B" w:rsidRPr="005B0888" w:rsidRDefault="0032470B" w:rsidP="009810F8">
            <w:pPr>
              <w:jc w:val="center"/>
              <w:rPr>
                <w:rFonts w:eastAsia="Calibri"/>
              </w:rPr>
            </w:pPr>
          </w:p>
        </w:tc>
        <w:tc>
          <w:tcPr>
            <w:tcW w:w="6911" w:type="dxa"/>
            <w:tcBorders>
              <w:top w:val="nil"/>
              <w:left w:val="nil"/>
              <w:bottom w:val="nil"/>
              <w:right w:val="nil"/>
            </w:tcBorders>
          </w:tcPr>
          <w:p w:rsidR="00ED4EF3" w:rsidRPr="005B0888" w:rsidRDefault="00B44069" w:rsidP="00ED3DF8">
            <w:pPr>
              <w:rPr>
                <w:b/>
              </w:rPr>
            </w:pPr>
            <w:r w:rsidRPr="005B0888">
              <w:rPr>
                <w:b/>
              </w:rPr>
              <w:t>Principaux intervenants:</w:t>
            </w:r>
          </w:p>
          <w:p w:rsidR="00FF7776" w:rsidRPr="005B0888" w:rsidRDefault="00ED4EF3" w:rsidP="009F255D">
            <w:pPr>
              <w:ind w:left="360"/>
              <w:rPr>
                <w:i/>
              </w:rPr>
            </w:pPr>
            <w:r w:rsidRPr="005B0888">
              <w:rPr>
                <w:b/>
              </w:rPr>
              <w:t>M. Pavel Trantina</w:t>
            </w:r>
            <w:r w:rsidRPr="005B0888">
              <w:t>, président de la section spécialisée «Emploi, affaires sociales et citoyenneté» (SOC) du CESE – introduction/présidence</w:t>
            </w:r>
          </w:p>
          <w:p w:rsidR="00E4562A" w:rsidRPr="005B0888" w:rsidRDefault="00E4562A" w:rsidP="004C698E">
            <w:pPr>
              <w:ind w:left="360"/>
              <w:rPr>
                <w:bCs/>
              </w:rPr>
            </w:pPr>
            <w:r w:rsidRPr="005B0888">
              <w:rPr>
                <w:b/>
              </w:rPr>
              <w:t xml:space="preserve">M. Seamus Boland, </w:t>
            </w:r>
            <w:r w:rsidRPr="005B0888">
              <w:t>membre du CESE</w:t>
            </w:r>
          </w:p>
          <w:p w:rsidR="005D08DF" w:rsidRPr="005B0888" w:rsidRDefault="009579C2" w:rsidP="009810F8">
            <w:pPr>
              <w:ind w:left="360"/>
            </w:pPr>
            <w:r w:rsidRPr="005B0888">
              <w:rPr>
                <w:b/>
              </w:rPr>
              <w:t>M</w:t>
            </w:r>
            <w:r w:rsidRPr="005B0888">
              <w:rPr>
                <w:b/>
                <w:vertAlign w:val="superscript"/>
              </w:rPr>
              <w:t>me</w:t>
            </w:r>
            <w:r w:rsidRPr="005B0888">
              <w:rPr>
                <w:b/>
              </w:rPr>
              <w:t> Anne Demelenne</w:t>
            </w:r>
            <w:r w:rsidRPr="005B0888">
              <w:t>, membre du CESE</w:t>
            </w:r>
          </w:p>
        </w:tc>
      </w:tr>
      <w:tr w:rsidR="00FF04BA" w:rsidRPr="005B0888">
        <w:tc>
          <w:tcPr>
            <w:tcW w:w="2376" w:type="dxa"/>
            <w:tcBorders>
              <w:top w:val="nil"/>
              <w:left w:val="nil"/>
              <w:bottom w:val="nil"/>
              <w:right w:val="nil"/>
            </w:tcBorders>
          </w:tcPr>
          <w:p w:rsidR="00B74AA6" w:rsidRPr="005B0888" w:rsidRDefault="00B74AA6" w:rsidP="00ED3DF8">
            <w:r w:rsidRPr="005B0888">
              <w:t>11 h </w:t>
            </w:r>
            <w:r w:rsidR="00476E8F">
              <w:t>3</w:t>
            </w:r>
            <w:r w:rsidRPr="005B0888">
              <w:t>0 – 12 h 45</w:t>
            </w:r>
          </w:p>
          <w:p w:rsidR="0032470B" w:rsidRPr="005B0888" w:rsidRDefault="0032470B" w:rsidP="00ED3DF8"/>
          <w:p w:rsidR="0032470B" w:rsidRPr="005B0888" w:rsidRDefault="0032470B" w:rsidP="0032470B"/>
        </w:tc>
        <w:tc>
          <w:tcPr>
            <w:tcW w:w="6911" w:type="dxa"/>
            <w:tcBorders>
              <w:top w:val="nil"/>
              <w:left w:val="nil"/>
              <w:bottom w:val="nil"/>
              <w:right w:val="nil"/>
            </w:tcBorders>
          </w:tcPr>
          <w:p w:rsidR="008F7A2A" w:rsidRPr="005B0888" w:rsidRDefault="0028625E" w:rsidP="00ED3DF8">
            <w:pPr>
              <w:rPr>
                <w:b/>
              </w:rPr>
            </w:pPr>
            <w:r w:rsidRPr="005B0888">
              <w:rPr>
                <w:b/>
              </w:rPr>
              <w:t>Membres de la table ronde:</w:t>
            </w:r>
          </w:p>
          <w:p w:rsidR="007E2C98" w:rsidRPr="005B0888" w:rsidRDefault="007E2C98" w:rsidP="00ED3DF8">
            <w:pPr>
              <w:ind w:left="360"/>
              <w:rPr>
                <w:b/>
              </w:rPr>
            </w:pPr>
            <w:r w:rsidRPr="005B0888">
              <w:rPr>
                <w:b/>
              </w:rPr>
              <w:t>Animateur</w:t>
            </w:r>
            <w:r w:rsidRPr="005B0888">
              <w:t xml:space="preserve">: </w:t>
            </w:r>
            <w:r w:rsidRPr="005B0888">
              <w:rPr>
                <w:b/>
              </w:rPr>
              <w:t xml:space="preserve">M. Tamás </w:t>
            </w:r>
            <w:proofErr w:type="spellStart"/>
            <w:r w:rsidRPr="005B0888">
              <w:rPr>
                <w:b/>
              </w:rPr>
              <w:t>Halm</w:t>
            </w:r>
            <w:proofErr w:type="spellEnd"/>
            <w:r w:rsidRPr="005B0888">
              <w:t>, membre du directoire de la Société hongroise d</w:t>
            </w:r>
            <w:r w:rsidR="005B0888" w:rsidRPr="005B0888">
              <w:t>’</w:t>
            </w:r>
            <w:r w:rsidRPr="005B0888">
              <w:t>économie</w:t>
            </w:r>
          </w:p>
          <w:p w:rsidR="00B74AA6" w:rsidRPr="005B0888" w:rsidRDefault="00B74AA6" w:rsidP="00ED3DF8">
            <w:pPr>
              <w:ind w:left="360"/>
            </w:pPr>
            <w:r w:rsidRPr="005B0888">
              <w:rPr>
                <w:b/>
              </w:rPr>
              <w:t>M</w:t>
            </w:r>
            <w:r w:rsidRPr="005B0888">
              <w:rPr>
                <w:b/>
                <w:vertAlign w:val="superscript"/>
              </w:rPr>
              <w:t>me</w:t>
            </w:r>
            <w:r w:rsidRPr="005B0888">
              <w:t> </w:t>
            </w:r>
            <w:r w:rsidRPr="005B0888">
              <w:rPr>
                <w:b/>
              </w:rPr>
              <w:t xml:space="preserve">Bernadett </w:t>
            </w:r>
            <w:proofErr w:type="spellStart"/>
            <w:r w:rsidRPr="005B0888">
              <w:rPr>
                <w:b/>
              </w:rPr>
              <w:t>Petri</w:t>
            </w:r>
            <w:proofErr w:type="spellEnd"/>
            <w:r w:rsidRPr="005B0888">
              <w:t xml:space="preserve">, assistante politique au sein du cabinet du commissaire </w:t>
            </w:r>
            <w:proofErr w:type="spellStart"/>
            <w:r w:rsidRPr="005B0888">
              <w:t>Navracsics</w:t>
            </w:r>
            <w:proofErr w:type="spellEnd"/>
          </w:p>
          <w:p w:rsidR="00B74AA6" w:rsidRPr="005B0888" w:rsidRDefault="00B74AA6" w:rsidP="00E63F6C">
            <w:pPr>
              <w:ind w:left="360"/>
            </w:pPr>
            <w:r w:rsidRPr="005B0888">
              <w:rPr>
                <w:b/>
              </w:rPr>
              <w:t>M. Stefano Palmieri</w:t>
            </w:r>
            <w:r w:rsidRPr="005B0888">
              <w:t xml:space="preserve">, membre du CESE </w:t>
            </w:r>
          </w:p>
          <w:p w:rsidR="00FF7776" w:rsidRDefault="00E4562A" w:rsidP="004C698E">
            <w:pPr>
              <w:ind w:left="360"/>
            </w:pPr>
            <w:r w:rsidRPr="005B0888">
              <w:rPr>
                <w:b/>
              </w:rPr>
              <w:t>M</w:t>
            </w:r>
            <w:r w:rsidRPr="005B0888">
              <w:rPr>
                <w:b/>
                <w:vertAlign w:val="superscript"/>
              </w:rPr>
              <w:t>me</w:t>
            </w:r>
            <w:r w:rsidRPr="005B0888">
              <w:rPr>
                <w:b/>
              </w:rPr>
              <w:t> Kinga Joó</w:t>
            </w:r>
            <w:r w:rsidRPr="005B0888">
              <w:t>, membre du CESE</w:t>
            </w:r>
          </w:p>
          <w:p w:rsidR="003263EB" w:rsidRPr="005B0888" w:rsidRDefault="009579C2" w:rsidP="009579C2">
            <w:pPr>
              <w:ind w:left="360"/>
              <w:rPr>
                <w:b/>
              </w:rPr>
            </w:pPr>
            <w:r w:rsidRPr="005B0888">
              <w:rPr>
                <w:b/>
              </w:rPr>
              <w:t>M. Stéphane Buffetaut</w:t>
            </w:r>
            <w:r w:rsidRPr="005B0888">
              <w:t>, membre du CESE</w:t>
            </w:r>
          </w:p>
        </w:tc>
      </w:tr>
      <w:tr w:rsidR="00FF04BA" w:rsidRPr="005B0888">
        <w:trPr>
          <w:trHeight w:val="1022"/>
        </w:trPr>
        <w:tc>
          <w:tcPr>
            <w:tcW w:w="2376" w:type="dxa"/>
            <w:tcBorders>
              <w:top w:val="nil"/>
              <w:left w:val="nil"/>
              <w:bottom w:val="nil"/>
              <w:right w:val="nil"/>
            </w:tcBorders>
          </w:tcPr>
          <w:p w:rsidR="00B74AA6" w:rsidRPr="005B0888" w:rsidRDefault="00B74AA6" w:rsidP="00ED3DF8"/>
        </w:tc>
        <w:tc>
          <w:tcPr>
            <w:tcW w:w="6911" w:type="dxa"/>
            <w:tcBorders>
              <w:top w:val="nil"/>
              <w:left w:val="nil"/>
              <w:bottom w:val="nil"/>
              <w:right w:val="nil"/>
            </w:tcBorders>
          </w:tcPr>
          <w:p w:rsidR="00315E7F" w:rsidRPr="005B0888" w:rsidRDefault="00315E7F" w:rsidP="00ED3DF8">
            <w:pPr>
              <w:rPr>
                <w:b/>
              </w:rPr>
            </w:pPr>
          </w:p>
          <w:p w:rsidR="00B74AA6" w:rsidRPr="005B0888" w:rsidRDefault="00B74AA6" w:rsidP="00ED3DF8">
            <w:pPr>
              <w:rPr>
                <w:b/>
              </w:rPr>
            </w:pPr>
            <w:r w:rsidRPr="005B0888">
              <w:rPr>
                <w:b/>
              </w:rPr>
              <w:t>Discussion libre et observations écrites des étudiants des universités participantes</w:t>
            </w:r>
            <w:r w:rsidR="00F877EA">
              <w:rPr>
                <w:b/>
              </w:rPr>
              <w:t>:</w:t>
            </w:r>
            <w:r w:rsidRPr="005B0888">
              <w:rPr>
                <w:b/>
              </w:rPr>
              <w:t xml:space="preserve"> </w:t>
            </w:r>
            <w:r w:rsidR="00F877EA" w:rsidRPr="0010187B">
              <w:t xml:space="preserve">Budapest Business </w:t>
            </w:r>
            <w:proofErr w:type="spellStart"/>
            <w:r w:rsidR="00F877EA" w:rsidRPr="0010187B">
              <w:t>School</w:t>
            </w:r>
            <w:proofErr w:type="spellEnd"/>
            <w:r w:rsidR="00F877EA" w:rsidRPr="0010187B">
              <w:t xml:space="preserve"> (</w:t>
            </w:r>
            <w:proofErr w:type="spellStart"/>
            <w:r w:rsidR="00F877EA" w:rsidRPr="0010187B">
              <w:t>Budapesti</w:t>
            </w:r>
            <w:proofErr w:type="spellEnd"/>
            <w:r w:rsidR="00F877EA" w:rsidRPr="0010187B">
              <w:t xml:space="preserve"> </w:t>
            </w:r>
            <w:proofErr w:type="spellStart"/>
            <w:r w:rsidR="00F877EA" w:rsidRPr="0010187B">
              <w:t>Gazdasági</w:t>
            </w:r>
            <w:proofErr w:type="spellEnd"/>
            <w:r w:rsidR="00F877EA" w:rsidRPr="0010187B">
              <w:t xml:space="preserve"> </w:t>
            </w:r>
            <w:proofErr w:type="spellStart"/>
            <w:r w:rsidR="00F877EA" w:rsidRPr="0010187B">
              <w:t>Egyetem</w:t>
            </w:r>
            <w:proofErr w:type="spellEnd"/>
            <w:r w:rsidR="00F877EA" w:rsidRPr="0010187B">
              <w:t>)</w:t>
            </w:r>
            <w:r w:rsidR="00F877EA">
              <w:t>;</w:t>
            </w:r>
            <w:r w:rsidR="00F877EA" w:rsidRPr="0010187B">
              <w:t xml:space="preserve"> </w:t>
            </w:r>
            <w:proofErr w:type="spellStart"/>
            <w:r w:rsidR="00F877EA" w:rsidRPr="0010187B">
              <w:t>Pázmány</w:t>
            </w:r>
            <w:proofErr w:type="spellEnd"/>
            <w:r w:rsidR="00F877EA" w:rsidRPr="0010187B">
              <w:t xml:space="preserve"> Péter </w:t>
            </w:r>
            <w:proofErr w:type="spellStart"/>
            <w:r w:rsidR="00F877EA" w:rsidRPr="0010187B">
              <w:t>Catholic</w:t>
            </w:r>
            <w:proofErr w:type="spellEnd"/>
            <w:r w:rsidR="00F877EA" w:rsidRPr="0010187B">
              <w:t xml:space="preserve"> </w:t>
            </w:r>
            <w:proofErr w:type="spellStart"/>
            <w:r w:rsidR="00F877EA" w:rsidRPr="0010187B">
              <w:t>University</w:t>
            </w:r>
            <w:proofErr w:type="spellEnd"/>
            <w:r w:rsidR="00F877EA">
              <w:t xml:space="preserve">, </w:t>
            </w:r>
            <w:r w:rsidR="00F877EA" w:rsidRPr="0010187B">
              <w:t>Budapest</w:t>
            </w:r>
            <w:r w:rsidR="00F877EA">
              <w:t>;</w:t>
            </w:r>
            <w:r w:rsidR="00F877EA" w:rsidRPr="0010187B">
              <w:t xml:space="preserve"> </w:t>
            </w:r>
            <w:proofErr w:type="spellStart"/>
            <w:r w:rsidR="00F877EA" w:rsidRPr="0010187B">
              <w:t>Debreceni</w:t>
            </w:r>
            <w:proofErr w:type="spellEnd"/>
            <w:r w:rsidR="00F877EA" w:rsidRPr="0010187B">
              <w:t xml:space="preserve"> </w:t>
            </w:r>
            <w:proofErr w:type="spellStart"/>
            <w:r w:rsidR="00F877EA" w:rsidRPr="0010187B">
              <w:t>Tudományegyetem</w:t>
            </w:r>
            <w:proofErr w:type="spellEnd"/>
            <w:r w:rsidR="00F877EA">
              <w:t xml:space="preserve">, </w:t>
            </w:r>
            <w:r w:rsidR="00F877EA" w:rsidRPr="0010187B">
              <w:t>Debrecen</w:t>
            </w:r>
            <w:r w:rsidR="00F877EA">
              <w:t xml:space="preserve">; </w:t>
            </w:r>
            <w:r w:rsidR="00F877EA" w:rsidRPr="0010187B">
              <w:t>Nationa</w:t>
            </w:r>
            <w:r w:rsidR="00F877EA">
              <w:t xml:space="preserve">l </w:t>
            </w:r>
            <w:proofErr w:type="spellStart"/>
            <w:r w:rsidR="00F877EA">
              <w:t>University</w:t>
            </w:r>
            <w:proofErr w:type="spellEnd"/>
            <w:r w:rsidR="00F877EA">
              <w:t xml:space="preserve"> of Public Service, Budapest (</w:t>
            </w:r>
            <w:proofErr w:type="spellStart"/>
            <w:r w:rsidR="00F877EA" w:rsidRPr="0010187B">
              <w:t>Nemzeti</w:t>
            </w:r>
            <w:proofErr w:type="spellEnd"/>
            <w:r w:rsidR="00F877EA" w:rsidRPr="0010187B">
              <w:t xml:space="preserve"> </w:t>
            </w:r>
            <w:proofErr w:type="spellStart"/>
            <w:r w:rsidR="00F877EA" w:rsidRPr="0010187B">
              <w:t>Közszolgálati</w:t>
            </w:r>
            <w:proofErr w:type="spellEnd"/>
            <w:r w:rsidR="00F877EA" w:rsidRPr="0010187B">
              <w:t xml:space="preserve"> </w:t>
            </w:r>
            <w:proofErr w:type="spellStart"/>
            <w:r w:rsidR="00F877EA" w:rsidRPr="0010187B">
              <w:t>Egyetem</w:t>
            </w:r>
            <w:proofErr w:type="spellEnd"/>
            <w:r w:rsidR="00F877EA">
              <w:t>).</w:t>
            </w:r>
            <w:r w:rsidR="00F877EA" w:rsidRPr="005B0888">
              <w:rPr>
                <w:b/>
              </w:rPr>
              <w:t xml:space="preserve"> </w:t>
            </w:r>
          </w:p>
        </w:tc>
      </w:tr>
      <w:tr w:rsidR="00FF04BA" w:rsidRPr="005B0888">
        <w:tc>
          <w:tcPr>
            <w:tcW w:w="9287" w:type="dxa"/>
            <w:gridSpan w:val="2"/>
            <w:tcBorders>
              <w:top w:val="nil"/>
              <w:left w:val="nil"/>
              <w:bottom w:val="nil"/>
              <w:right w:val="nil"/>
            </w:tcBorders>
          </w:tcPr>
          <w:p w:rsidR="00B74AA6" w:rsidRPr="005B0888" w:rsidRDefault="00B74AA6" w:rsidP="00ED3DF8"/>
        </w:tc>
      </w:tr>
      <w:tr w:rsidR="00FF04BA" w:rsidRPr="005B0888">
        <w:trPr>
          <w:trHeight w:val="1655"/>
        </w:trPr>
        <w:tc>
          <w:tcPr>
            <w:tcW w:w="9287" w:type="dxa"/>
            <w:gridSpan w:val="2"/>
            <w:tcBorders>
              <w:top w:val="nil"/>
              <w:left w:val="nil"/>
              <w:bottom w:val="nil"/>
              <w:right w:val="nil"/>
            </w:tcBorders>
          </w:tcPr>
          <w:p w:rsidR="00B74AA6" w:rsidRPr="005B0888" w:rsidRDefault="00B74AA6" w:rsidP="00ED3DF8">
            <w:r w:rsidRPr="005B0888">
              <w:t xml:space="preserve">Cette </w:t>
            </w:r>
            <w:r w:rsidRPr="005B0888">
              <w:rPr>
                <w:b/>
              </w:rPr>
              <w:t>deuxième table ronde</w:t>
            </w:r>
            <w:r w:rsidRPr="005B0888">
              <w:t xml:space="preserve"> s</w:t>
            </w:r>
            <w:r w:rsidR="005B0888" w:rsidRPr="005B0888">
              <w:t>’</w:t>
            </w:r>
            <w:r w:rsidRPr="005B0888">
              <w:t>attachera avant tout aux questions suivantes:</w:t>
            </w:r>
          </w:p>
          <w:p w:rsidR="00AF61E9" w:rsidRPr="005B0888" w:rsidRDefault="00AF61E9" w:rsidP="009810F8">
            <w:pPr>
              <w:pStyle w:val="ListParagraph"/>
              <w:numPr>
                <w:ilvl w:val="0"/>
                <w:numId w:val="42"/>
              </w:numPr>
            </w:pPr>
            <w:r w:rsidRPr="005B0888">
              <w:t>les grands défis auxquels l</w:t>
            </w:r>
            <w:r w:rsidR="005B0888" w:rsidRPr="005B0888">
              <w:t>’</w:t>
            </w:r>
            <w:r w:rsidRPr="005B0888">
              <w:t>Europe sera confrontée au cours des prochaines décennies (à savoir la raréfaction des ressources, les inégalités sociales, les défis de la démocratie) dans le contexte de leurs rapports avec les ODD;</w:t>
            </w:r>
          </w:p>
          <w:p w:rsidR="00A95C77" w:rsidRPr="005B0888" w:rsidRDefault="00AF61E9" w:rsidP="00A95C77">
            <w:pPr>
              <w:pStyle w:val="ListParagraph"/>
              <w:numPr>
                <w:ilvl w:val="0"/>
                <w:numId w:val="42"/>
              </w:numPr>
            </w:pPr>
            <w:r w:rsidRPr="005B0888">
              <w:t>les grandes tendances de fond que sont la mondialisation, la numérisation et l</w:t>
            </w:r>
            <w:r w:rsidR="005B0888" w:rsidRPr="005B0888">
              <w:t>’</w:t>
            </w:r>
            <w:r w:rsidRPr="005B0888">
              <w:t xml:space="preserve">accélération des </w:t>
            </w:r>
            <w:r w:rsidRPr="005B0888">
              <w:lastRenderedPageBreak/>
              <w:t>mutations technologiques;</w:t>
            </w:r>
          </w:p>
          <w:p w:rsidR="00E833BB" w:rsidRPr="005B0888" w:rsidRDefault="00AF61E9" w:rsidP="009810F8">
            <w:pPr>
              <w:pStyle w:val="ListParagraph"/>
              <w:numPr>
                <w:ilvl w:val="0"/>
                <w:numId w:val="42"/>
              </w:numPr>
            </w:pPr>
            <w:r w:rsidRPr="005B0888">
              <w:t>les effets socio-économiques escomptés de ces défis et de ces grandes tendances, par exemple sur les emplois dans le cadre de l</w:t>
            </w:r>
            <w:r w:rsidR="005B0888" w:rsidRPr="005B0888">
              <w:t>’</w:t>
            </w:r>
            <w:r w:rsidRPr="005B0888">
              <w:t>économie de la connaissance.</w:t>
            </w:r>
          </w:p>
        </w:tc>
      </w:tr>
    </w:tbl>
    <w:p w:rsidR="00E833BB" w:rsidRPr="005B0888" w:rsidRDefault="00E833BB"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235"/>
        <w:gridCol w:w="7054"/>
      </w:tblGrid>
      <w:tr w:rsidR="00FF04BA" w:rsidRPr="005B0888">
        <w:tc>
          <w:tcPr>
            <w:tcW w:w="2235" w:type="dxa"/>
            <w:shd w:val="clear" w:color="auto" w:fill="DBE5F1" w:themeFill="accent1" w:themeFillTint="33"/>
          </w:tcPr>
          <w:p w:rsidR="007D5FFF" w:rsidRPr="005B0888" w:rsidRDefault="0032470B" w:rsidP="0032470B">
            <w:pPr>
              <w:rPr>
                <w:b/>
              </w:rPr>
            </w:pPr>
            <w:r w:rsidRPr="005B0888">
              <w:rPr>
                <w:b/>
              </w:rPr>
              <w:t>12 h 45 – 13 h 00</w:t>
            </w:r>
          </w:p>
        </w:tc>
        <w:tc>
          <w:tcPr>
            <w:tcW w:w="7054" w:type="dxa"/>
            <w:shd w:val="clear" w:color="auto" w:fill="DBE5F1" w:themeFill="accent1" w:themeFillTint="33"/>
          </w:tcPr>
          <w:p w:rsidR="007D5FFF" w:rsidRPr="005B0888" w:rsidRDefault="004C7F80" w:rsidP="00ED3DF8">
            <w:pPr>
              <w:rPr>
                <w:b/>
              </w:rPr>
            </w:pPr>
            <w:r w:rsidRPr="005B0888">
              <w:rPr>
                <w:b/>
              </w:rPr>
              <w:t>Discours de salutation:</w:t>
            </w:r>
          </w:p>
          <w:p w:rsidR="004C698E" w:rsidRDefault="009579C2" w:rsidP="009579C2">
            <w:pPr>
              <w:rPr>
                <w:b/>
              </w:rPr>
            </w:pPr>
            <w:r w:rsidRPr="005B0888">
              <w:rPr>
                <w:b/>
              </w:rPr>
              <w:t xml:space="preserve">M. Gyula </w:t>
            </w:r>
            <w:proofErr w:type="spellStart"/>
            <w:r w:rsidRPr="005B0888">
              <w:rPr>
                <w:b/>
              </w:rPr>
              <w:t>Pleschinger</w:t>
            </w:r>
            <w:proofErr w:type="spellEnd"/>
            <w:r w:rsidRPr="005B0888">
              <w:t>, président de la Société hongroise d’économie, membre du Comité monétaire de Hongrie</w:t>
            </w:r>
          </w:p>
          <w:p w:rsidR="009579C2" w:rsidRPr="005B0888" w:rsidRDefault="009579C2" w:rsidP="009579C2">
            <w:pPr>
              <w:rPr>
                <w:b/>
              </w:rPr>
            </w:pPr>
          </w:p>
        </w:tc>
      </w:tr>
      <w:tr w:rsidR="00FF04BA" w:rsidRPr="005B0888">
        <w:tc>
          <w:tcPr>
            <w:tcW w:w="2235" w:type="dxa"/>
            <w:shd w:val="clear" w:color="auto" w:fill="DBE5F1" w:themeFill="accent1" w:themeFillTint="33"/>
          </w:tcPr>
          <w:p w:rsidR="006C5B45" w:rsidRPr="005B0888" w:rsidRDefault="006C5B45" w:rsidP="0032470B">
            <w:pPr>
              <w:rPr>
                <w:b/>
              </w:rPr>
            </w:pPr>
            <w:r w:rsidRPr="005B0888">
              <w:rPr>
                <w:b/>
              </w:rPr>
              <w:t>13 h 00 – 14 h 30</w:t>
            </w:r>
          </w:p>
        </w:tc>
        <w:tc>
          <w:tcPr>
            <w:tcW w:w="7054" w:type="dxa"/>
            <w:shd w:val="clear" w:color="auto" w:fill="DBE5F1" w:themeFill="accent1" w:themeFillTint="33"/>
          </w:tcPr>
          <w:p w:rsidR="006C5B45" w:rsidRPr="005B0888" w:rsidRDefault="008F7A2A" w:rsidP="00ED3DF8">
            <w:pPr>
              <w:rPr>
                <w:b/>
              </w:rPr>
            </w:pPr>
            <w:r w:rsidRPr="005B0888">
              <w:rPr>
                <w:b/>
              </w:rPr>
              <w:t>Pause-déjeuner</w:t>
            </w:r>
          </w:p>
        </w:tc>
      </w:tr>
    </w:tbl>
    <w:p w:rsidR="00BB449C" w:rsidRPr="005B0888" w:rsidRDefault="00BB449C" w:rsidP="00ED3DF8"/>
    <w:p w:rsidR="00ED3DF8" w:rsidRPr="005B0888" w:rsidRDefault="00ED3DF8"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FF04BA" w:rsidRPr="005B0888">
        <w:trPr>
          <w:trHeight w:val="404"/>
        </w:trPr>
        <w:tc>
          <w:tcPr>
            <w:tcW w:w="2235" w:type="dxa"/>
          </w:tcPr>
          <w:p w:rsidR="007D6FB6" w:rsidRPr="005B0888" w:rsidRDefault="007D6FB6" w:rsidP="001E2ABF">
            <w:pPr>
              <w:keepNext/>
              <w:rPr>
                <w:rFonts w:eastAsia="Calibri"/>
                <w:b/>
              </w:rPr>
            </w:pPr>
            <w:r w:rsidRPr="005B0888">
              <w:rPr>
                <w:b/>
              </w:rPr>
              <w:t>14 h </w:t>
            </w:r>
            <w:r w:rsidR="00F877EA">
              <w:rPr>
                <w:b/>
              </w:rPr>
              <w:t>3</w:t>
            </w:r>
            <w:r w:rsidRPr="005B0888">
              <w:rPr>
                <w:b/>
              </w:rPr>
              <w:t>0 - 15 h 45</w:t>
            </w:r>
          </w:p>
          <w:p w:rsidR="001674A7" w:rsidRPr="005B0888" w:rsidRDefault="001674A7" w:rsidP="009810F8">
            <w:pPr>
              <w:keepNext/>
              <w:jc w:val="center"/>
              <w:rPr>
                <w:rFonts w:eastAsia="Calibri"/>
                <w:i/>
              </w:rPr>
            </w:pPr>
          </w:p>
        </w:tc>
        <w:tc>
          <w:tcPr>
            <w:tcW w:w="7054" w:type="dxa"/>
          </w:tcPr>
          <w:p w:rsidR="007D6FB6" w:rsidRPr="005B0888" w:rsidRDefault="007D6FB6" w:rsidP="001E2ABF">
            <w:pPr>
              <w:keepNext/>
              <w:rPr>
                <w:rFonts w:eastAsia="Calibri"/>
                <w:b/>
              </w:rPr>
            </w:pPr>
            <w:r w:rsidRPr="005B0888">
              <w:rPr>
                <w:b/>
              </w:rPr>
              <w:t>TABLE RONDE 3 – QUEL TYPE DE NOUVELLE GOUVERNANCE NOUS FAUT-IL?</w:t>
            </w:r>
          </w:p>
          <w:p w:rsidR="00315E7F" w:rsidRPr="005B0888" w:rsidRDefault="00315E7F" w:rsidP="009810F8">
            <w:pPr>
              <w:keepNext/>
              <w:rPr>
                <w:rFonts w:eastAsia="Calibri"/>
                <w:b/>
              </w:rPr>
            </w:pPr>
          </w:p>
        </w:tc>
      </w:tr>
      <w:tr w:rsidR="00FF04BA" w:rsidRPr="005B0888">
        <w:trPr>
          <w:trHeight w:val="403"/>
        </w:trPr>
        <w:tc>
          <w:tcPr>
            <w:tcW w:w="2235" w:type="dxa"/>
          </w:tcPr>
          <w:p w:rsidR="007D6FB6" w:rsidRPr="005B0888" w:rsidRDefault="007D6FB6" w:rsidP="001E2ABF">
            <w:pPr>
              <w:keepNext/>
              <w:rPr>
                <w:rFonts w:eastAsia="Calibri"/>
              </w:rPr>
            </w:pPr>
            <w:r w:rsidRPr="005B0888">
              <w:t>14 h </w:t>
            </w:r>
            <w:r w:rsidR="00F877EA">
              <w:t>3</w:t>
            </w:r>
            <w:r w:rsidRPr="005B0888">
              <w:t>0 – 1</w:t>
            </w:r>
            <w:r w:rsidR="00F877EA">
              <w:t>5</w:t>
            </w:r>
            <w:r w:rsidRPr="005B0888">
              <w:t> h </w:t>
            </w:r>
            <w:r w:rsidR="00F877EA">
              <w:t>0</w:t>
            </w:r>
            <w:r w:rsidRPr="005B0888">
              <w:t>0</w:t>
            </w:r>
          </w:p>
          <w:p w:rsidR="0032470B" w:rsidRPr="005B0888" w:rsidRDefault="0032470B" w:rsidP="009810F8">
            <w:pPr>
              <w:keepNext/>
              <w:jc w:val="center"/>
              <w:rPr>
                <w:rFonts w:eastAsia="Calibri"/>
              </w:rPr>
            </w:pPr>
          </w:p>
        </w:tc>
        <w:tc>
          <w:tcPr>
            <w:tcW w:w="7054" w:type="dxa"/>
          </w:tcPr>
          <w:p w:rsidR="007D6FB6" w:rsidRPr="005B0888" w:rsidRDefault="0028625E" w:rsidP="001E2ABF">
            <w:pPr>
              <w:keepNext/>
              <w:rPr>
                <w:i/>
                <w:strike/>
              </w:rPr>
            </w:pPr>
            <w:r w:rsidRPr="005B0888">
              <w:rPr>
                <w:b/>
              </w:rPr>
              <w:t>Principaux intervenants:</w:t>
            </w:r>
          </w:p>
          <w:p w:rsidR="0028625E" w:rsidRPr="005B0888" w:rsidRDefault="0028625E" w:rsidP="001E2ABF">
            <w:pPr>
              <w:keepNext/>
              <w:ind w:left="360"/>
              <w:rPr>
                <w:i/>
              </w:rPr>
            </w:pPr>
            <w:r w:rsidRPr="005B0888">
              <w:rPr>
                <w:b/>
              </w:rPr>
              <w:t xml:space="preserve">M. Péter Ákos </w:t>
            </w:r>
            <w:proofErr w:type="spellStart"/>
            <w:r w:rsidRPr="005B0888">
              <w:rPr>
                <w:b/>
              </w:rPr>
              <w:t>Bod</w:t>
            </w:r>
            <w:proofErr w:type="spellEnd"/>
            <w:r w:rsidRPr="005B0888">
              <w:t>, professeur à l</w:t>
            </w:r>
            <w:r w:rsidR="005B0888" w:rsidRPr="005B0888">
              <w:t>’</w:t>
            </w:r>
            <w:r w:rsidRPr="005B0888">
              <w:t>Université d</w:t>
            </w:r>
            <w:r w:rsidR="005B0888" w:rsidRPr="005B0888">
              <w:t>’</w:t>
            </w:r>
            <w:r w:rsidRPr="005B0888">
              <w:t>économie de Budapest, membre de l</w:t>
            </w:r>
            <w:r w:rsidR="005B0888" w:rsidRPr="005B0888">
              <w:t>’</w:t>
            </w:r>
            <w:r w:rsidRPr="005B0888">
              <w:t>Académie hongroise des sciences</w:t>
            </w:r>
          </w:p>
          <w:p w:rsidR="0028625E" w:rsidRPr="005B0888" w:rsidRDefault="00F877EA" w:rsidP="009579C2">
            <w:pPr>
              <w:ind w:left="360"/>
              <w:rPr>
                <w:iCs/>
              </w:rPr>
            </w:pPr>
            <w:r w:rsidRPr="005B0888">
              <w:rPr>
                <w:b/>
              </w:rPr>
              <w:t>M. Carlos Trias Pintó</w:t>
            </w:r>
            <w:r w:rsidRPr="005B0888">
              <w:t>, membre du CESE</w:t>
            </w:r>
          </w:p>
          <w:p w:rsidR="00FF7776" w:rsidRPr="005B0888" w:rsidRDefault="00FF7776" w:rsidP="009810F8">
            <w:pPr>
              <w:keepNext/>
              <w:ind w:left="360"/>
              <w:rPr>
                <w:iCs/>
              </w:rPr>
            </w:pPr>
          </w:p>
        </w:tc>
      </w:tr>
      <w:tr w:rsidR="00FF04BA" w:rsidRPr="005B0888">
        <w:tc>
          <w:tcPr>
            <w:tcW w:w="2235" w:type="dxa"/>
          </w:tcPr>
          <w:p w:rsidR="0086290A" w:rsidRPr="005B0888" w:rsidRDefault="006C5B45" w:rsidP="00ED3DF8">
            <w:r w:rsidRPr="005B0888">
              <w:t>14 h 50 – 15 h 45</w:t>
            </w:r>
          </w:p>
          <w:p w:rsidR="0032470B" w:rsidRPr="005B0888" w:rsidRDefault="0032470B" w:rsidP="0032470B"/>
        </w:tc>
        <w:tc>
          <w:tcPr>
            <w:tcW w:w="7054" w:type="dxa"/>
          </w:tcPr>
          <w:p w:rsidR="0086290A" w:rsidRPr="005B0888" w:rsidRDefault="0028625E" w:rsidP="00ED3DF8">
            <w:r w:rsidRPr="005B0888">
              <w:rPr>
                <w:b/>
              </w:rPr>
              <w:t>Membres de la table ronde:</w:t>
            </w:r>
          </w:p>
          <w:p w:rsidR="007E2C98" w:rsidRPr="005B0888" w:rsidRDefault="007E2C98" w:rsidP="00ED3DF8">
            <w:pPr>
              <w:ind w:left="360"/>
              <w:rPr>
                <w:b/>
              </w:rPr>
            </w:pPr>
            <w:r w:rsidRPr="005B0888">
              <w:rPr>
                <w:b/>
              </w:rPr>
              <w:t>Animateur</w:t>
            </w:r>
            <w:r w:rsidRPr="005B0888">
              <w:t xml:space="preserve">: </w:t>
            </w:r>
            <w:r w:rsidRPr="005B0888">
              <w:rPr>
                <w:b/>
              </w:rPr>
              <w:t xml:space="preserve">M. Tamás </w:t>
            </w:r>
            <w:proofErr w:type="spellStart"/>
            <w:r w:rsidRPr="005B0888">
              <w:rPr>
                <w:b/>
              </w:rPr>
              <w:t>Halm</w:t>
            </w:r>
            <w:proofErr w:type="spellEnd"/>
            <w:r w:rsidRPr="005B0888">
              <w:t>, membre du directoire de la Société hongroise d</w:t>
            </w:r>
            <w:r w:rsidR="005B0888" w:rsidRPr="005B0888">
              <w:t>’</w:t>
            </w:r>
            <w:r w:rsidRPr="005B0888">
              <w:t>économie</w:t>
            </w:r>
          </w:p>
          <w:p w:rsidR="007D5FFF" w:rsidRDefault="007D5FFF" w:rsidP="009810F8">
            <w:pPr>
              <w:ind w:left="360"/>
            </w:pPr>
            <w:r w:rsidRPr="005B0888">
              <w:rPr>
                <w:b/>
              </w:rPr>
              <w:t>M. </w:t>
            </w:r>
            <w:proofErr w:type="spellStart"/>
            <w:r w:rsidRPr="005B0888">
              <w:rPr>
                <w:b/>
              </w:rPr>
              <w:t>Gusztáv</w:t>
            </w:r>
            <w:proofErr w:type="spellEnd"/>
            <w:r w:rsidRPr="005B0888">
              <w:rPr>
                <w:b/>
              </w:rPr>
              <w:t xml:space="preserve"> </w:t>
            </w:r>
            <w:proofErr w:type="spellStart"/>
            <w:r w:rsidRPr="005B0888">
              <w:rPr>
                <w:b/>
              </w:rPr>
              <w:t>Báger</w:t>
            </w:r>
            <w:proofErr w:type="spellEnd"/>
            <w:r w:rsidRPr="005B0888">
              <w:t>, Académie hongroise des sciences</w:t>
            </w:r>
          </w:p>
          <w:p w:rsidR="009579C2" w:rsidRPr="005B0888" w:rsidRDefault="009579C2" w:rsidP="009810F8">
            <w:pPr>
              <w:ind w:left="360"/>
            </w:pPr>
            <w:r>
              <w:rPr>
                <w:b/>
              </w:rPr>
              <w:t xml:space="preserve">M. </w:t>
            </w:r>
            <w:r w:rsidRPr="009579C2">
              <w:rPr>
                <w:b/>
              </w:rPr>
              <w:t xml:space="preserve">Tibor </w:t>
            </w:r>
            <w:proofErr w:type="spellStart"/>
            <w:r w:rsidRPr="009579C2">
              <w:rPr>
                <w:b/>
              </w:rPr>
              <w:t>Faragó</w:t>
            </w:r>
            <w:proofErr w:type="spellEnd"/>
            <w:r w:rsidRPr="009579C2">
              <w:t>, Professor honoris causa at St Istvan University</w:t>
            </w:r>
          </w:p>
        </w:tc>
      </w:tr>
      <w:tr w:rsidR="00FF04BA" w:rsidRPr="005B0888">
        <w:tc>
          <w:tcPr>
            <w:tcW w:w="2235" w:type="dxa"/>
          </w:tcPr>
          <w:p w:rsidR="007D5FFF" w:rsidRPr="005B0888" w:rsidRDefault="007D5FFF" w:rsidP="00ED3DF8"/>
        </w:tc>
        <w:tc>
          <w:tcPr>
            <w:tcW w:w="7054" w:type="dxa"/>
          </w:tcPr>
          <w:p w:rsidR="007D5FFF" w:rsidRPr="005B0888" w:rsidRDefault="007D5FFF" w:rsidP="00ED3DF8">
            <w:pPr>
              <w:rPr>
                <w:b/>
              </w:rPr>
            </w:pPr>
          </w:p>
          <w:p w:rsidR="007D5FFF" w:rsidRPr="005B0888" w:rsidRDefault="007D5FFF" w:rsidP="00ED3DF8">
            <w:pPr>
              <w:rPr>
                <w:b/>
              </w:rPr>
            </w:pPr>
            <w:r w:rsidRPr="005B0888">
              <w:rPr>
                <w:b/>
              </w:rPr>
              <w:t>Discussion libre</w:t>
            </w:r>
          </w:p>
        </w:tc>
      </w:tr>
      <w:tr w:rsidR="00FF04BA" w:rsidRPr="005B0888">
        <w:tc>
          <w:tcPr>
            <w:tcW w:w="9289" w:type="dxa"/>
            <w:gridSpan w:val="2"/>
          </w:tcPr>
          <w:p w:rsidR="00857F87" w:rsidRPr="005B0888" w:rsidRDefault="00857F87" w:rsidP="00ED3DF8"/>
        </w:tc>
      </w:tr>
      <w:tr w:rsidR="00FF04BA" w:rsidRPr="005B0888">
        <w:trPr>
          <w:trHeight w:val="3288"/>
        </w:trPr>
        <w:tc>
          <w:tcPr>
            <w:tcW w:w="9289" w:type="dxa"/>
            <w:gridSpan w:val="2"/>
          </w:tcPr>
          <w:p w:rsidR="00857F87" w:rsidRPr="005B0888" w:rsidRDefault="00857F87" w:rsidP="00315E7F">
            <w:r w:rsidRPr="005B0888">
              <w:lastRenderedPageBreak/>
              <w:t xml:space="preserve">Cette </w:t>
            </w:r>
            <w:r w:rsidRPr="005B0888">
              <w:rPr>
                <w:b/>
              </w:rPr>
              <w:t>troisième table ronde</w:t>
            </w:r>
            <w:r w:rsidRPr="005B0888">
              <w:t xml:space="preserve"> s</w:t>
            </w:r>
            <w:r w:rsidR="005B0888" w:rsidRPr="005B0888">
              <w:t>’</w:t>
            </w:r>
            <w:r w:rsidRPr="005B0888">
              <w:t>attachera tout particulièrement aux questions suivantes:</w:t>
            </w:r>
          </w:p>
          <w:p w:rsidR="00AF61E9" w:rsidRPr="005B0888" w:rsidRDefault="00AF61E9" w:rsidP="00AF61E9">
            <w:pPr>
              <w:pStyle w:val="ListParagraph"/>
              <w:numPr>
                <w:ilvl w:val="0"/>
                <w:numId w:val="4"/>
              </w:numPr>
              <w:rPr>
                <w:szCs w:val="22"/>
              </w:rPr>
            </w:pPr>
            <w:r w:rsidRPr="005B0888">
              <w:t>le rôle qu</w:t>
            </w:r>
            <w:r w:rsidR="005B0888" w:rsidRPr="005B0888">
              <w:t>’</w:t>
            </w:r>
            <w:r w:rsidRPr="005B0888">
              <w:t>une stratégie transversale pour l</w:t>
            </w:r>
            <w:r w:rsidR="005B0888" w:rsidRPr="005B0888">
              <w:t>’</w:t>
            </w:r>
            <w:r w:rsidRPr="005B0888">
              <w:t>après 2020 peut jouer pour bâtir le type de société que veulent les Européens;</w:t>
            </w:r>
          </w:p>
          <w:p w:rsidR="00AF61E9" w:rsidRPr="005B0888" w:rsidRDefault="00AF61E9" w:rsidP="006B3B81">
            <w:pPr>
              <w:pStyle w:val="ListParagraph"/>
              <w:numPr>
                <w:ilvl w:val="0"/>
                <w:numId w:val="4"/>
              </w:numPr>
              <w:rPr>
                <w:szCs w:val="22"/>
              </w:rPr>
            </w:pPr>
            <w:r w:rsidRPr="005B0888">
              <w:t>les méthodes par lesquelles l</w:t>
            </w:r>
            <w:r w:rsidR="005B0888" w:rsidRPr="005B0888">
              <w:t>’</w:t>
            </w:r>
            <w:r w:rsidRPr="005B0888">
              <w:t>UE peut contribuer à produire cette mutation (par exemple en définissant les politiques et en recensant les facteurs susceptibles de faciliter ou d</w:t>
            </w:r>
            <w:r w:rsidR="005B0888" w:rsidRPr="005B0888">
              <w:t>’</w:t>
            </w:r>
            <w:r w:rsidRPr="005B0888">
              <w:t>entraver les changements);</w:t>
            </w:r>
          </w:p>
          <w:p w:rsidR="00A95C77" w:rsidRPr="005B0888" w:rsidRDefault="00AF61E9" w:rsidP="00AF61E9">
            <w:pPr>
              <w:pStyle w:val="ListParagraph"/>
              <w:numPr>
                <w:ilvl w:val="0"/>
                <w:numId w:val="4"/>
              </w:numPr>
              <w:rPr>
                <w:szCs w:val="22"/>
              </w:rPr>
            </w:pPr>
            <w:r w:rsidRPr="005B0888">
              <w:t>le rôle que devraient tenir les acteurs du processus décisionnel de l</w:t>
            </w:r>
            <w:r w:rsidR="005B0888" w:rsidRPr="005B0888">
              <w:t>’</w:t>
            </w:r>
            <w:r w:rsidRPr="005B0888">
              <w:t>UE et le nouveau rôle que peuvent jouer les autres parties prenantes européennes (notamment les représentants de la société civile);</w:t>
            </w:r>
          </w:p>
          <w:p w:rsidR="00A95C77" w:rsidRPr="005B0888" w:rsidRDefault="00A95C77" w:rsidP="006B3B81">
            <w:pPr>
              <w:pStyle w:val="ListParagraph"/>
              <w:numPr>
                <w:ilvl w:val="0"/>
                <w:numId w:val="4"/>
              </w:numPr>
              <w:rPr>
                <w:szCs w:val="22"/>
              </w:rPr>
            </w:pPr>
            <w:r w:rsidRPr="005B0888">
              <w:t>les possibilités qui s</w:t>
            </w:r>
            <w:r w:rsidR="005B0888" w:rsidRPr="005B0888">
              <w:t>’</w:t>
            </w:r>
            <w:r w:rsidRPr="005B0888">
              <w:t>offrent aux CES nationaux, aux partenaires économiques et sociaux et aux organisations qui luttent pour le développement durable de contribuer plus largement aux actions nécessaires;</w:t>
            </w:r>
          </w:p>
          <w:p w:rsidR="00857F87" w:rsidRPr="005B0888" w:rsidRDefault="00AF61E9">
            <w:pPr>
              <w:pStyle w:val="ListParagraph"/>
              <w:numPr>
                <w:ilvl w:val="0"/>
                <w:numId w:val="4"/>
              </w:numPr>
              <w:rPr>
                <w:szCs w:val="22"/>
              </w:rPr>
            </w:pPr>
            <w:r w:rsidRPr="005B0888">
              <w:t>les problèmes que pourrait affronter la gouvernance participative au cours des futures transitions.</w:t>
            </w:r>
          </w:p>
        </w:tc>
      </w:tr>
    </w:tbl>
    <w:p w:rsidR="0094297D" w:rsidRPr="005B0888" w:rsidRDefault="0094297D" w:rsidP="00ED3DF8"/>
    <w:p w:rsidR="00B44BB2" w:rsidRPr="005B0888" w:rsidRDefault="00B44BB2" w:rsidP="00ED3DF8"/>
    <w:p w:rsidR="00D014AF" w:rsidRPr="005B0888" w:rsidRDefault="00D014AF" w:rsidP="00ED3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FF04BA" w:rsidRPr="005B0888">
        <w:trPr>
          <w:trHeight w:val="404"/>
        </w:trPr>
        <w:tc>
          <w:tcPr>
            <w:tcW w:w="2235" w:type="dxa"/>
          </w:tcPr>
          <w:p w:rsidR="00857F87" w:rsidRPr="005B0888" w:rsidRDefault="00857F87" w:rsidP="001E2ABF">
            <w:pPr>
              <w:keepNext/>
              <w:rPr>
                <w:rFonts w:eastAsia="Calibri"/>
                <w:b/>
              </w:rPr>
            </w:pPr>
            <w:r w:rsidRPr="005B0888">
              <w:rPr>
                <w:b/>
              </w:rPr>
              <w:t>16 h 00 – 17 h 30</w:t>
            </w:r>
          </w:p>
          <w:p w:rsidR="00526ECF" w:rsidRPr="005B0888" w:rsidRDefault="00526ECF" w:rsidP="009810F8">
            <w:pPr>
              <w:keepNext/>
              <w:jc w:val="center"/>
              <w:rPr>
                <w:i/>
              </w:rPr>
            </w:pPr>
          </w:p>
        </w:tc>
        <w:tc>
          <w:tcPr>
            <w:tcW w:w="7054" w:type="dxa"/>
          </w:tcPr>
          <w:p w:rsidR="00857F87" w:rsidRPr="005B0888" w:rsidRDefault="00857F87" w:rsidP="009810F8">
            <w:pPr>
              <w:keepNext/>
              <w:tabs>
                <w:tab w:val="left" w:pos="1876"/>
              </w:tabs>
              <w:ind w:left="1876" w:hanging="1876"/>
              <w:jc w:val="left"/>
              <w:rPr>
                <w:rFonts w:eastAsia="Calibri"/>
                <w:b/>
              </w:rPr>
            </w:pPr>
            <w:r w:rsidRPr="005B0888">
              <w:rPr>
                <w:b/>
              </w:rPr>
              <w:t>CONCLUSIONS:</w:t>
            </w:r>
            <w:r w:rsidRPr="005B0888">
              <w:tab/>
            </w:r>
            <w:r w:rsidRPr="005B0888">
              <w:rPr>
                <w:b/>
              </w:rPr>
              <w:t>LES DIFFÉRENTS SCÉNARIOS CONCERNANT L</w:t>
            </w:r>
            <w:r w:rsidR="005B0888" w:rsidRPr="005B0888">
              <w:rPr>
                <w:b/>
              </w:rPr>
              <w:t>’</w:t>
            </w:r>
            <w:r w:rsidRPr="005B0888">
              <w:rPr>
                <w:b/>
              </w:rPr>
              <w:t>AVENIR DE L</w:t>
            </w:r>
            <w:r w:rsidR="005B0888" w:rsidRPr="005B0888">
              <w:rPr>
                <w:b/>
              </w:rPr>
              <w:t>’</w:t>
            </w:r>
            <w:r w:rsidRPr="005B0888">
              <w:rPr>
                <w:b/>
              </w:rPr>
              <w:t>EUROPE</w:t>
            </w:r>
          </w:p>
          <w:p w:rsidR="00315E7F" w:rsidRPr="005B0888" w:rsidRDefault="00315E7F" w:rsidP="001E2ABF">
            <w:pPr>
              <w:keepNext/>
              <w:jc w:val="center"/>
              <w:rPr>
                <w:rFonts w:eastAsia="Calibri"/>
                <w:b/>
              </w:rPr>
            </w:pPr>
          </w:p>
        </w:tc>
      </w:tr>
      <w:tr w:rsidR="00FF04BA" w:rsidRPr="005B0888">
        <w:trPr>
          <w:trHeight w:val="1764"/>
        </w:trPr>
        <w:tc>
          <w:tcPr>
            <w:tcW w:w="2235" w:type="dxa"/>
          </w:tcPr>
          <w:p w:rsidR="008175E3" w:rsidRPr="005B0888" w:rsidRDefault="00B44BB2" w:rsidP="00ED3DF8">
            <w:pPr>
              <w:rPr>
                <w:rFonts w:eastAsia="Calibri"/>
              </w:rPr>
            </w:pPr>
            <w:r w:rsidRPr="005B0888">
              <w:t>16 h 00 – 17 h </w:t>
            </w:r>
            <w:r w:rsidR="00241CCD">
              <w:t>2</w:t>
            </w:r>
            <w:r w:rsidRPr="005B0888">
              <w:t>0</w:t>
            </w:r>
          </w:p>
          <w:p w:rsidR="008175E3" w:rsidRPr="005B0888" w:rsidRDefault="008175E3" w:rsidP="00ED3DF8"/>
          <w:p w:rsidR="008175E3" w:rsidRPr="005B0888" w:rsidRDefault="008175E3" w:rsidP="009810F8">
            <w:pPr>
              <w:jc w:val="center"/>
              <w:rPr>
                <w:rFonts w:eastAsia="Calibri"/>
              </w:rPr>
            </w:pPr>
          </w:p>
        </w:tc>
        <w:tc>
          <w:tcPr>
            <w:tcW w:w="7054" w:type="dxa"/>
          </w:tcPr>
          <w:p w:rsidR="008175E3" w:rsidRPr="005B0888" w:rsidRDefault="008175E3" w:rsidP="00ED3DF8">
            <w:pPr>
              <w:rPr>
                <w:b/>
              </w:rPr>
            </w:pPr>
            <w:r w:rsidRPr="005B0888">
              <w:rPr>
                <w:b/>
              </w:rPr>
              <w:t>Principaux intervenants:</w:t>
            </w:r>
          </w:p>
          <w:p w:rsidR="008175E3" w:rsidRPr="005B0888" w:rsidRDefault="00471CD4" w:rsidP="00B44BB2">
            <w:pPr>
              <w:ind w:left="360"/>
              <w:rPr>
                <w:b/>
              </w:rPr>
            </w:pPr>
            <w:r w:rsidRPr="005B0888">
              <w:rPr>
                <w:b/>
              </w:rPr>
              <w:t>M. Etele Baráth</w:t>
            </w:r>
            <w:r w:rsidRPr="005B0888">
              <w:t>, président du comité de pilotage Europe 2020 du CESE</w:t>
            </w:r>
          </w:p>
          <w:p w:rsidR="008175E3" w:rsidRPr="005B0888" w:rsidRDefault="00A9514B" w:rsidP="00ED3DF8">
            <w:pPr>
              <w:ind w:left="360"/>
              <w:rPr>
                <w:rFonts w:eastAsia="Calibri"/>
              </w:rPr>
            </w:pPr>
            <w:r w:rsidRPr="005B0888">
              <w:rPr>
                <w:b/>
              </w:rPr>
              <w:t xml:space="preserve">M. Gábor </w:t>
            </w:r>
            <w:proofErr w:type="spellStart"/>
            <w:r w:rsidRPr="005B0888">
              <w:rPr>
                <w:b/>
              </w:rPr>
              <w:t>Zupkó</w:t>
            </w:r>
            <w:proofErr w:type="spellEnd"/>
            <w:r w:rsidRPr="005B0888">
              <w:t>, Représentation de la Commission européenne en Hongrie</w:t>
            </w:r>
          </w:p>
          <w:p w:rsidR="007D5FFF" w:rsidRPr="005B0888" w:rsidRDefault="00616A9D" w:rsidP="009810F8">
            <w:pPr>
              <w:ind w:left="360"/>
              <w:rPr>
                <w:iCs/>
              </w:rPr>
            </w:pPr>
            <w:r w:rsidRPr="005B0888">
              <w:rPr>
                <w:b/>
              </w:rPr>
              <w:t xml:space="preserve">M. Gyula </w:t>
            </w:r>
            <w:proofErr w:type="spellStart"/>
            <w:r w:rsidRPr="005B0888">
              <w:rPr>
                <w:b/>
              </w:rPr>
              <w:t>Pleschinger</w:t>
            </w:r>
            <w:proofErr w:type="spellEnd"/>
            <w:r w:rsidRPr="005B0888">
              <w:t>, président de la Société hongroise d</w:t>
            </w:r>
            <w:r w:rsidR="005B0888" w:rsidRPr="005B0888">
              <w:t>’</w:t>
            </w:r>
            <w:r w:rsidRPr="005B0888">
              <w:t>économie, membre du Comité monétaire de Hongrie</w:t>
            </w:r>
          </w:p>
        </w:tc>
      </w:tr>
      <w:tr w:rsidR="00FF04BA" w:rsidRPr="005B0888">
        <w:tc>
          <w:tcPr>
            <w:tcW w:w="2235" w:type="dxa"/>
          </w:tcPr>
          <w:p w:rsidR="00315E7F" w:rsidRPr="005B0888" w:rsidRDefault="00315E7F" w:rsidP="00ED3DF8"/>
          <w:p w:rsidR="00FA60AF" w:rsidRPr="005B0888" w:rsidRDefault="006C5B45" w:rsidP="00ED3DF8">
            <w:r w:rsidRPr="005B0888">
              <w:t>17 h 20 – 17 h 30</w:t>
            </w:r>
          </w:p>
        </w:tc>
        <w:tc>
          <w:tcPr>
            <w:tcW w:w="7054" w:type="dxa"/>
          </w:tcPr>
          <w:p w:rsidR="006C5B45" w:rsidRPr="005B0888" w:rsidRDefault="006C5B45" w:rsidP="00ED3DF8">
            <w:pPr>
              <w:rPr>
                <w:b/>
              </w:rPr>
            </w:pPr>
          </w:p>
          <w:p w:rsidR="00857F87" w:rsidRPr="005B0888" w:rsidRDefault="00857F87" w:rsidP="00ED3DF8">
            <w:pPr>
              <w:rPr>
                <w:b/>
              </w:rPr>
            </w:pPr>
            <w:r w:rsidRPr="005B0888">
              <w:rPr>
                <w:b/>
              </w:rPr>
              <w:t>Observations finales:</w:t>
            </w:r>
          </w:p>
          <w:p w:rsidR="00FA60AF" w:rsidRPr="005B0888" w:rsidRDefault="00FC35C2" w:rsidP="00ED3DF8">
            <w:pPr>
              <w:ind w:left="360"/>
            </w:pPr>
            <w:r w:rsidRPr="005B0888">
              <w:rPr>
                <w:b/>
              </w:rPr>
              <w:t>M. Etele Baráth</w:t>
            </w:r>
            <w:r w:rsidRPr="005B0888">
              <w:t>, président du comité de pilotage Europe 2020 du CESE</w:t>
            </w:r>
          </w:p>
        </w:tc>
      </w:tr>
      <w:tr w:rsidR="00FF04BA" w:rsidRPr="005B0888">
        <w:tc>
          <w:tcPr>
            <w:tcW w:w="9289" w:type="dxa"/>
            <w:gridSpan w:val="2"/>
          </w:tcPr>
          <w:p w:rsidR="00E80D86" w:rsidRPr="005B0888" w:rsidRDefault="00E80D86" w:rsidP="00ED3DF8"/>
        </w:tc>
      </w:tr>
      <w:tr w:rsidR="00FF04BA" w:rsidRPr="005B0888">
        <w:tc>
          <w:tcPr>
            <w:tcW w:w="9289" w:type="dxa"/>
            <w:gridSpan w:val="2"/>
          </w:tcPr>
          <w:p w:rsidR="00857F87" w:rsidRPr="005B0888" w:rsidRDefault="00047774" w:rsidP="00047774">
            <w:pPr>
              <w:rPr>
                <w:bCs/>
              </w:rPr>
            </w:pPr>
            <w:r w:rsidRPr="005B0888">
              <w:t>Il s</w:t>
            </w:r>
            <w:r w:rsidR="005B0888" w:rsidRPr="005B0888">
              <w:t>’</w:t>
            </w:r>
            <w:r w:rsidRPr="005B0888">
              <w:t>agit de s</w:t>
            </w:r>
            <w:r w:rsidR="005B0888" w:rsidRPr="005B0888">
              <w:t>’</w:t>
            </w:r>
            <w:r w:rsidRPr="005B0888">
              <w:t>inspirer des débats sur les cinq scénarios pour l</w:t>
            </w:r>
            <w:r w:rsidR="005B0888" w:rsidRPr="005B0888">
              <w:t>’</w:t>
            </w:r>
            <w:r w:rsidRPr="005B0888">
              <w:t>avenir de l</w:t>
            </w:r>
            <w:r w:rsidR="005B0888" w:rsidRPr="005B0888">
              <w:t>’</w:t>
            </w:r>
            <w:r w:rsidRPr="005B0888">
              <w:t>Europe, mais sans pour autant s</w:t>
            </w:r>
            <w:r w:rsidR="005B0888" w:rsidRPr="005B0888">
              <w:t>’</w:t>
            </w:r>
            <w:r w:rsidRPr="005B0888">
              <w:t>y limiter, tels qu</w:t>
            </w:r>
            <w:r w:rsidR="005B0888" w:rsidRPr="005B0888">
              <w:t>’</w:t>
            </w:r>
            <w:r w:rsidRPr="005B0888">
              <w:t>exposés dans le livre blanc de la Commission européenne, traités dans la résolution du CESE en rapport et discutés dans le cadre des réflexions lors des consultations nationales organisées par le CESE dans tous les États membres.</w:t>
            </w:r>
          </w:p>
        </w:tc>
      </w:tr>
    </w:tbl>
    <w:p w:rsidR="002B43E2" w:rsidRPr="005B0888" w:rsidRDefault="002B43E2" w:rsidP="00ED3DF8"/>
    <w:p w:rsidR="00277431" w:rsidRPr="005B0888" w:rsidRDefault="00277431" w:rsidP="00ED3DF8"/>
    <w:p w:rsidR="00277431" w:rsidRPr="005B0888" w:rsidRDefault="00277431" w:rsidP="00ED3DF8"/>
    <w:p w:rsidR="00277431" w:rsidRPr="005B0888" w:rsidRDefault="00277431" w:rsidP="00ED3DF8"/>
    <w:tbl>
      <w:tblPr>
        <w:tblStyle w:val="TableGrid"/>
        <w:tblW w:w="0" w:type="auto"/>
        <w:tblLook w:val="04A0" w:firstRow="1" w:lastRow="0" w:firstColumn="1" w:lastColumn="0" w:noHBand="0" w:noVBand="1"/>
      </w:tblPr>
      <w:tblGrid>
        <w:gridCol w:w="9289"/>
      </w:tblGrid>
      <w:tr w:rsidR="00FF04BA" w:rsidRPr="005B0888">
        <w:tc>
          <w:tcPr>
            <w:tcW w:w="9289" w:type="dxa"/>
            <w:shd w:val="clear" w:color="auto" w:fill="DBE5F1" w:themeFill="accent1" w:themeFillTint="33"/>
          </w:tcPr>
          <w:p w:rsidR="00857F87" w:rsidRPr="005B0888" w:rsidRDefault="00AF61E9" w:rsidP="00AF61E9">
            <w:pPr>
              <w:rPr>
                <w:b/>
              </w:rPr>
            </w:pPr>
            <w:r w:rsidRPr="005B0888">
              <w:rPr>
                <w:b/>
              </w:rPr>
              <w:lastRenderedPageBreak/>
              <w:t>Principes directeurs</w:t>
            </w:r>
          </w:p>
        </w:tc>
      </w:tr>
      <w:tr w:rsidR="00FF04BA" w:rsidRPr="005B0888">
        <w:tc>
          <w:tcPr>
            <w:tcW w:w="9289" w:type="dxa"/>
          </w:tcPr>
          <w:p w:rsidR="00857F87" w:rsidRPr="005B0888" w:rsidRDefault="00A95C77" w:rsidP="009810F8">
            <w:pPr>
              <w:numPr>
                <w:ilvl w:val="0"/>
                <w:numId w:val="39"/>
              </w:numPr>
              <w:tabs>
                <w:tab w:val="left" w:pos="567"/>
              </w:tabs>
              <w:ind w:left="0" w:firstLine="0"/>
              <w:rPr>
                <w:iCs/>
              </w:rPr>
            </w:pPr>
            <w:r w:rsidRPr="005B0888">
              <w:t>Il est nécessaire de repenser les outils politiques et les stratégies en vue de proposer de nouveaux piliers renforcés pour le projet européen. Il est indispensable d</w:t>
            </w:r>
            <w:r w:rsidR="005B0888" w:rsidRPr="005B0888">
              <w:t>’</w:t>
            </w:r>
            <w:r w:rsidRPr="005B0888">
              <w:t>accorder davantage d</w:t>
            </w:r>
            <w:r w:rsidR="005B0888" w:rsidRPr="005B0888">
              <w:t>’</w:t>
            </w:r>
            <w:r w:rsidRPr="005B0888">
              <w:t>attention à des éléments tels que le renforcement de la cohésion sociale, le développement de l</w:t>
            </w:r>
            <w:r w:rsidR="005B0888" w:rsidRPr="005B0888">
              <w:t>’</w:t>
            </w:r>
            <w:r w:rsidRPr="005B0888">
              <w:t>UEM, l</w:t>
            </w:r>
            <w:r w:rsidR="005B0888" w:rsidRPr="005B0888">
              <w:t>’</w:t>
            </w:r>
            <w:r w:rsidRPr="005B0888">
              <w:t>affirmation de la légitimité du projet européen auprès des citoyens, l</w:t>
            </w:r>
            <w:r w:rsidR="005B0888" w:rsidRPr="005B0888">
              <w:t>’</w:t>
            </w:r>
            <w:r w:rsidRPr="005B0888">
              <w:t>association des parties prenantes et le respect du principe de subsidiarité.</w:t>
            </w:r>
          </w:p>
        </w:tc>
      </w:tr>
      <w:tr w:rsidR="00FF04BA" w:rsidRPr="005B0888">
        <w:tc>
          <w:tcPr>
            <w:tcW w:w="9289" w:type="dxa"/>
          </w:tcPr>
          <w:p w:rsidR="00857F87" w:rsidRPr="005B0888" w:rsidRDefault="00047774" w:rsidP="009810F8">
            <w:pPr>
              <w:numPr>
                <w:ilvl w:val="0"/>
                <w:numId w:val="39"/>
              </w:numPr>
              <w:tabs>
                <w:tab w:val="left" w:pos="567"/>
              </w:tabs>
              <w:ind w:left="0" w:firstLine="0"/>
            </w:pPr>
            <w:r w:rsidRPr="005B0888">
              <w:t>La conférence devrait définir un calendrier pour la conception d</w:t>
            </w:r>
            <w:r w:rsidR="005B0888" w:rsidRPr="005B0888">
              <w:t>’</w:t>
            </w:r>
            <w:r w:rsidRPr="005B0888">
              <w:t>une future stratégie transversale en vue de répondre aux besoins à court, moyen et long terme.</w:t>
            </w:r>
          </w:p>
        </w:tc>
      </w:tr>
      <w:tr w:rsidR="00FF04BA" w:rsidRPr="005B0888">
        <w:tc>
          <w:tcPr>
            <w:tcW w:w="9289" w:type="dxa"/>
          </w:tcPr>
          <w:p w:rsidR="00857F87" w:rsidRPr="005B0888" w:rsidRDefault="00047774" w:rsidP="009810F8">
            <w:pPr>
              <w:numPr>
                <w:ilvl w:val="0"/>
                <w:numId w:val="39"/>
              </w:numPr>
              <w:tabs>
                <w:tab w:val="left" w:pos="567"/>
              </w:tabs>
              <w:ind w:left="0" w:firstLine="0"/>
            </w:pPr>
            <w:r w:rsidRPr="005B0888">
              <w:t>Le projet européen devrait reposer sur un modèle plus participatif et durable de gouvernance européenne, orienté vers le développement et dans lequel la société civile organisée joue un rôle essentiel.</w:t>
            </w:r>
          </w:p>
        </w:tc>
      </w:tr>
    </w:tbl>
    <w:p w:rsidR="00277431" w:rsidRPr="005B0888" w:rsidRDefault="00277431" w:rsidP="00ED3DF8"/>
    <w:p w:rsidR="00277431" w:rsidRPr="005B0888" w:rsidRDefault="00277431" w:rsidP="00ED3DF8"/>
    <w:tbl>
      <w:tblPr>
        <w:tblW w:w="5000" w:type="pct"/>
        <w:tblLook w:val="0000" w:firstRow="0" w:lastRow="0" w:firstColumn="0" w:lastColumn="0" w:noHBand="0" w:noVBand="0"/>
      </w:tblPr>
      <w:tblGrid>
        <w:gridCol w:w="2969"/>
        <w:gridCol w:w="6320"/>
      </w:tblGrid>
      <w:tr w:rsidR="00FF04BA" w:rsidRPr="005B0888">
        <w:trPr>
          <w:trHeight w:val="251"/>
        </w:trPr>
        <w:tc>
          <w:tcPr>
            <w:tcW w:w="1598" w:type="pct"/>
          </w:tcPr>
          <w:p w:rsidR="00DE0BB3" w:rsidRPr="005B0888" w:rsidRDefault="00DE0BB3" w:rsidP="00DE0BB3">
            <w:pPr>
              <w:rPr>
                <w:b/>
                <w:bCs/>
              </w:rPr>
            </w:pPr>
            <w:r w:rsidRPr="005B0888">
              <w:rPr>
                <w:b/>
              </w:rPr>
              <w:t>Interprétation demandée de:</w:t>
            </w:r>
          </w:p>
        </w:tc>
        <w:tc>
          <w:tcPr>
            <w:tcW w:w="3402" w:type="pct"/>
          </w:tcPr>
          <w:p w:rsidR="00DE0BB3" w:rsidRPr="005B0888" w:rsidRDefault="00DE0BB3" w:rsidP="00DE0BB3">
            <w:r w:rsidRPr="005B0888">
              <w:t>DE-EN-FR-HU</w:t>
            </w:r>
          </w:p>
        </w:tc>
      </w:tr>
      <w:tr w:rsidR="00FF04BA" w:rsidRPr="005B0888">
        <w:trPr>
          <w:trHeight w:val="250"/>
        </w:trPr>
        <w:tc>
          <w:tcPr>
            <w:tcW w:w="1598" w:type="pct"/>
          </w:tcPr>
          <w:p w:rsidR="00DE0BB3" w:rsidRPr="005B0888" w:rsidRDefault="00DE0BB3" w:rsidP="00DE0BB3">
            <w:pPr>
              <w:jc w:val="right"/>
              <w:rPr>
                <w:b/>
              </w:rPr>
            </w:pPr>
            <w:r w:rsidRPr="005B0888">
              <w:rPr>
                <w:b/>
              </w:rPr>
              <w:t>vers:</w:t>
            </w:r>
          </w:p>
        </w:tc>
        <w:tc>
          <w:tcPr>
            <w:tcW w:w="3402" w:type="pct"/>
          </w:tcPr>
          <w:p w:rsidR="00DE0BB3" w:rsidRPr="005B0888" w:rsidRDefault="00DE0BB3" w:rsidP="00DE0BB3">
            <w:r w:rsidRPr="005B0888">
              <w:t>DE-EN-FR-HU</w:t>
            </w:r>
          </w:p>
        </w:tc>
      </w:tr>
    </w:tbl>
    <w:p w:rsidR="003F025E" w:rsidRPr="005B0888" w:rsidRDefault="003F025E"/>
    <w:sectPr w:rsidR="003F025E" w:rsidRPr="005B0888" w:rsidSect="009810F8">
      <w:headerReference w:type="even" r:id="rId22"/>
      <w:headerReference w:type="default" r:id="rId23"/>
      <w:footerReference w:type="default" r:id="rId24"/>
      <w:headerReference w:type="first" r:id="rId25"/>
      <w:pgSz w:w="11907" w:h="16839" w:code="9"/>
      <w:pgMar w:top="2835" w:right="1417" w:bottom="1276" w:left="1417"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2F" w:rsidRDefault="00B67B2F" w:rsidP="00A708B0">
      <w:pPr>
        <w:spacing w:line="240" w:lineRule="auto"/>
      </w:pPr>
      <w:r>
        <w:separator/>
      </w:r>
    </w:p>
  </w:endnote>
  <w:endnote w:type="continuationSeparator" w:id="0">
    <w:p w:rsidR="00B67B2F" w:rsidRDefault="00B67B2F" w:rsidP="00A708B0">
      <w:pPr>
        <w:spacing w:line="240" w:lineRule="auto"/>
      </w:pPr>
      <w:r>
        <w:continuationSeparator/>
      </w:r>
    </w:p>
  </w:endnote>
  <w:endnote w:type="continuationNotice" w:id="1">
    <w:p w:rsidR="00B67B2F" w:rsidRDefault="00B67B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1" w:rsidRPr="009656D6" w:rsidRDefault="009656D6" w:rsidP="009656D6">
    <w:pPr>
      <w:pStyle w:val="Footer"/>
      <w:jc w:val="center"/>
    </w:pPr>
    <w:r>
      <w:fldChar w:fldCharType="begin"/>
    </w:r>
    <w:r>
      <w:instrText xml:space="preserve"> PAGE  \* Arabic  \* MERGEFORMAT </w:instrText>
    </w:r>
    <w:r>
      <w:fldChar w:fldCharType="separate"/>
    </w:r>
    <w:r w:rsidR="009579C2">
      <w:rPr>
        <w:noProof/>
      </w:rPr>
      <w:t>7</w:t>
    </w:r>
    <w:r>
      <w:fldChar w:fldCharType="end"/>
    </w:r>
    <w:r>
      <w:t>/</w:t>
    </w:r>
    <w:r>
      <w:fldChar w:fldCharType="begin"/>
    </w:r>
    <w:r>
      <w:instrText xml:space="preserve"> = </w:instrText>
    </w:r>
    <w:r w:rsidR="009579C2">
      <w:fldChar w:fldCharType="begin"/>
    </w:r>
    <w:r w:rsidR="009579C2">
      <w:instrText xml:space="preserve"> NUMPAGES </w:instrText>
    </w:r>
    <w:r w:rsidR="009579C2">
      <w:fldChar w:fldCharType="separate"/>
    </w:r>
    <w:r w:rsidR="009579C2">
      <w:rPr>
        <w:noProof/>
      </w:rPr>
      <w:instrText>7</w:instrText>
    </w:r>
    <w:r w:rsidR="009579C2">
      <w:rPr>
        <w:noProof/>
      </w:rPr>
      <w:fldChar w:fldCharType="end"/>
    </w:r>
    <w:r>
      <w:instrText xml:space="preserve"> -0 </w:instrText>
    </w:r>
    <w:r>
      <w:fldChar w:fldCharType="separate"/>
    </w:r>
    <w:r w:rsidR="009579C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2F" w:rsidRDefault="00B67B2F" w:rsidP="00A708B0">
      <w:pPr>
        <w:spacing w:line="240" w:lineRule="auto"/>
      </w:pPr>
      <w:r>
        <w:separator/>
      </w:r>
    </w:p>
  </w:footnote>
  <w:footnote w:type="continuationSeparator" w:id="0">
    <w:p w:rsidR="00B67B2F" w:rsidRDefault="00B67B2F" w:rsidP="00A708B0">
      <w:pPr>
        <w:spacing w:line="240" w:lineRule="auto"/>
      </w:pPr>
      <w:r>
        <w:continuationSeparator/>
      </w:r>
    </w:p>
  </w:footnote>
  <w:footnote w:type="continuationNotice" w:id="1">
    <w:p w:rsidR="00B67B2F" w:rsidRDefault="00B67B2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88" w:rsidRDefault="005B0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1" w:rsidRDefault="003F44AC" w:rsidP="009810F8">
    <w:pPr>
      <w:pStyle w:val="Header"/>
      <w:ind w:left="-284"/>
      <w:jc w:val="center"/>
    </w:pPr>
    <w:r>
      <w:rPr>
        <w:noProof/>
        <w:lang w:val="fr-BE" w:eastAsia="fr-BE" w:bidi="ar-SA"/>
      </w:rPr>
      <w:drawing>
        <wp:inline distT="0" distB="0" distL="0" distR="0" wp14:anchorId="53A28078" wp14:editId="1C274B05">
          <wp:extent cx="6051550" cy="1231429"/>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559" cy="1234687"/>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88" w:rsidRDefault="005B0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8A6123"/>
    <w:multiLevelType w:val="hybridMultilevel"/>
    <w:tmpl w:val="72D6E1D2"/>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F4F1C"/>
    <w:multiLevelType w:val="hybridMultilevel"/>
    <w:tmpl w:val="0C940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B2309"/>
    <w:multiLevelType w:val="hybridMultilevel"/>
    <w:tmpl w:val="A6C8D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A83803"/>
    <w:multiLevelType w:val="hybridMultilevel"/>
    <w:tmpl w:val="376C92EA"/>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D9350C2"/>
    <w:multiLevelType w:val="hybridMultilevel"/>
    <w:tmpl w:val="5906A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DD274B"/>
    <w:multiLevelType w:val="hybridMultilevel"/>
    <w:tmpl w:val="2E307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36AFB"/>
    <w:multiLevelType w:val="hybridMultilevel"/>
    <w:tmpl w:val="E4366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6E1FCF"/>
    <w:multiLevelType w:val="hybridMultilevel"/>
    <w:tmpl w:val="DB7E23B2"/>
    <w:lvl w:ilvl="0" w:tplc="040C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57B0B24"/>
    <w:multiLevelType w:val="hybridMultilevel"/>
    <w:tmpl w:val="17D6D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577923"/>
    <w:multiLevelType w:val="hybridMultilevel"/>
    <w:tmpl w:val="03065886"/>
    <w:lvl w:ilvl="0" w:tplc="040C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B454321"/>
    <w:multiLevelType w:val="hybridMultilevel"/>
    <w:tmpl w:val="157EE53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D6402C0"/>
    <w:multiLevelType w:val="hybridMultilevel"/>
    <w:tmpl w:val="607861A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FED48EA"/>
    <w:multiLevelType w:val="hybridMultilevel"/>
    <w:tmpl w:val="E762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4346E"/>
    <w:multiLevelType w:val="hybridMultilevel"/>
    <w:tmpl w:val="211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74078"/>
    <w:multiLevelType w:val="hybridMultilevel"/>
    <w:tmpl w:val="1676F9E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55E0830"/>
    <w:multiLevelType w:val="hybridMultilevel"/>
    <w:tmpl w:val="7B08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664042"/>
    <w:multiLevelType w:val="hybridMultilevel"/>
    <w:tmpl w:val="DCF092E0"/>
    <w:lvl w:ilvl="0" w:tplc="04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390664FC"/>
    <w:multiLevelType w:val="hybridMultilevel"/>
    <w:tmpl w:val="83ACD4C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C3F03B2"/>
    <w:multiLevelType w:val="hybridMultilevel"/>
    <w:tmpl w:val="053C2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25771B"/>
    <w:multiLevelType w:val="hybridMultilevel"/>
    <w:tmpl w:val="1E1EBF7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DEE068B"/>
    <w:multiLevelType w:val="hybridMultilevel"/>
    <w:tmpl w:val="4A98F78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3612C7F"/>
    <w:multiLevelType w:val="hybridMultilevel"/>
    <w:tmpl w:val="7D34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378EA"/>
    <w:multiLevelType w:val="hybridMultilevel"/>
    <w:tmpl w:val="097EA7F0"/>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B694933"/>
    <w:multiLevelType w:val="hybridMultilevel"/>
    <w:tmpl w:val="FD1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048C4"/>
    <w:multiLevelType w:val="hybridMultilevel"/>
    <w:tmpl w:val="7A769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F60619C"/>
    <w:multiLevelType w:val="hybridMultilevel"/>
    <w:tmpl w:val="DAC0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5760A"/>
    <w:multiLevelType w:val="hybridMultilevel"/>
    <w:tmpl w:val="7B061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24D24A7"/>
    <w:multiLevelType w:val="hybridMultilevel"/>
    <w:tmpl w:val="9C3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1F5FA1"/>
    <w:multiLevelType w:val="hybridMultilevel"/>
    <w:tmpl w:val="D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007A1"/>
    <w:multiLevelType w:val="hybridMultilevel"/>
    <w:tmpl w:val="973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852CC"/>
    <w:multiLevelType w:val="hybridMultilevel"/>
    <w:tmpl w:val="5C68649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5E2541A"/>
    <w:multiLevelType w:val="hybridMultilevel"/>
    <w:tmpl w:val="42263750"/>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7A444DA"/>
    <w:multiLevelType w:val="hybridMultilevel"/>
    <w:tmpl w:val="2C60E8C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F5A1CDA"/>
    <w:multiLevelType w:val="hybridMultilevel"/>
    <w:tmpl w:val="31D40412"/>
    <w:lvl w:ilvl="0" w:tplc="04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nsid w:val="6F747881"/>
    <w:multiLevelType w:val="hybridMultilevel"/>
    <w:tmpl w:val="597A27C0"/>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134C5E"/>
    <w:multiLevelType w:val="hybridMultilevel"/>
    <w:tmpl w:val="143C9C52"/>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3A843EF"/>
    <w:multiLevelType w:val="hybridMultilevel"/>
    <w:tmpl w:val="E574157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B7B6925"/>
    <w:multiLevelType w:val="hybridMultilevel"/>
    <w:tmpl w:val="1624E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1A1C92"/>
    <w:multiLevelType w:val="hybridMultilevel"/>
    <w:tmpl w:val="6770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514E2B"/>
    <w:multiLevelType w:val="hybridMultilevel"/>
    <w:tmpl w:val="2080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A0D14"/>
    <w:multiLevelType w:val="hybridMultilevel"/>
    <w:tmpl w:val="F45C01DA"/>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8"/>
  </w:num>
  <w:num w:numId="4">
    <w:abstractNumId w:val="10"/>
  </w:num>
  <w:num w:numId="5">
    <w:abstractNumId w:val="9"/>
  </w:num>
  <w:num w:numId="6">
    <w:abstractNumId w:val="14"/>
  </w:num>
  <w:num w:numId="7">
    <w:abstractNumId w:val="22"/>
  </w:num>
  <w:num w:numId="8">
    <w:abstractNumId w:val="24"/>
  </w:num>
  <w:num w:numId="9">
    <w:abstractNumId w:val="13"/>
  </w:num>
  <w:num w:numId="10">
    <w:abstractNumId w:val="5"/>
  </w:num>
  <w:num w:numId="11">
    <w:abstractNumId w:val="38"/>
  </w:num>
  <w:num w:numId="12">
    <w:abstractNumId w:val="29"/>
  </w:num>
  <w:num w:numId="13">
    <w:abstractNumId w:val="40"/>
  </w:num>
  <w:num w:numId="14">
    <w:abstractNumId w:val="30"/>
  </w:num>
  <w:num w:numId="15">
    <w:abstractNumId w:val="2"/>
  </w:num>
  <w:num w:numId="16">
    <w:abstractNumId w:val="19"/>
  </w:num>
  <w:num w:numId="17">
    <w:abstractNumId w:val="16"/>
  </w:num>
  <w:num w:numId="18">
    <w:abstractNumId w:val="6"/>
  </w:num>
  <w:num w:numId="19">
    <w:abstractNumId w:val="4"/>
  </w:num>
  <w:num w:numId="20">
    <w:abstractNumId w:val="36"/>
  </w:num>
  <w:num w:numId="21">
    <w:abstractNumId w:val="15"/>
  </w:num>
  <w:num w:numId="22">
    <w:abstractNumId w:val="34"/>
  </w:num>
  <w:num w:numId="23">
    <w:abstractNumId w:val="20"/>
  </w:num>
  <w:num w:numId="24">
    <w:abstractNumId w:val="32"/>
  </w:num>
  <w:num w:numId="25">
    <w:abstractNumId w:val="21"/>
  </w:num>
  <w:num w:numId="26">
    <w:abstractNumId w:val="41"/>
  </w:num>
  <w:num w:numId="27">
    <w:abstractNumId w:val="17"/>
  </w:num>
  <w:num w:numId="28">
    <w:abstractNumId w:val="33"/>
  </w:num>
  <w:num w:numId="29">
    <w:abstractNumId w:val="12"/>
  </w:num>
  <w:num w:numId="30">
    <w:abstractNumId w:val="31"/>
  </w:num>
  <w:num w:numId="31">
    <w:abstractNumId w:val="37"/>
  </w:num>
  <w:num w:numId="32">
    <w:abstractNumId w:val="18"/>
  </w:num>
  <w:num w:numId="33">
    <w:abstractNumId w:val="23"/>
  </w:num>
  <w:num w:numId="34">
    <w:abstractNumId w:val="11"/>
  </w:num>
  <w:num w:numId="35">
    <w:abstractNumId w:val="3"/>
  </w:num>
  <w:num w:numId="36">
    <w:abstractNumId w:val="27"/>
  </w:num>
  <w:num w:numId="37">
    <w:abstractNumId w:val="25"/>
  </w:num>
  <w:num w:numId="38">
    <w:abstractNumId w:val="7"/>
  </w:num>
  <w:num w:numId="39">
    <w:abstractNumId w:val="1"/>
  </w:num>
  <w:num w:numId="40">
    <w:abstractNumId w:val="28"/>
  </w:num>
  <w:num w:numId="41">
    <w:abstractNumId w:val="3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B0"/>
    <w:rsid w:val="00006157"/>
    <w:rsid w:val="00012395"/>
    <w:rsid w:val="0001485F"/>
    <w:rsid w:val="00022563"/>
    <w:rsid w:val="00027072"/>
    <w:rsid w:val="000320A7"/>
    <w:rsid w:val="000403DA"/>
    <w:rsid w:val="0004183D"/>
    <w:rsid w:val="00047774"/>
    <w:rsid w:val="000613F0"/>
    <w:rsid w:val="00066FFD"/>
    <w:rsid w:val="000766CC"/>
    <w:rsid w:val="00085CE7"/>
    <w:rsid w:val="000935B6"/>
    <w:rsid w:val="000A0098"/>
    <w:rsid w:val="000A2229"/>
    <w:rsid w:val="000B6F3B"/>
    <w:rsid w:val="000C0A18"/>
    <w:rsid w:val="000F326A"/>
    <w:rsid w:val="000F495B"/>
    <w:rsid w:val="00120824"/>
    <w:rsid w:val="00130F0A"/>
    <w:rsid w:val="00137256"/>
    <w:rsid w:val="001549C3"/>
    <w:rsid w:val="00156BB6"/>
    <w:rsid w:val="001674A7"/>
    <w:rsid w:val="00195FD9"/>
    <w:rsid w:val="00196C62"/>
    <w:rsid w:val="001A22FC"/>
    <w:rsid w:val="001A2D48"/>
    <w:rsid w:val="001B0D41"/>
    <w:rsid w:val="001B1F17"/>
    <w:rsid w:val="001C0BD0"/>
    <w:rsid w:val="001E2ABF"/>
    <w:rsid w:val="001E5AA5"/>
    <w:rsid w:val="001E6326"/>
    <w:rsid w:val="00202652"/>
    <w:rsid w:val="00227AA1"/>
    <w:rsid w:val="00232A14"/>
    <w:rsid w:val="00233A5F"/>
    <w:rsid w:val="00241CCD"/>
    <w:rsid w:val="00272B2E"/>
    <w:rsid w:val="00275F3E"/>
    <w:rsid w:val="00277431"/>
    <w:rsid w:val="0028625E"/>
    <w:rsid w:val="00297762"/>
    <w:rsid w:val="002B43E2"/>
    <w:rsid w:val="002C5B74"/>
    <w:rsid w:val="002D5213"/>
    <w:rsid w:val="002E1BA1"/>
    <w:rsid w:val="002E4C20"/>
    <w:rsid w:val="002F484F"/>
    <w:rsid w:val="00315E7F"/>
    <w:rsid w:val="0031735D"/>
    <w:rsid w:val="0032470B"/>
    <w:rsid w:val="003263EB"/>
    <w:rsid w:val="00333696"/>
    <w:rsid w:val="00334441"/>
    <w:rsid w:val="0034330C"/>
    <w:rsid w:val="00352851"/>
    <w:rsid w:val="00363F79"/>
    <w:rsid w:val="00364F27"/>
    <w:rsid w:val="00371151"/>
    <w:rsid w:val="00371A4A"/>
    <w:rsid w:val="00390383"/>
    <w:rsid w:val="003970F7"/>
    <w:rsid w:val="003A079F"/>
    <w:rsid w:val="003A65DA"/>
    <w:rsid w:val="003A664A"/>
    <w:rsid w:val="003A6EC7"/>
    <w:rsid w:val="003B7671"/>
    <w:rsid w:val="003C165E"/>
    <w:rsid w:val="003C2EF4"/>
    <w:rsid w:val="003C41B7"/>
    <w:rsid w:val="003E059A"/>
    <w:rsid w:val="003E41FB"/>
    <w:rsid w:val="003F025E"/>
    <w:rsid w:val="003F2CB8"/>
    <w:rsid w:val="003F3EE3"/>
    <w:rsid w:val="003F44AC"/>
    <w:rsid w:val="003F5E41"/>
    <w:rsid w:val="00410F9B"/>
    <w:rsid w:val="004263EC"/>
    <w:rsid w:val="00442527"/>
    <w:rsid w:val="00444E80"/>
    <w:rsid w:val="00446C88"/>
    <w:rsid w:val="004472F6"/>
    <w:rsid w:val="0046035C"/>
    <w:rsid w:val="00463AD3"/>
    <w:rsid w:val="0046473B"/>
    <w:rsid w:val="00471CD4"/>
    <w:rsid w:val="00476E8F"/>
    <w:rsid w:val="00494769"/>
    <w:rsid w:val="00495C43"/>
    <w:rsid w:val="004A10A2"/>
    <w:rsid w:val="004A2FD4"/>
    <w:rsid w:val="004A3DA7"/>
    <w:rsid w:val="004B69A0"/>
    <w:rsid w:val="004C698E"/>
    <w:rsid w:val="004C7F80"/>
    <w:rsid w:val="004F25AB"/>
    <w:rsid w:val="005067D5"/>
    <w:rsid w:val="005141CE"/>
    <w:rsid w:val="00514526"/>
    <w:rsid w:val="00521805"/>
    <w:rsid w:val="00526ECF"/>
    <w:rsid w:val="00547750"/>
    <w:rsid w:val="00562B91"/>
    <w:rsid w:val="00564B6C"/>
    <w:rsid w:val="0057251F"/>
    <w:rsid w:val="00574BA1"/>
    <w:rsid w:val="00580168"/>
    <w:rsid w:val="00584525"/>
    <w:rsid w:val="005B0888"/>
    <w:rsid w:val="005B26E7"/>
    <w:rsid w:val="005B2CDF"/>
    <w:rsid w:val="005D08DF"/>
    <w:rsid w:val="005D39FE"/>
    <w:rsid w:val="005E1EB3"/>
    <w:rsid w:val="005E4105"/>
    <w:rsid w:val="005E52B3"/>
    <w:rsid w:val="005F794B"/>
    <w:rsid w:val="0060668C"/>
    <w:rsid w:val="006140A3"/>
    <w:rsid w:val="00616A9D"/>
    <w:rsid w:val="006244FA"/>
    <w:rsid w:val="00632AF1"/>
    <w:rsid w:val="0063634A"/>
    <w:rsid w:val="00663BA4"/>
    <w:rsid w:val="00667B72"/>
    <w:rsid w:val="006A393A"/>
    <w:rsid w:val="006B160D"/>
    <w:rsid w:val="006B3B81"/>
    <w:rsid w:val="006B7D2E"/>
    <w:rsid w:val="006C368A"/>
    <w:rsid w:val="006C59B2"/>
    <w:rsid w:val="006C5B45"/>
    <w:rsid w:val="006D3E45"/>
    <w:rsid w:val="006D7684"/>
    <w:rsid w:val="006E23B0"/>
    <w:rsid w:val="00701731"/>
    <w:rsid w:val="00716208"/>
    <w:rsid w:val="007214DC"/>
    <w:rsid w:val="00736546"/>
    <w:rsid w:val="007372BD"/>
    <w:rsid w:val="0074044A"/>
    <w:rsid w:val="00740F66"/>
    <w:rsid w:val="00741BD7"/>
    <w:rsid w:val="007471CD"/>
    <w:rsid w:val="007559C7"/>
    <w:rsid w:val="0075703D"/>
    <w:rsid w:val="0076138E"/>
    <w:rsid w:val="00767B0B"/>
    <w:rsid w:val="00770ACA"/>
    <w:rsid w:val="00772360"/>
    <w:rsid w:val="00777BCD"/>
    <w:rsid w:val="00781162"/>
    <w:rsid w:val="007A0480"/>
    <w:rsid w:val="007A093D"/>
    <w:rsid w:val="007C1BCB"/>
    <w:rsid w:val="007C4998"/>
    <w:rsid w:val="007D5FFF"/>
    <w:rsid w:val="007D6FB6"/>
    <w:rsid w:val="007E2C98"/>
    <w:rsid w:val="007E4E43"/>
    <w:rsid w:val="007F2471"/>
    <w:rsid w:val="007F7F84"/>
    <w:rsid w:val="00806F50"/>
    <w:rsid w:val="00811142"/>
    <w:rsid w:val="0081132A"/>
    <w:rsid w:val="008147E8"/>
    <w:rsid w:val="00815595"/>
    <w:rsid w:val="008175E3"/>
    <w:rsid w:val="00823B99"/>
    <w:rsid w:val="00824FB0"/>
    <w:rsid w:val="008277FE"/>
    <w:rsid w:val="00835F5A"/>
    <w:rsid w:val="00840F7E"/>
    <w:rsid w:val="0085174C"/>
    <w:rsid w:val="00857F87"/>
    <w:rsid w:val="0086290A"/>
    <w:rsid w:val="008631BF"/>
    <w:rsid w:val="00875986"/>
    <w:rsid w:val="00890B0C"/>
    <w:rsid w:val="00892A92"/>
    <w:rsid w:val="00893B0D"/>
    <w:rsid w:val="00897FDC"/>
    <w:rsid w:val="008B0C06"/>
    <w:rsid w:val="008B16C1"/>
    <w:rsid w:val="008B2467"/>
    <w:rsid w:val="008D6721"/>
    <w:rsid w:val="008E4FFA"/>
    <w:rsid w:val="008E59C2"/>
    <w:rsid w:val="008F7A2A"/>
    <w:rsid w:val="009060C2"/>
    <w:rsid w:val="0092131F"/>
    <w:rsid w:val="009218BA"/>
    <w:rsid w:val="00921AC6"/>
    <w:rsid w:val="00937E46"/>
    <w:rsid w:val="0094297D"/>
    <w:rsid w:val="009579C2"/>
    <w:rsid w:val="009656D6"/>
    <w:rsid w:val="00970D19"/>
    <w:rsid w:val="00974654"/>
    <w:rsid w:val="009810F8"/>
    <w:rsid w:val="0098573D"/>
    <w:rsid w:val="009B49E4"/>
    <w:rsid w:val="009C7C24"/>
    <w:rsid w:val="009D6132"/>
    <w:rsid w:val="009E164F"/>
    <w:rsid w:val="009E2F92"/>
    <w:rsid w:val="009E769B"/>
    <w:rsid w:val="009F08FD"/>
    <w:rsid w:val="009F255D"/>
    <w:rsid w:val="009F2862"/>
    <w:rsid w:val="009F602E"/>
    <w:rsid w:val="009F769B"/>
    <w:rsid w:val="00A01F0F"/>
    <w:rsid w:val="00A0290C"/>
    <w:rsid w:val="00A108B3"/>
    <w:rsid w:val="00A1378B"/>
    <w:rsid w:val="00A56240"/>
    <w:rsid w:val="00A6545D"/>
    <w:rsid w:val="00A708B0"/>
    <w:rsid w:val="00A723FF"/>
    <w:rsid w:val="00A75DF4"/>
    <w:rsid w:val="00A77286"/>
    <w:rsid w:val="00A92B76"/>
    <w:rsid w:val="00A942E8"/>
    <w:rsid w:val="00A9514B"/>
    <w:rsid w:val="00A95C77"/>
    <w:rsid w:val="00AA25E8"/>
    <w:rsid w:val="00AA40E5"/>
    <w:rsid w:val="00AA4CC2"/>
    <w:rsid w:val="00AB5753"/>
    <w:rsid w:val="00AC36D6"/>
    <w:rsid w:val="00AD2E88"/>
    <w:rsid w:val="00AF52DD"/>
    <w:rsid w:val="00AF61E9"/>
    <w:rsid w:val="00B01F0D"/>
    <w:rsid w:val="00B16B7A"/>
    <w:rsid w:val="00B40EBE"/>
    <w:rsid w:val="00B42F16"/>
    <w:rsid w:val="00B44069"/>
    <w:rsid w:val="00B44BB2"/>
    <w:rsid w:val="00B4577A"/>
    <w:rsid w:val="00B523CA"/>
    <w:rsid w:val="00B555D9"/>
    <w:rsid w:val="00B67B2F"/>
    <w:rsid w:val="00B74AA6"/>
    <w:rsid w:val="00B75463"/>
    <w:rsid w:val="00B877E5"/>
    <w:rsid w:val="00B87929"/>
    <w:rsid w:val="00B976A5"/>
    <w:rsid w:val="00BA31B6"/>
    <w:rsid w:val="00BB449C"/>
    <w:rsid w:val="00BB5147"/>
    <w:rsid w:val="00BB6CCB"/>
    <w:rsid w:val="00BD72CF"/>
    <w:rsid w:val="00BF602D"/>
    <w:rsid w:val="00C10A91"/>
    <w:rsid w:val="00C1391A"/>
    <w:rsid w:val="00C226F6"/>
    <w:rsid w:val="00C35792"/>
    <w:rsid w:val="00C413B8"/>
    <w:rsid w:val="00C615FF"/>
    <w:rsid w:val="00C70C11"/>
    <w:rsid w:val="00C7260E"/>
    <w:rsid w:val="00C82ED6"/>
    <w:rsid w:val="00C8512D"/>
    <w:rsid w:val="00C96C86"/>
    <w:rsid w:val="00CA6105"/>
    <w:rsid w:val="00CB0AF6"/>
    <w:rsid w:val="00CB0F0C"/>
    <w:rsid w:val="00CC23C0"/>
    <w:rsid w:val="00CD1E7E"/>
    <w:rsid w:val="00CD3A4C"/>
    <w:rsid w:val="00CE6C84"/>
    <w:rsid w:val="00CE7745"/>
    <w:rsid w:val="00D014AF"/>
    <w:rsid w:val="00D1555B"/>
    <w:rsid w:val="00D2678E"/>
    <w:rsid w:val="00D31B9F"/>
    <w:rsid w:val="00D40FA4"/>
    <w:rsid w:val="00D454BB"/>
    <w:rsid w:val="00D577B7"/>
    <w:rsid w:val="00D66AA0"/>
    <w:rsid w:val="00D732BF"/>
    <w:rsid w:val="00D972A5"/>
    <w:rsid w:val="00D97FD4"/>
    <w:rsid w:val="00DA02FF"/>
    <w:rsid w:val="00DB4B1C"/>
    <w:rsid w:val="00DB7397"/>
    <w:rsid w:val="00DC2E40"/>
    <w:rsid w:val="00DC362F"/>
    <w:rsid w:val="00DE0BB3"/>
    <w:rsid w:val="00DF37EE"/>
    <w:rsid w:val="00E029C8"/>
    <w:rsid w:val="00E02B3C"/>
    <w:rsid w:val="00E04727"/>
    <w:rsid w:val="00E10565"/>
    <w:rsid w:val="00E32D16"/>
    <w:rsid w:val="00E420AC"/>
    <w:rsid w:val="00E4562A"/>
    <w:rsid w:val="00E524A3"/>
    <w:rsid w:val="00E63F6C"/>
    <w:rsid w:val="00E660CB"/>
    <w:rsid w:val="00E7255C"/>
    <w:rsid w:val="00E80D86"/>
    <w:rsid w:val="00E833BB"/>
    <w:rsid w:val="00E8368B"/>
    <w:rsid w:val="00E87333"/>
    <w:rsid w:val="00E92C78"/>
    <w:rsid w:val="00ED3DF8"/>
    <w:rsid w:val="00ED4EF3"/>
    <w:rsid w:val="00EE328F"/>
    <w:rsid w:val="00EF1D04"/>
    <w:rsid w:val="00EF62C7"/>
    <w:rsid w:val="00F00106"/>
    <w:rsid w:val="00F05C10"/>
    <w:rsid w:val="00F115E7"/>
    <w:rsid w:val="00F1663F"/>
    <w:rsid w:val="00F16E95"/>
    <w:rsid w:val="00F25AA2"/>
    <w:rsid w:val="00F362C5"/>
    <w:rsid w:val="00F42D81"/>
    <w:rsid w:val="00F62069"/>
    <w:rsid w:val="00F65DDC"/>
    <w:rsid w:val="00F703D8"/>
    <w:rsid w:val="00F73ABE"/>
    <w:rsid w:val="00F73B31"/>
    <w:rsid w:val="00F74B50"/>
    <w:rsid w:val="00F82776"/>
    <w:rsid w:val="00F877EA"/>
    <w:rsid w:val="00F919D9"/>
    <w:rsid w:val="00FA60AF"/>
    <w:rsid w:val="00FB6DB6"/>
    <w:rsid w:val="00FC35C2"/>
    <w:rsid w:val="00FE31BA"/>
    <w:rsid w:val="00FE68D9"/>
    <w:rsid w:val="00FF04BA"/>
    <w:rsid w:val="00FF04DF"/>
    <w:rsid w:val="00FF2E20"/>
    <w:rsid w:val="00FF777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0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F794B"/>
    <w:pPr>
      <w:numPr>
        <w:numId w:val="1"/>
      </w:numPr>
      <w:ind w:left="567" w:hanging="567"/>
      <w:outlineLvl w:val="0"/>
    </w:pPr>
    <w:rPr>
      <w:kern w:val="28"/>
    </w:rPr>
  </w:style>
  <w:style w:type="paragraph" w:styleId="Heading2">
    <w:name w:val="heading 2"/>
    <w:basedOn w:val="Normal"/>
    <w:next w:val="Normal"/>
    <w:link w:val="Heading2Char"/>
    <w:qFormat/>
    <w:rsid w:val="005F794B"/>
    <w:pPr>
      <w:numPr>
        <w:ilvl w:val="1"/>
        <w:numId w:val="1"/>
      </w:numPr>
      <w:ind w:left="567" w:hanging="567"/>
      <w:outlineLvl w:val="1"/>
    </w:pPr>
  </w:style>
  <w:style w:type="paragraph" w:styleId="Heading3">
    <w:name w:val="heading 3"/>
    <w:basedOn w:val="Normal"/>
    <w:next w:val="Normal"/>
    <w:link w:val="Heading3Char"/>
    <w:qFormat/>
    <w:rsid w:val="005F794B"/>
    <w:pPr>
      <w:numPr>
        <w:ilvl w:val="2"/>
        <w:numId w:val="1"/>
      </w:numPr>
      <w:ind w:left="567" w:hanging="567"/>
      <w:outlineLvl w:val="2"/>
    </w:pPr>
  </w:style>
  <w:style w:type="paragraph" w:styleId="Heading4">
    <w:name w:val="heading 4"/>
    <w:basedOn w:val="Normal"/>
    <w:next w:val="Normal"/>
    <w:link w:val="Heading4Char"/>
    <w:qFormat/>
    <w:rsid w:val="005F794B"/>
    <w:pPr>
      <w:numPr>
        <w:ilvl w:val="3"/>
        <w:numId w:val="1"/>
      </w:numPr>
      <w:ind w:left="567" w:hanging="567"/>
      <w:outlineLvl w:val="3"/>
    </w:pPr>
  </w:style>
  <w:style w:type="paragraph" w:styleId="Heading5">
    <w:name w:val="heading 5"/>
    <w:basedOn w:val="Normal"/>
    <w:next w:val="Normal"/>
    <w:link w:val="Heading5Char"/>
    <w:qFormat/>
    <w:rsid w:val="005F794B"/>
    <w:pPr>
      <w:numPr>
        <w:ilvl w:val="4"/>
        <w:numId w:val="1"/>
      </w:numPr>
      <w:ind w:left="567" w:hanging="567"/>
      <w:outlineLvl w:val="4"/>
    </w:pPr>
  </w:style>
  <w:style w:type="paragraph" w:styleId="Heading6">
    <w:name w:val="heading 6"/>
    <w:basedOn w:val="Normal"/>
    <w:next w:val="Normal"/>
    <w:link w:val="Heading6Char"/>
    <w:qFormat/>
    <w:rsid w:val="005F794B"/>
    <w:pPr>
      <w:numPr>
        <w:ilvl w:val="5"/>
        <w:numId w:val="1"/>
      </w:numPr>
      <w:ind w:left="567" w:hanging="567"/>
      <w:outlineLvl w:val="5"/>
    </w:pPr>
  </w:style>
  <w:style w:type="paragraph" w:styleId="Heading7">
    <w:name w:val="heading 7"/>
    <w:basedOn w:val="Normal"/>
    <w:next w:val="Normal"/>
    <w:link w:val="Heading7Char"/>
    <w:qFormat/>
    <w:rsid w:val="005F794B"/>
    <w:pPr>
      <w:numPr>
        <w:ilvl w:val="6"/>
        <w:numId w:val="1"/>
      </w:numPr>
      <w:ind w:left="567" w:hanging="567"/>
      <w:outlineLvl w:val="6"/>
    </w:pPr>
  </w:style>
  <w:style w:type="paragraph" w:styleId="Heading8">
    <w:name w:val="heading 8"/>
    <w:basedOn w:val="Normal"/>
    <w:next w:val="Normal"/>
    <w:link w:val="Heading8Char"/>
    <w:qFormat/>
    <w:rsid w:val="005F794B"/>
    <w:pPr>
      <w:numPr>
        <w:ilvl w:val="7"/>
        <w:numId w:val="1"/>
      </w:numPr>
      <w:ind w:left="567" w:hanging="567"/>
      <w:outlineLvl w:val="7"/>
    </w:pPr>
  </w:style>
  <w:style w:type="paragraph" w:styleId="Heading9">
    <w:name w:val="heading 9"/>
    <w:basedOn w:val="Normal"/>
    <w:next w:val="Normal"/>
    <w:link w:val="Heading9Char"/>
    <w:qFormat/>
    <w:rsid w:val="005F794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8B0"/>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A708B0"/>
    <w:rPr>
      <w:rFonts w:ascii="Times New Roman" w:eastAsia="Times New Roman" w:hAnsi="Times New Roman" w:cs="Times New Roman"/>
      <w:lang w:val="fr-FR"/>
    </w:rPr>
  </w:style>
  <w:style w:type="character" w:customStyle="1" w:styleId="Heading3Char">
    <w:name w:val="Heading 3 Char"/>
    <w:basedOn w:val="DefaultParagraphFont"/>
    <w:link w:val="Heading3"/>
    <w:rsid w:val="00A708B0"/>
    <w:rPr>
      <w:rFonts w:ascii="Times New Roman" w:eastAsia="Times New Roman" w:hAnsi="Times New Roman" w:cs="Times New Roman"/>
      <w:lang w:val="fr-FR"/>
    </w:rPr>
  </w:style>
  <w:style w:type="character" w:customStyle="1" w:styleId="Heading4Char">
    <w:name w:val="Heading 4 Char"/>
    <w:basedOn w:val="DefaultParagraphFont"/>
    <w:link w:val="Heading4"/>
    <w:rsid w:val="00A708B0"/>
    <w:rPr>
      <w:rFonts w:ascii="Times New Roman" w:eastAsia="Times New Roman" w:hAnsi="Times New Roman" w:cs="Times New Roman"/>
      <w:lang w:val="fr-FR"/>
    </w:rPr>
  </w:style>
  <w:style w:type="character" w:customStyle="1" w:styleId="Heading5Char">
    <w:name w:val="Heading 5 Char"/>
    <w:basedOn w:val="DefaultParagraphFont"/>
    <w:link w:val="Heading5"/>
    <w:rsid w:val="00A708B0"/>
    <w:rPr>
      <w:rFonts w:ascii="Times New Roman" w:eastAsia="Times New Roman" w:hAnsi="Times New Roman" w:cs="Times New Roman"/>
      <w:lang w:val="fr-FR"/>
    </w:rPr>
  </w:style>
  <w:style w:type="character" w:customStyle="1" w:styleId="Heading6Char">
    <w:name w:val="Heading 6 Char"/>
    <w:basedOn w:val="DefaultParagraphFont"/>
    <w:link w:val="Heading6"/>
    <w:rsid w:val="00A708B0"/>
    <w:rPr>
      <w:rFonts w:ascii="Times New Roman" w:eastAsia="Times New Roman" w:hAnsi="Times New Roman" w:cs="Times New Roman"/>
      <w:lang w:val="fr-FR"/>
    </w:rPr>
  </w:style>
  <w:style w:type="character" w:customStyle="1" w:styleId="Heading7Char">
    <w:name w:val="Heading 7 Char"/>
    <w:basedOn w:val="DefaultParagraphFont"/>
    <w:link w:val="Heading7"/>
    <w:rsid w:val="00A708B0"/>
    <w:rPr>
      <w:rFonts w:ascii="Times New Roman" w:eastAsia="Times New Roman" w:hAnsi="Times New Roman" w:cs="Times New Roman"/>
      <w:lang w:val="fr-FR"/>
    </w:rPr>
  </w:style>
  <w:style w:type="character" w:customStyle="1" w:styleId="Heading8Char">
    <w:name w:val="Heading 8 Char"/>
    <w:basedOn w:val="DefaultParagraphFont"/>
    <w:link w:val="Heading8"/>
    <w:rsid w:val="00A708B0"/>
    <w:rPr>
      <w:rFonts w:ascii="Times New Roman" w:eastAsia="Times New Roman" w:hAnsi="Times New Roman" w:cs="Times New Roman"/>
      <w:lang w:val="fr-FR"/>
    </w:rPr>
  </w:style>
  <w:style w:type="character" w:customStyle="1" w:styleId="Heading9Char">
    <w:name w:val="Heading 9 Char"/>
    <w:basedOn w:val="DefaultParagraphFont"/>
    <w:link w:val="Heading9"/>
    <w:rsid w:val="00A708B0"/>
    <w:rPr>
      <w:rFonts w:ascii="Times New Roman" w:eastAsia="Times New Roman" w:hAnsi="Times New Roman" w:cs="Times New Roman"/>
      <w:lang w:val="fr-FR"/>
    </w:rPr>
  </w:style>
  <w:style w:type="paragraph" w:styleId="Footer">
    <w:name w:val="footer"/>
    <w:basedOn w:val="Normal"/>
    <w:link w:val="FooterChar"/>
    <w:qFormat/>
    <w:rsid w:val="005F794B"/>
  </w:style>
  <w:style w:type="character" w:customStyle="1" w:styleId="FooterChar">
    <w:name w:val="Footer Char"/>
    <w:basedOn w:val="DefaultParagraphFont"/>
    <w:link w:val="Footer"/>
    <w:rsid w:val="00A708B0"/>
    <w:rPr>
      <w:rFonts w:ascii="Times New Roman" w:eastAsia="Times New Roman" w:hAnsi="Times New Roman" w:cs="Times New Roman"/>
      <w:lang w:val="fr-FR"/>
    </w:rPr>
  </w:style>
  <w:style w:type="paragraph" w:styleId="FootnoteText">
    <w:name w:val="footnote text"/>
    <w:basedOn w:val="Normal"/>
    <w:link w:val="FootnoteTextChar"/>
    <w:qFormat/>
    <w:rsid w:val="005F794B"/>
    <w:pPr>
      <w:keepLines/>
      <w:spacing w:after="60" w:line="240" w:lineRule="auto"/>
      <w:ind w:left="567" w:hanging="567"/>
    </w:pPr>
    <w:rPr>
      <w:sz w:val="16"/>
    </w:rPr>
  </w:style>
  <w:style w:type="character" w:customStyle="1" w:styleId="FootnoteTextChar">
    <w:name w:val="Footnote Text Char"/>
    <w:basedOn w:val="DefaultParagraphFont"/>
    <w:link w:val="FootnoteText"/>
    <w:rsid w:val="00A708B0"/>
    <w:rPr>
      <w:rFonts w:ascii="Times New Roman" w:eastAsia="Times New Roman" w:hAnsi="Times New Roman" w:cs="Times New Roman"/>
      <w:sz w:val="16"/>
      <w:lang w:val="fr-FR"/>
    </w:rPr>
  </w:style>
  <w:style w:type="paragraph" w:styleId="Header">
    <w:name w:val="header"/>
    <w:basedOn w:val="Normal"/>
    <w:link w:val="HeaderChar"/>
    <w:qFormat/>
    <w:rsid w:val="005F794B"/>
  </w:style>
  <w:style w:type="character" w:customStyle="1" w:styleId="HeaderChar">
    <w:name w:val="Header Char"/>
    <w:basedOn w:val="DefaultParagraphFont"/>
    <w:link w:val="Header"/>
    <w:rsid w:val="00A708B0"/>
    <w:rPr>
      <w:rFonts w:ascii="Times New Roman" w:eastAsia="Times New Roman" w:hAnsi="Times New Roman" w:cs="Times New Roman"/>
      <w:lang w:val="fr-FR"/>
    </w:rPr>
  </w:style>
  <w:style w:type="paragraph" w:customStyle="1" w:styleId="quotes">
    <w:name w:val="quotes"/>
    <w:basedOn w:val="Normal"/>
    <w:next w:val="Normal"/>
    <w:rsid w:val="005F794B"/>
    <w:pPr>
      <w:ind w:left="720"/>
    </w:pPr>
    <w:rPr>
      <w:i/>
    </w:rPr>
  </w:style>
  <w:style w:type="character" w:styleId="FootnoteReference">
    <w:name w:val="footnote reference"/>
    <w:basedOn w:val="DefaultParagraphFont"/>
    <w:unhideWhenUsed/>
    <w:qFormat/>
    <w:rsid w:val="005F794B"/>
    <w:rPr>
      <w:sz w:val="24"/>
      <w:vertAlign w:val="superscript"/>
    </w:rPr>
  </w:style>
  <w:style w:type="table" w:styleId="TableGrid">
    <w:name w:val="Table Grid"/>
    <w:basedOn w:val="TableNormal"/>
    <w:uiPriority w:val="59"/>
    <w:rsid w:val="00A7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B3B81"/>
    <w:pPr>
      <w:overflowPunct w:val="0"/>
      <w:autoSpaceDE w:val="0"/>
      <w:autoSpaceDN w:val="0"/>
      <w:adjustRightInd w:val="0"/>
      <w:ind w:left="720"/>
      <w:contextualSpacing/>
      <w:textAlignment w:val="baseline"/>
    </w:pPr>
    <w:rPr>
      <w:szCs w:val="20"/>
    </w:rPr>
  </w:style>
  <w:style w:type="character" w:styleId="Emphasis">
    <w:name w:val="Emphasis"/>
    <w:basedOn w:val="DefaultParagraphFont"/>
    <w:uiPriority w:val="20"/>
    <w:qFormat/>
    <w:rsid w:val="00463AD3"/>
    <w:rPr>
      <w:i/>
      <w:iCs/>
    </w:rPr>
  </w:style>
  <w:style w:type="paragraph" w:styleId="Revision">
    <w:name w:val="Revision"/>
    <w:hidden/>
    <w:uiPriority w:val="99"/>
    <w:semiHidden/>
    <w:rsid w:val="006D3E45"/>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3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B6"/>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233A5F"/>
    <w:rPr>
      <w:sz w:val="16"/>
      <w:szCs w:val="16"/>
    </w:rPr>
  </w:style>
  <w:style w:type="paragraph" w:styleId="CommentText">
    <w:name w:val="annotation text"/>
    <w:basedOn w:val="Normal"/>
    <w:link w:val="CommentTextChar"/>
    <w:uiPriority w:val="99"/>
    <w:semiHidden/>
    <w:unhideWhenUsed/>
    <w:rsid w:val="00233A5F"/>
    <w:pPr>
      <w:spacing w:line="240" w:lineRule="auto"/>
    </w:pPr>
    <w:rPr>
      <w:sz w:val="20"/>
      <w:szCs w:val="20"/>
    </w:rPr>
  </w:style>
  <w:style w:type="character" w:customStyle="1" w:styleId="CommentTextChar">
    <w:name w:val="Comment Text Char"/>
    <w:basedOn w:val="DefaultParagraphFont"/>
    <w:link w:val="CommentText"/>
    <w:uiPriority w:val="99"/>
    <w:semiHidden/>
    <w:rsid w:val="00233A5F"/>
    <w:rPr>
      <w:rFonts w:ascii="Times New Roman" w:eastAsia="Times New Roman" w:hAnsi="Times New Roman"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0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F794B"/>
    <w:pPr>
      <w:numPr>
        <w:numId w:val="1"/>
      </w:numPr>
      <w:ind w:left="567" w:hanging="567"/>
      <w:outlineLvl w:val="0"/>
    </w:pPr>
    <w:rPr>
      <w:kern w:val="28"/>
    </w:rPr>
  </w:style>
  <w:style w:type="paragraph" w:styleId="Heading2">
    <w:name w:val="heading 2"/>
    <w:basedOn w:val="Normal"/>
    <w:next w:val="Normal"/>
    <w:link w:val="Heading2Char"/>
    <w:qFormat/>
    <w:rsid w:val="005F794B"/>
    <w:pPr>
      <w:numPr>
        <w:ilvl w:val="1"/>
        <w:numId w:val="1"/>
      </w:numPr>
      <w:ind w:left="567" w:hanging="567"/>
      <w:outlineLvl w:val="1"/>
    </w:pPr>
  </w:style>
  <w:style w:type="paragraph" w:styleId="Heading3">
    <w:name w:val="heading 3"/>
    <w:basedOn w:val="Normal"/>
    <w:next w:val="Normal"/>
    <w:link w:val="Heading3Char"/>
    <w:qFormat/>
    <w:rsid w:val="005F794B"/>
    <w:pPr>
      <w:numPr>
        <w:ilvl w:val="2"/>
        <w:numId w:val="1"/>
      </w:numPr>
      <w:ind w:left="567" w:hanging="567"/>
      <w:outlineLvl w:val="2"/>
    </w:pPr>
  </w:style>
  <w:style w:type="paragraph" w:styleId="Heading4">
    <w:name w:val="heading 4"/>
    <w:basedOn w:val="Normal"/>
    <w:next w:val="Normal"/>
    <w:link w:val="Heading4Char"/>
    <w:qFormat/>
    <w:rsid w:val="005F794B"/>
    <w:pPr>
      <w:numPr>
        <w:ilvl w:val="3"/>
        <w:numId w:val="1"/>
      </w:numPr>
      <w:ind w:left="567" w:hanging="567"/>
      <w:outlineLvl w:val="3"/>
    </w:pPr>
  </w:style>
  <w:style w:type="paragraph" w:styleId="Heading5">
    <w:name w:val="heading 5"/>
    <w:basedOn w:val="Normal"/>
    <w:next w:val="Normal"/>
    <w:link w:val="Heading5Char"/>
    <w:qFormat/>
    <w:rsid w:val="005F794B"/>
    <w:pPr>
      <w:numPr>
        <w:ilvl w:val="4"/>
        <w:numId w:val="1"/>
      </w:numPr>
      <w:ind w:left="567" w:hanging="567"/>
      <w:outlineLvl w:val="4"/>
    </w:pPr>
  </w:style>
  <w:style w:type="paragraph" w:styleId="Heading6">
    <w:name w:val="heading 6"/>
    <w:basedOn w:val="Normal"/>
    <w:next w:val="Normal"/>
    <w:link w:val="Heading6Char"/>
    <w:qFormat/>
    <w:rsid w:val="005F794B"/>
    <w:pPr>
      <w:numPr>
        <w:ilvl w:val="5"/>
        <w:numId w:val="1"/>
      </w:numPr>
      <w:ind w:left="567" w:hanging="567"/>
      <w:outlineLvl w:val="5"/>
    </w:pPr>
  </w:style>
  <w:style w:type="paragraph" w:styleId="Heading7">
    <w:name w:val="heading 7"/>
    <w:basedOn w:val="Normal"/>
    <w:next w:val="Normal"/>
    <w:link w:val="Heading7Char"/>
    <w:qFormat/>
    <w:rsid w:val="005F794B"/>
    <w:pPr>
      <w:numPr>
        <w:ilvl w:val="6"/>
        <w:numId w:val="1"/>
      </w:numPr>
      <w:ind w:left="567" w:hanging="567"/>
      <w:outlineLvl w:val="6"/>
    </w:pPr>
  </w:style>
  <w:style w:type="paragraph" w:styleId="Heading8">
    <w:name w:val="heading 8"/>
    <w:basedOn w:val="Normal"/>
    <w:next w:val="Normal"/>
    <w:link w:val="Heading8Char"/>
    <w:qFormat/>
    <w:rsid w:val="005F794B"/>
    <w:pPr>
      <w:numPr>
        <w:ilvl w:val="7"/>
        <w:numId w:val="1"/>
      </w:numPr>
      <w:ind w:left="567" w:hanging="567"/>
      <w:outlineLvl w:val="7"/>
    </w:pPr>
  </w:style>
  <w:style w:type="paragraph" w:styleId="Heading9">
    <w:name w:val="heading 9"/>
    <w:basedOn w:val="Normal"/>
    <w:next w:val="Normal"/>
    <w:link w:val="Heading9Char"/>
    <w:qFormat/>
    <w:rsid w:val="005F794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8B0"/>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A708B0"/>
    <w:rPr>
      <w:rFonts w:ascii="Times New Roman" w:eastAsia="Times New Roman" w:hAnsi="Times New Roman" w:cs="Times New Roman"/>
      <w:lang w:val="fr-FR"/>
    </w:rPr>
  </w:style>
  <w:style w:type="character" w:customStyle="1" w:styleId="Heading3Char">
    <w:name w:val="Heading 3 Char"/>
    <w:basedOn w:val="DefaultParagraphFont"/>
    <w:link w:val="Heading3"/>
    <w:rsid w:val="00A708B0"/>
    <w:rPr>
      <w:rFonts w:ascii="Times New Roman" w:eastAsia="Times New Roman" w:hAnsi="Times New Roman" w:cs="Times New Roman"/>
      <w:lang w:val="fr-FR"/>
    </w:rPr>
  </w:style>
  <w:style w:type="character" w:customStyle="1" w:styleId="Heading4Char">
    <w:name w:val="Heading 4 Char"/>
    <w:basedOn w:val="DefaultParagraphFont"/>
    <w:link w:val="Heading4"/>
    <w:rsid w:val="00A708B0"/>
    <w:rPr>
      <w:rFonts w:ascii="Times New Roman" w:eastAsia="Times New Roman" w:hAnsi="Times New Roman" w:cs="Times New Roman"/>
      <w:lang w:val="fr-FR"/>
    </w:rPr>
  </w:style>
  <w:style w:type="character" w:customStyle="1" w:styleId="Heading5Char">
    <w:name w:val="Heading 5 Char"/>
    <w:basedOn w:val="DefaultParagraphFont"/>
    <w:link w:val="Heading5"/>
    <w:rsid w:val="00A708B0"/>
    <w:rPr>
      <w:rFonts w:ascii="Times New Roman" w:eastAsia="Times New Roman" w:hAnsi="Times New Roman" w:cs="Times New Roman"/>
      <w:lang w:val="fr-FR"/>
    </w:rPr>
  </w:style>
  <w:style w:type="character" w:customStyle="1" w:styleId="Heading6Char">
    <w:name w:val="Heading 6 Char"/>
    <w:basedOn w:val="DefaultParagraphFont"/>
    <w:link w:val="Heading6"/>
    <w:rsid w:val="00A708B0"/>
    <w:rPr>
      <w:rFonts w:ascii="Times New Roman" w:eastAsia="Times New Roman" w:hAnsi="Times New Roman" w:cs="Times New Roman"/>
      <w:lang w:val="fr-FR"/>
    </w:rPr>
  </w:style>
  <w:style w:type="character" w:customStyle="1" w:styleId="Heading7Char">
    <w:name w:val="Heading 7 Char"/>
    <w:basedOn w:val="DefaultParagraphFont"/>
    <w:link w:val="Heading7"/>
    <w:rsid w:val="00A708B0"/>
    <w:rPr>
      <w:rFonts w:ascii="Times New Roman" w:eastAsia="Times New Roman" w:hAnsi="Times New Roman" w:cs="Times New Roman"/>
      <w:lang w:val="fr-FR"/>
    </w:rPr>
  </w:style>
  <w:style w:type="character" w:customStyle="1" w:styleId="Heading8Char">
    <w:name w:val="Heading 8 Char"/>
    <w:basedOn w:val="DefaultParagraphFont"/>
    <w:link w:val="Heading8"/>
    <w:rsid w:val="00A708B0"/>
    <w:rPr>
      <w:rFonts w:ascii="Times New Roman" w:eastAsia="Times New Roman" w:hAnsi="Times New Roman" w:cs="Times New Roman"/>
      <w:lang w:val="fr-FR"/>
    </w:rPr>
  </w:style>
  <w:style w:type="character" w:customStyle="1" w:styleId="Heading9Char">
    <w:name w:val="Heading 9 Char"/>
    <w:basedOn w:val="DefaultParagraphFont"/>
    <w:link w:val="Heading9"/>
    <w:rsid w:val="00A708B0"/>
    <w:rPr>
      <w:rFonts w:ascii="Times New Roman" w:eastAsia="Times New Roman" w:hAnsi="Times New Roman" w:cs="Times New Roman"/>
      <w:lang w:val="fr-FR"/>
    </w:rPr>
  </w:style>
  <w:style w:type="paragraph" w:styleId="Footer">
    <w:name w:val="footer"/>
    <w:basedOn w:val="Normal"/>
    <w:link w:val="FooterChar"/>
    <w:qFormat/>
    <w:rsid w:val="005F794B"/>
  </w:style>
  <w:style w:type="character" w:customStyle="1" w:styleId="FooterChar">
    <w:name w:val="Footer Char"/>
    <w:basedOn w:val="DefaultParagraphFont"/>
    <w:link w:val="Footer"/>
    <w:rsid w:val="00A708B0"/>
    <w:rPr>
      <w:rFonts w:ascii="Times New Roman" w:eastAsia="Times New Roman" w:hAnsi="Times New Roman" w:cs="Times New Roman"/>
      <w:lang w:val="fr-FR"/>
    </w:rPr>
  </w:style>
  <w:style w:type="paragraph" w:styleId="FootnoteText">
    <w:name w:val="footnote text"/>
    <w:basedOn w:val="Normal"/>
    <w:link w:val="FootnoteTextChar"/>
    <w:qFormat/>
    <w:rsid w:val="005F794B"/>
    <w:pPr>
      <w:keepLines/>
      <w:spacing w:after="60" w:line="240" w:lineRule="auto"/>
      <w:ind w:left="567" w:hanging="567"/>
    </w:pPr>
    <w:rPr>
      <w:sz w:val="16"/>
    </w:rPr>
  </w:style>
  <w:style w:type="character" w:customStyle="1" w:styleId="FootnoteTextChar">
    <w:name w:val="Footnote Text Char"/>
    <w:basedOn w:val="DefaultParagraphFont"/>
    <w:link w:val="FootnoteText"/>
    <w:rsid w:val="00A708B0"/>
    <w:rPr>
      <w:rFonts w:ascii="Times New Roman" w:eastAsia="Times New Roman" w:hAnsi="Times New Roman" w:cs="Times New Roman"/>
      <w:sz w:val="16"/>
      <w:lang w:val="fr-FR"/>
    </w:rPr>
  </w:style>
  <w:style w:type="paragraph" w:styleId="Header">
    <w:name w:val="header"/>
    <w:basedOn w:val="Normal"/>
    <w:link w:val="HeaderChar"/>
    <w:qFormat/>
    <w:rsid w:val="005F794B"/>
  </w:style>
  <w:style w:type="character" w:customStyle="1" w:styleId="HeaderChar">
    <w:name w:val="Header Char"/>
    <w:basedOn w:val="DefaultParagraphFont"/>
    <w:link w:val="Header"/>
    <w:rsid w:val="00A708B0"/>
    <w:rPr>
      <w:rFonts w:ascii="Times New Roman" w:eastAsia="Times New Roman" w:hAnsi="Times New Roman" w:cs="Times New Roman"/>
      <w:lang w:val="fr-FR"/>
    </w:rPr>
  </w:style>
  <w:style w:type="paragraph" w:customStyle="1" w:styleId="quotes">
    <w:name w:val="quotes"/>
    <w:basedOn w:val="Normal"/>
    <w:next w:val="Normal"/>
    <w:rsid w:val="005F794B"/>
    <w:pPr>
      <w:ind w:left="720"/>
    </w:pPr>
    <w:rPr>
      <w:i/>
    </w:rPr>
  </w:style>
  <w:style w:type="character" w:styleId="FootnoteReference">
    <w:name w:val="footnote reference"/>
    <w:basedOn w:val="DefaultParagraphFont"/>
    <w:unhideWhenUsed/>
    <w:qFormat/>
    <w:rsid w:val="005F794B"/>
    <w:rPr>
      <w:sz w:val="24"/>
      <w:vertAlign w:val="superscript"/>
    </w:rPr>
  </w:style>
  <w:style w:type="table" w:styleId="TableGrid">
    <w:name w:val="Table Grid"/>
    <w:basedOn w:val="TableNormal"/>
    <w:uiPriority w:val="59"/>
    <w:rsid w:val="00A7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B3B81"/>
    <w:pPr>
      <w:overflowPunct w:val="0"/>
      <w:autoSpaceDE w:val="0"/>
      <w:autoSpaceDN w:val="0"/>
      <w:adjustRightInd w:val="0"/>
      <w:ind w:left="720"/>
      <w:contextualSpacing/>
      <w:textAlignment w:val="baseline"/>
    </w:pPr>
    <w:rPr>
      <w:szCs w:val="20"/>
    </w:rPr>
  </w:style>
  <w:style w:type="character" w:styleId="Emphasis">
    <w:name w:val="Emphasis"/>
    <w:basedOn w:val="DefaultParagraphFont"/>
    <w:uiPriority w:val="20"/>
    <w:qFormat/>
    <w:rsid w:val="00463AD3"/>
    <w:rPr>
      <w:i/>
      <w:iCs/>
    </w:rPr>
  </w:style>
  <w:style w:type="paragraph" w:styleId="Revision">
    <w:name w:val="Revision"/>
    <w:hidden/>
    <w:uiPriority w:val="99"/>
    <w:semiHidden/>
    <w:rsid w:val="006D3E45"/>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3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B6"/>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233A5F"/>
    <w:rPr>
      <w:sz w:val="16"/>
      <w:szCs w:val="16"/>
    </w:rPr>
  </w:style>
  <w:style w:type="paragraph" w:styleId="CommentText">
    <w:name w:val="annotation text"/>
    <w:basedOn w:val="Normal"/>
    <w:link w:val="CommentTextChar"/>
    <w:uiPriority w:val="99"/>
    <w:semiHidden/>
    <w:unhideWhenUsed/>
    <w:rsid w:val="00233A5F"/>
    <w:pPr>
      <w:spacing w:line="240" w:lineRule="auto"/>
    </w:pPr>
    <w:rPr>
      <w:sz w:val="20"/>
      <w:szCs w:val="20"/>
    </w:rPr>
  </w:style>
  <w:style w:type="character" w:customStyle="1" w:styleId="CommentTextChar">
    <w:name w:val="Comment Text Char"/>
    <w:basedOn w:val="DefaultParagraphFont"/>
    <w:link w:val="CommentText"/>
    <w:uiPriority w:val="99"/>
    <w:semiHidden/>
    <w:rsid w:val="00233A5F"/>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7829">
      <w:bodyDiv w:val="1"/>
      <w:marLeft w:val="0"/>
      <w:marRight w:val="0"/>
      <w:marTop w:val="0"/>
      <w:marBottom w:val="0"/>
      <w:divBdr>
        <w:top w:val="none" w:sz="0" w:space="0" w:color="auto"/>
        <w:left w:val="none" w:sz="0" w:space="0" w:color="auto"/>
        <w:bottom w:val="none" w:sz="0" w:space="0" w:color="auto"/>
        <w:right w:val="none" w:sz="0" w:space="0" w:color="auto"/>
      </w:divBdr>
    </w:div>
    <w:div w:id="1009915254">
      <w:bodyDiv w:val="1"/>
      <w:marLeft w:val="0"/>
      <w:marRight w:val="0"/>
      <w:marTop w:val="0"/>
      <w:marBottom w:val="0"/>
      <w:divBdr>
        <w:top w:val="none" w:sz="0" w:space="0" w:color="auto"/>
        <w:left w:val="none" w:sz="0" w:space="0" w:color="auto"/>
        <w:bottom w:val="none" w:sz="0" w:space="0" w:color="auto"/>
        <w:right w:val="none" w:sz="0" w:space="0" w:color="auto"/>
      </w:divBdr>
    </w:div>
    <w:div w:id="1015764264">
      <w:bodyDiv w:val="1"/>
      <w:marLeft w:val="0"/>
      <w:marRight w:val="0"/>
      <w:marTop w:val="0"/>
      <w:marBottom w:val="0"/>
      <w:divBdr>
        <w:top w:val="none" w:sz="0" w:space="0" w:color="auto"/>
        <w:left w:val="none" w:sz="0" w:space="0" w:color="auto"/>
        <w:bottom w:val="none" w:sz="0" w:space="0" w:color="auto"/>
        <w:right w:val="none" w:sz="0" w:space="0" w:color="auto"/>
      </w:divBdr>
    </w:div>
    <w:div w:id="1436484028">
      <w:bodyDiv w:val="1"/>
      <w:marLeft w:val="0"/>
      <w:marRight w:val="0"/>
      <w:marTop w:val="0"/>
      <w:marBottom w:val="0"/>
      <w:divBdr>
        <w:top w:val="none" w:sz="0" w:space="0" w:color="auto"/>
        <w:left w:val="none" w:sz="0" w:space="0" w:color="auto"/>
        <w:bottom w:val="none" w:sz="0" w:space="0" w:color="auto"/>
        <w:right w:val="none" w:sz="0" w:space="0" w:color="auto"/>
      </w:divBdr>
    </w:div>
    <w:div w:id="16567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hdphoto" Target="media/hdphoto4.wdp"/><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webSettings" Target="webSettings.xml"/><Relationship Id="rId19" Type="http://schemas.microsoft.com/office/2007/relationships/hdphoto" Target="media/hdphoto3.wdp"/><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WTPCSN73YJ26-8-1706</_dlc_DocId>
    <_dlc_DocIdUrl xmlns="8a3471f6-0f36-4ccf-b5ee-1ca67ea797ef">
      <Url>http://dm/EESC/2017/_layouts/DocIdRedir.aspx?ID=WTPCSN73YJ26-8-1706</Url>
      <Description>WTPCSN73YJ26-8-1706</Description>
    </_dlc_DocIdUrl>
    <MeetingNumber xmlns="aec2565f-fa8c-45b6-95fc-3f27706042d7">32</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2017-11-20T12:00:00+00:00</ProductionDate>
    <DocumentNumber xmlns="aec2565f-fa8c-45b6-95fc-3f27706042d7">5055</DocumentNumber>
    <FicheYear xmlns="8a3471f6-0f36-4ccf-b5ee-1ca67ea797ef">2017</FicheYea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2017-11-27T12:00:00+00:00</MeetingDate>
    <TaxCatchAll xmlns="8a3471f6-0f36-4ccf-b5ee-1ca67ea797ef">
      <Value>8</Value>
      <Value>95</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12733</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EU2020</TermName>
          <TermId xmlns="http://schemas.microsoft.com/office/infopath/2007/PartnerControls">0efd4cd5-54df-4969-b9f8-ac11177e941d</TermId>
        </TermInfo>
      </Terms>
    </MeetingName_0>
    <RequestingService xmlns="8a3471f6-0f36-4ccf-b5ee-1ca67ea797ef">Europe 2020 - Comite de pilotage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763C-72DD-4008-8991-5A9C6672196F}">
  <ds:schemaRefs>
    <ds:schemaRef ds:uri="http://schemas.microsoft.com/sharepoint/v3/contenttype/forms"/>
  </ds:schemaRefs>
</ds:datastoreItem>
</file>

<file path=customXml/itemProps2.xml><?xml version="1.0" encoding="utf-8"?>
<ds:datastoreItem xmlns:ds="http://schemas.openxmlformats.org/officeDocument/2006/customXml" ds:itemID="{0517E583-A9C4-423F-A7AF-8610951CC645}">
  <ds:schemaRefs>
    <ds:schemaRef ds:uri="8a3471f6-0f36-4ccf-b5ee-1ca67ea797ef"/>
    <ds:schemaRef ds:uri="http://schemas.microsoft.com/office/2006/documentManagement/types"/>
    <ds:schemaRef ds:uri="http://purl.org/dc/terms/"/>
    <ds:schemaRef ds:uri="http://www.w3.org/XML/1998/namespace"/>
    <ds:schemaRef ds:uri="http://purl.org/dc/dcmitype/"/>
    <ds:schemaRef ds:uri="http://schemas.microsoft.com/sharepoint/v3/fields"/>
    <ds:schemaRef ds:uri="http://schemas.openxmlformats.org/package/2006/metadata/core-properties"/>
    <ds:schemaRef ds:uri="http://purl.org/dc/elements/1.1/"/>
    <ds:schemaRef ds:uri="http://schemas.microsoft.com/office/infopath/2007/PartnerControls"/>
    <ds:schemaRef ds:uri="aec2565f-fa8c-45b6-95fc-3f27706042d7"/>
    <ds:schemaRef ds:uri="http://schemas.microsoft.com/office/2006/metadata/properties"/>
  </ds:schemaRefs>
</ds:datastoreItem>
</file>

<file path=customXml/itemProps3.xml><?xml version="1.0" encoding="utf-8"?>
<ds:datastoreItem xmlns:ds="http://schemas.openxmlformats.org/officeDocument/2006/customXml" ds:itemID="{F7632DDD-0360-4313-8FBA-99A8BAB5621B}">
  <ds:schemaRefs>
    <ds:schemaRef ds:uri="http://schemas.microsoft.com/sharepoint/events"/>
  </ds:schemaRefs>
</ds:datastoreItem>
</file>

<file path=customXml/itemProps4.xml><?xml version="1.0" encoding="utf-8"?>
<ds:datastoreItem xmlns:ds="http://schemas.openxmlformats.org/officeDocument/2006/customXml" ds:itemID="{4601C5E3-0D93-44F2-AD00-A75DE36E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9425B7-DE4B-494F-BB7C-E5BD44D3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1868</Words>
  <Characters>10277</Characters>
  <Application>Microsoft Office Word</Application>
  <DocSecurity>0</DocSecurity>
  <Lines>85</Lines>
  <Paragraphs>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Programme provisoire de la conférence à Budapest</vt:lpstr>
      <vt:lpstr>EU2020 Budapest 27-28 Nov Draft programme</vt:lpstr>
    </vt:vector>
  </TitlesOfParts>
  <Company>CESE-CdR</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provisoire de la conférence à Budapest</dc:title>
  <dc:subject>Documents d'information</dc:subject>
  <dc:creator>Jean-Pierre Faure</dc:creator>
  <cp:keywords>EESC-2017-05055-00-03-INFO-TRA-EN</cp:keywords>
  <dc:description>Rapporteur:  - Original language: EN - Date of document: 20/11/2017 - Date of meeting: 27/11/2017 - External documents:  - Administrator: Mme Dubiec Ludmila Monika</dc:description>
  <cp:lastModifiedBy>Anca Boatca</cp:lastModifiedBy>
  <cp:revision>4</cp:revision>
  <cp:lastPrinted>2017-11-15T15:24:00Z</cp:lastPrinted>
  <dcterms:created xsi:type="dcterms:W3CDTF">2017-12-14T15:49:00Z</dcterms:created>
  <dcterms:modified xsi:type="dcterms:W3CDTF">2017-12-14T15:59:00Z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17/11/2017, 26/10/2017, 25/10/2017, 25/10/2017</vt:lpwstr>
  </property>
  <property fmtid="{D5CDD505-2E9C-101B-9397-08002B2CF9AE}" pid="4" name="Pref_Time">
    <vt:lpwstr>15:10:53, 11:09:46, 17:18:51, 17:08:29</vt:lpwstr>
  </property>
  <property fmtid="{D5CDD505-2E9C-101B-9397-08002B2CF9AE}" pid="5" name="Pref_User">
    <vt:lpwstr>mkop, enied, mkop, ssex</vt:lpwstr>
  </property>
  <property fmtid="{D5CDD505-2E9C-101B-9397-08002B2CF9AE}" pid="6" name="Pref_FileName">
    <vt:lpwstr>EESC-2017-05055-00-03-INFO-ORI.docx, EESC-2017-05055-00-01-INFO-ORI.docx, EESC-2017-05055-00-00-INFO-TRA-EN-CRR.docx, EESC-2017-05055-00-00-INFO-CRR-EN.docx</vt:lpwstr>
  </property>
  <property fmtid="{D5CDD505-2E9C-101B-9397-08002B2CF9AE}" pid="7" name="ContentTypeId">
    <vt:lpwstr>0x010100EA97B91038054C99906057A708A1480A0098B203C585D2E54E8477D21D46703D0B</vt:lpwstr>
  </property>
  <property fmtid="{D5CDD505-2E9C-101B-9397-08002B2CF9AE}" pid="8" name="_dlc_DocIdItemGuid">
    <vt:lpwstr>9a8c18ea-a664-4ef5-a0ab-955dfe486b9c</vt:lpwstr>
  </property>
  <property fmtid="{D5CDD505-2E9C-101B-9397-08002B2CF9AE}" pid="9" name="MeetingNumber">
    <vt:i4>32</vt:i4>
  </property>
  <property fmtid="{D5CDD505-2E9C-101B-9397-08002B2CF9AE}" pid="10" name="DocumentType_0">
    <vt:lpwstr>INFO|d9136e7c-93a9-4c42-9d28-92b61e85f80c</vt:lpwstr>
  </property>
  <property fmtid="{D5CDD505-2E9C-101B-9397-08002B2CF9AE}" pid="11" name="AvailableTranslations">
    <vt:lpwstr>4;#EN|f2175f21-25d7-44a3-96da-d6a61b075e1b;#8;#FR|d2afafd3-4c81-4f60-8f52-ee33f2f54ff3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5055</vt:i4>
  </property>
  <property fmtid="{D5CDD505-2E9C-101B-9397-08002B2CF9AE}" pid="16" name="DocumentVersion">
    <vt:i4>3</vt:i4>
  </property>
  <property fmtid="{D5CDD505-2E9C-101B-9397-08002B2CF9AE}" pid="17"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Europe 2020 - Comite de pilotage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EU2020|0efd4cd5-54df-4969-b9f8-ac11177e941d</vt:lpwstr>
  </property>
  <property fmtid="{D5CDD505-2E9C-101B-9397-08002B2CF9AE}" pid="26" name="OriginalLanguage">
    <vt:lpwstr>4;#EN|f2175f21-25d7-44a3-96da-d6a61b075e1b</vt:lpwstr>
  </property>
  <property fmtid="{D5CDD505-2E9C-101B-9397-08002B2CF9AE}" pid="27" name="MeetingName">
    <vt:lpwstr>95;#EU2020|0efd4cd5-54df-4969-b9f8-ac11177e941d</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2017-11-27T12:00:00Z</vt:filetime>
  </property>
  <property fmtid="{D5CDD505-2E9C-101B-9397-08002B2CF9AE}" pid="31" name="TaxCatchAll">
    <vt:lpwstr>95;#EU2020|0efd4cd5-54df-4969-b9f8-ac11177e941d;#6;#Final|ea5e6674-7b27-4bac-b091-73adbb394efe;#5;#Unrestricted|826e22d7-d029-4ec0-a450-0c28ff673572;#4;#EN|f2175f21-25d7-44a3-96da-d6a61b075e1b;#3;#INFO|d9136e7c-93a9-4c42-9d28-92b61e85f80c;#2;#TRA|150d2a88</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12733</vt:i4>
  </property>
  <property fmtid="{D5CDD505-2E9C-101B-9397-08002B2CF9AE}" pid="36" name="DocumentYear">
    <vt:i4>2017</vt:i4>
  </property>
  <property fmtid="{D5CDD505-2E9C-101B-9397-08002B2CF9AE}" pid="37" name="DocumentLanguage">
    <vt:lpwstr>8;#FR|d2afafd3-4c81-4f60-8f52-ee33f2f54ff3</vt:lpwstr>
  </property>
</Properties>
</file>