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5" w:rsidRPr="00C3394F" w:rsidRDefault="007D0E35" w:rsidP="00EA79B5">
      <w:pPr>
        <w:spacing w:after="0" w:line="288" w:lineRule="auto"/>
        <w:rPr>
          <w:rFonts w:ascii="Times New Roman" w:hAnsi="Times New Roman" w:cs="Times New Roman"/>
        </w:rPr>
      </w:pPr>
      <w:bookmarkStart w:id="0" w:name="_GoBack"/>
      <w:bookmarkEnd w:id="0"/>
      <w:r>
        <w:rPr>
          <w:noProof/>
          <w:lang w:val="fr-BE" w:eastAsia="fr-BE"/>
        </w:rPr>
        <w:drawing>
          <wp:inline distT="0" distB="0" distL="0" distR="0" wp14:anchorId="5BA7D4F7" wp14:editId="5F03E75C">
            <wp:extent cx="5745375" cy="15551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497" cy="1564892"/>
                    </a:xfrm>
                    <a:prstGeom prst="rect">
                      <a:avLst/>
                    </a:prstGeom>
                  </pic:spPr>
                </pic:pic>
              </a:graphicData>
            </a:graphic>
          </wp:inline>
        </w:drawing>
      </w:r>
      <w:r>
        <w:rPr>
          <w:rFonts w:ascii="Times New Roman" w:hAnsi="Times New Roman"/>
          <w:noProof/>
          <w:lang w:val="fr-BE" w:eastAsia="fr-BE"/>
        </w:rPr>
        <mc:AlternateContent>
          <mc:Choice Requires="wps">
            <w:drawing>
              <wp:anchor distT="0" distB="0" distL="114300" distR="114300" simplePos="0" relativeHeight="251660288" behindDoc="1" locked="0" layoutInCell="0" allowOverlap="1" wp14:anchorId="48C1079E" wp14:editId="304E1F5A">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B5" w:rsidRPr="00EB31FE" w:rsidRDefault="00EB31FE" w:rsidP="00EA79B5">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8C1079E">
                <v:stroke joinstyle="miter"/>
                <v:path gradientshapeok="t" o:connecttype="rect"/>
              </v:shapetype>
              <v:shape id="Text Box 20" style="position:absolute;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Pr="00EB31FE" w:rsidR="00EA79B5" w:rsidP="00EA79B5" w:rsidRDefault="00EB31FE">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00EA79B5" w:rsidRPr="00C3394F" w:rsidRDefault="00EA79B5" w:rsidP="00EA79B5">
      <w:pPr>
        <w:spacing w:after="0" w:line="288" w:lineRule="auto"/>
        <w:jc w:val="center"/>
        <w:rPr>
          <w:rFonts w:ascii="Times New Roman" w:hAnsi="Times New Roman" w:cs="Times New Roman"/>
          <w:lang w:val="fr-BE"/>
        </w:rPr>
      </w:pPr>
    </w:p>
    <w:p w:rsidR="00EA79B5" w:rsidRPr="00C3394F" w:rsidRDefault="00EA79B5" w:rsidP="00EA79B5">
      <w:pPr>
        <w:spacing w:after="0" w:line="288" w:lineRule="auto"/>
        <w:jc w:val="center"/>
        <w:rPr>
          <w:rFonts w:ascii="Times New Roman" w:hAnsi="Times New Roman" w:cs="Times New Roman"/>
          <w:lang w:val="fr-BE"/>
        </w:rPr>
      </w:pPr>
    </w:p>
    <w:p w:rsidR="007E000B" w:rsidRPr="002645D0" w:rsidRDefault="007E000B" w:rsidP="007E000B">
      <w:pPr>
        <w:spacing w:after="0" w:line="288" w:lineRule="auto"/>
        <w:jc w:val="center"/>
        <w:rPr>
          <w:rFonts w:ascii="Times New Roman" w:hAnsi="Times New Roman" w:cs="Times New Roman"/>
          <w:b/>
        </w:rPr>
      </w:pPr>
      <w:r>
        <w:rPr>
          <w:rFonts w:ascii="Times New Roman" w:hAnsi="Times New Roman"/>
          <w:b/>
        </w:rPr>
        <w:t>Годишна среща на председателите и генералните секретари</w:t>
      </w:r>
      <w:r>
        <w:rPr>
          <w:rFonts w:ascii="Times New Roman" w:hAnsi="Times New Roman"/>
          <w:b/>
        </w:rPr>
        <w:br/>
        <w:t>на ЕИСК и икономическите и социалните съвети от ЕС</w:t>
      </w:r>
    </w:p>
    <w:p w:rsidR="007E000B" w:rsidRPr="002645D0" w:rsidRDefault="007D0E35" w:rsidP="007E000B">
      <w:pPr>
        <w:spacing w:after="0" w:line="288" w:lineRule="auto"/>
        <w:jc w:val="center"/>
        <w:rPr>
          <w:rFonts w:ascii="Times New Roman" w:hAnsi="Times New Roman" w:cs="Times New Roman"/>
          <w:b/>
        </w:rPr>
      </w:pPr>
      <w:r>
        <w:rPr>
          <w:rFonts w:ascii="Times New Roman" w:hAnsi="Times New Roman"/>
          <w:b/>
        </w:rPr>
        <w:t>Париж, 22—23 ноември 2021 г.</w:t>
      </w:r>
    </w:p>
    <w:p w:rsidR="00EA79B5" w:rsidRPr="002645D0" w:rsidRDefault="00EA79B5" w:rsidP="007E000B">
      <w:pPr>
        <w:spacing w:after="0" w:line="288" w:lineRule="auto"/>
        <w:jc w:val="center"/>
        <w:rPr>
          <w:rFonts w:ascii="Times New Roman" w:hAnsi="Times New Roman" w:cs="Times New Roman"/>
          <w:b/>
          <w:lang w:val="en-US"/>
        </w:rPr>
      </w:pPr>
    </w:p>
    <w:p w:rsidR="00EA79B5" w:rsidRPr="001C28D1" w:rsidRDefault="00EA79B5" w:rsidP="00EA79B5">
      <w:pPr>
        <w:spacing w:after="0" w:line="288" w:lineRule="auto"/>
        <w:jc w:val="center"/>
        <w:rPr>
          <w:rFonts w:ascii="Times New Roman" w:hAnsi="Times New Roman" w:cs="Times New Roman"/>
          <w:i/>
          <w:color w:val="000099"/>
          <w:lang w:val="en-US"/>
        </w:rPr>
      </w:pPr>
    </w:p>
    <w:p w:rsidR="00824453" w:rsidRPr="001C28D1" w:rsidRDefault="007E000B" w:rsidP="007E000B">
      <w:pPr>
        <w:spacing w:after="0" w:line="288" w:lineRule="auto"/>
        <w:jc w:val="center"/>
        <w:rPr>
          <w:rFonts w:ascii="Times New Roman" w:hAnsi="Times New Roman" w:cs="Times New Roman"/>
          <w:b/>
          <w:color w:val="000099"/>
        </w:rPr>
      </w:pPr>
      <w:r>
        <w:rPr>
          <w:rFonts w:ascii="Times New Roman" w:hAnsi="Times New Roman"/>
          <w:b/>
          <w:color w:val="000099"/>
        </w:rPr>
        <w:t>Демокрацията на участието и нейната роля за изграждането на устойчивост на ЕС и адаптирането му към бъдещето</w:t>
      </w:r>
    </w:p>
    <w:p w:rsidR="00824453" w:rsidRPr="001C28D1" w:rsidRDefault="00824453" w:rsidP="007E000B">
      <w:pPr>
        <w:spacing w:after="0" w:line="288" w:lineRule="auto"/>
        <w:jc w:val="center"/>
        <w:rPr>
          <w:rFonts w:ascii="Times New Roman" w:hAnsi="Times New Roman" w:cs="Times New Roman"/>
          <w:b/>
          <w:color w:val="000099"/>
        </w:rPr>
      </w:pPr>
      <w:r>
        <w:rPr>
          <w:rFonts w:ascii="Times New Roman" w:hAnsi="Times New Roman"/>
          <w:b/>
          <w:color w:val="000099"/>
        </w:rPr>
        <w:t>Принос на Европейския икономически и социален комитет и националните икономически и социални съвети за Конференцията за бъдещето на Европа</w:t>
      </w: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shd w:val="clear" w:color="auto" w:fill="FFFFFF"/>
        </w:rPr>
        <w:t>ЗАКЛЮЧЕНИЯ</w:t>
      </w: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2854C4" w:rsidRPr="002645D0" w:rsidRDefault="002854C4" w:rsidP="00EA79B5">
      <w:pPr>
        <w:spacing w:after="0" w:line="288" w:lineRule="auto"/>
        <w:jc w:val="both"/>
        <w:rPr>
          <w:rFonts w:ascii="Times New Roman" w:hAnsi="Times New Roman" w:cs="Times New Roman"/>
          <w:b/>
          <w:bCs/>
          <w:i/>
          <w:i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Председателите и генералните секретари на Европейския икономически и социален комитет (ЕИСК) и националните икономически и социални съвети (ИСС) от ЕС проведоха среща на 22 и 23 ноември 2021 г. в Париж.</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След задълбочен и ползотворен дебат те представят следните заключения, които отразяват пълната подкрепа за една амбициозна Конференция за бъдещето на Европа, която ще даде осезаеми резултати, за да направим Европейския съюз по-силен и по-адаптиран към бъдещето, и да го приближим към неговите граждани. За да се постигне това, ЕС трябва да се вслуша и да предприеме действия в отговор на посланията и предложенията на европейското и националното организирано гражданско общество.</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EA79B5" w:rsidRDefault="00EA79B5"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3A15CF" w:rsidRPr="001C28D1" w:rsidRDefault="001C28D1" w:rsidP="00EA79B5">
      <w:pPr>
        <w:spacing w:after="0" w:line="288" w:lineRule="auto"/>
        <w:jc w:val="both"/>
        <w:rPr>
          <w:rFonts w:ascii="Times New Roman" w:hAnsi="Times New Roman" w:cs="Times New Roman"/>
          <w:b/>
          <w:bCs/>
          <w:i/>
          <w:iCs/>
          <w:color w:val="000099"/>
          <w:sz w:val="28"/>
          <w:szCs w:val="28"/>
          <w:shd w:val="clear" w:color="auto" w:fill="FFFFFF"/>
        </w:rPr>
      </w:pPr>
      <w:r>
        <w:rPr>
          <w:rFonts w:ascii="Times New Roman" w:hAnsi="Times New Roman"/>
          <w:b/>
          <w:color w:val="000099"/>
          <w:sz w:val="28"/>
        </w:rPr>
        <w:lastRenderedPageBreak/>
        <w:t>Общ преглед</w:t>
      </w:r>
    </w:p>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C28D1" w:rsidTr="001C28D1">
        <w:tc>
          <w:tcPr>
            <w:tcW w:w="9062" w:type="dxa"/>
            <w:shd w:val="clear" w:color="auto" w:fill="BDD6EE" w:themeFill="accent1" w:themeFillTint="66"/>
            <w:tcMar>
              <w:top w:w="113" w:type="dxa"/>
              <w:bottom w:w="113" w:type="dxa"/>
            </w:tcMar>
            <w:vAlign w:val="center"/>
          </w:tcPr>
          <w:p w:rsidR="001C28D1" w:rsidRPr="001C28D1" w:rsidRDefault="001C28D1" w:rsidP="001C28D1">
            <w:pPr>
              <w:pStyle w:val="ListParagraph"/>
              <w:numPr>
                <w:ilvl w:val="0"/>
                <w:numId w:val="8"/>
              </w:numPr>
              <w:rPr>
                <w:b/>
                <w:bCs/>
                <w:i/>
                <w:iCs/>
                <w:shd w:val="clear" w:color="auto" w:fill="FFFFFF"/>
              </w:rPr>
            </w:pPr>
            <w:r>
              <w:t xml:space="preserve">Европейският икономически и социален комитет (ЕИСК) и националните икономически и социални съвети (ИСС) приемат излизането от пандемията като възможност </w:t>
            </w:r>
            <w:r>
              <w:rPr>
                <w:b/>
              </w:rPr>
              <w:t>да продължим напред и да подобрим нашите общества</w:t>
            </w:r>
            <w:r>
              <w:t xml:space="preserve">, за да създадем по-силен Европейски съюз, който насърчава възходящо сближаване, по-голяма сплотеност и солидарност, гаранция за засилена идентичност на европейския гражданин. </w:t>
            </w:r>
            <w:r>
              <w:rPr>
                <w:b/>
              </w:rPr>
              <w:t>Тази визия за Европа съчетава устойчив просперитет, социална справедливост, приобщаване и справедлив екологичен и цифров преход, като същевременно насърчава зачитането на основните права и върховенството на закона.</w:t>
            </w:r>
          </w:p>
        </w:tc>
      </w:tr>
    </w:tbl>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pPr>
            <w:r>
              <w:t xml:space="preserve">За постигането на това Европейският съюз може да разчита на </w:t>
            </w:r>
            <w:r>
              <w:rPr>
                <w:b/>
              </w:rPr>
              <w:t>ключови предимства</w:t>
            </w:r>
            <w:r>
              <w:t xml:space="preserve"> като </w:t>
            </w:r>
            <w:r>
              <w:rPr>
                <w:b/>
              </w:rPr>
              <w:t>големия си вътрешен пазар, стабилната си промишлена база, ролята си на международната икономическа сцена, процъфтяващото гражданско общество и безпрецедентната солидарност</w:t>
            </w:r>
            <w:r>
              <w:t xml:space="preserve">, демонстрирана с приемането на новия инструмент за възстановяване </w:t>
            </w:r>
            <w:r>
              <w:rPr>
                <w:b/>
              </w:rPr>
              <w:t>NextGenerationEU</w:t>
            </w:r>
            <w:r>
              <w:t>. ЕИСК и националните ИСС подчертават значението на включването по конкретен начин на организираното гражданско общество в изпълнението и оценката на националните планове за възстановяване и устойчивост. Те настояват, че социалното измерение трябва да бъде поставено в центъра на техните политики и по-специално на развитието на Европа на здравето във всичките му измерения.</w:t>
            </w:r>
          </w:p>
          <w:p w:rsidR="00975673" w:rsidRPr="00975673" w:rsidRDefault="00975673" w:rsidP="00975673">
            <w:pPr>
              <w:pStyle w:val="ListParagraph"/>
              <w:ind w:left="360"/>
              <w:rPr>
                <w:lang w:val="en-US"/>
              </w:rPr>
            </w:pPr>
          </w:p>
          <w:p w:rsidR="00975673" w:rsidRDefault="00975673" w:rsidP="00975673">
            <w:pPr>
              <w:spacing w:line="288" w:lineRule="auto"/>
              <w:ind w:left="360"/>
              <w:jc w:val="both"/>
            </w:pPr>
            <w:r>
              <w:rPr>
                <w:rFonts w:ascii="Times New Roman" w:hAnsi="Times New Roman"/>
                <w:b/>
              </w:rPr>
              <w:t>Европейският зелен пакт</w:t>
            </w:r>
            <w:r>
              <w:rPr>
                <w:rFonts w:ascii="Times New Roman" w:hAnsi="Times New Roman"/>
              </w:rPr>
              <w:t xml:space="preserve">, чиято цел е да се постигне въглеродна неутралност до 2050 г., е новата европейска стратегия за растеж, в основата на която са просперитетът, устойчивостта и социалната справедливост. В контекста на </w:t>
            </w:r>
            <w:r>
              <w:rPr>
                <w:rFonts w:ascii="Times New Roman" w:hAnsi="Times New Roman"/>
                <w:b/>
              </w:rPr>
              <w:t>цифровия преход</w:t>
            </w:r>
            <w:r>
              <w:rPr>
                <w:rFonts w:ascii="Times New Roman" w:hAnsi="Times New Roman"/>
              </w:rPr>
              <w:t xml:space="preserve"> става дума и за предоставяне на възможности на хората и предприятията да се ангажират с ориентирано към хората, устойчиво и по-проспериращо цифрово бъдеще. </w:t>
            </w:r>
            <w:r>
              <w:rPr>
                <w:rFonts w:ascii="Times New Roman" w:hAnsi="Times New Roman"/>
                <w:b/>
              </w:rPr>
              <w:t>Двадесетте принципа на Европейския стълб на социалните права</w:t>
            </w:r>
            <w:r>
              <w:rPr>
                <w:rFonts w:ascii="Times New Roman" w:hAnsi="Times New Roman"/>
              </w:rPr>
              <w:t xml:space="preserve"> са маякът, който ни насочва към социална Европа, която е приобщаваща и пълна с възможности.</w:t>
            </w:r>
          </w:p>
        </w:tc>
      </w:tr>
    </w:tbl>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spacing w:line="276" w:lineRule="auto"/>
              <w:rPr>
                <w:b/>
                <w:bCs/>
              </w:rPr>
            </w:pPr>
            <w:r>
              <w:t xml:space="preserve">Във време, когато Европейският съюз трябва да се възроди и подготви за бъдещето, </w:t>
            </w:r>
            <w:r>
              <w:rPr>
                <w:b/>
              </w:rPr>
              <w:t>социалните партньори и организациите на гражданското общество, както и ЕИСК и ИСС на държавите членки, са ключови участници</w:t>
            </w:r>
            <w:r>
              <w:t>.</w:t>
            </w:r>
          </w:p>
          <w:p w:rsidR="00975673" w:rsidRPr="00975673" w:rsidRDefault="00975673" w:rsidP="00975673">
            <w:pPr>
              <w:pStyle w:val="ListParagraph"/>
              <w:spacing w:line="276" w:lineRule="auto"/>
              <w:ind w:left="360"/>
              <w:rPr>
                <w:lang w:val="en-US"/>
              </w:rPr>
            </w:pPr>
          </w:p>
          <w:p w:rsid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ЕИСК и ИСС на държавите — членки на ЕС, потвърждават </w:t>
            </w:r>
            <w:r>
              <w:rPr>
                <w:rFonts w:ascii="Times New Roman" w:hAnsi="Times New Roman"/>
                <w:b/>
              </w:rPr>
              <w:t>желанието си да участват активно в процесите на изготвяне, формулиране и изпълнение на текущите реформи</w:t>
            </w:r>
            <w:r>
              <w:rPr>
                <w:rFonts w:ascii="Times New Roman" w:hAnsi="Times New Roman"/>
              </w:rPr>
              <w:t xml:space="preserve">, за да се гарантира, че политиките отговарят напълно на нуждите и очакванията на гражданите, и да се създаде засилено усещане за обща ангажираност. Те подчертават необходимостта от укрепване на публичните политики в полза на най-уязвимите и необходимостта от европейско сближаване в политиките за младежта. ЕИСК и националните ИСС имат задълбочени познания в тази област и са уникални постоянни форуми за граждански диалог, като имат предимството да предлагат </w:t>
            </w:r>
            <w:r>
              <w:rPr>
                <w:rFonts w:ascii="Times New Roman" w:hAnsi="Times New Roman"/>
                <w:b/>
              </w:rPr>
              <w:t>решения, основани на консенсус</w:t>
            </w:r>
            <w:r>
              <w:rPr>
                <w:rFonts w:ascii="Times New Roman" w:hAnsi="Times New Roman"/>
              </w:rPr>
              <w:t xml:space="preserve"> между различните заинтересовани страни.</w:t>
            </w:r>
            <w:r>
              <w:rPr>
                <w:rFonts w:ascii="Times New Roman" w:hAnsi="Times New Roman"/>
                <w:b/>
              </w:rPr>
              <w:t xml:space="preserve">  </w:t>
            </w:r>
          </w:p>
        </w:tc>
      </w:tr>
    </w:tbl>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Default="00975673" w:rsidP="00975673">
            <w:pPr>
              <w:pStyle w:val="ListParagraph"/>
              <w:numPr>
                <w:ilvl w:val="0"/>
                <w:numId w:val="8"/>
              </w:numPr>
              <w:spacing w:line="276" w:lineRule="auto"/>
            </w:pPr>
            <w:r>
              <w:lastRenderedPageBreak/>
              <w:t xml:space="preserve">ЕИСК и националните ИСС считат, че </w:t>
            </w:r>
            <w:r>
              <w:rPr>
                <w:b/>
              </w:rPr>
              <w:t>Конференцията за бъдещето на Европа е историческа възможност</w:t>
            </w:r>
            <w:r>
              <w:t xml:space="preserve"> за създаване на динамика за възобновяване на проекта за европейска интеграция и за развитие на демокрацията на участието. Според тях Конференцията трябва да постави европейците в центъра на вниманието, да гарантира участието в дебатите на гражданите и организациите на гражданското общество в 27-те държави — членки на ЕС, и да постигне конкретни, видими и измерими резултати.</w:t>
            </w:r>
          </w:p>
          <w:p w:rsidR="00975673" w:rsidRPr="00983B86" w:rsidRDefault="00975673" w:rsidP="00975673">
            <w:pPr>
              <w:pStyle w:val="ListParagraph"/>
              <w:spacing w:after="240" w:line="360" w:lineRule="auto"/>
              <w:ind w:left="360"/>
              <w:rPr>
                <w:lang w:val="en-US"/>
              </w:rPr>
            </w:pPr>
          </w:p>
          <w:p w:rsidR="00975673" w:rsidRPr="003240E1" w:rsidRDefault="00975673" w:rsidP="00975673">
            <w:pPr>
              <w:pStyle w:val="ListParagraph"/>
              <w:spacing w:line="276" w:lineRule="auto"/>
              <w:ind w:left="360"/>
              <w:rPr>
                <w:spacing w:val="-2"/>
              </w:rPr>
            </w:pPr>
            <w:r>
              <w:t xml:space="preserve">Конференцията трябва да се основава на </w:t>
            </w:r>
            <w:r>
              <w:rPr>
                <w:b/>
              </w:rPr>
              <w:t>прозрачен процес от долу нагоре и да постига осезаеми резултати</w:t>
            </w:r>
            <w:r>
              <w:t xml:space="preserve">. За да се гарантира прозрачност и отчетност, ще бъде разработено онлайн </w:t>
            </w:r>
            <w:r>
              <w:rPr>
                <w:b/>
              </w:rPr>
              <w:t>информационно табло</w:t>
            </w:r>
            <w:r>
              <w:t>, с помощта на което гражданите да се информират как институциите на ЕС предприемат действия във връзка с техните искания, дали в резултат от Конференцията за бъдещето на Европа се предприемат мерки за реформа и какви са сроковете за прилагане на тези мерки. Ако по някои идеи не се предприемат действия, мотивите за това трябва да бъдат обяснени.</w:t>
            </w:r>
          </w:p>
          <w:p w:rsidR="00975673" w:rsidRPr="0065623F" w:rsidRDefault="00975673" w:rsidP="00975673">
            <w:pPr>
              <w:pStyle w:val="ListParagraph"/>
              <w:spacing w:line="276" w:lineRule="auto"/>
              <w:ind w:left="360"/>
              <w:rPr>
                <w:lang w:val="en-US"/>
              </w:rPr>
            </w:pPr>
          </w:p>
          <w:p w:rsidR="00975673" w:rsidRP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Благодарение на своите членове и мрежи ЕИСК и националните ИСС са особено добре подготвени </w:t>
            </w:r>
            <w:r>
              <w:rPr>
                <w:rFonts w:ascii="Times New Roman" w:hAnsi="Times New Roman"/>
                <w:b/>
              </w:rPr>
              <w:t>да осъществяват връзка с гражданите</w:t>
            </w:r>
            <w:r>
              <w:rPr>
                <w:rFonts w:ascii="Times New Roman" w:hAnsi="Times New Roman"/>
              </w:rPr>
              <w:t xml:space="preserve"> и да представят техните предложения на вниманието на ръководните органи на Конференцията. Сега е важно да се премине от обща визия към конкретни действия от страна на европейското организирано гражданско общество, което е от ключово значение за доверието в бъдещето на ЕС.</w:t>
            </w:r>
          </w:p>
        </w:tc>
      </w:tr>
    </w:tbl>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7366DC" w:rsidRPr="007D0E35" w:rsidRDefault="007366DC" w:rsidP="007366DC">
      <w:pPr>
        <w:pStyle w:val="ListParagraph"/>
        <w:numPr>
          <w:ilvl w:val="0"/>
          <w:numId w:val="1"/>
        </w:numPr>
        <w:spacing w:line="276" w:lineRule="auto"/>
        <w:rPr>
          <w:b/>
          <w:bCs/>
          <w:smallCaps/>
          <w:color w:val="000099"/>
          <w:u w:val="single"/>
        </w:rPr>
      </w:pPr>
      <w:r>
        <w:rPr>
          <w:b/>
          <w:smallCaps/>
          <w:color w:val="000099"/>
          <w:u w:val="single"/>
        </w:rPr>
        <w:t>Европа на утрешния ден: визията на ЕИСК и националните ИСС</w:t>
      </w:r>
    </w:p>
    <w:p w:rsidR="007366DC" w:rsidRPr="002645D0" w:rsidRDefault="007366DC"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При възстановяването ще трябва да се обърне внимание на последиците от пандемията, както и на </w:t>
      </w:r>
      <w:r>
        <w:rPr>
          <w:rFonts w:ascii="Times New Roman" w:hAnsi="Times New Roman"/>
          <w:b/>
        </w:rPr>
        <w:t>предизвикателствата и трансформациите</w:t>
      </w:r>
      <w:r>
        <w:rPr>
          <w:rFonts w:ascii="Times New Roman" w:hAnsi="Times New Roman"/>
        </w:rPr>
        <w:t>, пред които сме изправени, като например двойния технологичен и екологичен преход, демографското застаряване и глобализацията.</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b/>
          <w:bCs/>
        </w:rPr>
      </w:pPr>
      <w:r>
        <w:rPr>
          <w:rFonts w:ascii="Times New Roman" w:hAnsi="Times New Roman"/>
        </w:rPr>
        <w:t xml:space="preserve">Не можем просто да възстановим положението отпреди кризата: трябва </w:t>
      </w:r>
      <w:r>
        <w:rPr>
          <w:rFonts w:ascii="Times New Roman" w:hAnsi="Times New Roman"/>
          <w:b/>
        </w:rPr>
        <w:t>да продължим напред</w:t>
      </w:r>
      <w:r>
        <w:rPr>
          <w:rFonts w:ascii="Times New Roman" w:hAnsi="Times New Roman"/>
        </w:rPr>
        <w:t xml:space="preserve">, да преструктурираме и подобрим нашите общества. Нашите усилия трябва да бъдат насочени към създаването на по-силен Европейски съюз, който насърчава </w:t>
      </w:r>
      <w:r>
        <w:rPr>
          <w:rFonts w:ascii="Times New Roman" w:hAnsi="Times New Roman"/>
          <w:b/>
        </w:rPr>
        <w:t>възходящо сближаване и по-голяма сплотеност и солидарност</w:t>
      </w:r>
      <w:r>
        <w:rPr>
          <w:rFonts w:ascii="Times New Roman" w:hAnsi="Times New Roman"/>
        </w:rPr>
        <w:t xml:space="preserve">. Тази визия за Европа съчетава </w:t>
      </w:r>
      <w:r>
        <w:rPr>
          <w:rFonts w:ascii="Times New Roman" w:hAnsi="Times New Roman"/>
          <w:b/>
        </w:rPr>
        <w:t>устойчив просперитет, социална справедливост, приобщаване и справедлив екологичен и цифров преход, като същевременно насърчава зачитането на основните права и върховенството на закона</w:t>
      </w:r>
      <w:r>
        <w:rPr>
          <w:rFonts w:ascii="Times New Roman" w:hAnsi="Times New Roman"/>
        </w:rPr>
        <w:t>.</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За тази цел държавите членки следва да подкрепят </w:t>
      </w:r>
      <w:r>
        <w:rPr>
          <w:rFonts w:ascii="Times New Roman" w:hAnsi="Times New Roman"/>
          <w:b/>
        </w:rPr>
        <w:t>конкурентоспособността</w:t>
      </w:r>
      <w:r>
        <w:rPr>
          <w:rFonts w:ascii="Times New Roman" w:hAnsi="Times New Roman"/>
        </w:rPr>
        <w:t xml:space="preserve"> на европейската икономика и предприятията от всякакъв размер и форми, по-специално МСП и социалната икономика, както и </w:t>
      </w:r>
      <w:r>
        <w:rPr>
          <w:rFonts w:ascii="Times New Roman" w:hAnsi="Times New Roman"/>
          <w:b/>
        </w:rPr>
        <w:t>предприемачеството</w:t>
      </w:r>
      <w:r>
        <w:rPr>
          <w:rFonts w:ascii="Times New Roman" w:hAnsi="Times New Roman"/>
        </w:rPr>
        <w:t>, което следва да допринесе и за създаването на качествени работни места.</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В същото време Европа се нуждае от </w:t>
      </w:r>
      <w:r>
        <w:rPr>
          <w:rFonts w:ascii="Times New Roman" w:hAnsi="Times New Roman"/>
          <w:b/>
        </w:rPr>
        <w:t>социален подход, при който никой няма да бъде изоставен и който се бори с бедността</w:t>
      </w:r>
      <w:r>
        <w:rPr>
          <w:rFonts w:ascii="Times New Roman" w:hAnsi="Times New Roman"/>
        </w:rPr>
        <w:t>. За целта се нуждаем от увеличени инфраструктурни и социални инвестиции, включително в областта на социалната закрила и в подкрепа на иновациите и адаптираните към бъдещето умения.</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rPr>
      </w:pPr>
      <w:r>
        <w:rPr>
          <w:rFonts w:ascii="Times New Roman" w:hAnsi="Times New Roman"/>
        </w:rPr>
        <w:lastRenderedPageBreak/>
        <w:t xml:space="preserve">По-специално трябва да </w:t>
      </w:r>
      <w:r>
        <w:rPr>
          <w:rFonts w:ascii="Times New Roman" w:hAnsi="Times New Roman"/>
          <w:b/>
        </w:rPr>
        <w:t>защитим най-уязвимите хора в нашите общества</w:t>
      </w:r>
      <w:r>
        <w:rPr>
          <w:rFonts w:ascii="Times New Roman" w:hAnsi="Times New Roman"/>
        </w:rPr>
        <w:t>, които са били засегнати особено силно от кризата с коронавируса (като хората с увреждания и хората от мигрантски или етнически малцинствен произход). В духа на равнопоставеност между поколенията трябва да се обърне специално внимание на младите хора, които заслужават по-светло бъдеще. ЕИСК и националните ИСС приветстват вниманието, отделено на младите хора от Конференцията за бъдещето на Европа, и факта, че 2022 г. е обявена за Европейска година на младежта.</w:t>
      </w:r>
    </w:p>
    <w:p w:rsidR="00EA79B5" w:rsidRPr="002645D0" w:rsidRDefault="00EA79B5" w:rsidP="00EA79B5">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color w:val="424242"/>
          <w:shd w:val="clear" w:color="auto" w:fill="FFFFFF"/>
        </w:rPr>
      </w:pPr>
      <w:r>
        <w:rPr>
          <w:rFonts w:ascii="Times New Roman" w:hAnsi="Times New Roman"/>
          <w:color w:val="424242"/>
          <w:shd w:val="clear" w:color="auto" w:fill="FFFFFF"/>
        </w:rPr>
        <w:t xml:space="preserve">От съществено значение ще бъде укрепването на </w:t>
      </w:r>
      <w:r>
        <w:rPr>
          <w:rFonts w:ascii="Times New Roman" w:hAnsi="Times New Roman"/>
          <w:b/>
          <w:color w:val="424242"/>
          <w:shd w:val="clear" w:color="auto" w:fill="FFFFFF"/>
        </w:rPr>
        <w:t>здравните системи</w:t>
      </w:r>
      <w:r>
        <w:rPr>
          <w:rFonts w:ascii="Times New Roman" w:hAnsi="Times New Roman"/>
          <w:color w:val="424242"/>
          <w:shd w:val="clear" w:color="auto" w:fill="FFFFFF"/>
        </w:rPr>
        <w:t xml:space="preserve"> на държавите членки, по-нататъшното подобряване на здравната координация в целия ЕС и по-ефективното предотвратяване на трансграничните заплахи за здравето. ЕС следва да демонстрира амбиция по отношение на Европейския здравен съюз и Европейския орган за готовност и реакция при извънредни здравни ситуации (HERA). </w:t>
      </w:r>
    </w:p>
    <w:p w:rsidR="00456709" w:rsidRPr="001216E0" w:rsidRDefault="00456709" w:rsidP="00456709">
      <w:pPr>
        <w:spacing w:after="0" w:line="276" w:lineRule="auto"/>
        <w:jc w:val="both"/>
        <w:rPr>
          <w:rFonts w:ascii="Times New Roman" w:hAnsi="Times New Roman" w:cs="Times New Roman"/>
        </w:rPr>
      </w:pPr>
    </w:p>
    <w:p w:rsidR="00456709" w:rsidRPr="001216E0" w:rsidRDefault="00456709" w:rsidP="00456709">
      <w:pPr>
        <w:spacing w:after="0" w:line="276" w:lineRule="auto"/>
        <w:jc w:val="both"/>
        <w:rPr>
          <w:rFonts w:ascii="Times New Roman" w:hAnsi="Times New Roman" w:cs="Times New Roman"/>
        </w:rPr>
      </w:pPr>
      <w:r>
        <w:rPr>
          <w:rFonts w:ascii="Times New Roman" w:hAnsi="Times New Roman"/>
        </w:rPr>
        <w:t>ЕИСК и националните ИСС също така потвърждават спешната необходимост от предприемане на действия във връзка с кризата в областта на климата, причинена от човешката дейност и недвусмислено засягаща всяко кътче от земята, въздуха и моретата на планетата, с цел постигане на въглеродна неутралност до 2050 г. Икономиката на благосъстоянието следва да защитава екосистемите, да опазва биологичното разнообразие, да доведе до справедлив преход към неутрален по отношение на климата начин на живот в целия ЕС и да насърчава устойчивото предприемачество.</w:t>
      </w:r>
    </w:p>
    <w:p w:rsidR="00456709" w:rsidRPr="001216E0" w:rsidRDefault="00456709" w:rsidP="00456709">
      <w:pPr>
        <w:spacing w:after="0" w:line="276" w:lineRule="auto"/>
        <w:jc w:val="both"/>
        <w:rPr>
          <w:rFonts w:ascii="Times New Roman" w:hAnsi="Times New Roman" w:cs="Times New Roman"/>
        </w:rPr>
      </w:pPr>
    </w:p>
    <w:p w:rsidR="00456709" w:rsidRPr="002645D0" w:rsidRDefault="00456709" w:rsidP="00EA79B5">
      <w:pPr>
        <w:spacing w:after="0" w:line="276" w:lineRule="auto"/>
        <w:jc w:val="both"/>
        <w:rPr>
          <w:rFonts w:ascii="Times New Roman" w:hAnsi="Times New Roman" w:cs="Times New Roman"/>
        </w:rPr>
      </w:pPr>
      <w:r>
        <w:rPr>
          <w:rFonts w:ascii="Times New Roman" w:hAnsi="Times New Roman"/>
        </w:rPr>
        <w:t xml:space="preserve">Не на последно място, Европейският съюз трябва да защитава </w:t>
      </w:r>
      <w:r>
        <w:rPr>
          <w:rFonts w:ascii="Times New Roman" w:hAnsi="Times New Roman"/>
          <w:b/>
        </w:rPr>
        <w:t>равенството между половете, многообразието, мира, основните права, върховенството на закона, демокрацията, социалния диалог и приобщаващото управление</w:t>
      </w:r>
      <w:r>
        <w:rPr>
          <w:rFonts w:ascii="Times New Roman" w:hAnsi="Times New Roman"/>
        </w:rPr>
        <w:t>.</w:t>
      </w:r>
    </w:p>
    <w:p w:rsidR="007D0E35" w:rsidRPr="002645D0" w:rsidRDefault="007D0E35" w:rsidP="00EA79B5">
      <w:pPr>
        <w:spacing w:after="0" w:line="276" w:lineRule="auto"/>
        <w:rPr>
          <w:rFonts w:ascii="Times New Roman" w:hAnsi="Times New Roman" w:cs="Times New Roman"/>
          <w:lang w:val="en-US"/>
        </w:rPr>
      </w:pPr>
    </w:p>
    <w:p w:rsidR="00EA79B5" w:rsidRPr="007D0E35" w:rsidRDefault="00456709" w:rsidP="00CA21FC">
      <w:pPr>
        <w:pStyle w:val="ListParagraph"/>
        <w:numPr>
          <w:ilvl w:val="0"/>
          <w:numId w:val="1"/>
        </w:numPr>
        <w:spacing w:line="276" w:lineRule="auto"/>
        <w:rPr>
          <w:b/>
          <w:bCs/>
          <w:smallCaps/>
          <w:color w:val="000099"/>
          <w:u w:val="single"/>
        </w:rPr>
      </w:pPr>
      <w:r>
        <w:rPr>
          <w:b/>
          <w:smallCaps/>
          <w:color w:val="000099"/>
          <w:u w:val="single"/>
        </w:rPr>
        <w:t xml:space="preserve">Използване на нашите предимства като основа за постигането на общата ни визия </w:t>
      </w:r>
    </w:p>
    <w:p w:rsidR="00456709" w:rsidRPr="002645D0" w:rsidRDefault="00456709" w:rsidP="00456709">
      <w:pPr>
        <w:pStyle w:val="ListParagraph"/>
        <w:spacing w:line="276" w:lineRule="auto"/>
        <w:ind w:left="360"/>
        <w:rPr>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Европейският съюз може да разчита на </w:t>
      </w:r>
      <w:r>
        <w:rPr>
          <w:rFonts w:ascii="Times New Roman" w:hAnsi="Times New Roman"/>
          <w:b/>
        </w:rPr>
        <w:t>ключови предимства</w:t>
      </w:r>
      <w:r>
        <w:rPr>
          <w:rFonts w:ascii="Times New Roman" w:hAnsi="Times New Roman"/>
        </w:rPr>
        <w:t xml:space="preserve"> като </w:t>
      </w:r>
      <w:r>
        <w:rPr>
          <w:rFonts w:ascii="Times New Roman" w:hAnsi="Times New Roman"/>
          <w:b/>
        </w:rPr>
        <w:t>големия си вътрешен пазар, стабилната си промишлена база и безпрецедентната солидарност</w:t>
      </w:r>
      <w:r>
        <w:rPr>
          <w:rFonts w:ascii="Times New Roman" w:hAnsi="Times New Roman"/>
        </w:rPr>
        <w:t xml:space="preserve">, демонстрирана с приемането на новия инструмент за възстановяване NextGenerationEU. </w:t>
      </w:r>
    </w:p>
    <w:p w:rsidR="00456709" w:rsidRPr="002645D0" w:rsidRDefault="00456709" w:rsidP="00456709">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За да защити своите </w:t>
      </w:r>
      <w:r>
        <w:rPr>
          <w:rFonts w:ascii="Times New Roman" w:hAnsi="Times New Roman"/>
          <w:b/>
        </w:rPr>
        <w:t>ценности, да подсигури зачитането на основните права и върховенството на закона</w:t>
      </w:r>
      <w:r>
        <w:rPr>
          <w:rFonts w:ascii="Times New Roman" w:hAnsi="Times New Roman"/>
        </w:rPr>
        <w:t xml:space="preserve"> и да подкрепи своите приоритети, Европейският съюз трябва да играе </w:t>
      </w:r>
      <w:r>
        <w:rPr>
          <w:rFonts w:ascii="Times New Roman" w:hAnsi="Times New Roman"/>
          <w:b/>
        </w:rPr>
        <w:t>положителна роля и на международната икономическа сцена</w:t>
      </w:r>
      <w:r>
        <w:rPr>
          <w:rFonts w:ascii="Times New Roman" w:hAnsi="Times New Roman"/>
        </w:rPr>
        <w:t>. Той трябва да постигне определена степен на отворена стратегическа автономност и да увеличи своята подготвеност за кризи и капацитет за управление на кризи.</w:t>
      </w:r>
    </w:p>
    <w:p w:rsidR="002645D0" w:rsidRPr="002645D0" w:rsidRDefault="002645D0" w:rsidP="00456709">
      <w:pPr>
        <w:spacing w:after="0" w:line="276" w:lineRule="auto"/>
        <w:jc w:val="both"/>
        <w:rPr>
          <w:rFonts w:ascii="Times New Roman" w:hAnsi="Times New Roman" w:cs="Times New Roman"/>
          <w:b/>
          <w:bCs/>
          <w:lang w:val="en-US"/>
        </w:rPr>
      </w:pPr>
    </w:p>
    <w:p w:rsidR="00456709" w:rsidRPr="002645D0" w:rsidRDefault="005713DF" w:rsidP="00456709">
      <w:pPr>
        <w:spacing w:after="0" w:line="276" w:lineRule="auto"/>
        <w:jc w:val="both"/>
        <w:rPr>
          <w:rFonts w:ascii="Times New Roman" w:hAnsi="Times New Roman" w:cs="Times New Roman"/>
        </w:rPr>
      </w:pPr>
      <w:r>
        <w:rPr>
          <w:rFonts w:ascii="Times New Roman" w:hAnsi="Times New Roman"/>
          <w:b/>
        </w:rPr>
        <w:t>Европейският зелен пакт</w:t>
      </w:r>
      <w:r>
        <w:rPr>
          <w:rFonts w:ascii="Times New Roman" w:hAnsi="Times New Roman"/>
        </w:rPr>
        <w:t xml:space="preserve"> е новата европейска стратегия за растеж, в основата на която са просперитетът, устойчивостта и социалната справедливост. Целта е ЕС да се трансформира в модерна, ресурсно ефективна и конкурентоспособна икономика, като се гарантира прекратяване на нетните емисии на парникови газове до 2050 г. и икономически растеж, отделен от използването на ресурси, при което никой няма да бъде изоставен.</w:t>
      </w:r>
    </w:p>
    <w:p w:rsidR="00456709" w:rsidRPr="002645D0" w:rsidRDefault="00456709" w:rsidP="00456709">
      <w:pPr>
        <w:spacing w:after="0" w:line="276" w:lineRule="auto"/>
        <w:jc w:val="both"/>
        <w:rPr>
          <w:rFonts w:ascii="Times New Roman" w:hAnsi="Times New Roman" w:cs="Times New Roman"/>
          <w:lang w:val="en-US"/>
        </w:rPr>
      </w:pPr>
    </w:p>
    <w:p w:rsidR="00456709" w:rsidRDefault="00456709" w:rsidP="00456709">
      <w:pPr>
        <w:spacing w:after="0" w:line="276" w:lineRule="auto"/>
        <w:jc w:val="both"/>
        <w:rPr>
          <w:rFonts w:ascii="Times New Roman" w:hAnsi="Times New Roman" w:cs="Times New Roman"/>
        </w:rPr>
      </w:pPr>
      <w:r>
        <w:rPr>
          <w:rFonts w:ascii="Times New Roman" w:hAnsi="Times New Roman"/>
        </w:rPr>
        <w:t xml:space="preserve">Справедливият преход към неутрален по отношение на климата начин на живот, създаването на качествени работни места и насърчаването на устойчивото предприемачество и иновациите, </w:t>
      </w:r>
      <w:r>
        <w:rPr>
          <w:rFonts w:ascii="Times New Roman" w:hAnsi="Times New Roman"/>
        </w:rPr>
        <w:lastRenderedPageBreak/>
        <w:t>включително кръговата икономика и социалната икономика, ще бъдат от съществено значение за просперитета на Европа.</w:t>
      </w:r>
    </w:p>
    <w:p w:rsidR="000F43E2" w:rsidRPr="002645D0" w:rsidRDefault="000F43E2" w:rsidP="005C5031">
      <w:pPr>
        <w:spacing w:after="0" w:line="276" w:lineRule="auto"/>
        <w:jc w:val="both"/>
        <w:rPr>
          <w:rFonts w:ascii="Times New Roman" w:hAnsi="Times New Roman" w:cs="Times New Roman"/>
          <w:lang w:val="en-US"/>
        </w:rPr>
      </w:pPr>
    </w:p>
    <w:p w:rsidR="001E6FD9" w:rsidRPr="002645D0" w:rsidRDefault="001E6FD9" w:rsidP="005C5031">
      <w:pPr>
        <w:spacing w:after="0" w:line="276" w:lineRule="auto"/>
        <w:jc w:val="both"/>
        <w:rPr>
          <w:rFonts w:ascii="Times New Roman" w:hAnsi="Times New Roman" w:cs="Times New Roman"/>
        </w:rPr>
      </w:pPr>
      <w:r>
        <w:rPr>
          <w:rFonts w:ascii="Times New Roman" w:hAnsi="Times New Roman"/>
        </w:rPr>
        <w:t xml:space="preserve">Успешното завършване на </w:t>
      </w:r>
      <w:r>
        <w:rPr>
          <w:rFonts w:ascii="Times New Roman" w:hAnsi="Times New Roman"/>
          <w:b/>
        </w:rPr>
        <w:t>цифровия преход</w:t>
      </w:r>
      <w:r>
        <w:rPr>
          <w:rFonts w:ascii="Times New Roman" w:hAnsi="Times New Roman"/>
        </w:rPr>
        <w:t xml:space="preserve"> е друго голямо предизвикателство. Става дума за предоставяне на възможности на хората и предприятията да приемат цифрово бъдеще, което е ориентирано към хората, устойчиво и по-проспериращо. Програмата на ЕС в областта на цифровите технологии има за цел да гарантира, че тази трансформация е от полза за всички — граждани и предприятия, като същевременно помага на ЕС да постигне целта си за неутралност по отношение на климата до 2050 г.</w:t>
      </w:r>
    </w:p>
    <w:p w:rsidR="000F43E2" w:rsidRPr="002645D0" w:rsidRDefault="000F43E2" w:rsidP="005C5031">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И накрая, </w:t>
      </w:r>
      <w:r>
        <w:rPr>
          <w:rFonts w:ascii="Times New Roman" w:hAnsi="Times New Roman"/>
          <w:b/>
        </w:rPr>
        <w:t>най-ценният актив на нашия Съюз са неговите граждани и европейското гражданско общество</w:t>
      </w:r>
      <w:r>
        <w:rPr>
          <w:rFonts w:ascii="Times New Roman" w:hAnsi="Times New Roman"/>
        </w:rPr>
        <w:t>.</w:t>
      </w:r>
      <w:r>
        <w:rPr>
          <w:rFonts w:ascii="Times New Roman" w:hAnsi="Times New Roman"/>
          <w:b/>
        </w:rPr>
        <w:t xml:space="preserve"> </w:t>
      </w:r>
      <w:r>
        <w:rPr>
          <w:rFonts w:ascii="Times New Roman" w:hAnsi="Times New Roman"/>
        </w:rPr>
        <w:t xml:space="preserve">Те трябва да бъдат поставени в центъра на политиките чрез ефективен граждански и социален диалог и да имат възможност да отговорят на промените, необходими в контекста на двойния преход.  Двадесетте принципа на Европейската социална харта на правата са маякът, който ни насочва към социална Европа, която е приобщаваща и пълна с възможности. </w:t>
      </w:r>
    </w:p>
    <w:p w:rsidR="00066B82" w:rsidRPr="002645D0" w:rsidRDefault="00066B82" w:rsidP="00066B82">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ЕИСК и националните ИСС приветстват факта, че 2022 г. ще бъде </w:t>
      </w:r>
      <w:r>
        <w:rPr>
          <w:rFonts w:ascii="Times New Roman" w:hAnsi="Times New Roman"/>
          <w:b/>
        </w:rPr>
        <w:t>Европейската година на младежта</w:t>
      </w:r>
      <w:r>
        <w:rPr>
          <w:rFonts w:ascii="Times New Roman" w:hAnsi="Times New Roman"/>
        </w:rPr>
        <w:t>. Младите хора бяха засегнати най-силно от пандемията, която доведе до повишаване на безработицата и неактивността сред тях. ЕИСК и националните ИСС призовават за мерки, които да са съсредоточени както върху активните политики на пазара на труда, така и върху образованието и уменията. Солидарността между поколенията също е жизненоважна: тя е ключов фактор за подпомагане на младите хора, без да се пренебрегват възрастните.</w:t>
      </w:r>
    </w:p>
    <w:p w:rsidR="00066B82" w:rsidRPr="002645D0" w:rsidRDefault="00066B82" w:rsidP="00EA79B5">
      <w:pPr>
        <w:spacing w:after="0" w:line="276" w:lineRule="auto"/>
        <w:jc w:val="both"/>
        <w:rPr>
          <w:rFonts w:ascii="Times New Roman" w:hAnsi="Times New Roman" w:cs="Times New Roman"/>
          <w:b/>
          <w:bCs/>
          <w:lang w:val="en-US"/>
        </w:rPr>
      </w:pPr>
    </w:p>
    <w:p w:rsidR="00EA79B5" w:rsidRPr="008C12CB" w:rsidRDefault="00066B82" w:rsidP="00EA79B5">
      <w:pPr>
        <w:spacing w:after="0" w:line="276" w:lineRule="auto"/>
        <w:jc w:val="both"/>
        <w:rPr>
          <w:rFonts w:ascii="Times New Roman" w:hAnsi="Times New Roman" w:cs="Times New Roman"/>
          <w:b/>
          <w:bCs/>
        </w:rPr>
      </w:pPr>
      <w:r>
        <w:rPr>
          <w:rFonts w:ascii="Times New Roman" w:hAnsi="Times New Roman"/>
          <w:b/>
        </w:rPr>
        <w:t>Инструментът NextGenerationEU и националните планове за възстановяване и устойчивост</w:t>
      </w:r>
    </w:p>
    <w:p w:rsidR="00EA79B5" w:rsidRPr="002645D0" w:rsidRDefault="00EA79B5" w:rsidP="00EA79B5">
      <w:pPr>
        <w:spacing w:after="0" w:line="276" w:lineRule="auto"/>
        <w:jc w:val="both"/>
        <w:rPr>
          <w:rFonts w:ascii="Times New Roman" w:hAnsi="Times New Roman" w:cs="Times New Roman"/>
          <w:b/>
          <w:bCs/>
          <w:u w:val="single"/>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ЕС трябва да запази положителния и исторически импулс, създаден от приемането на NextGenerationEU — временен инструмент за възстановяване на стойност над 800 милиарда евро, чиято цел е да спомогне за коригирането на непосредствените икономически и социални щети, нанесени от пандемията от COVID-19.</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Механизмът за възстановяване и устойчивост, който е централният компонент на NextGenerationEU, подкрепя реформите и инвестициите, предприети от държавите от ЕС. Целта е Европа да стане по-екологична, по-цифрова, по-устойчива и по-добре адаптирана към настоящите и бъдещите предизвикателства.</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В Регламента за Механизма за възстановяване и устойчивост се подчертава необходимостта от провеждане на консултации както с организациите на гражданското общество, така и със социалните партньори при разработването и изпълнението на националните планове за възстановяване. Видно е обаче, че досега това не беше направено</w:t>
      </w:r>
      <w:r>
        <w:rPr>
          <w:rStyle w:val="FootnoteReference"/>
          <w:rFonts w:ascii="Times New Roman" w:hAnsi="Times New Roman" w:cs="Times New Roman"/>
          <w:lang w:val="fr-BE"/>
        </w:rPr>
        <w:footnoteReference w:id="1"/>
      </w:r>
      <w:r>
        <w:rPr>
          <w:rFonts w:ascii="Times New Roman" w:hAnsi="Times New Roman"/>
        </w:rPr>
        <w:t xml:space="preserve">. ЕИСК и националните ИСС стигат до заключението, че в повечето държави членки консултациите далеч не са задоволителни от гледна точка на основателните искания на организираното гражданско общество. Ето защо те призовават за </w:t>
      </w:r>
      <w:r>
        <w:rPr>
          <w:rFonts w:ascii="Times New Roman" w:hAnsi="Times New Roman"/>
          <w:b/>
        </w:rPr>
        <w:t>много по-конкретно участие на организираното гражданско общество</w:t>
      </w:r>
      <w:r>
        <w:rPr>
          <w:rFonts w:ascii="Times New Roman" w:hAnsi="Times New Roman"/>
        </w:rPr>
        <w:t xml:space="preserve"> в етапа на изпълнение и оценка на националните планове с процедури от по-официален характер, които улесняват реалния обмен на мнения.</w:t>
      </w:r>
    </w:p>
    <w:p w:rsidR="007D0E35" w:rsidRPr="002645D0" w:rsidRDefault="007D0E35" w:rsidP="00EA79B5">
      <w:pPr>
        <w:spacing w:after="0" w:line="276" w:lineRule="auto"/>
        <w:jc w:val="both"/>
        <w:rPr>
          <w:rFonts w:ascii="Times New Roman" w:hAnsi="Times New Roman" w:cs="Times New Roman"/>
          <w:lang w:val="en-US"/>
        </w:rPr>
      </w:pPr>
    </w:p>
    <w:p w:rsidR="00EA79B5"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Гласът на организираното гражданско общество: съществен елемент във формирането на нашето общо бъдеще</w:t>
      </w:r>
    </w:p>
    <w:p w:rsidR="00EA79B5" w:rsidRPr="002645D0" w:rsidRDefault="00EA79B5" w:rsidP="00EA79B5">
      <w:pPr>
        <w:spacing w:after="0" w:line="276" w:lineRule="auto"/>
        <w:jc w:val="both"/>
        <w:rPr>
          <w:rFonts w:ascii="Times New Roman" w:hAnsi="Times New Roman" w:cs="Times New Roman"/>
          <w:bCs/>
          <w:lang w:val="en-US"/>
        </w:rPr>
      </w:pPr>
    </w:p>
    <w:p w:rsidR="00911EF8" w:rsidRPr="002645D0" w:rsidRDefault="00911EF8" w:rsidP="00EA79B5">
      <w:pPr>
        <w:spacing w:after="0" w:line="276" w:lineRule="auto"/>
        <w:jc w:val="both"/>
        <w:rPr>
          <w:rFonts w:ascii="Times New Roman" w:hAnsi="Times New Roman" w:cs="Times New Roman"/>
        </w:rPr>
      </w:pPr>
      <w:r>
        <w:rPr>
          <w:rFonts w:ascii="Times New Roman" w:hAnsi="Times New Roman"/>
        </w:rPr>
        <w:t>От началото на кризата с COVID-19 организациите на работодателите, синдикалните организации и другите организации на гражданското общество играят основна роля за смекчаване на последиците от кризата. Има безброй примери за действия, предприети от европейското гражданско общество, които свидетелстват за важността на техните структури. Тяхната работа в разгара на кризата с COVID-19 осигури важен принос за поддържането на сближаването и стабилността на нашите общества.</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b/>
          <w:bCs/>
        </w:rPr>
      </w:pPr>
      <w:r>
        <w:rPr>
          <w:rFonts w:ascii="Times New Roman" w:hAnsi="Times New Roman"/>
        </w:rPr>
        <w:t xml:space="preserve">Във време, когато Европейският съюз трябва да се възроди и подготви за бъдещето, </w:t>
      </w:r>
      <w:r>
        <w:rPr>
          <w:rFonts w:ascii="Times New Roman" w:hAnsi="Times New Roman"/>
          <w:b/>
        </w:rPr>
        <w:t>социалните партньори и организациите на гражданското общество, както и ЕИСК и ИСС на държавите членки, са ключови участници</w:t>
      </w:r>
      <w:r>
        <w:rPr>
          <w:rFonts w:ascii="Times New Roman" w:hAnsi="Times New Roman"/>
        </w:rPr>
        <w:t>.</w:t>
      </w:r>
    </w:p>
    <w:p w:rsidR="00911EF8" w:rsidRPr="002645D0" w:rsidRDefault="00911EF8" w:rsidP="00911EF8">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Обновяването и социално-икономическото възстановяване на Европа изискват реално и конкретно участие на всички части на обществото, особено в процесите на изготвяне, изпълнение и оценка на реформите.</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C76407">
      <w:pPr>
        <w:spacing w:after="0" w:line="276" w:lineRule="auto"/>
        <w:jc w:val="both"/>
        <w:rPr>
          <w:rFonts w:ascii="Times New Roman" w:hAnsi="Times New Roman" w:cs="Times New Roman"/>
        </w:rPr>
      </w:pPr>
      <w:r>
        <w:rPr>
          <w:rFonts w:ascii="Times New Roman" w:hAnsi="Times New Roman"/>
        </w:rPr>
        <w:t xml:space="preserve">ЕИСК и ИСС на държавите — членки на ЕС, имат задълбочени познания в тази област и са уникални постоянни форуми за граждански диалог, като имат предимството да предлагат </w:t>
      </w:r>
      <w:r>
        <w:rPr>
          <w:rFonts w:ascii="Times New Roman" w:hAnsi="Times New Roman"/>
          <w:b/>
        </w:rPr>
        <w:t>решения, основани на консенсус</w:t>
      </w:r>
      <w:r>
        <w:rPr>
          <w:rFonts w:ascii="Times New Roman" w:hAnsi="Times New Roman"/>
        </w:rPr>
        <w:t xml:space="preserve"> между различните заинтересовани страни. Благодарение на своята изобретателност и капацитет за предвиждане те са в състояние да разработят ответни мерки, адаптирани към предизвикателствата на XXI век, и трябва да играят ключова роля в процеса на възстановяване. </w:t>
      </w:r>
    </w:p>
    <w:p w:rsidR="00911EF8" w:rsidRPr="002645D0" w:rsidRDefault="00911EF8" w:rsidP="00C76407">
      <w:pPr>
        <w:spacing w:after="0" w:line="276" w:lineRule="auto"/>
        <w:jc w:val="both"/>
        <w:rPr>
          <w:rFonts w:ascii="Times New Roman" w:hAnsi="Times New Roman" w:cs="Times New Roman"/>
          <w:lang w:val="en-US"/>
        </w:rPr>
      </w:pPr>
    </w:p>
    <w:p w:rsidR="00911EF8" w:rsidRPr="002645D0" w:rsidRDefault="00911EF8" w:rsidP="00C76407">
      <w:pPr>
        <w:spacing w:after="0" w:line="276" w:lineRule="auto"/>
        <w:jc w:val="both"/>
        <w:rPr>
          <w:rFonts w:ascii="Times New Roman" w:hAnsi="Times New Roman" w:cs="Times New Roman"/>
        </w:rPr>
      </w:pPr>
      <w:r>
        <w:rPr>
          <w:rFonts w:ascii="Times New Roman" w:hAnsi="Times New Roman"/>
        </w:rPr>
        <w:t>Заедно с мрежата от национални ИСС ЕИСК е в привилегированото положение да споделя с европейските институции най-добрите практики на държавите членки и най-добрите решения за реформи.</w:t>
      </w:r>
    </w:p>
    <w:p w:rsidR="000F43E2" w:rsidRPr="002645D0" w:rsidRDefault="000F43E2" w:rsidP="00EA79B5">
      <w:pPr>
        <w:spacing w:after="0" w:line="276" w:lineRule="auto"/>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ЕИСК и ИСС на държавите — членки на ЕС, потвърждават </w:t>
      </w:r>
      <w:r>
        <w:rPr>
          <w:rFonts w:ascii="Times New Roman" w:hAnsi="Times New Roman"/>
          <w:b/>
        </w:rPr>
        <w:t>желанието си да участват активно в процесите на изготвяне, формулиране и изпълнение на текущите реформи</w:t>
      </w:r>
      <w:r>
        <w:rPr>
          <w:rFonts w:ascii="Times New Roman" w:hAnsi="Times New Roman"/>
        </w:rPr>
        <w:t>, така че политиките да съответстват напълно на нуждите и очакванията на гражданите и да се създаде засилено усещане за обща ангажираност.</w:t>
      </w:r>
    </w:p>
    <w:p w:rsidR="00911EF8" w:rsidRPr="002645D0" w:rsidRDefault="00911EF8" w:rsidP="00911EF8">
      <w:pPr>
        <w:spacing w:after="0" w:line="276" w:lineRule="auto"/>
        <w:jc w:val="both"/>
        <w:rPr>
          <w:rFonts w:ascii="Times New Roman" w:hAnsi="Times New Roman" w:cs="Times New Roman"/>
          <w:lang w:val="en-US"/>
        </w:rPr>
      </w:pPr>
    </w:p>
    <w:p w:rsidR="00911EF8" w:rsidRDefault="00911EF8" w:rsidP="00911EF8">
      <w:pPr>
        <w:spacing w:after="0" w:line="276" w:lineRule="auto"/>
        <w:jc w:val="both"/>
        <w:rPr>
          <w:rFonts w:ascii="Times New Roman" w:hAnsi="Times New Roman" w:cs="Times New Roman"/>
        </w:rPr>
      </w:pPr>
      <w:r>
        <w:rPr>
          <w:rFonts w:ascii="Times New Roman" w:hAnsi="Times New Roman"/>
        </w:rPr>
        <w:t xml:space="preserve">ЕИСК и ИСС припомнят необходимостта от прилагане на </w:t>
      </w:r>
      <w:r>
        <w:rPr>
          <w:rFonts w:ascii="Times New Roman" w:hAnsi="Times New Roman"/>
          <w:b/>
        </w:rPr>
        <w:t>член 11 от ДЕС</w:t>
      </w:r>
      <w:r>
        <w:rPr>
          <w:rFonts w:ascii="Times New Roman" w:hAnsi="Times New Roman"/>
        </w:rPr>
        <w:t>, който в контекста на разпоредбите за демократичните принципи гласи, че „институциите поддържат открит, прозрачен и редовен диалог с представителните организации и гражданското общество“.</w:t>
      </w:r>
    </w:p>
    <w:p w:rsidR="007366DC" w:rsidRPr="002645D0" w:rsidRDefault="007366DC" w:rsidP="00911EF8">
      <w:pPr>
        <w:spacing w:after="0" w:line="276" w:lineRule="auto"/>
        <w:jc w:val="both"/>
        <w:rPr>
          <w:rFonts w:ascii="Times New Roman" w:hAnsi="Times New Roman" w:cs="Times New Roman"/>
          <w:lang w:val="en-US"/>
        </w:rPr>
      </w:pPr>
    </w:p>
    <w:p w:rsidR="00EA79B5" w:rsidRPr="002645D0" w:rsidRDefault="00911EF8" w:rsidP="00911EF8">
      <w:pPr>
        <w:spacing w:after="0" w:line="276" w:lineRule="auto"/>
        <w:jc w:val="both"/>
        <w:rPr>
          <w:rFonts w:ascii="Times New Roman" w:hAnsi="Times New Roman" w:cs="Times New Roman"/>
        </w:rPr>
      </w:pPr>
      <w:r>
        <w:rPr>
          <w:rFonts w:ascii="Times New Roman" w:hAnsi="Times New Roman"/>
        </w:rPr>
        <w:t>Те възнамеряват да продължат да се ангажират с това ключово предизвикателство, като осъзнават факта, че демокрацията на участието се нуждае от посредници, които да включват гражданите и да ги насърчават да изразяват мнението си във всички обществени сфери.</w:t>
      </w:r>
    </w:p>
    <w:p w:rsidR="00EA79B5" w:rsidRPr="002645D0" w:rsidRDefault="00EA79B5" w:rsidP="00EA79B5">
      <w:pPr>
        <w:spacing w:after="0" w:line="276" w:lineRule="auto"/>
        <w:jc w:val="both"/>
        <w:rPr>
          <w:rFonts w:ascii="Times New Roman" w:hAnsi="Times New Roman" w:cs="Times New Roman"/>
          <w:lang w:val="en-US"/>
        </w:rPr>
      </w:pPr>
    </w:p>
    <w:p w:rsidR="002854C4" w:rsidRDefault="00911EF8" w:rsidP="00EA79B5">
      <w:pPr>
        <w:spacing w:after="0" w:line="276" w:lineRule="auto"/>
        <w:jc w:val="both"/>
        <w:rPr>
          <w:rFonts w:ascii="Times New Roman" w:hAnsi="Times New Roman" w:cs="Times New Roman"/>
        </w:rPr>
      </w:pPr>
      <w:r>
        <w:rPr>
          <w:rFonts w:ascii="Times New Roman" w:hAnsi="Times New Roman"/>
        </w:rPr>
        <w:t>От съществено значение е също така Европейският съюз да подкрепя ключовата роля, която социалните партньори и организациите на гражданското общество играят за насърчаването и защитата на нашия европейски социално-икономически модел и ценности, демокрацията, основните права и върховенството на закона на фона на свиващото се гражданско пространство. Това е самият център на европейския проект.</w:t>
      </w:r>
    </w:p>
    <w:p w:rsidR="00C616D4" w:rsidRDefault="00C616D4" w:rsidP="00EA79B5">
      <w:pPr>
        <w:spacing w:after="0" w:line="276" w:lineRule="auto"/>
        <w:jc w:val="both"/>
        <w:rPr>
          <w:rFonts w:ascii="Times New Roman" w:hAnsi="Times New Roman" w:cs="Times New Roman"/>
          <w:lang w:val="fr-BE"/>
        </w:rPr>
      </w:pPr>
    </w:p>
    <w:p w:rsidR="005C5031"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Конференцията за бъдещето на Европа: шанс за изграждане на по-добро бъдеще за всички</w:t>
      </w:r>
    </w:p>
    <w:p w:rsidR="005C5031" w:rsidRPr="002645D0" w:rsidRDefault="005C5031"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ЕИСК и националните ИСС считат, че Конференцията за бъдещето на Европа е </w:t>
      </w:r>
      <w:r>
        <w:rPr>
          <w:rFonts w:ascii="Times New Roman" w:hAnsi="Times New Roman"/>
          <w:b/>
        </w:rPr>
        <w:t>историческа възможност</w:t>
      </w:r>
      <w:r>
        <w:rPr>
          <w:rFonts w:ascii="Times New Roman" w:hAnsi="Times New Roman"/>
        </w:rPr>
        <w:t xml:space="preserve"> за създаване на динамика за възобновяване на проекта за европейска интеграция. Особено иновативният аспект на този проект се състои в неговата цел да бъде осъществена връзка с гражданите във всички 27 държави членки.</w:t>
      </w:r>
    </w:p>
    <w:p w:rsidR="00911EF8" w:rsidRPr="002645D0" w:rsidRDefault="00911EF8" w:rsidP="00911EF8">
      <w:pPr>
        <w:spacing w:after="0" w:line="276" w:lineRule="auto"/>
        <w:jc w:val="both"/>
        <w:rPr>
          <w:rFonts w:ascii="Times New Roman" w:hAnsi="Times New Roman" w:cs="Times New Roman"/>
          <w:lang w:val="en-US"/>
        </w:rPr>
      </w:pPr>
    </w:p>
    <w:p w:rsidR="005C5031" w:rsidRPr="00924DBA" w:rsidRDefault="00911EF8" w:rsidP="00911EF8">
      <w:pPr>
        <w:spacing w:after="0" w:line="276" w:lineRule="auto"/>
        <w:jc w:val="both"/>
        <w:rPr>
          <w:rFonts w:ascii="Times New Roman" w:hAnsi="Times New Roman" w:cs="Times New Roman"/>
        </w:rPr>
      </w:pPr>
      <w:r>
        <w:rPr>
          <w:rFonts w:ascii="Times New Roman" w:hAnsi="Times New Roman"/>
        </w:rPr>
        <w:t xml:space="preserve">ЕИСК и националните ИСС силно подкрепят този процес на развитие на </w:t>
      </w:r>
      <w:r>
        <w:rPr>
          <w:rFonts w:ascii="Times New Roman" w:hAnsi="Times New Roman"/>
          <w:b/>
        </w:rPr>
        <w:t>демокрация на участието</w:t>
      </w:r>
      <w:r>
        <w:rPr>
          <w:rFonts w:ascii="Times New Roman" w:hAnsi="Times New Roman"/>
        </w:rPr>
        <w:t>. Според тях Конференцията за бъдещето на Европа трябва да постави европейците в центъра на вниманието, да гарантира участието в дебатите на гражданите от цяла Европа и да постигне конкретни, видими и измерими резултати.</w:t>
      </w:r>
    </w:p>
    <w:p w:rsidR="00D8736E" w:rsidRPr="00924DBA" w:rsidRDefault="00D8736E" w:rsidP="00911EF8">
      <w:pPr>
        <w:spacing w:after="0" w:line="276" w:lineRule="auto"/>
        <w:jc w:val="both"/>
        <w:rPr>
          <w:rFonts w:ascii="Times New Roman" w:hAnsi="Times New Roman" w:cs="Times New Roman"/>
          <w:lang w:val="en-US"/>
        </w:rPr>
      </w:pPr>
    </w:p>
    <w:p w:rsidR="002645D0" w:rsidRDefault="00924DBA" w:rsidP="00911EF8">
      <w:pPr>
        <w:spacing w:after="0" w:line="276" w:lineRule="auto"/>
        <w:jc w:val="both"/>
        <w:rPr>
          <w:bCs/>
          <w:spacing w:val="-2"/>
        </w:rPr>
      </w:pPr>
      <w:r>
        <w:rPr>
          <w:rFonts w:ascii="Times New Roman" w:hAnsi="Times New Roman"/>
        </w:rPr>
        <w:t xml:space="preserve">Конференцията трябва да се основава на </w:t>
      </w:r>
      <w:r>
        <w:rPr>
          <w:rFonts w:ascii="Times New Roman" w:hAnsi="Times New Roman"/>
          <w:b/>
        </w:rPr>
        <w:t>прозрачен процес от долу нагоре и да постига осезаеми резултати</w:t>
      </w:r>
      <w:r>
        <w:rPr>
          <w:rFonts w:ascii="Times New Roman" w:hAnsi="Times New Roman"/>
        </w:rPr>
        <w:t xml:space="preserve">. За да се гарантира прозрачност и отчетност, ще бъде разработено онлайн </w:t>
      </w:r>
      <w:r>
        <w:rPr>
          <w:rFonts w:ascii="Times New Roman" w:hAnsi="Times New Roman"/>
          <w:b/>
        </w:rPr>
        <w:t>информационно табло</w:t>
      </w:r>
      <w:r>
        <w:rPr>
          <w:rFonts w:ascii="Times New Roman" w:hAnsi="Times New Roman"/>
        </w:rPr>
        <w:t>, с помощта на което гражданите да се информират как институциите на ЕС предприемат действия във връзка с техните искания, дали в резултат от Конференцията за бъдещето на Европа се предприемат мерки за реформа и какви са сроковете за прилагане на тези мерки. Ако по някои идеи не се предприемат действия, мотивите за това трябва да бъдат обяснени.</w:t>
      </w:r>
    </w:p>
    <w:p w:rsidR="00924DBA" w:rsidRPr="002645D0" w:rsidRDefault="00924DBA" w:rsidP="00911EF8">
      <w:pPr>
        <w:spacing w:after="0" w:line="276" w:lineRule="auto"/>
        <w:jc w:val="both"/>
        <w:rPr>
          <w:rFonts w:ascii="Times New Roman" w:hAnsi="Times New Roman" w:cs="Times New Roman"/>
          <w:lang w:val="en-US"/>
        </w:rPr>
      </w:pPr>
    </w:p>
    <w:p w:rsidR="00EA79B5" w:rsidRPr="002645D0" w:rsidRDefault="002645D0" w:rsidP="00EA79B5">
      <w:pPr>
        <w:spacing w:after="0" w:line="276" w:lineRule="auto"/>
        <w:jc w:val="both"/>
        <w:rPr>
          <w:rFonts w:ascii="Times New Roman" w:hAnsi="Times New Roman" w:cs="Times New Roman"/>
        </w:rPr>
      </w:pPr>
      <w:r>
        <w:rPr>
          <w:rFonts w:ascii="Times New Roman" w:hAnsi="Times New Roman"/>
        </w:rPr>
        <w:t>Благодарение на своите членове и мрежи ЕИСК и националните ИСС са особено добре подготвени да осъществяват връзка с гражданите и да представят техните предложения на вниманието на ръководните органи на Конференцията. За тази цел ЕИСК приветства участието си в органите на Конференцията.</w:t>
      </w:r>
    </w:p>
    <w:p w:rsidR="003234EF" w:rsidRPr="00EB31FE" w:rsidRDefault="00EB31FE" w:rsidP="00EB31FE">
      <w:pPr>
        <w:overflowPunct w:val="0"/>
        <w:autoSpaceDE w:val="0"/>
        <w:autoSpaceDN w:val="0"/>
        <w:adjustRightInd w:val="0"/>
        <w:spacing w:line="288" w:lineRule="auto"/>
        <w:jc w:val="center"/>
        <w:textAlignment w:val="baseline"/>
      </w:pPr>
      <w:r>
        <w:t>_____________</w:t>
      </w:r>
    </w:p>
    <w:sectPr w:rsidR="003234EF" w:rsidRPr="00EB31FE" w:rsidSect="00EB31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C3"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64001" w16cid:durableId="2525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7" w:rsidRDefault="00F241F7" w:rsidP="00EA79B5">
      <w:pPr>
        <w:spacing w:after="0" w:line="240" w:lineRule="auto"/>
      </w:pPr>
      <w:r>
        <w:separator/>
      </w:r>
    </w:p>
  </w:endnote>
  <w:endnote w:type="continuationSeparator" w:id="0">
    <w:p w:rsidR="00F241F7" w:rsidRDefault="00F241F7"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C7" w:rsidRPr="00EB31FE" w:rsidRDefault="00EB31FE" w:rsidP="00EB31FE">
    <w:pPr>
      <w:pStyle w:val="Footer"/>
    </w:pPr>
    <w:r>
      <w:t xml:space="preserve">EESC-2021-05465-01-00-INFO-TRA (EN) </w:t>
    </w:r>
    <w:r>
      <w:fldChar w:fldCharType="begin"/>
    </w:r>
    <w:r>
      <w:instrText xml:space="preserve"> PAGE  \* Arabic  \* MERGEFORMAT </w:instrText>
    </w:r>
    <w:r>
      <w:fldChar w:fldCharType="separate"/>
    </w:r>
    <w:r w:rsidR="004B158B">
      <w:rPr>
        <w:noProof/>
      </w:rPr>
      <w:t>1</w:t>
    </w:r>
    <w:r>
      <w:fldChar w:fldCharType="end"/>
    </w:r>
    <w:r>
      <w:t>/</w:t>
    </w:r>
    <w:r w:rsidR="004B158B">
      <w:fldChar w:fldCharType="begin"/>
    </w:r>
    <w:r w:rsidR="004B158B">
      <w:instrText xml:space="preserve"> NUMPAGES </w:instrText>
    </w:r>
    <w:r w:rsidR="004B158B">
      <w:fldChar w:fldCharType="separate"/>
    </w:r>
    <w:r w:rsidR="004B158B">
      <w:rPr>
        <w:noProof/>
      </w:rPr>
      <w:t>7</w:t>
    </w:r>
    <w:r w:rsidR="004B15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7" w:rsidRDefault="00F241F7" w:rsidP="00EA79B5">
      <w:pPr>
        <w:spacing w:after="0" w:line="240" w:lineRule="auto"/>
      </w:pPr>
      <w:r>
        <w:separator/>
      </w:r>
    </w:p>
  </w:footnote>
  <w:footnote w:type="continuationSeparator" w:id="0">
    <w:p w:rsidR="00F241F7" w:rsidRDefault="00F241F7" w:rsidP="00EA79B5">
      <w:pPr>
        <w:spacing w:after="0" w:line="240" w:lineRule="auto"/>
      </w:pPr>
      <w:r>
        <w:continuationSeparator/>
      </w:r>
    </w:p>
  </w:footnote>
  <w:footnote w:id="1">
    <w:p w:rsidR="00066B82" w:rsidRPr="002645D0" w:rsidRDefault="00066B82" w:rsidP="00066B82">
      <w:pPr>
        <w:pStyle w:val="FootnoteText"/>
      </w:pPr>
      <w:r>
        <w:rPr>
          <w:rStyle w:val="FootnoteReference"/>
        </w:rPr>
        <w:footnoteRef/>
      </w:r>
      <w:r>
        <w:t xml:space="preserve"> </w:t>
      </w:r>
      <w:r>
        <w:tab/>
      </w:r>
      <w:hyperlink r:id="rId1" w:history="1">
        <w:r>
          <w:rPr>
            <w:rStyle w:val="Hyperlink"/>
          </w:rPr>
          <w:t>Резолюция на ЕИСК</w:t>
        </w:r>
      </w:hyperlink>
      <w:r>
        <w:t xml:space="preserve"> относно „Участие на организираното гражданско общество в националните планове за възстановяване и устойчивост — Какво работи и какво не?“, февруари 2021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924376B"/>
    <w:multiLevelType w:val="hybridMultilevel"/>
    <w:tmpl w:val="740A47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FE5822"/>
    <w:multiLevelType w:val="hybridMultilevel"/>
    <w:tmpl w:val="8402BF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5E4495D"/>
    <w:multiLevelType w:val="hybridMultilevel"/>
    <w:tmpl w:val="23DE5E40"/>
    <w:lvl w:ilvl="0" w:tplc="6888849A">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23C2D41"/>
    <w:multiLevelType w:val="hybridMultilevel"/>
    <w:tmpl w:val="2F0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9465B"/>
    <w:multiLevelType w:val="hybridMultilevel"/>
    <w:tmpl w:val="AEC0AF5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F275FB0"/>
    <w:multiLevelType w:val="hybridMultilevel"/>
    <w:tmpl w:val="C492CFA0"/>
    <w:lvl w:ilvl="0" w:tplc="F816062A">
      <w:start w:val="1"/>
      <w:numFmt w:val="decimal"/>
      <w:lvlText w:val="%1."/>
      <w:lvlJc w:val="left"/>
      <w:pPr>
        <w:ind w:left="360" w:hanging="360"/>
      </w:pPr>
      <w:rPr>
        <w:b w:val="0"/>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5"/>
    <w:rsid w:val="00026200"/>
    <w:rsid w:val="00035EFE"/>
    <w:rsid w:val="00066B82"/>
    <w:rsid w:val="000A4C4C"/>
    <w:rsid w:val="000C2CB8"/>
    <w:rsid w:val="000F43E2"/>
    <w:rsid w:val="001216E0"/>
    <w:rsid w:val="00190269"/>
    <w:rsid w:val="001C28D1"/>
    <w:rsid w:val="001E6FD9"/>
    <w:rsid w:val="001F30B3"/>
    <w:rsid w:val="00212624"/>
    <w:rsid w:val="00236C7F"/>
    <w:rsid w:val="00244FBC"/>
    <w:rsid w:val="002645D0"/>
    <w:rsid w:val="002854C4"/>
    <w:rsid w:val="00297477"/>
    <w:rsid w:val="002B4374"/>
    <w:rsid w:val="002C70DA"/>
    <w:rsid w:val="003240E1"/>
    <w:rsid w:val="0038020D"/>
    <w:rsid w:val="00394B8F"/>
    <w:rsid w:val="003A15CF"/>
    <w:rsid w:val="003C229B"/>
    <w:rsid w:val="00414102"/>
    <w:rsid w:val="004259AE"/>
    <w:rsid w:val="00435E7B"/>
    <w:rsid w:val="004535F8"/>
    <w:rsid w:val="00456709"/>
    <w:rsid w:val="00471B87"/>
    <w:rsid w:val="004B158B"/>
    <w:rsid w:val="005713DF"/>
    <w:rsid w:val="005C5031"/>
    <w:rsid w:val="005E23F9"/>
    <w:rsid w:val="00611BFD"/>
    <w:rsid w:val="0065623F"/>
    <w:rsid w:val="006C3A97"/>
    <w:rsid w:val="007366DC"/>
    <w:rsid w:val="00752257"/>
    <w:rsid w:val="007545CF"/>
    <w:rsid w:val="00775940"/>
    <w:rsid w:val="00792ED5"/>
    <w:rsid w:val="007940C0"/>
    <w:rsid w:val="007A0D82"/>
    <w:rsid w:val="007A0F24"/>
    <w:rsid w:val="007D0E35"/>
    <w:rsid w:val="007E000B"/>
    <w:rsid w:val="00824453"/>
    <w:rsid w:val="00830090"/>
    <w:rsid w:val="00867716"/>
    <w:rsid w:val="00876BC3"/>
    <w:rsid w:val="008C12CB"/>
    <w:rsid w:val="008C656E"/>
    <w:rsid w:val="008D56CD"/>
    <w:rsid w:val="00911EF8"/>
    <w:rsid w:val="00912C1B"/>
    <w:rsid w:val="00924DBA"/>
    <w:rsid w:val="00950AEB"/>
    <w:rsid w:val="00975673"/>
    <w:rsid w:val="00983B86"/>
    <w:rsid w:val="00A0355D"/>
    <w:rsid w:val="00A854B6"/>
    <w:rsid w:val="00AB4FF8"/>
    <w:rsid w:val="00AC5848"/>
    <w:rsid w:val="00AF251E"/>
    <w:rsid w:val="00B85F3F"/>
    <w:rsid w:val="00BB44E6"/>
    <w:rsid w:val="00BB768E"/>
    <w:rsid w:val="00BE6294"/>
    <w:rsid w:val="00C20FE9"/>
    <w:rsid w:val="00C403D4"/>
    <w:rsid w:val="00C616D4"/>
    <w:rsid w:val="00C76407"/>
    <w:rsid w:val="00C87CE3"/>
    <w:rsid w:val="00CA04AE"/>
    <w:rsid w:val="00CE090B"/>
    <w:rsid w:val="00D10182"/>
    <w:rsid w:val="00D27742"/>
    <w:rsid w:val="00D77F2A"/>
    <w:rsid w:val="00D8736E"/>
    <w:rsid w:val="00DA58E7"/>
    <w:rsid w:val="00E40CFB"/>
    <w:rsid w:val="00E532C6"/>
    <w:rsid w:val="00E61211"/>
    <w:rsid w:val="00EA79B5"/>
    <w:rsid w:val="00EB31FE"/>
    <w:rsid w:val="00F241F7"/>
    <w:rsid w:val="00F3009F"/>
    <w:rsid w:val="00F37F3C"/>
    <w:rsid w:val="00F6297D"/>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8C35-B3ED-4808-97E2-5AEB98F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bg-BG"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5"/>
    <w:rPr>
      <w:szCs w:val="22"/>
      <w:lang w:bidi="ar-SA"/>
    </w:rPr>
  </w:style>
  <w:style w:type="paragraph" w:styleId="Heading1">
    <w:name w:val="heading 1"/>
    <w:basedOn w:val="Normal"/>
    <w:next w:val="Normal"/>
    <w:link w:val="Heading1Char"/>
    <w:qFormat/>
    <w:rsid w:val="00830090"/>
    <w:pPr>
      <w:numPr>
        <w:numId w:val="7"/>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0090"/>
    <w:pPr>
      <w:numPr>
        <w:ilvl w:val="1"/>
        <w:numId w:val="7"/>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0090"/>
    <w:pPr>
      <w:numPr>
        <w:ilvl w:val="2"/>
        <w:numId w:val="7"/>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0090"/>
    <w:pPr>
      <w:numPr>
        <w:ilvl w:val="3"/>
        <w:numId w:val="7"/>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0090"/>
    <w:pPr>
      <w:numPr>
        <w:ilvl w:val="4"/>
        <w:numId w:val="7"/>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0090"/>
    <w:pPr>
      <w:numPr>
        <w:ilvl w:val="5"/>
        <w:numId w:val="7"/>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0090"/>
    <w:pPr>
      <w:numPr>
        <w:ilvl w:val="6"/>
        <w:numId w:val="7"/>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0090"/>
    <w:pPr>
      <w:numPr>
        <w:ilvl w:val="7"/>
        <w:numId w:val="7"/>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0090"/>
    <w:pPr>
      <w:numPr>
        <w:ilvl w:val="8"/>
        <w:numId w:val="7"/>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9B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A79B5"/>
    <w:rPr>
      <w:rFonts w:ascii="Times New Roman" w:hAnsi="Times New Roman" w:cs="Times New Roman"/>
      <w:szCs w:val="22"/>
      <w:lang w:val="bg-BG" w:bidi="ar-SA"/>
    </w:rPr>
  </w:style>
  <w:style w:type="paragraph" w:styleId="ListParagraph">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body"/>
    <w:basedOn w:val="Normal"/>
    <w:link w:val="ListParagraphChar"/>
    <w:uiPriority w:val="34"/>
    <w:qFormat/>
    <w:rsid w:val="00EA79B5"/>
    <w:pPr>
      <w:spacing w:after="0" w:line="288" w:lineRule="auto"/>
      <w:ind w:left="720"/>
      <w:contextualSpacing/>
      <w:jc w:val="both"/>
    </w:pPr>
    <w:rPr>
      <w:rFonts w:ascii="Times New Roman" w:eastAsia="Times New Roman" w:hAnsi="Times New Roman" w:cs="Times New Roman"/>
    </w:rPr>
  </w:style>
  <w:style w:type="paragraph" w:styleId="FootnoteText">
    <w:name w:val="footnote text"/>
    <w:basedOn w:val="Normal"/>
    <w:link w:val="FootnoteTextChar"/>
    <w:qFormat/>
    <w:rsid w:val="00EA79B5"/>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basedOn w:val="DefaultParagraphFont"/>
    <w:link w:val="FootnoteText"/>
    <w:rsid w:val="00EA79B5"/>
    <w:rPr>
      <w:rFonts w:ascii="Times New Roman" w:eastAsia="Times New Roman" w:hAnsi="Times New Roman" w:cs="Times New Roman"/>
      <w:sz w:val="16"/>
      <w:szCs w:val="22"/>
      <w:lang w:val="bg-BG" w:bidi="ar-SA"/>
    </w:rPr>
  </w:style>
  <w:style w:type="character" w:styleId="FootnoteReference">
    <w:name w:val="footnote reference"/>
    <w:basedOn w:val="DefaultParagraphFont"/>
    <w:unhideWhenUsed/>
    <w:qFormat/>
    <w:rsid w:val="00EA79B5"/>
    <w:rPr>
      <w:sz w:val="24"/>
      <w:vertAlign w:val="superscript"/>
    </w:rPr>
  </w:style>
  <w:style w:type="character" w:styleId="Hyperlink">
    <w:name w:val="Hyperlink"/>
    <w:basedOn w:val="DefaultParagraphFont"/>
    <w:uiPriority w:val="99"/>
    <w:rsid w:val="00EA79B5"/>
    <w:rPr>
      <w:color w:val="0000FF"/>
      <w:u w:val="single"/>
    </w:rPr>
  </w:style>
  <w:style w:type="character" w:styleId="CommentReference">
    <w:name w:val="annotation reference"/>
    <w:basedOn w:val="DefaultParagraphFont"/>
    <w:uiPriority w:val="99"/>
    <w:semiHidden/>
    <w:unhideWhenUsed/>
    <w:rsid w:val="002C70DA"/>
    <w:rPr>
      <w:sz w:val="16"/>
      <w:szCs w:val="16"/>
    </w:rPr>
  </w:style>
  <w:style w:type="paragraph" w:styleId="CommentText">
    <w:name w:val="annotation text"/>
    <w:basedOn w:val="Normal"/>
    <w:link w:val="CommentTextChar"/>
    <w:uiPriority w:val="99"/>
    <w:semiHidden/>
    <w:unhideWhenUsed/>
    <w:rsid w:val="002C70DA"/>
    <w:pPr>
      <w:spacing w:line="240" w:lineRule="auto"/>
    </w:pPr>
    <w:rPr>
      <w:sz w:val="20"/>
      <w:szCs w:val="20"/>
    </w:rPr>
  </w:style>
  <w:style w:type="character" w:customStyle="1" w:styleId="CommentTextChar">
    <w:name w:val="Comment Text Char"/>
    <w:basedOn w:val="DefaultParagraphFont"/>
    <w:link w:val="CommentText"/>
    <w:uiPriority w:val="99"/>
    <w:semiHidden/>
    <w:rsid w:val="002C70DA"/>
    <w:rPr>
      <w:sz w:val="20"/>
      <w:lang w:val="bg-BG" w:bidi="ar-SA"/>
    </w:rPr>
  </w:style>
  <w:style w:type="paragraph" w:styleId="CommentSubject">
    <w:name w:val="annotation subject"/>
    <w:basedOn w:val="CommentText"/>
    <w:next w:val="CommentText"/>
    <w:link w:val="CommentSubjectChar"/>
    <w:uiPriority w:val="99"/>
    <w:semiHidden/>
    <w:unhideWhenUsed/>
    <w:rsid w:val="002C70DA"/>
    <w:rPr>
      <w:b/>
      <w:bCs/>
    </w:rPr>
  </w:style>
  <w:style w:type="character" w:customStyle="1" w:styleId="CommentSubjectChar">
    <w:name w:val="Comment Subject Char"/>
    <w:basedOn w:val="CommentTextChar"/>
    <w:link w:val="CommentSubject"/>
    <w:uiPriority w:val="99"/>
    <w:semiHidden/>
    <w:rsid w:val="002C70DA"/>
    <w:rPr>
      <w:b/>
      <w:bCs/>
      <w:sz w:val="20"/>
      <w:lang w:val="bg-BG" w:bidi="ar-SA"/>
    </w:rPr>
  </w:style>
  <w:style w:type="paragraph" w:styleId="BalloonText">
    <w:name w:val="Balloon Text"/>
    <w:basedOn w:val="Normal"/>
    <w:link w:val="BalloonTextChar"/>
    <w:uiPriority w:val="99"/>
    <w:semiHidden/>
    <w:unhideWhenUsed/>
    <w:rsid w:val="005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31"/>
    <w:rPr>
      <w:rFonts w:ascii="Segoe UI" w:hAnsi="Segoe UI" w:cs="Segoe UI"/>
      <w:sz w:val="18"/>
      <w:szCs w:val="18"/>
      <w:lang w:val="bg-BG" w:bidi="ar-SA"/>
    </w:rPr>
  </w:style>
  <w:style w:type="table" w:styleId="TableGrid">
    <w:name w:val="Table Grid"/>
    <w:basedOn w:val="TableNormal"/>
    <w:uiPriority w:val="59"/>
    <w:rsid w:val="007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CF"/>
    <w:rPr>
      <w:szCs w:val="22"/>
      <w:lang w:val="bg-BG" w:bidi="ar-SA"/>
    </w:rPr>
  </w:style>
  <w:style w:type="character" w:styleId="FollowedHyperlink">
    <w:name w:val="FollowedHyperlink"/>
    <w:basedOn w:val="DefaultParagraphFont"/>
    <w:uiPriority w:val="99"/>
    <w:semiHidden/>
    <w:unhideWhenUsed/>
    <w:rsid w:val="00066B82"/>
    <w:rPr>
      <w:color w:val="954F72" w:themeColor="followedHyperlink"/>
      <w:u w:val="single"/>
    </w:rPr>
  </w:style>
  <w:style w:type="character" w:customStyle="1" w:styleId="ListParagraphChar">
    <w:name w:val="List Paragraph Char"/>
    <w:aliases w:val="List Paragraph (numbered (a)) Char,List Paragraph Char Char Char Char,Use Case List Paragraph Char,List Paragraph2 Char,Bullet List Char,FooterText Char,List Paragraph1 Char,Colorful List Accent 1 Char,numbered Char,列出段落 Char"/>
    <w:basedOn w:val="DefaultParagraphFont"/>
    <w:link w:val="ListParagraph"/>
    <w:uiPriority w:val="34"/>
    <w:locked/>
    <w:rsid w:val="0065623F"/>
    <w:rPr>
      <w:rFonts w:ascii="Times New Roman" w:eastAsia="Times New Roman" w:hAnsi="Times New Roman" w:cs="Times New Roman"/>
      <w:szCs w:val="22"/>
      <w:lang w:val="bg-BG" w:bidi="ar-SA"/>
    </w:rPr>
  </w:style>
  <w:style w:type="character" w:customStyle="1" w:styleId="Heading1Char">
    <w:name w:val="Heading 1 Char"/>
    <w:basedOn w:val="DefaultParagraphFont"/>
    <w:link w:val="Heading1"/>
    <w:rsid w:val="00830090"/>
    <w:rPr>
      <w:rFonts w:ascii="Times New Roman" w:eastAsia="Times New Roman" w:hAnsi="Times New Roman" w:cs="Times New Roman"/>
      <w:kern w:val="28"/>
      <w:szCs w:val="22"/>
      <w:lang w:val="bg-BG" w:bidi="ar-SA"/>
    </w:rPr>
  </w:style>
  <w:style w:type="character" w:customStyle="1" w:styleId="Heading2Char">
    <w:name w:val="Heading 2 Char"/>
    <w:basedOn w:val="DefaultParagraphFont"/>
    <w:link w:val="Heading2"/>
    <w:rsid w:val="00830090"/>
    <w:rPr>
      <w:rFonts w:ascii="Times New Roman" w:eastAsia="Times New Roman" w:hAnsi="Times New Roman" w:cs="Times New Roman"/>
      <w:szCs w:val="22"/>
      <w:lang w:val="bg-BG" w:bidi="ar-SA"/>
    </w:rPr>
  </w:style>
  <w:style w:type="character" w:customStyle="1" w:styleId="Heading3Char">
    <w:name w:val="Heading 3 Char"/>
    <w:basedOn w:val="DefaultParagraphFont"/>
    <w:link w:val="Heading3"/>
    <w:rsid w:val="00830090"/>
    <w:rPr>
      <w:rFonts w:ascii="Times New Roman" w:eastAsia="Times New Roman" w:hAnsi="Times New Roman" w:cs="Times New Roman"/>
      <w:szCs w:val="22"/>
      <w:lang w:val="bg-BG" w:bidi="ar-SA"/>
    </w:rPr>
  </w:style>
  <w:style w:type="character" w:customStyle="1" w:styleId="Heading4Char">
    <w:name w:val="Heading 4 Char"/>
    <w:basedOn w:val="DefaultParagraphFont"/>
    <w:link w:val="Heading4"/>
    <w:rsid w:val="00830090"/>
    <w:rPr>
      <w:rFonts w:ascii="Times New Roman" w:eastAsia="Times New Roman" w:hAnsi="Times New Roman" w:cs="Times New Roman"/>
      <w:szCs w:val="22"/>
      <w:lang w:val="bg-BG" w:bidi="ar-SA"/>
    </w:rPr>
  </w:style>
  <w:style w:type="character" w:customStyle="1" w:styleId="Heading5Char">
    <w:name w:val="Heading 5 Char"/>
    <w:basedOn w:val="DefaultParagraphFont"/>
    <w:link w:val="Heading5"/>
    <w:rsid w:val="00830090"/>
    <w:rPr>
      <w:rFonts w:ascii="Times New Roman" w:eastAsia="Times New Roman" w:hAnsi="Times New Roman" w:cs="Times New Roman"/>
      <w:szCs w:val="22"/>
      <w:lang w:val="bg-BG" w:bidi="ar-SA"/>
    </w:rPr>
  </w:style>
  <w:style w:type="character" w:customStyle="1" w:styleId="Heading6Char">
    <w:name w:val="Heading 6 Char"/>
    <w:basedOn w:val="DefaultParagraphFont"/>
    <w:link w:val="Heading6"/>
    <w:rsid w:val="00830090"/>
    <w:rPr>
      <w:rFonts w:ascii="Times New Roman" w:eastAsia="Times New Roman" w:hAnsi="Times New Roman" w:cs="Times New Roman"/>
      <w:szCs w:val="22"/>
      <w:lang w:val="bg-BG" w:bidi="ar-SA"/>
    </w:rPr>
  </w:style>
  <w:style w:type="character" w:customStyle="1" w:styleId="Heading7Char">
    <w:name w:val="Heading 7 Char"/>
    <w:basedOn w:val="DefaultParagraphFont"/>
    <w:link w:val="Heading7"/>
    <w:rsid w:val="00830090"/>
    <w:rPr>
      <w:rFonts w:ascii="Times New Roman" w:eastAsia="Times New Roman" w:hAnsi="Times New Roman" w:cs="Times New Roman"/>
      <w:szCs w:val="22"/>
      <w:lang w:val="bg-BG" w:bidi="ar-SA"/>
    </w:rPr>
  </w:style>
  <w:style w:type="character" w:customStyle="1" w:styleId="Heading8Char">
    <w:name w:val="Heading 8 Char"/>
    <w:basedOn w:val="DefaultParagraphFont"/>
    <w:link w:val="Heading8"/>
    <w:rsid w:val="00830090"/>
    <w:rPr>
      <w:rFonts w:ascii="Times New Roman" w:eastAsia="Times New Roman" w:hAnsi="Times New Roman" w:cs="Times New Roman"/>
      <w:szCs w:val="22"/>
      <w:lang w:val="bg-BG" w:bidi="ar-SA"/>
    </w:rPr>
  </w:style>
  <w:style w:type="character" w:customStyle="1" w:styleId="Heading9Char">
    <w:name w:val="Heading 9 Char"/>
    <w:basedOn w:val="DefaultParagraphFont"/>
    <w:link w:val="Heading9"/>
    <w:rsid w:val="00830090"/>
    <w:rPr>
      <w:rFonts w:ascii="Times New Roman" w:eastAsia="Times New Roman" w:hAnsi="Times New Roman" w:cs="Times New Roman"/>
      <w:szCs w:val="22"/>
      <w:lang w:val="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bg/documents/resolution/involvement-organised-civil-society-national-recovery-and-resilience-plans-what-works-and-what-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V63NAVDT5PV3-1648642317-5041</_dlc_DocId>
    <_dlc_DocIdUrl xmlns="01cfe264-354f-4f3f-acd0-cf26eb309336">
      <Url>http://dm2016/eesc/2021/_layouts/15/DocIdRedir.aspx?ID=V63NAVDT5PV3-1648642317-5041</Url>
      <Description>V63NAVDT5PV3-1648642317-5041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2021-12-10T12:00:00+00:00</ProductionDate>
    <DocumentNumber xmlns="d442a82d-24cc-4721-bd32-c982b501ac21">5465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14428</FicheNumber>
    <OriginalSender xmlns="01cfe264-354f-4f3f-acd0-cf26eb309336">
      <UserInfo>
        <DisplayName>Ilieva Albena</DisplayName>
        <AccountId>2088</AccountId>
        <AccountType/>
      </UserInfo>
    </OriginalSend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295D2-28F1-475F-BBB1-AD999D179E0B}">
  <ds:schemaRefs>
    <ds:schemaRef ds:uri="http://schemas.microsoft.com/sharepoint/events"/>
  </ds:schemaRefs>
</ds:datastoreItem>
</file>

<file path=customXml/itemProps2.xml><?xml version="1.0" encoding="utf-8"?>
<ds:datastoreItem xmlns:ds="http://schemas.openxmlformats.org/officeDocument/2006/customXml" ds:itemID="{E8E1AA4E-AF0F-4C1D-BF63-90E644AD10EA}">
  <ds:schemaRefs>
    <ds:schemaRef ds:uri="http://schemas.microsoft.com/sharepoint/v3/contenttype/forms"/>
  </ds:schemaRefs>
</ds:datastoreItem>
</file>

<file path=customXml/itemProps3.xml><?xml version="1.0" encoding="utf-8"?>
<ds:datastoreItem xmlns:ds="http://schemas.openxmlformats.org/officeDocument/2006/customXml" ds:itemID="{B26BCFCD-32AF-457D-A81C-0F73B68265D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fields"/>
    <ds:schemaRef ds:uri="http://schemas.microsoft.com/office/infopath/2007/PartnerControls"/>
    <ds:schemaRef ds:uri="d442a82d-24cc-4721-bd32-c982b501ac21"/>
    <ds:schemaRef ds:uri="01cfe264-354f-4f3f-acd0-cf26eb309336"/>
    <ds:schemaRef ds:uri="http://www.w3.org/XML/1998/namespace"/>
    <ds:schemaRef ds:uri="http://purl.org/dc/dcmitype/"/>
  </ds:schemaRefs>
</ds:datastoreItem>
</file>

<file path=customXml/itemProps4.xml><?xml version="1.0" encoding="utf-8"?>
<ds:datastoreItem xmlns:ds="http://schemas.openxmlformats.org/officeDocument/2006/customXml" ds:itemID="{3FB1CF7C-4E10-4364-AF3A-B9E78E6C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14425</Characters>
  <Application>Microsoft Office Word</Application>
  <DocSecurity>4</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Заключения от годишната среща с икономическите и социалните съвети от ЕС</vt:lpstr>
      <vt:lpstr/>
    </vt:vector>
  </TitlesOfParts>
  <Company>EESC-ECOR</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Заключения от годишната среща с икономическите и социалните съвети от ЕС</dc:title>
  <dc:subject>INFO</dc:subject>
  <dc:creator>Ana Dumitrache</dc:creator>
  <cp:keywords>EESC-2021-05465-01-00-INFO-TRA-EN</cp:keywords>
  <dc:description>Rapporteur:  - Original language: EN - Date of document: 10-12-2021 - Date of meeting:  - External documents:  - Administrator: MME DUMITRACHE Ana</dc:description>
  <cp:lastModifiedBy>Sonia Calvy</cp:lastModifiedBy>
  <cp:revision>2</cp:revision>
  <dcterms:created xsi:type="dcterms:W3CDTF">2021-12-14T08:38:00Z</dcterms:created>
  <dcterms:modified xsi:type="dcterms:W3CDTF">2021-12-14T08:38:00Z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26/11/2021</vt:lpwstr>
  </property>
  <property fmtid="{D5CDD505-2E9C-101B-9397-08002B2CF9AE}" pid="4" name="Pref_Time">
    <vt:lpwstr>13:18:27</vt:lpwstr>
  </property>
  <property fmtid="{D5CDD505-2E9C-101B-9397-08002B2CF9AE}" pid="5" name="Pref_User">
    <vt:lpwstr>amett</vt:lpwstr>
  </property>
  <property fmtid="{D5CDD505-2E9C-101B-9397-08002B2CF9AE}" pid="6" name="Pref_FileName">
    <vt:lpwstr>EESC-2021-05465-01-00-INFO-ORI.docx</vt:lpwstr>
  </property>
  <property fmtid="{D5CDD505-2E9C-101B-9397-08002B2CF9AE}" pid="7" name="ContentTypeId">
    <vt:lpwstr>0x010100EA97B91038054C99906057A708A1480A004B06FA2060D04E4BBAF9E05CA34417ED</vt:lpwstr>
  </property>
  <property fmtid="{D5CDD505-2E9C-101B-9397-08002B2CF9AE}" pid="8" name="_dlc_DocIdItemGuid">
    <vt:lpwstr>947dd0f8-ad17-4a8c-a7a0-7bbb6bce4799</vt:lpwstr>
  </property>
  <property fmtid="{D5CDD505-2E9C-101B-9397-08002B2CF9AE}" pid="9" name="AvailableTranslations">
    <vt:lpwstr>42;#FI|87606a43-d45f-42d6-b8c9-e1a3457db5b7;#58;#MT|7df99101-6854-4a26-b53a-b88c0da02c26;#17;#NL|55c6556c-b4f4-441d-9acf-c498d4f838bd;#13;#PT|50ccc04a-eadd-42ae-a0cb-acaf45f812ba;#35;#PL|1e03da61-4678-4e07-b136-b5024ca9197b;#15;#LT|a7ff5ce7-6123-4f68-865a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5465</vt:i4>
  </property>
  <property fmtid="{D5CDD505-2E9C-101B-9397-08002B2CF9AE}" pid="14" name="DocumentYear">
    <vt:i4>2021</vt:i4>
  </property>
  <property fmtid="{D5CDD505-2E9C-101B-9397-08002B2CF9AE}" pid="15" name="DocumentVersion">
    <vt:i4>0</vt:i4>
  </property>
  <property fmtid="{D5CDD505-2E9C-101B-9397-08002B2CF9AE}" pid="16" name="FicheNumber">
    <vt:i4>14428</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Cabinet du Président</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MT|7df99101-6854-4a26-b53a-b88c0da02c26;PT|50ccc04a-eadd-42ae-a0cb-acaf45f812ba;PL|1e03da61-4678-4e07-b136-b5024ca9197b;SV|c2ed69e7-a339-43d7-8f22-d93680a92aa0;HU|6b229040-c589-4408-b4c1-4285663d20a8;CS|72f9705b-0217-4fd3-bea2-cbc7ed80e26e;RO|feb747a2-64c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35;#PL|1e03da61-4678-4e07-b136-b5024ca9197b;#11;#DE|f6b31e5a-26fa-4935-b661-318e46daf27e;#28;#ES|e7a6b05b-ae16-40c8-add9-68b64b03aeba;#12;#DA|5d49c027-8956-412b-aa16-e85a0f96ad0e;#25;#CS|72f9705b-0217-4fd3-bea2-cbc7ed80e26e;#21;#HU|6b229040-c589-4408-b4c1</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41;#BG|1a1b3951-7821-4e6a-85f5-5673fc08bd2c</vt:lpwstr>
  </property>
</Properties>
</file>