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CF6816" w14:textId="77777777" w:rsidR="006A6E6E" w:rsidRPr="00855751" w:rsidRDefault="007473C1" w:rsidP="00855751">
      <w:pPr>
        <w:pStyle w:val="Title"/>
        <w:shd w:val="clear" w:color="auto" w:fill="B9E1FF"/>
      </w:pPr>
      <w:bookmarkStart w:id="0" w:name="_GoBack"/>
      <w:bookmarkEnd w:id="0"/>
      <w:r w:rsidRPr="00682C64">
        <w:t>Provisional</w:t>
      </w:r>
      <w:r>
        <w:br/>
      </w:r>
      <w:r w:rsidR="006A6E6E" w:rsidRPr="00855751">
        <w:t xml:space="preserve">Rules of procedure of the </w:t>
      </w:r>
      <w:r w:rsidR="005C72C8" w:rsidRPr="00855751">
        <w:t xml:space="preserve">EU </w:t>
      </w:r>
      <w:r w:rsidR="00290D42" w:rsidRPr="00855751">
        <w:t xml:space="preserve">Domestic </w:t>
      </w:r>
      <w:r w:rsidR="006A6E6E" w:rsidRPr="00855751">
        <w:t xml:space="preserve">Advisory Group </w:t>
      </w:r>
      <w:r w:rsidR="00054085" w:rsidRPr="00855751">
        <w:t>set up under Article 13 of the EU-UK Trade and Cooperation Agreement</w:t>
      </w:r>
    </w:p>
    <w:p w14:paraId="30D91D43" w14:textId="0059A099" w:rsidR="00054085" w:rsidRPr="00054085" w:rsidRDefault="000C5AC8" w:rsidP="00054085">
      <w:pPr>
        <w:jc w:val="center"/>
      </w:pPr>
      <w:r>
        <w:t>Adopted on 4 February</w:t>
      </w:r>
      <w:r w:rsidR="00054085">
        <w:t xml:space="preserve"> 2022</w:t>
      </w:r>
    </w:p>
    <w:p w14:paraId="14446431" w14:textId="77777777" w:rsidR="00F012B6" w:rsidRPr="008B0A6B" w:rsidRDefault="00F012B6" w:rsidP="00413B32">
      <w:pPr>
        <w:rPr>
          <w:b/>
          <w:szCs w:val="22"/>
        </w:rPr>
      </w:pPr>
    </w:p>
    <w:p w14:paraId="1EC45EE7" w14:textId="77777777" w:rsidR="00855751" w:rsidRPr="00DE0A63" w:rsidRDefault="00855751" w:rsidP="00DE0A63">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DE0A63">
        <w:rPr>
          <w:color w:val="808080"/>
          <w:sz w:val="24"/>
          <w:szCs w:val="24"/>
        </w:rPr>
        <w:t>Main functions and objectives of the EU Domestic Advisory Group (EU DAG)</w:t>
      </w:r>
    </w:p>
    <w:tbl>
      <w:tblPr>
        <w:tblW w:w="9878" w:type="dxa"/>
        <w:tblBorders>
          <w:insideH w:val="single" w:sz="4" w:space="0" w:color="E7E6E6"/>
        </w:tblBorders>
        <w:tblLook w:val="04A0" w:firstRow="1" w:lastRow="0" w:firstColumn="1" w:lastColumn="0" w:noHBand="0" w:noVBand="1"/>
      </w:tblPr>
      <w:tblGrid>
        <w:gridCol w:w="1418"/>
        <w:gridCol w:w="8460"/>
      </w:tblGrid>
      <w:tr w:rsidR="00855751" w14:paraId="543773D1" w14:textId="77777777" w:rsidTr="00682C64">
        <w:tc>
          <w:tcPr>
            <w:tcW w:w="1418" w:type="dxa"/>
            <w:shd w:val="clear" w:color="auto" w:fill="auto"/>
            <w:vAlign w:val="center"/>
          </w:tcPr>
          <w:p w14:paraId="6E79991C" w14:textId="77777777" w:rsidR="00407A25" w:rsidRPr="00682C64" w:rsidRDefault="00DE0A63" w:rsidP="00407A25">
            <w:pPr>
              <w:rPr>
                <w:color w:val="005DA2"/>
                <w:sz w:val="20"/>
              </w:rPr>
            </w:pPr>
            <w:r w:rsidRPr="00682C64">
              <w:rPr>
                <w:color w:val="005DA2"/>
                <w:sz w:val="20"/>
              </w:rPr>
              <w:t>1.1</w:t>
            </w:r>
          </w:p>
          <w:p w14:paraId="49F3B52B" w14:textId="77777777" w:rsidR="00855751" w:rsidRPr="00682C64" w:rsidRDefault="00407A25" w:rsidP="00682C64">
            <w:pPr>
              <w:jc w:val="left"/>
              <w:rPr>
                <w:color w:val="005DA2"/>
                <w:sz w:val="20"/>
              </w:rPr>
            </w:pPr>
            <w:r w:rsidRPr="00682C64">
              <w:rPr>
                <w:color w:val="005DA2"/>
                <w:sz w:val="20"/>
              </w:rPr>
              <w:t>Function &amp; objectives</w:t>
            </w:r>
          </w:p>
        </w:tc>
        <w:tc>
          <w:tcPr>
            <w:tcW w:w="8460" w:type="dxa"/>
            <w:shd w:val="clear" w:color="auto" w:fill="auto"/>
          </w:tcPr>
          <w:p w14:paraId="2579FEFA" w14:textId="77777777" w:rsidR="00855751" w:rsidRPr="00C17807" w:rsidRDefault="00855751" w:rsidP="00C17807">
            <w:pPr>
              <w:spacing w:before="180" w:after="180"/>
              <w:rPr>
                <w:sz w:val="20"/>
              </w:rPr>
            </w:pPr>
            <w:r w:rsidRPr="00682C64">
              <w:rPr>
                <w:sz w:val="20"/>
              </w:rPr>
              <w:t>The main purpose of the EU DAG is to express its views and opinions on the implementation of the E</w:t>
            </w:r>
            <w:r w:rsidR="005A5EAE" w:rsidRPr="00682C64">
              <w:rPr>
                <w:sz w:val="20"/>
              </w:rPr>
              <w:t>uropean Union (E</w:t>
            </w:r>
            <w:r w:rsidRPr="00682C64">
              <w:rPr>
                <w:sz w:val="20"/>
              </w:rPr>
              <w:t>U</w:t>
            </w:r>
            <w:r w:rsidR="005A5EAE" w:rsidRPr="00682C64">
              <w:rPr>
                <w:sz w:val="20"/>
              </w:rPr>
              <w:t>) – United Kingdom of Great Britain and Northern Ireland (</w:t>
            </w:r>
            <w:r w:rsidRPr="00682C64">
              <w:rPr>
                <w:sz w:val="20"/>
              </w:rPr>
              <w:t>UK</w:t>
            </w:r>
            <w:r w:rsidR="005A5EAE" w:rsidRPr="00682C64">
              <w:rPr>
                <w:sz w:val="20"/>
              </w:rPr>
              <w:t>)</w:t>
            </w:r>
            <w:r w:rsidRPr="00682C64">
              <w:rPr>
                <w:sz w:val="20"/>
              </w:rPr>
              <w:t xml:space="preserve"> Trade and Cooperation Agreement (TCA). The EU DAG shall be consulted by the EU-side Party and submit its opinions on its own initiative. It may submit its observations on the follow-up actions or measures following the Panel of Experts' final report to the Trade Partnership Committee. The EU DAG shall seek information from the European Commission on any matters pertaining to the TCA.</w:t>
            </w:r>
          </w:p>
        </w:tc>
      </w:tr>
    </w:tbl>
    <w:p w14:paraId="6E62FF33" w14:textId="4FAC0830" w:rsidR="00413B32" w:rsidRPr="00855751" w:rsidRDefault="00855751" w:rsidP="00DE0A63">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55751">
        <w:rPr>
          <w:color w:val="808080"/>
          <w:sz w:val="24"/>
          <w:szCs w:val="24"/>
        </w:rPr>
        <w:t>Composition an</w:t>
      </w:r>
      <w:r>
        <w:rPr>
          <w:color w:val="808080"/>
          <w:sz w:val="24"/>
          <w:szCs w:val="24"/>
        </w:rPr>
        <w:t>d</w:t>
      </w:r>
      <w:r w:rsidRPr="00855751">
        <w:rPr>
          <w:color w:val="808080"/>
          <w:sz w:val="24"/>
          <w:szCs w:val="24"/>
        </w:rPr>
        <w:t xml:space="preserve"> membership of the EU DAG</w:t>
      </w:r>
      <w:r w:rsidR="00922EED" w:rsidRPr="00855751">
        <w:rPr>
          <w:noProof/>
          <w:color w:val="808080"/>
          <w:sz w:val="24"/>
          <w:szCs w:val="24"/>
          <w:lang w:val="fr-BE" w:eastAsia="fr-BE"/>
        </w:rPr>
        <mc:AlternateContent>
          <mc:Choice Requires="wps">
            <w:drawing>
              <wp:anchor distT="0" distB="0" distL="114300" distR="114300" simplePos="0" relativeHeight="251656704" behindDoc="1" locked="0" layoutInCell="1" allowOverlap="1" wp14:anchorId="1783E81E" wp14:editId="735CF190">
                <wp:simplePos x="0" y="0"/>
                <wp:positionH relativeFrom="page">
                  <wp:posOffset>6642100</wp:posOffset>
                </wp:positionH>
                <wp:positionV relativeFrom="page">
                  <wp:posOffset>10085070</wp:posOffset>
                </wp:positionV>
                <wp:extent cx="647700" cy="3962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4BF41" w14:textId="77777777" w:rsidR="005F79CD" w:rsidRDefault="005F79CD">
                            <w:pPr>
                              <w:jc w:val="center"/>
                              <w:rPr>
                                <w:rFonts w:ascii="Arial" w:hAnsi="Arial" w:cs="Arial"/>
                                <w:b/>
                                <w:bCs/>
                                <w:sz w:val="48"/>
                                <w:szCs w:val="48"/>
                              </w:rPr>
                            </w:pPr>
                            <w:r>
                              <w:rPr>
                                <w:rFonts w:ascii="Arial" w:hAnsi="Arial" w:cs="Arial"/>
                                <w:b/>
                                <w:bCs/>
                                <w:noProof/>
                                <w:sz w:val="48"/>
                                <w:szCs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83E81E" id="_x0000_t202" coordsize="21600,21600" o:spt="202" path="m,l,21600r21600,l21600,xe">
                <v:stroke joinstyle="miter"/>
                <v:path gradientshapeok="t" o:connecttype="rect"/>
              </v:shapetype>
              <v:shape id="Text Box 2" o:spid="_x0000_s1026" type="#_x0000_t202" style="position:absolute;left:0;text-align:left;margin-left:523pt;margin-top:794.1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HcntQIAALg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q8xErSDFj2y0aA7OaLI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" filled="f" stroked="f">
                <v:textbox>
                  <w:txbxContent>
                    <w:p w14:paraId="4844BF41" w14:textId="77777777" w:rsidR="005F79CD" w:rsidRDefault="005F79CD">
                      <w:pPr>
                        <w:jc w:val="center"/>
                        <w:rPr>
                          <w:rFonts w:ascii="Arial" w:hAnsi="Arial" w:cs="Arial"/>
                          <w:b/>
                          <w:bCs/>
                          <w:sz w:val="48"/>
                          <w:szCs w:val="48"/>
                        </w:rPr>
                      </w:pPr>
                      <w:r>
                        <w:rPr>
                          <w:rFonts w:ascii="Arial" w:hAnsi="Arial" w:cs="Arial"/>
                          <w:b/>
                          <w:bCs/>
                          <w:noProof/>
                          <w:sz w:val="48"/>
                          <w:szCs w:val="48"/>
                        </w:rPr>
                        <w:t>EN</w:t>
                      </w:r>
                    </w:p>
                  </w:txbxContent>
                </v:textbox>
                <w10:wrap anchorx="page" anchory="page"/>
              </v:shape>
            </w:pict>
          </mc:Fallback>
        </mc:AlternateContent>
      </w:r>
    </w:p>
    <w:tbl>
      <w:tblPr>
        <w:tblW w:w="9878" w:type="dxa"/>
        <w:tblBorders>
          <w:insideH w:val="single" w:sz="4" w:space="0" w:color="E7E6E6"/>
        </w:tblBorders>
        <w:tblLayout w:type="fixed"/>
        <w:tblLook w:val="04A0" w:firstRow="1" w:lastRow="0" w:firstColumn="1" w:lastColumn="0" w:noHBand="0" w:noVBand="1"/>
      </w:tblPr>
      <w:tblGrid>
        <w:gridCol w:w="1418"/>
        <w:gridCol w:w="8460"/>
      </w:tblGrid>
      <w:tr w:rsidR="00855751" w14:paraId="759503F7" w14:textId="77777777" w:rsidTr="00682C64">
        <w:tc>
          <w:tcPr>
            <w:tcW w:w="1418" w:type="dxa"/>
            <w:shd w:val="clear" w:color="auto" w:fill="auto"/>
            <w:vAlign w:val="center"/>
          </w:tcPr>
          <w:p w14:paraId="66E54568" w14:textId="77777777" w:rsidR="00855751" w:rsidRPr="00682C64" w:rsidRDefault="00DE0A63" w:rsidP="00682C64">
            <w:pPr>
              <w:jc w:val="left"/>
              <w:rPr>
                <w:color w:val="005DA2"/>
                <w:sz w:val="20"/>
              </w:rPr>
            </w:pPr>
            <w:r w:rsidRPr="00682C64">
              <w:rPr>
                <w:color w:val="005DA2"/>
                <w:sz w:val="20"/>
              </w:rPr>
              <w:t>2.1</w:t>
            </w:r>
          </w:p>
          <w:p w14:paraId="04A4869E" w14:textId="77777777" w:rsidR="00407A25" w:rsidRPr="00682C64" w:rsidRDefault="00407A25" w:rsidP="00682C64">
            <w:pPr>
              <w:jc w:val="left"/>
              <w:rPr>
                <w:color w:val="005DA2"/>
                <w:sz w:val="20"/>
              </w:rPr>
            </w:pPr>
            <w:r w:rsidRPr="00682C64">
              <w:rPr>
                <w:color w:val="005DA2"/>
                <w:sz w:val="20"/>
              </w:rPr>
              <w:t>Members</w:t>
            </w:r>
          </w:p>
        </w:tc>
        <w:tc>
          <w:tcPr>
            <w:tcW w:w="8460" w:type="dxa"/>
            <w:shd w:val="clear" w:color="auto" w:fill="auto"/>
          </w:tcPr>
          <w:p w14:paraId="36CD1B17" w14:textId="3363D7F6" w:rsidR="00855751" w:rsidRPr="00C17807" w:rsidRDefault="00855751" w:rsidP="00407A25">
            <w:pPr>
              <w:spacing w:before="180" w:after="180"/>
              <w:rPr>
                <w:sz w:val="20"/>
              </w:rPr>
            </w:pPr>
            <w:r w:rsidRPr="00682C64">
              <w:rPr>
                <w:sz w:val="20"/>
              </w:rPr>
              <w:t>The EU DAG shall be composed of members</w:t>
            </w:r>
            <w:r w:rsidRPr="00682C64">
              <w:rPr>
                <w:sz w:val="20"/>
                <w:vertAlign w:val="superscript"/>
              </w:rPr>
              <w:footnoteReference w:id="1"/>
            </w:r>
            <w:r w:rsidR="006E1D9F" w:rsidRPr="00682C64">
              <w:rPr>
                <w:sz w:val="20"/>
              </w:rPr>
              <w:t xml:space="preserve"> and</w:t>
            </w:r>
            <w:r w:rsidRPr="00682C64">
              <w:rPr>
                <w:sz w:val="20"/>
              </w:rPr>
              <w:t xml:space="preserve"> </w:t>
            </w:r>
            <w:r w:rsidR="00F11988" w:rsidRPr="00682C64">
              <w:rPr>
                <w:sz w:val="20"/>
              </w:rPr>
              <w:t>permanent observers</w:t>
            </w:r>
            <w:r w:rsidRPr="00682C64">
              <w:rPr>
                <w:sz w:val="20"/>
              </w:rPr>
              <w:t>. The number of total members shall be 30 (thirty)</w:t>
            </w:r>
            <w:r w:rsidR="00407A25" w:rsidRPr="00682C64">
              <w:rPr>
                <w:sz w:val="20"/>
              </w:rPr>
              <w:t>: 24 (twenty-four) members representing European civil society organisations and 6 (six) members of the European Economic and Social Committee (EESC)</w:t>
            </w:r>
            <w:r w:rsidR="00407A25" w:rsidRPr="00682C64">
              <w:rPr>
                <w:sz w:val="20"/>
                <w:vertAlign w:val="superscript"/>
              </w:rPr>
              <w:footnoteReference w:id="2"/>
            </w:r>
            <w:r w:rsidRPr="00682C64">
              <w:rPr>
                <w:sz w:val="20"/>
              </w:rPr>
              <w:t>. Only the organisations acting as members will have the right to vote..</w:t>
            </w:r>
          </w:p>
        </w:tc>
      </w:tr>
      <w:tr w:rsidR="00DE0A63" w14:paraId="457EB413" w14:textId="77777777" w:rsidTr="00682C64">
        <w:tc>
          <w:tcPr>
            <w:tcW w:w="1418" w:type="dxa"/>
            <w:shd w:val="clear" w:color="auto" w:fill="auto"/>
            <w:vAlign w:val="center"/>
          </w:tcPr>
          <w:p w14:paraId="70C606ED" w14:textId="77777777" w:rsidR="00DE0A63" w:rsidRDefault="00DE0A63" w:rsidP="00682C64">
            <w:pPr>
              <w:jc w:val="left"/>
              <w:rPr>
                <w:color w:val="005DA2"/>
                <w:sz w:val="20"/>
              </w:rPr>
            </w:pPr>
            <w:r w:rsidRPr="00407A25">
              <w:rPr>
                <w:color w:val="005DA2"/>
                <w:sz w:val="20"/>
              </w:rPr>
              <w:t>2.2</w:t>
            </w:r>
          </w:p>
          <w:p w14:paraId="78049706" w14:textId="77777777" w:rsidR="00407A25" w:rsidRPr="00407A25" w:rsidRDefault="00407A25" w:rsidP="00682C64">
            <w:pPr>
              <w:jc w:val="left"/>
              <w:rPr>
                <w:color w:val="005DA2"/>
                <w:sz w:val="20"/>
              </w:rPr>
            </w:pPr>
            <w:r>
              <w:rPr>
                <w:color w:val="005DA2"/>
                <w:sz w:val="20"/>
              </w:rPr>
              <w:t>Mandate</w:t>
            </w:r>
          </w:p>
        </w:tc>
        <w:tc>
          <w:tcPr>
            <w:tcW w:w="8460" w:type="dxa"/>
            <w:shd w:val="clear" w:color="auto" w:fill="auto"/>
          </w:tcPr>
          <w:p w14:paraId="6322B4CB" w14:textId="77777777" w:rsidR="00DE0A63" w:rsidRPr="00C17807" w:rsidRDefault="00DE0A63" w:rsidP="00F11988">
            <w:pPr>
              <w:spacing w:before="180" w:after="180"/>
              <w:rPr>
                <w:sz w:val="20"/>
              </w:rPr>
            </w:pPr>
            <w:r w:rsidRPr="00C17807">
              <w:rPr>
                <w:sz w:val="20"/>
              </w:rPr>
              <w:t xml:space="preserve">The members and the </w:t>
            </w:r>
            <w:r w:rsidR="00F11988">
              <w:rPr>
                <w:sz w:val="20"/>
              </w:rPr>
              <w:t>permanent observers</w:t>
            </w:r>
            <w:r w:rsidRPr="00C17807">
              <w:rPr>
                <w:sz w:val="20"/>
              </w:rPr>
              <w:t xml:space="preserve"> of the EU DAG shall be appointed for a two-and-a-half-year term (aligned with the EESC mandate) with the possibility of renewal for individual members</w:t>
            </w:r>
            <w:r w:rsidR="00F11988">
              <w:rPr>
                <w:rStyle w:val="FootnoteReference"/>
              </w:rPr>
              <w:footnoteReference w:id="3"/>
            </w:r>
            <w:r w:rsidRPr="00C17807">
              <w:rPr>
                <w:sz w:val="20"/>
              </w:rPr>
              <w:t>.</w:t>
            </w:r>
          </w:p>
        </w:tc>
      </w:tr>
      <w:tr w:rsidR="00DE0A63" w14:paraId="00ADE3D3" w14:textId="77777777" w:rsidTr="00682C64">
        <w:tc>
          <w:tcPr>
            <w:tcW w:w="1418" w:type="dxa"/>
            <w:shd w:val="clear" w:color="auto" w:fill="auto"/>
            <w:vAlign w:val="center"/>
          </w:tcPr>
          <w:p w14:paraId="28CF1F0F" w14:textId="77777777" w:rsidR="00DE0A63" w:rsidRDefault="00DE0A63" w:rsidP="00682C64">
            <w:pPr>
              <w:jc w:val="left"/>
              <w:rPr>
                <w:color w:val="005DA2"/>
                <w:sz w:val="20"/>
              </w:rPr>
            </w:pPr>
            <w:r w:rsidRPr="00407A25">
              <w:rPr>
                <w:color w:val="005DA2"/>
                <w:sz w:val="20"/>
              </w:rPr>
              <w:t>2.3</w:t>
            </w:r>
          </w:p>
          <w:p w14:paraId="2CE75A57" w14:textId="77777777" w:rsidR="00407A25" w:rsidRPr="00407A25" w:rsidRDefault="00407A25" w:rsidP="00682C64">
            <w:pPr>
              <w:jc w:val="left"/>
              <w:rPr>
                <w:color w:val="005DA2"/>
                <w:sz w:val="20"/>
              </w:rPr>
            </w:pPr>
            <w:r>
              <w:rPr>
                <w:color w:val="005DA2"/>
                <w:sz w:val="20"/>
              </w:rPr>
              <w:t>Interim</w:t>
            </w:r>
          </w:p>
        </w:tc>
        <w:tc>
          <w:tcPr>
            <w:tcW w:w="8460" w:type="dxa"/>
            <w:shd w:val="clear" w:color="auto" w:fill="auto"/>
          </w:tcPr>
          <w:p w14:paraId="428197EB" w14:textId="77777777" w:rsidR="00DE0A63" w:rsidRPr="00C17807" w:rsidRDefault="00DE0A63" w:rsidP="00C17807">
            <w:pPr>
              <w:spacing w:before="180" w:after="180"/>
              <w:rPr>
                <w:sz w:val="20"/>
              </w:rPr>
            </w:pPr>
            <w:r w:rsidRPr="00C17807">
              <w:rPr>
                <w:sz w:val="20"/>
              </w:rPr>
              <w:t>Following expiry of the mandate, the EU DAG shall stay in office as the acting body until the first meeting held under the new term.</w:t>
            </w:r>
          </w:p>
        </w:tc>
      </w:tr>
      <w:tr w:rsidR="00DE0A63" w14:paraId="7576E390" w14:textId="77777777" w:rsidTr="00682C64">
        <w:tc>
          <w:tcPr>
            <w:tcW w:w="1418" w:type="dxa"/>
            <w:shd w:val="clear" w:color="auto" w:fill="auto"/>
            <w:vAlign w:val="center"/>
          </w:tcPr>
          <w:p w14:paraId="2A09B3C6" w14:textId="77777777" w:rsidR="00DE0A63" w:rsidRDefault="00DE0A63" w:rsidP="00682C64">
            <w:pPr>
              <w:jc w:val="left"/>
              <w:rPr>
                <w:color w:val="005DA2"/>
                <w:sz w:val="20"/>
              </w:rPr>
            </w:pPr>
            <w:r w:rsidRPr="00407A25">
              <w:rPr>
                <w:color w:val="005DA2"/>
                <w:sz w:val="20"/>
              </w:rPr>
              <w:t>2.4</w:t>
            </w:r>
          </w:p>
          <w:p w14:paraId="51428D85" w14:textId="77777777" w:rsidR="00407A25" w:rsidRPr="00407A25" w:rsidRDefault="00407A25" w:rsidP="00682C64">
            <w:pPr>
              <w:jc w:val="left"/>
              <w:rPr>
                <w:color w:val="005DA2"/>
                <w:sz w:val="20"/>
              </w:rPr>
            </w:pPr>
            <w:r>
              <w:rPr>
                <w:color w:val="005DA2"/>
                <w:sz w:val="20"/>
              </w:rPr>
              <w:t>Subgroups</w:t>
            </w:r>
          </w:p>
        </w:tc>
        <w:tc>
          <w:tcPr>
            <w:tcW w:w="8460" w:type="dxa"/>
            <w:shd w:val="clear" w:color="auto" w:fill="auto"/>
          </w:tcPr>
          <w:p w14:paraId="013BFD73" w14:textId="77777777" w:rsidR="00DE0A63" w:rsidRPr="00C17807" w:rsidRDefault="00DE0A63" w:rsidP="00C17807">
            <w:pPr>
              <w:spacing w:before="180" w:after="180"/>
              <w:rPr>
                <w:szCs w:val="22"/>
              </w:rPr>
            </w:pPr>
            <w:r w:rsidRPr="00C17807">
              <w:rPr>
                <w:sz w:val="20"/>
              </w:rPr>
              <w:t>A balanced representation of independent economic, social and environmental stakeholders, including employers, workers' organisations, environmental groups and other relevant stakeholders shall be ensured. The members of the EU DAG shall be divided accordingly into three equal subgroups – business, labour and other organisations.</w:t>
            </w:r>
          </w:p>
        </w:tc>
      </w:tr>
      <w:tr w:rsidR="00AB2AC4" w14:paraId="76191D4F" w14:textId="77777777" w:rsidTr="00682C64">
        <w:tc>
          <w:tcPr>
            <w:tcW w:w="1418" w:type="dxa"/>
            <w:shd w:val="clear" w:color="auto" w:fill="auto"/>
            <w:vAlign w:val="center"/>
          </w:tcPr>
          <w:p w14:paraId="553BB1FE" w14:textId="77777777" w:rsidR="00AB2AC4" w:rsidRDefault="00407A25" w:rsidP="00682C64">
            <w:pPr>
              <w:jc w:val="left"/>
              <w:rPr>
                <w:color w:val="005DA2"/>
                <w:sz w:val="20"/>
              </w:rPr>
            </w:pPr>
            <w:r>
              <w:rPr>
                <w:color w:val="005DA2"/>
                <w:sz w:val="20"/>
              </w:rPr>
              <w:t>2.5</w:t>
            </w:r>
          </w:p>
          <w:p w14:paraId="6E284EA3" w14:textId="77777777" w:rsidR="00407A25" w:rsidRPr="00407A25" w:rsidRDefault="00407A25" w:rsidP="00682C64">
            <w:pPr>
              <w:jc w:val="left"/>
              <w:rPr>
                <w:color w:val="005DA2"/>
                <w:sz w:val="20"/>
              </w:rPr>
            </w:pPr>
            <w:r>
              <w:rPr>
                <w:color w:val="005DA2"/>
                <w:sz w:val="20"/>
              </w:rPr>
              <w:t>Alternates</w:t>
            </w:r>
          </w:p>
        </w:tc>
        <w:tc>
          <w:tcPr>
            <w:tcW w:w="8460" w:type="dxa"/>
            <w:shd w:val="clear" w:color="auto" w:fill="auto"/>
          </w:tcPr>
          <w:p w14:paraId="1B5DBC9A" w14:textId="02E8247F" w:rsidR="00AB2AC4" w:rsidRPr="000C5AC8" w:rsidRDefault="006E1D9F" w:rsidP="00E658EE">
            <w:pPr>
              <w:spacing w:before="180"/>
              <w:rPr>
                <w:sz w:val="20"/>
                <w:lang w:val="en-US"/>
              </w:rPr>
            </w:pPr>
            <w:r w:rsidRPr="000C5AC8">
              <w:rPr>
                <w:sz w:val="20"/>
                <w:lang w:val="en-US"/>
              </w:rPr>
              <w:t xml:space="preserve">Each EU DAG member may designate an alternate </w:t>
            </w:r>
            <w:r w:rsidR="00AB2AC4" w:rsidRPr="000C5AC8">
              <w:rPr>
                <w:sz w:val="20"/>
                <w:lang w:val="en-US"/>
              </w:rPr>
              <w:t xml:space="preserve">to ensure the continuity of the work of the </w:t>
            </w:r>
            <w:r w:rsidR="00E658EE" w:rsidRPr="000C5AC8">
              <w:rPr>
                <w:sz w:val="20"/>
                <w:lang w:val="en-US"/>
              </w:rPr>
              <w:t>EU DAG</w:t>
            </w:r>
            <w:r w:rsidR="00AB2AC4" w:rsidRPr="000C5AC8">
              <w:rPr>
                <w:sz w:val="20"/>
                <w:lang w:val="en-US"/>
              </w:rPr>
              <w:t>.</w:t>
            </w:r>
          </w:p>
        </w:tc>
      </w:tr>
      <w:tr w:rsidR="00CB1065" w14:paraId="1791600C" w14:textId="77777777" w:rsidTr="00682C64">
        <w:tc>
          <w:tcPr>
            <w:tcW w:w="1418" w:type="dxa"/>
            <w:shd w:val="clear" w:color="auto" w:fill="auto"/>
            <w:vAlign w:val="center"/>
          </w:tcPr>
          <w:p w14:paraId="3C8656D6" w14:textId="77777777" w:rsidR="00CB1065" w:rsidRDefault="00CB1065" w:rsidP="00682C64">
            <w:pPr>
              <w:jc w:val="left"/>
              <w:rPr>
                <w:color w:val="005DA2"/>
                <w:sz w:val="20"/>
              </w:rPr>
            </w:pPr>
            <w:r w:rsidRPr="00407A25">
              <w:rPr>
                <w:color w:val="005DA2"/>
                <w:sz w:val="20"/>
              </w:rPr>
              <w:t>2</w:t>
            </w:r>
            <w:r w:rsidR="00407A25">
              <w:rPr>
                <w:color w:val="005DA2"/>
                <w:sz w:val="20"/>
              </w:rPr>
              <w:t>.6</w:t>
            </w:r>
          </w:p>
          <w:p w14:paraId="08BE2264" w14:textId="77777777" w:rsidR="00407A25" w:rsidRPr="00407A25" w:rsidRDefault="00407A25" w:rsidP="00682C64">
            <w:pPr>
              <w:jc w:val="left"/>
              <w:rPr>
                <w:color w:val="005DA2"/>
                <w:sz w:val="20"/>
              </w:rPr>
            </w:pPr>
            <w:r>
              <w:rPr>
                <w:color w:val="005DA2"/>
                <w:sz w:val="20"/>
              </w:rPr>
              <w:t>Vacant seats</w:t>
            </w:r>
          </w:p>
        </w:tc>
        <w:tc>
          <w:tcPr>
            <w:tcW w:w="8460" w:type="dxa"/>
            <w:shd w:val="clear" w:color="auto" w:fill="auto"/>
          </w:tcPr>
          <w:p w14:paraId="013A1738" w14:textId="77777777" w:rsidR="00355DA5" w:rsidRDefault="00CB1065" w:rsidP="00C17807">
            <w:pPr>
              <w:spacing w:before="180"/>
              <w:rPr>
                <w:sz w:val="20"/>
              </w:rPr>
            </w:pPr>
            <w:r w:rsidRPr="00C17807">
              <w:rPr>
                <w:sz w:val="20"/>
              </w:rPr>
              <w:t>If a seat occupied by an EESC member becomes vacant, a new member will be appointed by the EESC according to its internal procedures.</w:t>
            </w:r>
          </w:p>
          <w:p w14:paraId="2C997E5C" w14:textId="77777777" w:rsidR="00CB1065" w:rsidRPr="00C17807" w:rsidRDefault="00355DA5" w:rsidP="00C17807">
            <w:pPr>
              <w:spacing w:before="180"/>
              <w:rPr>
                <w:sz w:val="20"/>
              </w:rPr>
            </w:pPr>
            <w:r w:rsidRPr="00C17807">
              <w:rPr>
                <w:sz w:val="20"/>
              </w:rPr>
              <w:lastRenderedPageBreak/>
              <w:t>If a seat occupied by a non-EESC member becomes vacant, a new member shall be appointed by DG TRADE after consultation with the members of the relevant subgroup, taking into account the need for balanced representation within the EU DAG.</w:t>
            </w:r>
          </w:p>
        </w:tc>
      </w:tr>
      <w:tr w:rsidR="00CB1065" w14:paraId="7C3E6032" w14:textId="77777777" w:rsidTr="00682C64">
        <w:tc>
          <w:tcPr>
            <w:tcW w:w="1418" w:type="dxa"/>
            <w:shd w:val="clear" w:color="auto" w:fill="auto"/>
            <w:vAlign w:val="center"/>
          </w:tcPr>
          <w:p w14:paraId="3F1E7C6C" w14:textId="77777777" w:rsidR="00CB1065" w:rsidRDefault="00CB1065" w:rsidP="00682C64">
            <w:pPr>
              <w:jc w:val="left"/>
              <w:rPr>
                <w:color w:val="005DA2"/>
                <w:sz w:val="20"/>
              </w:rPr>
            </w:pPr>
            <w:r w:rsidRPr="00407A25">
              <w:rPr>
                <w:color w:val="005DA2"/>
                <w:sz w:val="20"/>
              </w:rPr>
              <w:lastRenderedPageBreak/>
              <w:t>2.</w:t>
            </w:r>
            <w:r w:rsidR="00407A25">
              <w:rPr>
                <w:color w:val="005DA2"/>
                <w:sz w:val="20"/>
              </w:rPr>
              <w:t>7</w:t>
            </w:r>
          </w:p>
          <w:p w14:paraId="0F980514" w14:textId="77777777" w:rsidR="00407A25" w:rsidRPr="00407A25" w:rsidRDefault="00407A25" w:rsidP="00682C64">
            <w:pPr>
              <w:jc w:val="left"/>
              <w:rPr>
                <w:color w:val="005DA2"/>
                <w:sz w:val="20"/>
              </w:rPr>
            </w:pPr>
            <w:r>
              <w:rPr>
                <w:color w:val="005DA2"/>
                <w:sz w:val="20"/>
              </w:rPr>
              <w:t>Absences</w:t>
            </w:r>
          </w:p>
        </w:tc>
        <w:tc>
          <w:tcPr>
            <w:tcW w:w="8460" w:type="dxa"/>
            <w:shd w:val="clear" w:color="auto" w:fill="auto"/>
          </w:tcPr>
          <w:p w14:paraId="56079726" w14:textId="77777777" w:rsidR="00CB1065" w:rsidRPr="00C17807" w:rsidRDefault="00CB1065" w:rsidP="00C17807">
            <w:pPr>
              <w:spacing w:before="180"/>
              <w:rPr>
                <w:sz w:val="20"/>
              </w:rPr>
            </w:pPr>
            <w:r w:rsidRPr="00C17807">
              <w:rPr>
                <w:sz w:val="20"/>
              </w:rPr>
              <w:t>In case of repeated and not justified absence or absence of activity of one of the organisations or of an EESC member in meetings and work of the EU DAG, the Chair will consult the remaining EU DAG members with regard to replacing the organisation or the EESC member in question with another one, belonging to the same subgroup.</w:t>
            </w:r>
          </w:p>
        </w:tc>
      </w:tr>
      <w:tr w:rsidR="00407A25" w:rsidRPr="00D767FB" w14:paraId="7B9417B1" w14:textId="77777777" w:rsidTr="00682C64">
        <w:tc>
          <w:tcPr>
            <w:tcW w:w="1418" w:type="dxa"/>
            <w:shd w:val="clear" w:color="auto" w:fill="auto"/>
            <w:vAlign w:val="center"/>
          </w:tcPr>
          <w:p w14:paraId="7FFD64BB" w14:textId="77777777" w:rsidR="00407A25" w:rsidRPr="00682C64" w:rsidRDefault="00407A25" w:rsidP="00682C64">
            <w:pPr>
              <w:jc w:val="left"/>
              <w:rPr>
                <w:color w:val="005DA2"/>
                <w:sz w:val="20"/>
              </w:rPr>
            </w:pPr>
            <w:r w:rsidRPr="00682C64">
              <w:rPr>
                <w:color w:val="005DA2"/>
                <w:sz w:val="20"/>
              </w:rPr>
              <w:t>2.8</w:t>
            </w:r>
          </w:p>
          <w:p w14:paraId="370E62D4" w14:textId="77777777" w:rsidR="00407A25" w:rsidRPr="00682C64" w:rsidRDefault="00407A25" w:rsidP="00682C64">
            <w:pPr>
              <w:jc w:val="left"/>
              <w:rPr>
                <w:color w:val="005DA2"/>
                <w:sz w:val="20"/>
              </w:rPr>
            </w:pPr>
            <w:r w:rsidRPr="00682C64">
              <w:rPr>
                <w:color w:val="005DA2"/>
                <w:sz w:val="20"/>
              </w:rPr>
              <w:t>Permanent observers</w:t>
            </w:r>
          </w:p>
        </w:tc>
        <w:tc>
          <w:tcPr>
            <w:tcW w:w="8460" w:type="dxa"/>
            <w:shd w:val="clear" w:color="auto" w:fill="auto"/>
          </w:tcPr>
          <w:p w14:paraId="3DF23376" w14:textId="77777777" w:rsidR="00407A25" w:rsidRPr="00682C64" w:rsidRDefault="00407A25" w:rsidP="00452FEC">
            <w:pPr>
              <w:spacing w:before="180"/>
              <w:rPr>
                <w:sz w:val="20"/>
              </w:rPr>
            </w:pPr>
            <w:r w:rsidRPr="00682C64">
              <w:rPr>
                <w:sz w:val="20"/>
              </w:rPr>
              <w:t>Given the wide range of issues in the EU DAG's mandate and the high number of organisations eligible to the EU DAG, these organisations will take part in the EU DAG's work as permanent observers.</w:t>
            </w:r>
          </w:p>
          <w:p w14:paraId="0FAD048C" w14:textId="77777777" w:rsidR="00407A25" w:rsidRPr="00682C64" w:rsidRDefault="00407A25" w:rsidP="00452FEC">
            <w:pPr>
              <w:spacing w:before="180"/>
              <w:rPr>
                <w:sz w:val="20"/>
              </w:rPr>
            </w:pPr>
            <w:r w:rsidRPr="00682C64">
              <w:rPr>
                <w:sz w:val="20"/>
              </w:rPr>
              <w:t>Each subgroup will be responsible for raising the issues and points from their respective permanent observers. Subgroups may create structures to liaise and engage with their permanent observers.</w:t>
            </w:r>
          </w:p>
        </w:tc>
      </w:tr>
      <w:tr w:rsidR="00407A25" w:rsidRPr="00D767FB" w14:paraId="76A05A61" w14:textId="77777777" w:rsidTr="00682C64">
        <w:tc>
          <w:tcPr>
            <w:tcW w:w="1418" w:type="dxa"/>
            <w:shd w:val="clear" w:color="auto" w:fill="auto"/>
            <w:vAlign w:val="center"/>
          </w:tcPr>
          <w:p w14:paraId="7B5DE146" w14:textId="77777777" w:rsidR="00407A25" w:rsidRPr="00682C64" w:rsidRDefault="00407A25" w:rsidP="00682C64">
            <w:pPr>
              <w:jc w:val="left"/>
              <w:rPr>
                <w:color w:val="005DA2"/>
                <w:sz w:val="20"/>
              </w:rPr>
            </w:pPr>
            <w:r w:rsidRPr="00682C64">
              <w:rPr>
                <w:color w:val="005DA2"/>
                <w:sz w:val="20"/>
              </w:rPr>
              <w:t>2.9</w:t>
            </w:r>
          </w:p>
          <w:p w14:paraId="5B9843EC" w14:textId="77777777" w:rsidR="00407A25" w:rsidRPr="00682C64" w:rsidRDefault="00407A25" w:rsidP="00682C64">
            <w:pPr>
              <w:jc w:val="left"/>
              <w:rPr>
                <w:color w:val="005DA2"/>
                <w:sz w:val="20"/>
              </w:rPr>
            </w:pPr>
            <w:r w:rsidRPr="00682C64">
              <w:rPr>
                <w:color w:val="005DA2"/>
                <w:sz w:val="20"/>
              </w:rPr>
              <w:t>Permanent observers' rights</w:t>
            </w:r>
          </w:p>
        </w:tc>
        <w:tc>
          <w:tcPr>
            <w:tcW w:w="8460" w:type="dxa"/>
            <w:shd w:val="clear" w:color="auto" w:fill="auto"/>
          </w:tcPr>
          <w:p w14:paraId="7B729A8F" w14:textId="03829BA5" w:rsidR="00407A25" w:rsidRPr="00682C64" w:rsidRDefault="00407A25" w:rsidP="00E262D4">
            <w:pPr>
              <w:spacing w:before="180"/>
              <w:rPr>
                <w:sz w:val="20"/>
              </w:rPr>
            </w:pPr>
            <w:r w:rsidRPr="00682C64">
              <w:rPr>
                <w:sz w:val="20"/>
              </w:rPr>
              <w:t xml:space="preserve">Permanent observers will receive the same information </w:t>
            </w:r>
            <w:r w:rsidR="00E262D4">
              <w:rPr>
                <w:sz w:val="20"/>
              </w:rPr>
              <w:t>as</w:t>
            </w:r>
            <w:r w:rsidRPr="00682C64">
              <w:rPr>
                <w:sz w:val="20"/>
              </w:rPr>
              <w:t xml:space="preserve"> EU DAG members and they will have the possibility to observe EU DAG meetings. They will have limited possibilities to intervene.</w:t>
            </w:r>
          </w:p>
        </w:tc>
      </w:tr>
      <w:tr w:rsidR="00407A25" w:rsidRPr="00D767FB" w14:paraId="03774879" w14:textId="77777777" w:rsidTr="00682C64">
        <w:tc>
          <w:tcPr>
            <w:tcW w:w="1418" w:type="dxa"/>
            <w:shd w:val="clear" w:color="auto" w:fill="auto"/>
            <w:vAlign w:val="center"/>
          </w:tcPr>
          <w:p w14:paraId="00B833F4" w14:textId="77777777" w:rsidR="00407A25" w:rsidRPr="00682C64" w:rsidRDefault="00720A2F" w:rsidP="00682C64">
            <w:pPr>
              <w:jc w:val="left"/>
              <w:rPr>
                <w:color w:val="005DA2"/>
                <w:sz w:val="20"/>
              </w:rPr>
            </w:pPr>
            <w:r w:rsidRPr="00682C64">
              <w:rPr>
                <w:color w:val="005DA2"/>
                <w:sz w:val="20"/>
              </w:rPr>
              <w:t>2.10</w:t>
            </w:r>
          </w:p>
          <w:p w14:paraId="35ADBCBB" w14:textId="77777777" w:rsidR="00720A2F" w:rsidRPr="00682C64" w:rsidRDefault="00720A2F" w:rsidP="00682C64">
            <w:pPr>
              <w:jc w:val="left"/>
              <w:rPr>
                <w:color w:val="005DA2"/>
                <w:sz w:val="20"/>
              </w:rPr>
            </w:pPr>
            <w:r w:rsidRPr="00682C64">
              <w:rPr>
                <w:color w:val="005DA2"/>
                <w:sz w:val="20"/>
              </w:rPr>
              <w:t>Permanent observers' speaking requests</w:t>
            </w:r>
          </w:p>
        </w:tc>
        <w:tc>
          <w:tcPr>
            <w:tcW w:w="8460" w:type="dxa"/>
            <w:shd w:val="clear" w:color="auto" w:fill="auto"/>
          </w:tcPr>
          <w:p w14:paraId="652E2866" w14:textId="77777777" w:rsidR="00407A25" w:rsidRPr="00682C64" w:rsidRDefault="00407A25" w:rsidP="00452FEC">
            <w:pPr>
              <w:spacing w:before="180"/>
              <w:rPr>
                <w:sz w:val="20"/>
              </w:rPr>
            </w:pPr>
            <w:r w:rsidRPr="00682C64">
              <w:rPr>
                <w:sz w:val="20"/>
              </w:rPr>
              <w:t>Should Permanent observers wish to contribute their technical expertise on a specific item of an EU DAG meeting agenda, they shall notify a member of their subgroup at the latest one week before the meeting.</w:t>
            </w:r>
          </w:p>
          <w:p w14:paraId="36D0CDE3" w14:textId="0B834107" w:rsidR="00407A25" w:rsidRPr="00682C64" w:rsidRDefault="00407A25" w:rsidP="00F42731">
            <w:pPr>
              <w:spacing w:before="180"/>
              <w:rPr>
                <w:sz w:val="20"/>
              </w:rPr>
            </w:pPr>
            <w:r w:rsidRPr="00682C64">
              <w:rPr>
                <w:sz w:val="20"/>
              </w:rPr>
              <w:t xml:space="preserve">Each subgroup may request active participation </w:t>
            </w:r>
            <w:r w:rsidR="00F42731" w:rsidRPr="00682C64">
              <w:rPr>
                <w:sz w:val="20"/>
              </w:rPr>
              <w:t>of</w:t>
            </w:r>
            <w:r w:rsidRPr="00682C64">
              <w:rPr>
                <w:sz w:val="20"/>
              </w:rPr>
              <w:t xml:space="preserve"> a </w:t>
            </w:r>
            <w:r w:rsidR="00F42731" w:rsidRPr="00682C64">
              <w:rPr>
                <w:sz w:val="20"/>
              </w:rPr>
              <w:t>limited number of</w:t>
            </w:r>
            <w:r w:rsidRPr="00682C64">
              <w:rPr>
                <w:sz w:val="20"/>
              </w:rPr>
              <w:t xml:space="preserve"> permanent observers per meeting. They shall notify the EU DAG Presidency and Secretariat at least two working days before the meeting of the names and agenda items where permanent observers would like to speak.</w:t>
            </w:r>
          </w:p>
        </w:tc>
      </w:tr>
      <w:tr w:rsidR="00407A25" w:rsidRPr="00D767FB" w14:paraId="4AE35048" w14:textId="77777777" w:rsidTr="00682C64">
        <w:tc>
          <w:tcPr>
            <w:tcW w:w="1418" w:type="dxa"/>
            <w:shd w:val="clear" w:color="auto" w:fill="auto"/>
            <w:vAlign w:val="center"/>
          </w:tcPr>
          <w:p w14:paraId="1223F69E" w14:textId="77777777" w:rsidR="00407A25" w:rsidRPr="00682C64" w:rsidRDefault="00720A2F" w:rsidP="00682C64">
            <w:pPr>
              <w:jc w:val="left"/>
              <w:rPr>
                <w:color w:val="005DA2"/>
                <w:sz w:val="20"/>
              </w:rPr>
            </w:pPr>
            <w:r w:rsidRPr="00682C64">
              <w:rPr>
                <w:color w:val="005DA2"/>
                <w:sz w:val="20"/>
              </w:rPr>
              <w:t>2.11</w:t>
            </w:r>
          </w:p>
          <w:p w14:paraId="08B8C8C5" w14:textId="77777777" w:rsidR="00720A2F" w:rsidRPr="00682C64" w:rsidRDefault="00720A2F" w:rsidP="00682C64">
            <w:pPr>
              <w:jc w:val="left"/>
              <w:rPr>
                <w:color w:val="005DA2"/>
                <w:sz w:val="20"/>
              </w:rPr>
            </w:pPr>
            <w:r w:rsidRPr="00682C64">
              <w:rPr>
                <w:color w:val="005DA2"/>
                <w:sz w:val="20"/>
              </w:rPr>
              <w:t>Decision on permanent observers' speaking requests</w:t>
            </w:r>
          </w:p>
        </w:tc>
        <w:tc>
          <w:tcPr>
            <w:tcW w:w="8460" w:type="dxa"/>
            <w:shd w:val="clear" w:color="auto" w:fill="auto"/>
          </w:tcPr>
          <w:p w14:paraId="33FAD7FA" w14:textId="77777777" w:rsidR="00407A25" w:rsidRPr="00682C64" w:rsidRDefault="00407A25" w:rsidP="00452FEC">
            <w:pPr>
              <w:spacing w:before="180"/>
              <w:rPr>
                <w:sz w:val="20"/>
              </w:rPr>
            </w:pPr>
            <w:r w:rsidRPr="00682C64">
              <w:rPr>
                <w:sz w:val="20"/>
              </w:rPr>
              <w:t>The Presidency will consider all requests on a case-by-case basis, aiming to maintain a reasonable balance within the three subgroups and ensuring the proper conduct of the EU DAG meeting. The Secretariat will communicate the list of speaking permanent observers the day before the meeting.</w:t>
            </w:r>
          </w:p>
          <w:p w14:paraId="393C6451" w14:textId="77777777" w:rsidR="00407A25" w:rsidRPr="00682C64" w:rsidRDefault="00407A25" w:rsidP="00452FEC">
            <w:pPr>
              <w:spacing w:before="180"/>
              <w:rPr>
                <w:sz w:val="20"/>
              </w:rPr>
            </w:pPr>
            <w:r w:rsidRPr="00682C64">
              <w:rPr>
                <w:sz w:val="20"/>
              </w:rPr>
              <w:t>Should a specific need arise in the course of a meeting, the Chair may grant a non-speaking permanent observer the right to share additional expertise.</w:t>
            </w:r>
          </w:p>
          <w:p w14:paraId="5CE150BD" w14:textId="77777777" w:rsidR="00407A25" w:rsidRPr="00682C64" w:rsidRDefault="00407A25" w:rsidP="00452FEC">
            <w:pPr>
              <w:spacing w:before="180"/>
              <w:rPr>
                <w:sz w:val="20"/>
              </w:rPr>
            </w:pPr>
            <w:r w:rsidRPr="00682C64">
              <w:rPr>
                <w:sz w:val="20"/>
              </w:rPr>
              <w:t>Permanent observer interventions should be to the point.</w:t>
            </w:r>
          </w:p>
        </w:tc>
      </w:tr>
      <w:tr w:rsidR="00407A25" w:rsidRPr="00D767FB" w14:paraId="570E4C9D" w14:textId="77777777" w:rsidTr="00682C64">
        <w:tc>
          <w:tcPr>
            <w:tcW w:w="1418" w:type="dxa"/>
            <w:shd w:val="clear" w:color="auto" w:fill="auto"/>
            <w:vAlign w:val="center"/>
          </w:tcPr>
          <w:p w14:paraId="0D8BAA09" w14:textId="77777777" w:rsidR="00407A25" w:rsidRPr="00682C64" w:rsidRDefault="00720A2F" w:rsidP="00682C64">
            <w:pPr>
              <w:jc w:val="left"/>
              <w:rPr>
                <w:color w:val="005DA2"/>
                <w:sz w:val="20"/>
              </w:rPr>
            </w:pPr>
            <w:r w:rsidRPr="00682C64">
              <w:rPr>
                <w:color w:val="005DA2"/>
                <w:sz w:val="20"/>
              </w:rPr>
              <w:t>2.12</w:t>
            </w:r>
          </w:p>
          <w:p w14:paraId="4206C082" w14:textId="77777777" w:rsidR="00720A2F" w:rsidRPr="00682C64" w:rsidRDefault="00720A2F" w:rsidP="00682C64">
            <w:pPr>
              <w:jc w:val="left"/>
              <w:rPr>
                <w:color w:val="005DA2"/>
                <w:sz w:val="20"/>
              </w:rPr>
            </w:pPr>
            <w:r w:rsidRPr="00682C64">
              <w:rPr>
                <w:color w:val="005DA2"/>
                <w:sz w:val="20"/>
              </w:rPr>
              <w:t>Permanent observers' written contributions</w:t>
            </w:r>
          </w:p>
        </w:tc>
        <w:tc>
          <w:tcPr>
            <w:tcW w:w="8460" w:type="dxa"/>
            <w:shd w:val="clear" w:color="auto" w:fill="auto"/>
          </w:tcPr>
          <w:p w14:paraId="18141FA2" w14:textId="77777777" w:rsidR="00407A25" w:rsidRPr="00682C64" w:rsidRDefault="00407A25" w:rsidP="00452FEC">
            <w:pPr>
              <w:spacing w:before="180"/>
              <w:rPr>
                <w:sz w:val="20"/>
              </w:rPr>
            </w:pPr>
            <w:r w:rsidRPr="00682C64">
              <w:rPr>
                <w:sz w:val="20"/>
              </w:rPr>
              <w:t>Permanent observers also have the possibility of sending written contribution on agenda items where they have expertise.</w:t>
            </w:r>
          </w:p>
        </w:tc>
      </w:tr>
    </w:tbl>
    <w:p w14:paraId="5A9DF6CE" w14:textId="6EDA8D19" w:rsidR="00CB1065" w:rsidRPr="00855751" w:rsidRDefault="00CB1065" w:rsidP="00CB1065">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CB1065">
        <w:rPr>
          <w:color w:val="808080"/>
          <w:sz w:val="24"/>
          <w:szCs w:val="24"/>
        </w:rPr>
        <w:t>Presidency of the EU DAG</w:t>
      </w:r>
      <w:r w:rsidR="00922EED" w:rsidRPr="00855751">
        <w:rPr>
          <w:noProof/>
          <w:color w:val="808080"/>
          <w:sz w:val="24"/>
          <w:szCs w:val="24"/>
          <w:lang w:val="fr-BE" w:eastAsia="fr-BE"/>
        </w:rPr>
        <mc:AlternateContent>
          <mc:Choice Requires="wps">
            <w:drawing>
              <wp:anchor distT="0" distB="0" distL="114300" distR="114300" simplePos="0" relativeHeight="251657728" behindDoc="1" locked="0" layoutInCell="1" allowOverlap="1" wp14:anchorId="3A6C8384" wp14:editId="062FB25F">
                <wp:simplePos x="0" y="0"/>
                <wp:positionH relativeFrom="page">
                  <wp:posOffset>6642100</wp:posOffset>
                </wp:positionH>
                <wp:positionV relativeFrom="page">
                  <wp:posOffset>10085070</wp:posOffset>
                </wp:positionV>
                <wp:extent cx="647700" cy="39624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B10F2E" w14:textId="77777777" w:rsidR="00CB1065" w:rsidRDefault="00CB1065" w:rsidP="00CB1065">
                            <w:pPr>
                              <w:jc w:val="center"/>
                              <w:rPr>
                                <w:rFonts w:ascii="Arial" w:hAnsi="Arial" w:cs="Arial"/>
                                <w:b/>
                                <w:bCs/>
                                <w:sz w:val="48"/>
                                <w:szCs w:val="48"/>
                              </w:rPr>
                            </w:pPr>
                            <w:r>
                              <w:rPr>
                                <w:rFonts w:ascii="Arial" w:hAnsi="Arial" w:cs="Arial"/>
                                <w:b/>
                                <w:bCs/>
                                <w:noProof/>
                                <w:sz w:val="48"/>
                                <w:szCs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C8384" id="Text Box 3" o:spid="_x0000_s1027" type="#_x0000_t202" style="position:absolute;left:0;text-align:left;margin-left:523pt;margin-top:794.1pt;width:51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ZuuAIAAL8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" filled="f" stroked="f">
                <v:textbox>
                  <w:txbxContent>
                    <w:p w14:paraId="4EB10F2E" w14:textId="77777777" w:rsidR="00CB1065" w:rsidRDefault="00CB1065" w:rsidP="00CB1065">
                      <w:pPr>
                        <w:jc w:val="center"/>
                        <w:rPr>
                          <w:rFonts w:ascii="Arial" w:hAnsi="Arial" w:cs="Arial"/>
                          <w:b/>
                          <w:bCs/>
                          <w:sz w:val="48"/>
                          <w:szCs w:val="48"/>
                        </w:rPr>
                      </w:pPr>
                      <w:r>
                        <w:rPr>
                          <w:rFonts w:ascii="Arial" w:hAnsi="Arial" w:cs="Arial"/>
                          <w:b/>
                          <w:bCs/>
                          <w:noProof/>
                          <w:sz w:val="48"/>
                          <w:szCs w:val="48"/>
                        </w:rPr>
                        <w:t>EN</w:t>
                      </w:r>
                    </w:p>
                  </w:txbxContent>
                </v:textbox>
                <w10:wrap anchorx="page" anchory="page"/>
              </v:shape>
            </w:pict>
          </mc:Fallback>
        </mc:AlternateContent>
      </w:r>
    </w:p>
    <w:tbl>
      <w:tblPr>
        <w:tblW w:w="9878" w:type="dxa"/>
        <w:tblBorders>
          <w:insideH w:val="single" w:sz="4" w:space="0" w:color="E7E6E6"/>
        </w:tblBorders>
        <w:tblLook w:val="04A0" w:firstRow="1" w:lastRow="0" w:firstColumn="1" w:lastColumn="0" w:noHBand="0" w:noVBand="1"/>
      </w:tblPr>
      <w:tblGrid>
        <w:gridCol w:w="1418"/>
        <w:gridCol w:w="8460"/>
      </w:tblGrid>
      <w:tr w:rsidR="00CB1065" w14:paraId="1F29BCB0" w14:textId="77777777" w:rsidTr="00682C64">
        <w:tc>
          <w:tcPr>
            <w:tcW w:w="1418" w:type="dxa"/>
            <w:shd w:val="clear" w:color="auto" w:fill="auto"/>
            <w:vAlign w:val="center"/>
          </w:tcPr>
          <w:p w14:paraId="79121985" w14:textId="77777777" w:rsidR="00CB1065" w:rsidRDefault="00CB1065" w:rsidP="00C17807">
            <w:pPr>
              <w:rPr>
                <w:color w:val="005DA2"/>
                <w:sz w:val="20"/>
              </w:rPr>
            </w:pPr>
            <w:r w:rsidRPr="00EA5214">
              <w:rPr>
                <w:color w:val="005DA2"/>
                <w:sz w:val="20"/>
              </w:rPr>
              <w:t>3.1</w:t>
            </w:r>
          </w:p>
          <w:p w14:paraId="4669F79B" w14:textId="77777777" w:rsidR="00EA5214" w:rsidRPr="00EA5214" w:rsidRDefault="00EA5214" w:rsidP="00C17807">
            <w:pPr>
              <w:rPr>
                <w:color w:val="005DA2"/>
                <w:sz w:val="20"/>
              </w:rPr>
            </w:pPr>
            <w:r>
              <w:rPr>
                <w:color w:val="005DA2"/>
                <w:sz w:val="20"/>
              </w:rPr>
              <w:t>Election of the Chair</w:t>
            </w:r>
          </w:p>
        </w:tc>
        <w:tc>
          <w:tcPr>
            <w:tcW w:w="8460" w:type="dxa"/>
            <w:shd w:val="clear" w:color="auto" w:fill="auto"/>
          </w:tcPr>
          <w:p w14:paraId="6A4CCB8C" w14:textId="77777777" w:rsidR="00CB1065" w:rsidRPr="00C17807" w:rsidRDefault="00CB1065" w:rsidP="00C17807">
            <w:pPr>
              <w:spacing w:before="180"/>
              <w:rPr>
                <w:sz w:val="20"/>
              </w:rPr>
            </w:pPr>
            <w:r w:rsidRPr="00C17807">
              <w:rPr>
                <w:sz w:val="20"/>
              </w:rPr>
              <w:t>The EU DAG shall elect the Chair of the EU DAG by simple majority of its members for a two-and-a-half-year term (aligned with the EESC mandate)</w:t>
            </w:r>
            <w:r w:rsidR="00F11988">
              <w:rPr>
                <w:rStyle w:val="FootnoteReference"/>
              </w:rPr>
              <w:footnoteReference w:id="4"/>
            </w:r>
            <w:r w:rsidRPr="00C17807">
              <w:rPr>
                <w:sz w:val="20"/>
              </w:rPr>
              <w:t>. The EU DAG shall select its Chair from amongst its three subgroups on a rotational basis.</w:t>
            </w:r>
          </w:p>
        </w:tc>
      </w:tr>
      <w:tr w:rsidR="00CB1065" w14:paraId="0D3F17AE" w14:textId="77777777" w:rsidTr="00682C64">
        <w:tc>
          <w:tcPr>
            <w:tcW w:w="1418" w:type="dxa"/>
            <w:shd w:val="clear" w:color="auto" w:fill="auto"/>
            <w:vAlign w:val="center"/>
          </w:tcPr>
          <w:p w14:paraId="1F3864F6" w14:textId="77777777" w:rsidR="00CB1065" w:rsidRDefault="005A5EAE" w:rsidP="00682C64">
            <w:pPr>
              <w:jc w:val="left"/>
              <w:rPr>
                <w:color w:val="005DA2"/>
                <w:sz w:val="20"/>
              </w:rPr>
            </w:pPr>
            <w:r w:rsidRPr="00EA5214">
              <w:rPr>
                <w:color w:val="005DA2"/>
                <w:sz w:val="20"/>
              </w:rPr>
              <w:lastRenderedPageBreak/>
              <w:t>3.2</w:t>
            </w:r>
          </w:p>
          <w:p w14:paraId="5185ED9C" w14:textId="77777777" w:rsidR="00EA5214" w:rsidRPr="00EA5214" w:rsidRDefault="00EA5214" w:rsidP="00682C64">
            <w:pPr>
              <w:jc w:val="left"/>
              <w:rPr>
                <w:color w:val="005DA2"/>
                <w:sz w:val="20"/>
              </w:rPr>
            </w:pPr>
            <w:r>
              <w:rPr>
                <w:color w:val="005DA2"/>
                <w:sz w:val="20"/>
              </w:rPr>
              <w:t>Selection of Vice-Chairs</w:t>
            </w:r>
          </w:p>
        </w:tc>
        <w:tc>
          <w:tcPr>
            <w:tcW w:w="8460" w:type="dxa"/>
            <w:shd w:val="clear" w:color="auto" w:fill="auto"/>
          </w:tcPr>
          <w:p w14:paraId="19F95503" w14:textId="77777777" w:rsidR="00CB1065" w:rsidRPr="00C17807" w:rsidRDefault="00CB1065" w:rsidP="00C17807">
            <w:pPr>
              <w:spacing w:before="180"/>
              <w:rPr>
                <w:sz w:val="20"/>
              </w:rPr>
            </w:pPr>
            <w:r w:rsidRPr="00C17807">
              <w:rPr>
                <w:sz w:val="20"/>
              </w:rPr>
              <w:t>The remaining two subgroups shall elect from among their members two Vice-Chairs (one from each subgroup) to substitute the Chair if needed and to coordinate the work of the Group together with the Chair during the mandate. The Chair shall accomplish his/her duties after consultation and in agreement with the Vice-Chairs.</w:t>
            </w:r>
          </w:p>
        </w:tc>
      </w:tr>
      <w:tr w:rsidR="00CB1065" w14:paraId="3089B369" w14:textId="77777777" w:rsidTr="00682C64">
        <w:tc>
          <w:tcPr>
            <w:tcW w:w="1418" w:type="dxa"/>
            <w:shd w:val="clear" w:color="auto" w:fill="auto"/>
            <w:vAlign w:val="center"/>
          </w:tcPr>
          <w:p w14:paraId="487C1B8B" w14:textId="77777777" w:rsidR="00CB1065" w:rsidRDefault="005A5EAE" w:rsidP="00682C64">
            <w:pPr>
              <w:jc w:val="left"/>
              <w:rPr>
                <w:color w:val="005DA2"/>
                <w:sz w:val="20"/>
              </w:rPr>
            </w:pPr>
            <w:r w:rsidRPr="00EA5214">
              <w:rPr>
                <w:color w:val="005DA2"/>
                <w:sz w:val="20"/>
              </w:rPr>
              <w:t>3.3</w:t>
            </w:r>
          </w:p>
          <w:p w14:paraId="5C397936" w14:textId="77777777" w:rsidR="00EA5214" w:rsidRPr="00EA5214" w:rsidRDefault="00EA5214" w:rsidP="00682C64">
            <w:pPr>
              <w:jc w:val="left"/>
              <w:rPr>
                <w:color w:val="005DA2"/>
                <w:sz w:val="20"/>
              </w:rPr>
            </w:pPr>
            <w:r>
              <w:rPr>
                <w:color w:val="005DA2"/>
                <w:sz w:val="20"/>
              </w:rPr>
              <w:t>External representation</w:t>
            </w:r>
          </w:p>
        </w:tc>
        <w:tc>
          <w:tcPr>
            <w:tcW w:w="8460" w:type="dxa"/>
            <w:shd w:val="clear" w:color="auto" w:fill="auto"/>
          </w:tcPr>
          <w:p w14:paraId="23EC0507" w14:textId="77777777" w:rsidR="00CB1065" w:rsidRPr="00C17807" w:rsidRDefault="00CB1065" w:rsidP="00C17807">
            <w:pPr>
              <w:spacing w:before="180"/>
              <w:rPr>
                <w:sz w:val="20"/>
              </w:rPr>
            </w:pPr>
            <w:r w:rsidRPr="00C17807">
              <w:rPr>
                <w:sz w:val="20"/>
              </w:rPr>
              <w:t>For the purpose of external representation, when a balanced representation of the Presidency is needed, the Chair and the Vice-Chairs can be replaced by members of their subgroup.</w:t>
            </w:r>
          </w:p>
        </w:tc>
      </w:tr>
      <w:tr w:rsidR="00CB1065" w14:paraId="177EDD27" w14:textId="77777777" w:rsidTr="00682C64">
        <w:tc>
          <w:tcPr>
            <w:tcW w:w="1418" w:type="dxa"/>
            <w:shd w:val="clear" w:color="auto" w:fill="auto"/>
            <w:vAlign w:val="center"/>
          </w:tcPr>
          <w:p w14:paraId="2DB4A321" w14:textId="77777777" w:rsidR="00CB1065" w:rsidRDefault="005A5EAE" w:rsidP="00682C64">
            <w:pPr>
              <w:jc w:val="left"/>
              <w:rPr>
                <w:color w:val="005DA2"/>
                <w:sz w:val="20"/>
              </w:rPr>
            </w:pPr>
            <w:r w:rsidRPr="00EA5214">
              <w:rPr>
                <w:color w:val="005DA2"/>
                <w:sz w:val="20"/>
              </w:rPr>
              <w:t>3.4</w:t>
            </w:r>
          </w:p>
          <w:p w14:paraId="05E2F69E" w14:textId="77777777" w:rsidR="00EA5214" w:rsidRPr="00EA5214" w:rsidRDefault="00EA5214" w:rsidP="00682C64">
            <w:pPr>
              <w:jc w:val="left"/>
              <w:rPr>
                <w:color w:val="005DA2"/>
                <w:sz w:val="20"/>
              </w:rPr>
            </w:pPr>
            <w:r>
              <w:rPr>
                <w:color w:val="005DA2"/>
                <w:sz w:val="20"/>
              </w:rPr>
              <w:t>EESC</w:t>
            </w:r>
          </w:p>
        </w:tc>
        <w:tc>
          <w:tcPr>
            <w:tcW w:w="8460" w:type="dxa"/>
            <w:shd w:val="clear" w:color="auto" w:fill="auto"/>
          </w:tcPr>
          <w:p w14:paraId="6F1BC5C4" w14:textId="77777777" w:rsidR="00CB1065" w:rsidRPr="00C17807" w:rsidRDefault="00CB1065" w:rsidP="00C17807">
            <w:pPr>
              <w:spacing w:before="180"/>
              <w:rPr>
                <w:sz w:val="20"/>
              </w:rPr>
            </w:pPr>
            <w:r w:rsidRPr="00C17807">
              <w:rPr>
                <w:sz w:val="20"/>
              </w:rPr>
              <w:t>At least one of the members of the Presidency (Chair and two Vice-Chairs) shall be a member of the EESC.</w:t>
            </w:r>
          </w:p>
        </w:tc>
      </w:tr>
      <w:tr w:rsidR="00CB1065" w14:paraId="778A7D54" w14:textId="77777777" w:rsidTr="00682C64">
        <w:tc>
          <w:tcPr>
            <w:tcW w:w="1418" w:type="dxa"/>
            <w:shd w:val="clear" w:color="auto" w:fill="auto"/>
            <w:vAlign w:val="center"/>
          </w:tcPr>
          <w:p w14:paraId="78F6D8D6" w14:textId="77777777" w:rsidR="00CB1065" w:rsidRDefault="005A5EAE" w:rsidP="00682C64">
            <w:pPr>
              <w:jc w:val="left"/>
              <w:rPr>
                <w:color w:val="005DA2"/>
                <w:sz w:val="20"/>
              </w:rPr>
            </w:pPr>
            <w:r w:rsidRPr="00EA5214">
              <w:rPr>
                <w:color w:val="005DA2"/>
                <w:sz w:val="20"/>
              </w:rPr>
              <w:t>3.6</w:t>
            </w:r>
          </w:p>
          <w:p w14:paraId="30E9885F" w14:textId="77777777" w:rsidR="00EA5214" w:rsidRPr="00EA5214" w:rsidRDefault="00EA5214" w:rsidP="00682C64">
            <w:pPr>
              <w:jc w:val="left"/>
              <w:rPr>
                <w:color w:val="005DA2"/>
                <w:sz w:val="20"/>
              </w:rPr>
            </w:pPr>
            <w:r>
              <w:rPr>
                <w:color w:val="005DA2"/>
                <w:sz w:val="20"/>
              </w:rPr>
              <w:t>Chair's role</w:t>
            </w:r>
          </w:p>
        </w:tc>
        <w:tc>
          <w:tcPr>
            <w:tcW w:w="8460" w:type="dxa"/>
            <w:shd w:val="clear" w:color="auto" w:fill="auto"/>
          </w:tcPr>
          <w:p w14:paraId="0A217D75" w14:textId="77777777" w:rsidR="00CB1065" w:rsidRPr="00C17807" w:rsidRDefault="00CB1065" w:rsidP="00C17807">
            <w:pPr>
              <w:spacing w:before="180"/>
              <w:rPr>
                <w:sz w:val="20"/>
              </w:rPr>
            </w:pPr>
            <w:r w:rsidRPr="00C17807">
              <w:rPr>
                <w:sz w:val="20"/>
              </w:rPr>
              <w:t>The Chair</w:t>
            </w:r>
          </w:p>
          <w:p w14:paraId="41D695EB" w14:textId="77777777" w:rsidR="00CB1065" w:rsidRPr="00C17807" w:rsidRDefault="00CB1065" w:rsidP="00C17807">
            <w:pPr>
              <w:numPr>
                <w:ilvl w:val="0"/>
                <w:numId w:val="35"/>
              </w:numPr>
              <w:rPr>
                <w:sz w:val="20"/>
              </w:rPr>
            </w:pPr>
            <w:r w:rsidRPr="00C17807">
              <w:rPr>
                <w:sz w:val="20"/>
              </w:rPr>
              <w:t>convenes the meetings of the EU DAG,</w:t>
            </w:r>
          </w:p>
          <w:p w14:paraId="60423CD9" w14:textId="77777777" w:rsidR="00CB1065" w:rsidRPr="00C17807" w:rsidRDefault="00CB1065" w:rsidP="00C17807">
            <w:pPr>
              <w:numPr>
                <w:ilvl w:val="0"/>
                <w:numId w:val="35"/>
              </w:numPr>
              <w:rPr>
                <w:sz w:val="20"/>
              </w:rPr>
            </w:pPr>
            <w:r w:rsidRPr="00C17807">
              <w:rPr>
                <w:sz w:val="20"/>
              </w:rPr>
              <w:t>proposes the agenda of the meetings,</w:t>
            </w:r>
          </w:p>
          <w:p w14:paraId="682540EC" w14:textId="77777777" w:rsidR="00CB1065" w:rsidRPr="00C17807" w:rsidRDefault="00CB1065" w:rsidP="00C17807">
            <w:pPr>
              <w:numPr>
                <w:ilvl w:val="0"/>
                <w:numId w:val="35"/>
              </w:numPr>
              <w:rPr>
                <w:sz w:val="20"/>
              </w:rPr>
            </w:pPr>
            <w:r w:rsidRPr="00C17807">
              <w:rPr>
                <w:sz w:val="20"/>
              </w:rPr>
              <w:t xml:space="preserve">chairs the meetings and </w:t>
            </w:r>
            <w:proofErr w:type="gramStart"/>
            <w:r w:rsidRPr="00C17807">
              <w:rPr>
                <w:sz w:val="20"/>
              </w:rPr>
              <w:t>moderates</w:t>
            </w:r>
            <w:proofErr w:type="gramEnd"/>
            <w:r w:rsidRPr="00C17807">
              <w:rPr>
                <w:sz w:val="20"/>
              </w:rPr>
              <w:t xml:space="preserve"> discussions,</w:t>
            </w:r>
          </w:p>
          <w:p w14:paraId="783893BE" w14:textId="77777777" w:rsidR="00CB1065" w:rsidRPr="00C17807" w:rsidRDefault="00CB1065" w:rsidP="00C17807">
            <w:pPr>
              <w:numPr>
                <w:ilvl w:val="0"/>
                <w:numId w:val="35"/>
              </w:numPr>
              <w:rPr>
                <w:sz w:val="20"/>
              </w:rPr>
            </w:pPr>
            <w:r w:rsidRPr="00C17807">
              <w:rPr>
                <w:sz w:val="20"/>
              </w:rPr>
              <w:t xml:space="preserve">in coordination with the vice-Chairs represents the </w:t>
            </w:r>
            <w:r w:rsidR="005A5EAE" w:rsidRPr="00C17807">
              <w:rPr>
                <w:sz w:val="20"/>
              </w:rPr>
              <w:t xml:space="preserve">EU </w:t>
            </w:r>
            <w:r w:rsidRPr="00C17807">
              <w:rPr>
                <w:sz w:val="20"/>
              </w:rPr>
              <w:t>DAG in contacts with third parties, including the EU institutions,</w:t>
            </w:r>
          </w:p>
          <w:p w14:paraId="2D88E373" w14:textId="77777777" w:rsidR="00CB1065" w:rsidRPr="00C17807" w:rsidRDefault="00CB1065" w:rsidP="00C17807">
            <w:pPr>
              <w:numPr>
                <w:ilvl w:val="0"/>
                <w:numId w:val="35"/>
              </w:numPr>
              <w:rPr>
                <w:sz w:val="20"/>
              </w:rPr>
            </w:pPr>
            <w:r w:rsidRPr="00C17807">
              <w:rPr>
                <w:sz w:val="20"/>
              </w:rPr>
              <w:t xml:space="preserve">co-chairs meetings with the </w:t>
            </w:r>
            <w:r w:rsidR="00DD2927" w:rsidRPr="00C17807">
              <w:rPr>
                <w:sz w:val="20"/>
              </w:rPr>
              <w:t>UK</w:t>
            </w:r>
            <w:r w:rsidRPr="00C17807">
              <w:rPr>
                <w:sz w:val="20"/>
              </w:rPr>
              <w:t xml:space="preserve"> DAG.</w:t>
            </w:r>
          </w:p>
        </w:tc>
      </w:tr>
    </w:tbl>
    <w:p w14:paraId="16F6F575" w14:textId="77777777" w:rsidR="00935D0E" w:rsidRPr="00682C64" w:rsidRDefault="00935D0E" w:rsidP="00935D0E">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682C64">
        <w:rPr>
          <w:color w:val="808080"/>
          <w:sz w:val="24"/>
          <w:szCs w:val="24"/>
        </w:rPr>
        <w:t>External participants</w:t>
      </w:r>
      <w:r w:rsidR="00A77B89" w:rsidRPr="00682C64">
        <w:rPr>
          <w:color w:val="808080"/>
          <w:sz w:val="24"/>
          <w:szCs w:val="24"/>
        </w:rPr>
        <w:t xml:space="preserve"> and observers</w:t>
      </w:r>
    </w:p>
    <w:tbl>
      <w:tblPr>
        <w:tblW w:w="9736" w:type="dxa"/>
        <w:tblBorders>
          <w:insideH w:val="single" w:sz="4" w:space="0" w:color="E7E6E6"/>
        </w:tblBorders>
        <w:tblLayout w:type="fixed"/>
        <w:tblLook w:val="04A0" w:firstRow="1" w:lastRow="0" w:firstColumn="1" w:lastColumn="0" w:noHBand="0" w:noVBand="1"/>
      </w:tblPr>
      <w:tblGrid>
        <w:gridCol w:w="1418"/>
        <w:gridCol w:w="8318"/>
      </w:tblGrid>
      <w:tr w:rsidR="00935D0E" w14:paraId="4E637AC5" w14:textId="77777777" w:rsidTr="00682C64">
        <w:tc>
          <w:tcPr>
            <w:tcW w:w="1418" w:type="dxa"/>
            <w:shd w:val="clear" w:color="auto" w:fill="auto"/>
            <w:vAlign w:val="center"/>
          </w:tcPr>
          <w:p w14:paraId="1B333963" w14:textId="77777777" w:rsidR="00935D0E" w:rsidRDefault="00720A2F" w:rsidP="00DC711E">
            <w:pPr>
              <w:rPr>
                <w:color w:val="005DA2"/>
                <w:sz w:val="20"/>
              </w:rPr>
            </w:pPr>
            <w:r w:rsidRPr="00EA5214">
              <w:rPr>
                <w:color w:val="005DA2"/>
                <w:sz w:val="20"/>
              </w:rPr>
              <w:t>4.1</w:t>
            </w:r>
          </w:p>
          <w:p w14:paraId="172D4111" w14:textId="77777777" w:rsidR="00A77B89" w:rsidRPr="00EA5214" w:rsidRDefault="00A77B89" w:rsidP="00DC711E">
            <w:pPr>
              <w:rPr>
                <w:color w:val="005DA2"/>
                <w:sz w:val="20"/>
              </w:rPr>
            </w:pPr>
            <w:r>
              <w:rPr>
                <w:color w:val="005DA2"/>
                <w:sz w:val="20"/>
              </w:rPr>
              <w:t>External observers</w:t>
            </w:r>
          </w:p>
        </w:tc>
        <w:tc>
          <w:tcPr>
            <w:tcW w:w="8318" w:type="dxa"/>
            <w:shd w:val="clear" w:color="auto" w:fill="auto"/>
          </w:tcPr>
          <w:p w14:paraId="3E25E232" w14:textId="77777777" w:rsidR="00935D0E" w:rsidRPr="00C17807" w:rsidRDefault="00935D0E" w:rsidP="00A77B89">
            <w:pPr>
              <w:spacing w:before="180"/>
              <w:rPr>
                <w:sz w:val="20"/>
              </w:rPr>
            </w:pPr>
            <w:r w:rsidRPr="00C17807">
              <w:rPr>
                <w:sz w:val="20"/>
              </w:rPr>
              <w:t xml:space="preserve">Requests for participation by potential </w:t>
            </w:r>
            <w:r>
              <w:rPr>
                <w:sz w:val="20"/>
              </w:rPr>
              <w:t xml:space="preserve">external </w:t>
            </w:r>
            <w:r w:rsidR="00A77B89">
              <w:rPr>
                <w:sz w:val="20"/>
              </w:rPr>
              <w:t>observers</w:t>
            </w:r>
            <w:r w:rsidRPr="00C17807">
              <w:rPr>
                <w:sz w:val="20"/>
              </w:rPr>
              <w:t xml:space="preserve"> shall be made to the EU DAG Chair either directly or through the Secretariat. The EU DAG members will decide on authorisation for such organisations to participate as additional observers.</w:t>
            </w:r>
          </w:p>
        </w:tc>
      </w:tr>
      <w:tr w:rsidR="00935D0E" w14:paraId="028536B1" w14:textId="77777777" w:rsidTr="00682C64">
        <w:tc>
          <w:tcPr>
            <w:tcW w:w="1418" w:type="dxa"/>
            <w:shd w:val="clear" w:color="auto" w:fill="auto"/>
            <w:vAlign w:val="center"/>
          </w:tcPr>
          <w:p w14:paraId="5969B2E7" w14:textId="77777777" w:rsidR="00935D0E" w:rsidRDefault="00720A2F" w:rsidP="00DC711E">
            <w:pPr>
              <w:rPr>
                <w:color w:val="005DA2"/>
                <w:sz w:val="20"/>
              </w:rPr>
            </w:pPr>
            <w:r w:rsidRPr="00EA5214">
              <w:rPr>
                <w:color w:val="005DA2"/>
                <w:sz w:val="20"/>
              </w:rPr>
              <w:t>4.2</w:t>
            </w:r>
          </w:p>
          <w:p w14:paraId="470131DE" w14:textId="77777777" w:rsidR="00A77B89" w:rsidRPr="00EA5214" w:rsidRDefault="00A77B89" w:rsidP="00DC711E">
            <w:pPr>
              <w:rPr>
                <w:color w:val="005DA2"/>
                <w:sz w:val="20"/>
              </w:rPr>
            </w:pPr>
            <w:r>
              <w:rPr>
                <w:color w:val="005DA2"/>
                <w:sz w:val="20"/>
              </w:rPr>
              <w:t>External participants</w:t>
            </w:r>
          </w:p>
        </w:tc>
        <w:tc>
          <w:tcPr>
            <w:tcW w:w="8318" w:type="dxa"/>
            <w:shd w:val="clear" w:color="auto" w:fill="auto"/>
          </w:tcPr>
          <w:p w14:paraId="13E2E559" w14:textId="77777777" w:rsidR="00935D0E" w:rsidRPr="00C17807" w:rsidRDefault="00935D0E" w:rsidP="00DC711E">
            <w:pPr>
              <w:spacing w:before="180"/>
              <w:rPr>
                <w:sz w:val="20"/>
              </w:rPr>
            </w:pPr>
            <w:r w:rsidRPr="00C17807">
              <w:rPr>
                <w:sz w:val="20"/>
              </w:rPr>
              <w:t>Under the authority of the Presidency, meetings of the EU DAG may be open to the EU civil society organisations that are not members or permanent observers of the EU DAG, in particular for specific discussions that would benefit from additional expertise. A list of additional participants, as proposed by the Presidency, shall be communicated to the EU DAG before the meeting.</w:t>
            </w:r>
          </w:p>
        </w:tc>
      </w:tr>
    </w:tbl>
    <w:p w14:paraId="4B8FCFFC" w14:textId="02AC1F81" w:rsidR="00935D0E" w:rsidRPr="00855751" w:rsidRDefault="00922EED" w:rsidP="00E16400">
      <w:r w:rsidRPr="00855751">
        <w:rPr>
          <w:noProof/>
          <w:lang w:val="fr-BE" w:eastAsia="fr-BE"/>
        </w:rPr>
        <mc:AlternateContent>
          <mc:Choice Requires="wps">
            <w:drawing>
              <wp:anchor distT="0" distB="0" distL="114300" distR="114300" simplePos="0" relativeHeight="251658752" behindDoc="1" locked="0" layoutInCell="1" allowOverlap="1" wp14:anchorId="6FFE36C4" wp14:editId="2527CB39">
                <wp:simplePos x="0" y="0"/>
                <wp:positionH relativeFrom="page">
                  <wp:posOffset>6642100</wp:posOffset>
                </wp:positionH>
                <wp:positionV relativeFrom="page">
                  <wp:posOffset>10085070</wp:posOffset>
                </wp:positionV>
                <wp:extent cx="647700" cy="396240"/>
                <wp:effectExtent l="0" t="0" r="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0935A" w14:textId="77777777" w:rsidR="00935D0E" w:rsidRDefault="00935D0E" w:rsidP="00935D0E">
                            <w:pPr>
                              <w:jc w:val="center"/>
                              <w:rPr>
                                <w:rFonts w:ascii="Arial" w:hAnsi="Arial" w:cs="Arial"/>
                                <w:b/>
                                <w:bCs/>
                                <w:sz w:val="48"/>
                                <w:szCs w:val="48"/>
                              </w:rPr>
                            </w:pPr>
                            <w:r>
                              <w:rPr>
                                <w:rFonts w:ascii="Arial" w:hAnsi="Arial" w:cs="Arial"/>
                                <w:b/>
                                <w:bCs/>
                                <w:noProof/>
                                <w:sz w:val="48"/>
                                <w:szCs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E36C4" id="Text Box 5" o:spid="_x0000_s1028" type="#_x0000_t202" style="position:absolute;left:0;text-align:left;margin-left:523pt;margin-top:794.1pt;width:51pt;height:3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" filled="f" stroked="f">
                <v:textbox>
                  <w:txbxContent>
                    <w:p w14:paraId="12B0935A" w14:textId="77777777" w:rsidR="00935D0E" w:rsidRDefault="00935D0E" w:rsidP="00935D0E">
                      <w:pPr>
                        <w:jc w:val="center"/>
                        <w:rPr>
                          <w:rFonts w:ascii="Arial" w:hAnsi="Arial" w:cs="Arial"/>
                          <w:b/>
                          <w:bCs/>
                          <w:sz w:val="48"/>
                          <w:szCs w:val="48"/>
                        </w:rPr>
                      </w:pPr>
                      <w:r>
                        <w:rPr>
                          <w:rFonts w:ascii="Arial" w:hAnsi="Arial" w:cs="Arial"/>
                          <w:b/>
                          <w:bCs/>
                          <w:noProof/>
                          <w:sz w:val="48"/>
                          <w:szCs w:val="48"/>
                        </w:rPr>
                        <w:t>EN</w:t>
                      </w:r>
                    </w:p>
                  </w:txbxContent>
                </v:textbox>
                <w10:wrap anchorx="page" anchory="page"/>
              </v:shape>
            </w:pict>
          </mc:Fallback>
        </mc:AlternateContent>
      </w:r>
    </w:p>
    <w:p w14:paraId="672ACC6A" w14:textId="77777777" w:rsidR="00FC6957" w:rsidRPr="00CB1065" w:rsidRDefault="00CB1065" w:rsidP="00CB1065">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Pr>
          <w:color w:val="808080"/>
          <w:sz w:val="24"/>
          <w:szCs w:val="24"/>
        </w:rPr>
        <w:t>Voting and quorum</w:t>
      </w:r>
    </w:p>
    <w:tbl>
      <w:tblPr>
        <w:tblW w:w="9878" w:type="dxa"/>
        <w:tblBorders>
          <w:insideH w:val="single" w:sz="4" w:space="0" w:color="E7E6E6"/>
        </w:tblBorders>
        <w:tblLook w:val="04A0" w:firstRow="1" w:lastRow="0" w:firstColumn="1" w:lastColumn="0" w:noHBand="0" w:noVBand="1"/>
      </w:tblPr>
      <w:tblGrid>
        <w:gridCol w:w="1418"/>
        <w:gridCol w:w="8460"/>
      </w:tblGrid>
      <w:tr w:rsidR="00CB1065" w14:paraId="2F3ABC16" w14:textId="77777777" w:rsidTr="00682C64">
        <w:tc>
          <w:tcPr>
            <w:tcW w:w="1418" w:type="dxa"/>
            <w:shd w:val="clear" w:color="auto" w:fill="auto"/>
            <w:vAlign w:val="center"/>
          </w:tcPr>
          <w:p w14:paraId="6FF0F57E" w14:textId="77777777" w:rsidR="00CB1065" w:rsidRDefault="00720A2F" w:rsidP="00682C64">
            <w:pPr>
              <w:jc w:val="left"/>
              <w:rPr>
                <w:color w:val="005DA2"/>
                <w:sz w:val="20"/>
              </w:rPr>
            </w:pPr>
            <w:r w:rsidRPr="00A77B89">
              <w:rPr>
                <w:color w:val="005DA2"/>
                <w:sz w:val="20"/>
              </w:rPr>
              <w:t>5</w:t>
            </w:r>
            <w:r w:rsidR="00CB1065" w:rsidRPr="00A77B89">
              <w:rPr>
                <w:color w:val="005DA2"/>
                <w:sz w:val="20"/>
              </w:rPr>
              <w:t>.1</w:t>
            </w:r>
          </w:p>
          <w:p w14:paraId="0A06CDB3" w14:textId="77777777" w:rsidR="00A77B89" w:rsidRPr="00A77B89" w:rsidRDefault="00A77B89" w:rsidP="00682C64">
            <w:pPr>
              <w:jc w:val="left"/>
              <w:rPr>
                <w:color w:val="005DA2"/>
                <w:sz w:val="20"/>
              </w:rPr>
            </w:pPr>
            <w:r>
              <w:rPr>
                <w:color w:val="005DA2"/>
                <w:sz w:val="20"/>
              </w:rPr>
              <w:t>Quorum</w:t>
            </w:r>
          </w:p>
        </w:tc>
        <w:tc>
          <w:tcPr>
            <w:tcW w:w="8460" w:type="dxa"/>
            <w:shd w:val="clear" w:color="auto" w:fill="auto"/>
          </w:tcPr>
          <w:p w14:paraId="420E074C" w14:textId="77777777" w:rsidR="00CB1065" w:rsidRPr="00C17807" w:rsidRDefault="00CB1065" w:rsidP="00C17807">
            <w:pPr>
              <w:spacing w:before="180"/>
              <w:rPr>
                <w:sz w:val="20"/>
              </w:rPr>
            </w:pPr>
            <w:r w:rsidRPr="00C17807">
              <w:rPr>
                <w:sz w:val="20"/>
              </w:rPr>
              <w:t>A quorum shall exist if more than half of the members of the EU DAG are present or represented and if at least one member representing each subgroup is attending. The quorum will be ascertained at the beginning of the meeting and will be considered valid until the end of the meeting.</w:t>
            </w:r>
          </w:p>
        </w:tc>
      </w:tr>
      <w:tr w:rsidR="00CB1065" w14:paraId="093CDBE9" w14:textId="77777777" w:rsidTr="00682C64">
        <w:tc>
          <w:tcPr>
            <w:tcW w:w="1418" w:type="dxa"/>
            <w:shd w:val="clear" w:color="auto" w:fill="auto"/>
            <w:vAlign w:val="center"/>
          </w:tcPr>
          <w:p w14:paraId="7B4E6AC9" w14:textId="77777777" w:rsidR="00CB1065" w:rsidRDefault="00720A2F" w:rsidP="00682C64">
            <w:pPr>
              <w:jc w:val="left"/>
              <w:rPr>
                <w:color w:val="005DA2"/>
                <w:sz w:val="20"/>
              </w:rPr>
            </w:pPr>
            <w:r w:rsidRPr="00A77B89">
              <w:rPr>
                <w:color w:val="005DA2"/>
                <w:sz w:val="20"/>
              </w:rPr>
              <w:t>5</w:t>
            </w:r>
            <w:r w:rsidR="00CB1065" w:rsidRPr="00A77B89">
              <w:rPr>
                <w:color w:val="005DA2"/>
                <w:sz w:val="20"/>
              </w:rPr>
              <w:t>.2</w:t>
            </w:r>
          </w:p>
          <w:p w14:paraId="0A639636" w14:textId="77777777" w:rsidR="00A77B89" w:rsidRPr="00A77B89" w:rsidRDefault="00A77B89" w:rsidP="00682C64">
            <w:pPr>
              <w:jc w:val="left"/>
              <w:rPr>
                <w:color w:val="005DA2"/>
                <w:sz w:val="20"/>
              </w:rPr>
            </w:pPr>
            <w:r>
              <w:rPr>
                <w:color w:val="005DA2"/>
                <w:sz w:val="20"/>
              </w:rPr>
              <w:t>Consensus and voting</w:t>
            </w:r>
          </w:p>
        </w:tc>
        <w:tc>
          <w:tcPr>
            <w:tcW w:w="8460" w:type="dxa"/>
            <w:shd w:val="clear" w:color="auto" w:fill="auto"/>
          </w:tcPr>
          <w:p w14:paraId="29864C64" w14:textId="77777777" w:rsidR="00CB1065" w:rsidRDefault="00CB1065" w:rsidP="00C17807">
            <w:pPr>
              <w:spacing w:before="180"/>
              <w:rPr>
                <w:sz w:val="20"/>
              </w:rPr>
            </w:pPr>
            <w:r w:rsidRPr="00C17807">
              <w:rPr>
                <w:sz w:val="20"/>
              </w:rPr>
              <w:t>The EU DAG shall strive to take decisions by consensus. In case a vote is called for, a quorum will be re-ascertained, then decisions will be voted by a simple majority of those present and represented, provided that there is at least 1(one) member of each subgroup in the room. In the event of a tie, the Chair shall have a casting vote.</w:t>
            </w:r>
          </w:p>
          <w:p w14:paraId="202D69B4" w14:textId="77777777" w:rsidR="00A77B89" w:rsidRPr="00C17807" w:rsidRDefault="00A77B89" w:rsidP="00C17807">
            <w:pPr>
              <w:spacing w:before="180"/>
              <w:rPr>
                <w:sz w:val="20"/>
              </w:rPr>
            </w:pPr>
            <w:r w:rsidRPr="00C17807">
              <w:rPr>
                <w:sz w:val="20"/>
              </w:rPr>
              <w:t>Votes shall be held in camera, unless otherwise agreed.</w:t>
            </w:r>
          </w:p>
        </w:tc>
      </w:tr>
      <w:tr w:rsidR="00CB1065" w14:paraId="165F9242" w14:textId="77777777" w:rsidTr="00682C64">
        <w:tc>
          <w:tcPr>
            <w:tcW w:w="1418" w:type="dxa"/>
            <w:shd w:val="clear" w:color="auto" w:fill="auto"/>
            <w:vAlign w:val="center"/>
          </w:tcPr>
          <w:p w14:paraId="7ECD31FD" w14:textId="77777777" w:rsidR="00CB1065" w:rsidRDefault="00720A2F" w:rsidP="00682C64">
            <w:pPr>
              <w:jc w:val="left"/>
              <w:rPr>
                <w:color w:val="005DA2"/>
                <w:sz w:val="20"/>
              </w:rPr>
            </w:pPr>
            <w:r w:rsidRPr="00A77B89">
              <w:rPr>
                <w:color w:val="005DA2"/>
                <w:sz w:val="20"/>
              </w:rPr>
              <w:t>5</w:t>
            </w:r>
            <w:r w:rsidR="00A77B89">
              <w:rPr>
                <w:color w:val="005DA2"/>
                <w:sz w:val="20"/>
              </w:rPr>
              <w:t>.3</w:t>
            </w:r>
          </w:p>
          <w:p w14:paraId="2103A788" w14:textId="77777777" w:rsidR="00A77B89" w:rsidRPr="00A77B89" w:rsidRDefault="00A77B89" w:rsidP="00682C64">
            <w:pPr>
              <w:jc w:val="left"/>
              <w:rPr>
                <w:color w:val="005DA2"/>
                <w:sz w:val="20"/>
              </w:rPr>
            </w:pPr>
            <w:r>
              <w:rPr>
                <w:color w:val="005DA2"/>
                <w:sz w:val="20"/>
              </w:rPr>
              <w:t>Delegated vote</w:t>
            </w:r>
          </w:p>
        </w:tc>
        <w:tc>
          <w:tcPr>
            <w:tcW w:w="8460" w:type="dxa"/>
            <w:shd w:val="clear" w:color="auto" w:fill="auto"/>
          </w:tcPr>
          <w:p w14:paraId="243EC02F" w14:textId="77777777" w:rsidR="00CB1065" w:rsidRPr="00C17807" w:rsidRDefault="00CB1065" w:rsidP="00C17807">
            <w:pPr>
              <w:spacing w:before="180"/>
              <w:rPr>
                <w:sz w:val="20"/>
              </w:rPr>
            </w:pPr>
            <w:r w:rsidRPr="00C17807">
              <w:rPr>
                <w:sz w:val="20"/>
              </w:rPr>
              <w:t>One organisation can delegate its vote to another one among the members of the same subgroup. One member can receive a maximum of one delegated vote. Members wishing to delegate their vote shall inform the Chair before the vote takes place.</w:t>
            </w:r>
          </w:p>
        </w:tc>
      </w:tr>
      <w:tr w:rsidR="00CB1065" w14:paraId="6F929CDB" w14:textId="77777777" w:rsidTr="00682C64">
        <w:tc>
          <w:tcPr>
            <w:tcW w:w="1418" w:type="dxa"/>
            <w:shd w:val="clear" w:color="auto" w:fill="auto"/>
            <w:vAlign w:val="center"/>
          </w:tcPr>
          <w:p w14:paraId="6B7AB6E1" w14:textId="77777777" w:rsidR="00CB1065" w:rsidRPr="00682C64" w:rsidRDefault="00720A2F" w:rsidP="00682C64">
            <w:pPr>
              <w:jc w:val="left"/>
              <w:rPr>
                <w:color w:val="005DA2"/>
                <w:sz w:val="20"/>
              </w:rPr>
            </w:pPr>
            <w:r w:rsidRPr="00682C64">
              <w:rPr>
                <w:color w:val="005DA2"/>
                <w:sz w:val="20"/>
              </w:rPr>
              <w:t>5</w:t>
            </w:r>
            <w:r w:rsidR="00A77B89" w:rsidRPr="00682C64">
              <w:rPr>
                <w:color w:val="005DA2"/>
                <w:sz w:val="20"/>
              </w:rPr>
              <w:t>.4</w:t>
            </w:r>
          </w:p>
          <w:p w14:paraId="5DC6CBD3" w14:textId="77777777" w:rsidR="00A77B89" w:rsidRPr="00682C64" w:rsidRDefault="00A77B89" w:rsidP="00682C64">
            <w:pPr>
              <w:jc w:val="left"/>
              <w:rPr>
                <w:color w:val="005DA2"/>
                <w:sz w:val="20"/>
              </w:rPr>
            </w:pPr>
            <w:r w:rsidRPr="00682C64">
              <w:rPr>
                <w:color w:val="005DA2"/>
                <w:sz w:val="20"/>
              </w:rPr>
              <w:t>Reassigned vote</w:t>
            </w:r>
          </w:p>
        </w:tc>
        <w:tc>
          <w:tcPr>
            <w:tcW w:w="8460" w:type="dxa"/>
            <w:shd w:val="clear" w:color="auto" w:fill="auto"/>
          </w:tcPr>
          <w:p w14:paraId="2E8641AF" w14:textId="77777777" w:rsidR="00CB1065" w:rsidRPr="00C17807" w:rsidRDefault="00CB1065" w:rsidP="00E16400">
            <w:pPr>
              <w:spacing w:before="180"/>
              <w:rPr>
                <w:sz w:val="20"/>
              </w:rPr>
            </w:pPr>
            <w:r w:rsidRPr="00682C64">
              <w:rPr>
                <w:sz w:val="20"/>
              </w:rPr>
              <w:t xml:space="preserve">If the number of appointed members of any subgroup is below </w:t>
            </w:r>
            <w:r w:rsidR="00E16400" w:rsidRPr="00682C64">
              <w:rPr>
                <w:sz w:val="20"/>
              </w:rPr>
              <w:t>10 (ten)</w:t>
            </w:r>
            <w:r w:rsidRPr="00682C64">
              <w:rPr>
                <w:sz w:val="20"/>
              </w:rPr>
              <w:t xml:space="preserve">, the non-assigned votes of such subgroup shall be redistributed among the members of the same subgroup. Through the redistribution, </w:t>
            </w:r>
            <w:proofErr w:type="gramStart"/>
            <w:r w:rsidRPr="00682C64">
              <w:rPr>
                <w:sz w:val="20"/>
              </w:rPr>
              <w:lastRenderedPageBreak/>
              <w:t>one member</w:t>
            </w:r>
            <w:proofErr w:type="gramEnd"/>
            <w:r w:rsidRPr="00682C64">
              <w:rPr>
                <w:sz w:val="20"/>
              </w:rPr>
              <w:t xml:space="preserve"> organisation may not receive more than 1 (one) additional vote. Members wishing to use such an additional vote shall inform the Chair before the vote takes place.</w:t>
            </w:r>
          </w:p>
        </w:tc>
      </w:tr>
    </w:tbl>
    <w:p w14:paraId="669865EF" w14:textId="77777777" w:rsidR="00755B95" w:rsidRPr="00CB1065" w:rsidRDefault="00755B95" w:rsidP="00755B95">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Pr>
          <w:color w:val="808080"/>
          <w:sz w:val="24"/>
          <w:szCs w:val="24"/>
        </w:rPr>
        <w:lastRenderedPageBreak/>
        <w:t>Frequency of meetings</w:t>
      </w:r>
    </w:p>
    <w:tbl>
      <w:tblPr>
        <w:tblW w:w="9878" w:type="dxa"/>
        <w:tblBorders>
          <w:insideH w:val="single" w:sz="4" w:space="0" w:color="E7E6E6"/>
        </w:tblBorders>
        <w:tblLook w:val="04A0" w:firstRow="1" w:lastRow="0" w:firstColumn="1" w:lastColumn="0" w:noHBand="0" w:noVBand="1"/>
      </w:tblPr>
      <w:tblGrid>
        <w:gridCol w:w="1418"/>
        <w:gridCol w:w="8460"/>
      </w:tblGrid>
      <w:tr w:rsidR="00755B95" w:rsidRPr="00682C64" w14:paraId="66CD38C2" w14:textId="77777777" w:rsidTr="00682C64">
        <w:tc>
          <w:tcPr>
            <w:tcW w:w="1418" w:type="dxa"/>
            <w:shd w:val="clear" w:color="auto" w:fill="auto"/>
            <w:vAlign w:val="center"/>
          </w:tcPr>
          <w:p w14:paraId="7F8B5CB5" w14:textId="77777777" w:rsidR="00755B95" w:rsidRPr="00682C64" w:rsidRDefault="00720A2F" w:rsidP="00682C64">
            <w:pPr>
              <w:jc w:val="left"/>
              <w:rPr>
                <w:color w:val="005DA2"/>
                <w:sz w:val="20"/>
              </w:rPr>
            </w:pPr>
            <w:r w:rsidRPr="00682C64">
              <w:rPr>
                <w:color w:val="005DA2"/>
                <w:sz w:val="20"/>
              </w:rPr>
              <w:t>6</w:t>
            </w:r>
            <w:r w:rsidR="00755B95" w:rsidRPr="00682C64">
              <w:rPr>
                <w:color w:val="005DA2"/>
                <w:sz w:val="20"/>
              </w:rPr>
              <w:t>.1</w:t>
            </w:r>
          </w:p>
          <w:p w14:paraId="2070989F" w14:textId="77777777" w:rsidR="00A77B89" w:rsidRPr="00682C64" w:rsidRDefault="00A77B89" w:rsidP="00682C64">
            <w:pPr>
              <w:jc w:val="left"/>
              <w:rPr>
                <w:color w:val="005DA2"/>
                <w:sz w:val="20"/>
              </w:rPr>
            </w:pPr>
            <w:r w:rsidRPr="00682C64">
              <w:rPr>
                <w:color w:val="005DA2"/>
                <w:sz w:val="20"/>
              </w:rPr>
              <w:t>Number of meetings</w:t>
            </w:r>
          </w:p>
        </w:tc>
        <w:tc>
          <w:tcPr>
            <w:tcW w:w="8460" w:type="dxa"/>
            <w:shd w:val="clear" w:color="auto" w:fill="auto"/>
          </w:tcPr>
          <w:p w14:paraId="1A9BD1D3" w14:textId="49C74E68" w:rsidR="00755B95" w:rsidRPr="00682C64" w:rsidRDefault="00755B95" w:rsidP="001350E6">
            <w:pPr>
              <w:spacing w:before="180"/>
              <w:rPr>
                <w:sz w:val="20"/>
              </w:rPr>
            </w:pPr>
            <w:r w:rsidRPr="00682C64">
              <w:rPr>
                <w:sz w:val="20"/>
              </w:rPr>
              <w:t xml:space="preserve">The EU DAG shall meet at least </w:t>
            </w:r>
            <w:r w:rsidR="001350E6" w:rsidRPr="00682C64">
              <w:rPr>
                <w:sz w:val="20"/>
              </w:rPr>
              <w:t>four times</w:t>
            </w:r>
            <w:r w:rsidRPr="00682C64">
              <w:rPr>
                <w:sz w:val="20"/>
              </w:rPr>
              <w:t xml:space="preserve"> per year.</w:t>
            </w:r>
          </w:p>
        </w:tc>
      </w:tr>
      <w:tr w:rsidR="00755B95" w14:paraId="2D5BC8A7" w14:textId="77777777" w:rsidTr="00682C64">
        <w:tc>
          <w:tcPr>
            <w:tcW w:w="1418" w:type="dxa"/>
            <w:shd w:val="clear" w:color="auto" w:fill="auto"/>
            <w:vAlign w:val="center"/>
          </w:tcPr>
          <w:p w14:paraId="6A0751A7" w14:textId="77777777" w:rsidR="00755B95" w:rsidRPr="00682C64" w:rsidRDefault="00720A2F" w:rsidP="00682C64">
            <w:pPr>
              <w:jc w:val="left"/>
              <w:rPr>
                <w:color w:val="005DA2"/>
                <w:sz w:val="20"/>
              </w:rPr>
            </w:pPr>
            <w:r w:rsidRPr="00682C64">
              <w:rPr>
                <w:color w:val="005DA2"/>
                <w:sz w:val="20"/>
              </w:rPr>
              <w:t>6</w:t>
            </w:r>
            <w:r w:rsidR="00755B95" w:rsidRPr="00682C64">
              <w:rPr>
                <w:color w:val="005DA2"/>
                <w:sz w:val="20"/>
              </w:rPr>
              <w:t>.2</w:t>
            </w:r>
          </w:p>
          <w:p w14:paraId="35D45214" w14:textId="77777777" w:rsidR="00A77B89" w:rsidRPr="00682C64" w:rsidRDefault="00A77B89" w:rsidP="00682C64">
            <w:pPr>
              <w:jc w:val="left"/>
              <w:rPr>
                <w:color w:val="005DA2"/>
                <w:sz w:val="20"/>
              </w:rPr>
            </w:pPr>
            <w:r w:rsidRPr="00682C64">
              <w:rPr>
                <w:color w:val="005DA2"/>
                <w:sz w:val="20"/>
              </w:rPr>
              <w:t>Additional meetings</w:t>
            </w:r>
          </w:p>
        </w:tc>
        <w:tc>
          <w:tcPr>
            <w:tcW w:w="8460" w:type="dxa"/>
            <w:shd w:val="clear" w:color="auto" w:fill="auto"/>
          </w:tcPr>
          <w:p w14:paraId="2D5D9E03" w14:textId="77777777" w:rsidR="00755B95" w:rsidRPr="00682C64" w:rsidRDefault="00755B95" w:rsidP="00A77B89">
            <w:pPr>
              <w:spacing w:before="180"/>
              <w:rPr>
                <w:sz w:val="20"/>
              </w:rPr>
            </w:pPr>
            <w:r w:rsidRPr="00682C64">
              <w:rPr>
                <w:sz w:val="20"/>
              </w:rPr>
              <w:t>Additi</w:t>
            </w:r>
            <w:r w:rsidR="00A77B89" w:rsidRPr="00682C64">
              <w:rPr>
                <w:sz w:val="20"/>
              </w:rPr>
              <w:t xml:space="preserve">onal meetings may be called by </w:t>
            </w:r>
          </w:p>
          <w:p w14:paraId="7B839D45" w14:textId="77777777" w:rsidR="00755B95" w:rsidRPr="00682C64" w:rsidRDefault="00755B95" w:rsidP="00C17807">
            <w:pPr>
              <w:numPr>
                <w:ilvl w:val="0"/>
                <w:numId w:val="37"/>
              </w:numPr>
              <w:rPr>
                <w:sz w:val="20"/>
              </w:rPr>
            </w:pPr>
            <w:r w:rsidRPr="00682C64">
              <w:rPr>
                <w:sz w:val="20"/>
              </w:rPr>
              <w:t>the Chair on his/her own initiative,</w:t>
            </w:r>
          </w:p>
          <w:p w14:paraId="03356B83" w14:textId="77777777" w:rsidR="00755B95" w:rsidRPr="00682C64" w:rsidRDefault="00755B95" w:rsidP="00C17807">
            <w:pPr>
              <w:numPr>
                <w:ilvl w:val="0"/>
                <w:numId w:val="37"/>
              </w:numPr>
              <w:rPr>
                <w:sz w:val="20"/>
              </w:rPr>
            </w:pPr>
            <w:r w:rsidRPr="00682C64">
              <w:rPr>
                <w:sz w:val="20"/>
              </w:rPr>
              <w:t>1 (one) member of the EU DAG supported by at least 15 (fifteen) other members,</w:t>
            </w:r>
          </w:p>
          <w:p w14:paraId="336A356A" w14:textId="77777777" w:rsidR="00755B95" w:rsidRPr="00682C64" w:rsidRDefault="00755B95" w:rsidP="00C17807">
            <w:pPr>
              <w:numPr>
                <w:ilvl w:val="0"/>
                <w:numId w:val="37"/>
              </w:numPr>
              <w:rPr>
                <w:sz w:val="20"/>
              </w:rPr>
            </w:pPr>
            <w:r w:rsidRPr="00682C64">
              <w:rPr>
                <w:sz w:val="20"/>
              </w:rPr>
              <w:t>the European Commission,</w:t>
            </w:r>
          </w:p>
          <w:p w14:paraId="0C8FFF87" w14:textId="77777777" w:rsidR="00755B95" w:rsidRPr="00682C64" w:rsidRDefault="00755B95" w:rsidP="00C17807">
            <w:pPr>
              <w:numPr>
                <w:ilvl w:val="0"/>
                <w:numId w:val="37"/>
              </w:numPr>
              <w:rPr>
                <w:sz w:val="20"/>
              </w:rPr>
            </w:pPr>
            <w:r w:rsidRPr="00682C64">
              <w:rPr>
                <w:sz w:val="20"/>
              </w:rPr>
              <w:t>the Panel of Experts,</w:t>
            </w:r>
          </w:p>
          <w:p w14:paraId="0B4A8443" w14:textId="77777777" w:rsidR="00755B95" w:rsidRPr="00682C64" w:rsidRDefault="00DD2927" w:rsidP="00C17807">
            <w:pPr>
              <w:numPr>
                <w:ilvl w:val="0"/>
                <w:numId w:val="37"/>
              </w:numPr>
              <w:rPr>
                <w:sz w:val="20"/>
              </w:rPr>
            </w:pPr>
            <w:r w:rsidRPr="00682C64">
              <w:rPr>
                <w:sz w:val="20"/>
              </w:rPr>
              <w:t>the Trade Partnership Committee and other TCA specialised committees or working groups</w:t>
            </w:r>
            <w:r w:rsidR="00755B95" w:rsidRPr="00682C64">
              <w:rPr>
                <w:sz w:val="20"/>
              </w:rPr>
              <w:t>.</w:t>
            </w:r>
          </w:p>
          <w:p w14:paraId="44C0A3E1" w14:textId="77777777" w:rsidR="00A77B89" w:rsidRPr="00C17807" w:rsidRDefault="00A77B89" w:rsidP="00A77B89">
            <w:pPr>
              <w:spacing w:before="240"/>
              <w:rPr>
                <w:sz w:val="20"/>
              </w:rPr>
            </w:pPr>
            <w:r w:rsidRPr="00682C64">
              <w:rPr>
                <w:sz w:val="20"/>
              </w:rPr>
              <w:t>Requests for additional meetings shall be addressed to the Chair; the Secretariat will check with DG Trade the availability of financial means.</w:t>
            </w:r>
          </w:p>
        </w:tc>
      </w:tr>
    </w:tbl>
    <w:p w14:paraId="352D874F" w14:textId="77777777" w:rsidR="006D005D" w:rsidRPr="00CB1065" w:rsidRDefault="006D005D" w:rsidP="006D005D">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Pr>
          <w:color w:val="808080"/>
          <w:sz w:val="24"/>
          <w:szCs w:val="24"/>
        </w:rPr>
        <w:t>Secretariat</w:t>
      </w:r>
    </w:p>
    <w:tbl>
      <w:tblPr>
        <w:tblW w:w="10049" w:type="dxa"/>
        <w:tblBorders>
          <w:insideH w:val="single" w:sz="4" w:space="0" w:color="E7E6E6"/>
        </w:tblBorders>
        <w:tblLayout w:type="fixed"/>
        <w:tblLook w:val="04A0" w:firstRow="1" w:lastRow="0" w:firstColumn="1" w:lastColumn="0" w:noHBand="0" w:noVBand="1"/>
      </w:tblPr>
      <w:tblGrid>
        <w:gridCol w:w="1418"/>
        <w:gridCol w:w="8631"/>
      </w:tblGrid>
      <w:tr w:rsidR="006D005D" w14:paraId="739F98ED" w14:textId="77777777" w:rsidTr="00682C64">
        <w:tc>
          <w:tcPr>
            <w:tcW w:w="1418" w:type="dxa"/>
            <w:shd w:val="clear" w:color="auto" w:fill="auto"/>
            <w:vAlign w:val="center"/>
          </w:tcPr>
          <w:p w14:paraId="2EACB6F8" w14:textId="77777777" w:rsidR="006D005D" w:rsidRPr="00682C64" w:rsidRDefault="00720A2F" w:rsidP="00682C64">
            <w:pPr>
              <w:jc w:val="left"/>
              <w:rPr>
                <w:color w:val="005DA2"/>
                <w:sz w:val="20"/>
              </w:rPr>
            </w:pPr>
            <w:r w:rsidRPr="00682C64">
              <w:rPr>
                <w:color w:val="005DA2"/>
                <w:sz w:val="20"/>
              </w:rPr>
              <w:t>7</w:t>
            </w:r>
            <w:r w:rsidR="006D005D" w:rsidRPr="00682C64">
              <w:rPr>
                <w:color w:val="005DA2"/>
                <w:sz w:val="20"/>
              </w:rPr>
              <w:t>.1</w:t>
            </w:r>
          </w:p>
          <w:p w14:paraId="32F416B2" w14:textId="77777777" w:rsidR="00A77B89" w:rsidRPr="00682C64" w:rsidRDefault="00A77B89" w:rsidP="00682C64">
            <w:pPr>
              <w:jc w:val="left"/>
              <w:rPr>
                <w:color w:val="005DA2"/>
                <w:sz w:val="20"/>
              </w:rPr>
            </w:pPr>
            <w:r w:rsidRPr="00682C64">
              <w:rPr>
                <w:color w:val="005DA2"/>
                <w:sz w:val="20"/>
              </w:rPr>
              <w:t>Secretariat</w:t>
            </w:r>
          </w:p>
        </w:tc>
        <w:tc>
          <w:tcPr>
            <w:tcW w:w="8631" w:type="dxa"/>
            <w:shd w:val="clear" w:color="auto" w:fill="auto"/>
          </w:tcPr>
          <w:p w14:paraId="591772E5" w14:textId="77777777" w:rsidR="006D005D" w:rsidRPr="00C17807" w:rsidRDefault="006D005D" w:rsidP="00C17807">
            <w:pPr>
              <w:spacing w:before="180"/>
              <w:rPr>
                <w:sz w:val="20"/>
              </w:rPr>
            </w:pPr>
            <w:r w:rsidRPr="00682C64">
              <w:rPr>
                <w:sz w:val="20"/>
              </w:rPr>
              <w:t>The Secretariat of the External Relations Section of the EESC shall act as Secretariat of the EU DAG. The main tasks of the Secretariat shall be to support the work of the EU DAG and its Chair and Vice-Chairs, to ensure publicity and communication of the work of the EU DAG and to liaise with the European Commission, the Trade Partnership Committee and other TCA specialised committees or working groups, and the UK DAG.</w:t>
            </w:r>
          </w:p>
        </w:tc>
      </w:tr>
      <w:tr w:rsidR="006D005D" w14:paraId="54CBC532" w14:textId="77777777" w:rsidTr="00682C64">
        <w:tc>
          <w:tcPr>
            <w:tcW w:w="1418" w:type="dxa"/>
            <w:shd w:val="clear" w:color="auto" w:fill="auto"/>
            <w:vAlign w:val="center"/>
          </w:tcPr>
          <w:p w14:paraId="4CBA9EDA" w14:textId="77777777" w:rsidR="006D005D" w:rsidRDefault="00720A2F" w:rsidP="00682C64">
            <w:pPr>
              <w:jc w:val="left"/>
              <w:rPr>
                <w:color w:val="005DA2"/>
                <w:sz w:val="20"/>
              </w:rPr>
            </w:pPr>
            <w:r w:rsidRPr="00A77B89">
              <w:rPr>
                <w:color w:val="005DA2"/>
                <w:sz w:val="20"/>
              </w:rPr>
              <w:t>7</w:t>
            </w:r>
            <w:r w:rsidR="006D005D" w:rsidRPr="00A77B89">
              <w:rPr>
                <w:color w:val="005DA2"/>
                <w:sz w:val="20"/>
              </w:rPr>
              <w:t>.2</w:t>
            </w:r>
          </w:p>
          <w:p w14:paraId="2E6CFA9F" w14:textId="77777777" w:rsidR="00A77B89" w:rsidRPr="00A77B89" w:rsidRDefault="00554E4C" w:rsidP="00682C64">
            <w:pPr>
              <w:jc w:val="left"/>
              <w:rPr>
                <w:color w:val="005DA2"/>
                <w:sz w:val="20"/>
              </w:rPr>
            </w:pPr>
            <w:r>
              <w:rPr>
                <w:color w:val="005DA2"/>
                <w:sz w:val="20"/>
              </w:rPr>
              <w:t>Support for EU DAG</w:t>
            </w:r>
          </w:p>
        </w:tc>
        <w:tc>
          <w:tcPr>
            <w:tcW w:w="8631" w:type="dxa"/>
            <w:shd w:val="clear" w:color="auto" w:fill="auto"/>
          </w:tcPr>
          <w:p w14:paraId="25D76F0B" w14:textId="77777777" w:rsidR="006D005D" w:rsidRPr="00C17807" w:rsidRDefault="006D005D" w:rsidP="00C17807">
            <w:pPr>
              <w:spacing w:before="180"/>
              <w:rPr>
                <w:sz w:val="20"/>
              </w:rPr>
            </w:pPr>
            <w:r w:rsidRPr="00C17807">
              <w:rPr>
                <w:sz w:val="20"/>
              </w:rPr>
              <w:t>The Secretariat shall prepare and send out to the EU DAG the official minutes of each EU DAG meeting. Differences in views expressed during meetings shall be reflected in the minutes. The minutes shall be sent before the next meeting and submitted to the EU DAG members and permanent observers for approval at the following meeting.</w:t>
            </w:r>
          </w:p>
        </w:tc>
      </w:tr>
      <w:tr w:rsidR="006D005D" w14:paraId="7BF66C66" w14:textId="77777777" w:rsidTr="00682C64">
        <w:tc>
          <w:tcPr>
            <w:tcW w:w="1418" w:type="dxa"/>
            <w:shd w:val="clear" w:color="auto" w:fill="auto"/>
            <w:vAlign w:val="center"/>
          </w:tcPr>
          <w:p w14:paraId="285904F4" w14:textId="77777777" w:rsidR="006D005D" w:rsidRDefault="00720A2F" w:rsidP="00682C64">
            <w:pPr>
              <w:jc w:val="left"/>
              <w:rPr>
                <w:color w:val="005DA2"/>
                <w:sz w:val="20"/>
              </w:rPr>
            </w:pPr>
            <w:r w:rsidRPr="00A77B89">
              <w:rPr>
                <w:color w:val="005DA2"/>
                <w:sz w:val="20"/>
              </w:rPr>
              <w:t>7</w:t>
            </w:r>
            <w:r w:rsidR="006D005D" w:rsidRPr="00A77B89">
              <w:rPr>
                <w:color w:val="005DA2"/>
                <w:sz w:val="20"/>
              </w:rPr>
              <w:t>.3</w:t>
            </w:r>
          </w:p>
          <w:p w14:paraId="7A1FCCCB" w14:textId="77777777" w:rsidR="00554E4C" w:rsidRPr="00A77B89" w:rsidRDefault="00554E4C" w:rsidP="00682C64">
            <w:pPr>
              <w:jc w:val="left"/>
              <w:rPr>
                <w:color w:val="005DA2"/>
                <w:sz w:val="20"/>
              </w:rPr>
            </w:pPr>
            <w:r>
              <w:rPr>
                <w:color w:val="005DA2"/>
                <w:sz w:val="20"/>
              </w:rPr>
              <w:t>Liaison with UK DAG</w:t>
            </w:r>
          </w:p>
        </w:tc>
        <w:tc>
          <w:tcPr>
            <w:tcW w:w="8631" w:type="dxa"/>
            <w:shd w:val="clear" w:color="auto" w:fill="auto"/>
          </w:tcPr>
          <w:p w14:paraId="310084E1" w14:textId="77777777" w:rsidR="006D005D" w:rsidRPr="00C17807" w:rsidRDefault="006D005D" w:rsidP="00C17807">
            <w:pPr>
              <w:spacing w:before="180"/>
              <w:rPr>
                <w:sz w:val="20"/>
              </w:rPr>
            </w:pPr>
            <w:r w:rsidRPr="00C17807">
              <w:rPr>
                <w:sz w:val="20"/>
              </w:rPr>
              <w:t xml:space="preserve">The Secretariat shall also be responsible for coordinating joint meetings of the EU and </w:t>
            </w:r>
            <w:r w:rsidR="00DD2927" w:rsidRPr="00C17807">
              <w:rPr>
                <w:sz w:val="20"/>
              </w:rPr>
              <w:t>UK</w:t>
            </w:r>
            <w:r w:rsidRPr="00C17807">
              <w:rPr>
                <w:sz w:val="20"/>
              </w:rPr>
              <w:t xml:space="preserve"> DAG and shall facilitate inter-sessional contacts and cooperation between them.</w:t>
            </w:r>
          </w:p>
        </w:tc>
      </w:tr>
    </w:tbl>
    <w:p w14:paraId="37A97BE4" w14:textId="77777777" w:rsidR="006D005D" w:rsidRPr="008710DB" w:rsidRDefault="006D005D" w:rsidP="006D005D">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710DB">
        <w:rPr>
          <w:color w:val="808080"/>
          <w:sz w:val="24"/>
          <w:szCs w:val="24"/>
        </w:rPr>
        <w:t>Preparation of agenda for EU DAG meetings</w:t>
      </w:r>
    </w:p>
    <w:tbl>
      <w:tblPr>
        <w:tblW w:w="9878" w:type="dxa"/>
        <w:tblBorders>
          <w:insideH w:val="single" w:sz="4" w:space="0" w:color="E7E6E6"/>
        </w:tblBorders>
        <w:tblLook w:val="04A0" w:firstRow="1" w:lastRow="0" w:firstColumn="1" w:lastColumn="0" w:noHBand="0" w:noVBand="1"/>
      </w:tblPr>
      <w:tblGrid>
        <w:gridCol w:w="1418"/>
        <w:gridCol w:w="8460"/>
      </w:tblGrid>
      <w:tr w:rsidR="008710DB" w14:paraId="09ACDE9B" w14:textId="77777777" w:rsidTr="00682C64">
        <w:tc>
          <w:tcPr>
            <w:tcW w:w="1418" w:type="dxa"/>
            <w:shd w:val="clear" w:color="auto" w:fill="auto"/>
            <w:vAlign w:val="center"/>
          </w:tcPr>
          <w:p w14:paraId="7C02B6F6" w14:textId="77777777" w:rsidR="008710DB" w:rsidRDefault="008710DB" w:rsidP="00C17807">
            <w:pPr>
              <w:rPr>
                <w:color w:val="005DA2"/>
                <w:sz w:val="20"/>
              </w:rPr>
            </w:pPr>
            <w:r w:rsidRPr="00554E4C">
              <w:rPr>
                <w:color w:val="005DA2"/>
                <w:sz w:val="20"/>
              </w:rPr>
              <w:t>8.1</w:t>
            </w:r>
          </w:p>
          <w:p w14:paraId="0F31F31B" w14:textId="77777777" w:rsidR="00554E4C" w:rsidRPr="00554E4C" w:rsidRDefault="00554E4C" w:rsidP="00C17807">
            <w:pPr>
              <w:rPr>
                <w:color w:val="005DA2"/>
                <w:sz w:val="20"/>
              </w:rPr>
            </w:pPr>
            <w:r>
              <w:rPr>
                <w:color w:val="005DA2"/>
                <w:sz w:val="20"/>
              </w:rPr>
              <w:t>Chair proposes agendas</w:t>
            </w:r>
          </w:p>
        </w:tc>
        <w:tc>
          <w:tcPr>
            <w:tcW w:w="8460" w:type="dxa"/>
            <w:shd w:val="clear" w:color="auto" w:fill="auto"/>
          </w:tcPr>
          <w:p w14:paraId="0A48107A" w14:textId="77777777" w:rsidR="008710DB" w:rsidRPr="00C17807" w:rsidRDefault="008710DB" w:rsidP="00C17807">
            <w:pPr>
              <w:spacing w:before="180"/>
              <w:rPr>
                <w:sz w:val="20"/>
              </w:rPr>
            </w:pPr>
            <w:r w:rsidRPr="00C17807">
              <w:rPr>
                <w:sz w:val="20"/>
              </w:rPr>
              <w:t xml:space="preserve">Agendas of EU DAG meetings shall be drawn up and proposed by the Chair, after consultation with the Vice-Chairs, and sent out to the EU DAG members and permanent observers in due </w:t>
            </w:r>
            <w:r w:rsidR="00554E4C">
              <w:rPr>
                <w:sz w:val="20"/>
              </w:rPr>
              <w:t>time before the EU DAG meeting.</w:t>
            </w:r>
          </w:p>
        </w:tc>
      </w:tr>
      <w:tr w:rsidR="00554E4C" w14:paraId="0B98EDDE" w14:textId="77777777" w:rsidTr="00682C64">
        <w:tc>
          <w:tcPr>
            <w:tcW w:w="1418" w:type="dxa"/>
            <w:shd w:val="clear" w:color="auto" w:fill="auto"/>
            <w:vAlign w:val="center"/>
          </w:tcPr>
          <w:p w14:paraId="47E4A252" w14:textId="77777777" w:rsidR="00554E4C" w:rsidRDefault="00554E4C" w:rsidP="00C17807">
            <w:pPr>
              <w:rPr>
                <w:color w:val="005DA2"/>
                <w:sz w:val="20"/>
              </w:rPr>
            </w:pPr>
            <w:r>
              <w:rPr>
                <w:color w:val="005DA2"/>
                <w:sz w:val="20"/>
              </w:rPr>
              <w:t>8.2</w:t>
            </w:r>
          </w:p>
          <w:p w14:paraId="2933FE9B" w14:textId="77777777" w:rsidR="00554E4C" w:rsidRPr="00554E4C" w:rsidRDefault="00554E4C" w:rsidP="00C17807">
            <w:pPr>
              <w:rPr>
                <w:color w:val="005DA2"/>
                <w:sz w:val="20"/>
              </w:rPr>
            </w:pPr>
            <w:r>
              <w:rPr>
                <w:color w:val="005DA2"/>
                <w:sz w:val="20"/>
              </w:rPr>
              <w:t>Proposing agenda items</w:t>
            </w:r>
          </w:p>
        </w:tc>
        <w:tc>
          <w:tcPr>
            <w:tcW w:w="8460" w:type="dxa"/>
            <w:shd w:val="clear" w:color="auto" w:fill="auto"/>
          </w:tcPr>
          <w:p w14:paraId="4ABB397B" w14:textId="77777777" w:rsidR="00554E4C" w:rsidRPr="00682C64" w:rsidRDefault="00554E4C" w:rsidP="00C17807">
            <w:pPr>
              <w:spacing w:before="180"/>
              <w:rPr>
                <w:sz w:val="20"/>
              </w:rPr>
            </w:pPr>
            <w:r w:rsidRPr="00682C64">
              <w:rPr>
                <w:sz w:val="20"/>
              </w:rPr>
              <w:t>The EU DAG members and permanent observers may propose points to be included in the agenda. The Chair shall ensure a balanced representation of proposals for the EU DAG's agendas, in order to ensure the representation of the three subgroups. The Chair and Vice-Chairs identify the points to be discussed 'in camera'. The EU DAG may also take into account proposals provided by the European Commission or by the Trade Partnership Committee and other TCA specialised committees or working groups.</w:t>
            </w:r>
          </w:p>
        </w:tc>
      </w:tr>
      <w:tr w:rsidR="008710DB" w14:paraId="40AC5EFA" w14:textId="77777777" w:rsidTr="00682C64">
        <w:tc>
          <w:tcPr>
            <w:tcW w:w="1418" w:type="dxa"/>
            <w:shd w:val="clear" w:color="auto" w:fill="auto"/>
            <w:vAlign w:val="center"/>
          </w:tcPr>
          <w:p w14:paraId="04EA0A62" w14:textId="77777777" w:rsidR="008710DB" w:rsidRDefault="008710DB" w:rsidP="00C17807">
            <w:pPr>
              <w:rPr>
                <w:color w:val="005DA2"/>
                <w:sz w:val="20"/>
              </w:rPr>
            </w:pPr>
            <w:r w:rsidRPr="00554E4C">
              <w:rPr>
                <w:color w:val="005DA2"/>
                <w:sz w:val="20"/>
              </w:rPr>
              <w:t>8</w:t>
            </w:r>
            <w:r w:rsidR="00554E4C">
              <w:rPr>
                <w:color w:val="005DA2"/>
                <w:sz w:val="20"/>
              </w:rPr>
              <w:t>.3</w:t>
            </w:r>
          </w:p>
          <w:p w14:paraId="219D15F0" w14:textId="77777777" w:rsidR="00554E4C" w:rsidRPr="00554E4C" w:rsidRDefault="00554E4C" w:rsidP="00C17807">
            <w:pPr>
              <w:rPr>
                <w:color w:val="005DA2"/>
                <w:sz w:val="20"/>
              </w:rPr>
            </w:pPr>
            <w:r>
              <w:rPr>
                <w:color w:val="005DA2"/>
                <w:sz w:val="20"/>
              </w:rPr>
              <w:t>Commission participation</w:t>
            </w:r>
          </w:p>
        </w:tc>
        <w:tc>
          <w:tcPr>
            <w:tcW w:w="8460" w:type="dxa"/>
            <w:shd w:val="clear" w:color="auto" w:fill="auto"/>
          </w:tcPr>
          <w:p w14:paraId="225F64D7" w14:textId="77777777" w:rsidR="008710DB" w:rsidRPr="00C17807" w:rsidRDefault="008710DB" w:rsidP="00C17807">
            <w:pPr>
              <w:spacing w:before="180"/>
              <w:rPr>
                <w:sz w:val="20"/>
              </w:rPr>
            </w:pPr>
            <w:r w:rsidRPr="00C17807">
              <w:rPr>
                <w:sz w:val="20"/>
              </w:rPr>
              <w:t>Unless otherwise agreed, the agendas of the EU DAG meetings shall include a standing point on the participation of the European Commission. The European Commission is invited to provide the relevant experts.</w:t>
            </w:r>
          </w:p>
        </w:tc>
      </w:tr>
    </w:tbl>
    <w:p w14:paraId="2FC4729D" w14:textId="77777777" w:rsidR="008710DB" w:rsidRPr="008710DB" w:rsidRDefault="008710DB" w:rsidP="008710DB">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710DB">
        <w:rPr>
          <w:color w:val="808080"/>
          <w:sz w:val="24"/>
          <w:szCs w:val="24"/>
        </w:rPr>
        <w:lastRenderedPageBreak/>
        <w:t>EU DAG communications, opinions and other actions</w:t>
      </w:r>
    </w:p>
    <w:tbl>
      <w:tblPr>
        <w:tblW w:w="9815" w:type="dxa"/>
        <w:tblBorders>
          <w:insideH w:val="single" w:sz="4" w:space="0" w:color="E7E6E6"/>
        </w:tblBorders>
        <w:tblLayout w:type="fixed"/>
        <w:tblLook w:val="04A0" w:firstRow="1" w:lastRow="0" w:firstColumn="1" w:lastColumn="0" w:noHBand="0" w:noVBand="1"/>
      </w:tblPr>
      <w:tblGrid>
        <w:gridCol w:w="1418"/>
        <w:gridCol w:w="8397"/>
      </w:tblGrid>
      <w:tr w:rsidR="008710DB" w14:paraId="4729BFE5" w14:textId="77777777" w:rsidTr="00682C64">
        <w:tc>
          <w:tcPr>
            <w:tcW w:w="1418" w:type="dxa"/>
            <w:shd w:val="clear" w:color="auto" w:fill="auto"/>
            <w:vAlign w:val="center"/>
          </w:tcPr>
          <w:p w14:paraId="1E6DCA0D" w14:textId="77777777" w:rsidR="008710DB" w:rsidRPr="00682C64" w:rsidRDefault="008710DB" w:rsidP="00682C64">
            <w:pPr>
              <w:jc w:val="left"/>
              <w:rPr>
                <w:color w:val="005DA2"/>
                <w:sz w:val="20"/>
              </w:rPr>
            </w:pPr>
            <w:r w:rsidRPr="00682C64">
              <w:rPr>
                <w:color w:val="005DA2"/>
                <w:sz w:val="20"/>
              </w:rPr>
              <w:t>9.1</w:t>
            </w:r>
          </w:p>
          <w:p w14:paraId="74ED2677" w14:textId="77777777" w:rsidR="00554E4C" w:rsidRPr="00682C64" w:rsidRDefault="00554E4C" w:rsidP="00682C64">
            <w:pPr>
              <w:jc w:val="left"/>
              <w:rPr>
                <w:color w:val="005DA2"/>
                <w:sz w:val="20"/>
              </w:rPr>
            </w:pPr>
            <w:r w:rsidRPr="00682C64">
              <w:rPr>
                <w:color w:val="005DA2"/>
                <w:sz w:val="20"/>
              </w:rPr>
              <w:t>Addressees</w:t>
            </w:r>
          </w:p>
        </w:tc>
        <w:tc>
          <w:tcPr>
            <w:tcW w:w="8397" w:type="dxa"/>
            <w:shd w:val="clear" w:color="auto" w:fill="auto"/>
          </w:tcPr>
          <w:p w14:paraId="48E9A9F4" w14:textId="77777777" w:rsidR="008710DB" w:rsidRPr="00C17807" w:rsidRDefault="008710DB" w:rsidP="00C17807">
            <w:pPr>
              <w:spacing w:before="180"/>
              <w:rPr>
                <w:sz w:val="20"/>
              </w:rPr>
            </w:pPr>
            <w:r w:rsidRPr="00682C64">
              <w:rPr>
                <w:sz w:val="20"/>
              </w:rPr>
              <w:t xml:space="preserve">The EU DAG may address communications and recommendations related to its mandate to </w:t>
            </w:r>
            <w:r w:rsidR="00DD2927" w:rsidRPr="00682C64">
              <w:rPr>
                <w:sz w:val="20"/>
              </w:rPr>
              <w:t>the Trade Partnership Committee and other TCA specialised committees or working groups</w:t>
            </w:r>
            <w:r w:rsidRPr="00682C64">
              <w:rPr>
                <w:sz w:val="20"/>
              </w:rPr>
              <w:t xml:space="preserve">, the Parties to the Agreement, the EU institutions, as well as to the </w:t>
            </w:r>
            <w:r w:rsidR="00DD2927" w:rsidRPr="00682C64">
              <w:rPr>
                <w:sz w:val="20"/>
              </w:rPr>
              <w:t>UK</w:t>
            </w:r>
            <w:r w:rsidRPr="00682C64">
              <w:rPr>
                <w:sz w:val="20"/>
              </w:rPr>
              <w:t xml:space="preserve"> DAG or any other relevant body.</w:t>
            </w:r>
          </w:p>
        </w:tc>
      </w:tr>
      <w:tr w:rsidR="008710DB" w14:paraId="5E22325D" w14:textId="77777777" w:rsidTr="00682C64">
        <w:tc>
          <w:tcPr>
            <w:tcW w:w="1418" w:type="dxa"/>
            <w:shd w:val="clear" w:color="auto" w:fill="auto"/>
            <w:vAlign w:val="center"/>
          </w:tcPr>
          <w:p w14:paraId="27B38E42" w14:textId="77777777" w:rsidR="008710DB" w:rsidRDefault="008710DB" w:rsidP="00682C64">
            <w:pPr>
              <w:jc w:val="left"/>
              <w:rPr>
                <w:color w:val="005DA2"/>
                <w:sz w:val="20"/>
              </w:rPr>
            </w:pPr>
            <w:r w:rsidRPr="00554E4C">
              <w:rPr>
                <w:color w:val="005DA2"/>
                <w:sz w:val="20"/>
              </w:rPr>
              <w:t>9.2</w:t>
            </w:r>
          </w:p>
          <w:p w14:paraId="2E653A31" w14:textId="77777777" w:rsidR="00554E4C" w:rsidRPr="00554E4C" w:rsidRDefault="00554E4C" w:rsidP="00682C64">
            <w:pPr>
              <w:jc w:val="left"/>
              <w:rPr>
                <w:color w:val="005DA2"/>
                <w:sz w:val="20"/>
              </w:rPr>
            </w:pPr>
            <w:r>
              <w:rPr>
                <w:color w:val="005DA2"/>
                <w:sz w:val="20"/>
              </w:rPr>
              <w:t>Preparatory work</w:t>
            </w:r>
          </w:p>
        </w:tc>
        <w:tc>
          <w:tcPr>
            <w:tcW w:w="8397" w:type="dxa"/>
            <w:shd w:val="clear" w:color="auto" w:fill="auto"/>
          </w:tcPr>
          <w:p w14:paraId="7C7636D3" w14:textId="77777777" w:rsidR="008710DB" w:rsidRPr="00C17807" w:rsidRDefault="008710DB" w:rsidP="00C17807">
            <w:pPr>
              <w:spacing w:before="180"/>
              <w:rPr>
                <w:sz w:val="20"/>
              </w:rPr>
            </w:pPr>
            <w:r w:rsidRPr="00C17807">
              <w:rPr>
                <w:sz w:val="20"/>
              </w:rPr>
              <w:t>To prepare its communications or other documents, the EU DAG may appoint rapporteurs. It may consult academics, international organisations, independent experts or civil society organisations with relevant expertise that are not members or permanent observers of the EU DAG.</w:t>
            </w:r>
          </w:p>
        </w:tc>
      </w:tr>
      <w:tr w:rsidR="008710DB" w14:paraId="0E4D6039" w14:textId="77777777" w:rsidTr="00682C64">
        <w:tc>
          <w:tcPr>
            <w:tcW w:w="1418" w:type="dxa"/>
            <w:shd w:val="clear" w:color="auto" w:fill="auto"/>
            <w:vAlign w:val="center"/>
          </w:tcPr>
          <w:p w14:paraId="60F30169" w14:textId="77777777" w:rsidR="008710DB" w:rsidRDefault="008710DB" w:rsidP="00682C64">
            <w:pPr>
              <w:jc w:val="left"/>
              <w:rPr>
                <w:color w:val="005DA2"/>
                <w:sz w:val="20"/>
              </w:rPr>
            </w:pPr>
            <w:r w:rsidRPr="00554E4C">
              <w:rPr>
                <w:color w:val="005DA2"/>
                <w:sz w:val="20"/>
              </w:rPr>
              <w:t>9.3</w:t>
            </w:r>
          </w:p>
          <w:p w14:paraId="6589FB00" w14:textId="77777777" w:rsidR="00554E4C" w:rsidRPr="00554E4C" w:rsidRDefault="00554E4C" w:rsidP="00682C64">
            <w:pPr>
              <w:jc w:val="left"/>
              <w:rPr>
                <w:color w:val="005DA2"/>
                <w:sz w:val="20"/>
              </w:rPr>
            </w:pPr>
            <w:r>
              <w:rPr>
                <w:color w:val="005DA2"/>
                <w:sz w:val="20"/>
              </w:rPr>
              <w:t>Transparency</w:t>
            </w:r>
          </w:p>
        </w:tc>
        <w:tc>
          <w:tcPr>
            <w:tcW w:w="8397" w:type="dxa"/>
            <w:shd w:val="clear" w:color="auto" w:fill="auto"/>
          </w:tcPr>
          <w:p w14:paraId="796F1161" w14:textId="77777777" w:rsidR="008710DB" w:rsidRDefault="008710DB" w:rsidP="00C17807">
            <w:pPr>
              <w:spacing w:before="180"/>
              <w:rPr>
                <w:sz w:val="20"/>
              </w:rPr>
            </w:pPr>
            <w:r w:rsidRPr="00C17807">
              <w:rPr>
                <w:sz w:val="20"/>
              </w:rPr>
              <w:t>Unless otherwise decided, the EU DAG's communications, opinions and reports shall be public documents. They shall be available in the working languages of the EU DAG as defined at the beginning of the mandate.</w:t>
            </w:r>
          </w:p>
          <w:p w14:paraId="34FAA309" w14:textId="77777777" w:rsidR="00554E4C" w:rsidRPr="00C17807" w:rsidRDefault="00554E4C" w:rsidP="00C17807">
            <w:pPr>
              <w:spacing w:before="180"/>
              <w:rPr>
                <w:sz w:val="20"/>
              </w:rPr>
            </w:pPr>
            <w:r w:rsidRPr="00C17807">
              <w:rPr>
                <w:sz w:val="20"/>
              </w:rPr>
              <w:t>The EU DAG may also publish other documents related to its work that are considered by the EU DAG to be suitable for public dissemination.</w:t>
            </w:r>
          </w:p>
        </w:tc>
      </w:tr>
      <w:tr w:rsidR="008710DB" w14:paraId="5B414146" w14:textId="77777777" w:rsidTr="00682C64">
        <w:tc>
          <w:tcPr>
            <w:tcW w:w="1418" w:type="dxa"/>
            <w:shd w:val="clear" w:color="auto" w:fill="auto"/>
            <w:vAlign w:val="center"/>
          </w:tcPr>
          <w:p w14:paraId="497116EA" w14:textId="77777777" w:rsidR="008710DB" w:rsidRDefault="008710DB" w:rsidP="00682C64">
            <w:pPr>
              <w:jc w:val="left"/>
              <w:rPr>
                <w:color w:val="005DA2"/>
                <w:sz w:val="20"/>
              </w:rPr>
            </w:pPr>
            <w:r w:rsidRPr="00554E4C">
              <w:rPr>
                <w:color w:val="005DA2"/>
                <w:sz w:val="20"/>
              </w:rPr>
              <w:t>9</w:t>
            </w:r>
            <w:r w:rsidR="00554E4C">
              <w:rPr>
                <w:color w:val="005DA2"/>
                <w:sz w:val="20"/>
              </w:rPr>
              <w:t>.4</w:t>
            </w:r>
          </w:p>
          <w:p w14:paraId="1288EF4B" w14:textId="77777777" w:rsidR="00554E4C" w:rsidRPr="00554E4C" w:rsidRDefault="00554E4C" w:rsidP="00682C64">
            <w:pPr>
              <w:jc w:val="left"/>
              <w:rPr>
                <w:color w:val="005DA2"/>
                <w:sz w:val="20"/>
              </w:rPr>
            </w:pPr>
            <w:r>
              <w:rPr>
                <w:color w:val="005DA2"/>
                <w:sz w:val="20"/>
              </w:rPr>
              <w:t>Content</w:t>
            </w:r>
          </w:p>
        </w:tc>
        <w:tc>
          <w:tcPr>
            <w:tcW w:w="8397" w:type="dxa"/>
            <w:shd w:val="clear" w:color="auto" w:fill="auto"/>
          </w:tcPr>
          <w:p w14:paraId="2A50D362" w14:textId="77777777" w:rsidR="008710DB" w:rsidRPr="00C17807" w:rsidRDefault="008710DB" w:rsidP="00C17807">
            <w:pPr>
              <w:spacing w:before="180"/>
              <w:rPr>
                <w:sz w:val="20"/>
              </w:rPr>
            </w:pPr>
            <w:r w:rsidRPr="00C17807">
              <w:rPr>
                <w:sz w:val="20"/>
              </w:rPr>
              <w:t xml:space="preserve">EU DAG recommendations, communications, opinions, reports and other documents will present the views of the </w:t>
            </w:r>
            <w:r w:rsidR="00867955" w:rsidRPr="00C17807">
              <w:rPr>
                <w:sz w:val="20"/>
              </w:rPr>
              <w:t xml:space="preserve">EU </w:t>
            </w:r>
            <w:r w:rsidRPr="00C17807">
              <w:rPr>
                <w:sz w:val="20"/>
              </w:rPr>
              <w:t>DAG, which are reached either by consensus or by majority vote.</w:t>
            </w:r>
          </w:p>
          <w:p w14:paraId="79CA26D9" w14:textId="77777777" w:rsidR="008710DB" w:rsidRPr="00C17807" w:rsidRDefault="008710DB" w:rsidP="00C17807">
            <w:pPr>
              <w:spacing w:before="180"/>
              <w:rPr>
                <w:sz w:val="20"/>
              </w:rPr>
            </w:pPr>
            <w:r w:rsidRPr="00C17807">
              <w:rPr>
                <w:sz w:val="20"/>
              </w:rPr>
              <w:t>If a vote is called, minority positions can be included if representing the views of a whole subgroup, at the request of that subgroup. The minority position will include a reasoning for such diverging views.</w:t>
            </w:r>
          </w:p>
        </w:tc>
      </w:tr>
      <w:tr w:rsidR="008710DB" w14:paraId="0A68B5BE" w14:textId="77777777" w:rsidTr="00682C64">
        <w:tc>
          <w:tcPr>
            <w:tcW w:w="1418" w:type="dxa"/>
            <w:shd w:val="clear" w:color="auto" w:fill="auto"/>
            <w:vAlign w:val="center"/>
          </w:tcPr>
          <w:p w14:paraId="717210BD" w14:textId="77777777" w:rsidR="008710DB" w:rsidRDefault="008710DB" w:rsidP="00682C64">
            <w:pPr>
              <w:jc w:val="left"/>
              <w:rPr>
                <w:color w:val="005DA2"/>
                <w:sz w:val="20"/>
              </w:rPr>
            </w:pPr>
            <w:r w:rsidRPr="00554E4C">
              <w:rPr>
                <w:color w:val="005DA2"/>
                <w:sz w:val="20"/>
              </w:rPr>
              <w:t>9</w:t>
            </w:r>
            <w:r w:rsidR="00554E4C">
              <w:rPr>
                <w:color w:val="005DA2"/>
                <w:sz w:val="20"/>
              </w:rPr>
              <w:t>.5</w:t>
            </w:r>
          </w:p>
          <w:p w14:paraId="3FF91B98" w14:textId="77777777" w:rsidR="00554E4C" w:rsidRPr="00554E4C" w:rsidRDefault="00554E4C" w:rsidP="00682C64">
            <w:pPr>
              <w:jc w:val="left"/>
              <w:rPr>
                <w:color w:val="005DA2"/>
                <w:sz w:val="20"/>
              </w:rPr>
            </w:pPr>
            <w:r>
              <w:rPr>
                <w:color w:val="005DA2"/>
                <w:sz w:val="20"/>
              </w:rPr>
              <w:t>Other activities</w:t>
            </w:r>
          </w:p>
        </w:tc>
        <w:tc>
          <w:tcPr>
            <w:tcW w:w="8397" w:type="dxa"/>
            <w:shd w:val="clear" w:color="auto" w:fill="auto"/>
          </w:tcPr>
          <w:p w14:paraId="52A476A7" w14:textId="77777777" w:rsidR="008710DB" w:rsidRPr="00C17807" w:rsidRDefault="008710DB" w:rsidP="00C17807">
            <w:pPr>
              <w:spacing w:before="180"/>
              <w:rPr>
                <w:sz w:val="20"/>
              </w:rPr>
            </w:pPr>
            <w:r w:rsidRPr="00C17807">
              <w:rPr>
                <w:sz w:val="20"/>
              </w:rPr>
              <w:t>The EU DAG may organise other activities, which it considers relevant, such as workshops or seminars, including in partnership with other institutions or organisations.</w:t>
            </w:r>
          </w:p>
        </w:tc>
      </w:tr>
    </w:tbl>
    <w:p w14:paraId="6E110207" w14:textId="77777777" w:rsidR="008710DB" w:rsidRPr="008710DB" w:rsidRDefault="008710DB" w:rsidP="008710DB">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710DB">
        <w:rPr>
          <w:color w:val="808080"/>
          <w:sz w:val="24"/>
          <w:szCs w:val="24"/>
        </w:rPr>
        <w:t>Relations with the European Commission and other EU institutions</w:t>
      </w:r>
    </w:p>
    <w:tbl>
      <w:tblPr>
        <w:tblW w:w="9878" w:type="dxa"/>
        <w:tblBorders>
          <w:insideH w:val="single" w:sz="4" w:space="0" w:color="E7E6E6"/>
        </w:tblBorders>
        <w:tblLook w:val="04A0" w:firstRow="1" w:lastRow="0" w:firstColumn="1" w:lastColumn="0" w:noHBand="0" w:noVBand="1"/>
      </w:tblPr>
      <w:tblGrid>
        <w:gridCol w:w="1418"/>
        <w:gridCol w:w="8460"/>
      </w:tblGrid>
      <w:tr w:rsidR="008710DB" w14:paraId="1BEB30B0" w14:textId="77777777" w:rsidTr="00682C64">
        <w:tc>
          <w:tcPr>
            <w:tcW w:w="1418" w:type="dxa"/>
            <w:shd w:val="clear" w:color="auto" w:fill="auto"/>
            <w:vAlign w:val="center"/>
          </w:tcPr>
          <w:p w14:paraId="1D87B5BD" w14:textId="77777777" w:rsidR="008710DB" w:rsidRDefault="008710DB" w:rsidP="00682C64">
            <w:pPr>
              <w:jc w:val="left"/>
              <w:rPr>
                <w:color w:val="005DA2"/>
                <w:sz w:val="20"/>
              </w:rPr>
            </w:pPr>
            <w:r w:rsidRPr="00554E4C">
              <w:rPr>
                <w:color w:val="005DA2"/>
                <w:sz w:val="20"/>
              </w:rPr>
              <w:t>10.1</w:t>
            </w:r>
          </w:p>
          <w:p w14:paraId="7A53DC6A" w14:textId="77777777" w:rsidR="00554E4C" w:rsidRPr="00554E4C" w:rsidRDefault="00554E4C" w:rsidP="00682C64">
            <w:pPr>
              <w:jc w:val="left"/>
              <w:rPr>
                <w:color w:val="005DA2"/>
                <w:sz w:val="20"/>
              </w:rPr>
            </w:pPr>
            <w:r>
              <w:rPr>
                <w:color w:val="005DA2"/>
                <w:sz w:val="20"/>
              </w:rPr>
              <w:t>Commission</w:t>
            </w:r>
          </w:p>
        </w:tc>
        <w:tc>
          <w:tcPr>
            <w:tcW w:w="8460" w:type="dxa"/>
            <w:shd w:val="clear" w:color="auto" w:fill="auto"/>
          </w:tcPr>
          <w:p w14:paraId="7E3BB6A8" w14:textId="77777777" w:rsidR="008710DB" w:rsidRDefault="008710DB" w:rsidP="00C17807">
            <w:pPr>
              <w:spacing w:before="180"/>
              <w:rPr>
                <w:sz w:val="20"/>
              </w:rPr>
            </w:pPr>
            <w:r w:rsidRPr="00C17807">
              <w:rPr>
                <w:sz w:val="20"/>
              </w:rPr>
              <w:t>The Commission shall be systematically invited to participate in EU DAG meetings with a view to participate in discussions or to make presentations on specific subjects but shall not be involved in decision-making.</w:t>
            </w:r>
          </w:p>
          <w:p w14:paraId="53DB3774" w14:textId="77777777" w:rsidR="00554E4C" w:rsidRPr="00C17807" w:rsidRDefault="00554E4C" w:rsidP="00C17807">
            <w:pPr>
              <w:spacing w:before="180"/>
              <w:rPr>
                <w:sz w:val="20"/>
              </w:rPr>
            </w:pPr>
            <w:r w:rsidRPr="00C17807">
              <w:rPr>
                <w:sz w:val="20"/>
              </w:rPr>
              <w:t>The Commission will inform the EU DAG in a timely manner on any issue that pertains to the work of the EU DAG.</w:t>
            </w:r>
          </w:p>
        </w:tc>
      </w:tr>
      <w:tr w:rsidR="008710DB" w14:paraId="4694839F" w14:textId="77777777" w:rsidTr="00682C64">
        <w:tc>
          <w:tcPr>
            <w:tcW w:w="1418" w:type="dxa"/>
            <w:shd w:val="clear" w:color="auto" w:fill="auto"/>
            <w:vAlign w:val="center"/>
          </w:tcPr>
          <w:p w14:paraId="28B797B8" w14:textId="77777777" w:rsidR="008710DB" w:rsidRDefault="008710DB" w:rsidP="00682C64">
            <w:pPr>
              <w:jc w:val="left"/>
              <w:rPr>
                <w:color w:val="005DA2"/>
                <w:sz w:val="20"/>
              </w:rPr>
            </w:pPr>
            <w:r w:rsidRPr="00554E4C">
              <w:rPr>
                <w:color w:val="005DA2"/>
                <w:sz w:val="20"/>
              </w:rPr>
              <w:t>10.2</w:t>
            </w:r>
          </w:p>
          <w:p w14:paraId="26444822" w14:textId="77777777" w:rsidR="00554E4C" w:rsidRPr="00554E4C" w:rsidRDefault="00554E4C" w:rsidP="00682C64">
            <w:pPr>
              <w:jc w:val="left"/>
              <w:rPr>
                <w:color w:val="005DA2"/>
                <w:sz w:val="20"/>
              </w:rPr>
            </w:pPr>
            <w:r>
              <w:rPr>
                <w:color w:val="005DA2"/>
                <w:sz w:val="20"/>
              </w:rPr>
              <w:t>Other guests</w:t>
            </w:r>
          </w:p>
        </w:tc>
        <w:tc>
          <w:tcPr>
            <w:tcW w:w="8460" w:type="dxa"/>
            <w:shd w:val="clear" w:color="auto" w:fill="auto"/>
          </w:tcPr>
          <w:p w14:paraId="24901579" w14:textId="77777777" w:rsidR="008710DB" w:rsidRPr="00C17807" w:rsidRDefault="008710DB" w:rsidP="00C17807">
            <w:pPr>
              <w:spacing w:before="180"/>
              <w:rPr>
                <w:sz w:val="20"/>
              </w:rPr>
            </w:pPr>
            <w:r w:rsidRPr="00C17807">
              <w:rPr>
                <w:sz w:val="20"/>
              </w:rPr>
              <w:t>Depending on the agenda, representatives of other EU and international institutions may be invited.</w:t>
            </w:r>
          </w:p>
        </w:tc>
      </w:tr>
      <w:tr w:rsidR="008710DB" w14:paraId="7723B942" w14:textId="77777777" w:rsidTr="00682C64">
        <w:tc>
          <w:tcPr>
            <w:tcW w:w="1418" w:type="dxa"/>
            <w:shd w:val="clear" w:color="auto" w:fill="auto"/>
            <w:vAlign w:val="center"/>
          </w:tcPr>
          <w:p w14:paraId="4A8A3B3C" w14:textId="77777777" w:rsidR="008710DB" w:rsidRDefault="008710DB" w:rsidP="00682C64">
            <w:pPr>
              <w:jc w:val="left"/>
              <w:rPr>
                <w:color w:val="005DA2"/>
                <w:sz w:val="20"/>
              </w:rPr>
            </w:pPr>
            <w:r w:rsidRPr="00554E4C">
              <w:rPr>
                <w:color w:val="005DA2"/>
                <w:sz w:val="20"/>
              </w:rPr>
              <w:t>10.3</w:t>
            </w:r>
          </w:p>
          <w:p w14:paraId="340F49C9" w14:textId="77777777" w:rsidR="00554E4C" w:rsidRPr="00554E4C" w:rsidRDefault="00554E4C" w:rsidP="00682C64">
            <w:pPr>
              <w:jc w:val="left"/>
              <w:rPr>
                <w:color w:val="005DA2"/>
                <w:sz w:val="20"/>
              </w:rPr>
            </w:pPr>
            <w:r>
              <w:rPr>
                <w:color w:val="005DA2"/>
                <w:sz w:val="20"/>
              </w:rPr>
              <w:t>EU DAG updates to other institutions</w:t>
            </w:r>
          </w:p>
        </w:tc>
        <w:tc>
          <w:tcPr>
            <w:tcW w:w="8460" w:type="dxa"/>
            <w:shd w:val="clear" w:color="auto" w:fill="auto"/>
          </w:tcPr>
          <w:p w14:paraId="498E6774" w14:textId="77777777" w:rsidR="008710DB" w:rsidRPr="00C17807" w:rsidRDefault="008710DB" w:rsidP="00C17807">
            <w:pPr>
              <w:spacing w:before="180"/>
              <w:rPr>
                <w:sz w:val="20"/>
              </w:rPr>
            </w:pPr>
            <w:r w:rsidRPr="00C17807">
              <w:rPr>
                <w:sz w:val="20"/>
              </w:rPr>
              <w:t>The EU DAG shall update the European Parliament and the Council's relevant committees, in their own right, on their work programme on a regular basis.</w:t>
            </w:r>
          </w:p>
        </w:tc>
      </w:tr>
    </w:tbl>
    <w:p w14:paraId="30871D4D" w14:textId="77777777" w:rsidR="008710DB" w:rsidRPr="008710DB" w:rsidRDefault="008710DB" w:rsidP="008710DB">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710DB">
        <w:rPr>
          <w:color w:val="808080"/>
          <w:sz w:val="24"/>
          <w:szCs w:val="24"/>
        </w:rPr>
        <w:t xml:space="preserve">Interaction with Civil Society from </w:t>
      </w:r>
      <w:r w:rsidR="00DD2927">
        <w:rPr>
          <w:color w:val="808080"/>
          <w:sz w:val="24"/>
          <w:szCs w:val="24"/>
        </w:rPr>
        <w:t>the United Kingdom</w:t>
      </w:r>
    </w:p>
    <w:tbl>
      <w:tblPr>
        <w:tblW w:w="9878" w:type="dxa"/>
        <w:tblBorders>
          <w:insideH w:val="single" w:sz="4" w:space="0" w:color="E7E6E6"/>
        </w:tblBorders>
        <w:tblLook w:val="04A0" w:firstRow="1" w:lastRow="0" w:firstColumn="1" w:lastColumn="0" w:noHBand="0" w:noVBand="1"/>
      </w:tblPr>
      <w:tblGrid>
        <w:gridCol w:w="1418"/>
        <w:gridCol w:w="8460"/>
      </w:tblGrid>
      <w:tr w:rsidR="008710DB" w14:paraId="19A844F5" w14:textId="77777777" w:rsidTr="00682C64">
        <w:tc>
          <w:tcPr>
            <w:tcW w:w="1418" w:type="dxa"/>
            <w:shd w:val="clear" w:color="auto" w:fill="auto"/>
            <w:vAlign w:val="center"/>
          </w:tcPr>
          <w:p w14:paraId="4A7BE46B" w14:textId="77777777" w:rsidR="008710DB" w:rsidRDefault="008710DB" w:rsidP="00C17807">
            <w:pPr>
              <w:rPr>
                <w:color w:val="005DA2"/>
                <w:sz w:val="20"/>
              </w:rPr>
            </w:pPr>
            <w:r w:rsidRPr="00554E4C">
              <w:rPr>
                <w:color w:val="005DA2"/>
                <w:sz w:val="20"/>
              </w:rPr>
              <w:t>1</w:t>
            </w:r>
            <w:r w:rsidR="00554E4C">
              <w:rPr>
                <w:color w:val="005DA2"/>
                <w:sz w:val="20"/>
              </w:rPr>
              <w:t>1</w:t>
            </w:r>
            <w:r w:rsidRPr="00554E4C">
              <w:rPr>
                <w:color w:val="005DA2"/>
                <w:sz w:val="20"/>
              </w:rPr>
              <w:t>.1</w:t>
            </w:r>
          </w:p>
          <w:p w14:paraId="0DF6C7B9" w14:textId="77777777" w:rsidR="00554E4C" w:rsidRPr="00554E4C" w:rsidRDefault="00554E4C" w:rsidP="00C17807">
            <w:pPr>
              <w:rPr>
                <w:color w:val="005DA2"/>
                <w:sz w:val="20"/>
              </w:rPr>
            </w:pPr>
            <w:r>
              <w:rPr>
                <w:color w:val="005DA2"/>
                <w:sz w:val="20"/>
              </w:rPr>
              <w:t>DAG-to-DAG</w:t>
            </w:r>
          </w:p>
        </w:tc>
        <w:tc>
          <w:tcPr>
            <w:tcW w:w="8460" w:type="dxa"/>
            <w:shd w:val="clear" w:color="auto" w:fill="auto"/>
          </w:tcPr>
          <w:p w14:paraId="4F58B86E" w14:textId="77777777" w:rsidR="008710DB" w:rsidRPr="00C17807" w:rsidRDefault="008710DB" w:rsidP="00C17807">
            <w:pPr>
              <w:spacing w:before="180"/>
              <w:rPr>
                <w:sz w:val="20"/>
              </w:rPr>
            </w:pPr>
            <w:r w:rsidRPr="00C17807">
              <w:rPr>
                <w:sz w:val="20"/>
              </w:rPr>
              <w:t xml:space="preserve">The EU DAG will invite the </w:t>
            </w:r>
            <w:r w:rsidR="00DD2927" w:rsidRPr="00C17807">
              <w:rPr>
                <w:sz w:val="20"/>
              </w:rPr>
              <w:t>UK</w:t>
            </w:r>
            <w:r w:rsidRPr="00C17807">
              <w:rPr>
                <w:sz w:val="20"/>
              </w:rPr>
              <w:t xml:space="preserve"> DAG to hold at least one joint meeting per year, thereby providing framework for a structured discussion on implementation of their mandates and for cooperation between the DAGs in this context.</w:t>
            </w:r>
          </w:p>
        </w:tc>
      </w:tr>
      <w:tr w:rsidR="008710DB" w14:paraId="15532329" w14:textId="77777777" w:rsidTr="00682C64">
        <w:tc>
          <w:tcPr>
            <w:tcW w:w="1418" w:type="dxa"/>
            <w:shd w:val="clear" w:color="auto" w:fill="auto"/>
            <w:vAlign w:val="center"/>
          </w:tcPr>
          <w:p w14:paraId="676A1B2E" w14:textId="77777777" w:rsidR="008710DB" w:rsidRPr="00682C64" w:rsidRDefault="008710DB" w:rsidP="00C17807">
            <w:pPr>
              <w:rPr>
                <w:color w:val="005DA2"/>
                <w:sz w:val="20"/>
              </w:rPr>
            </w:pPr>
            <w:r w:rsidRPr="00682C64">
              <w:rPr>
                <w:color w:val="005DA2"/>
                <w:sz w:val="20"/>
              </w:rPr>
              <w:t>1</w:t>
            </w:r>
            <w:r w:rsidR="00554E4C" w:rsidRPr="00682C64">
              <w:rPr>
                <w:color w:val="005DA2"/>
                <w:sz w:val="20"/>
              </w:rPr>
              <w:t>1</w:t>
            </w:r>
            <w:r w:rsidRPr="00682C64">
              <w:rPr>
                <w:color w:val="005DA2"/>
                <w:sz w:val="20"/>
              </w:rPr>
              <w:t>.2</w:t>
            </w:r>
          </w:p>
          <w:p w14:paraId="6CA1AC0B" w14:textId="77777777" w:rsidR="00554E4C" w:rsidRPr="00682C64" w:rsidRDefault="00CD0495" w:rsidP="00C17807">
            <w:pPr>
              <w:rPr>
                <w:color w:val="005DA2"/>
                <w:sz w:val="20"/>
              </w:rPr>
            </w:pPr>
            <w:r w:rsidRPr="00682C64">
              <w:rPr>
                <w:color w:val="005DA2"/>
                <w:sz w:val="20"/>
              </w:rPr>
              <w:t>CSF</w:t>
            </w:r>
          </w:p>
        </w:tc>
        <w:tc>
          <w:tcPr>
            <w:tcW w:w="8460" w:type="dxa"/>
            <w:shd w:val="clear" w:color="auto" w:fill="auto"/>
          </w:tcPr>
          <w:p w14:paraId="11521743" w14:textId="77777777" w:rsidR="008710DB" w:rsidRPr="00C17807" w:rsidRDefault="008710DB" w:rsidP="00554E4C">
            <w:pPr>
              <w:spacing w:before="180"/>
              <w:rPr>
                <w:sz w:val="20"/>
              </w:rPr>
            </w:pPr>
            <w:r w:rsidRPr="00682C64">
              <w:rPr>
                <w:sz w:val="20"/>
              </w:rPr>
              <w:t xml:space="preserve">The EU DAG may also decide about its participation and/or contribution to the </w:t>
            </w:r>
            <w:r w:rsidR="00554E4C" w:rsidRPr="00682C64">
              <w:rPr>
                <w:sz w:val="20"/>
              </w:rPr>
              <w:t>Civil Society Forum</w:t>
            </w:r>
            <w:r w:rsidRPr="00682C64">
              <w:rPr>
                <w:sz w:val="20"/>
              </w:rPr>
              <w:t>.</w:t>
            </w:r>
          </w:p>
        </w:tc>
      </w:tr>
    </w:tbl>
    <w:p w14:paraId="317889C0" w14:textId="77777777" w:rsidR="00554E4C" w:rsidRPr="008710DB" w:rsidRDefault="00554E4C" w:rsidP="00554E4C">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710DB">
        <w:rPr>
          <w:color w:val="808080"/>
          <w:sz w:val="24"/>
          <w:szCs w:val="24"/>
        </w:rPr>
        <w:lastRenderedPageBreak/>
        <w:t>Financing and logistics of the EU DAG meetings</w:t>
      </w:r>
    </w:p>
    <w:tbl>
      <w:tblPr>
        <w:tblW w:w="9878" w:type="dxa"/>
        <w:tblBorders>
          <w:insideH w:val="single" w:sz="4" w:space="0" w:color="E7E6E6"/>
        </w:tblBorders>
        <w:tblLook w:val="04A0" w:firstRow="1" w:lastRow="0" w:firstColumn="1" w:lastColumn="0" w:noHBand="0" w:noVBand="1"/>
      </w:tblPr>
      <w:tblGrid>
        <w:gridCol w:w="1418"/>
        <w:gridCol w:w="8460"/>
      </w:tblGrid>
      <w:tr w:rsidR="00554E4C" w14:paraId="17B73B53" w14:textId="77777777" w:rsidTr="00682C64">
        <w:tc>
          <w:tcPr>
            <w:tcW w:w="1418" w:type="dxa"/>
            <w:shd w:val="clear" w:color="auto" w:fill="auto"/>
            <w:vAlign w:val="center"/>
          </w:tcPr>
          <w:p w14:paraId="78496AE1" w14:textId="77777777" w:rsidR="00554E4C" w:rsidRDefault="00554E4C" w:rsidP="00682C64">
            <w:pPr>
              <w:jc w:val="left"/>
              <w:rPr>
                <w:color w:val="005DA2"/>
                <w:sz w:val="20"/>
              </w:rPr>
            </w:pPr>
            <w:r w:rsidRPr="00554E4C">
              <w:rPr>
                <w:color w:val="005DA2"/>
                <w:sz w:val="20"/>
              </w:rPr>
              <w:t>1</w:t>
            </w:r>
            <w:r>
              <w:rPr>
                <w:color w:val="005DA2"/>
                <w:sz w:val="20"/>
              </w:rPr>
              <w:t>2</w:t>
            </w:r>
            <w:r w:rsidRPr="00554E4C">
              <w:rPr>
                <w:color w:val="005DA2"/>
                <w:sz w:val="20"/>
              </w:rPr>
              <w:t>.1</w:t>
            </w:r>
          </w:p>
          <w:p w14:paraId="33963BAA" w14:textId="77777777" w:rsidR="00554E4C" w:rsidRPr="00554E4C" w:rsidRDefault="00554E4C" w:rsidP="00682C64">
            <w:pPr>
              <w:jc w:val="left"/>
              <w:rPr>
                <w:color w:val="005DA2"/>
                <w:sz w:val="20"/>
              </w:rPr>
            </w:pPr>
            <w:r>
              <w:rPr>
                <w:color w:val="005DA2"/>
                <w:sz w:val="20"/>
              </w:rPr>
              <w:t>Financial aspects</w:t>
            </w:r>
          </w:p>
        </w:tc>
        <w:tc>
          <w:tcPr>
            <w:tcW w:w="8460" w:type="dxa"/>
            <w:shd w:val="clear" w:color="auto" w:fill="auto"/>
          </w:tcPr>
          <w:p w14:paraId="257BC166" w14:textId="77777777" w:rsidR="00554E4C" w:rsidRPr="00C17807" w:rsidRDefault="00554E4C" w:rsidP="00452FEC">
            <w:pPr>
              <w:spacing w:before="180"/>
              <w:rPr>
                <w:sz w:val="20"/>
              </w:rPr>
            </w:pPr>
            <w:r w:rsidRPr="00C17807">
              <w:rPr>
                <w:sz w:val="20"/>
              </w:rPr>
              <w:t>The financial aspects of the operation of the EU DAG (namely transport, accommodation, logistics, interpretation and catering) for its own meetings and for participation of its members and permanent observers in other meetings will be agreed by the European Commission and the EESC. In defining arrangements related to logistics, sustainability should be an important criterion (namely modes of transport, catering options).</w:t>
            </w:r>
          </w:p>
        </w:tc>
      </w:tr>
      <w:tr w:rsidR="00554E4C" w14:paraId="0A714A26" w14:textId="77777777" w:rsidTr="00682C64">
        <w:tc>
          <w:tcPr>
            <w:tcW w:w="1418" w:type="dxa"/>
            <w:shd w:val="clear" w:color="auto" w:fill="auto"/>
            <w:vAlign w:val="center"/>
          </w:tcPr>
          <w:p w14:paraId="6B6BADC0" w14:textId="77777777" w:rsidR="00554E4C" w:rsidRDefault="00554E4C" w:rsidP="00682C64">
            <w:pPr>
              <w:jc w:val="left"/>
              <w:rPr>
                <w:color w:val="005DA2"/>
                <w:sz w:val="20"/>
              </w:rPr>
            </w:pPr>
            <w:r w:rsidRPr="00554E4C">
              <w:rPr>
                <w:color w:val="005DA2"/>
                <w:sz w:val="20"/>
              </w:rPr>
              <w:t>1</w:t>
            </w:r>
            <w:r>
              <w:rPr>
                <w:color w:val="005DA2"/>
                <w:sz w:val="20"/>
              </w:rPr>
              <w:t>2</w:t>
            </w:r>
            <w:r w:rsidRPr="00554E4C">
              <w:rPr>
                <w:color w:val="005DA2"/>
                <w:sz w:val="20"/>
              </w:rPr>
              <w:t>.2</w:t>
            </w:r>
          </w:p>
          <w:p w14:paraId="1CF58D59" w14:textId="77777777" w:rsidR="00554E4C" w:rsidRPr="00554E4C" w:rsidRDefault="00554E4C" w:rsidP="00682C64">
            <w:pPr>
              <w:jc w:val="left"/>
              <w:rPr>
                <w:color w:val="005DA2"/>
                <w:sz w:val="20"/>
              </w:rPr>
            </w:pPr>
            <w:r>
              <w:rPr>
                <w:color w:val="005DA2"/>
                <w:sz w:val="20"/>
              </w:rPr>
              <w:t>Working language</w:t>
            </w:r>
          </w:p>
        </w:tc>
        <w:tc>
          <w:tcPr>
            <w:tcW w:w="8460" w:type="dxa"/>
            <w:shd w:val="clear" w:color="auto" w:fill="auto"/>
          </w:tcPr>
          <w:p w14:paraId="133C46B5" w14:textId="77777777" w:rsidR="00554E4C" w:rsidRPr="00C17807" w:rsidRDefault="00554E4C" w:rsidP="00452FEC">
            <w:pPr>
              <w:spacing w:before="180"/>
              <w:rPr>
                <w:sz w:val="20"/>
              </w:rPr>
            </w:pPr>
            <w:r w:rsidRPr="00C17807">
              <w:rPr>
                <w:sz w:val="20"/>
              </w:rPr>
              <w:t>The working language of EU DAG meetings shall be English. The working language of the joint EU-UK DAG meetings shall be English.</w:t>
            </w:r>
          </w:p>
        </w:tc>
      </w:tr>
    </w:tbl>
    <w:p w14:paraId="373656B7" w14:textId="77777777" w:rsidR="008710DB" w:rsidRPr="008710DB" w:rsidRDefault="008710DB" w:rsidP="008710DB">
      <w:pPr>
        <w:pStyle w:val="Heading1"/>
        <w:numPr>
          <w:ilvl w:val="0"/>
          <w:numId w:val="30"/>
        </w:numPr>
        <w:pBdr>
          <w:top w:val="single" w:sz="4" w:space="1" w:color="808080"/>
          <w:bottom w:val="single" w:sz="4" w:space="1" w:color="808080"/>
        </w:pBdr>
        <w:shd w:val="clear" w:color="auto" w:fill="EAEAEA"/>
        <w:spacing w:before="360"/>
        <w:rPr>
          <w:color w:val="808080"/>
          <w:sz w:val="24"/>
          <w:szCs w:val="24"/>
        </w:rPr>
      </w:pPr>
      <w:r w:rsidRPr="008710DB">
        <w:rPr>
          <w:color w:val="808080"/>
          <w:sz w:val="24"/>
          <w:szCs w:val="24"/>
        </w:rPr>
        <w:t>Adoption and amendment of the rules of procedure of the EU DAG</w:t>
      </w:r>
    </w:p>
    <w:tbl>
      <w:tblPr>
        <w:tblW w:w="9878" w:type="dxa"/>
        <w:tblBorders>
          <w:insideH w:val="single" w:sz="4" w:space="0" w:color="E7E6E6"/>
        </w:tblBorders>
        <w:tblLook w:val="04A0" w:firstRow="1" w:lastRow="0" w:firstColumn="1" w:lastColumn="0" w:noHBand="0" w:noVBand="1"/>
      </w:tblPr>
      <w:tblGrid>
        <w:gridCol w:w="1418"/>
        <w:gridCol w:w="8460"/>
      </w:tblGrid>
      <w:tr w:rsidR="008710DB" w14:paraId="2CBFC67E" w14:textId="77777777" w:rsidTr="00682C64">
        <w:tc>
          <w:tcPr>
            <w:tcW w:w="1418" w:type="dxa"/>
            <w:shd w:val="clear" w:color="auto" w:fill="auto"/>
            <w:vAlign w:val="center"/>
          </w:tcPr>
          <w:p w14:paraId="3AA98C30" w14:textId="77777777" w:rsidR="008710DB" w:rsidRDefault="008710DB" w:rsidP="00682C64">
            <w:pPr>
              <w:jc w:val="left"/>
              <w:rPr>
                <w:color w:val="005DA2"/>
                <w:sz w:val="20"/>
              </w:rPr>
            </w:pPr>
            <w:r w:rsidRPr="00CD0495">
              <w:rPr>
                <w:color w:val="005DA2"/>
                <w:sz w:val="20"/>
              </w:rPr>
              <w:t>13.1</w:t>
            </w:r>
          </w:p>
          <w:p w14:paraId="1573E1E2" w14:textId="77777777" w:rsidR="00CD0495" w:rsidRPr="00CD0495" w:rsidRDefault="00CD0495" w:rsidP="00682C64">
            <w:pPr>
              <w:jc w:val="left"/>
              <w:rPr>
                <w:color w:val="005DA2"/>
                <w:sz w:val="20"/>
              </w:rPr>
            </w:pPr>
            <w:r>
              <w:rPr>
                <w:color w:val="005DA2"/>
                <w:sz w:val="20"/>
              </w:rPr>
              <w:t>Adoption</w:t>
            </w:r>
          </w:p>
        </w:tc>
        <w:tc>
          <w:tcPr>
            <w:tcW w:w="8460" w:type="dxa"/>
            <w:shd w:val="clear" w:color="auto" w:fill="auto"/>
          </w:tcPr>
          <w:p w14:paraId="19AD69C7" w14:textId="77777777" w:rsidR="008710DB" w:rsidRPr="00C17807" w:rsidRDefault="008710DB" w:rsidP="00C17807">
            <w:pPr>
              <w:spacing w:before="180"/>
              <w:rPr>
                <w:sz w:val="20"/>
              </w:rPr>
            </w:pPr>
            <w:r w:rsidRPr="00C17807">
              <w:rPr>
                <w:sz w:val="20"/>
              </w:rPr>
              <w:t>These rules of procedure shall be adopted either by consensus or by simple majority of the EU DAG members.</w:t>
            </w:r>
          </w:p>
        </w:tc>
      </w:tr>
      <w:tr w:rsidR="008710DB" w14:paraId="0E1B4310" w14:textId="77777777" w:rsidTr="00682C64">
        <w:tc>
          <w:tcPr>
            <w:tcW w:w="1418" w:type="dxa"/>
            <w:shd w:val="clear" w:color="auto" w:fill="auto"/>
            <w:vAlign w:val="center"/>
          </w:tcPr>
          <w:p w14:paraId="542EA963" w14:textId="77777777" w:rsidR="008710DB" w:rsidRDefault="008710DB" w:rsidP="00682C64">
            <w:pPr>
              <w:jc w:val="left"/>
              <w:rPr>
                <w:color w:val="005DA2"/>
                <w:sz w:val="20"/>
              </w:rPr>
            </w:pPr>
            <w:r w:rsidRPr="00CD0495">
              <w:rPr>
                <w:color w:val="005DA2"/>
                <w:sz w:val="20"/>
              </w:rPr>
              <w:t>13.2</w:t>
            </w:r>
          </w:p>
          <w:p w14:paraId="1D251E19" w14:textId="77777777" w:rsidR="00CD0495" w:rsidRPr="00CD0495" w:rsidRDefault="00CD0495" w:rsidP="00682C64">
            <w:pPr>
              <w:jc w:val="left"/>
              <w:rPr>
                <w:color w:val="005DA2"/>
                <w:sz w:val="20"/>
              </w:rPr>
            </w:pPr>
            <w:r>
              <w:rPr>
                <w:color w:val="005DA2"/>
                <w:sz w:val="20"/>
              </w:rPr>
              <w:t>Revision</w:t>
            </w:r>
          </w:p>
        </w:tc>
        <w:tc>
          <w:tcPr>
            <w:tcW w:w="8460" w:type="dxa"/>
            <w:shd w:val="clear" w:color="auto" w:fill="auto"/>
          </w:tcPr>
          <w:p w14:paraId="34006479" w14:textId="77777777" w:rsidR="008710DB" w:rsidRPr="00C17807" w:rsidRDefault="008710DB" w:rsidP="00C17807">
            <w:pPr>
              <w:spacing w:before="180"/>
              <w:rPr>
                <w:sz w:val="20"/>
              </w:rPr>
            </w:pPr>
            <w:r w:rsidRPr="00C17807">
              <w:rPr>
                <w:sz w:val="20"/>
              </w:rPr>
              <w:t>These rules of procedure may be amended following a proposal of one third of the members of the EU DAG. The proposed modification will be adopted by consensus or by simple majority.</w:t>
            </w:r>
          </w:p>
        </w:tc>
      </w:tr>
    </w:tbl>
    <w:p w14:paraId="46E86CC4" w14:textId="77777777" w:rsidR="0097599E" w:rsidRPr="008B0A6B" w:rsidRDefault="0097599E" w:rsidP="00413B32">
      <w:pPr>
        <w:rPr>
          <w:szCs w:val="22"/>
        </w:rPr>
      </w:pPr>
    </w:p>
    <w:p w14:paraId="5DA17EA2" w14:textId="77777777" w:rsidR="005B07FF" w:rsidRPr="008B0A6B" w:rsidRDefault="005B07FF" w:rsidP="005B07FF">
      <w:pPr>
        <w:jc w:val="center"/>
        <w:rPr>
          <w:szCs w:val="22"/>
        </w:rPr>
      </w:pPr>
      <w:r w:rsidRPr="008B0A6B">
        <w:rPr>
          <w:szCs w:val="22"/>
        </w:rPr>
        <w:t>_____________</w:t>
      </w:r>
    </w:p>
    <w:sectPr w:rsidR="005B07FF" w:rsidRPr="008B0A6B" w:rsidSect="00855751">
      <w:headerReference w:type="default" r:id="rId8"/>
      <w:footerReference w:type="even" r:id="rId9"/>
      <w:footerReference w:type="default" r:id="rId10"/>
      <w:footerReference w:type="first" r:id="rId11"/>
      <w:pgSz w:w="11906" w:h="16838" w:code="9"/>
      <w:pgMar w:top="1440" w:right="1080" w:bottom="1440" w:left="1080" w:header="1021" w:footer="119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F8301" w14:textId="77777777" w:rsidR="00452FEC" w:rsidRDefault="00452FEC">
      <w:r>
        <w:separator/>
      </w:r>
    </w:p>
  </w:endnote>
  <w:endnote w:type="continuationSeparator" w:id="0">
    <w:p w14:paraId="2030E152" w14:textId="77777777" w:rsidR="00452FEC" w:rsidRDefault="0045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C140E" w14:textId="77777777" w:rsidR="005F79CD" w:rsidRDefault="005F79CD" w:rsidP="00816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3A270A" w14:textId="77777777" w:rsidR="005F79CD" w:rsidRDefault="005F79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99F522" w14:textId="2EBA25B1" w:rsidR="005F79CD" w:rsidRPr="00105469" w:rsidRDefault="005F79CD" w:rsidP="00413B32">
    <w:pPr>
      <w:pStyle w:val="Footer"/>
      <w:tabs>
        <w:tab w:val="right" w:pos="9071"/>
      </w:tabs>
    </w:pPr>
    <w:r w:rsidRPr="00105469">
      <w:fldChar w:fldCharType="begin"/>
    </w:r>
    <w:r w:rsidRPr="00105469">
      <w:instrText xml:space="preserve"> IF </w:instrText>
    </w:r>
    <w:r w:rsidRPr="00105469">
      <w:fldChar w:fldCharType="begin"/>
    </w:r>
    <w:r w:rsidRPr="00105469">
      <w:instrText xml:space="preserve"> NUMPAGES  </w:instrText>
    </w:r>
    <w:r w:rsidRPr="00105469">
      <w:fldChar w:fldCharType="separate"/>
    </w:r>
    <w:r w:rsidR="00474217">
      <w:rPr>
        <w:noProof/>
      </w:rPr>
      <w:instrText>6</w:instrText>
    </w:r>
    <w:r w:rsidRPr="00105469">
      <w:fldChar w:fldCharType="end"/>
    </w:r>
    <w:r w:rsidRPr="00105469">
      <w:instrText xml:space="preserve"> =   "" ".../..."</w:instrText>
    </w:r>
    <w:r w:rsidRPr="0010546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226F5" w14:textId="77777777" w:rsidR="005F79CD" w:rsidRPr="00413B32" w:rsidRDefault="005F79CD" w:rsidP="00413B32">
    <w:pPr>
      <w:pStyle w:val="Footer"/>
      <w:tabs>
        <w:tab w:val="right" w:pos="907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810A" w14:textId="77777777" w:rsidR="00452FEC" w:rsidRDefault="00452FEC">
      <w:r>
        <w:separator/>
      </w:r>
    </w:p>
  </w:footnote>
  <w:footnote w:type="continuationSeparator" w:id="0">
    <w:p w14:paraId="0DD873A1" w14:textId="77777777" w:rsidR="00452FEC" w:rsidRDefault="00452FEC">
      <w:r>
        <w:continuationSeparator/>
      </w:r>
    </w:p>
  </w:footnote>
  <w:footnote w:id="1">
    <w:p w14:paraId="0D345DE5" w14:textId="77777777" w:rsidR="00855751" w:rsidRPr="00682C64" w:rsidRDefault="00855751" w:rsidP="00855751">
      <w:pPr>
        <w:pStyle w:val="FootnoteText"/>
        <w:rPr>
          <w:lang w:val="en-US"/>
        </w:rPr>
      </w:pPr>
      <w:r w:rsidRPr="00682C64">
        <w:rPr>
          <w:rStyle w:val="FootnoteReference"/>
        </w:rPr>
        <w:footnoteRef/>
      </w:r>
      <w:r w:rsidRPr="00682C64">
        <w:tab/>
        <w:t>Whenever the term "EU DAG member(s)" is used, the text refers to the EU DAG members having the right to vote.</w:t>
      </w:r>
    </w:p>
  </w:footnote>
  <w:footnote w:id="2">
    <w:p w14:paraId="2D02CE45" w14:textId="77777777" w:rsidR="00407A25" w:rsidRPr="00682C64" w:rsidRDefault="00407A25" w:rsidP="00407A25">
      <w:pPr>
        <w:pStyle w:val="FootnoteText"/>
      </w:pPr>
      <w:r w:rsidRPr="00682C64">
        <w:rPr>
          <w:rStyle w:val="FootnoteReference"/>
        </w:rPr>
        <w:footnoteRef/>
      </w:r>
      <w:r w:rsidRPr="00682C64">
        <w:t xml:space="preserve"> </w:t>
      </w:r>
      <w:r w:rsidRPr="00682C64">
        <w:tab/>
        <w:t>The number of EU DAG members shall be reconsidered at the beginning of the second term.</w:t>
      </w:r>
    </w:p>
  </w:footnote>
  <w:footnote w:id="3">
    <w:p w14:paraId="5FAFE9C2" w14:textId="77777777" w:rsidR="00F11988" w:rsidRPr="000C5AC8" w:rsidRDefault="00F11988">
      <w:pPr>
        <w:pStyle w:val="FootnoteText"/>
        <w:rPr>
          <w:lang w:val="en-US"/>
        </w:rPr>
      </w:pPr>
      <w:r w:rsidRPr="00682C64">
        <w:rPr>
          <w:rStyle w:val="FootnoteReference"/>
        </w:rPr>
        <w:footnoteRef/>
      </w:r>
      <w:r w:rsidRPr="00682C64">
        <w:tab/>
        <w:t>Exceptionally, the Commission will not be calling for a renewal of this DAG at the next rotation, so the first mandate will last four years.</w:t>
      </w:r>
    </w:p>
  </w:footnote>
  <w:footnote w:id="4">
    <w:p w14:paraId="7AA79642" w14:textId="0EA576AA" w:rsidR="00F11988" w:rsidRPr="000C5AC8" w:rsidRDefault="00F11988">
      <w:pPr>
        <w:pStyle w:val="FootnoteText"/>
        <w:rPr>
          <w:lang w:val="en-US"/>
        </w:rPr>
      </w:pPr>
      <w:r w:rsidRPr="00682C64">
        <w:rPr>
          <w:rStyle w:val="FootnoteReference"/>
        </w:rPr>
        <w:footnoteRef/>
      </w:r>
      <w:r w:rsidRPr="00682C64">
        <w:t xml:space="preserve"> </w:t>
      </w:r>
      <w:r w:rsidRPr="00682C64">
        <w:rPr>
          <w:b/>
        </w:rPr>
        <w:tab/>
      </w:r>
      <w:r w:rsidRPr="00682C64">
        <w:t xml:space="preserve">Considering the information received from DG Trade that they would roll over the DAG mandate for the next term – making this a 4-year mandate -, members agreed to split the duration of the first Chair mandate. Instead of a </w:t>
      </w:r>
      <w:r w:rsidR="00833044" w:rsidRPr="00682C64">
        <w:t xml:space="preserve">4-year mandate, the </w:t>
      </w:r>
      <w:r w:rsidR="003721DD" w:rsidRPr="00682C64">
        <w:t>elected</w:t>
      </w:r>
      <w:r w:rsidR="00833044" w:rsidRPr="00682C64">
        <w:t xml:space="preserve"> Chair, </w:t>
      </w:r>
      <w:r w:rsidR="003721DD" w:rsidRPr="00682C64">
        <w:t>will</w:t>
      </w:r>
      <w:r w:rsidRPr="00682C64">
        <w:t xml:space="preserve"> hold the seat for two years, after which </w:t>
      </w:r>
      <w:r w:rsidR="003721DD" w:rsidRPr="00682C64">
        <w:t xml:space="preserve">the other candidate will </w:t>
      </w:r>
      <w:r w:rsidRPr="00682C64">
        <w:t>take over for the remaining two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7B27D" w14:textId="7C95D0E8" w:rsidR="005F79CD" w:rsidRPr="00413B32" w:rsidRDefault="005F79CD" w:rsidP="00413B32">
    <w:pPr>
      <w:pStyle w:val="Header"/>
      <w:jc w:val="center"/>
    </w:pPr>
    <w:r>
      <w:t xml:space="preserve">- </w:t>
    </w:r>
    <w:r>
      <w:fldChar w:fldCharType="begin"/>
    </w:r>
    <w:r>
      <w:instrText xml:space="preserve"> PAGE  \* MERGEFORMAT </w:instrText>
    </w:r>
    <w:r>
      <w:fldChar w:fldCharType="separate"/>
    </w:r>
    <w:r w:rsidR="00474217">
      <w:rPr>
        <w:noProof/>
      </w:rPr>
      <w:t>6</w:t>
    </w:r>
    <w: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31AF97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color w:val="005DA2"/>
        <w:sz w:val="32"/>
        <w:szCs w:val="32"/>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6D7045"/>
    <w:multiLevelType w:val="hybridMultilevel"/>
    <w:tmpl w:val="8FBE054C"/>
    <w:lvl w:ilvl="0" w:tplc="A0EC00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A30D8"/>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3072F6"/>
    <w:multiLevelType w:val="hybridMultilevel"/>
    <w:tmpl w:val="2006E510"/>
    <w:lvl w:ilvl="0" w:tplc="B7DCEB3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7FD6E1B"/>
    <w:multiLevelType w:val="hybridMultilevel"/>
    <w:tmpl w:val="C77440DC"/>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5" w15:restartNumberingAfterBreak="0">
    <w:nsid w:val="27785B69"/>
    <w:multiLevelType w:val="hybridMultilevel"/>
    <w:tmpl w:val="457E4D32"/>
    <w:lvl w:ilvl="0" w:tplc="080C0001">
      <w:start w:val="1"/>
      <w:numFmt w:val="bullet"/>
      <w:lvlText w:val=""/>
      <w:lvlJc w:val="left"/>
      <w:pPr>
        <w:ind w:left="1146" w:hanging="360"/>
      </w:pPr>
      <w:rPr>
        <w:rFonts w:ascii="Symbol" w:hAnsi="Symbol" w:hint="default"/>
      </w:rPr>
    </w:lvl>
    <w:lvl w:ilvl="1" w:tplc="080C0003" w:tentative="1">
      <w:start w:val="1"/>
      <w:numFmt w:val="bullet"/>
      <w:lvlText w:val="o"/>
      <w:lvlJc w:val="left"/>
      <w:pPr>
        <w:ind w:left="1866" w:hanging="360"/>
      </w:pPr>
      <w:rPr>
        <w:rFonts w:ascii="Courier New" w:hAnsi="Courier New" w:cs="Courier New" w:hint="default"/>
      </w:rPr>
    </w:lvl>
    <w:lvl w:ilvl="2" w:tplc="080C0005" w:tentative="1">
      <w:start w:val="1"/>
      <w:numFmt w:val="bullet"/>
      <w:lvlText w:val=""/>
      <w:lvlJc w:val="left"/>
      <w:pPr>
        <w:ind w:left="2586" w:hanging="360"/>
      </w:pPr>
      <w:rPr>
        <w:rFonts w:ascii="Wingdings" w:hAnsi="Wingdings" w:hint="default"/>
      </w:rPr>
    </w:lvl>
    <w:lvl w:ilvl="3" w:tplc="080C0001" w:tentative="1">
      <w:start w:val="1"/>
      <w:numFmt w:val="bullet"/>
      <w:lvlText w:val=""/>
      <w:lvlJc w:val="left"/>
      <w:pPr>
        <w:ind w:left="3306" w:hanging="360"/>
      </w:pPr>
      <w:rPr>
        <w:rFonts w:ascii="Symbol" w:hAnsi="Symbol" w:hint="default"/>
      </w:rPr>
    </w:lvl>
    <w:lvl w:ilvl="4" w:tplc="080C0003" w:tentative="1">
      <w:start w:val="1"/>
      <w:numFmt w:val="bullet"/>
      <w:lvlText w:val="o"/>
      <w:lvlJc w:val="left"/>
      <w:pPr>
        <w:ind w:left="4026" w:hanging="360"/>
      </w:pPr>
      <w:rPr>
        <w:rFonts w:ascii="Courier New" w:hAnsi="Courier New" w:cs="Courier New" w:hint="default"/>
      </w:rPr>
    </w:lvl>
    <w:lvl w:ilvl="5" w:tplc="080C0005" w:tentative="1">
      <w:start w:val="1"/>
      <w:numFmt w:val="bullet"/>
      <w:lvlText w:val=""/>
      <w:lvlJc w:val="left"/>
      <w:pPr>
        <w:ind w:left="4746" w:hanging="360"/>
      </w:pPr>
      <w:rPr>
        <w:rFonts w:ascii="Wingdings" w:hAnsi="Wingdings" w:hint="default"/>
      </w:rPr>
    </w:lvl>
    <w:lvl w:ilvl="6" w:tplc="080C0001" w:tentative="1">
      <w:start w:val="1"/>
      <w:numFmt w:val="bullet"/>
      <w:lvlText w:val=""/>
      <w:lvlJc w:val="left"/>
      <w:pPr>
        <w:ind w:left="5466" w:hanging="360"/>
      </w:pPr>
      <w:rPr>
        <w:rFonts w:ascii="Symbol" w:hAnsi="Symbol" w:hint="default"/>
      </w:rPr>
    </w:lvl>
    <w:lvl w:ilvl="7" w:tplc="080C0003" w:tentative="1">
      <w:start w:val="1"/>
      <w:numFmt w:val="bullet"/>
      <w:lvlText w:val="o"/>
      <w:lvlJc w:val="left"/>
      <w:pPr>
        <w:ind w:left="6186" w:hanging="360"/>
      </w:pPr>
      <w:rPr>
        <w:rFonts w:ascii="Courier New" w:hAnsi="Courier New" w:cs="Courier New" w:hint="default"/>
      </w:rPr>
    </w:lvl>
    <w:lvl w:ilvl="8" w:tplc="080C0005" w:tentative="1">
      <w:start w:val="1"/>
      <w:numFmt w:val="bullet"/>
      <w:lvlText w:val=""/>
      <w:lvlJc w:val="left"/>
      <w:pPr>
        <w:ind w:left="6906" w:hanging="360"/>
      </w:pPr>
      <w:rPr>
        <w:rFonts w:ascii="Wingdings" w:hAnsi="Wingdings" w:hint="default"/>
      </w:rPr>
    </w:lvl>
  </w:abstractNum>
  <w:abstractNum w:abstractNumId="6" w15:restartNumberingAfterBreak="0">
    <w:nsid w:val="307650C2"/>
    <w:multiLevelType w:val="hybridMultilevel"/>
    <w:tmpl w:val="CACCA110"/>
    <w:lvl w:ilvl="0" w:tplc="B7DCEB36">
      <w:numFmt w:val="bullet"/>
      <w:lvlText w:val="-"/>
      <w:lvlJc w:val="left"/>
      <w:pPr>
        <w:ind w:left="720" w:hanging="360"/>
      </w:pPr>
      <w:rPr>
        <w:rFonts w:ascii="Times New Roman" w:eastAsia="Times New Roman"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1216910"/>
    <w:multiLevelType w:val="hybridMultilevel"/>
    <w:tmpl w:val="AF2CC68E"/>
    <w:lvl w:ilvl="0" w:tplc="A0EC00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B04755"/>
    <w:multiLevelType w:val="hybridMultilevel"/>
    <w:tmpl w:val="74FAF9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45A52020"/>
    <w:multiLevelType w:val="hybridMultilevel"/>
    <w:tmpl w:val="2716FB7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BCD2CD0"/>
    <w:multiLevelType w:val="hybridMultilevel"/>
    <w:tmpl w:val="BE507CAE"/>
    <w:lvl w:ilvl="0" w:tplc="648A6F6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C67543"/>
    <w:multiLevelType w:val="hybridMultilevel"/>
    <w:tmpl w:val="C36EE184"/>
    <w:lvl w:ilvl="0" w:tplc="648A6F6A">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244276"/>
    <w:multiLevelType w:val="hybridMultilevel"/>
    <w:tmpl w:val="C77440DC"/>
    <w:lvl w:ilvl="0" w:tplc="080C000F">
      <w:start w:val="1"/>
      <w:numFmt w:val="decimal"/>
      <w:lvlText w:val="%1."/>
      <w:lvlJc w:val="left"/>
      <w:pPr>
        <w:ind w:left="360" w:hanging="360"/>
      </w:pPr>
    </w:lvl>
    <w:lvl w:ilvl="1" w:tplc="080C0019">
      <w:start w:val="1"/>
      <w:numFmt w:val="lowerLetter"/>
      <w:lvlText w:val="%2."/>
      <w:lvlJc w:val="left"/>
      <w:pPr>
        <w:ind w:left="1080" w:hanging="360"/>
      </w:pPr>
    </w:lvl>
    <w:lvl w:ilvl="2" w:tplc="080C001B">
      <w:start w:val="1"/>
      <w:numFmt w:val="lowerRoman"/>
      <w:lvlText w:val="%3."/>
      <w:lvlJc w:val="right"/>
      <w:pPr>
        <w:ind w:left="1800" w:hanging="180"/>
      </w:pPr>
    </w:lvl>
    <w:lvl w:ilvl="3" w:tplc="080C000F">
      <w:start w:val="1"/>
      <w:numFmt w:val="decimal"/>
      <w:lvlText w:val="%4."/>
      <w:lvlJc w:val="left"/>
      <w:pPr>
        <w:ind w:left="2520" w:hanging="360"/>
      </w:pPr>
    </w:lvl>
    <w:lvl w:ilvl="4" w:tplc="080C0019">
      <w:start w:val="1"/>
      <w:numFmt w:val="lowerLetter"/>
      <w:lvlText w:val="%5."/>
      <w:lvlJc w:val="left"/>
      <w:pPr>
        <w:ind w:left="3240" w:hanging="360"/>
      </w:pPr>
    </w:lvl>
    <w:lvl w:ilvl="5" w:tplc="080C001B">
      <w:start w:val="1"/>
      <w:numFmt w:val="lowerRoman"/>
      <w:lvlText w:val="%6."/>
      <w:lvlJc w:val="right"/>
      <w:pPr>
        <w:ind w:left="3960" w:hanging="180"/>
      </w:pPr>
    </w:lvl>
    <w:lvl w:ilvl="6" w:tplc="080C000F">
      <w:start w:val="1"/>
      <w:numFmt w:val="decimal"/>
      <w:lvlText w:val="%7."/>
      <w:lvlJc w:val="left"/>
      <w:pPr>
        <w:ind w:left="4680" w:hanging="360"/>
      </w:pPr>
    </w:lvl>
    <w:lvl w:ilvl="7" w:tplc="080C0019">
      <w:start w:val="1"/>
      <w:numFmt w:val="lowerLetter"/>
      <w:lvlText w:val="%8."/>
      <w:lvlJc w:val="left"/>
      <w:pPr>
        <w:ind w:left="5400" w:hanging="360"/>
      </w:pPr>
    </w:lvl>
    <w:lvl w:ilvl="8" w:tplc="080C001B">
      <w:start w:val="1"/>
      <w:numFmt w:val="lowerRoman"/>
      <w:lvlText w:val="%9."/>
      <w:lvlJc w:val="right"/>
      <w:pPr>
        <w:ind w:left="6120" w:hanging="180"/>
      </w:pPr>
    </w:lvl>
  </w:abstractNum>
  <w:abstractNum w:abstractNumId="13" w15:restartNumberingAfterBreak="0">
    <w:nsid w:val="61140AD6"/>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D93BD2"/>
    <w:multiLevelType w:val="hybridMultilevel"/>
    <w:tmpl w:val="4E08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001B63"/>
    <w:multiLevelType w:val="hybridMultilevel"/>
    <w:tmpl w:val="BB00865C"/>
    <w:lvl w:ilvl="0" w:tplc="A0EC00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EDC33CB"/>
    <w:multiLevelType w:val="multilevel"/>
    <w:tmpl w:val="607C04E4"/>
    <w:lvl w:ilvl="0">
      <w:start w:val="1"/>
      <w:numFmt w:val="decimal"/>
      <w:lvlText w:val="%1."/>
      <w:legacy w:legacy="1" w:legacySpace="0" w:legacyIndent="0"/>
      <w:lvlJc w:val="left"/>
      <w:pPr>
        <w:ind w:left="0" w:firstLine="0"/>
      </w:pPr>
    </w:lvl>
    <w:lvl w:ilvl="1">
      <w:start w:val="1"/>
      <w:numFmt w:val="decimal"/>
      <w:lvlText w:val="%1.%2"/>
      <w:legacy w:legacy="1" w:legacySpace="144" w:legacyIndent="0"/>
      <w:lvlJc w:val="left"/>
      <w:pPr>
        <w:ind w:left="0" w:firstLine="0"/>
      </w:pPr>
    </w:lvl>
    <w:lvl w:ilvl="2">
      <w:start w:val="1"/>
      <w:numFmt w:val="decimal"/>
      <w:lvlText w:val="%3."/>
      <w:lvlJc w:val="left"/>
      <w:pPr>
        <w:ind w:left="0" w:firstLine="0"/>
      </w:pPr>
    </w:lvl>
    <w:lvl w:ilvl="3">
      <w:start w:val="1"/>
      <w:numFmt w:val="decimal"/>
      <w:lvlText w:val="%1.%2.%3.%4"/>
      <w:legacy w:legacy="1" w:legacySpace="144" w:legacyIndent="0"/>
      <w:lvlJc w:val="left"/>
      <w:pPr>
        <w:ind w:left="0" w:firstLine="0"/>
      </w:pPr>
    </w:lvl>
    <w:lvl w:ilvl="4">
      <w:start w:val="1"/>
      <w:numFmt w:val="decimal"/>
      <w:lvlText w:val="%1.%2.%3.%4.%5"/>
      <w:legacy w:legacy="1" w:legacySpace="144" w:legacyIndent="0"/>
      <w:lvlJc w:val="left"/>
      <w:pPr>
        <w:ind w:left="0" w:firstLine="0"/>
      </w:pPr>
    </w:lvl>
    <w:lvl w:ilvl="5">
      <w:start w:val="1"/>
      <w:numFmt w:val="decimal"/>
      <w:lvlText w:val="%1.%2.%3.%4.%5.%6"/>
      <w:legacy w:legacy="1" w:legacySpace="144" w:legacyIndent="0"/>
      <w:lvlJc w:val="left"/>
      <w:pPr>
        <w:ind w:left="0" w:firstLine="0"/>
      </w:pPr>
    </w:lvl>
    <w:lvl w:ilvl="6">
      <w:start w:val="1"/>
      <w:numFmt w:val="decimal"/>
      <w:lvlText w:val="%1.%2.%3.%4.%5.%6.%7"/>
      <w:legacy w:legacy="1" w:legacySpace="144" w:legacyIndent="0"/>
      <w:lvlJc w:val="left"/>
      <w:pPr>
        <w:ind w:left="0" w:firstLine="0"/>
      </w:pPr>
    </w:lvl>
    <w:lvl w:ilvl="7">
      <w:start w:val="1"/>
      <w:numFmt w:val="decimal"/>
      <w:lvlText w:val="%1.%2.%3.%4.%5.%6.%7.%8"/>
      <w:legacy w:legacy="1" w:legacySpace="144" w:legacyIndent="0"/>
      <w:lvlJc w:val="left"/>
      <w:pPr>
        <w:ind w:left="0" w:firstLine="0"/>
      </w:pPr>
    </w:lvl>
    <w:lvl w:ilvl="8">
      <w:start w:val="1"/>
      <w:numFmt w:val="decimal"/>
      <w:lvlText w:val="%1.%2.%3.%4.%5.%6.%7.%8.%9"/>
      <w:legacy w:legacy="1" w:legacySpace="144" w:legacyIndent="0"/>
      <w:lvlJc w:val="left"/>
      <w:pPr>
        <w:ind w:left="0" w:firstLine="0"/>
      </w:pPr>
    </w:lvl>
  </w:abstractNum>
  <w:abstractNum w:abstractNumId="17" w15:restartNumberingAfterBreak="0">
    <w:nsid w:val="710B114D"/>
    <w:multiLevelType w:val="hybridMultilevel"/>
    <w:tmpl w:val="5C688ACC"/>
    <w:lvl w:ilvl="0" w:tplc="648A6F6A">
      <w:start w:val="1"/>
      <w:numFmt w:val="bullet"/>
      <w:lvlText w:val="­"/>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C3D0F99"/>
    <w:multiLevelType w:val="hybridMultilevel"/>
    <w:tmpl w:val="2BC6B558"/>
    <w:lvl w:ilvl="0" w:tplc="A0EC0042">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8"/>
  </w:num>
  <w:num w:numId="3">
    <w:abstractNumId w:val="7"/>
  </w:num>
  <w:num w:numId="4">
    <w:abstractNumId w:val="15"/>
  </w:num>
  <w:num w:numId="5">
    <w:abstractNumId w:val="1"/>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0"/>
  </w:num>
  <w:num w:numId="18">
    <w:abstractNumId w:val="17"/>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14"/>
  </w:num>
  <w:num w:numId="23">
    <w:abstractNumId w:val="0"/>
  </w:num>
  <w:num w:numId="24">
    <w:abstractNumId w:val="0"/>
  </w:num>
  <w:num w:numId="25">
    <w:abstractNumId w:val="0"/>
  </w:num>
  <w:num w:numId="26">
    <w:abstractNumId w:val="0"/>
  </w:num>
  <w:num w:numId="27">
    <w:abstractNumId w:val="0"/>
  </w:num>
  <w:num w:numId="28">
    <w:abstractNumId w:val="9"/>
  </w:num>
  <w:num w:numId="29">
    <w:abstractNumId w:val="0"/>
  </w:num>
  <w:num w:numId="30">
    <w:abstractNumId w:val="13"/>
  </w:num>
  <w:num w:numId="31">
    <w:abstractNumId w:val="0"/>
  </w:num>
  <w:num w:numId="32">
    <w:abstractNumId w:val="2"/>
  </w:num>
  <w:num w:numId="33">
    <w:abstractNumId w:val="0"/>
  </w:num>
  <w:num w:numId="34">
    <w:abstractNumId w:val="8"/>
  </w:num>
  <w:num w:numId="35">
    <w:abstractNumId w:val="6"/>
  </w:num>
  <w:num w:numId="36">
    <w:abstractNumId w:val="0"/>
  </w:num>
  <w:num w:numId="37">
    <w:abstractNumId w:val="3"/>
  </w:num>
  <w:num w:numId="3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1740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STYLES"/>
  </w:docVars>
  <w:rsids>
    <w:rsidRoot w:val="006A6E6E"/>
    <w:rsid w:val="000026DC"/>
    <w:rsid w:val="0000456A"/>
    <w:rsid w:val="00010F56"/>
    <w:rsid w:val="00016599"/>
    <w:rsid w:val="00020C6A"/>
    <w:rsid w:val="000220A7"/>
    <w:rsid w:val="000234BA"/>
    <w:rsid w:val="00023BFC"/>
    <w:rsid w:val="0002566F"/>
    <w:rsid w:val="00025BF0"/>
    <w:rsid w:val="000314FA"/>
    <w:rsid w:val="00033D6F"/>
    <w:rsid w:val="00051812"/>
    <w:rsid w:val="00054085"/>
    <w:rsid w:val="0006089D"/>
    <w:rsid w:val="00061696"/>
    <w:rsid w:val="00064F34"/>
    <w:rsid w:val="00074902"/>
    <w:rsid w:val="0008183B"/>
    <w:rsid w:val="0009071B"/>
    <w:rsid w:val="00090B06"/>
    <w:rsid w:val="00093472"/>
    <w:rsid w:val="000A38B8"/>
    <w:rsid w:val="000A3AC9"/>
    <w:rsid w:val="000B13DC"/>
    <w:rsid w:val="000B79EE"/>
    <w:rsid w:val="000C4F17"/>
    <w:rsid w:val="000C5AC8"/>
    <w:rsid w:val="000C5E31"/>
    <w:rsid w:val="000F29C8"/>
    <w:rsid w:val="00105469"/>
    <w:rsid w:val="00111771"/>
    <w:rsid w:val="0011792D"/>
    <w:rsid w:val="00121825"/>
    <w:rsid w:val="001240E5"/>
    <w:rsid w:val="001350E6"/>
    <w:rsid w:val="001369B1"/>
    <w:rsid w:val="00137864"/>
    <w:rsid w:val="00140F5A"/>
    <w:rsid w:val="001479B1"/>
    <w:rsid w:val="001559AB"/>
    <w:rsid w:val="001609AB"/>
    <w:rsid w:val="00163B09"/>
    <w:rsid w:val="001679E4"/>
    <w:rsid w:val="00171281"/>
    <w:rsid w:val="00177B3F"/>
    <w:rsid w:val="0018163C"/>
    <w:rsid w:val="001842B2"/>
    <w:rsid w:val="00186BFF"/>
    <w:rsid w:val="00187DAB"/>
    <w:rsid w:val="001907F6"/>
    <w:rsid w:val="00191BDE"/>
    <w:rsid w:val="00195A8B"/>
    <w:rsid w:val="0019718F"/>
    <w:rsid w:val="001A0FF9"/>
    <w:rsid w:val="001A308D"/>
    <w:rsid w:val="001A5466"/>
    <w:rsid w:val="001A5AB9"/>
    <w:rsid w:val="001A6E2B"/>
    <w:rsid w:val="001B6556"/>
    <w:rsid w:val="001C264F"/>
    <w:rsid w:val="001D2884"/>
    <w:rsid w:val="001D4119"/>
    <w:rsid w:val="001D6E3E"/>
    <w:rsid w:val="001E27EE"/>
    <w:rsid w:val="001E3535"/>
    <w:rsid w:val="001F2CFC"/>
    <w:rsid w:val="002000DA"/>
    <w:rsid w:val="00200E3E"/>
    <w:rsid w:val="002053E6"/>
    <w:rsid w:val="0021012D"/>
    <w:rsid w:val="002137A2"/>
    <w:rsid w:val="00213FA8"/>
    <w:rsid w:val="00220E62"/>
    <w:rsid w:val="00230F76"/>
    <w:rsid w:val="00231104"/>
    <w:rsid w:val="00236509"/>
    <w:rsid w:val="00247AD9"/>
    <w:rsid w:val="00250E8D"/>
    <w:rsid w:val="00251172"/>
    <w:rsid w:val="00251696"/>
    <w:rsid w:val="00257A9F"/>
    <w:rsid w:val="00260067"/>
    <w:rsid w:val="0026214E"/>
    <w:rsid w:val="00264F2B"/>
    <w:rsid w:val="002721BC"/>
    <w:rsid w:val="00272D3D"/>
    <w:rsid w:val="00273EFB"/>
    <w:rsid w:val="0028118F"/>
    <w:rsid w:val="00290D42"/>
    <w:rsid w:val="002A2073"/>
    <w:rsid w:val="002A30C2"/>
    <w:rsid w:val="002A34CF"/>
    <w:rsid w:val="002A5049"/>
    <w:rsid w:val="002B58A0"/>
    <w:rsid w:val="002B6F1F"/>
    <w:rsid w:val="002B7822"/>
    <w:rsid w:val="002B7C47"/>
    <w:rsid w:val="002C35E4"/>
    <w:rsid w:val="002C6C12"/>
    <w:rsid w:val="002D09AD"/>
    <w:rsid w:val="002D104D"/>
    <w:rsid w:val="002D71E6"/>
    <w:rsid w:val="002E220A"/>
    <w:rsid w:val="002E44CE"/>
    <w:rsid w:val="002F4F40"/>
    <w:rsid w:val="002F704A"/>
    <w:rsid w:val="00300372"/>
    <w:rsid w:val="003042E0"/>
    <w:rsid w:val="00307774"/>
    <w:rsid w:val="003103F6"/>
    <w:rsid w:val="003142EC"/>
    <w:rsid w:val="00321C69"/>
    <w:rsid w:val="00322158"/>
    <w:rsid w:val="00324717"/>
    <w:rsid w:val="0032499F"/>
    <w:rsid w:val="00325DB6"/>
    <w:rsid w:val="00331751"/>
    <w:rsid w:val="00337BA2"/>
    <w:rsid w:val="0035090A"/>
    <w:rsid w:val="00355DA5"/>
    <w:rsid w:val="00363402"/>
    <w:rsid w:val="003639EE"/>
    <w:rsid w:val="00371276"/>
    <w:rsid w:val="00371356"/>
    <w:rsid w:val="003721DD"/>
    <w:rsid w:val="003750C5"/>
    <w:rsid w:val="00380643"/>
    <w:rsid w:val="003808B2"/>
    <w:rsid w:val="003842B9"/>
    <w:rsid w:val="00386CFE"/>
    <w:rsid w:val="00386DEC"/>
    <w:rsid w:val="0039083A"/>
    <w:rsid w:val="0039096F"/>
    <w:rsid w:val="003913E7"/>
    <w:rsid w:val="00392FF2"/>
    <w:rsid w:val="003A15BB"/>
    <w:rsid w:val="003A3529"/>
    <w:rsid w:val="003A5773"/>
    <w:rsid w:val="003A686F"/>
    <w:rsid w:val="003B062B"/>
    <w:rsid w:val="003C31B8"/>
    <w:rsid w:val="003C59EA"/>
    <w:rsid w:val="003C5FA5"/>
    <w:rsid w:val="003C7D4B"/>
    <w:rsid w:val="003D03D3"/>
    <w:rsid w:val="003D3C12"/>
    <w:rsid w:val="003D475E"/>
    <w:rsid w:val="003D514C"/>
    <w:rsid w:val="003D5291"/>
    <w:rsid w:val="003D5A77"/>
    <w:rsid w:val="003E16BB"/>
    <w:rsid w:val="003E2912"/>
    <w:rsid w:val="003F08CE"/>
    <w:rsid w:val="003F28B0"/>
    <w:rsid w:val="003F5C80"/>
    <w:rsid w:val="003F7767"/>
    <w:rsid w:val="00400B36"/>
    <w:rsid w:val="004046C2"/>
    <w:rsid w:val="004070C2"/>
    <w:rsid w:val="00407A25"/>
    <w:rsid w:val="00410EED"/>
    <w:rsid w:val="004111F5"/>
    <w:rsid w:val="00412C58"/>
    <w:rsid w:val="00413B32"/>
    <w:rsid w:val="0041458A"/>
    <w:rsid w:val="0041547A"/>
    <w:rsid w:val="00415C3C"/>
    <w:rsid w:val="00420162"/>
    <w:rsid w:val="004226DE"/>
    <w:rsid w:val="00423E31"/>
    <w:rsid w:val="00427872"/>
    <w:rsid w:val="00450201"/>
    <w:rsid w:val="00452840"/>
    <w:rsid w:val="00452FEC"/>
    <w:rsid w:val="00454D3B"/>
    <w:rsid w:val="004558E7"/>
    <w:rsid w:val="004565A2"/>
    <w:rsid w:val="004567B8"/>
    <w:rsid w:val="00463A41"/>
    <w:rsid w:val="00474217"/>
    <w:rsid w:val="00474E33"/>
    <w:rsid w:val="0047699E"/>
    <w:rsid w:val="00476E19"/>
    <w:rsid w:val="00486D4C"/>
    <w:rsid w:val="00491D61"/>
    <w:rsid w:val="00494718"/>
    <w:rsid w:val="004968E0"/>
    <w:rsid w:val="004A04B0"/>
    <w:rsid w:val="004A37E2"/>
    <w:rsid w:val="004B0C59"/>
    <w:rsid w:val="004C3DB0"/>
    <w:rsid w:val="004C4FC1"/>
    <w:rsid w:val="004C7E6B"/>
    <w:rsid w:val="004D18CA"/>
    <w:rsid w:val="004D34C5"/>
    <w:rsid w:val="004D53C2"/>
    <w:rsid w:val="004D7860"/>
    <w:rsid w:val="004E3DDA"/>
    <w:rsid w:val="004E7206"/>
    <w:rsid w:val="004F0289"/>
    <w:rsid w:val="004F0FFB"/>
    <w:rsid w:val="004F40C2"/>
    <w:rsid w:val="004F4A8A"/>
    <w:rsid w:val="004F55CC"/>
    <w:rsid w:val="0050200E"/>
    <w:rsid w:val="00503F57"/>
    <w:rsid w:val="005040F7"/>
    <w:rsid w:val="00511394"/>
    <w:rsid w:val="005116A4"/>
    <w:rsid w:val="005123F7"/>
    <w:rsid w:val="0051329B"/>
    <w:rsid w:val="00514332"/>
    <w:rsid w:val="005173EB"/>
    <w:rsid w:val="005207FC"/>
    <w:rsid w:val="00522827"/>
    <w:rsid w:val="00522A8C"/>
    <w:rsid w:val="00524317"/>
    <w:rsid w:val="00525110"/>
    <w:rsid w:val="005349F0"/>
    <w:rsid w:val="005374BB"/>
    <w:rsid w:val="0054109A"/>
    <w:rsid w:val="00542D5F"/>
    <w:rsid w:val="00544BE0"/>
    <w:rsid w:val="005501C7"/>
    <w:rsid w:val="00550542"/>
    <w:rsid w:val="00551468"/>
    <w:rsid w:val="00554E4C"/>
    <w:rsid w:val="00556F2B"/>
    <w:rsid w:val="0056283B"/>
    <w:rsid w:val="005674C3"/>
    <w:rsid w:val="00572703"/>
    <w:rsid w:val="00573F44"/>
    <w:rsid w:val="00580ACA"/>
    <w:rsid w:val="0058175B"/>
    <w:rsid w:val="00581B8A"/>
    <w:rsid w:val="005901E5"/>
    <w:rsid w:val="00590502"/>
    <w:rsid w:val="00595527"/>
    <w:rsid w:val="005A1423"/>
    <w:rsid w:val="005A2455"/>
    <w:rsid w:val="005A390E"/>
    <w:rsid w:val="005A5EAE"/>
    <w:rsid w:val="005A7EB9"/>
    <w:rsid w:val="005B07FF"/>
    <w:rsid w:val="005B094E"/>
    <w:rsid w:val="005B27A8"/>
    <w:rsid w:val="005B4146"/>
    <w:rsid w:val="005B636A"/>
    <w:rsid w:val="005B780D"/>
    <w:rsid w:val="005C6445"/>
    <w:rsid w:val="005C72C8"/>
    <w:rsid w:val="005C7CBE"/>
    <w:rsid w:val="005D1481"/>
    <w:rsid w:val="005D65EA"/>
    <w:rsid w:val="005D7643"/>
    <w:rsid w:val="005E13A2"/>
    <w:rsid w:val="005E3878"/>
    <w:rsid w:val="005F1E52"/>
    <w:rsid w:val="005F3ACD"/>
    <w:rsid w:val="005F7292"/>
    <w:rsid w:val="005F79CD"/>
    <w:rsid w:val="00607B91"/>
    <w:rsid w:val="00612F80"/>
    <w:rsid w:val="006250FF"/>
    <w:rsid w:val="006275DB"/>
    <w:rsid w:val="00632F8C"/>
    <w:rsid w:val="00635AF8"/>
    <w:rsid w:val="00636221"/>
    <w:rsid w:val="00643D4E"/>
    <w:rsid w:val="00645BEF"/>
    <w:rsid w:val="00660DDE"/>
    <w:rsid w:val="00661658"/>
    <w:rsid w:val="006719D7"/>
    <w:rsid w:val="00672070"/>
    <w:rsid w:val="006727E2"/>
    <w:rsid w:val="0067321C"/>
    <w:rsid w:val="006811C6"/>
    <w:rsid w:val="006815F2"/>
    <w:rsid w:val="00682C64"/>
    <w:rsid w:val="006856EA"/>
    <w:rsid w:val="00695D42"/>
    <w:rsid w:val="006A139C"/>
    <w:rsid w:val="006A1D24"/>
    <w:rsid w:val="006A6E6E"/>
    <w:rsid w:val="006A70C6"/>
    <w:rsid w:val="006B044B"/>
    <w:rsid w:val="006B153D"/>
    <w:rsid w:val="006B3ABD"/>
    <w:rsid w:val="006B6F92"/>
    <w:rsid w:val="006B73A0"/>
    <w:rsid w:val="006C5EF6"/>
    <w:rsid w:val="006D005D"/>
    <w:rsid w:val="006D0A77"/>
    <w:rsid w:val="006D26DF"/>
    <w:rsid w:val="006D3A12"/>
    <w:rsid w:val="006D586C"/>
    <w:rsid w:val="006D751E"/>
    <w:rsid w:val="006E07E0"/>
    <w:rsid w:val="006E1D9F"/>
    <w:rsid w:val="006E404D"/>
    <w:rsid w:val="006E5614"/>
    <w:rsid w:val="006E6265"/>
    <w:rsid w:val="006E6AB1"/>
    <w:rsid w:val="006E7ECB"/>
    <w:rsid w:val="006F225A"/>
    <w:rsid w:val="006F5DA7"/>
    <w:rsid w:val="006F5EFE"/>
    <w:rsid w:val="00701C08"/>
    <w:rsid w:val="00702E0D"/>
    <w:rsid w:val="00704990"/>
    <w:rsid w:val="007073FA"/>
    <w:rsid w:val="0071310C"/>
    <w:rsid w:val="00720A2F"/>
    <w:rsid w:val="007255A8"/>
    <w:rsid w:val="00730C55"/>
    <w:rsid w:val="00736B80"/>
    <w:rsid w:val="0074099D"/>
    <w:rsid w:val="00743ED9"/>
    <w:rsid w:val="0074470E"/>
    <w:rsid w:val="007460DB"/>
    <w:rsid w:val="007470C1"/>
    <w:rsid w:val="007473C1"/>
    <w:rsid w:val="00752880"/>
    <w:rsid w:val="0075538A"/>
    <w:rsid w:val="00755788"/>
    <w:rsid w:val="00755B95"/>
    <w:rsid w:val="00761972"/>
    <w:rsid w:val="007652E7"/>
    <w:rsid w:val="007709C0"/>
    <w:rsid w:val="00773D64"/>
    <w:rsid w:val="00782D1B"/>
    <w:rsid w:val="007877F3"/>
    <w:rsid w:val="0079168C"/>
    <w:rsid w:val="00794ED8"/>
    <w:rsid w:val="007A022D"/>
    <w:rsid w:val="007A1558"/>
    <w:rsid w:val="007A179A"/>
    <w:rsid w:val="007A1969"/>
    <w:rsid w:val="007A200E"/>
    <w:rsid w:val="007A4418"/>
    <w:rsid w:val="007B0A56"/>
    <w:rsid w:val="007B1370"/>
    <w:rsid w:val="007B3E3C"/>
    <w:rsid w:val="007B5383"/>
    <w:rsid w:val="007B7318"/>
    <w:rsid w:val="007B79B5"/>
    <w:rsid w:val="007C257B"/>
    <w:rsid w:val="007C4AB7"/>
    <w:rsid w:val="007D5218"/>
    <w:rsid w:val="007D66DD"/>
    <w:rsid w:val="007E0C5D"/>
    <w:rsid w:val="007E44ED"/>
    <w:rsid w:val="007E476E"/>
    <w:rsid w:val="007E4A88"/>
    <w:rsid w:val="007F1C2E"/>
    <w:rsid w:val="007F59D9"/>
    <w:rsid w:val="007F676B"/>
    <w:rsid w:val="0080378E"/>
    <w:rsid w:val="00804E33"/>
    <w:rsid w:val="00807B8E"/>
    <w:rsid w:val="00816358"/>
    <w:rsid w:val="00822D59"/>
    <w:rsid w:val="0082375F"/>
    <w:rsid w:val="00832837"/>
    <w:rsid w:val="00833044"/>
    <w:rsid w:val="00834B0E"/>
    <w:rsid w:val="008364EA"/>
    <w:rsid w:val="00845963"/>
    <w:rsid w:val="00855751"/>
    <w:rsid w:val="0085618A"/>
    <w:rsid w:val="00857550"/>
    <w:rsid w:val="008648B4"/>
    <w:rsid w:val="00865FE9"/>
    <w:rsid w:val="0086717D"/>
    <w:rsid w:val="00867955"/>
    <w:rsid w:val="00867A92"/>
    <w:rsid w:val="008710DB"/>
    <w:rsid w:val="00881942"/>
    <w:rsid w:val="0088400F"/>
    <w:rsid w:val="00890025"/>
    <w:rsid w:val="00893251"/>
    <w:rsid w:val="0089455C"/>
    <w:rsid w:val="00895A38"/>
    <w:rsid w:val="00895C86"/>
    <w:rsid w:val="008A0ED8"/>
    <w:rsid w:val="008A562F"/>
    <w:rsid w:val="008A7728"/>
    <w:rsid w:val="008B0A6B"/>
    <w:rsid w:val="008B14E4"/>
    <w:rsid w:val="008B2610"/>
    <w:rsid w:val="008B2C23"/>
    <w:rsid w:val="008B48C6"/>
    <w:rsid w:val="008B76E5"/>
    <w:rsid w:val="008C549D"/>
    <w:rsid w:val="008D1A01"/>
    <w:rsid w:val="008D2D1D"/>
    <w:rsid w:val="008D485D"/>
    <w:rsid w:val="008E1960"/>
    <w:rsid w:val="008E1FD9"/>
    <w:rsid w:val="008E2071"/>
    <w:rsid w:val="008E30F7"/>
    <w:rsid w:val="008E4277"/>
    <w:rsid w:val="008E7B76"/>
    <w:rsid w:val="008F44F5"/>
    <w:rsid w:val="008F4CD8"/>
    <w:rsid w:val="0091445A"/>
    <w:rsid w:val="009162FA"/>
    <w:rsid w:val="00921D0F"/>
    <w:rsid w:val="00922EED"/>
    <w:rsid w:val="009263E9"/>
    <w:rsid w:val="00926979"/>
    <w:rsid w:val="00930E9F"/>
    <w:rsid w:val="00932AC9"/>
    <w:rsid w:val="00935D0E"/>
    <w:rsid w:val="0094537E"/>
    <w:rsid w:val="00947F3E"/>
    <w:rsid w:val="00953791"/>
    <w:rsid w:val="0095612A"/>
    <w:rsid w:val="00957EB2"/>
    <w:rsid w:val="00960E4E"/>
    <w:rsid w:val="00962BEB"/>
    <w:rsid w:val="0097599E"/>
    <w:rsid w:val="00982F68"/>
    <w:rsid w:val="00983DC5"/>
    <w:rsid w:val="00984F12"/>
    <w:rsid w:val="009A3752"/>
    <w:rsid w:val="009A38DF"/>
    <w:rsid w:val="009A6695"/>
    <w:rsid w:val="009B0C1D"/>
    <w:rsid w:val="009B7813"/>
    <w:rsid w:val="009B7E9C"/>
    <w:rsid w:val="009C0A0A"/>
    <w:rsid w:val="009C278A"/>
    <w:rsid w:val="009E1437"/>
    <w:rsid w:val="00A02363"/>
    <w:rsid w:val="00A1361C"/>
    <w:rsid w:val="00A147EE"/>
    <w:rsid w:val="00A21CE7"/>
    <w:rsid w:val="00A23208"/>
    <w:rsid w:val="00A232D6"/>
    <w:rsid w:val="00A27415"/>
    <w:rsid w:val="00A47937"/>
    <w:rsid w:val="00A51497"/>
    <w:rsid w:val="00A52975"/>
    <w:rsid w:val="00A54CD6"/>
    <w:rsid w:val="00A562CB"/>
    <w:rsid w:val="00A612AD"/>
    <w:rsid w:val="00A62236"/>
    <w:rsid w:val="00A62E3E"/>
    <w:rsid w:val="00A70CAE"/>
    <w:rsid w:val="00A71A7A"/>
    <w:rsid w:val="00A724F5"/>
    <w:rsid w:val="00A73B2C"/>
    <w:rsid w:val="00A73C67"/>
    <w:rsid w:val="00A76CFB"/>
    <w:rsid w:val="00A77B89"/>
    <w:rsid w:val="00A81144"/>
    <w:rsid w:val="00A82564"/>
    <w:rsid w:val="00A83619"/>
    <w:rsid w:val="00A851F7"/>
    <w:rsid w:val="00A90195"/>
    <w:rsid w:val="00A94C3C"/>
    <w:rsid w:val="00AA245E"/>
    <w:rsid w:val="00AB2AC4"/>
    <w:rsid w:val="00AB2AF5"/>
    <w:rsid w:val="00AB62B1"/>
    <w:rsid w:val="00AC3092"/>
    <w:rsid w:val="00AC4990"/>
    <w:rsid w:val="00AD1F97"/>
    <w:rsid w:val="00AD27F3"/>
    <w:rsid w:val="00AD3F03"/>
    <w:rsid w:val="00AD50A8"/>
    <w:rsid w:val="00AE38E0"/>
    <w:rsid w:val="00AE62F1"/>
    <w:rsid w:val="00B01976"/>
    <w:rsid w:val="00B10417"/>
    <w:rsid w:val="00B123E7"/>
    <w:rsid w:val="00B1386B"/>
    <w:rsid w:val="00B21101"/>
    <w:rsid w:val="00B35E85"/>
    <w:rsid w:val="00B416E4"/>
    <w:rsid w:val="00B44D0B"/>
    <w:rsid w:val="00B453A0"/>
    <w:rsid w:val="00B45705"/>
    <w:rsid w:val="00B476C4"/>
    <w:rsid w:val="00B47C7B"/>
    <w:rsid w:val="00B56A4C"/>
    <w:rsid w:val="00B611F6"/>
    <w:rsid w:val="00B6678C"/>
    <w:rsid w:val="00B7784B"/>
    <w:rsid w:val="00B77C90"/>
    <w:rsid w:val="00B84216"/>
    <w:rsid w:val="00B84340"/>
    <w:rsid w:val="00B84D6F"/>
    <w:rsid w:val="00B875FA"/>
    <w:rsid w:val="00B9063F"/>
    <w:rsid w:val="00B916DC"/>
    <w:rsid w:val="00B94077"/>
    <w:rsid w:val="00B97399"/>
    <w:rsid w:val="00BA109E"/>
    <w:rsid w:val="00BB361A"/>
    <w:rsid w:val="00BC10E1"/>
    <w:rsid w:val="00BC3E1E"/>
    <w:rsid w:val="00BC40BD"/>
    <w:rsid w:val="00BC5205"/>
    <w:rsid w:val="00BD0FDB"/>
    <w:rsid w:val="00BD24D7"/>
    <w:rsid w:val="00BD2FF6"/>
    <w:rsid w:val="00BD30CA"/>
    <w:rsid w:val="00BD5C15"/>
    <w:rsid w:val="00BE38A1"/>
    <w:rsid w:val="00BE65DC"/>
    <w:rsid w:val="00BF01DB"/>
    <w:rsid w:val="00BF1871"/>
    <w:rsid w:val="00BF1D9C"/>
    <w:rsid w:val="00BF2F67"/>
    <w:rsid w:val="00BF595F"/>
    <w:rsid w:val="00C0117F"/>
    <w:rsid w:val="00C03F96"/>
    <w:rsid w:val="00C11B7B"/>
    <w:rsid w:val="00C12082"/>
    <w:rsid w:val="00C16E9F"/>
    <w:rsid w:val="00C17807"/>
    <w:rsid w:val="00C17850"/>
    <w:rsid w:val="00C2215F"/>
    <w:rsid w:val="00C25B19"/>
    <w:rsid w:val="00C263A6"/>
    <w:rsid w:val="00C36DAE"/>
    <w:rsid w:val="00C37DD5"/>
    <w:rsid w:val="00C4741E"/>
    <w:rsid w:val="00C47DD1"/>
    <w:rsid w:val="00C514F9"/>
    <w:rsid w:val="00C53B7D"/>
    <w:rsid w:val="00C5695F"/>
    <w:rsid w:val="00C6333F"/>
    <w:rsid w:val="00C63793"/>
    <w:rsid w:val="00C637FD"/>
    <w:rsid w:val="00C647C7"/>
    <w:rsid w:val="00C70ADD"/>
    <w:rsid w:val="00C745B1"/>
    <w:rsid w:val="00C769E1"/>
    <w:rsid w:val="00C832BC"/>
    <w:rsid w:val="00C8357E"/>
    <w:rsid w:val="00C85409"/>
    <w:rsid w:val="00C925C4"/>
    <w:rsid w:val="00C93F2B"/>
    <w:rsid w:val="00C9429F"/>
    <w:rsid w:val="00C9689B"/>
    <w:rsid w:val="00C979C0"/>
    <w:rsid w:val="00CA18D1"/>
    <w:rsid w:val="00CA2277"/>
    <w:rsid w:val="00CA4E03"/>
    <w:rsid w:val="00CB1065"/>
    <w:rsid w:val="00CB12B8"/>
    <w:rsid w:val="00CB47A8"/>
    <w:rsid w:val="00CB6669"/>
    <w:rsid w:val="00CB7DB2"/>
    <w:rsid w:val="00CC071B"/>
    <w:rsid w:val="00CC1BF3"/>
    <w:rsid w:val="00CC6B3D"/>
    <w:rsid w:val="00CC7895"/>
    <w:rsid w:val="00CD0495"/>
    <w:rsid w:val="00CD75E5"/>
    <w:rsid w:val="00CE3A03"/>
    <w:rsid w:val="00CF2A2D"/>
    <w:rsid w:val="00CF4F56"/>
    <w:rsid w:val="00CF5B33"/>
    <w:rsid w:val="00CF6BB4"/>
    <w:rsid w:val="00CF7573"/>
    <w:rsid w:val="00D00303"/>
    <w:rsid w:val="00D01AED"/>
    <w:rsid w:val="00D115B0"/>
    <w:rsid w:val="00D172A6"/>
    <w:rsid w:val="00D23DF7"/>
    <w:rsid w:val="00D26A88"/>
    <w:rsid w:val="00D31D71"/>
    <w:rsid w:val="00D360F7"/>
    <w:rsid w:val="00D37A7D"/>
    <w:rsid w:val="00D414B2"/>
    <w:rsid w:val="00D41F18"/>
    <w:rsid w:val="00D507D5"/>
    <w:rsid w:val="00D542FB"/>
    <w:rsid w:val="00D5495F"/>
    <w:rsid w:val="00D57F81"/>
    <w:rsid w:val="00D645BD"/>
    <w:rsid w:val="00D659BB"/>
    <w:rsid w:val="00D71BDF"/>
    <w:rsid w:val="00D72BCB"/>
    <w:rsid w:val="00D767FB"/>
    <w:rsid w:val="00D813FB"/>
    <w:rsid w:val="00D81439"/>
    <w:rsid w:val="00D945D1"/>
    <w:rsid w:val="00D94FED"/>
    <w:rsid w:val="00D968EF"/>
    <w:rsid w:val="00DA16CF"/>
    <w:rsid w:val="00DA6C35"/>
    <w:rsid w:val="00DB5DE8"/>
    <w:rsid w:val="00DB69E2"/>
    <w:rsid w:val="00DB7F2B"/>
    <w:rsid w:val="00DC0391"/>
    <w:rsid w:val="00DC5C80"/>
    <w:rsid w:val="00DC711E"/>
    <w:rsid w:val="00DD2592"/>
    <w:rsid w:val="00DD2927"/>
    <w:rsid w:val="00DE0A63"/>
    <w:rsid w:val="00DE5860"/>
    <w:rsid w:val="00DE7CFA"/>
    <w:rsid w:val="00DF1F61"/>
    <w:rsid w:val="00DF2B34"/>
    <w:rsid w:val="00DF6E9E"/>
    <w:rsid w:val="00DF7C9C"/>
    <w:rsid w:val="00E1323E"/>
    <w:rsid w:val="00E13FA7"/>
    <w:rsid w:val="00E16400"/>
    <w:rsid w:val="00E1739D"/>
    <w:rsid w:val="00E262D4"/>
    <w:rsid w:val="00E26FDE"/>
    <w:rsid w:val="00E36A9D"/>
    <w:rsid w:val="00E370A4"/>
    <w:rsid w:val="00E40649"/>
    <w:rsid w:val="00E42D85"/>
    <w:rsid w:val="00E44F3A"/>
    <w:rsid w:val="00E45BEE"/>
    <w:rsid w:val="00E463A9"/>
    <w:rsid w:val="00E47DD5"/>
    <w:rsid w:val="00E54D7F"/>
    <w:rsid w:val="00E55756"/>
    <w:rsid w:val="00E62869"/>
    <w:rsid w:val="00E658EE"/>
    <w:rsid w:val="00E671A7"/>
    <w:rsid w:val="00E75F1A"/>
    <w:rsid w:val="00E81D3E"/>
    <w:rsid w:val="00E824EF"/>
    <w:rsid w:val="00E83DE5"/>
    <w:rsid w:val="00E9552D"/>
    <w:rsid w:val="00EA1C64"/>
    <w:rsid w:val="00EA5214"/>
    <w:rsid w:val="00EA65BB"/>
    <w:rsid w:val="00EB1A95"/>
    <w:rsid w:val="00EB5BDF"/>
    <w:rsid w:val="00EB7200"/>
    <w:rsid w:val="00EC0F24"/>
    <w:rsid w:val="00ED39B9"/>
    <w:rsid w:val="00ED3EF5"/>
    <w:rsid w:val="00ED5120"/>
    <w:rsid w:val="00EE06FD"/>
    <w:rsid w:val="00EE65DD"/>
    <w:rsid w:val="00EE7387"/>
    <w:rsid w:val="00EF4A06"/>
    <w:rsid w:val="00EF6188"/>
    <w:rsid w:val="00F00760"/>
    <w:rsid w:val="00F012B6"/>
    <w:rsid w:val="00F043B9"/>
    <w:rsid w:val="00F11988"/>
    <w:rsid w:val="00F12AFC"/>
    <w:rsid w:val="00F20679"/>
    <w:rsid w:val="00F2088E"/>
    <w:rsid w:val="00F21CB4"/>
    <w:rsid w:val="00F37788"/>
    <w:rsid w:val="00F42731"/>
    <w:rsid w:val="00F427D2"/>
    <w:rsid w:val="00F4320A"/>
    <w:rsid w:val="00F4602F"/>
    <w:rsid w:val="00F5203E"/>
    <w:rsid w:val="00F55C95"/>
    <w:rsid w:val="00F5627A"/>
    <w:rsid w:val="00F60A9E"/>
    <w:rsid w:val="00F65EFD"/>
    <w:rsid w:val="00F73595"/>
    <w:rsid w:val="00F74675"/>
    <w:rsid w:val="00F74F97"/>
    <w:rsid w:val="00F77DEC"/>
    <w:rsid w:val="00F80A10"/>
    <w:rsid w:val="00F8352F"/>
    <w:rsid w:val="00F849BE"/>
    <w:rsid w:val="00F86D44"/>
    <w:rsid w:val="00F8774A"/>
    <w:rsid w:val="00F931E9"/>
    <w:rsid w:val="00F95A59"/>
    <w:rsid w:val="00FA3A1D"/>
    <w:rsid w:val="00FB0B53"/>
    <w:rsid w:val="00FB3D22"/>
    <w:rsid w:val="00FB5E13"/>
    <w:rsid w:val="00FC26F3"/>
    <w:rsid w:val="00FC6957"/>
    <w:rsid w:val="00FC7258"/>
    <w:rsid w:val="00FD6823"/>
    <w:rsid w:val="00FE24CC"/>
    <w:rsid w:val="00FE3772"/>
    <w:rsid w:val="00FE3D85"/>
    <w:rsid w:val="00FF237D"/>
    <w:rsid w:val="00FF2B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4:docId w14:val="07EF0AAC"/>
  <w15:chartTrackingRefBased/>
  <w15:docId w15:val="{DCC5DFC1-07E5-48CB-9622-BAB77CA75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2C8"/>
    <w:pPr>
      <w:overflowPunct w:val="0"/>
      <w:autoSpaceDE w:val="0"/>
      <w:autoSpaceDN w:val="0"/>
      <w:adjustRightInd w:val="0"/>
      <w:spacing w:line="288" w:lineRule="auto"/>
      <w:jc w:val="both"/>
      <w:textAlignment w:val="baseline"/>
    </w:pPr>
    <w:rPr>
      <w:sz w:val="22"/>
      <w:lang w:val="en-GB" w:eastAsia="en-US"/>
    </w:rPr>
  </w:style>
  <w:style w:type="paragraph" w:styleId="Heading1">
    <w:name w:val="heading 1"/>
    <w:basedOn w:val="Normal"/>
    <w:next w:val="Normal"/>
    <w:qFormat/>
    <w:rsid w:val="005C72C8"/>
    <w:pPr>
      <w:numPr>
        <w:numId w:val="1"/>
      </w:numPr>
      <w:outlineLvl w:val="0"/>
    </w:pPr>
    <w:rPr>
      <w:kern w:val="28"/>
    </w:rPr>
  </w:style>
  <w:style w:type="paragraph" w:styleId="Heading2">
    <w:name w:val="heading 2"/>
    <w:basedOn w:val="Normal"/>
    <w:next w:val="Normal"/>
    <w:qFormat/>
    <w:rsid w:val="005C72C8"/>
    <w:pPr>
      <w:numPr>
        <w:ilvl w:val="1"/>
        <w:numId w:val="1"/>
      </w:numPr>
      <w:outlineLvl w:val="1"/>
    </w:pPr>
  </w:style>
  <w:style w:type="paragraph" w:styleId="Heading3">
    <w:name w:val="heading 3"/>
    <w:basedOn w:val="Normal"/>
    <w:next w:val="Normal"/>
    <w:qFormat/>
    <w:rsid w:val="005C72C8"/>
    <w:pPr>
      <w:numPr>
        <w:ilvl w:val="2"/>
        <w:numId w:val="1"/>
      </w:numPr>
      <w:outlineLvl w:val="2"/>
    </w:pPr>
  </w:style>
  <w:style w:type="paragraph" w:styleId="Heading4">
    <w:name w:val="heading 4"/>
    <w:basedOn w:val="Normal"/>
    <w:next w:val="Normal"/>
    <w:qFormat/>
    <w:rsid w:val="005C72C8"/>
    <w:pPr>
      <w:numPr>
        <w:ilvl w:val="3"/>
        <w:numId w:val="1"/>
      </w:numPr>
      <w:outlineLvl w:val="3"/>
    </w:pPr>
  </w:style>
  <w:style w:type="paragraph" w:styleId="Heading5">
    <w:name w:val="heading 5"/>
    <w:basedOn w:val="Normal"/>
    <w:next w:val="Normal"/>
    <w:qFormat/>
    <w:rsid w:val="005C72C8"/>
    <w:pPr>
      <w:numPr>
        <w:ilvl w:val="4"/>
        <w:numId w:val="1"/>
      </w:numPr>
      <w:outlineLvl w:val="4"/>
    </w:pPr>
  </w:style>
  <w:style w:type="paragraph" w:styleId="Heading6">
    <w:name w:val="heading 6"/>
    <w:basedOn w:val="Normal"/>
    <w:next w:val="Normal"/>
    <w:qFormat/>
    <w:rsid w:val="005C72C8"/>
    <w:pPr>
      <w:numPr>
        <w:ilvl w:val="5"/>
        <w:numId w:val="1"/>
      </w:numPr>
      <w:outlineLvl w:val="5"/>
    </w:pPr>
  </w:style>
  <w:style w:type="paragraph" w:styleId="Heading7">
    <w:name w:val="heading 7"/>
    <w:basedOn w:val="Normal"/>
    <w:next w:val="Normal"/>
    <w:qFormat/>
    <w:rsid w:val="005C72C8"/>
    <w:pPr>
      <w:numPr>
        <w:ilvl w:val="6"/>
        <w:numId w:val="1"/>
      </w:numPr>
      <w:outlineLvl w:val="6"/>
    </w:pPr>
  </w:style>
  <w:style w:type="paragraph" w:styleId="Heading8">
    <w:name w:val="heading 8"/>
    <w:basedOn w:val="Normal"/>
    <w:next w:val="Normal"/>
    <w:qFormat/>
    <w:rsid w:val="005C72C8"/>
    <w:pPr>
      <w:numPr>
        <w:ilvl w:val="7"/>
        <w:numId w:val="1"/>
      </w:numPr>
      <w:outlineLvl w:val="7"/>
    </w:pPr>
  </w:style>
  <w:style w:type="paragraph" w:styleId="Heading9">
    <w:name w:val="heading 9"/>
    <w:basedOn w:val="Normal"/>
    <w:next w:val="Normal"/>
    <w:qFormat/>
    <w:rsid w:val="005C72C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C72C8"/>
  </w:style>
  <w:style w:type="paragraph" w:styleId="FootnoteText">
    <w:name w:val="footnote text"/>
    <w:basedOn w:val="Normal"/>
    <w:rsid w:val="005C72C8"/>
    <w:pPr>
      <w:keepLines/>
      <w:spacing w:after="60" w:line="240" w:lineRule="auto"/>
      <w:ind w:left="720" w:hanging="720"/>
    </w:pPr>
    <w:rPr>
      <w:sz w:val="16"/>
    </w:rPr>
  </w:style>
  <w:style w:type="paragraph" w:styleId="Header">
    <w:name w:val="header"/>
    <w:basedOn w:val="Normal"/>
    <w:rsid w:val="005C72C8"/>
  </w:style>
  <w:style w:type="paragraph" w:customStyle="1" w:styleId="quotes">
    <w:name w:val="quotes"/>
    <w:basedOn w:val="Normal"/>
    <w:next w:val="Normal"/>
    <w:rsid w:val="005C72C8"/>
    <w:pPr>
      <w:ind w:left="720"/>
    </w:pPr>
    <w:rPr>
      <w:i/>
    </w:rPr>
  </w:style>
  <w:style w:type="paragraph" w:customStyle="1" w:styleId="Char1CharCharChar">
    <w:name w:val="Char1 Char Char Char"/>
    <w:basedOn w:val="Normal"/>
    <w:next w:val="Normal"/>
    <w:rsid w:val="00413B32"/>
    <w:pPr>
      <w:spacing w:after="160" w:line="240" w:lineRule="exact"/>
    </w:pPr>
    <w:rPr>
      <w:rFonts w:ascii="Tahoma" w:hAnsi="Tahoma"/>
      <w:bCs/>
      <w:lang w:val="en-US"/>
    </w:rPr>
  </w:style>
  <w:style w:type="character" w:styleId="FootnoteReference">
    <w:name w:val="footnote reference"/>
    <w:semiHidden/>
    <w:rsid w:val="005C72C8"/>
    <w:rPr>
      <w:sz w:val="24"/>
      <w:vertAlign w:val="superscript"/>
    </w:rPr>
  </w:style>
  <w:style w:type="paragraph" w:styleId="BalloonText">
    <w:name w:val="Balloon Text"/>
    <w:basedOn w:val="Normal"/>
    <w:link w:val="BalloonTextChar"/>
    <w:rsid w:val="00A71A7A"/>
    <w:pPr>
      <w:spacing w:line="240" w:lineRule="auto"/>
    </w:pPr>
    <w:rPr>
      <w:rFonts w:ascii="Tahoma" w:hAnsi="Tahoma" w:cs="Tahoma"/>
      <w:sz w:val="16"/>
      <w:szCs w:val="16"/>
    </w:rPr>
  </w:style>
  <w:style w:type="character" w:customStyle="1" w:styleId="BalloonTextChar">
    <w:name w:val="Balloon Text Char"/>
    <w:link w:val="BalloonText"/>
    <w:rsid w:val="00A71A7A"/>
    <w:rPr>
      <w:rFonts w:ascii="Tahoma" w:hAnsi="Tahoma" w:cs="Tahoma"/>
      <w:sz w:val="16"/>
      <w:szCs w:val="16"/>
      <w:lang w:eastAsia="en-US"/>
    </w:rPr>
  </w:style>
  <w:style w:type="character" w:styleId="PageNumber">
    <w:name w:val="page number"/>
    <w:basedOn w:val="DefaultParagraphFont"/>
    <w:rsid w:val="000B13DC"/>
  </w:style>
  <w:style w:type="character" w:styleId="CommentReference">
    <w:name w:val="annotation reference"/>
    <w:uiPriority w:val="99"/>
    <w:rsid w:val="00C70ADD"/>
    <w:rPr>
      <w:sz w:val="16"/>
      <w:szCs w:val="16"/>
    </w:rPr>
  </w:style>
  <w:style w:type="paragraph" w:styleId="CommentText">
    <w:name w:val="annotation text"/>
    <w:basedOn w:val="Normal"/>
    <w:link w:val="CommentTextChar"/>
    <w:uiPriority w:val="99"/>
    <w:rsid w:val="00C70ADD"/>
    <w:rPr>
      <w:sz w:val="20"/>
    </w:rPr>
  </w:style>
  <w:style w:type="character" w:customStyle="1" w:styleId="CommentTextChar">
    <w:name w:val="Comment Text Char"/>
    <w:link w:val="CommentText"/>
    <w:uiPriority w:val="99"/>
    <w:rsid w:val="00C70ADD"/>
    <w:rPr>
      <w:lang w:eastAsia="en-US"/>
    </w:rPr>
  </w:style>
  <w:style w:type="paragraph" w:styleId="CommentSubject">
    <w:name w:val="annotation subject"/>
    <w:basedOn w:val="CommentText"/>
    <w:next w:val="CommentText"/>
    <w:link w:val="CommentSubjectChar"/>
    <w:rsid w:val="00C70ADD"/>
    <w:rPr>
      <w:b/>
      <w:bCs/>
    </w:rPr>
  </w:style>
  <w:style w:type="character" w:customStyle="1" w:styleId="CommentSubjectChar">
    <w:name w:val="Comment Subject Char"/>
    <w:link w:val="CommentSubject"/>
    <w:rsid w:val="00C70ADD"/>
    <w:rPr>
      <w:b/>
      <w:bCs/>
      <w:lang w:eastAsia="en-US"/>
    </w:rPr>
  </w:style>
  <w:style w:type="paragraph" w:styleId="Revision">
    <w:name w:val="Revision"/>
    <w:hidden/>
    <w:uiPriority w:val="99"/>
    <w:semiHidden/>
    <w:rsid w:val="00C70ADD"/>
    <w:rPr>
      <w:sz w:val="22"/>
      <w:lang w:val="en-GB" w:eastAsia="en-US"/>
    </w:rPr>
  </w:style>
  <w:style w:type="table" w:styleId="TableGrid">
    <w:name w:val="Table Grid"/>
    <w:basedOn w:val="TableNormal"/>
    <w:uiPriority w:val="39"/>
    <w:rsid w:val="00E13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13FA7"/>
    <w:pPr>
      <w:autoSpaceDE w:val="0"/>
      <w:autoSpaceDN w:val="0"/>
      <w:adjustRightInd w:val="0"/>
    </w:pPr>
    <w:rPr>
      <w:color w:val="000000"/>
      <w:sz w:val="24"/>
      <w:szCs w:val="24"/>
      <w:lang w:val="en-GB" w:eastAsia="en-GB"/>
    </w:rPr>
  </w:style>
  <w:style w:type="paragraph" w:styleId="Title">
    <w:name w:val="Title"/>
    <w:basedOn w:val="Normal"/>
    <w:next w:val="Normal"/>
    <w:link w:val="TitleChar"/>
    <w:qFormat/>
    <w:rsid w:val="0005408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54085"/>
    <w:rPr>
      <w:rFonts w:ascii="Calibri Light" w:eastAsia="Times New Roman" w:hAnsi="Calibri Light" w:cs="Times New Roman"/>
      <w:b/>
      <w:bCs/>
      <w:kern w:val="28"/>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447394">
      <w:bodyDiv w:val="1"/>
      <w:marLeft w:val="0"/>
      <w:marRight w:val="0"/>
      <w:marTop w:val="0"/>
      <w:marBottom w:val="0"/>
      <w:divBdr>
        <w:top w:val="none" w:sz="0" w:space="0" w:color="auto"/>
        <w:left w:val="none" w:sz="0" w:space="0" w:color="auto"/>
        <w:bottom w:val="none" w:sz="0" w:space="0" w:color="auto"/>
        <w:right w:val="none" w:sz="0" w:space="0" w:color="auto"/>
      </w:divBdr>
    </w:div>
    <w:div w:id="831411620">
      <w:bodyDiv w:val="1"/>
      <w:marLeft w:val="0"/>
      <w:marRight w:val="0"/>
      <w:marTop w:val="0"/>
      <w:marBottom w:val="0"/>
      <w:divBdr>
        <w:top w:val="none" w:sz="0" w:space="0" w:color="auto"/>
        <w:left w:val="none" w:sz="0" w:space="0" w:color="auto"/>
        <w:bottom w:val="none" w:sz="0" w:space="0" w:color="auto"/>
        <w:right w:val="none" w:sz="0" w:space="0" w:color="auto"/>
      </w:divBdr>
    </w:div>
    <w:div w:id="935333422">
      <w:bodyDiv w:val="1"/>
      <w:marLeft w:val="0"/>
      <w:marRight w:val="0"/>
      <w:marTop w:val="0"/>
      <w:marBottom w:val="0"/>
      <w:divBdr>
        <w:top w:val="none" w:sz="0" w:space="0" w:color="auto"/>
        <w:left w:val="none" w:sz="0" w:space="0" w:color="auto"/>
        <w:bottom w:val="none" w:sz="0" w:space="0" w:color="auto"/>
        <w:right w:val="none" w:sz="0" w:space="0" w:color="auto"/>
      </w:divBdr>
    </w:div>
    <w:div w:id="962541205">
      <w:bodyDiv w:val="1"/>
      <w:marLeft w:val="0"/>
      <w:marRight w:val="0"/>
      <w:marTop w:val="0"/>
      <w:marBottom w:val="0"/>
      <w:divBdr>
        <w:top w:val="none" w:sz="0" w:space="0" w:color="auto"/>
        <w:left w:val="none" w:sz="0" w:space="0" w:color="auto"/>
        <w:bottom w:val="none" w:sz="0" w:space="0" w:color="auto"/>
        <w:right w:val="none" w:sz="0" w:space="0" w:color="auto"/>
      </w:divBdr>
    </w:div>
    <w:div w:id="1136529647">
      <w:bodyDiv w:val="1"/>
      <w:marLeft w:val="0"/>
      <w:marRight w:val="0"/>
      <w:marTop w:val="0"/>
      <w:marBottom w:val="0"/>
      <w:divBdr>
        <w:top w:val="none" w:sz="0" w:space="0" w:color="auto"/>
        <w:left w:val="none" w:sz="0" w:space="0" w:color="auto"/>
        <w:bottom w:val="none" w:sz="0" w:space="0" w:color="auto"/>
        <w:right w:val="none" w:sz="0" w:space="0" w:color="auto"/>
      </w:divBdr>
    </w:div>
    <w:div w:id="1398943881">
      <w:bodyDiv w:val="1"/>
      <w:marLeft w:val="0"/>
      <w:marRight w:val="0"/>
      <w:marTop w:val="0"/>
      <w:marBottom w:val="0"/>
      <w:divBdr>
        <w:top w:val="none" w:sz="0" w:space="0" w:color="auto"/>
        <w:left w:val="none" w:sz="0" w:space="0" w:color="auto"/>
        <w:bottom w:val="none" w:sz="0" w:space="0" w:color="auto"/>
        <w:right w:val="none" w:sz="0" w:space="0" w:color="auto"/>
      </w:divBdr>
    </w:div>
    <w:div w:id="1853450087">
      <w:bodyDiv w:val="1"/>
      <w:marLeft w:val="0"/>
      <w:marRight w:val="0"/>
      <w:marTop w:val="0"/>
      <w:marBottom w:val="0"/>
      <w:divBdr>
        <w:top w:val="none" w:sz="0" w:space="0" w:color="auto"/>
        <w:left w:val="none" w:sz="0" w:space="0" w:color="auto"/>
        <w:bottom w:val="none" w:sz="0" w:space="0" w:color="auto"/>
        <w:right w:val="none" w:sz="0" w:space="0" w:color="auto"/>
      </w:divBdr>
    </w:div>
    <w:div w:id="1886092240">
      <w:bodyDiv w:val="1"/>
      <w:marLeft w:val="0"/>
      <w:marRight w:val="0"/>
      <w:marTop w:val="0"/>
      <w:marBottom w:val="0"/>
      <w:divBdr>
        <w:top w:val="none" w:sz="0" w:space="0" w:color="auto"/>
        <w:left w:val="none" w:sz="0" w:space="0" w:color="auto"/>
        <w:bottom w:val="none" w:sz="0" w:space="0" w:color="auto"/>
        <w:right w:val="none" w:sz="0" w:space="0" w:color="auto"/>
      </w:divBdr>
    </w:div>
    <w:div w:id="202508917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C3555-6FA7-4E97-BB60-B18F5CEFA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2345</Words>
  <Characters>12066</Characters>
  <Application>Microsoft Office Word</Application>
  <DocSecurity>0</DocSecurity>
  <Lines>100</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Rules of procedure of the Domestic Advisory Group created pursuant to Chapter 13 (Article 13.12) of the EU-Korea Free Trade Agreement</vt:lpstr>
      <vt:lpstr>Rules of procedure of the Domestic Advisory Group created pursuant to Chapter 13 (Article 13.12) of the EU-Korea Free Trade Agreement</vt:lpstr>
    </vt:vector>
  </TitlesOfParts>
  <Company>CESE-CdR</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procedure of the Domestic Advisory Group created pursuant to Chapter 13 (Article 13.12) of the EU-Korea Free Trade Agreement</dc:title>
  <dc:subject>Miscellaneous consultative docs.</dc:subject>
  <dc:creator>snani</dc:creator>
  <cp:keywords>F_CES5183-2012_TCD_EN</cp:keywords>
  <dc:description>Rapporteur: -_x000d_
Original language: EN_x000d_
Date of document: 21/05/2012_x000d_
Date of meeting: 29/05/2012_x000d_
External documents: -_x000d_
Administrator responsible: Iotzova Tzonka, telephone: + 2 546 8978_x000d_
_x000d_
Abstract:</dc:description>
  <cp:lastModifiedBy>Galon Delphine</cp:lastModifiedBy>
  <cp:revision>6</cp:revision>
  <cp:lastPrinted>2022-02-16T12:14:00Z</cp:lastPrinted>
  <dcterms:created xsi:type="dcterms:W3CDTF">2022-02-16T09:35:00Z</dcterms:created>
  <dcterms:modified xsi:type="dcterms:W3CDTF">2022-02-16T12:14:00Z</dcterms:modified>
</cp:coreProperties>
</file>