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29F79" w14:textId="6385D56A" w:rsidR="006D4BDA" w:rsidRPr="00591146" w:rsidRDefault="00A101A9" w:rsidP="00234732">
      <w:pPr>
        <w:pStyle w:val="Heading1"/>
        <w:numPr>
          <w:ilvl w:val="0"/>
          <w:numId w:val="0"/>
        </w:numPr>
        <w:ind w:left="567"/>
        <w:jc w:val="center"/>
        <w:rPr>
          <w:rFonts w:asciiTheme="majorHAnsi" w:hAnsiTheme="majorHAnsi" w:cstheme="majorHAnsi"/>
          <w:b/>
          <w:bCs/>
          <w:sz w:val="24"/>
          <w:szCs w:val="24"/>
        </w:rPr>
      </w:pPr>
      <w:r>
        <w:rPr>
          <w:rFonts w:asciiTheme="majorHAnsi" w:hAnsiTheme="majorHAnsi"/>
          <w:b/>
          <w:color w:val="548DD4" w:themeColor="text2" w:themeTint="99"/>
          <w:sz w:val="24"/>
        </w:rPr>
        <w:t>Comité de suivi UE-ACP — Projet de programme de travail 2026-2028</w:t>
      </w:r>
    </w:p>
    <w:p w14:paraId="72F10826" w14:textId="3E7BF96E" w:rsidR="00B877BD" w:rsidRPr="00591146" w:rsidRDefault="00234732" w:rsidP="0071054D">
      <w:pPr>
        <w:rPr>
          <w:rFonts w:asciiTheme="majorHAnsi" w:hAnsiTheme="majorHAnsi" w:cstheme="majorHAnsi"/>
        </w:rPr>
      </w:pPr>
      <w:r>
        <w:rPr>
          <w:rFonts w:asciiTheme="majorHAnsi" w:hAnsiTheme="majorHAnsi"/>
          <w:noProof/>
          <w:sz w:val="20"/>
        </w:rPr>
        <mc:AlternateContent>
          <mc:Choice Requires="wps">
            <w:drawing>
              <wp:anchor distT="0" distB="0" distL="114300" distR="114300" simplePos="0" relativeHeight="251659264" behindDoc="1" locked="0" layoutInCell="0" allowOverlap="1" wp14:anchorId="351CBE4A" wp14:editId="2ABCE1BE">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5005F" w14:textId="77777777" w:rsidR="00234732" w:rsidRPr="00260E65" w:rsidRDefault="00234732">
                            <w:pPr>
                              <w:jc w:val="center"/>
                              <w:rPr>
                                <w:rFonts w:ascii="Arial" w:hAnsi="Arial" w:cs="Arial"/>
                                <w:b/>
                                <w:bCs/>
                                <w:sz w:val="48"/>
                              </w:rPr>
                            </w:pPr>
                            <w:r>
                              <w:rPr>
                                <w:rFonts w:ascii="Arial" w:hAnsi="Arial"/>
                                <w:b/>
                                <w:sz w:val="48"/>
                              </w:rPr>
                              <w:t>FR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1CBE4A"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18D5005F" w14:textId="77777777" w:rsidR="00234732" w:rsidRPr="00260E65" w:rsidRDefault="00234732">
                      <w:pPr>
                        <w:jc w:val="center"/>
                        <w:rPr>
                          <w:rFonts w:ascii="Arial" w:hAnsi="Arial" w:cs="Arial"/>
                          <w:b/>
                          <w:bCs/>
                          <w:sz w:val="48"/>
                        </w:rPr>
                      </w:pPr>
                      <w:r>
                        <w:rPr>
                          <w:rFonts w:ascii="Arial" w:hAnsi="Arial"/>
                          <w:b/>
                          <w:sz w:val="48"/>
                        </w:rPr>
                        <w:t>FR</w:t>
                      </w:r>
                    </w:p>
                  </w:txbxContent>
                </v:textbox>
                <w10:wrap anchorx="page" anchory="page"/>
              </v:shape>
            </w:pict>
          </mc:Fallback>
        </mc:AlternateContent>
      </w:r>
    </w:p>
    <w:p w14:paraId="35436F20" w14:textId="18419A3D" w:rsidR="00BB6C43" w:rsidRPr="00AE3E78" w:rsidRDefault="00BB6C43" w:rsidP="0071054D">
      <w:pPr>
        <w:pStyle w:val="Heading2"/>
        <w:numPr>
          <w:ilvl w:val="0"/>
          <w:numId w:val="10"/>
        </w:numPr>
        <w:ind w:left="567" w:hanging="567"/>
        <w:rPr>
          <w:rFonts w:asciiTheme="majorHAnsi" w:hAnsiTheme="majorHAnsi" w:cstheme="majorHAnsi"/>
          <w:b/>
          <w:bCs/>
        </w:rPr>
      </w:pPr>
      <w:r>
        <w:rPr>
          <w:rFonts w:asciiTheme="majorHAnsi" w:hAnsiTheme="majorHAnsi"/>
          <w:b/>
          <w:color w:val="548DD4" w:themeColor="text2" w:themeTint="99"/>
        </w:rPr>
        <w:t>Introduction et contexte politique</w:t>
      </w:r>
    </w:p>
    <w:p w14:paraId="17874B84" w14:textId="77777777" w:rsidR="0071054D" w:rsidRPr="00591146" w:rsidRDefault="0071054D" w:rsidP="0071054D">
      <w:pPr>
        <w:rPr>
          <w:rFonts w:asciiTheme="majorHAnsi" w:hAnsiTheme="majorHAnsi" w:cstheme="majorHAnsi"/>
          <w:lang w:val="en-GB"/>
        </w:rPr>
      </w:pPr>
    </w:p>
    <w:p w14:paraId="11FF917B" w14:textId="6935DA6B" w:rsidR="00B877BD" w:rsidRPr="00AE3E78" w:rsidRDefault="00B877BD" w:rsidP="0071054D">
      <w:pPr>
        <w:rPr>
          <w:rFonts w:asciiTheme="majorHAnsi" w:hAnsiTheme="majorHAnsi" w:cstheme="majorHAnsi"/>
        </w:rPr>
      </w:pPr>
      <w:r>
        <w:rPr>
          <w:rFonts w:asciiTheme="majorHAnsi" w:hAnsiTheme="majorHAnsi"/>
        </w:rPr>
        <w:t>Le comité de suivi UE-ACP est un organe du CESE qui opère dans le cadre de la section</w:t>
      </w:r>
      <w:proofErr w:type="gramStart"/>
      <w:r>
        <w:rPr>
          <w:rFonts w:asciiTheme="majorHAnsi" w:hAnsiTheme="majorHAnsi"/>
        </w:rPr>
        <w:t xml:space="preserve"> «Relations</w:t>
      </w:r>
      <w:proofErr w:type="gramEnd"/>
      <w:r>
        <w:rPr>
          <w:rFonts w:asciiTheme="majorHAnsi" w:hAnsiTheme="majorHAnsi"/>
        </w:rPr>
        <w:t xml:space="preserve"> </w:t>
      </w:r>
      <w:proofErr w:type="gramStart"/>
      <w:r>
        <w:rPr>
          <w:rFonts w:asciiTheme="majorHAnsi" w:hAnsiTheme="majorHAnsi"/>
        </w:rPr>
        <w:t>extérieures»</w:t>
      </w:r>
      <w:proofErr w:type="gramEnd"/>
      <w:r>
        <w:rPr>
          <w:rFonts w:asciiTheme="majorHAnsi" w:hAnsiTheme="majorHAnsi"/>
        </w:rPr>
        <w:t xml:space="preserve"> (REX). Son rôle est d’assurer un suivi étroit des relations économiques, sociales, politiques, culturelles et de développement que l’Union européenne entretient avec les pays de l’Organisation des États d’Afrique, des Caraïbes et du Pacifique (OEACP), afin de promouvoir leur développement durable et de nourrir une vision d’intérêts mutuels. Le comité contribue à favoriser l’intégration des points de vue de la société civile dans la mise en œuvre du </w:t>
      </w:r>
      <w:hyperlink r:id="rId12" w:history="1">
        <w:r>
          <w:rPr>
            <w:rStyle w:val="Hyperlink"/>
            <w:rFonts w:asciiTheme="majorHAnsi" w:hAnsiTheme="majorHAnsi"/>
          </w:rPr>
          <w:t>partenariat OEACP-UE</w:t>
        </w:r>
      </w:hyperlink>
      <w:r>
        <w:rPr>
          <w:rFonts w:asciiTheme="majorHAnsi" w:hAnsiTheme="majorHAnsi"/>
        </w:rPr>
        <w:t>. Une attention particulière est accordée à l’essor et à la promotion des organisations de la société civile dans les pays partenaires, en leur qualité d’acteurs idéalement placés pour matérialiser ces valeurs communes et renforcer la coopération entre l’UE et l’OEACP.</w:t>
      </w:r>
    </w:p>
    <w:p w14:paraId="6F326976" w14:textId="77777777" w:rsidR="0071054D" w:rsidRPr="00423AC4" w:rsidRDefault="0071054D" w:rsidP="0071054D">
      <w:pPr>
        <w:rPr>
          <w:rFonts w:asciiTheme="majorHAnsi" w:hAnsiTheme="majorHAnsi" w:cstheme="majorHAnsi"/>
          <w:lang w:val="fr-BE"/>
        </w:rPr>
      </w:pPr>
    </w:p>
    <w:p w14:paraId="31EB222C" w14:textId="283029F5" w:rsidR="006D4BDA" w:rsidRPr="00AE3E78" w:rsidRDefault="00A101A9" w:rsidP="0071054D">
      <w:pPr>
        <w:rPr>
          <w:rFonts w:asciiTheme="majorHAnsi" w:hAnsiTheme="majorHAnsi" w:cstheme="majorHAnsi"/>
        </w:rPr>
      </w:pPr>
      <w:r>
        <w:rPr>
          <w:rFonts w:asciiTheme="majorHAnsi" w:hAnsiTheme="majorHAnsi"/>
        </w:rPr>
        <w:t>L’accord de Samoa a été signé en novembre 2023 et est entré en application à titre provisoire en janvier 2024. Il établit une base commune pour la coopération de l’UE avec les partenaires de l’OEACP, structurée autour de valeurs partagées, d’un dialogue politique et de priorités thématiques parmi lesquelles les droits de l’homme et la démocratie, la paix et la sécurité, le développement humain et social, une croissance et un développement économiques inclusifs et durables, la durabilité environnementale et l’action pour le climat, ainsi que la migration et la mobilité. Ce socle commun, qui s’applique à toutes les parties, est assorti de trois protocoles régionaux pour l’Afrique, les Caraïbes et le Pacifique, axés sur les besoins spécifiques de chaque région. L’article 95 de l’accord prévoit un mécanisme de dialogue avec les parties prenantes visant à garantir une consultation étroite de la société civile dans le cadre de la mise en œuvre de l’accord. Cependant, les progrès liés à la mise en place de ce mécanisme sont restés limités.</w:t>
      </w:r>
    </w:p>
    <w:p w14:paraId="39AF8261" w14:textId="77777777" w:rsidR="0071054D" w:rsidRPr="00423AC4" w:rsidRDefault="0071054D" w:rsidP="0071054D">
      <w:pPr>
        <w:rPr>
          <w:rFonts w:asciiTheme="majorHAnsi" w:hAnsiTheme="majorHAnsi" w:cstheme="majorHAnsi"/>
          <w:lang w:val="fr-BE"/>
        </w:rPr>
      </w:pPr>
    </w:p>
    <w:p w14:paraId="248AAD1B" w14:textId="5AC66462" w:rsidR="006D4BDA" w:rsidRPr="00AE3E78" w:rsidRDefault="00A101A9" w:rsidP="0071054D">
      <w:pPr>
        <w:rPr>
          <w:rFonts w:asciiTheme="majorHAnsi" w:hAnsiTheme="majorHAnsi" w:cstheme="majorHAnsi"/>
        </w:rPr>
      </w:pPr>
      <w:r>
        <w:rPr>
          <w:rFonts w:asciiTheme="majorHAnsi" w:hAnsiTheme="majorHAnsi"/>
        </w:rPr>
        <w:t>Le comité de suivi UE-ACP a été constitué en vertu du précédent accord UE-ACP — l’accord de Cotonou — en tant que canal institutionnel de concertation avec la société civile organisée sur la mise en œuvre du partenariat UE-ACP. Dans le cadre de la transition vers l’architecture de l’accord de Samoa, le rôle du comité demeure essentiel pour entretenir un dialogue structuré et veiller à ce que la voix de la société civile éclaire les priorités et les réalisations du partenariat, bien que la nature bilatérale de ce dernier n’ait pas pu être maintenue en raison de l’interruption du financement de la participation des délégués ACP.</w:t>
      </w:r>
    </w:p>
    <w:p w14:paraId="07316D2D" w14:textId="77777777" w:rsidR="0071054D" w:rsidRPr="00423AC4" w:rsidRDefault="0071054D" w:rsidP="0071054D">
      <w:pPr>
        <w:rPr>
          <w:rFonts w:asciiTheme="majorHAnsi" w:hAnsiTheme="majorHAnsi" w:cstheme="majorHAnsi"/>
          <w:lang w:val="fr-BE"/>
        </w:rPr>
      </w:pPr>
    </w:p>
    <w:p w14:paraId="0C714362" w14:textId="147BDFD2" w:rsidR="006617B2" w:rsidRPr="00AE3E78" w:rsidRDefault="006617B2" w:rsidP="0071054D">
      <w:pPr>
        <w:rPr>
          <w:rFonts w:asciiTheme="majorHAnsi" w:hAnsiTheme="majorHAnsi" w:cstheme="majorHAnsi"/>
        </w:rPr>
      </w:pPr>
      <w:r>
        <w:rPr>
          <w:rFonts w:asciiTheme="majorHAnsi" w:hAnsiTheme="majorHAnsi"/>
        </w:rPr>
        <w:t xml:space="preserve">Par ailleurs, le comité de suivi continue d’œuvrer au renforcement de la participation de la société civile dans le cadre du </w:t>
      </w:r>
      <w:hyperlink r:id="rId13" w:history="1">
        <w:r>
          <w:rPr>
            <w:rStyle w:val="Hyperlink"/>
            <w:rFonts w:asciiTheme="majorHAnsi" w:hAnsiTheme="majorHAnsi"/>
          </w:rPr>
          <w:t>partenariat UE-Union africaine (UA)</w:t>
        </w:r>
      </w:hyperlink>
      <w:r>
        <w:rPr>
          <w:rFonts w:asciiTheme="majorHAnsi" w:hAnsiTheme="majorHAnsi"/>
        </w:rPr>
        <w:t xml:space="preserve">. La </w:t>
      </w:r>
      <w:hyperlink r:id="rId14" w:history="1">
        <w:r>
          <w:rPr>
            <w:rStyle w:val="Hyperlink"/>
            <w:rFonts w:asciiTheme="majorHAnsi" w:hAnsiTheme="majorHAnsi"/>
          </w:rPr>
          <w:t>vision commune pour 2030 de l’Union européenne et de l’Union africaine</w:t>
        </w:r>
      </w:hyperlink>
      <w:r>
        <w:rPr>
          <w:rFonts w:asciiTheme="majorHAnsi" w:hAnsiTheme="majorHAnsi"/>
        </w:rPr>
        <w:t xml:space="preserve">, approuvée par leurs dirigeants respectifs lors du sommet UE-UA de février 2022 et dont le statut de cadre politique commun a été réaffirmé lors du </w:t>
      </w:r>
      <w:hyperlink r:id="rId15" w:history="1">
        <w:r>
          <w:rPr>
            <w:rStyle w:val="Hyperlink"/>
            <w:rFonts w:asciiTheme="majorHAnsi" w:hAnsiTheme="majorHAnsi"/>
          </w:rPr>
          <w:t>sommet UE-UA de novembre 2025</w:t>
        </w:r>
      </w:hyperlink>
      <w:r>
        <w:rPr>
          <w:rFonts w:asciiTheme="majorHAnsi" w:hAnsiTheme="majorHAnsi"/>
        </w:rPr>
        <w:t>, constitue une base de coopération générale entre les deux continents, notamment dans les domaines de la transition écologique et de l’accès à l’énergie, de la transition numérique, de la croissance durable et de l’emploi, de la paix et de la gouvernance, de la migration et de la mobilité, ainsi que de la coopération multilatérale.</w:t>
      </w:r>
    </w:p>
    <w:p w14:paraId="4E0814B2" w14:textId="77777777" w:rsidR="0071054D" w:rsidRPr="00423AC4" w:rsidRDefault="0071054D" w:rsidP="0071054D">
      <w:pPr>
        <w:rPr>
          <w:rFonts w:asciiTheme="majorHAnsi" w:hAnsiTheme="majorHAnsi" w:cstheme="majorHAnsi"/>
          <w:lang w:val="fr-BE"/>
        </w:rPr>
      </w:pPr>
    </w:p>
    <w:p w14:paraId="771FA458" w14:textId="29F56457" w:rsidR="006D4BDA" w:rsidRPr="00AE3E78" w:rsidRDefault="006617B2" w:rsidP="0071054D">
      <w:pPr>
        <w:rPr>
          <w:rFonts w:asciiTheme="majorHAnsi" w:hAnsiTheme="majorHAnsi" w:cstheme="majorHAnsi"/>
        </w:rPr>
      </w:pPr>
      <w:r>
        <w:rPr>
          <w:rFonts w:asciiTheme="majorHAnsi" w:hAnsiTheme="majorHAnsi"/>
        </w:rPr>
        <w:lastRenderedPageBreak/>
        <w:t>La coopération du CESE avec le Conseil économique, social et culturel de l’Union africaine (ECOSOCC de l’UA) s’est encore intensifiée à la suite de la signature d’un protocole d’accord en juillet 2024 à Accra (Ghana).</w:t>
      </w:r>
    </w:p>
    <w:p w14:paraId="028DE2C5" w14:textId="77777777" w:rsidR="0071054D" w:rsidRPr="00423AC4" w:rsidRDefault="0071054D" w:rsidP="0071054D">
      <w:pPr>
        <w:rPr>
          <w:rFonts w:asciiTheme="majorHAnsi" w:hAnsiTheme="majorHAnsi" w:cstheme="majorHAnsi"/>
          <w:lang w:val="fr-BE"/>
        </w:rPr>
      </w:pPr>
    </w:p>
    <w:p w14:paraId="13F0C55F" w14:textId="02E2C1B9" w:rsidR="006D4BDA" w:rsidRPr="00AE3E78" w:rsidRDefault="00A101A9" w:rsidP="0071054D">
      <w:pPr>
        <w:rPr>
          <w:rFonts w:asciiTheme="majorHAnsi" w:hAnsiTheme="majorHAnsi" w:cstheme="majorHAnsi"/>
        </w:rPr>
      </w:pPr>
      <w:r>
        <w:rPr>
          <w:rFonts w:asciiTheme="majorHAnsi" w:hAnsiTheme="majorHAnsi"/>
        </w:rPr>
        <w:t>Dans ce contexte, les travaux du comité de suivi UE-ACP au cours du mandat 2026-2028 s’appuieront sur les actions entreprises durant les années précédentes et s’attacheront à: i) promouvoir une consultation constructive de la société civile telle que prévue dans l’accord de Samoa (article 95); ii) mettre en œuvre le protocole d’accord CESE-ECOSOCC de l’UA sur la base d’un ensemble concret d’activités conjointes et consolider la participation de la société civile en vertu du partenariat UE-UA; iii) renforcer le suivi par la société civile des principales initiatives politiques et d’investissement concernant les régions ACP, notamment «Global Gateway» et les accords de partenariat économique (APE).</w:t>
      </w:r>
    </w:p>
    <w:p w14:paraId="02C41653" w14:textId="77777777" w:rsidR="0071054D" w:rsidRPr="00423AC4" w:rsidRDefault="0071054D" w:rsidP="0071054D">
      <w:pPr>
        <w:rPr>
          <w:rFonts w:asciiTheme="majorHAnsi" w:hAnsiTheme="majorHAnsi" w:cstheme="majorHAnsi"/>
          <w:lang w:val="fr-BE"/>
        </w:rPr>
      </w:pPr>
    </w:p>
    <w:p w14:paraId="16D09BAA" w14:textId="449DFAE8" w:rsidR="006D4BDA" w:rsidRPr="00AE3E78" w:rsidRDefault="00DA3F49" w:rsidP="0071054D">
      <w:pPr>
        <w:pStyle w:val="Heading2"/>
        <w:numPr>
          <w:ilvl w:val="0"/>
          <w:numId w:val="10"/>
        </w:numPr>
        <w:ind w:left="567" w:hanging="567"/>
        <w:rPr>
          <w:rFonts w:asciiTheme="majorHAnsi" w:hAnsiTheme="majorHAnsi" w:cstheme="majorHAnsi"/>
          <w:b/>
          <w:bCs/>
        </w:rPr>
      </w:pPr>
      <w:r>
        <w:rPr>
          <w:rFonts w:asciiTheme="majorHAnsi" w:hAnsiTheme="majorHAnsi"/>
          <w:b/>
          <w:color w:val="548DD4" w:themeColor="text2" w:themeTint="99"/>
        </w:rPr>
        <w:t>Principaux éléments du programme de travail</w:t>
      </w:r>
    </w:p>
    <w:p w14:paraId="1457EEDD" w14:textId="77777777" w:rsidR="0071054D" w:rsidRPr="00423AC4" w:rsidRDefault="0071054D" w:rsidP="0071054D">
      <w:pPr>
        <w:rPr>
          <w:rFonts w:asciiTheme="majorHAnsi" w:hAnsiTheme="majorHAnsi" w:cstheme="majorHAnsi"/>
          <w:lang w:val="fr-BE"/>
        </w:rPr>
      </w:pPr>
    </w:p>
    <w:p w14:paraId="5BF08D8A" w14:textId="66AD4E49" w:rsidR="006D4BDA" w:rsidRPr="00591146" w:rsidRDefault="004435D3" w:rsidP="0071054D">
      <w:pPr>
        <w:rPr>
          <w:rFonts w:asciiTheme="majorHAnsi" w:hAnsiTheme="majorHAnsi" w:cstheme="majorHAnsi"/>
        </w:rPr>
      </w:pPr>
      <w:r>
        <w:rPr>
          <w:rFonts w:asciiTheme="majorHAnsi" w:hAnsiTheme="majorHAnsi"/>
        </w:rPr>
        <w:t xml:space="preserve">Les travaux du comité pour la période 2026-2028 s’articuleront autour des piliers </w:t>
      </w:r>
      <w:proofErr w:type="gramStart"/>
      <w:r>
        <w:rPr>
          <w:rFonts w:asciiTheme="majorHAnsi" w:hAnsiTheme="majorHAnsi"/>
        </w:rPr>
        <w:t>suivants:</w:t>
      </w:r>
      <w:proofErr w:type="gramEnd"/>
    </w:p>
    <w:p w14:paraId="3672DD98" w14:textId="2BDE0E1A" w:rsidR="006D4BDA" w:rsidRPr="00591146" w:rsidRDefault="00A101A9"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poursuivre</w:t>
      </w:r>
      <w:proofErr w:type="gramEnd"/>
      <w:r>
        <w:rPr>
          <w:rFonts w:asciiTheme="majorHAnsi" w:hAnsiTheme="majorHAnsi"/>
        </w:rPr>
        <w:t xml:space="preserve"> la coopération avec la Commission européenne et l’Organisation des États d’Afrique, des Caraïbes et du Pacifique (OEACP) concernant la mise en œuvre de l’article 95 de l’accord de Samoa relatif à la mise en place d’un mécanisme efficace de dialogue des parties </w:t>
      </w:r>
      <w:proofErr w:type="gramStart"/>
      <w:r>
        <w:rPr>
          <w:rFonts w:asciiTheme="majorHAnsi" w:hAnsiTheme="majorHAnsi"/>
        </w:rPr>
        <w:t>prenantes;</w:t>
      </w:r>
      <w:proofErr w:type="gramEnd"/>
    </w:p>
    <w:p w14:paraId="4F2C16BC" w14:textId="0805EF47" w:rsidR="003F6D40" w:rsidRPr="00591146" w:rsidRDefault="003F6D40" w:rsidP="0071054D">
      <w:pPr>
        <w:pStyle w:val="ListBullet"/>
        <w:tabs>
          <w:tab w:val="clear" w:pos="360"/>
        </w:tabs>
        <w:ind w:left="567" w:hanging="567"/>
        <w:rPr>
          <w:rFonts w:asciiTheme="majorHAnsi" w:hAnsiTheme="majorHAnsi" w:cstheme="majorHAnsi"/>
        </w:rPr>
      </w:pPr>
      <w:r>
        <w:rPr>
          <w:rFonts w:asciiTheme="majorHAnsi" w:hAnsiTheme="majorHAnsi"/>
        </w:rPr>
        <w:t>mettre en œuvre le protocole d’accord avec l’ECOSOCC de l’UA au moyen d’activités conjointes axées sur la participation des parties prenantes, le dialogue politique et le renforcement des moyens d’action de la société civile dans le cadre du partenariat UE-Afrique, y compris la coopération lors d’événements multilatéraux tels que la COP 31, les contributions de l’ECOSOCC de l’UA aux avis pertinents (par exemple sur l’aide humanitaire) et l’échange réciproque d’invitations à des manifestations portant sur des questions d’intérêt commun;</w:t>
      </w:r>
    </w:p>
    <w:p w14:paraId="323EE79D" w14:textId="66B92AF1" w:rsidR="006D4BDA" w:rsidRPr="00591146" w:rsidRDefault="00A101A9"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participer</w:t>
      </w:r>
      <w:proofErr w:type="gramEnd"/>
      <w:r>
        <w:rPr>
          <w:rFonts w:asciiTheme="majorHAnsi" w:hAnsiTheme="majorHAnsi"/>
        </w:rPr>
        <w:t xml:space="preserve"> aux réunions de l’Assemblée parlementaire paritaire (APP) OEACP-UE, y compris à celles des assemblées régionales (en particulier l’assemblée régionale Afrique-UE), et renforcer la coopération avec l’APP, notamment dans le cadre des manifestations de la société civile organisées en marge de l’APP, en coopérant au besoin avec l’ECOSOCC de </w:t>
      </w:r>
      <w:proofErr w:type="gramStart"/>
      <w:r>
        <w:rPr>
          <w:rFonts w:asciiTheme="majorHAnsi" w:hAnsiTheme="majorHAnsi"/>
        </w:rPr>
        <w:t>l’UA;</w:t>
      </w:r>
      <w:proofErr w:type="gramEnd"/>
    </w:p>
    <w:p w14:paraId="2287720D" w14:textId="74606710" w:rsidR="000E22EE" w:rsidRPr="00591146" w:rsidRDefault="00A101A9"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poursuivre</w:t>
      </w:r>
      <w:proofErr w:type="gramEnd"/>
      <w:r>
        <w:rPr>
          <w:rFonts w:asciiTheme="majorHAnsi" w:hAnsiTheme="majorHAnsi"/>
        </w:rPr>
        <w:t xml:space="preserve"> les efforts visant à garantir la participation de la société civile à la mise en œuvre des APE, notamment le suivi des travaux antérieurs consacrés aux APE UE-Côte d’Ivoire et UE-CDAA. À cet égard, dans un souci de cohérence et afin d’amplifier son influence, le comité se coordonnera également, s’il y a lieu, avec d’autres organes consultatifs tels que le comité consultatif Cariforum-UE et le groupe consultatif interne (GCI) au titre de l’APE UE-</w:t>
      </w:r>
      <w:proofErr w:type="gramStart"/>
      <w:r>
        <w:rPr>
          <w:rFonts w:asciiTheme="majorHAnsi" w:hAnsiTheme="majorHAnsi"/>
        </w:rPr>
        <w:t>Kenya;</w:t>
      </w:r>
      <w:proofErr w:type="gramEnd"/>
    </w:p>
    <w:p w14:paraId="245D1E9B" w14:textId="315EC8C6" w:rsidR="0072289D" w:rsidRPr="00591146" w:rsidRDefault="009B13D6" w:rsidP="00591146">
      <w:pPr>
        <w:pStyle w:val="ListBullet"/>
        <w:tabs>
          <w:tab w:val="clear" w:pos="360"/>
        </w:tabs>
        <w:ind w:left="567" w:hanging="567"/>
        <w:rPr>
          <w:rFonts w:asciiTheme="majorHAnsi" w:hAnsiTheme="majorHAnsi" w:cstheme="majorHAnsi"/>
        </w:rPr>
      </w:pPr>
      <w:proofErr w:type="gramStart"/>
      <w:r>
        <w:rPr>
          <w:rFonts w:asciiTheme="majorHAnsi" w:hAnsiTheme="majorHAnsi"/>
        </w:rPr>
        <w:t>contribuer</w:t>
      </w:r>
      <w:proofErr w:type="gramEnd"/>
      <w:r>
        <w:rPr>
          <w:rFonts w:asciiTheme="majorHAnsi" w:hAnsiTheme="majorHAnsi"/>
        </w:rPr>
        <w:t xml:space="preserve"> à la mise à jour du protocole d’accord avec l’Union des conseils économiques et sociaux et institutions similaires d’Afrique (UCESA</w:t>
      </w:r>
      <w:proofErr w:type="gramStart"/>
      <w:r>
        <w:rPr>
          <w:rFonts w:asciiTheme="majorHAnsi" w:hAnsiTheme="majorHAnsi"/>
        </w:rPr>
        <w:t>);</w:t>
      </w:r>
      <w:proofErr w:type="gramEnd"/>
      <w:r>
        <w:rPr>
          <w:rFonts w:asciiTheme="majorHAnsi" w:hAnsiTheme="majorHAnsi"/>
        </w:rPr>
        <w:t xml:space="preserve"> maintenir le dialogue dans la région </w:t>
      </w:r>
      <w:proofErr w:type="spellStart"/>
      <w:r>
        <w:rPr>
          <w:rFonts w:asciiTheme="majorHAnsi" w:hAnsiTheme="majorHAnsi"/>
        </w:rPr>
        <w:t>indo-pacifique</w:t>
      </w:r>
      <w:proofErr w:type="spellEnd"/>
      <w:r>
        <w:rPr>
          <w:rFonts w:asciiTheme="majorHAnsi" w:hAnsiTheme="majorHAnsi"/>
        </w:rPr>
        <w:t xml:space="preserve">, notamment dans le contexte du déploiement d’un axe UE-Pacifique s’appuyant sur l’architecture de l’accord de </w:t>
      </w:r>
      <w:proofErr w:type="gramStart"/>
      <w:r>
        <w:rPr>
          <w:rFonts w:asciiTheme="majorHAnsi" w:hAnsiTheme="majorHAnsi"/>
        </w:rPr>
        <w:t>Samoa;</w:t>
      </w:r>
      <w:proofErr w:type="gramEnd"/>
    </w:p>
    <w:p w14:paraId="7D0CD3C9" w14:textId="330FA84B" w:rsidR="00F6168E" w:rsidRPr="00AE3E78" w:rsidRDefault="0072289D"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il</w:t>
      </w:r>
      <w:proofErr w:type="gramEnd"/>
      <w:r>
        <w:rPr>
          <w:rFonts w:asciiTheme="majorHAnsi" w:hAnsiTheme="majorHAnsi"/>
        </w:rPr>
        <w:t xml:space="preserve"> sera également important d’étudier les possibilités de soutien financier, en particulier de la part de la Commission européenne (DG INTPA), afin de permettre une participation significative des parties prenantes ACP aux activités du comité et de garantir leur réelle inclusion dans la mise en œuvre des partenariats.</w:t>
      </w:r>
    </w:p>
    <w:p w14:paraId="004BF1BB" w14:textId="77777777" w:rsidR="0071054D" w:rsidRPr="00423AC4" w:rsidRDefault="0071054D" w:rsidP="0071054D">
      <w:pPr>
        <w:pStyle w:val="ListBullet"/>
        <w:numPr>
          <w:ilvl w:val="0"/>
          <w:numId w:val="0"/>
        </w:numPr>
        <w:ind w:left="567"/>
        <w:rPr>
          <w:rFonts w:asciiTheme="majorHAnsi" w:hAnsiTheme="majorHAnsi" w:cstheme="majorHAnsi"/>
          <w:lang w:val="fr-BE"/>
        </w:rPr>
      </w:pPr>
    </w:p>
    <w:p w14:paraId="36FB4B57" w14:textId="4AF6B99E" w:rsidR="0071054D" w:rsidRPr="00AE3E78" w:rsidRDefault="00E80CE2" w:rsidP="00234732">
      <w:pPr>
        <w:pStyle w:val="Heading2"/>
        <w:keepNext/>
        <w:keepLines/>
        <w:numPr>
          <w:ilvl w:val="0"/>
          <w:numId w:val="10"/>
        </w:numPr>
        <w:ind w:left="567" w:hanging="567"/>
        <w:rPr>
          <w:rFonts w:asciiTheme="majorHAnsi" w:hAnsiTheme="majorHAnsi" w:cstheme="majorHAnsi"/>
          <w:b/>
          <w:bCs/>
        </w:rPr>
      </w:pPr>
      <w:r>
        <w:rPr>
          <w:rFonts w:asciiTheme="majorHAnsi" w:hAnsiTheme="majorHAnsi"/>
          <w:b/>
          <w:color w:val="548DD4" w:themeColor="text2" w:themeTint="99"/>
        </w:rPr>
        <w:t>Priorités thématiques</w:t>
      </w:r>
    </w:p>
    <w:p w14:paraId="19ECE1FD" w14:textId="77777777" w:rsidR="0071054D" w:rsidRPr="00591146" w:rsidRDefault="0071054D" w:rsidP="00234732">
      <w:pPr>
        <w:keepNext/>
        <w:keepLines/>
        <w:rPr>
          <w:rFonts w:asciiTheme="majorHAnsi" w:hAnsiTheme="majorHAnsi" w:cstheme="majorHAnsi"/>
          <w:lang w:val="en-GB"/>
        </w:rPr>
      </w:pPr>
    </w:p>
    <w:p w14:paraId="308A5664" w14:textId="3E9DD1B6" w:rsidR="00E80CE2" w:rsidRPr="00591146" w:rsidRDefault="009213CE" w:rsidP="0071054D">
      <w:pPr>
        <w:rPr>
          <w:rFonts w:asciiTheme="majorHAnsi" w:hAnsiTheme="majorHAnsi" w:cstheme="majorHAnsi"/>
        </w:rPr>
      </w:pPr>
      <w:r>
        <w:rPr>
          <w:rFonts w:asciiTheme="majorHAnsi" w:hAnsiTheme="majorHAnsi"/>
        </w:rPr>
        <w:t xml:space="preserve">Les travaux du comité de suivi UE-ACP porteront en priorité </w:t>
      </w:r>
      <w:proofErr w:type="gramStart"/>
      <w:r>
        <w:rPr>
          <w:rFonts w:asciiTheme="majorHAnsi" w:hAnsiTheme="majorHAnsi"/>
        </w:rPr>
        <w:t>sur:</w:t>
      </w:r>
      <w:proofErr w:type="gramEnd"/>
    </w:p>
    <w:p w14:paraId="4621057B" w14:textId="47F13F8C" w:rsidR="00E80CE2" w:rsidRPr="00591146" w:rsidRDefault="00E80CE2"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la</w:t>
      </w:r>
      <w:proofErr w:type="gramEnd"/>
      <w:r>
        <w:rPr>
          <w:rFonts w:asciiTheme="majorHAnsi" w:hAnsiTheme="majorHAnsi"/>
        </w:rPr>
        <w:t xml:space="preserve"> mise en place d’un </w:t>
      </w:r>
      <w:r>
        <w:rPr>
          <w:rFonts w:asciiTheme="majorHAnsi" w:hAnsiTheme="majorHAnsi"/>
          <w:b/>
        </w:rPr>
        <w:t>dialogue constructif avec la société civile</w:t>
      </w:r>
      <w:r>
        <w:rPr>
          <w:rFonts w:asciiTheme="majorHAnsi" w:hAnsiTheme="majorHAnsi"/>
        </w:rPr>
        <w:t xml:space="preserve"> dans le cadre de l’accord de Samoa et du partenariat UE-</w:t>
      </w:r>
      <w:proofErr w:type="gramStart"/>
      <w:r>
        <w:rPr>
          <w:rFonts w:asciiTheme="majorHAnsi" w:hAnsiTheme="majorHAnsi"/>
        </w:rPr>
        <w:t>UA;</w:t>
      </w:r>
      <w:proofErr w:type="gramEnd"/>
    </w:p>
    <w:p w14:paraId="6A5D8E5A" w14:textId="77777777" w:rsidR="00F02A5A" w:rsidRPr="00591146" w:rsidRDefault="00F02A5A"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la</w:t>
      </w:r>
      <w:proofErr w:type="gramEnd"/>
      <w:r>
        <w:rPr>
          <w:rFonts w:asciiTheme="majorHAnsi" w:hAnsiTheme="majorHAnsi"/>
        </w:rPr>
        <w:t xml:space="preserve"> </w:t>
      </w:r>
      <w:r>
        <w:rPr>
          <w:rFonts w:asciiTheme="majorHAnsi" w:hAnsiTheme="majorHAnsi"/>
          <w:b/>
        </w:rPr>
        <w:t>gestion partagée et durable des ressources stratégiques</w:t>
      </w:r>
      <w:r>
        <w:rPr>
          <w:rFonts w:asciiTheme="majorHAnsi" w:hAnsiTheme="majorHAnsi"/>
        </w:rPr>
        <w:t xml:space="preserve">, dont l’eau et les matières premières </w:t>
      </w:r>
      <w:proofErr w:type="gramStart"/>
      <w:r>
        <w:rPr>
          <w:rFonts w:asciiTheme="majorHAnsi" w:hAnsiTheme="majorHAnsi"/>
        </w:rPr>
        <w:t>critiques;</w:t>
      </w:r>
      <w:proofErr w:type="gramEnd"/>
    </w:p>
    <w:p w14:paraId="1EDDC173" w14:textId="77777777" w:rsidR="00F02A5A" w:rsidRPr="00591146" w:rsidRDefault="00F02A5A"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la</w:t>
      </w:r>
      <w:proofErr w:type="gramEnd"/>
      <w:r>
        <w:rPr>
          <w:rFonts w:asciiTheme="majorHAnsi" w:hAnsiTheme="majorHAnsi"/>
        </w:rPr>
        <w:t xml:space="preserve"> protection de l’environnement et la lutte contre le </w:t>
      </w:r>
      <w:r>
        <w:rPr>
          <w:rFonts w:asciiTheme="majorHAnsi" w:hAnsiTheme="majorHAnsi"/>
          <w:b/>
        </w:rPr>
        <w:t xml:space="preserve">changement </w:t>
      </w:r>
      <w:proofErr w:type="gramStart"/>
      <w:r>
        <w:rPr>
          <w:rFonts w:asciiTheme="majorHAnsi" w:hAnsiTheme="majorHAnsi"/>
          <w:b/>
        </w:rPr>
        <w:t>climatique</w:t>
      </w:r>
      <w:r>
        <w:rPr>
          <w:rFonts w:asciiTheme="majorHAnsi" w:hAnsiTheme="majorHAnsi"/>
        </w:rPr>
        <w:t>;</w:t>
      </w:r>
      <w:proofErr w:type="gramEnd"/>
    </w:p>
    <w:p w14:paraId="749F4210" w14:textId="5FBADDD9" w:rsidR="00F02A5A" w:rsidRPr="00591146" w:rsidRDefault="00F02A5A"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la</w:t>
      </w:r>
      <w:proofErr w:type="gramEnd"/>
      <w:r>
        <w:rPr>
          <w:rFonts w:asciiTheme="majorHAnsi" w:hAnsiTheme="majorHAnsi"/>
        </w:rPr>
        <w:t xml:space="preserve"> démographie et la circulation des personnes, y compris les </w:t>
      </w:r>
      <w:r>
        <w:rPr>
          <w:rFonts w:asciiTheme="majorHAnsi" w:hAnsiTheme="majorHAnsi"/>
          <w:b/>
        </w:rPr>
        <w:t>migrations</w:t>
      </w:r>
      <w:r>
        <w:rPr>
          <w:rFonts w:asciiTheme="majorHAnsi" w:hAnsiTheme="majorHAnsi"/>
        </w:rPr>
        <w:t xml:space="preserve"> régulières, forcées et liées au </w:t>
      </w:r>
      <w:proofErr w:type="gramStart"/>
      <w:r>
        <w:rPr>
          <w:rFonts w:asciiTheme="majorHAnsi" w:hAnsiTheme="majorHAnsi"/>
        </w:rPr>
        <w:t>climat;</w:t>
      </w:r>
      <w:proofErr w:type="gramEnd"/>
    </w:p>
    <w:p w14:paraId="7BDC20A3" w14:textId="2274C466" w:rsidR="00E80CE2" w:rsidRPr="00591146" w:rsidRDefault="00E80CE2"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le</w:t>
      </w:r>
      <w:proofErr w:type="gramEnd"/>
      <w:r>
        <w:rPr>
          <w:rFonts w:asciiTheme="majorHAnsi" w:hAnsiTheme="majorHAnsi"/>
        </w:rPr>
        <w:t xml:space="preserve"> suivi de l’incidence des projets</w:t>
      </w:r>
      <w:proofErr w:type="gramStart"/>
      <w:r>
        <w:rPr>
          <w:rFonts w:asciiTheme="majorHAnsi" w:hAnsiTheme="majorHAnsi"/>
        </w:rPr>
        <w:t xml:space="preserve"> </w:t>
      </w:r>
      <w:r>
        <w:rPr>
          <w:rFonts w:asciiTheme="majorHAnsi" w:hAnsiTheme="majorHAnsi"/>
          <w:b/>
        </w:rPr>
        <w:t>«Global</w:t>
      </w:r>
      <w:proofErr w:type="gramEnd"/>
      <w:r>
        <w:rPr>
          <w:rFonts w:asciiTheme="majorHAnsi" w:hAnsiTheme="majorHAnsi"/>
          <w:b/>
        </w:rPr>
        <w:t xml:space="preserve"> </w:t>
      </w:r>
      <w:proofErr w:type="gramStart"/>
      <w:r>
        <w:rPr>
          <w:rFonts w:asciiTheme="majorHAnsi" w:hAnsiTheme="majorHAnsi"/>
          <w:b/>
        </w:rPr>
        <w:t>Gateway»</w:t>
      </w:r>
      <w:proofErr w:type="gramEnd"/>
      <w:r>
        <w:rPr>
          <w:rFonts w:asciiTheme="majorHAnsi" w:hAnsiTheme="majorHAnsi"/>
        </w:rPr>
        <w:t xml:space="preserve">, notamment en matière de transparence, d’inclusion et d’appropriation </w:t>
      </w:r>
      <w:proofErr w:type="gramStart"/>
      <w:r>
        <w:rPr>
          <w:rFonts w:asciiTheme="majorHAnsi" w:hAnsiTheme="majorHAnsi"/>
        </w:rPr>
        <w:t>locale;</w:t>
      </w:r>
      <w:proofErr w:type="gramEnd"/>
    </w:p>
    <w:p w14:paraId="384746E9" w14:textId="77777777" w:rsidR="00F02A5A" w:rsidRPr="00591146" w:rsidRDefault="00F02A5A"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l’</w:t>
      </w:r>
      <w:r>
        <w:rPr>
          <w:rFonts w:asciiTheme="majorHAnsi" w:hAnsiTheme="majorHAnsi"/>
          <w:b/>
        </w:rPr>
        <w:t>internationalisation</w:t>
      </w:r>
      <w:proofErr w:type="gramEnd"/>
      <w:r>
        <w:rPr>
          <w:rFonts w:asciiTheme="majorHAnsi" w:hAnsiTheme="majorHAnsi"/>
          <w:b/>
        </w:rPr>
        <w:t xml:space="preserve"> des PME</w:t>
      </w:r>
      <w:r>
        <w:rPr>
          <w:rFonts w:asciiTheme="majorHAnsi" w:hAnsiTheme="majorHAnsi"/>
        </w:rPr>
        <w:t xml:space="preserve"> et leur capacité à participer à des projets de développement et à des chaînes de valeur </w:t>
      </w:r>
      <w:proofErr w:type="gramStart"/>
      <w:r>
        <w:rPr>
          <w:rFonts w:asciiTheme="majorHAnsi" w:hAnsiTheme="majorHAnsi"/>
        </w:rPr>
        <w:t>durables;</w:t>
      </w:r>
      <w:proofErr w:type="gramEnd"/>
    </w:p>
    <w:p w14:paraId="280E6791" w14:textId="388B220D" w:rsidR="00F02A5A" w:rsidRPr="00591146" w:rsidRDefault="00F02A5A"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le</w:t>
      </w:r>
      <w:proofErr w:type="gramEnd"/>
      <w:r>
        <w:rPr>
          <w:rFonts w:asciiTheme="majorHAnsi" w:hAnsiTheme="majorHAnsi"/>
        </w:rPr>
        <w:t xml:space="preserve"> </w:t>
      </w:r>
      <w:r>
        <w:rPr>
          <w:rFonts w:asciiTheme="majorHAnsi" w:hAnsiTheme="majorHAnsi"/>
          <w:b/>
        </w:rPr>
        <w:t>développement durable</w:t>
      </w:r>
      <w:r>
        <w:rPr>
          <w:rFonts w:asciiTheme="majorHAnsi" w:hAnsiTheme="majorHAnsi"/>
        </w:rPr>
        <w:t xml:space="preserve"> et la </w:t>
      </w:r>
      <w:proofErr w:type="gramStart"/>
      <w:r>
        <w:rPr>
          <w:rFonts w:asciiTheme="majorHAnsi" w:hAnsiTheme="majorHAnsi"/>
          <w:b/>
        </w:rPr>
        <w:t>démocratie</w:t>
      </w:r>
      <w:r>
        <w:rPr>
          <w:rFonts w:asciiTheme="majorHAnsi" w:hAnsiTheme="majorHAnsi"/>
        </w:rPr>
        <w:t>;</w:t>
      </w:r>
      <w:proofErr w:type="gramEnd"/>
    </w:p>
    <w:p w14:paraId="354264E3" w14:textId="1F274B40" w:rsidR="00F02A5A" w:rsidRPr="00591146" w:rsidRDefault="00F02A5A"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la</w:t>
      </w:r>
      <w:proofErr w:type="gramEnd"/>
      <w:r>
        <w:rPr>
          <w:rFonts w:asciiTheme="majorHAnsi" w:hAnsiTheme="majorHAnsi"/>
        </w:rPr>
        <w:t xml:space="preserve"> réforme de la </w:t>
      </w:r>
      <w:r>
        <w:rPr>
          <w:rFonts w:asciiTheme="majorHAnsi" w:hAnsiTheme="majorHAnsi"/>
          <w:b/>
        </w:rPr>
        <w:t>gouvernance mondiale</w:t>
      </w:r>
      <w:r>
        <w:rPr>
          <w:rFonts w:asciiTheme="majorHAnsi" w:hAnsiTheme="majorHAnsi"/>
          <w:sz w:val="21"/>
        </w:rPr>
        <w:t xml:space="preserve"> et des organisations internationales (Nations unies, OMC, FMI, Banque mondiale)</w:t>
      </w:r>
      <w:r>
        <w:rPr>
          <w:rFonts w:asciiTheme="majorHAnsi" w:hAnsiTheme="majorHAnsi"/>
        </w:rPr>
        <w:t xml:space="preserve"> et le renforcement du </w:t>
      </w:r>
      <w:proofErr w:type="gramStart"/>
      <w:r>
        <w:rPr>
          <w:rFonts w:asciiTheme="majorHAnsi" w:hAnsiTheme="majorHAnsi"/>
          <w:b/>
        </w:rPr>
        <w:t>multilatéralisme</w:t>
      </w:r>
      <w:r>
        <w:rPr>
          <w:rFonts w:asciiTheme="majorHAnsi" w:hAnsiTheme="majorHAnsi"/>
        </w:rPr>
        <w:t>;</w:t>
      </w:r>
      <w:proofErr w:type="gramEnd"/>
    </w:p>
    <w:p w14:paraId="57008C5F" w14:textId="111F9A77" w:rsidR="00E80CE2" w:rsidRPr="00AE3E78" w:rsidRDefault="00F02A5A" w:rsidP="0071054D">
      <w:pPr>
        <w:pStyle w:val="ListBullet"/>
        <w:tabs>
          <w:tab w:val="clear" w:pos="360"/>
        </w:tabs>
        <w:ind w:left="567" w:hanging="567"/>
        <w:rPr>
          <w:rFonts w:asciiTheme="majorHAnsi" w:hAnsiTheme="majorHAnsi" w:cstheme="majorHAnsi"/>
        </w:rPr>
      </w:pPr>
      <w:proofErr w:type="gramStart"/>
      <w:r>
        <w:rPr>
          <w:rFonts w:asciiTheme="majorHAnsi" w:hAnsiTheme="majorHAnsi"/>
          <w:b/>
        </w:rPr>
        <w:t>l’émancipation</w:t>
      </w:r>
      <w:proofErr w:type="gramEnd"/>
      <w:r>
        <w:rPr>
          <w:rFonts w:asciiTheme="majorHAnsi" w:hAnsiTheme="majorHAnsi"/>
          <w:b/>
        </w:rPr>
        <w:t xml:space="preserve"> et l’emploi des femmes, ainsi que la participation des jeunes.</w:t>
      </w:r>
    </w:p>
    <w:p w14:paraId="1CF2CFE8" w14:textId="77777777" w:rsidR="0071054D" w:rsidRPr="00423AC4" w:rsidRDefault="0071054D" w:rsidP="0071054D">
      <w:pPr>
        <w:pStyle w:val="ListBullet"/>
        <w:numPr>
          <w:ilvl w:val="0"/>
          <w:numId w:val="0"/>
        </w:numPr>
        <w:ind w:left="567"/>
        <w:rPr>
          <w:rFonts w:asciiTheme="majorHAnsi" w:hAnsiTheme="majorHAnsi" w:cstheme="majorHAnsi"/>
          <w:lang w:val="fr-BE"/>
        </w:rPr>
      </w:pPr>
    </w:p>
    <w:p w14:paraId="70E61507" w14:textId="337068E4" w:rsidR="006D4BDA" w:rsidRPr="00AE3E78" w:rsidRDefault="00A101A9" w:rsidP="00234732">
      <w:pPr>
        <w:pStyle w:val="Heading2"/>
        <w:numPr>
          <w:ilvl w:val="0"/>
          <w:numId w:val="10"/>
        </w:numPr>
        <w:ind w:left="567" w:hanging="567"/>
        <w:rPr>
          <w:rFonts w:asciiTheme="majorHAnsi" w:hAnsiTheme="majorHAnsi" w:cstheme="majorHAnsi"/>
          <w:b/>
          <w:bCs/>
        </w:rPr>
      </w:pPr>
      <w:r>
        <w:rPr>
          <w:rFonts w:asciiTheme="majorHAnsi" w:hAnsiTheme="majorHAnsi"/>
          <w:b/>
          <w:color w:val="548DD4" w:themeColor="text2" w:themeTint="99"/>
        </w:rPr>
        <w:t>Activités indicatives pour 2026</w:t>
      </w:r>
    </w:p>
    <w:p w14:paraId="1C41AE6B" w14:textId="77777777" w:rsidR="0071054D" w:rsidRPr="00591146" w:rsidRDefault="0071054D" w:rsidP="0071054D">
      <w:pPr>
        <w:rPr>
          <w:rFonts w:asciiTheme="majorHAnsi" w:hAnsiTheme="majorHAnsi" w:cstheme="majorHAnsi"/>
          <w:lang w:val="en-GB"/>
        </w:rPr>
      </w:pPr>
    </w:p>
    <w:p w14:paraId="2E10F30A" w14:textId="1A55A6F8" w:rsidR="00407C4B" w:rsidRPr="00591146" w:rsidRDefault="00407C4B" w:rsidP="0071054D">
      <w:pPr>
        <w:rPr>
          <w:rFonts w:asciiTheme="majorHAnsi" w:hAnsiTheme="majorHAnsi" w:cstheme="majorHAnsi"/>
        </w:rPr>
      </w:pPr>
      <w:r>
        <w:rPr>
          <w:rFonts w:asciiTheme="majorHAnsi" w:hAnsiTheme="majorHAnsi"/>
          <w:u w:val="single"/>
        </w:rPr>
        <w:t>Afin de mettre en œuvre ce programme, nous organiserons plusieurs réunions, séminaires et autres manifestations</w:t>
      </w:r>
      <w:r>
        <w:rPr>
          <w:rFonts w:asciiTheme="majorHAnsi" w:hAnsiTheme="majorHAnsi"/>
        </w:rPr>
        <w:t xml:space="preserve"> au cours de notre mandat. </w:t>
      </w:r>
    </w:p>
    <w:p w14:paraId="7BAB99C1" w14:textId="37AA3FE8" w:rsidR="00F91EFD" w:rsidRPr="00591146" w:rsidRDefault="00A101A9" w:rsidP="0071054D">
      <w:pPr>
        <w:rPr>
          <w:rFonts w:asciiTheme="majorHAnsi" w:hAnsiTheme="majorHAnsi" w:cstheme="majorHAnsi"/>
        </w:rPr>
      </w:pPr>
      <w:r>
        <w:rPr>
          <w:rFonts w:asciiTheme="majorHAnsi" w:hAnsiTheme="majorHAnsi"/>
        </w:rPr>
        <w:t>Les activités suivantes sont envisagées en 2026 (sous réserve des calendriers institutionnels et des ressources disponibles</w:t>
      </w:r>
      <w:proofErr w:type="gramStart"/>
      <w:r>
        <w:rPr>
          <w:rFonts w:asciiTheme="majorHAnsi" w:hAnsiTheme="majorHAnsi"/>
        </w:rPr>
        <w:t>):</w:t>
      </w:r>
      <w:proofErr w:type="gramEnd"/>
    </w:p>
    <w:p w14:paraId="5A39CDE1" w14:textId="2BA07007" w:rsidR="00C260E2" w:rsidRPr="00591146" w:rsidRDefault="00C260E2"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jusqu’à</w:t>
      </w:r>
      <w:proofErr w:type="gramEnd"/>
      <w:r>
        <w:rPr>
          <w:rFonts w:asciiTheme="majorHAnsi" w:hAnsiTheme="majorHAnsi"/>
        </w:rPr>
        <w:t xml:space="preserve"> quatre réunions du comité de suivi UE-</w:t>
      </w:r>
      <w:proofErr w:type="gramStart"/>
      <w:r>
        <w:rPr>
          <w:rFonts w:asciiTheme="majorHAnsi" w:hAnsiTheme="majorHAnsi"/>
        </w:rPr>
        <w:t>ACP;</w:t>
      </w:r>
      <w:proofErr w:type="gramEnd"/>
    </w:p>
    <w:p w14:paraId="6BA2B5AD" w14:textId="4C9A17B6" w:rsidR="00F12268" w:rsidRPr="00591146" w:rsidRDefault="00F12268"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participation</w:t>
      </w:r>
      <w:proofErr w:type="gramEnd"/>
      <w:r>
        <w:rPr>
          <w:rFonts w:asciiTheme="majorHAnsi" w:hAnsiTheme="majorHAnsi"/>
        </w:rPr>
        <w:t xml:space="preserve"> à la réunion préparatoire de haut niveau en vue de la conférence des Nations unies sur l’eau de 2026 (Dakar, les 26 et 27 janvier 2026</w:t>
      </w:r>
      <w:proofErr w:type="gramStart"/>
      <w:r>
        <w:rPr>
          <w:rFonts w:asciiTheme="majorHAnsi" w:hAnsiTheme="majorHAnsi"/>
        </w:rPr>
        <w:t>);</w:t>
      </w:r>
      <w:proofErr w:type="gramEnd"/>
    </w:p>
    <w:p w14:paraId="14390191" w14:textId="12AC00AD" w:rsidR="006D4BDA" w:rsidRPr="00591146" w:rsidRDefault="00F91EFD"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participation</w:t>
      </w:r>
      <w:proofErr w:type="gramEnd"/>
      <w:r>
        <w:rPr>
          <w:rFonts w:asciiTheme="majorHAnsi" w:hAnsiTheme="majorHAnsi"/>
        </w:rPr>
        <w:t xml:space="preserve"> aux sessions plénières de l’Assemblée parlementaire paritaire OEACP-UE (Bruxelles, novembre 2026) et de l’Assemblée parlementaire UE-Afrique (Côte d’Ivoire, mai 2026</w:t>
      </w:r>
      <w:proofErr w:type="gramStart"/>
      <w:r>
        <w:rPr>
          <w:rFonts w:asciiTheme="majorHAnsi" w:hAnsiTheme="majorHAnsi"/>
        </w:rPr>
        <w:t>);</w:t>
      </w:r>
      <w:proofErr w:type="gramEnd"/>
    </w:p>
    <w:p w14:paraId="06DAAF95" w14:textId="2930AB17" w:rsidR="00F91EFD" w:rsidRPr="00591146" w:rsidRDefault="00C260E2"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organisation</w:t>
      </w:r>
      <w:proofErr w:type="gramEnd"/>
      <w:r>
        <w:rPr>
          <w:rFonts w:asciiTheme="majorHAnsi" w:hAnsiTheme="majorHAnsi"/>
        </w:rPr>
        <w:t xml:space="preserve"> d’un événement de la société civile avec l’ECOSOCC de l’UA en marge de l’Assemblée parlementaire Afrique-UE (Côte d’Ivoire, mai 2026</w:t>
      </w:r>
      <w:proofErr w:type="gramStart"/>
      <w:r>
        <w:rPr>
          <w:rFonts w:asciiTheme="majorHAnsi" w:hAnsiTheme="majorHAnsi"/>
        </w:rPr>
        <w:t>);</w:t>
      </w:r>
      <w:proofErr w:type="gramEnd"/>
    </w:p>
    <w:p w14:paraId="7599B1D8" w14:textId="77777777" w:rsidR="0071054D" w:rsidRPr="00AE3E78" w:rsidRDefault="00FA0C2C" w:rsidP="0071054D">
      <w:pPr>
        <w:pStyle w:val="ListBullet"/>
        <w:tabs>
          <w:tab w:val="clear" w:pos="360"/>
        </w:tabs>
        <w:ind w:left="567" w:hanging="567"/>
        <w:rPr>
          <w:rFonts w:asciiTheme="majorHAnsi" w:hAnsiTheme="majorHAnsi" w:cstheme="majorHAnsi"/>
        </w:rPr>
      </w:pPr>
      <w:proofErr w:type="gramStart"/>
      <w:r>
        <w:rPr>
          <w:rFonts w:asciiTheme="majorHAnsi" w:hAnsiTheme="majorHAnsi"/>
        </w:rPr>
        <w:t>organisation</w:t>
      </w:r>
      <w:proofErr w:type="gramEnd"/>
      <w:r>
        <w:rPr>
          <w:rFonts w:asciiTheme="majorHAnsi" w:hAnsiTheme="majorHAnsi"/>
        </w:rPr>
        <w:t xml:space="preserve"> d’une manifestation conjointe avec l’ECOSOCC de l’UA sur la gouvernance de l’eau et la diplomatie bleue, autour du thème de l’UA pour l’année </w:t>
      </w:r>
      <w:proofErr w:type="gramStart"/>
      <w:r>
        <w:rPr>
          <w:rFonts w:asciiTheme="majorHAnsi" w:hAnsiTheme="majorHAnsi"/>
        </w:rPr>
        <w:t>2026: «Assurer</w:t>
      </w:r>
      <w:proofErr w:type="gramEnd"/>
      <w:r>
        <w:rPr>
          <w:rFonts w:asciiTheme="majorHAnsi" w:hAnsiTheme="majorHAnsi"/>
        </w:rPr>
        <w:t xml:space="preserve"> une disponibilité durable de l’eau et des systèmes d’assainissement sûrs pour atteindre les objectifs de l’Agenda </w:t>
      </w:r>
      <w:proofErr w:type="gramStart"/>
      <w:r>
        <w:rPr>
          <w:rFonts w:asciiTheme="majorHAnsi" w:hAnsiTheme="majorHAnsi"/>
        </w:rPr>
        <w:t>2063»</w:t>
      </w:r>
      <w:proofErr w:type="gramEnd"/>
      <w:r>
        <w:rPr>
          <w:rFonts w:asciiTheme="majorHAnsi" w:hAnsiTheme="majorHAnsi"/>
        </w:rPr>
        <w:t xml:space="preserve"> </w:t>
      </w:r>
      <w:r>
        <w:rPr>
          <w:rFonts w:asciiTheme="majorHAnsi" w:hAnsiTheme="majorHAnsi"/>
          <w:i/>
        </w:rPr>
        <w:t>(date et lieu à déterminer)</w:t>
      </w:r>
      <w:r>
        <w:rPr>
          <w:rFonts w:asciiTheme="majorHAnsi" w:hAnsiTheme="majorHAnsi"/>
        </w:rPr>
        <w:t>.</w:t>
      </w:r>
    </w:p>
    <w:p w14:paraId="415B4B35" w14:textId="3E0EC29B" w:rsidR="00B277AB" w:rsidRPr="00423AC4" w:rsidRDefault="000C5722" w:rsidP="00591146">
      <w:pPr>
        <w:pStyle w:val="ListBullet"/>
        <w:numPr>
          <w:ilvl w:val="0"/>
          <w:numId w:val="0"/>
        </w:numPr>
        <w:ind w:left="360"/>
        <w:jc w:val="center"/>
        <w:rPr>
          <w:rFonts w:asciiTheme="majorHAnsi" w:hAnsiTheme="majorHAnsi" w:cstheme="majorHAnsi"/>
        </w:rPr>
      </w:pPr>
      <w:r>
        <w:rPr>
          <w:rFonts w:asciiTheme="majorHAnsi" w:hAnsiTheme="majorHAnsi"/>
        </w:rPr>
        <w:t>______________</w:t>
      </w:r>
    </w:p>
    <w:sectPr w:rsidR="00B277AB" w:rsidRPr="00423AC4" w:rsidSect="00234732">
      <w:headerReference w:type="even" r:id="rId16"/>
      <w:headerReference w:type="default" r:id="rId17"/>
      <w:footerReference w:type="even" r:id="rId18"/>
      <w:footerReference w:type="default" r:id="rId19"/>
      <w:headerReference w:type="first" r:id="rId20"/>
      <w:footerReference w:type="first" r:id="rId21"/>
      <w:pgSz w:w="11907" w:h="16840" w:code="9"/>
      <w:pgMar w:top="1417" w:right="1417" w:bottom="1417"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4FFC0" w14:textId="77777777" w:rsidR="00AD6ACB" w:rsidRDefault="00AD6ACB" w:rsidP="00BC036A">
      <w:pPr>
        <w:spacing w:line="240" w:lineRule="auto"/>
      </w:pPr>
      <w:r>
        <w:separator/>
      </w:r>
    </w:p>
  </w:endnote>
  <w:endnote w:type="continuationSeparator" w:id="0">
    <w:p w14:paraId="544F91C6" w14:textId="77777777" w:rsidR="00AD6ACB" w:rsidRDefault="00AD6ACB" w:rsidP="00BC03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58D62" w14:textId="77777777" w:rsidR="00234732" w:rsidRPr="00234732" w:rsidRDefault="00234732" w:rsidP="002347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A595" w14:textId="5AD1D476" w:rsidR="00BC036A" w:rsidRPr="00234732" w:rsidRDefault="00234732" w:rsidP="00234732">
    <w:pPr>
      <w:pStyle w:val="Footer"/>
    </w:pPr>
    <w:r>
      <w:t xml:space="preserve">EESC-2026-00737-00-00-INFO-TRA (EN) </w:t>
    </w:r>
    <w:r>
      <w:fldChar w:fldCharType="begin"/>
    </w:r>
    <w:r>
      <w:instrText xml:space="preserve"> PAGE  \* Arabic  \* MERGEFORMAT </w:instrText>
    </w:r>
    <w:r>
      <w:fldChar w:fldCharType="separate"/>
    </w:r>
    <w:r w:rsidR="0050494D">
      <w:t>1</w:t>
    </w:r>
    <w:r>
      <w:fldChar w:fldCharType="end"/>
    </w:r>
    <w:r>
      <w:t>/</w:t>
    </w:r>
    <w:fldSimple w:instr=" NUMPAGES ">
      <w:r w:rsidR="0050494D">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E3EA4" w14:textId="77777777" w:rsidR="00234732" w:rsidRPr="00234732" w:rsidRDefault="00234732" w:rsidP="00234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9D5A8" w14:textId="77777777" w:rsidR="00AD6ACB" w:rsidRDefault="00AD6ACB" w:rsidP="00BC036A">
      <w:pPr>
        <w:spacing w:line="240" w:lineRule="auto"/>
      </w:pPr>
      <w:r>
        <w:separator/>
      </w:r>
    </w:p>
  </w:footnote>
  <w:footnote w:type="continuationSeparator" w:id="0">
    <w:p w14:paraId="1D544D73" w14:textId="77777777" w:rsidR="00AD6ACB" w:rsidRDefault="00AD6ACB" w:rsidP="00BC03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9B74" w14:textId="77777777" w:rsidR="00234732" w:rsidRPr="00234732" w:rsidRDefault="00234732" w:rsidP="002347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E9D5" w14:textId="4B531C6F" w:rsidR="00234732" w:rsidRPr="00234732" w:rsidRDefault="00234732" w:rsidP="002347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A8ED3" w14:textId="77777777" w:rsidR="00234732" w:rsidRPr="00234732" w:rsidRDefault="00234732" w:rsidP="002347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28EDFA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FFFFFFFB"/>
    <w:multiLevelType w:val="multilevel"/>
    <w:tmpl w:val="8DA679E8"/>
    <w:lvl w:ilvl="0">
      <w:start w:val="1"/>
      <w:numFmt w:val="decimal"/>
      <w:pStyle w:val="Heading1"/>
      <w:lvlText w:val="%1."/>
      <w:legacy w:legacy="1" w:legacySpace="0"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0" w15:restartNumberingAfterBreak="0">
    <w:nsid w:val="11E94DE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7835A5"/>
    <w:multiLevelType w:val="multilevel"/>
    <w:tmpl w:val="4248374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4A56D9"/>
    <w:multiLevelType w:val="multilevel"/>
    <w:tmpl w:val="080C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55C81B32"/>
    <w:multiLevelType w:val="hybridMultilevel"/>
    <w:tmpl w:val="ACB4099E"/>
    <w:lvl w:ilvl="0" w:tplc="5914E85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579291969">
    <w:abstractNumId w:val="8"/>
  </w:num>
  <w:num w:numId="2" w16cid:durableId="1027682513">
    <w:abstractNumId w:val="6"/>
  </w:num>
  <w:num w:numId="3" w16cid:durableId="1038628036">
    <w:abstractNumId w:val="5"/>
  </w:num>
  <w:num w:numId="4" w16cid:durableId="1382484322">
    <w:abstractNumId w:val="4"/>
  </w:num>
  <w:num w:numId="5" w16cid:durableId="1603413941">
    <w:abstractNumId w:val="7"/>
  </w:num>
  <w:num w:numId="6" w16cid:durableId="679551351">
    <w:abstractNumId w:val="3"/>
  </w:num>
  <w:num w:numId="7" w16cid:durableId="471168864">
    <w:abstractNumId w:val="2"/>
  </w:num>
  <w:num w:numId="8" w16cid:durableId="1902787598">
    <w:abstractNumId w:val="1"/>
  </w:num>
  <w:num w:numId="9" w16cid:durableId="637076008">
    <w:abstractNumId w:val="0"/>
  </w:num>
  <w:num w:numId="10" w16cid:durableId="1478492317">
    <w:abstractNumId w:val="11"/>
  </w:num>
  <w:num w:numId="11" w16cid:durableId="1368142965">
    <w:abstractNumId w:val="12"/>
  </w:num>
  <w:num w:numId="12" w16cid:durableId="2000501961">
    <w:abstractNumId w:val="10"/>
  </w:num>
  <w:num w:numId="13" w16cid:durableId="113596569">
    <w:abstractNumId w:val="13"/>
  </w:num>
  <w:num w:numId="14" w16cid:durableId="479226290">
    <w:abstractNumId w:val="8"/>
  </w:num>
  <w:num w:numId="15" w16cid:durableId="1677489488">
    <w:abstractNumId w:val="8"/>
  </w:num>
  <w:num w:numId="16" w16cid:durableId="137697848">
    <w:abstractNumId w:val="8"/>
  </w:num>
  <w:num w:numId="17" w16cid:durableId="14226009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B9E"/>
    <w:rsid w:val="00034616"/>
    <w:rsid w:val="000550DB"/>
    <w:rsid w:val="0006063C"/>
    <w:rsid w:val="000C5722"/>
    <w:rsid w:val="000C6912"/>
    <w:rsid w:val="000D113E"/>
    <w:rsid w:val="000E22EE"/>
    <w:rsid w:val="000F5D97"/>
    <w:rsid w:val="00110F84"/>
    <w:rsid w:val="00125C04"/>
    <w:rsid w:val="001405A6"/>
    <w:rsid w:val="0015074B"/>
    <w:rsid w:val="0018713D"/>
    <w:rsid w:val="00234732"/>
    <w:rsid w:val="00235BD7"/>
    <w:rsid w:val="00250504"/>
    <w:rsid w:val="00274E1D"/>
    <w:rsid w:val="0029639D"/>
    <w:rsid w:val="002B14E4"/>
    <w:rsid w:val="002F4C01"/>
    <w:rsid w:val="003112BA"/>
    <w:rsid w:val="00316200"/>
    <w:rsid w:val="00326F90"/>
    <w:rsid w:val="003438F8"/>
    <w:rsid w:val="00375AA7"/>
    <w:rsid w:val="003A7F9E"/>
    <w:rsid w:val="003D664F"/>
    <w:rsid w:val="003F6D40"/>
    <w:rsid w:val="004067D9"/>
    <w:rsid w:val="00407C4B"/>
    <w:rsid w:val="00412518"/>
    <w:rsid w:val="00423AC4"/>
    <w:rsid w:val="004435D3"/>
    <w:rsid w:val="00471230"/>
    <w:rsid w:val="004D7660"/>
    <w:rsid w:val="004F2AD5"/>
    <w:rsid w:val="0050494D"/>
    <w:rsid w:val="005731EA"/>
    <w:rsid w:val="00573E6B"/>
    <w:rsid w:val="00591146"/>
    <w:rsid w:val="005A4489"/>
    <w:rsid w:val="005E5147"/>
    <w:rsid w:val="00631D63"/>
    <w:rsid w:val="006323D8"/>
    <w:rsid w:val="00656373"/>
    <w:rsid w:val="006617B2"/>
    <w:rsid w:val="006627D1"/>
    <w:rsid w:val="00681B1A"/>
    <w:rsid w:val="006B2FBF"/>
    <w:rsid w:val="006B3BE8"/>
    <w:rsid w:val="006D4BDA"/>
    <w:rsid w:val="00704188"/>
    <w:rsid w:val="0071054D"/>
    <w:rsid w:val="0072289D"/>
    <w:rsid w:val="008231D8"/>
    <w:rsid w:val="00851E15"/>
    <w:rsid w:val="00852213"/>
    <w:rsid w:val="008951AF"/>
    <w:rsid w:val="008E1C75"/>
    <w:rsid w:val="009075E6"/>
    <w:rsid w:val="009213CE"/>
    <w:rsid w:val="009651E9"/>
    <w:rsid w:val="00987D63"/>
    <w:rsid w:val="00997B24"/>
    <w:rsid w:val="009A1303"/>
    <w:rsid w:val="009B13D6"/>
    <w:rsid w:val="009C78A2"/>
    <w:rsid w:val="009D7146"/>
    <w:rsid w:val="009E43BA"/>
    <w:rsid w:val="009E4539"/>
    <w:rsid w:val="00A101A9"/>
    <w:rsid w:val="00A35E1F"/>
    <w:rsid w:val="00AA1D8D"/>
    <w:rsid w:val="00AC3951"/>
    <w:rsid w:val="00AD6ACB"/>
    <w:rsid w:val="00AE3E78"/>
    <w:rsid w:val="00B277AB"/>
    <w:rsid w:val="00B47730"/>
    <w:rsid w:val="00B560B1"/>
    <w:rsid w:val="00B877BD"/>
    <w:rsid w:val="00BB6C43"/>
    <w:rsid w:val="00BC036A"/>
    <w:rsid w:val="00C260E2"/>
    <w:rsid w:val="00C7242F"/>
    <w:rsid w:val="00CB0664"/>
    <w:rsid w:val="00CB0F1D"/>
    <w:rsid w:val="00CC0625"/>
    <w:rsid w:val="00CD39C5"/>
    <w:rsid w:val="00D73666"/>
    <w:rsid w:val="00DA3F49"/>
    <w:rsid w:val="00DC58BC"/>
    <w:rsid w:val="00DD28CB"/>
    <w:rsid w:val="00DD5F77"/>
    <w:rsid w:val="00DE1B2E"/>
    <w:rsid w:val="00E0096D"/>
    <w:rsid w:val="00E62F6A"/>
    <w:rsid w:val="00E662A2"/>
    <w:rsid w:val="00E70F68"/>
    <w:rsid w:val="00E80CE2"/>
    <w:rsid w:val="00E94CA4"/>
    <w:rsid w:val="00EB560E"/>
    <w:rsid w:val="00EB6E29"/>
    <w:rsid w:val="00F02A5A"/>
    <w:rsid w:val="00F12268"/>
    <w:rsid w:val="00F12815"/>
    <w:rsid w:val="00F21B19"/>
    <w:rsid w:val="00F6168E"/>
    <w:rsid w:val="00F672B1"/>
    <w:rsid w:val="00F91EFD"/>
    <w:rsid w:val="00F936D0"/>
    <w:rsid w:val="00FA0C2C"/>
    <w:rsid w:val="00FB4BCB"/>
    <w:rsid w:val="00FC57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4E2E4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732"/>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234732"/>
    <w:pPr>
      <w:numPr>
        <w:numId w:val="17"/>
      </w:numPr>
      <w:ind w:left="567" w:hanging="567"/>
      <w:outlineLvl w:val="0"/>
    </w:pPr>
    <w:rPr>
      <w:kern w:val="28"/>
    </w:rPr>
  </w:style>
  <w:style w:type="paragraph" w:styleId="Heading2">
    <w:name w:val="heading 2"/>
    <w:basedOn w:val="Normal"/>
    <w:next w:val="Normal"/>
    <w:link w:val="Heading2Char"/>
    <w:qFormat/>
    <w:rsid w:val="00234732"/>
    <w:pPr>
      <w:numPr>
        <w:ilvl w:val="1"/>
        <w:numId w:val="17"/>
      </w:numPr>
      <w:ind w:left="567" w:hanging="567"/>
      <w:outlineLvl w:val="1"/>
    </w:pPr>
  </w:style>
  <w:style w:type="paragraph" w:styleId="Heading3">
    <w:name w:val="heading 3"/>
    <w:basedOn w:val="Normal"/>
    <w:next w:val="Normal"/>
    <w:link w:val="Heading3Char"/>
    <w:qFormat/>
    <w:rsid w:val="00234732"/>
    <w:pPr>
      <w:numPr>
        <w:ilvl w:val="2"/>
        <w:numId w:val="17"/>
      </w:numPr>
      <w:ind w:left="567" w:hanging="567"/>
      <w:outlineLvl w:val="2"/>
    </w:pPr>
  </w:style>
  <w:style w:type="paragraph" w:styleId="Heading4">
    <w:name w:val="heading 4"/>
    <w:basedOn w:val="Normal"/>
    <w:next w:val="Normal"/>
    <w:link w:val="Heading4Char"/>
    <w:qFormat/>
    <w:rsid w:val="00234732"/>
    <w:pPr>
      <w:numPr>
        <w:ilvl w:val="3"/>
        <w:numId w:val="17"/>
      </w:numPr>
      <w:ind w:left="567" w:hanging="567"/>
      <w:outlineLvl w:val="3"/>
    </w:pPr>
  </w:style>
  <w:style w:type="paragraph" w:styleId="Heading5">
    <w:name w:val="heading 5"/>
    <w:basedOn w:val="Normal"/>
    <w:next w:val="Normal"/>
    <w:link w:val="Heading5Char"/>
    <w:qFormat/>
    <w:rsid w:val="00234732"/>
    <w:pPr>
      <w:numPr>
        <w:ilvl w:val="4"/>
        <w:numId w:val="17"/>
      </w:numPr>
      <w:ind w:left="567" w:hanging="567"/>
      <w:outlineLvl w:val="4"/>
    </w:pPr>
  </w:style>
  <w:style w:type="paragraph" w:styleId="Heading6">
    <w:name w:val="heading 6"/>
    <w:basedOn w:val="Normal"/>
    <w:next w:val="Normal"/>
    <w:link w:val="Heading6Char"/>
    <w:qFormat/>
    <w:rsid w:val="00234732"/>
    <w:pPr>
      <w:numPr>
        <w:ilvl w:val="5"/>
        <w:numId w:val="17"/>
      </w:numPr>
      <w:ind w:left="567" w:hanging="567"/>
      <w:outlineLvl w:val="5"/>
    </w:pPr>
  </w:style>
  <w:style w:type="paragraph" w:styleId="Heading7">
    <w:name w:val="heading 7"/>
    <w:basedOn w:val="Normal"/>
    <w:next w:val="Normal"/>
    <w:link w:val="Heading7Char"/>
    <w:qFormat/>
    <w:rsid w:val="00234732"/>
    <w:pPr>
      <w:numPr>
        <w:ilvl w:val="6"/>
        <w:numId w:val="17"/>
      </w:numPr>
      <w:ind w:left="567" w:hanging="567"/>
      <w:outlineLvl w:val="6"/>
    </w:pPr>
  </w:style>
  <w:style w:type="paragraph" w:styleId="Heading8">
    <w:name w:val="heading 8"/>
    <w:basedOn w:val="Normal"/>
    <w:next w:val="Normal"/>
    <w:link w:val="Heading8Char"/>
    <w:qFormat/>
    <w:rsid w:val="00234732"/>
    <w:pPr>
      <w:numPr>
        <w:ilvl w:val="7"/>
        <w:numId w:val="17"/>
      </w:numPr>
      <w:ind w:left="567" w:hanging="567"/>
      <w:outlineLvl w:val="7"/>
    </w:pPr>
  </w:style>
  <w:style w:type="paragraph" w:styleId="Heading9">
    <w:name w:val="heading 9"/>
    <w:basedOn w:val="Normal"/>
    <w:next w:val="Normal"/>
    <w:link w:val="Heading9Char"/>
    <w:qFormat/>
    <w:rsid w:val="00234732"/>
    <w:pPr>
      <w:numPr>
        <w:ilvl w:val="8"/>
        <w:numId w:val="17"/>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234732"/>
  </w:style>
  <w:style w:type="character" w:customStyle="1" w:styleId="HeaderChar">
    <w:name w:val="Header Char"/>
    <w:basedOn w:val="DefaultParagraphFont"/>
    <w:link w:val="Header"/>
    <w:rsid w:val="00E618BF"/>
    <w:rPr>
      <w:rFonts w:ascii="Times New Roman" w:eastAsia="Times New Roman" w:hAnsi="Times New Roman" w:cs="Times New Roman"/>
    </w:rPr>
  </w:style>
  <w:style w:type="paragraph" w:styleId="Footer">
    <w:name w:val="footer"/>
    <w:basedOn w:val="Normal"/>
    <w:link w:val="FooterChar"/>
    <w:qFormat/>
    <w:rsid w:val="00234732"/>
  </w:style>
  <w:style w:type="character" w:customStyle="1" w:styleId="FooterChar">
    <w:name w:val="Footer Char"/>
    <w:basedOn w:val="DefaultParagraphFont"/>
    <w:link w:val="Footer"/>
    <w:rsid w:val="00E618BF"/>
    <w:rPr>
      <w:rFonts w:ascii="Times New Roman" w:eastAsia="Times New Roman" w:hAnsi="Times New Roman" w:cs="Times New Roman"/>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rsid w:val="00FC693F"/>
    <w:rPr>
      <w:rFonts w:ascii="Times New Roman" w:eastAsia="Times New Roman" w:hAnsi="Times New Roman" w:cs="Times New Roman"/>
      <w:kern w:val="28"/>
    </w:rPr>
  </w:style>
  <w:style w:type="character" w:customStyle="1" w:styleId="Heading2Char">
    <w:name w:val="Heading 2 Char"/>
    <w:basedOn w:val="DefaultParagraphFont"/>
    <w:link w:val="Heading2"/>
    <w:rsid w:val="00FC693F"/>
    <w:rPr>
      <w:rFonts w:ascii="Times New Roman" w:eastAsia="Times New Roman" w:hAnsi="Times New Roman" w:cs="Times New Roman"/>
    </w:rPr>
  </w:style>
  <w:style w:type="character" w:customStyle="1" w:styleId="Heading3Char">
    <w:name w:val="Heading 3 Char"/>
    <w:basedOn w:val="DefaultParagraphFont"/>
    <w:link w:val="Heading3"/>
    <w:rsid w:val="00FC693F"/>
    <w:rPr>
      <w:rFonts w:ascii="Times New Roman" w:eastAsia="Times New Roman" w:hAnsi="Times New Roman" w:cs="Times New Roman"/>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rsid w:val="00FC693F"/>
    <w:rPr>
      <w:rFonts w:ascii="Times New Roman" w:eastAsia="Times New Roman" w:hAnsi="Times New Roman" w:cs="Times New Roman"/>
    </w:rPr>
  </w:style>
  <w:style w:type="character" w:customStyle="1" w:styleId="Heading5Char">
    <w:name w:val="Heading 5 Char"/>
    <w:basedOn w:val="DefaultParagraphFont"/>
    <w:link w:val="Heading5"/>
    <w:rsid w:val="00FC693F"/>
    <w:rPr>
      <w:rFonts w:ascii="Times New Roman" w:eastAsia="Times New Roman" w:hAnsi="Times New Roman" w:cs="Times New Roman"/>
    </w:rPr>
  </w:style>
  <w:style w:type="character" w:customStyle="1" w:styleId="Heading6Char">
    <w:name w:val="Heading 6 Char"/>
    <w:basedOn w:val="DefaultParagraphFont"/>
    <w:link w:val="Heading6"/>
    <w:rsid w:val="00FC693F"/>
    <w:rPr>
      <w:rFonts w:ascii="Times New Roman" w:eastAsia="Times New Roman" w:hAnsi="Times New Roman" w:cs="Times New Roman"/>
    </w:rPr>
  </w:style>
  <w:style w:type="character" w:customStyle="1" w:styleId="Heading7Char">
    <w:name w:val="Heading 7 Char"/>
    <w:basedOn w:val="DefaultParagraphFont"/>
    <w:link w:val="Heading7"/>
    <w:rsid w:val="00FC693F"/>
    <w:rPr>
      <w:rFonts w:ascii="Times New Roman" w:eastAsia="Times New Roman" w:hAnsi="Times New Roman" w:cs="Times New Roman"/>
    </w:rPr>
  </w:style>
  <w:style w:type="character" w:customStyle="1" w:styleId="Heading8Char">
    <w:name w:val="Heading 8 Char"/>
    <w:basedOn w:val="DefaultParagraphFont"/>
    <w:link w:val="Heading8"/>
    <w:rsid w:val="00FC693F"/>
    <w:rPr>
      <w:rFonts w:ascii="Times New Roman" w:eastAsia="Times New Roman" w:hAnsi="Times New Roman" w:cs="Times New Roman"/>
    </w:rPr>
  </w:style>
  <w:style w:type="character" w:customStyle="1" w:styleId="Heading9Char">
    <w:name w:val="Heading 9 Char"/>
    <w:basedOn w:val="DefaultParagraphFont"/>
    <w:link w:val="Heading9"/>
    <w:rsid w:val="00FC693F"/>
    <w:rPr>
      <w:rFonts w:ascii="Times New Roman" w:eastAsia="Times New Roman" w:hAnsi="Times New Roman" w:cs="Times New Roman"/>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74E1D"/>
    <w:rPr>
      <w:color w:val="0000FF" w:themeColor="hyperlink"/>
      <w:u w:val="single"/>
    </w:rPr>
  </w:style>
  <w:style w:type="character" w:customStyle="1" w:styleId="UnresolvedMention1">
    <w:name w:val="Unresolved Mention1"/>
    <w:basedOn w:val="DefaultParagraphFont"/>
    <w:uiPriority w:val="99"/>
    <w:semiHidden/>
    <w:unhideWhenUsed/>
    <w:rsid w:val="00274E1D"/>
    <w:rPr>
      <w:color w:val="605E5C"/>
      <w:shd w:val="clear" w:color="auto" w:fill="E1DFDD"/>
    </w:rPr>
  </w:style>
  <w:style w:type="character" w:styleId="FollowedHyperlink">
    <w:name w:val="FollowedHyperlink"/>
    <w:basedOn w:val="DefaultParagraphFont"/>
    <w:uiPriority w:val="99"/>
    <w:semiHidden/>
    <w:unhideWhenUsed/>
    <w:rsid w:val="00E80CE2"/>
    <w:rPr>
      <w:color w:val="800080" w:themeColor="followedHyperlink"/>
      <w:u w:val="single"/>
    </w:rPr>
  </w:style>
  <w:style w:type="character" w:styleId="CommentReference">
    <w:name w:val="annotation reference"/>
    <w:basedOn w:val="DefaultParagraphFont"/>
    <w:uiPriority w:val="99"/>
    <w:semiHidden/>
    <w:unhideWhenUsed/>
    <w:rsid w:val="009213CE"/>
    <w:rPr>
      <w:sz w:val="16"/>
      <w:szCs w:val="16"/>
    </w:rPr>
  </w:style>
  <w:style w:type="paragraph" w:styleId="CommentText">
    <w:name w:val="annotation text"/>
    <w:basedOn w:val="Normal"/>
    <w:link w:val="CommentTextChar"/>
    <w:uiPriority w:val="99"/>
    <w:semiHidden/>
    <w:unhideWhenUsed/>
    <w:rsid w:val="009213CE"/>
    <w:pPr>
      <w:spacing w:line="240" w:lineRule="auto"/>
    </w:pPr>
    <w:rPr>
      <w:sz w:val="20"/>
      <w:szCs w:val="20"/>
    </w:rPr>
  </w:style>
  <w:style w:type="character" w:customStyle="1" w:styleId="CommentTextChar">
    <w:name w:val="Comment Text Char"/>
    <w:basedOn w:val="DefaultParagraphFont"/>
    <w:link w:val="CommentText"/>
    <w:uiPriority w:val="99"/>
    <w:semiHidden/>
    <w:rsid w:val="009213CE"/>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9213CE"/>
    <w:rPr>
      <w:b/>
      <w:bCs/>
    </w:rPr>
  </w:style>
  <w:style w:type="character" w:customStyle="1" w:styleId="CommentSubjectChar">
    <w:name w:val="Comment Subject Char"/>
    <w:basedOn w:val="CommentTextChar"/>
    <w:link w:val="CommentSubject"/>
    <w:uiPriority w:val="99"/>
    <w:semiHidden/>
    <w:rsid w:val="009213CE"/>
    <w:rPr>
      <w:rFonts w:ascii="Calibri" w:hAnsi="Calibri"/>
      <w:b/>
      <w:bCs/>
      <w:sz w:val="20"/>
      <w:szCs w:val="20"/>
    </w:rPr>
  </w:style>
  <w:style w:type="paragraph" w:styleId="Revision">
    <w:name w:val="Revision"/>
    <w:hidden/>
    <w:uiPriority w:val="99"/>
    <w:semiHidden/>
    <w:rsid w:val="003D664F"/>
    <w:pPr>
      <w:spacing w:after="0" w:line="240" w:lineRule="auto"/>
    </w:pPr>
    <w:rPr>
      <w:rFonts w:ascii="Calibri" w:hAnsi="Calibri"/>
    </w:rPr>
  </w:style>
  <w:style w:type="paragraph" w:styleId="FootnoteText">
    <w:name w:val="footnote text"/>
    <w:basedOn w:val="Normal"/>
    <w:link w:val="FootnoteTextChar"/>
    <w:qFormat/>
    <w:rsid w:val="00234732"/>
    <w:pPr>
      <w:keepLines/>
      <w:spacing w:after="60" w:line="240" w:lineRule="auto"/>
      <w:ind w:left="567" w:hanging="567"/>
    </w:pPr>
    <w:rPr>
      <w:sz w:val="16"/>
    </w:rPr>
  </w:style>
  <w:style w:type="character" w:customStyle="1" w:styleId="FootnoteTextChar">
    <w:name w:val="Footnote Text Char"/>
    <w:basedOn w:val="DefaultParagraphFont"/>
    <w:link w:val="FootnoteText"/>
    <w:rsid w:val="00234732"/>
    <w:rPr>
      <w:rFonts w:ascii="Times New Roman" w:eastAsia="Times New Roman" w:hAnsi="Times New Roman" w:cs="Times New Roman"/>
      <w:sz w:val="16"/>
    </w:rPr>
  </w:style>
  <w:style w:type="paragraph" w:customStyle="1" w:styleId="quotes">
    <w:name w:val="quotes"/>
    <w:basedOn w:val="Normal"/>
    <w:next w:val="Normal"/>
    <w:rsid w:val="00234732"/>
    <w:pPr>
      <w:ind w:left="720"/>
    </w:pPr>
    <w:rPr>
      <w:i/>
    </w:rPr>
  </w:style>
  <w:style w:type="character" w:styleId="FootnoteReference">
    <w:name w:val="footnote reference"/>
    <w:basedOn w:val="DefaultParagraphFont"/>
    <w:unhideWhenUsed/>
    <w:qFormat/>
    <w:rsid w:val="00234732"/>
    <w:rPr>
      <w:sz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nternational-partnerships.ec.europa.eu/policies/africa-eu-partnership_e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international-partnerships.ec.europa.eu/policies/european-development-policy/oacps-eu-partnership_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3" Type="http://schemas.openxmlformats.org/officeDocument/2006/relationships/theme" Target="theme/theme1.xml"/><Relationship Id="rId15" Type="http://schemas.openxmlformats.org/officeDocument/2006/relationships/hyperlink" Target="https://www.consilium.europa.eu/media/yoohg2ze/joint-declaration-of-the-7th-african-union-european-union-summit-2025-24-25-november-2025_fr.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nsilium.europa.eu/media/54411/final-declaration-fr.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627BB8F0D2847BA4583DA3CAF1233" ma:contentTypeVersion="14" ma:contentTypeDescription="Create a new document." ma:contentTypeScope="" ma:versionID="11eaa6a75c266dc429c89dc2dd71de6d">
  <xsd:schema xmlns:xsd="http://www.w3.org/2001/XMLSchema" xmlns:xs="http://www.w3.org/2001/XMLSchema" xmlns:p="http://schemas.microsoft.com/office/2006/metadata/properties" xmlns:ns2="c7a06915-057a-4af1-abb7-a9083d05536c" xmlns:ns3="139408b5-cd95-41a2-b442-2b289d59f97f" targetNamespace="http://schemas.microsoft.com/office/2006/metadata/properties" ma:root="true" ma:fieldsID="30f40f0d7efa7e87831e7795524dcb76" ns2:_="" ns3:_="">
    <xsd:import namespace="c7a06915-057a-4af1-abb7-a9083d05536c"/>
    <xsd:import namespace="139408b5-cd95-41a2-b442-2b289d59f9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DanieleVital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a06915-057a-4af1-abb7-a9083d055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aa02b3-c216-49d5-b6dc-d11338e1541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DanieleVitali" ma:index="21" nillable="true" ma:displayName="Daniele Vitali" ma:format="Dropdown" ma:list="UserInfo" ma:SharePointGroup="0" ma:internalName="DanieleVitali">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9408b5-cd95-41a2-b442-2b289d59f97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bf9e637-f00f-455f-af10-83e37406edba}" ma:internalName="TaxCatchAll" ma:showField="CatchAllData" ma:web="139408b5-cd95-41a2-b442-2b289d59f9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139408b5-cd95-41a2-b442-2b289d59f97f">
      <Value>15</Value>
      <Value>28</Value>
      <Value>9</Value>
      <Value>7</Value>
      <Value>23</Value>
      <Value>5</Value>
      <Value>4</Value>
      <Value>1</Value>
    </TaxCatchAll>
    <lcf76f155ced4ddcb4097134ff3c332f xmlns="c7a06915-057a-4af1-abb7-a9083d05536c">
      <Terms xmlns="http://schemas.microsoft.com/office/infopath/2007/PartnerControls"/>
    </lcf76f155ced4ddcb4097134ff3c332f>
    <DanieleVitali xmlns="c7a06915-057a-4af1-abb7-a9083d05536c">
      <UserInfo>
        <DisplayName/>
        <AccountId xsi:nil="true"/>
        <AccountType/>
      </UserInfo>
    </DanieleVitali>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1B00607-1EB3-4834-93AC-E0A193C3BC03}"/>
</file>

<file path=customXml/itemProps2.xml><?xml version="1.0" encoding="utf-8"?>
<ds:datastoreItem xmlns:ds="http://schemas.openxmlformats.org/officeDocument/2006/customXml" ds:itemID="{2F1B5BCC-CB7D-4A0E-807D-484BFDEFA9D2}">
  <ds:schemaRefs>
    <ds:schemaRef ds:uri="http://schemas.openxmlformats.org/officeDocument/2006/bibliography"/>
  </ds:schemaRefs>
</ds:datastoreItem>
</file>

<file path=customXml/itemProps3.xml><?xml version="1.0" encoding="utf-8"?>
<ds:datastoreItem xmlns:ds="http://schemas.openxmlformats.org/officeDocument/2006/customXml" ds:itemID="{CEDF7FA4-FD60-4F50-8181-B4E70C7326EA}">
  <ds:schemaRefs>
    <ds:schemaRef ds:uri="http://schemas.microsoft.com/office/2006/metadata/properties"/>
    <ds:schemaRef ds:uri="http://schemas.microsoft.com/office/infopath/2007/PartnerControls"/>
    <ds:schemaRef ds:uri="7d640e6d-779c-472f-a269-6b546787f1c9"/>
    <ds:schemaRef ds:uri="http://schemas.microsoft.com/sharepoint/v3/fields"/>
    <ds:schemaRef ds:uri="a95533f8-59af-4217-bc7a-c1167744adb0"/>
  </ds:schemaRefs>
</ds:datastoreItem>
</file>

<file path=customXml/itemProps4.xml><?xml version="1.0" encoding="utf-8"?>
<ds:datastoreItem xmlns:ds="http://schemas.openxmlformats.org/officeDocument/2006/customXml" ds:itemID="{38377B85-F1BE-4B98-9C54-318BCB94392F}">
  <ds:schemaRefs>
    <ds:schemaRef ds:uri="http://schemas.microsoft.com/sharepoint/v3/contenttype/forms"/>
  </ds:schemaRefs>
</ds:datastoreItem>
</file>

<file path=customXml/itemProps5.xml><?xml version="1.0" encoding="utf-8"?>
<ds:datastoreItem xmlns:ds="http://schemas.openxmlformats.org/officeDocument/2006/customXml" ds:itemID="{FD796425-74B6-4898-B2E4-8BE27254B88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1427</Words>
  <Characters>7994</Characters>
  <Application>Microsoft Office Word</Application>
  <DocSecurity>0</DocSecurity>
  <Lines>133</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programme de travail 2026-2028 - Comité de suivi UE-ACP</dc:title>
  <dc:subject/>
  <dc:creator/>
  <cp:keywords/>
  <dc:description>generated by python-docx</dc:description>
  <cp:lastModifiedBy/>
  <cp:revision>1</cp:revision>
  <dcterms:created xsi:type="dcterms:W3CDTF">2026-10-29T14:13:00Z</dcterms:created>
  <dcterms:modified xsi:type="dcterms:W3CDTF">2026-10-29T14:13:00Z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11/03/2026</vt:lpwstr>
  </property>
  <property fmtid="{D5CDD505-2E9C-101B-9397-08002B2CF9AE}" pid="4" name="Pref_Time">
    <vt:lpwstr>10:24:28</vt:lpwstr>
  </property>
  <property fmtid="{D5CDD505-2E9C-101B-9397-08002B2CF9AE}" pid="5" name="Pref_User">
    <vt:lpwstr>amett</vt:lpwstr>
  </property>
  <property fmtid="{D5CDD505-2E9C-101B-9397-08002B2CF9AE}" pid="6" name="Pref_FileName">
    <vt:lpwstr>EESC-2026-00737-00-00-INFO-TRA-EN-CRR.docx</vt:lpwstr>
  </property>
  <property fmtid="{D5CDD505-2E9C-101B-9397-08002B2CF9AE}" pid="7" name="ContentTypeId">
    <vt:lpwstr>0x010100BF0627BB8F0D2847BA4583DA3CAF1233</vt:lpwstr>
  </property>
  <property fmtid="{D5CDD505-2E9C-101B-9397-08002B2CF9AE}" pid="8" name="_dlc_DocIdItemGuid">
    <vt:lpwstr>27e77e37-c126-4af6-a88f-1f7fa192a5f9</vt:lpwstr>
  </property>
  <property fmtid="{D5CDD505-2E9C-101B-9397-08002B2CF9AE}" pid="9" name="AvailableTranslations">
    <vt:lpwstr>23;#FR|d2afafd3-4c81-4f60-8f52-ee33f2f54ff3;#4;#EN|f2175f21-25d7-44a3-96da-d6a61b075e1b;#28;#PT|50ccc04a-eadd-42ae-a0cb-acaf45f812ba</vt:lpwstr>
  </property>
  <property fmtid="{D5CDD505-2E9C-101B-9397-08002B2CF9AE}" pid="10" name="DocumentType_0">
    <vt:lpwstr>INFO|d9136e7c-93a9-4c42-9d28-92b61e85f80c</vt:lpwstr>
  </property>
  <property fmtid="{D5CDD505-2E9C-101B-9397-08002B2CF9AE}" pid="11" name="DossierName_0">
    <vt:lpwstr/>
  </property>
  <property fmtid="{D5CDD505-2E9C-101B-9397-08002B2CF9AE}" pid="12" name="DocumentSource_0">
    <vt:lpwstr>EESC|422833ec-8d7e-4e65-8e4e-8bed07ffb729</vt:lpwstr>
  </property>
  <property fmtid="{D5CDD505-2E9C-101B-9397-08002B2CF9AE}" pid="13" name="DocumentNumber">
    <vt:i4>737</vt:i4>
  </property>
  <property fmtid="{D5CDD505-2E9C-101B-9397-08002B2CF9AE}" pid="14" name="DocumentVersion">
    <vt:i4>0</vt:i4>
  </property>
  <property fmtid="{D5CDD505-2E9C-101B-9397-08002B2CF9AE}" pid="15" name="DocumentStatus">
    <vt:lpwstr>9;#TRA|150d2a88-1431-44e6-a8ca-0bb753ab8672</vt:lpwstr>
  </property>
  <property fmtid="{D5CDD505-2E9C-101B-9397-08002B2CF9AE}" pid="16" name="DocumentPart">
    <vt:i4>0</vt:i4>
  </property>
  <property fmtid="{D5CDD505-2E9C-101B-9397-08002B2CF9AE}" pid="17" name="DossierName">
    <vt:lpwstr/>
  </property>
  <property fmtid="{D5CDD505-2E9C-101B-9397-08002B2CF9AE}" pid="18" name="DocumentSource">
    <vt:lpwstr>1;#EESC|422833ec-8d7e-4e65-8e4e-8bed07ffb729</vt:lpwstr>
  </property>
  <property fmtid="{D5CDD505-2E9C-101B-9397-08002B2CF9AE}" pid="19" name="DocumentType">
    <vt:lpwstr>15;#INFO|d9136e7c-93a9-4c42-9d28-92b61e85f80c</vt:lpwstr>
  </property>
  <property fmtid="{D5CDD505-2E9C-101B-9397-08002B2CF9AE}" pid="20" name="RequestingService">
    <vt:lpwstr>Relations extérieures</vt:lpwstr>
  </property>
  <property fmtid="{D5CDD505-2E9C-101B-9397-08002B2CF9AE}" pid="21" name="Confidentiality">
    <vt:lpwstr>5;#Internal|2451815e-8241-4bbf-a22e-1ab710712bf2</vt:lpwstr>
  </property>
  <property fmtid="{D5CDD505-2E9C-101B-9397-08002B2CF9AE}" pid="22" name="MeetingName_0">
    <vt:lpwstr/>
  </property>
  <property fmtid="{D5CDD505-2E9C-101B-9397-08002B2CF9AE}" pid="23" name="Confidentiality_0">
    <vt:lpwstr>Internal|2451815e-8241-4bbf-a22e-1ab710712bf2</vt:lpwstr>
  </property>
  <property fmtid="{D5CDD505-2E9C-101B-9397-08002B2CF9AE}" pid="24" name="OriginalLanguage">
    <vt:lpwstr>4;#EN|f2175f21-25d7-44a3-96da-d6a61b075e1b</vt:lpwstr>
  </property>
  <property fmtid="{D5CDD505-2E9C-101B-9397-08002B2CF9AE}" pid="25" name="MeetingName">
    <vt:lpwstr/>
  </property>
  <property fmtid="{D5CDD505-2E9C-101B-9397-08002B2CF9AE}" pid="26" name="AvailableTranslations_0">
    <vt:lpwstr>EN|f2175f21-25d7-44a3-96da-d6a61b075e1b;PT|50ccc04a-eadd-42ae-a0cb-acaf45f812ba</vt:lpwstr>
  </property>
  <property fmtid="{D5CDD505-2E9C-101B-9397-08002B2CF9AE}" pid="27" name="DocumentStatus_0">
    <vt:lpwstr>TRA|150d2a88-1431-44e6-a8ca-0bb753ab8672</vt:lpwstr>
  </property>
  <property fmtid="{D5CDD505-2E9C-101B-9397-08002B2CF9AE}" pid="28" name="OriginalLanguage_0">
    <vt:lpwstr>EN|f2175f21-25d7-44a3-96da-d6a61b075e1b</vt:lpwstr>
  </property>
  <property fmtid="{D5CDD505-2E9C-101B-9397-08002B2CF9AE}" pid="29" name="TaxCatchAll">
    <vt:lpwstr>15;#INFO|d9136e7c-93a9-4c42-9d28-92b61e85f80c;#28;#PT|50ccc04a-eadd-42ae-a0cb-acaf45f812ba;#9;#TRA|150d2a88-1431-44e6-a8ca-0bb753ab8672;#7;#Final|ea5e6674-7b27-4bac-b091-73adbb394efe;#5;#Internal|2451815e-8241-4bbf-a22e-1ab710712bf2;#4;#EN|f2175f21-25d7-44a3-96da-d6a61b075e1b;#1;#EESC|422833ec-8d7e-4e65-8e4e-8bed07ffb729</vt:lpwstr>
  </property>
  <property fmtid="{D5CDD505-2E9C-101B-9397-08002B2CF9AE}" pid="30" name="Rapporteur">
    <vt:lpwstr>SOMVILLE</vt:lpwstr>
  </property>
  <property fmtid="{D5CDD505-2E9C-101B-9397-08002B2CF9AE}" pid="31" name="VersionStatus_0">
    <vt:lpwstr>Final|ea5e6674-7b27-4bac-b091-73adbb394efe</vt:lpwstr>
  </property>
  <property fmtid="{D5CDD505-2E9C-101B-9397-08002B2CF9AE}" pid="32" name="VersionStatus">
    <vt:lpwstr>7;#Final|ea5e6674-7b27-4bac-b091-73adbb394efe</vt:lpwstr>
  </property>
  <property fmtid="{D5CDD505-2E9C-101B-9397-08002B2CF9AE}" pid="33" name="DocumentYear">
    <vt:i4>2026</vt:i4>
  </property>
  <property fmtid="{D5CDD505-2E9C-101B-9397-08002B2CF9AE}" pid="34" name="FicheNumber">
    <vt:i4>300914</vt:i4>
  </property>
  <property fmtid="{D5CDD505-2E9C-101B-9397-08002B2CF9AE}" pid="35" name="DocumentLanguage">
    <vt:lpwstr>23;#FR|d2afafd3-4c81-4f60-8f52-ee33f2f54ff3</vt:lpwstr>
  </property>
  <property fmtid="{D5CDD505-2E9C-101B-9397-08002B2CF9AE}" pid="36" name="_docset_NoMedatataSyncRequired">
    <vt:lpwstr>False</vt:lpwstr>
  </property>
</Properties>
</file>