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5"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45"/>
      </w:tblGrid>
      <w:tr w:rsidR="001C4138" w:rsidRPr="00442552" w14:paraId="7E6372DC" w14:textId="77777777" w:rsidTr="00B05A09">
        <w:trPr>
          <w:jc w:val="center"/>
        </w:trPr>
        <w:tc>
          <w:tcPr>
            <w:tcW w:w="10245" w:type="dxa"/>
          </w:tcPr>
          <w:p w14:paraId="3A4EDC3A" w14:textId="2F00F18F" w:rsidR="001C4138" w:rsidRPr="00A52652" w:rsidRDefault="009259D5" w:rsidP="00A52652">
            <w:pPr>
              <w:spacing w:before="120" w:after="120"/>
              <w:rPr>
                <w:rFonts w:ascii="Times New Roman" w:hAnsi="Times New Roman"/>
                <w:b/>
                <w:sz w:val="24"/>
                <w:szCs w:val="24"/>
              </w:rPr>
            </w:pPr>
            <w:r w:rsidRPr="00350ECB">
              <w:rPr>
                <w:rFonts w:ascii="Times New Roman" w:hAnsi="Times New Roman"/>
                <w:b/>
                <w:sz w:val="24"/>
                <w:szCs w:val="24"/>
                <w:lang w:val="en-IE"/>
              </w:rPr>
              <w:t>EU Ports Strategy</w:t>
            </w:r>
            <w:r w:rsidR="00A52652">
              <w:rPr>
                <w:rFonts w:ascii="Times New Roman" w:hAnsi="Times New Roman"/>
                <w:b/>
                <w:sz w:val="24"/>
                <w:szCs w:val="24"/>
                <w:lang w:val="en-IE"/>
              </w:rPr>
              <w:br/>
            </w:r>
            <w:r w:rsidR="00A52652" w:rsidRPr="00350ECB">
              <w:rPr>
                <w:rFonts w:ascii="Times New Roman" w:hAnsi="Times New Roman"/>
                <w:b/>
                <w:sz w:val="24"/>
                <w:szCs w:val="24"/>
                <w:lang w:val="en-IE"/>
              </w:rPr>
              <w:t>(optional opinion)</w:t>
            </w:r>
            <w:r w:rsidR="001C4138" w:rsidRPr="00350ECB">
              <w:rPr>
                <w:rFonts w:ascii="Times New Roman" w:hAnsi="Times New Roman"/>
                <w:b/>
                <w:sz w:val="24"/>
                <w:szCs w:val="24"/>
                <w:lang w:val="en-IE"/>
              </w:rPr>
              <w:br/>
            </w:r>
            <w:r w:rsidR="00C66D32" w:rsidRPr="00350ECB">
              <w:rPr>
                <w:rFonts w:ascii="Times New Roman" w:hAnsi="Times New Roman"/>
                <w:b/>
                <w:sz w:val="24"/>
                <w:szCs w:val="24"/>
                <w:lang w:val="en-IE"/>
              </w:rPr>
              <w:t>EESC-202</w:t>
            </w:r>
            <w:r w:rsidRPr="00350ECB">
              <w:rPr>
                <w:rFonts w:ascii="Times New Roman" w:hAnsi="Times New Roman"/>
                <w:b/>
                <w:sz w:val="24"/>
                <w:szCs w:val="24"/>
                <w:lang w:val="en-IE"/>
              </w:rPr>
              <w:t>6</w:t>
            </w:r>
            <w:r w:rsidR="00C66D32" w:rsidRPr="00350ECB">
              <w:rPr>
                <w:rFonts w:ascii="Times New Roman" w:hAnsi="Times New Roman"/>
                <w:b/>
                <w:sz w:val="24"/>
                <w:szCs w:val="24"/>
                <w:lang w:val="en-IE"/>
              </w:rPr>
              <w:t>-0</w:t>
            </w:r>
            <w:r w:rsidRPr="00350ECB">
              <w:rPr>
                <w:rFonts w:ascii="Times New Roman" w:hAnsi="Times New Roman"/>
                <w:b/>
                <w:sz w:val="24"/>
                <w:szCs w:val="24"/>
                <w:lang w:val="en-IE"/>
              </w:rPr>
              <w:t>0763</w:t>
            </w:r>
            <w:r w:rsidR="00A52652">
              <w:rPr>
                <w:rFonts w:ascii="Times New Roman" w:hAnsi="Times New Roman"/>
                <w:b/>
                <w:sz w:val="24"/>
                <w:szCs w:val="24"/>
                <w:lang w:val="en-IE"/>
              </w:rPr>
              <w:t xml:space="preserve"> </w:t>
            </w:r>
            <w:r w:rsidR="001C4138" w:rsidRPr="00350ECB">
              <w:rPr>
                <w:rFonts w:ascii="Times New Roman" w:hAnsi="Times New Roman"/>
                <w:b/>
                <w:sz w:val="24"/>
                <w:szCs w:val="24"/>
                <w:lang w:val="en-IE"/>
              </w:rPr>
              <w:t xml:space="preserve">‒ </w:t>
            </w:r>
            <w:r w:rsidRPr="00350ECB">
              <w:rPr>
                <w:rFonts w:ascii="Times New Roman" w:hAnsi="Times New Roman"/>
                <w:b/>
                <w:sz w:val="24"/>
                <w:szCs w:val="24"/>
                <w:lang w:val="en-IE"/>
              </w:rPr>
              <w:t>TEN</w:t>
            </w:r>
            <w:r w:rsidR="00C66D32" w:rsidRPr="00350ECB">
              <w:rPr>
                <w:rFonts w:ascii="Times New Roman" w:hAnsi="Times New Roman"/>
                <w:b/>
                <w:sz w:val="24"/>
                <w:szCs w:val="24"/>
                <w:lang w:val="en-IE"/>
              </w:rPr>
              <w:t>/</w:t>
            </w:r>
            <w:r w:rsidRPr="00350ECB">
              <w:rPr>
                <w:rFonts w:ascii="Times New Roman" w:hAnsi="Times New Roman"/>
                <w:b/>
                <w:sz w:val="24"/>
                <w:szCs w:val="24"/>
                <w:lang w:val="en-IE"/>
              </w:rPr>
              <w:t>882</w:t>
            </w:r>
            <w:r w:rsidR="00A52652" w:rsidRPr="00350ECB">
              <w:rPr>
                <w:rFonts w:ascii="Times New Roman" w:hAnsi="Times New Roman"/>
                <w:b/>
                <w:sz w:val="24"/>
                <w:szCs w:val="24"/>
                <w:lang w:val="en-IE"/>
              </w:rPr>
              <w:br/>
            </w:r>
            <w:r w:rsidR="00646259" w:rsidRPr="00A52652">
              <w:rPr>
                <w:rFonts w:ascii="Times New Roman" w:hAnsi="Times New Roman"/>
                <w:b/>
                <w:sz w:val="24"/>
                <w:szCs w:val="24"/>
              </w:rPr>
              <w:t>60</w:t>
            </w:r>
            <w:r w:rsidRPr="00A52652">
              <w:rPr>
                <w:rFonts w:ascii="Times New Roman" w:hAnsi="Times New Roman"/>
                <w:b/>
                <w:sz w:val="24"/>
                <w:szCs w:val="24"/>
              </w:rPr>
              <w:t>7</w:t>
            </w:r>
            <w:proofErr w:type="spellStart"/>
            <w:r w:rsidR="001C4138" w:rsidRPr="00A52652">
              <w:rPr>
                <w:rFonts w:ascii="Times New Roman" w:hAnsi="Times New Roman"/>
                <w:b/>
                <w:sz w:val="24"/>
                <w:szCs w:val="24"/>
                <w:vertAlign w:val="superscript"/>
                <w:lang w:val="en-IE"/>
              </w:rPr>
              <w:t>th</w:t>
            </w:r>
            <w:proofErr w:type="spellEnd"/>
            <w:r w:rsidR="001C4138" w:rsidRPr="00A52652">
              <w:rPr>
                <w:rFonts w:ascii="Times New Roman" w:hAnsi="Times New Roman"/>
                <w:b/>
                <w:sz w:val="24"/>
                <w:szCs w:val="24"/>
                <w:lang w:val="en-IE"/>
              </w:rPr>
              <w:t xml:space="preserve"> </w:t>
            </w:r>
            <w:r w:rsidR="001C4138" w:rsidRPr="00A52652">
              <w:rPr>
                <w:rFonts w:ascii="Times New Roman" w:hAnsi="Times New Roman"/>
                <w:b/>
                <w:sz w:val="24"/>
                <w:szCs w:val="24"/>
              </w:rPr>
              <w:t xml:space="preserve">Plenary Session – </w:t>
            </w:r>
            <w:r w:rsidRPr="00A52652">
              <w:rPr>
                <w:rFonts w:ascii="Times New Roman" w:hAnsi="Times New Roman"/>
                <w:b/>
                <w:sz w:val="24"/>
                <w:szCs w:val="24"/>
              </w:rPr>
              <w:t>July</w:t>
            </w:r>
            <w:r w:rsidR="00646259" w:rsidRPr="00A52652">
              <w:rPr>
                <w:rFonts w:ascii="Times New Roman" w:hAnsi="Times New Roman"/>
                <w:b/>
                <w:sz w:val="24"/>
                <w:szCs w:val="24"/>
              </w:rPr>
              <w:t xml:space="preserve"> 2026</w:t>
            </w:r>
            <w:r w:rsidR="001C4138" w:rsidRPr="00A52652">
              <w:rPr>
                <w:rFonts w:ascii="Times New Roman" w:hAnsi="Times New Roman"/>
                <w:b/>
                <w:sz w:val="24"/>
                <w:szCs w:val="24"/>
              </w:rPr>
              <w:br/>
              <w:t xml:space="preserve">Rapporteur: </w:t>
            </w:r>
            <w:r w:rsidRPr="00A52652">
              <w:rPr>
                <w:rFonts w:ascii="Times New Roman" w:hAnsi="Times New Roman"/>
                <w:b/>
                <w:sz w:val="24"/>
                <w:szCs w:val="24"/>
              </w:rPr>
              <w:t>Joan ROGET ALEMANY (ES</w:t>
            </w:r>
            <w:r w:rsidR="00A52652">
              <w:rPr>
                <w:rFonts w:ascii="Times New Roman" w:hAnsi="Times New Roman"/>
                <w:b/>
                <w:sz w:val="24"/>
                <w:szCs w:val="24"/>
              </w:rPr>
              <w:t>-g</w:t>
            </w:r>
            <w:r w:rsidR="00A52652" w:rsidRPr="00A52652">
              <w:rPr>
                <w:rFonts w:ascii="Times New Roman" w:hAnsi="Times New Roman"/>
                <w:b/>
                <w:sz w:val="24"/>
                <w:szCs w:val="24"/>
              </w:rPr>
              <w:t>roup</w:t>
            </w:r>
            <w:r w:rsidR="00A52652">
              <w:rPr>
                <w:rFonts w:ascii="Times New Roman" w:hAnsi="Times New Roman"/>
                <w:b/>
                <w:sz w:val="24"/>
                <w:szCs w:val="24"/>
              </w:rPr>
              <w:t>:</w:t>
            </w:r>
            <w:r w:rsidR="00A52652" w:rsidRPr="00350ECB">
              <w:rPr>
                <w:rFonts w:ascii="Times New Roman" w:hAnsi="Times New Roman"/>
                <w:b/>
                <w:sz w:val="24"/>
                <w:szCs w:val="24"/>
              </w:rPr>
              <w:t xml:space="preserve"> Employers</w:t>
            </w:r>
            <w:r w:rsidRPr="00A52652">
              <w:rPr>
                <w:rFonts w:ascii="Times New Roman" w:hAnsi="Times New Roman"/>
                <w:b/>
                <w:sz w:val="24"/>
                <w:szCs w:val="24"/>
              </w:rPr>
              <w:t>)</w:t>
            </w:r>
            <w:r w:rsidR="00A52652">
              <w:rPr>
                <w:rFonts w:ascii="Times New Roman" w:hAnsi="Times New Roman"/>
                <w:b/>
                <w:sz w:val="24"/>
                <w:szCs w:val="24"/>
              </w:rPr>
              <w:br/>
            </w:r>
            <w:r w:rsidRPr="00A52652">
              <w:rPr>
                <w:rFonts w:ascii="Times New Roman" w:hAnsi="Times New Roman"/>
                <w:b/>
                <w:sz w:val="24"/>
                <w:szCs w:val="24"/>
              </w:rPr>
              <w:t>Co-Rapporteur: Baiba MILTOVIČA (LV</w:t>
            </w:r>
            <w:r w:rsidR="00A52652">
              <w:rPr>
                <w:rFonts w:ascii="Times New Roman" w:hAnsi="Times New Roman"/>
                <w:b/>
                <w:sz w:val="24"/>
                <w:szCs w:val="24"/>
              </w:rPr>
              <w:t>-g</w:t>
            </w:r>
            <w:r w:rsidR="00A52652" w:rsidRPr="00A52652">
              <w:rPr>
                <w:rFonts w:ascii="Times New Roman" w:hAnsi="Times New Roman"/>
                <w:b/>
                <w:sz w:val="24"/>
                <w:szCs w:val="24"/>
              </w:rPr>
              <w:t>roup</w:t>
            </w:r>
            <w:r w:rsidR="00A52652">
              <w:rPr>
                <w:rFonts w:ascii="Times New Roman" w:hAnsi="Times New Roman"/>
                <w:b/>
                <w:sz w:val="24"/>
                <w:szCs w:val="24"/>
              </w:rPr>
              <w:t>:</w:t>
            </w:r>
            <w:r w:rsidRPr="00A52652">
              <w:rPr>
                <w:rFonts w:ascii="Times New Roman" w:hAnsi="Times New Roman"/>
                <w:b/>
                <w:sz w:val="24"/>
                <w:szCs w:val="24"/>
              </w:rPr>
              <w:t xml:space="preserve"> </w:t>
            </w:r>
            <w:r w:rsidR="00A52652">
              <w:rPr>
                <w:rFonts w:ascii="Times New Roman" w:hAnsi="Times New Roman"/>
                <w:b/>
                <w:bCs/>
                <w:lang w:val="en-IE"/>
              </w:rPr>
              <w:t>C</w:t>
            </w:r>
            <w:r w:rsidR="00A52652" w:rsidRPr="00A52652">
              <w:rPr>
                <w:rFonts w:ascii="Times New Roman" w:hAnsi="Times New Roman"/>
                <w:b/>
                <w:bCs/>
                <w:lang w:val="en-IE"/>
              </w:rPr>
              <w:t xml:space="preserve">ivil </w:t>
            </w:r>
            <w:r w:rsidR="00A52652">
              <w:rPr>
                <w:rFonts w:ascii="Times New Roman" w:hAnsi="Times New Roman"/>
                <w:b/>
                <w:bCs/>
                <w:lang w:val="en-IE"/>
              </w:rPr>
              <w:t>S</w:t>
            </w:r>
            <w:r w:rsidR="00A52652" w:rsidRPr="00A52652">
              <w:rPr>
                <w:rFonts w:ascii="Times New Roman" w:hAnsi="Times New Roman"/>
                <w:b/>
                <w:bCs/>
                <w:lang w:val="en-IE"/>
              </w:rPr>
              <w:t xml:space="preserve">ociety </w:t>
            </w:r>
            <w:r w:rsidR="00A52652">
              <w:rPr>
                <w:rFonts w:ascii="Times New Roman" w:hAnsi="Times New Roman"/>
                <w:b/>
                <w:bCs/>
                <w:lang w:val="en-IE"/>
              </w:rPr>
              <w:t>Or</w:t>
            </w:r>
            <w:r w:rsidR="00A52652" w:rsidRPr="00A52652">
              <w:rPr>
                <w:rFonts w:ascii="Times New Roman" w:hAnsi="Times New Roman"/>
                <w:b/>
                <w:bCs/>
                <w:lang w:val="en-IE"/>
              </w:rPr>
              <w:t>ganisation</w:t>
            </w:r>
            <w:r w:rsidR="00A52652">
              <w:rPr>
                <w:rFonts w:ascii="Times New Roman" w:hAnsi="Times New Roman"/>
                <w:b/>
                <w:bCs/>
                <w:lang w:val="en-IE"/>
              </w:rPr>
              <w:t>s</w:t>
            </w:r>
            <w:r w:rsidRPr="00A52652">
              <w:rPr>
                <w:rFonts w:ascii="Times New Roman" w:hAnsi="Times New Roman"/>
                <w:b/>
                <w:sz w:val="24"/>
                <w:szCs w:val="24"/>
              </w:rPr>
              <w:t>)</w:t>
            </w:r>
            <w:r w:rsidR="00A52652">
              <w:rPr>
                <w:rFonts w:ascii="Times New Roman" w:hAnsi="Times New Roman"/>
                <w:b/>
                <w:sz w:val="24"/>
                <w:szCs w:val="24"/>
              </w:rPr>
              <w:br/>
            </w:r>
            <w:r w:rsidR="001C4138" w:rsidRPr="00A52652">
              <w:rPr>
                <w:rFonts w:ascii="Times New Roman" w:hAnsi="Times New Roman"/>
                <w:b/>
                <w:sz w:val="24"/>
                <w:szCs w:val="24"/>
              </w:rPr>
              <w:t xml:space="preserve">DG </w:t>
            </w:r>
            <w:r w:rsidR="00646259" w:rsidRPr="00A52652">
              <w:rPr>
                <w:rFonts w:ascii="Times New Roman" w:hAnsi="Times New Roman"/>
                <w:b/>
                <w:bCs/>
                <w:sz w:val="24"/>
                <w:szCs w:val="24"/>
              </w:rPr>
              <w:t>MOVE – Commissioner TZITZIKOSTAS</w:t>
            </w:r>
          </w:p>
        </w:tc>
      </w:tr>
      <w:tr w:rsidR="00734613" w:rsidRPr="007F051B" w14:paraId="1937071F" w14:textId="77777777" w:rsidTr="00B05A09">
        <w:trPr>
          <w:jc w:val="center"/>
        </w:trPr>
        <w:tc>
          <w:tcPr>
            <w:tcW w:w="10245" w:type="dxa"/>
          </w:tcPr>
          <w:p w14:paraId="1E50B4DB" w14:textId="2CC4D10C" w:rsidR="00734613" w:rsidRPr="00A52652" w:rsidRDefault="004F6117" w:rsidP="004F6117">
            <w:pPr>
              <w:spacing w:before="120" w:after="120"/>
              <w:jc w:val="center"/>
              <w:rPr>
                <w:rFonts w:ascii="Times New Roman" w:hAnsi="Times New Roman"/>
                <w:b/>
                <w:sz w:val="24"/>
                <w:szCs w:val="24"/>
              </w:rPr>
            </w:pPr>
            <w:r w:rsidRPr="00A52652">
              <w:rPr>
                <w:rFonts w:ascii="Times New Roman" w:hAnsi="Times New Roman"/>
                <w:b/>
                <w:sz w:val="24"/>
                <w:szCs w:val="24"/>
              </w:rPr>
              <w:t>European Commission position on points</w:t>
            </w:r>
            <w:r w:rsidRPr="00A52652">
              <w:rPr>
                <w:rFonts w:ascii="Times New Roman" w:hAnsi="Times New Roman"/>
                <w:b/>
                <w:sz w:val="24"/>
                <w:szCs w:val="24"/>
              </w:rPr>
              <w:br/>
              <w:t xml:space="preserve">of the European Economic and Social Committee </w:t>
            </w:r>
            <w:r w:rsidR="00A52652">
              <w:rPr>
                <w:rFonts w:ascii="Times New Roman" w:hAnsi="Times New Roman"/>
                <w:b/>
                <w:sz w:val="24"/>
                <w:szCs w:val="24"/>
              </w:rPr>
              <w:t xml:space="preserve">(EESC) </w:t>
            </w:r>
            <w:r w:rsidRPr="00A52652">
              <w:rPr>
                <w:rFonts w:ascii="Times New Roman" w:hAnsi="Times New Roman"/>
                <w:b/>
                <w:sz w:val="24"/>
                <w:szCs w:val="24"/>
              </w:rPr>
              <w:t>opinion</w:t>
            </w:r>
            <w:r w:rsidR="00E83C12" w:rsidRPr="00A52652">
              <w:rPr>
                <w:rFonts w:ascii="Times New Roman" w:hAnsi="Times New Roman"/>
                <w:b/>
                <w:sz w:val="24"/>
                <w:szCs w:val="24"/>
              </w:rPr>
              <w:t xml:space="preserve"> considered as essential</w:t>
            </w:r>
          </w:p>
        </w:tc>
      </w:tr>
      <w:tr w:rsidR="00177E32" w:rsidRPr="004F6117" w14:paraId="673DDC1B" w14:textId="77777777" w:rsidTr="00B05A09">
        <w:trPr>
          <w:jc w:val="center"/>
        </w:trPr>
        <w:tc>
          <w:tcPr>
            <w:tcW w:w="10245" w:type="dxa"/>
          </w:tcPr>
          <w:p w14:paraId="177BEDFB" w14:textId="61014C42" w:rsidR="00B07BF9" w:rsidRDefault="002C3334" w:rsidP="00E432DD">
            <w:pPr>
              <w:widowControl w:val="0"/>
              <w:spacing w:before="120" w:after="120"/>
              <w:jc w:val="both"/>
              <w:rPr>
                <w:rFonts w:ascii="Times New Roman" w:hAnsi="Times New Roman"/>
                <w:sz w:val="24"/>
                <w:szCs w:val="24"/>
              </w:rPr>
            </w:pPr>
            <w:r w:rsidRPr="002C3334">
              <w:rPr>
                <w:rFonts w:ascii="Times New Roman" w:hAnsi="Times New Roman"/>
                <w:sz w:val="24"/>
                <w:szCs w:val="24"/>
              </w:rPr>
              <w:t>The Commission welcomes the Committee's support for the EU Ports Strategy</w:t>
            </w:r>
            <w:r w:rsidR="0086276E">
              <w:rPr>
                <w:rFonts w:ascii="Times New Roman" w:hAnsi="Times New Roman"/>
                <w:sz w:val="24"/>
                <w:szCs w:val="24"/>
              </w:rPr>
              <w:t xml:space="preserve"> (‘</w:t>
            </w:r>
            <w:r w:rsidR="00F66136">
              <w:rPr>
                <w:rFonts w:ascii="Times New Roman" w:hAnsi="Times New Roman"/>
                <w:sz w:val="24"/>
                <w:szCs w:val="24"/>
              </w:rPr>
              <w:t xml:space="preserve">the </w:t>
            </w:r>
            <w:r w:rsidR="0086276E">
              <w:rPr>
                <w:rFonts w:ascii="Times New Roman" w:hAnsi="Times New Roman"/>
                <w:sz w:val="24"/>
                <w:szCs w:val="24"/>
              </w:rPr>
              <w:t>Strategy’)</w:t>
            </w:r>
            <w:r w:rsidRPr="002C3334">
              <w:rPr>
                <w:rFonts w:ascii="Times New Roman" w:hAnsi="Times New Roman"/>
                <w:sz w:val="24"/>
                <w:szCs w:val="24"/>
              </w:rPr>
              <w:t xml:space="preserve"> and its recognition of ports as strategic gateways, industrial and energy hubs, digital nodes and major workplaces</w:t>
            </w:r>
            <w:r>
              <w:rPr>
                <w:rFonts w:ascii="Times New Roman" w:hAnsi="Times New Roman"/>
                <w:sz w:val="24"/>
                <w:szCs w:val="24"/>
              </w:rPr>
              <w:t>.</w:t>
            </w:r>
            <w:r w:rsidR="00EA7BEA">
              <w:rPr>
                <w:rFonts w:ascii="Times New Roman" w:hAnsi="Times New Roman"/>
                <w:sz w:val="24"/>
                <w:szCs w:val="24"/>
              </w:rPr>
              <w:t xml:space="preserve"> The Commission wishes to reply to the following points:</w:t>
            </w:r>
          </w:p>
          <w:p w14:paraId="31634396" w14:textId="364DFD58" w:rsidR="00EC5250" w:rsidRDefault="566C6449" w:rsidP="00E432DD">
            <w:pPr>
              <w:spacing w:before="120" w:after="120"/>
              <w:jc w:val="both"/>
              <w:rPr>
                <w:rFonts w:ascii="Times New Roman" w:hAnsi="Times New Roman"/>
                <w:sz w:val="24"/>
                <w:szCs w:val="24"/>
              </w:rPr>
            </w:pPr>
            <w:r w:rsidRPr="60FDF571">
              <w:rPr>
                <w:rFonts w:ascii="Times New Roman" w:hAnsi="Times New Roman"/>
                <w:b/>
                <w:bCs/>
                <w:sz w:val="24"/>
                <w:szCs w:val="24"/>
              </w:rPr>
              <w:t xml:space="preserve">Point 1.1: </w:t>
            </w:r>
            <w:r w:rsidR="138D27EE" w:rsidRPr="60FDF571">
              <w:rPr>
                <w:rFonts w:ascii="Times New Roman" w:hAnsi="Times New Roman"/>
                <w:sz w:val="24"/>
                <w:szCs w:val="24"/>
              </w:rPr>
              <w:t>The Commission agrees that the competitiveness and resilience of EU ports require integrated action and a strong social foundation. The Strategy therefore brings together competitiveness, security, the</w:t>
            </w:r>
            <w:r w:rsidR="006A6903">
              <w:rPr>
                <w:rFonts w:ascii="Times New Roman" w:hAnsi="Times New Roman"/>
                <w:sz w:val="24"/>
                <w:szCs w:val="24"/>
              </w:rPr>
              <w:t> </w:t>
            </w:r>
            <w:r w:rsidR="138D27EE" w:rsidRPr="60FDF571">
              <w:rPr>
                <w:rFonts w:ascii="Times New Roman" w:hAnsi="Times New Roman"/>
                <w:sz w:val="24"/>
                <w:szCs w:val="24"/>
              </w:rPr>
              <w:t>energy transition, connectivity, investment and skills</w:t>
            </w:r>
            <w:r w:rsidR="029FA39E" w:rsidRPr="60FDF571">
              <w:rPr>
                <w:rFonts w:ascii="Times New Roman" w:hAnsi="Times New Roman"/>
                <w:sz w:val="24"/>
                <w:szCs w:val="24"/>
              </w:rPr>
              <w:t xml:space="preserve"> and</w:t>
            </w:r>
            <w:r w:rsidR="138D27EE" w:rsidRPr="60FDF571">
              <w:rPr>
                <w:rFonts w:ascii="Times New Roman" w:hAnsi="Times New Roman"/>
                <w:sz w:val="24"/>
                <w:szCs w:val="24"/>
              </w:rPr>
              <w:t xml:space="preserve"> involv</w:t>
            </w:r>
            <w:r w:rsidR="029FA39E" w:rsidRPr="60FDF571">
              <w:rPr>
                <w:rFonts w:ascii="Times New Roman" w:hAnsi="Times New Roman"/>
                <w:sz w:val="24"/>
                <w:szCs w:val="24"/>
              </w:rPr>
              <w:t>es</w:t>
            </w:r>
            <w:r w:rsidR="138D27EE" w:rsidRPr="60FDF571">
              <w:rPr>
                <w:rFonts w:ascii="Times New Roman" w:hAnsi="Times New Roman"/>
                <w:sz w:val="24"/>
                <w:szCs w:val="24"/>
              </w:rPr>
              <w:t xml:space="preserve"> public authorities, industry, workers and social partners in accordance with their respective competences.</w:t>
            </w:r>
          </w:p>
          <w:p w14:paraId="3EDFD85B" w14:textId="223DBD74" w:rsidR="008067F0" w:rsidRPr="008067F0" w:rsidRDefault="008067F0" w:rsidP="00E432DD">
            <w:pPr>
              <w:spacing w:before="120" w:after="120"/>
              <w:jc w:val="both"/>
              <w:rPr>
                <w:rFonts w:ascii="Times New Roman" w:hAnsi="Times New Roman"/>
                <w:sz w:val="24"/>
                <w:szCs w:val="24"/>
              </w:rPr>
            </w:pPr>
            <w:r w:rsidRPr="008067F0">
              <w:rPr>
                <w:rFonts w:ascii="Times New Roman" w:hAnsi="Times New Roman"/>
                <w:b/>
                <w:sz w:val="24"/>
                <w:szCs w:val="24"/>
              </w:rPr>
              <w:t xml:space="preserve">Points 1.4-1.5: </w:t>
            </w:r>
            <w:r w:rsidRPr="008067F0">
              <w:rPr>
                <w:rFonts w:ascii="Times New Roman" w:hAnsi="Times New Roman"/>
                <w:sz w:val="24"/>
                <w:szCs w:val="24"/>
              </w:rPr>
              <w:t>The Commission shares the objective of using digitalisation and artificial intelligence to improve efficiency and reduce administrative burden, while addressing cybersecurity, skills and employment impacts. Harmonised implementation of the European Maritime Single Window environment</w:t>
            </w:r>
            <w:r w:rsidR="006A6903">
              <w:rPr>
                <w:rFonts w:ascii="Times New Roman" w:hAnsi="Times New Roman"/>
                <w:sz w:val="24"/>
                <w:szCs w:val="24"/>
              </w:rPr>
              <w:t> </w:t>
            </w:r>
            <w:r w:rsidR="00AB3E68">
              <w:rPr>
                <w:rFonts w:ascii="Times New Roman" w:hAnsi="Times New Roman"/>
                <w:sz w:val="24"/>
                <w:szCs w:val="24"/>
              </w:rPr>
              <w:t>(</w:t>
            </w:r>
            <w:proofErr w:type="spellStart"/>
            <w:r w:rsidR="00AB3E68">
              <w:rPr>
                <w:rFonts w:ascii="Times New Roman" w:hAnsi="Times New Roman"/>
                <w:sz w:val="24"/>
                <w:szCs w:val="24"/>
              </w:rPr>
              <w:t>EMS</w:t>
            </w:r>
            <w:r w:rsidR="0028754E">
              <w:rPr>
                <w:rFonts w:ascii="Times New Roman" w:hAnsi="Times New Roman"/>
                <w:sz w:val="24"/>
                <w:szCs w:val="24"/>
              </w:rPr>
              <w:t>We</w:t>
            </w:r>
            <w:proofErr w:type="spellEnd"/>
            <w:r w:rsidR="0028754E">
              <w:rPr>
                <w:rFonts w:ascii="Times New Roman" w:hAnsi="Times New Roman"/>
                <w:sz w:val="24"/>
                <w:szCs w:val="24"/>
              </w:rPr>
              <w:t>)</w:t>
            </w:r>
            <w:r w:rsidRPr="008067F0">
              <w:rPr>
                <w:rFonts w:ascii="Times New Roman" w:hAnsi="Times New Roman"/>
                <w:sz w:val="24"/>
                <w:szCs w:val="24"/>
              </w:rPr>
              <w:t xml:space="preserve"> is central to interoperability, the 'reporting once' principle and the reduction of duplicate formalities</w:t>
            </w:r>
            <w:r w:rsidR="006F3C90">
              <w:rPr>
                <w:rStyle w:val="FootnoteReference"/>
                <w:rFonts w:ascii="Times New Roman" w:hAnsi="Times New Roman"/>
                <w:szCs w:val="24"/>
              </w:rPr>
              <w:footnoteReference w:id="1"/>
            </w:r>
            <w:r w:rsidRPr="008067F0">
              <w:rPr>
                <w:rFonts w:ascii="Times New Roman" w:hAnsi="Times New Roman"/>
                <w:sz w:val="24"/>
                <w:szCs w:val="24"/>
              </w:rPr>
              <w:t xml:space="preserve">. </w:t>
            </w:r>
            <w:r w:rsidR="00006D47" w:rsidRPr="00006D47">
              <w:rPr>
                <w:rFonts w:ascii="Times New Roman" w:hAnsi="Times New Roman"/>
                <w:sz w:val="24"/>
                <w:szCs w:val="24"/>
              </w:rPr>
              <w:t>The Commission will support its implementation in cooperation with Member States and maritime stakeholders.</w:t>
            </w:r>
          </w:p>
          <w:p w14:paraId="2C7BE803" w14:textId="19376387" w:rsidR="008067F0" w:rsidRPr="008067F0" w:rsidRDefault="008067F0" w:rsidP="00E432DD">
            <w:pPr>
              <w:spacing w:before="120" w:after="120"/>
              <w:jc w:val="both"/>
              <w:rPr>
                <w:rFonts w:ascii="Times New Roman" w:hAnsi="Times New Roman"/>
                <w:sz w:val="24"/>
                <w:szCs w:val="24"/>
              </w:rPr>
            </w:pPr>
            <w:r w:rsidRPr="008067F0">
              <w:rPr>
                <w:rFonts w:ascii="Times New Roman" w:hAnsi="Times New Roman"/>
                <w:b/>
                <w:sz w:val="24"/>
                <w:szCs w:val="24"/>
              </w:rPr>
              <w:t xml:space="preserve">Points 1.6-1.7: </w:t>
            </w:r>
            <w:r w:rsidRPr="008067F0">
              <w:rPr>
                <w:rFonts w:ascii="Times New Roman" w:hAnsi="Times New Roman"/>
                <w:sz w:val="24"/>
                <w:szCs w:val="24"/>
              </w:rPr>
              <w:t xml:space="preserve">The Commission concurs that ports need secure, affordable and scalable access to electricity and renewable and low-carbon fuels. The Strategy supports a technology-neutral approach consistent with the Union's climate and energy objectives and promotes coordination among ports, grid operators, public authorities, energy producers and maritime users. </w:t>
            </w:r>
            <w:r w:rsidR="003A7F93">
              <w:rPr>
                <w:rFonts w:ascii="Times New Roman" w:hAnsi="Times New Roman"/>
                <w:sz w:val="24"/>
                <w:szCs w:val="24"/>
              </w:rPr>
              <w:t>The</w:t>
            </w:r>
            <w:r w:rsidRPr="008067F0">
              <w:rPr>
                <w:rFonts w:ascii="Times New Roman" w:hAnsi="Times New Roman"/>
                <w:sz w:val="24"/>
                <w:szCs w:val="24"/>
              </w:rPr>
              <w:t xml:space="preserve"> Alternative Fuels Infrastructure Regulation</w:t>
            </w:r>
            <w:r w:rsidR="00A23D56">
              <w:rPr>
                <w:rStyle w:val="FootnoteReference"/>
                <w:rFonts w:ascii="Times New Roman" w:hAnsi="Times New Roman"/>
                <w:szCs w:val="24"/>
              </w:rPr>
              <w:footnoteReference w:id="2"/>
            </w:r>
            <w:r w:rsidRPr="008067F0">
              <w:rPr>
                <w:rFonts w:ascii="Times New Roman" w:hAnsi="Times New Roman"/>
                <w:sz w:val="24"/>
                <w:szCs w:val="24"/>
              </w:rPr>
              <w:t xml:space="preserve"> and </w:t>
            </w:r>
            <w:proofErr w:type="spellStart"/>
            <w:r w:rsidRPr="008067F0">
              <w:rPr>
                <w:rFonts w:ascii="Times New Roman" w:hAnsi="Times New Roman"/>
                <w:sz w:val="24"/>
                <w:szCs w:val="24"/>
              </w:rPr>
              <w:t>FuelEU</w:t>
            </w:r>
            <w:proofErr w:type="spellEnd"/>
            <w:r w:rsidRPr="008067F0">
              <w:rPr>
                <w:rFonts w:ascii="Times New Roman" w:hAnsi="Times New Roman"/>
                <w:sz w:val="24"/>
                <w:szCs w:val="24"/>
              </w:rPr>
              <w:t xml:space="preserve"> Maritime</w:t>
            </w:r>
            <w:r w:rsidR="005B448B">
              <w:rPr>
                <w:rFonts w:ascii="Times New Roman" w:hAnsi="Times New Roman"/>
                <w:sz w:val="24"/>
                <w:szCs w:val="24"/>
              </w:rPr>
              <w:t xml:space="preserve"> Regulation</w:t>
            </w:r>
            <w:r w:rsidR="00BF0240">
              <w:rPr>
                <w:rStyle w:val="FootnoteReference"/>
                <w:rFonts w:ascii="Times New Roman" w:hAnsi="Times New Roman"/>
                <w:szCs w:val="24"/>
              </w:rPr>
              <w:footnoteReference w:id="3"/>
            </w:r>
            <w:r w:rsidRPr="008067F0">
              <w:rPr>
                <w:rFonts w:ascii="Times New Roman" w:hAnsi="Times New Roman"/>
                <w:sz w:val="24"/>
                <w:szCs w:val="24"/>
              </w:rPr>
              <w:t xml:space="preserve"> establish complementary</w:t>
            </w:r>
            <w:r w:rsidR="004E4218">
              <w:rPr>
                <w:rFonts w:ascii="Times New Roman" w:hAnsi="Times New Roman"/>
                <w:sz w:val="24"/>
                <w:szCs w:val="24"/>
              </w:rPr>
              <w:t xml:space="preserve"> requirements for the</w:t>
            </w:r>
            <w:r w:rsidR="00B05A09">
              <w:rPr>
                <w:rFonts w:ascii="Times New Roman" w:hAnsi="Times New Roman"/>
                <w:sz w:val="24"/>
                <w:szCs w:val="24"/>
              </w:rPr>
              <w:t> </w:t>
            </w:r>
            <w:r w:rsidRPr="008067F0">
              <w:rPr>
                <w:rFonts w:ascii="Times New Roman" w:hAnsi="Times New Roman"/>
                <w:sz w:val="24"/>
                <w:szCs w:val="24"/>
              </w:rPr>
              <w:t xml:space="preserve">deployment and use </w:t>
            </w:r>
            <w:r w:rsidR="004E4218">
              <w:rPr>
                <w:rFonts w:ascii="Times New Roman" w:hAnsi="Times New Roman"/>
                <w:sz w:val="24"/>
                <w:szCs w:val="24"/>
              </w:rPr>
              <w:t>of onshore power supply</w:t>
            </w:r>
            <w:r w:rsidRPr="008067F0">
              <w:rPr>
                <w:rFonts w:ascii="Times New Roman" w:hAnsi="Times New Roman"/>
                <w:sz w:val="24"/>
                <w:szCs w:val="24"/>
              </w:rPr>
              <w:t xml:space="preserve">. </w:t>
            </w:r>
            <w:r w:rsidR="000D27CC" w:rsidRPr="000D27CC">
              <w:rPr>
                <w:rFonts w:ascii="Times New Roman" w:hAnsi="Times New Roman"/>
                <w:sz w:val="24"/>
                <w:szCs w:val="24"/>
              </w:rPr>
              <w:t>Their effective implementation requires adequate grid capacity, port-side reinforcement, predictable charging conditions and suitable financing. Transition pathways and safety requirements should remain proportionate to different port, vessel and traffic profiles</w:t>
            </w:r>
            <w:r w:rsidR="00261AD2">
              <w:rPr>
                <w:rFonts w:ascii="Times New Roman" w:hAnsi="Times New Roman"/>
                <w:sz w:val="24"/>
                <w:szCs w:val="24"/>
              </w:rPr>
              <w:t>.</w:t>
            </w:r>
          </w:p>
          <w:p w14:paraId="41EEBF04" w14:textId="5B99449C" w:rsidR="00CA62FF" w:rsidRDefault="64F2F9E0" w:rsidP="00E432DD">
            <w:pPr>
              <w:spacing w:before="120" w:after="120"/>
              <w:jc w:val="both"/>
              <w:rPr>
                <w:rFonts w:ascii="Times New Roman" w:hAnsi="Times New Roman"/>
                <w:sz w:val="24"/>
                <w:szCs w:val="24"/>
              </w:rPr>
            </w:pPr>
            <w:r w:rsidRPr="60FDF571">
              <w:rPr>
                <w:rFonts w:ascii="Times New Roman" w:hAnsi="Times New Roman"/>
                <w:b/>
                <w:bCs/>
                <w:sz w:val="24"/>
                <w:szCs w:val="24"/>
              </w:rPr>
              <w:t>Points 1.8, 1.17</w:t>
            </w:r>
            <w:r w:rsidR="00EF5B9A">
              <w:rPr>
                <w:rFonts w:ascii="Times New Roman" w:hAnsi="Times New Roman"/>
                <w:b/>
                <w:bCs/>
                <w:sz w:val="24"/>
                <w:szCs w:val="24"/>
              </w:rPr>
              <w:t>, 2.8.5</w:t>
            </w:r>
            <w:r w:rsidR="24CF7E7D" w:rsidRPr="60FDF571">
              <w:rPr>
                <w:rFonts w:ascii="Times New Roman" w:hAnsi="Times New Roman"/>
                <w:b/>
                <w:bCs/>
                <w:sz w:val="24"/>
                <w:szCs w:val="24"/>
              </w:rPr>
              <w:t xml:space="preserve"> and 2.10.2</w:t>
            </w:r>
            <w:r w:rsidRPr="60FDF571">
              <w:rPr>
                <w:rFonts w:ascii="Times New Roman" w:hAnsi="Times New Roman"/>
                <w:b/>
                <w:bCs/>
                <w:sz w:val="24"/>
                <w:szCs w:val="24"/>
              </w:rPr>
              <w:t xml:space="preserve">: </w:t>
            </w:r>
            <w:r w:rsidR="099A0274" w:rsidRPr="60FDF571">
              <w:rPr>
                <w:rFonts w:ascii="Times New Roman" w:hAnsi="Times New Roman"/>
                <w:sz w:val="24"/>
                <w:szCs w:val="24"/>
              </w:rPr>
              <w:t xml:space="preserve">The Commission acknowledges the significant investment needs of EU ports. Under the proposed </w:t>
            </w:r>
            <w:r w:rsidR="6D1676BF" w:rsidRPr="60FDF571">
              <w:rPr>
                <w:rFonts w:ascii="Times New Roman" w:hAnsi="Times New Roman"/>
                <w:sz w:val="24"/>
                <w:szCs w:val="24"/>
              </w:rPr>
              <w:t>M</w:t>
            </w:r>
            <w:r w:rsidR="099A0274" w:rsidRPr="60FDF571">
              <w:rPr>
                <w:rFonts w:ascii="Times New Roman" w:hAnsi="Times New Roman"/>
                <w:sz w:val="24"/>
                <w:szCs w:val="24"/>
              </w:rPr>
              <w:t xml:space="preserve">ultiannual </w:t>
            </w:r>
            <w:r w:rsidR="6D1676BF" w:rsidRPr="60FDF571">
              <w:rPr>
                <w:rFonts w:ascii="Times New Roman" w:hAnsi="Times New Roman"/>
                <w:sz w:val="24"/>
                <w:szCs w:val="24"/>
              </w:rPr>
              <w:t>F</w:t>
            </w:r>
            <w:r w:rsidR="099A0274" w:rsidRPr="60FDF571">
              <w:rPr>
                <w:rFonts w:ascii="Times New Roman" w:hAnsi="Times New Roman"/>
                <w:sz w:val="24"/>
                <w:szCs w:val="24"/>
              </w:rPr>
              <w:t xml:space="preserve">inancial </w:t>
            </w:r>
            <w:r w:rsidR="6D1676BF" w:rsidRPr="60FDF571">
              <w:rPr>
                <w:rFonts w:ascii="Times New Roman" w:hAnsi="Times New Roman"/>
                <w:sz w:val="24"/>
                <w:szCs w:val="24"/>
              </w:rPr>
              <w:t>F</w:t>
            </w:r>
            <w:r w:rsidR="099A0274" w:rsidRPr="60FDF571">
              <w:rPr>
                <w:rFonts w:ascii="Times New Roman" w:hAnsi="Times New Roman"/>
                <w:sz w:val="24"/>
                <w:szCs w:val="24"/>
              </w:rPr>
              <w:t>ramework</w:t>
            </w:r>
            <w:r w:rsidR="6D1676BF" w:rsidRPr="60FDF571">
              <w:rPr>
                <w:rFonts w:ascii="Times New Roman" w:hAnsi="Times New Roman"/>
                <w:sz w:val="24"/>
                <w:szCs w:val="24"/>
              </w:rPr>
              <w:t xml:space="preserve"> for 2028-2034</w:t>
            </w:r>
            <w:r w:rsidR="099A0274" w:rsidRPr="60FDF571">
              <w:rPr>
                <w:rFonts w:ascii="Times New Roman" w:hAnsi="Times New Roman"/>
                <w:sz w:val="24"/>
                <w:szCs w:val="24"/>
              </w:rPr>
              <w:t xml:space="preserve">, these may be addressed through relevant Union instruments and the National and Regional Partnership Plans, </w:t>
            </w:r>
            <w:r w:rsidR="099A0274" w:rsidRPr="60FDF571">
              <w:rPr>
                <w:rFonts w:ascii="Times New Roman" w:hAnsi="Times New Roman"/>
                <w:sz w:val="24"/>
                <w:szCs w:val="24"/>
              </w:rPr>
              <w:lastRenderedPageBreak/>
              <w:t>depending on national and regional circumstances.</w:t>
            </w:r>
          </w:p>
          <w:p w14:paraId="60308D87" w14:textId="65BB74C2" w:rsidR="00AD1AFD" w:rsidRDefault="008067F0" w:rsidP="00E432DD">
            <w:pPr>
              <w:spacing w:before="120" w:after="120"/>
              <w:jc w:val="both"/>
              <w:rPr>
                <w:rFonts w:ascii="Times New Roman" w:hAnsi="Times New Roman"/>
                <w:sz w:val="24"/>
                <w:szCs w:val="24"/>
              </w:rPr>
            </w:pPr>
            <w:r w:rsidRPr="008067F0">
              <w:rPr>
                <w:rFonts w:ascii="Times New Roman" w:hAnsi="Times New Roman"/>
                <w:sz w:val="24"/>
                <w:szCs w:val="24"/>
              </w:rPr>
              <w:t xml:space="preserve">The </w:t>
            </w:r>
            <w:r w:rsidR="00B0506A">
              <w:rPr>
                <w:rFonts w:ascii="Times New Roman" w:hAnsi="Times New Roman"/>
                <w:sz w:val="24"/>
                <w:szCs w:val="24"/>
              </w:rPr>
              <w:t xml:space="preserve">2026 </w:t>
            </w:r>
            <w:r w:rsidRPr="008067F0">
              <w:rPr>
                <w:rFonts w:ascii="Times New Roman" w:hAnsi="Times New Roman"/>
                <w:sz w:val="24"/>
                <w:szCs w:val="24"/>
              </w:rPr>
              <w:t xml:space="preserve">Commission’s </w:t>
            </w:r>
            <w:r w:rsidR="00CA0F1F">
              <w:rPr>
                <w:rFonts w:ascii="Times New Roman" w:hAnsi="Times New Roman"/>
                <w:sz w:val="24"/>
                <w:szCs w:val="24"/>
              </w:rPr>
              <w:t>proposal</w:t>
            </w:r>
            <w:r w:rsidRPr="008067F0">
              <w:rPr>
                <w:rFonts w:ascii="Times New Roman" w:hAnsi="Times New Roman"/>
                <w:sz w:val="24"/>
                <w:szCs w:val="24"/>
              </w:rPr>
              <w:t xml:space="preserve"> for a targeted revision of the EU Emissions Trading System </w:t>
            </w:r>
            <w:r w:rsidR="005B448B">
              <w:rPr>
                <w:rFonts w:ascii="Times New Roman" w:hAnsi="Times New Roman"/>
                <w:sz w:val="24"/>
                <w:szCs w:val="24"/>
              </w:rPr>
              <w:t>(ETS)</w:t>
            </w:r>
            <w:r w:rsidR="000E026B">
              <w:rPr>
                <w:rStyle w:val="FootnoteReference"/>
                <w:rFonts w:ascii="Times New Roman" w:hAnsi="Times New Roman"/>
                <w:szCs w:val="24"/>
              </w:rPr>
              <w:footnoteReference w:id="4"/>
            </w:r>
            <w:r w:rsidR="005B448B">
              <w:rPr>
                <w:rFonts w:ascii="Times New Roman" w:hAnsi="Times New Roman"/>
                <w:sz w:val="24"/>
                <w:szCs w:val="24"/>
              </w:rPr>
              <w:t xml:space="preserve"> </w:t>
            </w:r>
            <w:r w:rsidR="00BF6BB2">
              <w:rPr>
                <w:rFonts w:ascii="Times New Roman" w:hAnsi="Times New Roman"/>
                <w:sz w:val="24"/>
                <w:szCs w:val="24"/>
              </w:rPr>
              <w:t xml:space="preserve">substantially increases </w:t>
            </w:r>
            <w:r w:rsidR="00E10329">
              <w:rPr>
                <w:rFonts w:ascii="Times New Roman" w:hAnsi="Times New Roman"/>
                <w:sz w:val="24"/>
                <w:szCs w:val="24"/>
              </w:rPr>
              <w:t>resources</w:t>
            </w:r>
            <w:r w:rsidR="00BF6BB2">
              <w:rPr>
                <w:rFonts w:ascii="Times New Roman" w:hAnsi="Times New Roman"/>
                <w:sz w:val="24"/>
                <w:szCs w:val="24"/>
              </w:rPr>
              <w:t xml:space="preserve"> for industrial decarbonisation, by requiring that 50% of Member States </w:t>
            </w:r>
            <w:r w:rsidR="00E10329">
              <w:rPr>
                <w:rFonts w:ascii="Times New Roman" w:hAnsi="Times New Roman"/>
                <w:sz w:val="24"/>
                <w:szCs w:val="24"/>
              </w:rPr>
              <w:t>auctioning</w:t>
            </w:r>
            <w:r w:rsidR="00BF6BB2">
              <w:rPr>
                <w:rFonts w:ascii="Times New Roman" w:hAnsi="Times New Roman"/>
                <w:sz w:val="24"/>
                <w:szCs w:val="24"/>
              </w:rPr>
              <w:t xml:space="preserve"> revenues go back to finance </w:t>
            </w:r>
            <w:r w:rsidR="00E10329">
              <w:rPr>
                <w:rFonts w:ascii="Times New Roman" w:hAnsi="Times New Roman"/>
                <w:sz w:val="24"/>
                <w:szCs w:val="24"/>
              </w:rPr>
              <w:t>decarbonisation</w:t>
            </w:r>
            <w:r w:rsidR="00BF6BB2">
              <w:rPr>
                <w:rFonts w:ascii="Times New Roman" w:hAnsi="Times New Roman"/>
                <w:sz w:val="24"/>
                <w:szCs w:val="24"/>
              </w:rPr>
              <w:t xml:space="preserve"> in E</w:t>
            </w:r>
            <w:r w:rsidR="00E10329">
              <w:rPr>
                <w:rFonts w:ascii="Times New Roman" w:hAnsi="Times New Roman"/>
                <w:sz w:val="24"/>
                <w:szCs w:val="24"/>
              </w:rPr>
              <w:t>TS</w:t>
            </w:r>
            <w:r w:rsidR="00BF6BB2">
              <w:rPr>
                <w:rFonts w:ascii="Times New Roman" w:hAnsi="Times New Roman"/>
                <w:sz w:val="24"/>
                <w:szCs w:val="24"/>
              </w:rPr>
              <w:t xml:space="preserve">-paying </w:t>
            </w:r>
            <w:r w:rsidR="00E10329">
              <w:rPr>
                <w:rFonts w:ascii="Times New Roman" w:hAnsi="Times New Roman"/>
                <w:sz w:val="24"/>
                <w:szCs w:val="24"/>
              </w:rPr>
              <w:t>sectors</w:t>
            </w:r>
            <w:r w:rsidR="00BF6BB2">
              <w:rPr>
                <w:rFonts w:ascii="Times New Roman" w:hAnsi="Times New Roman"/>
                <w:sz w:val="24"/>
                <w:szCs w:val="24"/>
              </w:rPr>
              <w:t xml:space="preserve"> through defined priority purposes</w:t>
            </w:r>
            <w:r w:rsidR="00AD1AFD" w:rsidRPr="00AD1AFD">
              <w:rPr>
                <w:rFonts w:ascii="Times New Roman" w:hAnsi="Times New Roman"/>
                <w:sz w:val="24"/>
                <w:szCs w:val="24"/>
              </w:rPr>
              <w:t xml:space="preserve">. These expressly include </w:t>
            </w:r>
            <w:r w:rsidR="001F5386">
              <w:rPr>
                <w:rFonts w:ascii="Times New Roman" w:hAnsi="Times New Roman"/>
                <w:sz w:val="24"/>
                <w:szCs w:val="24"/>
              </w:rPr>
              <w:t xml:space="preserve">measures to decarbonise </w:t>
            </w:r>
            <w:r w:rsidR="00B33779">
              <w:rPr>
                <w:rFonts w:ascii="Times New Roman" w:hAnsi="Times New Roman"/>
                <w:sz w:val="24"/>
                <w:szCs w:val="24"/>
              </w:rPr>
              <w:t xml:space="preserve">the </w:t>
            </w:r>
            <w:r w:rsidR="00AD1AFD" w:rsidRPr="00AD1AFD">
              <w:rPr>
                <w:rFonts w:ascii="Times New Roman" w:hAnsi="Times New Roman"/>
                <w:sz w:val="24"/>
                <w:szCs w:val="24"/>
              </w:rPr>
              <w:t xml:space="preserve">maritime </w:t>
            </w:r>
            <w:r w:rsidR="001F5386">
              <w:rPr>
                <w:rFonts w:ascii="Times New Roman" w:hAnsi="Times New Roman"/>
                <w:sz w:val="24"/>
                <w:szCs w:val="24"/>
              </w:rPr>
              <w:t>sector, including the</w:t>
            </w:r>
            <w:r w:rsidR="000E026B">
              <w:rPr>
                <w:rFonts w:ascii="Times New Roman" w:hAnsi="Times New Roman"/>
                <w:sz w:val="24"/>
                <w:szCs w:val="24"/>
              </w:rPr>
              <w:t> </w:t>
            </w:r>
            <w:r w:rsidR="001F5386">
              <w:rPr>
                <w:rFonts w:ascii="Times New Roman" w:hAnsi="Times New Roman"/>
                <w:sz w:val="24"/>
                <w:szCs w:val="24"/>
              </w:rPr>
              <w:t>improvement of the energy efficiency of ships, ports, innovative technologies and infrastructure, electrification, sustainable alternative fuels</w:t>
            </w:r>
            <w:r w:rsidR="001F5386" w:rsidRPr="00AD1AFD">
              <w:rPr>
                <w:rFonts w:ascii="Times New Roman" w:hAnsi="Times New Roman"/>
                <w:sz w:val="24"/>
                <w:szCs w:val="24"/>
              </w:rPr>
              <w:t xml:space="preserve"> </w:t>
            </w:r>
            <w:r w:rsidR="00AD1AFD" w:rsidRPr="00AD1AFD">
              <w:rPr>
                <w:rFonts w:ascii="Times New Roman" w:hAnsi="Times New Roman"/>
                <w:sz w:val="24"/>
                <w:szCs w:val="24"/>
              </w:rPr>
              <w:t>and zero-emission propulsion</w:t>
            </w:r>
            <w:r w:rsidR="002561B6">
              <w:rPr>
                <w:rFonts w:ascii="Times New Roman" w:hAnsi="Times New Roman"/>
                <w:sz w:val="24"/>
                <w:szCs w:val="24"/>
              </w:rPr>
              <w:t xml:space="preserve"> technologies</w:t>
            </w:r>
            <w:r w:rsidR="00AD1AFD" w:rsidRPr="00AD1AFD">
              <w:rPr>
                <w:rFonts w:ascii="Times New Roman" w:hAnsi="Times New Roman"/>
                <w:sz w:val="24"/>
                <w:szCs w:val="24"/>
              </w:rPr>
              <w:t>. The proposal also identifies skills development and labour reallocation, including for maritime workers, among the</w:t>
            </w:r>
            <w:r w:rsidR="008978BA">
              <w:rPr>
                <w:rFonts w:ascii="Times New Roman" w:hAnsi="Times New Roman"/>
                <w:sz w:val="24"/>
                <w:szCs w:val="24"/>
              </w:rPr>
              <w:t> </w:t>
            </w:r>
            <w:r w:rsidR="00AD1AFD" w:rsidRPr="00AD1AFD">
              <w:rPr>
                <w:rFonts w:ascii="Times New Roman" w:hAnsi="Times New Roman"/>
                <w:sz w:val="24"/>
                <w:szCs w:val="24"/>
              </w:rPr>
              <w:t>possible uses of the remaining revenues.</w:t>
            </w:r>
          </w:p>
          <w:p w14:paraId="22D5148A" w14:textId="58CB66A8" w:rsidR="009E3124" w:rsidRDefault="009E3124" w:rsidP="00E432DD">
            <w:pPr>
              <w:spacing w:before="120" w:after="120"/>
              <w:jc w:val="both"/>
              <w:rPr>
                <w:rFonts w:ascii="Times New Roman" w:hAnsi="Times New Roman"/>
                <w:sz w:val="24"/>
                <w:szCs w:val="24"/>
              </w:rPr>
            </w:pPr>
            <w:r>
              <w:rPr>
                <w:rFonts w:ascii="Times New Roman" w:hAnsi="Times New Roman"/>
                <w:sz w:val="24"/>
                <w:szCs w:val="24"/>
              </w:rPr>
              <w:t>To enhance the availability</w:t>
            </w:r>
            <w:r w:rsidR="00D23C02">
              <w:rPr>
                <w:rFonts w:ascii="Times New Roman" w:hAnsi="Times New Roman"/>
                <w:sz w:val="24"/>
                <w:szCs w:val="24"/>
              </w:rPr>
              <w:t xml:space="preserve"> of sustainable fuels in ports to support shipping </w:t>
            </w:r>
            <w:r w:rsidR="00110C93">
              <w:rPr>
                <w:rFonts w:ascii="Times New Roman" w:hAnsi="Times New Roman"/>
                <w:sz w:val="24"/>
                <w:szCs w:val="24"/>
              </w:rPr>
              <w:t>decarbonisation</w:t>
            </w:r>
            <w:r w:rsidR="00D23C02">
              <w:rPr>
                <w:rFonts w:ascii="Times New Roman" w:hAnsi="Times New Roman"/>
                <w:sz w:val="24"/>
                <w:szCs w:val="24"/>
              </w:rPr>
              <w:t>, the</w:t>
            </w:r>
            <w:r w:rsidR="008978BA">
              <w:rPr>
                <w:rFonts w:ascii="Times New Roman" w:hAnsi="Times New Roman"/>
                <w:sz w:val="24"/>
                <w:szCs w:val="24"/>
              </w:rPr>
              <w:t> </w:t>
            </w:r>
            <w:r w:rsidR="00D23C02">
              <w:rPr>
                <w:rFonts w:ascii="Times New Roman" w:hAnsi="Times New Roman"/>
                <w:sz w:val="24"/>
                <w:szCs w:val="24"/>
              </w:rPr>
              <w:t>proposal also establishes the Sustainable Maritime Alternative Propulsion</w:t>
            </w:r>
            <w:r w:rsidR="00AD78B3">
              <w:rPr>
                <w:rFonts w:ascii="Times New Roman" w:hAnsi="Times New Roman"/>
                <w:sz w:val="24"/>
                <w:szCs w:val="24"/>
              </w:rPr>
              <w:t> </w:t>
            </w:r>
            <w:r w:rsidR="00D23C02">
              <w:rPr>
                <w:rFonts w:ascii="Times New Roman" w:hAnsi="Times New Roman"/>
                <w:sz w:val="24"/>
                <w:szCs w:val="24"/>
              </w:rPr>
              <w:t>(SMAP) mechanism, which awards ET</w:t>
            </w:r>
            <w:r w:rsidR="00A34B13">
              <w:rPr>
                <w:rFonts w:ascii="Times New Roman" w:hAnsi="Times New Roman"/>
                <w:sz w:val="24"/>
                <w:szCs w:val="24"/>
              </w:rPr>
              <w:t>S</w:t>
            </w:r>
            <w:r w:rsidR="00D23C02">
              <w:rPr>
                <w:rFonts w:ascii="Times New Roman" w:hAnsi="Times New Roman"/>
                <w:sz w:val="24"/>
                <w:szCs w:val="24"/>
              </w:rPr>
              <w:t xml:space="preserve"> allowances to ships using sustainable maritime fuels and clean </w:t>
            </w:r>
            <w:r w:rsidR="00110C93">
              <w:rPr>
                <w:rFonts w:ascii="Times New Roman" w:hAnsi="Times New Roman"/>
                <w:sz w:val="24"/>
                <w:szCs w:val="24"/>
              </w:rPr>
              <w:t>propulsion</w:t>
            </w:r>
            <w:r w:rsidR="00D23C02">
              <w:rPr>
                <w:rFonts w:ascii="Times New Roman" w:hAnsi="Times New Roman"/>
                <w:sz w:val="24"/>
                <w:szCs w:val="24"/>
              </w:rPr>
              <w:t xml:space="preserve"> technologies.</w:t>
            </w:r>
          </w:p>
          <w:p w14:paraId="21668FDE" w14:textId="44129D1F" w:rsidR="00467403" w:rsidRDefault="00467403" w:rsidP="00E432DD">
            <w:pPr>
              <w:spacing w:before="120" w:after="120"/>
              <w:jc w:val="both"/>
              <w:rPr>
                <w:rFonts w:ascii="Times New Roman" w:hAnsi="Times New Roman"/>
                <w:sz w:val="24"/>
                <w:szCs w:val="24"/>
              </w:rPr>
            </w:pPr>
            <w:r w:rsidRPr="00467403">
              <w:rPr>
                <w:rFonts w:ascii="Times New Roman" w:hAnsi="Times New Roman"/>
                <w:sz w:val="24"/>
                <w:szCs w:val="24"/>
              </w:rPr>
              <w:t xml:space="preserve">Recipients of Union funding </w:t>
            </w:r>
            <w:r w:rsidR="005C1EB7">
              <w:rPr>
                <w:rFonts w:ascii="Times New Roman" w:hAnsi="Times New Roman"/>
                <w:sz w:val="24"/>
                <w:szCs w:val="24"/>
              </w:rPr>
              <w:t xml:space="preserve">and of </w:t>
            </w:r>
            <w:r w:rsidR="002D25FB">
              <w:rPr>
                <w:rFonts w:ascii="Times New Roman" w:hAnsi="Times New Roman"/>
                <w:sz w:val="24"/>
                <w:szCs w:val="24"/>
              </w:rPr>
              <w:t xml:space="preserve">State aid granted by Member States </w:t>
            </w:r>
            <w:r w:rsidRPr="00467403">
              <w:rPr>
                <w:rFonts w:ascii="Times New Roman" w:hAnsi="Times New Roman"/>
                <w:sz w:val="24"/>
                <w:szCs w:val="24"/>
              </w:rPr>
              <w:t>must comply with applicable Union and national law, including relevant labour and social law. Any additional social conditionality must be based on the legal basis and rules of the relevant instrument and cannot be established through the</w:t>
            </w:r>
            <w:r w:rsidR="00AD78B3">
              <w:rPr>
                <w:rFonts w:ascii="Times New Roman" w:hAnsi="Times New Roman"/>
                <w:sz w:val="24"/>
                <w:szCs w:val="24"/>
              </w:rPr>
              <w:t> </w:t>
            </w:r>
            <w:r w:rsidRPr="00467403">
              <w:rPr>
                <w:rFonts w:ascii="Times New Roman" w:hAnsi="Times New Roman"/>
                <w:sz w:val="24"/>
                <w:szCs w:val="24"/>
              </w:rPr>
              <w:t>Strategy itself.</w:t>
            </w:r>
          </w:p>
          <w:p w14:paraId="13E0C324" w14:textId="45424854" w:rsidR="009769C5" w:rsidRDefault="64F2F9E0" w:rsidP="00E432DD">
            <w:pPr>
              <w:spacing w:before="120" w:after="120"/>
              <w:jc w:val="both"/>
              <w:rPr>
                <w:rFonts w:ascii="Times New Roman" w:hAnsi="Times New Roman"/>
                <w:sz w:val="24"/>
                <w:szCs w:val="24"/>
              </w:rPr>
            </w:pPr>
            <w:r w:rsidRPr="60FDF571">
              <w:rPr>
                <w:rFonts w:ascii="Times New Roman" w:hAnsi="Times New Roman"/>
                <w:b/>
                <w:bCs/>
                <w:sz w:val="24"/>
                <w:szCs w:val="24"/>
              </w:rPr>
              <w:t>Points 1.16</w:t>
            </w:r>
            <w:r w:rsidR="00A12C34">
              <w:rPr>
                <w:rFonts w:ascii="Times New Roman" w:hAnsi="Times New Roman"/>
                <w:b/>
                <w:bCs/>
                <w:sz w:val="24"/>
                <w:szCs w:val="24"/>
              </w:rPr>
              <w:t xml:space="preserve">, </w:t>
            </w:r>
            <w:r w:rsidRPr="60FDF571">
              <w:rPr>
                <w:rFonts w:ascii="Times New Roman" w:hAnsi="Times New Roman"/>
                <w:b/>
                <w:bCs/>
                <w:sz w:val="24"/>
                <w:szCs w:val="24"/>
              </w:rPr>
              <w:t>3.4.1</w:t>
            </w:r>
            <w:r w:rsidR="00A12C34">
              <w:rPr>
                <w:rFonts w:ascii="Times New Roman" w:hAnsi="Times New Roman"/>
                <w:b/>
                <w:bCs/>
                <w:sz w:val="24"/>
                <w:szCs w:val="24"/>
              </w:rPr>
              <w:t xml:space="preserve"> and</w:t>
            </w:r>
            <w:r w:rsidRPr="60FDF571">
              <w:rPr>
                <w:rFonts w:ascii="Times New Roman" w:hAnsi="Times New Roman"/>
                <w:b/>
                <w:bCs/>
                <w:sz w:val="24"/>
                <w:szCs w:val="24"/>
              </w:rPr>
              <w:t xml:space="preserve"> 3.4.2:</w:t>
            </w:r>
            <w:r w:rsidRPr="60FDF571">
              <w:rPr>
                <w:rFonts w:ascii="Times New Roman" w:hAnsi="Times New Roman"/>
                <w:sz w:val="24"/>
                <w:szCs w:val="24"/>
              </w:rPr>
              <w:t xml:space="preserve"> </w:t>
            </w:r>
            <w:r w:rsidR="26E9E0FC" w:rsidRPr="60FDF571">
              <w:rPr>
                <w:rFonts w:ascii="Times New Roman" w:hAnsi="Times New Roman"/>
                <w:sz w:val="24"/>
                <w:szCs w:val="24"/>
              </w:rPr>
              <w:t xml:space="preserve">The Commission recognises the important contribution of smaller ports, particularly in island, remote and peripheral regions, to connectivity, territorial cohesion and resilient supply chains. The Strategy does not introduce a uniform definition of </w:t>
            </w:r>
            <w:proofErr w:type="spellStart"/>
            <w:r w:rsidR="00AD78B3">
              <w:rPr>
                <w:rFonts w:ascii="Times New Roman" w:hAnsi="Times New Roman"/>
                <w:sz w:val="24"/>
                <w:szCs w:val="24"/>
              </w:rPr>
              <w:t>ʻ</w:t>
            </w:r>
            <w:r w:rsidR="26E9E0FC" w:rsidRPr="60FDF571">
              <w:rPr>
                <w:rFonts w:ascii="Times New Roman" w:hAnsi="Times New Roman"/>
                <w:sz w:val="24"/>
                <w:szCs w:val="24"/>
              </w:rPr>
              <w:t>small</w:t>
            </w:r>
            <w:proofErr w:type="spellEnd"/>
            <w:r w:rsidR="26E9E0FC" w:rsidRPr="60FDF571">
              <w:rPr>
                <w:rFonts w:ascii="Times New Roman" w:hAnsi="Times New Roman"/>
                <w:sz w:val="24"/>
                <w:szCs w:val="24"/>
              </w:rPr>
              <w:t xml:space="preserve"> and medium-sized ports</w:t>
            </w:r>
            <w:r w:rsidR="00AD78B3">
              <w:rPr>
                <w:rFonts w:ascii="Times New Roman" w:hAnsi="Times New Roman"/>
                <w:sz w:val="24"/>
                <w:szCs w:val="24"/>
              </w:rPr>
              <w:t>’</w:t>
            </w:r>
            <w:r w:rsidR="26E9E0FC" w:rsidRPr="60FDF571">
              <w:rPr>
                <w:rFonts w:ascii="Times New Roman" w:hAnsi="Times New Roman"/>
                <w:sz w:val="24"/>
                <w:szCs w:val="24"/>
              </w:rPr>
              <w:t>, as their scope depends on the policy context and instrument concerned. The term may cover ports in the</w:t>
            </w:r>
            <w:r w:rsidR="00AD78B3">
              <w:rPr>
                <w:rFonts w:ascii="Times New Roman" w:hAnsi="Times New Roman"/>
                <w:sz w:val="24"/>
                <w:szCs w:val="24"/>
              </w:rPr>
              <w:t> </w:t>
            </w:r>
            <w:r w:rsidR="00AD78B3" w:rsidRPr="00350ECB">
              <w:rPr>
                <w:rFonts w:ascii="Times New Roman" w:hAnsi="Times New Roman"/>
                <w:sz w:val="24"/>
                <w:szCs w:val="24"/>
              </w:rPr>
              <w:t>Trans-European Transport</w:t>
            </w:r>
            <w:r w:rsidR="00AD78B3">
              <w:rPr>
                <w:rFonts w:ascii="Times New Roman" w:hAnsi="Times New Roman"/>
                <w:sz w:val="24"/>
                <w:szCs w:val="24"/>
              </w:rPr>
              <w:t> (</w:t>
            </w:r>
            <w:r w:rsidR="26E9E0FC" w:rsidRPr="60FDF571">
              <w:rPr>
                <w:rFonts w:ascii="Times New Roman" w:hAnsi="Times New Roman"/>
                <w:sz w:val="24"/>
                <w:szCs w:val="24"/>
              </w:rPr>
              <w:t>TEN-T</w:t>
            </w:r>
            <w:r w:rsidR="00AD78B3">
              <w:rPr>
                <w:rFonts w:ascii="Times New Roman" w:hAnsi="Times New Roman"/>
                <w:sz w:val="24"/>
                <w:szCs w:val="24"/>
              </w:rPr>
              <w:t>)</w:t>
            </w:r>
            <w:r w:rsidR="26E9E0FC" w:rsidRPr="60FDF571">
              <w:rPr>
                <w:rFonts w:ascii="Times New Roman" w:hAnsi="Times New Roman"/>
                <w:sz w:val="24"/>
                <w:szCs w:val="24"/>
              </w:rPr>
              <w:t xml:space="preserve"> comprehensive network, smaller ports in the core network and, for specific objectives such as security, decarbonisation and the energy transition, ports outside the</w:t>
            </w:r>
            <w:r w:rsidR="008978BA">
              <w:rPr>
                <w:rFonts w:ascii="Times New Roman" w:hAnsi="Times New Roman"/>
                <w:sz w:val="24"/>
                <w:szCs w:val="24"/>
              </w:rPr>
              <w:t> </w:t>
            </w:r>
            <w:r w:rsidR="26E9E0FC" w:rsidRPr="60FDF571">
              <w:rPr>
                <w:rFonts w:ascii="Times New Roman" w:hAnsi="Times New Roman"/>
                <w:sz w:val="24"/>
                <w:szCs w:val="24"/>
              </w:rPr>
              <w:t xml:space="preserve">TEN-T network. Eligibility for support </w:t>
            </w:r>
            <w:r w:rsidR="456F36F8" w:rsidRPr="60FDF571">
              <w:rPr>
                <w:rFonts w:ascii="Times New Roman" w:hAnsi="Times New Roman"/>
                <w:sz w:val="24"/>
                <w:szCs w:val="24"/>
              </w:rPr>
              <w:t>depends on the legal basis and criteria of the relevant instrument</w:t>
            </w:r>
            <w:r w:rsidR="6057F56B" w:rsidRPr="60FDF571">
              <w:rPr>
                <w:rFonts w:ascii="Times New Roman" w:hAnsi="Times New Roman"/>
                <w:sz w:val="24"/>
                <w:szCs w:val="24"/>
              </w:rPr>
              <w:t>.</w:t>
            </w:r>
          </w:p>
          <w:p w14:paraId="346FA9C8" w14:textId="5B7226E2" w:rsidR="002C2931" w:rsidRPr="002C2931" w:rsidRDefault="008067F0" w:rsidP="002C2931">
            <w:pPr>
              <w:spacing w:before="120" w:after="120"/>
              <w:jc w:val="both"/>
              <w:rPr>
                <w:rFonts w:ascii="Times New Roman" w:hAnsi="Times New Roman"/>
                <w:sz w:val="24"/>
                <w:szCs w:val="24"/>
              </w:rPr>
            </w:pPr>
            <w:r w:rsidRPr="008067F0">
              <w:rPr>
                <w:rFonts w:ascii="Times New Roman" w:hAnsi="Times New Roman"/>
                <w:b/>
                <w:sz w:val="24"/>
                <w:szCs w:val="24"/>
              </w:rPr>
              <w:t>Points 1.9</w:t>
            </w:r>
            <w:r w:rsidR="00A12C34">
              <w:rPr>
                <w:rFonts w:ascii="Times New Roman" w:hAnsi="Times New Roman"/>
                <w:b/>
                <w:sz w:val="24"/>
                <w:szCs w:val="24"/>
              </w:rPr>
              <w:t xml:space="preserve">, </w:t>
            </w:r>
            <w:r w:rsidRPr="008067F0">
              <w:rPr>
                <w:rFonts w:ascii="Times New Roman" w:hAnsi="Times New Roman"/>
                <w:b/>
                <w:sz w:val="24"/>
                <w:szCs w:val="24"/>
              </w:rPr>
              <w:t>1.1</w:t>
            </w:r>
            <w:r w:rsidR="00FD3DFC">
              <w:rPr>
                <w:rFonts w:ascii="Times New Roman" w:hAnsi="Times New Roman"/>
                <w:b/>
                <w:sz w:val="24"/>
                <w:szCs w:val="24"/>
              </w:rPr>
              <w:t>0, 1.1</w:t>
            </w:r>
            <w:r w:rsidRPr="008067F0">
              <w:rPr>
                <w:rFonts w:ascii="Times New Roman" w:hAnsi="Times New Roman"/>
                <w:b/>
                <w:sz w:val="24"/>
                <w:szCs w:val="24"/>
              </w:rPr>
              <w:t>2</w:t>
            </w:r>
            <w:r w:rsidR="00FD3DFC">
              <w:rPr>
                <w:rFonts w:ascii="Times New Roman" w:hAnsi="Times New Roman"/>
                <w:b/>
                <w:sz w:val="24"/>
                <w:szCs w:val="24"/>
              </w:rPr>
              <w:t xml:space="preserve">, </w:t>
            </w:r>
            <w:r w:rsidRPr="008067F0">
              <w:rPr>
                <w:rFonts w:ascii="Times New Roman" w:hAnsi="Times New Roman"/>
                <w:b/>
                <w:sz w:val="24"/>
                <w:szCs w:val="24"/>
              </w:rPr>
              <w:t>1.18</w:t>
            </w:r>
            <w:r w:rsidR="00FD3DFC">
              <w:rPr>
                <w:rFonts w:ascii="Times New Roman" w:hAnsi="Times New Roman"/>
                <w:b/>
                <w:sz w:val="24"/>
                <w:szCs w:val="24"/>
              </w:rPr>
              <w:t xml:space="preserve"> and 2.9.4-2.9.6</w:t>
            </w:r>
            <w:r w:rsidRPr="008067F0">
              <w:rPr>
                <w:rFonts w:ascii="Times New Roman" w:hAnsi="Times New Roman"/>
                <w:b/>
                <w:sz w:val="24"/>
                <w:szCs w:val="24"/>
              </w:rPr>
              <w:t xml:space="preserve">: </w:t>
            </w:r>
            <w:r w:rsidR="002C2931" w:rsidRPr="002C2931">
              <w:rPr>
                <w:rFonts w:ascii="Times New Roman" w:hAnsi="Times New Roman"/>
                <w:sz w:val="24"/>
                <w:szCs w:val="24"/>
              </w:rPr>
              <w:t xml:space="preserve">The Commission agrees that port security requires </w:t>
            </w:r>
            <w:r w:rsidR="002A54E3">
              <w:rPr>
                <w:rFonts w:ascii="Times New Roman" w:hAnsi="Times New Roman"/>
                <w:sz w:val="24"/>
                <w:szCs w:val="24"/>
              </w:rPr>
              <w:br/>
            </w:r>
            <w:r w:rsidR="002C2931" w:rsidRPr="002C2931">
              <w:rPr>
                <w:rFonts w:ascii="Times New Roman" w:hAnsi="Times New Roman"/>
                <w:sz w:val="24"/>
                <w:szCs w:val="24"/>
              </w:rPr>
              <w:t xml:space="preserve">an integrated, risk-based approach covering organised crime, cyber and hybrid threats and critical assets. Drug trafficking and organised crime are recognised as strategic threats under </w:t>
            </w:r>
            <w:proofErr w:type="spellStart"/>
            <w:r w:rsidR="002C2931" w:rsidRPr="002C2931">
              <w:rPr>
                <w:rFonts w:ascii="Times New Roman" w:hAnsi="Times New Roman"/>
                <w:sz w:val="24"/>
                <w:szCs w:val="24"/>
              </w:rPr>
              <w:t>ProtectEU</w:t>
            </w:r>
            <w:proofErr w:type="spellEnd"/>
            <w:r w:rsidR="0034345D">
              <w:rPr>
                <w:rStyle w:val="FootnoteReference"/>
                <w:rFonts w:ascii="Times New Roman" w:hAnsi="Times New Roman"/>
                <w:szCs w:val="24"/>
              </w:rPr>
              <w:footnoteReference w:id="5"/>
            </w:r>
            <w:r w:rsidR="002C2931" w:rsidRPr="002C2931">
              <w:rPr>
                <w:rFonts w:ascii="Times New Roman" w:hAnsi="Times New Roman"/>
                <w:sz w:val="24"/>
                <w:szCs w:val="24"/>
              </w:rPr>
              <w:t xml:space="preserve"> and the EU drugs-policy framework</w:t>
            </w:r>
            <w:r w:rsidR="00AD78B3">
              <w:rPr>
                <w:rStyle w:val="FootnoteReference"/>
                <w:rFonts w:ascii="Times New Roman" w:hAnsi="Times New Roman"/>
                <w:szCs w:val="24"/>
              </w:rPr>
              <w:footnoteReference w:id="6"/>
            </w:r>
            <w:r w:rsidR="00E82CE6">
              <w:rPr>
                <w:rFonts w:ascii="Times New Roman" w:hAnsi="Times New Roman"/>
                <w:sz w:val="24"/>
                <w:szCs w:val="24"/>
              </w:rPr>
              <w:t>,</w:t>
            </w:r>
            <w:r w:rsidR="002C2931" w:rsidRPr="002C2931">
              <w:rPr>
                <w:rFonts w:ascii="Times New Roman" w:hAnsi="Times New Roman"/>
                <w:sz w:val="24"/>
                <w:szCs w:val="24"/>
              </w:rPr>
              <w:t xml:space="preserve"> and are addressed through </w:t>
            </w:r>
            <w:r w:rsidR="00200F99">
              <w:rPr>
                <w:rFonts w:ascii="Times New Roman" w:hAnsi="Times New Roman"/>
                <w:sz w:val="24"/>
                <w:szCs w:val="24"/>
              </w:rPr>
              <w:t xml:space="preserve">the </w:t>
            </w:r>
            <w:r w:rsidR="00AD78B3" w:rsidRPr="00350ECB">
              <w:rPr>
                <w:rFonts w:ascii="Times New Roman" w:hAnsi="Times New Roman"/>
                <w:sz w:val="24"/>
                <w:szCs w:val="24"/>
              </w:rPr>
              <w:t>European Multidisciplinary Platform Against Criminal Threats</w:t>
            </w:r>
            <w:r w:rsidR="00AD78B3" w:rsidRPr="00AD78B3">
              <w:rPr>
                <w:rFonts w:ascii="Times New Roman" w:hAnsi="Times New Roman"/>
                <w:sz w:val="24"/>
                <w:szCs w:val="24"/>
              </w:rPr>
              <w:t> </w:t>
            </w:r>
            <w:r w:rsidR="00AD78B3">
              <w:rPr>
                <w:rFonts w:ascii="Times New Roman" w:hAnsi="Times New Roman"/>
                <w:sz w:val="24"/>
                <w:szCs w:val="24"/>
              </w:rPr>
              <w:t>(</w:t>
            </w:r>
            <w:r w:rsidR="002C2931" w:rsidRPr="002C2931">
              <w:rPr>
                <w:rFonts w:ascii="Times New Roman" w:hAnsi="Times New Roman"/>
                <w:sz w:val="24"/>
                <w:szCs w:val="24"/>
              </w:rPr>
              <w:t>EMPACT</w:t>
            </w:r>
            <w:r w:rsidR="00AD78B3">
              <w:rPr>
                <w:rFonts w:ascii="Times New Roman" w:hAnsi="Times New Roman"/>
                <w:sz w:val="24"/>
                <w:szCs w:val="24"/>
              </w:rPr>
              <w:t>)</w:t>
            </w:r>
            <w:r w:rsidR="002C2931" w:rsidRPr="002C2931">
              <w:rPr>
                <w:rFonts w:ascii="Times New Roman" w:hAnsi="Times New Roman"/>
                <w:sz w:val="24"/>
                <w:szCs w:val="24"/>
              </w:rPr>
              <w:t xml:space="preserve"> and the European Ports Alliance</w:t>
            </w:r>
            <w:r w:rsidR="00AD78B3">
              <w:rPr>
                <w:rStyle w:val="FootnoteReference"/>
                <w:rFonts w:ascii="Times New Roman" w:hAnsi="Times New Roman"/>
                <w:szCs w:val="24"/>
              </w:rPr>
              <w:footnoteReference w:id="7"/>
            </w:r>
            <w:r w:rsidR="002C2931" w:rsidRPr="002C2931">
              <w:rPr>
                <w:rFonts w:ascii="Times New Roman" w:hAnsi="Times New Roman"/>
                <w:sz w:val="24"/>
                <w:szCs w:val="24"/>
              </w:rPr>
              <w:t>. Ports are also covered by the EU Action Plan on Drone and Counter-Drone Security</w:t>
            </w:r>
            <w:r w:rsidR="00330165">
              <w:rPr>
                <w:rStyle w:val="FootnoteReference"/>
                <w:rFonts w:ascii="Times New Roman" w:hAnsi="Times New Roman"/>
                <w:szCs w:val="24"/>
              </w:rPr>
              <w:footnoteReference w:id="8"/>
            </w:r>
            <w:r w:rsidR="002C2931" w:rsidRPr="002C2931">
              <w:rPr>
                <w:rFonts w:ascii="Times New Roman" w:hAnsi="Times New Roman"/>
                <w:sz w:val="24"/>
                <w:szCs w:val="24"/>
              </w:rPr>
              <w:t>; specific measures and exercises should be based on risk assessments and adapted to national and local circumstances. Workers are essential partners, and relevant measures must respect fundamental rights, data protection, proportionality, national competences and social dialogue.</w:t>
            </w:r>
          </w:p>
          <w:p w14:paraId="18DE8367" w14:textId="2BBF9E3C" w:rsidR="002C2931" w:rsidRDefault="002C2931" w:rsidP="002C2931">
            <w:pPr>
              <w:spacing w:before="120" w:after="120"/>
              <w:jc w:val="both"/>
              <w:rPr>
                <w:rFonts w:ascii="Times New Roman" w:hAnsi="Times New Roman"/>
                <w:sz w:val="24"/>
                <w:szCs w:val="24"/>
              </w:rPr>
            </w:pPr>
            <w:r w:rsidRPr="002C2931">
              <w:rPr>
                <w:rFonts w:ascii="Times New Roman" w:hAnsi="Times New Roman"/>
                <w:sz w:val="24"/>
                <w:szCs w:val="24"/>
              </w:rPr>
              <w:t xml:space="preserve">The Commission also shares concerns regarding opaque ownership structures, strategic acquisitions, technological dependencies and influence by foreign state-backed actors over critical port assets. </w:t>
            </w:r>
            <w:r w:rsidRPr="002C2931">
              <w:rPr>
                <w:rFonts w:ascii="Times New Roman" w:hAnsi="Times New Roman"/>
                <w:sz w:val="24"/>
                <w:szCs w:val="24"/>
              </w:rPr>
              <w:lastRenderedPageBreak/>
              <w:t>The</w:t>
            </w:r>
            <w:r w:rsidR="00AD78B3">
              <w:rPr>
                <w:rFonts w:ascii="Times New Roman" w:hAnsi="Times New Roman"/>
                <w:sz w:val="24"/>
                <w:szCs w:val="24"/>
              </w:rPr>
              <w:t> </w:t>
            </w:r>
            <w:r w:rsidRPr="002C2931">
              <w:rPr>
                <w:rFonts w:ascii="Times New Roman" w:hAnsi="Times New Roman"/>
                <w:sz w:val="24"/>
                <w:szCs w:val="24"/>
              </w:rPr>
              <w:t>Strategy strengthens transparency, investment screening and informed risk assessment. Foreign-investment screening under the applicable EU framework focuses on risks to security or public order, while compliance with labour and social law remains governed by the relevant EU and national frameworks. Social dialogue may contribute to assessing and mitigating the consequences of investment decisions, in accordance with national law and practice.</w:t>
            </w:r>
          </w:p>
          <w:p w14:paraId="7CBF1500" w14:textId="150DD27A" w:rsidR="008067F0" w:rsidRPr="008067F0" w:rsidRDefault="008067F0" w:rsidP="002C2931">
            <w:pPr>
              <w:spacing w:before="120" w:after="120"/>
              <w:jc w:val="both"/>
              <w:rPr>
                <w:rFonts w:ascii="Times New Roman" w:hAnsi="Times New Roman"/>
                <w:sz w:val="24"/>
                <w:szCs w:val="24"/>
              </w:rPr>
            </w:pPr>
            <w:r w:rsidRPr="008067F0">
              <w:rPr>
                <w:rFonts w:ascii="Times New Roman" w:hAnsi="Times New Roman"/>
                <w:b/>
                <w:sz w:val="24"/>
                <w:szCs w:val="24"/>
              </w:rPr>
              <w:t>Points 1.11</w:t>
            </w:r>
            <w:r w:rsidR="008E0519">
              <w:rPr>
                <w:rFonts w:ascii="Times New Roman" w:hAnsi="Times New Roman"/>
                <w:b/>
                <w:sz w:val="24"/>
                <w:szCs w:val="24"/>
              </w:rPr>
              <w:t xml:space="preserve">, </w:t>
            </w:r>
            <w:r w:rsidRPr="008067F0">
              <w:rPr>
                <w:rFonts w:ascii="Times New Roman" w:hAnsi="Times New Roman"/>
                <w:b/>
                <w:sz w:val="24"/>
                <w:szCs w:val="24"/>
              </w:rPr>
              <w:t>1.13</w:t>
            </w:r>
            <w:r w:rsidR="008E0519">
              <w:rPr>
                <w:rFonts w:ascii="Times New Roman" w:hAnsi="Times New Roman"/>
                <w:b/>
                <w:sz w:val="24"/>
                <w:szCs w:val="24"/>
              </w:rPr>
              <w:t xml:space="preserve"> and 2.11.7</w:t>
            </w:r>
            <w:r w:rsidRPr="008067F0">
              <w:rPr>
                <w:rFonts w:ascii="Times New Roman" w:hAnsi="Times New Roman"/>
                <w:b/>
                <w:sz w:val="24"/>
                <w:szCs w:val="24"/>
              </w:rPr>
              <w:t xml:space="preserve">: </w:t>
            </w:r>
            <w:r w:rsidRPr="008067F0">
              <w:rPr>
                <w:rFonts w:ascii="Times New Roman" w:hAnsi="Times New Roman"/>
                <w:sz w:val="24"/>
                <w:szCs w:val="24"/>
              </w:rPr>
              <w:t xml:space="preserve">The Commission supports transparent, non-discriminatory and legally certain concession and land-lease frameworks that safeguard the public interest, facilitate long-term investment and contribute to a level playing field through the effective application of internal market rules. </w:t>
            </w:r>
            <w:r w:rsidR="009D7C5A" w:rsidRPr="00EA0341">
              <w:rPr>
                <w:rFonts w:ascii="Times New Roman" w:hAnsi="Times New Roman"/>
                <w:sz w:val="24"/>
                <w:szCs w:val="24"/>
              </w:rPr>
              <w:t>The ongoing review of the Merger Guidelines</w:t>
            </w:r>
            <w:r w:rsidR="000D4E0A">
              <w:rPr>
                <w:rStyle w:val="FootnoteReference"/>
                <w:rFonts w:ascii="Times New Roman" w:hAnsi="Times New Roman"/>
                <w:szCs w:val="24"/>
              </w:rPr>
              <w:footnoteReference w:id="9"/>
            </w:r>
            <w:r w:rsidR="000D4E0A" w:rsidRPr="008F54BC">
              <w:rPr>
                <w:rFonts w:ascii="Times New Roman" w:hAnsi="Times New Roman"/>
                <w:sz w:val="24"/>
                <w:szCs w:val="24"/>
              </w:rPr>
              <w:t xml:space="preserve"> </w:t>
            </w:r>
            <w:r w:rsidR="009D7C5A" w:rsidRPr="00EA0341">
              <w:rPr>
                <w:rFonts w:ascii="Times New Roman" w:hAnsi="Times New Roman"/>
                <w:sz w:val="24"/>
                <w:szCs w:val="24"/>
              </w:rPr>
              <w:t xml:space="preserve"> will provide more guidance on how the Commission assesses vertical integration through mergers</w:t>
            </w:r>
            <w:r w:rsidR="009D7C5A">
              <w:rPr>
                <w:rFonts w:ascii="Times New Roman" w:hAnsi="Times New Roman"/>
                <w:sz w:val="24"/>
                <w:szCs w:val="24"/>
              </w:rPr>
              <w:t xml:space="preserve">. </w:t>
            </w:r>
            <w:r w:rsidR="002403A3" w:rsidRPr="002403A3">
              <w:rPr>
                <w:rFonts w:ascii="Times New Roman" w:hAnsi="Times New Roman"/>
                <w:sz w:val="24"/>
                <w:szCs w:val="24"/>
              </w:rPr>
              <w:t xml:space="preserve">However, the Commission cannot endorse </w:t>
            </w:r>
            <w:r w:rsidR="000A6666">
              <w:rPr>
                <w:rFonts w:ascii="Times New Roman" w:hAnsi="Times New Roman"/>
                <w:sz w:val="24"/>
                <w:szCs w:val="24"/>
              </w:rPr>
              <w:br/>
            </w:r>
            <w:r w:rsidR="002403A3" w:rsidRPr="002403A3">
              <w:rPr>
                <w:rFonts w:ascii="Times New Roman" w:hAnsi="Times New Roman"/>
                <w:sz w:val="24"/>
                <w:szCs w:val="24"/>
              </w:rPr>
              <w:t>a single port governance model, since arrangements differ across Member States and must comply with the applicable EU and national frameworks.</w:t>
            </w:r>
            <w:r w:rsidR="008E0519">
              <w:t xml:space="preserve"> </w:t>
            </w:r>
            <w:r w:rsidR="008E0519" w:rsidRPr="008E0519">
              <w:rPr>
                <w:rFonts w:ascii="Times New Roman" w:hAnsi="Times New Roman"/>
                <w:sz w:val="24"/>
                <w:szCs w:val="24"/>
              </w:rPr>
              <w:t xml:space="preserve">Concerns relating to vertical integration are assessed under EU competition rules. </w:t>
            </w:r>
            <w:r w:rsidR="008F54BC" w:rsidRPr="008F54BC">
              <w:rPr>
                <w:rFonts w:ascii="Times New Roman" w:hAnsi="Times New Roman"/>
                <w:sz w:val="24"/>
                <w:szCs w:val="24"/>
              </w:rPr>
              <w:t>Safeguarding employment as such is not an autonomous criterion under the EU Merger Regulation</w:t>
            </w:r>
            <w:r w:rsidR="0007527C">
              <w:rPr>
                <w:rStyle w:val="FootnoteReference"/>
                <w:rFonts w:ascii="Times New Roman" w:hAnsi="Times New Roman"/>
                <w:szCs w:val="24"/>
              </w:rPr>
              <w:footnoteReference w:id="10"/>
            </w:r>
            <w:r w:rsidR="008F54BC" w:rsidRPr="008F54BC">
              <w:rPr>
                <w:rFonts w:ascii="Times New Roman" w:hAnsi="Times New Roman"/>
                <w:sz w:val="24"/>
                <w:szCs w:val="24"/>
              </w:rPr>
              <w:t xml:space="preserve"> and is addressed through the</w:t>
            </w:r>
            <w:r w:rsidR="00B05A09">
              <w:rPr>
                <w:rFonts w:ascii="Times New Roman" w:hAnsi="Times New Roman"/>
                <w:sz w:val="24"/>
                <w:szCs w:val="24"/>
              </w:rPr>
              <w:t> </w:t>
            </w:r>
            <w:r w:rsidR="008F54BC" w:rsidRPr="008F54BC">
              <w:rPr>
                <w:rFonts w:ascii="Times New Roman" w:hAnsi="Times New Roman"/>
                <w:sz w:val="24"/>
                <w:szCs w:val="24"/>
              </w:rPr>
              <w:t xml:space="preserve">applicable labour and social framework. </w:t>
            </w:r>
          </w:p>
          <w:p w14:paraId="4995A21A" w14:textId="486BC129" w:rsidR="008067F0" w:rsidRDefault="008067F0" w:rsidP="00E432DD">
            <w:pPr>
              <w:spacing w:before="120" w:after="120"/>
              <w:jc w:val="both"/>
              <w:rPr>
                <w:rFonts w:ascii="Times New Roman" w:hAnsi="Times New Roman"/>
                <w:sz w:val="24"/>
                <w:szCs w:val="24"/>
              </w:rPr>
            </w:pPr>
            <w:r w:rsidRPr="008067F0">
              <w:rPr>
                <w:rFonts w:ascii="Times New Roman" w:hAnsi="Times New Roman"/>
                <w:b/>
                <w:sz w:val="24"/>
                <w:szCs w:val="24"/>
              </w:rPr>
              <w:t>Points 1.14</w:t>
            </w:r>
            <w:r w:rsidR="00110C93">
              <w:rPr>
                <w:rFonts w:ascii="Times New Roman" w:hAnsi="Times New Roman"/>
                <w:b/>
                <w:sz w:val="24"/>
                <w:szCs w:val="24"/>
              </w:rPr>
              <w:t xml:space="preserve">, </w:t>
            </w:r>
            <w:r w:rsidRPr="008067F0">
              <w:rPr>
                <w:rFonts w:ascii="Times New Roman" w:hAnsi="Times New Roman"/>
                <w:b/>
                <w:sz w:val="24"/>
                <w:szCs w:val="24"/>
              </w:rPr>
              <w:t>1.15</w:t>
            </w:r>
            <w:r w:rsidR="00110C93">
              <w:rPr>
                <w:rFonts w:ascii="Times New Roman" w:hAnsi="Times New Roman"/>
                <w:b/>
                <w:sz w:val="24"/>
                <w:szCs w:val="24"/>
              </w:rPr>
              <w:t xml:space="preserve"> and 1.17</w:t>
            </w:r>
            <w:r w:rsidRPr="008067F0">
              <w:rPr>
                <w:rFonts w:ascii="Times New Roman" w:hAnsi="Times New Roman"/>
                <w:b/>
                <w:sz w:val="24"/>
                <w:szCs w:val="24"/>
              </w:rPr>
              <w:t xml:space="preserve">: </w:t>
            </w:r>
            <w:r w:rsidRPr="008067F0">
              <w:rPr>
                <w:rFonts w:ascii="Times New Roman" w:hAnsi="Times New Roman"/>
                <w:sz w:val="24"/>
                <w:szCs w:val="24"/>
              </w:rPr>
              <w:t>The Commission recognises that EU ports operate in a global environment in which regulatory, financial and operational conditions may differ considerably. In implementing the</w:t>
            </w:r>
            <w:r w:rsidR="00CD18F4">
              <w:rPr>
                <w:rFonts w:ascii="Times New Roman" w:hAnsi="Times New Roman"/>
                <w:sz w:val="24"/>
                <w:szCs w:val="24"/>
              </w:rPr>
              <w:t> </w:t>
            </w:r>
            <w:r w:rsidRPr="008067F0">
              <w:rPr>
                <w:rFonts w:ascii="Times New Roman" w:hAnsi="Times New Roman"/>
                <w:sz w:val="24"/>
                <w:szCs w:val="24"/>
              </w:rPr>
              <w:t xml:space="preserve">Strategy, </w:t>
            </w:r>
            <w:r w:rsidR="002E1C74">
              <w:rPr>
                <w:rFonts w:ascii="Times New Roman" w:hAnsi="Times New Roman"/>
                <w:sz w:val="24"/>
                <w:szCs w:val="24"/>
              </w:rPr>
              <w:t xml:space="preserve">the Commission </w:t>
            </w:r>
            <w:r w:rsidRPr="008067F0">
              <w:rPr>
                <w:rFonts w:ascii="Times New Roman" w:hAnsi="Times New Roman"/>
                <w:sz w:val="24"/>
                <w:szCs w:val="24"/>
              </w:rPr>
              <w:t xml:space="preserve">will continue to consider cumulative impacts and risks of traffic or investment diversion. </w:t>
            </w:r>
            <w:r w:rsidR="0036389B" w:rsidRPr="0036389B">
              <w:rPr>
                <w:rFonts w:ascii="Times New Roman" w:hAnsi="Times New Roman"/>
                <w:sz w:val="24"/>
                <w:szCs w:val="24"/>
              </w:rPr>
              <w:t>EU external instruments provide development and investment support to third-country ports. As reflected in Annex</w:t>
            </w:r>
            <w:r w:rsidR="00CD18F4">
              <w:rPr>
                <w:rFonts w:ascii="Times New Roman" w:hAnsi="Times New Roman"/>
                <w:sz w:val="24"/>
                <w:szCs w:val="24"/>
              </w:rPr>
              <w:t> </w:t>
            </w:r>
            <w:r w:rsidR="0036389B" w:rsidRPr="0036389B">
              <w:rPr>
                <w:rFonts w:ascii="Times New Roman" w:hAnsi="Times New Roman"/>
                <w:sz w:val="24"/>
                <w:szCs w:val="24"/>
              </w:rPr>
              <w:t>1, Part</w:t>
            </w:r>
            <w:r w:rsidR="00CD18F4">
              <w:rPr>
                <w:rFonts w:ascii="Times New Roman" w:hAnsi="Times New Roman"/>
                <w:sz w:val="24"/>
                <w:szCs w:val="24"/>
              </w:rPr>
              <w:t> </w:t>
            </w:r>
            <w:r w:rsidR="0036389B" w:rsidRPr="0036389B">
              <w:rPr>
                <w:rFonts w:ascii="Times New Roman" w:hAnsi="Times New Roman"/>
                <w:sz w:val="24"/>
                <w:szCs w:val="24"/>
              </w:rPr>
              <w:t>B of the Strategy, such cooperation should be mutually beneficial, aligned with EU strategic interests and implemented in accordance with high social, labour and environmental standards and fair competition. It should not undermine EU port capacity, competitiveness or resilience. These principles also apply to EU involvement in third-country port projects, including the participation of EU companies.</w:t>
            </w:r>
          </w:p>
          <w:p w14:paraId="7D8BD401" w14:textId="07A579D6" w:rsidR="00830D36" w:rsidRPr="008067F0" w:rsidRDefault="00830D36" w:rsidP="00E432DD">
            <w:pPr>
              <w:spacing w:before="120" w:after="120"/>
              <w:jc w:val="both"/>
              <w:rPr>
                <w:rFonts w:ascii="Times New Roman" w:hAnsi="Times New Roman"/>
                <w:sz w:val="24"/>
                <w:szCs w:val="24"/>
              </w:rPr>
            </w:pPr>
            <w:r>
              <w:rPr>
                <w:rFonts w:ascii="Times New Roman" w:hAnsi="Times New Roman"/>
                <w:sz w:val="24"/>
                <w:szCs w:val="24"/>
              </w:rPr>
              <w:t>The EU Emissions Trading System (ETS) Directive</w:t>
            </w:r>
            <w:r w:rsidR="00CD18F4">
              <w:rPr>
                <w:rStyle w:val="FootnoteReference"/>
                <w:rFonts w:ascii="Times New Roman" w:hAnsi="Times New Roman"/>
                <w:szCs w:val="24"/>
              </w:rPr>
              <w:footnoteReference w:id="11"/>
            </w:r>
            <w:r>
              <w:rPr>
                <w:rFonts w:ascii="Times New Roman" w:hAnsi="Times New Roman"/>
                <w:sz w:val="24"/>
                <w:szCs w:val="24"/>
              </w:rPr>
              <w:t xml:space="preserve"> currently includes a targeted and </w:t>
            </w:r>
            <w:r w:rsidR="00F35D9C">
              <w:rPr>
                <w:rFonts w:ascii="Times New Roman" w:hAnsi="Times New Roman"/>
                <w:sz w:val="24"/>
                <w:szCs w:val="24"/>
              </w:rPr>
              <w:t>proportionate measure to address the risk of traffic diversion to non-EU transhipment ports, which is being further strengthened in the 2026 Commission’s proposal for a revision of the EU ETS.</w:t>
            </w:r>
          </w:p>
          <w:p w14:paraId="096F5944" w14:textId="42BE6F63" w:rsidR="008067F0" w:rsidRDefault="0235F4FE" w:rsidP="45F458B9">
            <w:pPr>
              <w:spacing w:before="120" w:after="120"/>
              <w:jc w:val="both"/>
              <w:rPr>
                <w:rFonts w:ascii="Times New Roman" w:hAnsi="Times New Roman"/>
                <w:sz w:val="24"/>
                <w:szCs w:val="24"/>
              </w:rPr>
            </w:pPr>
            <w:r w:rsidRPr="60FDF571">
              <w:rPr>
                <w:rFonts w:ascii="Times New Roman" w:hAnsi="Times New Roman"/>
                <w:b/>
                <w:bCs/>
                <w:sz w:val="24"/>
                <w:szCs w:val="24"/>
              </w:rPr>
              <w:t>Points 1.19</w:t>
            </w:r>
            <w:r w:rsidR="5988CF42">
              <w:rPr>
                <w:rFonts w:ascii="Times New Roman" w:hAnsi="Times New Roman"/>
                <w:b/>
                <w:bCs/>
                <w:sz w:val="24"/>
                <w:szCs w:val="24"/>
              </w:rPr>
              <w:t xml:space="preserve">, </w:t>
            </w:r>
            <w:r w:rsidRPr="60FDF571">
              <w:rPr>
                <w:rFonts w:ascii="Times New Roman" w:hAnsi="Times New Roman"/>
                <w:b/>
                <w:bCs/>
                <w:sz w:val="24"/>
                <w:szCs w:val="24"/>
              </w:rPr>
              <w:t>1.20</w:t>
            </w:r>
            <w:r w:rsidR="2B12419F" w:rsidRPr="45F458B9">
              <w:rPr>
                <w:rFonts w:ascii="Times New Roman" w:hAnsi="Times New Roman"/>
                <w:b/>
                <w:bCs/>
                <w:sz w:val="24"/>
                <w:szCs w:val="24"/>
              </w:rPr>
              <w:t xml:space="preserve"> and 3.2.3</w:t>
            </w:r>
            <w:r w:rsidRPr="45F458B9">
              <w:rPr>
                <w:rFonts w:ascii="Times New Roman" w:hAnsi="Times New Roman"/>
                <w:b/>
                <w:bCs/>
                <w:sz w:val="24"/>
                <w:szCs w:val="24"/>
              </w:rPr>
              <w:t xml:space="preserve">: </w:t>
            </w:r>
            <w:r w:rsidR="2B9076D2" w:rsidRPr="45F458B9">
              <w:rPr>
                <w:rFonts w:ascii="Times New Roman" w:hAnsi="Times New Roman"/>
                <w:sz w:val="24"/>
                <w:szCs w:val="24"/>
              </w:rPr>
              <w:t xml:space="preserve">The Commission recognises the importance of maritime and ferry connectivity for islands, outermost and peripheral regions and the contribution of fisheries and coastal </w:t>
            </w:r>
            <w:r w:rsidR="2B9076D2" w:rsidRPr="00796EC8">
              <w:rPr>
                <w:rFonts w:ascii="Times New Roman" w:hAnsi="Times New Roman"/>
                <w:sz w:val="24"/>
                <w:szCs w:val="24"/>
              </w:rPr>
              <w:t xml:space="preserve">communities. </w:t>
            </w:r>
            <w:proofErr w:type="gramStart"/>
            <w:r w:rsidR="457FD166" w:rsidRPr="00796EC8">
              <w:rPr>
                <w:rFonts w:ascii="Times New Roman" w:eastAsia="Times New Roman" w:hAnsi="Times New Roman"/>
                <w:sz w:val="24"/>
                <w:szCs w:val="24"/>
              </w:rPr>
              <w:t>Particular attention</w:t>
            </w:r>
            <w:proofErr w:type="gramEnd"/>
            <w:r w:rsidR="457FD166" w:rsidRPr="00796EC8">
              <w:rPr>
                <w:rFonts w:ascii="Times New Roman" w:eastAsia="Times New Roman" w:hAnsi="Times New Roman"/>
                <w:sz w:val="24"/>
                <w:szCs w:val="24"/>
              </w:rPr>
              <w:t xml:space="preserve"> should be paid on their needs and resilience</w:t>
            </w:r>
            <w:r w:rsidR="00BB7F50" w:rsidRPr="2A61BB8C">
              <w:rPr>
                <w:rStyle w:val="FootnoteReference"/>
                <w:rFonts w:ascii="Times New Roman" w:eastAsia="Times New Roman" w:hAnsi="Times New Roman"/>
              </w:rPr>
              <w:footnoteReference w:id="12"/>
            </w:r>
            <w:r w:rsidR="619E92C0" w:rsidRPr="00796EC8">
              <w:rPr>
                <w:rFonts w:ascii="Times New Roman" w:eastAsia="Times New Roman" w:hAnsi="Times New Roman"/>
                <w:sz w:val="24"/>
                <w:szCs w:val="24"/>
              </w:rPr>
              <w:t>.</w:t>
            </w:r>
            <w:r w:rsidR="457FD166" w:rsidRPr="00796EC8">
              <w:rPr>
                <w:rFonts w:ascii="Times New Roman" w:eastAsia="Times New Roman" w:hAnsi="Times New Roman"/>
                <w:sz w:val="24"/>
                <w:szCs w:val="24"/>
              </w:rPr>
              <w:t xml:space="preserve"> </w:t>
            </w:r>
            <w:r w:rsidR="2B9076D2" w:rsidRPr="00796EC8">
              <w:rPr>
                <w:rFonts w:ascii="Times New Roman" w:hAnsi="Times New Roman"/>
                <w:sz w:val="24"/>
                <w:szCs w:val="24"/>
              </w:rPr>
              <w:t>These priorities are also reflected in the EU Strategy for Islands</w:t>
            </w:r>
            <w:r w:rsidR="008067F0" w:rsidRPr="00796EC8">
              <w:rPr>
                <w:rStyle w:val="FootnoteReference"/>
                <w:rFonts w:ascii="Times New Roman" w:hAnsi="Times New Roman"/>
              </w:rPr>
              <w:footnoteReference w:id="13"/>
            </w:r>
            <w:r w:rsidR="2B9076D2" w:rsidRPr="00796EC8">
              <w:rPr>
                <w:rFonts w:ascii="Times New Roman" w:hAnsi="Times New Roman"/>
                <w:sz w:val="24"/>
                <w:szCs w:val="24"/>
              </w:rPr>
              <w:t xml:space="preserve"> and the Strategy for Prosperous</w:t>
            </w:r>
            <w:r w:rsidR="2B9076D2" w:rsidRPr="45F458B9">
              <w:rPr>
                <w:rFonts w:ascii="Times New Roman" w:hAnsi="Times New Roman"/>
                <w:sz w:val="24"/>
                <w:szCs w:val="24"/>
              </w:rPr>
              <w:t>, Resilient and Liveable Coastal Communities</w:t>
            </w:r>
            <w:r w:rsidR="008067F0" w:rsidRPr="45F458B9">
              <w:rPr>
                <w:rStyle w:val="FootnoteReference"/>
                <w:rFonts w:ascii="Times New Roman" w:hAnsi="Times New Roman"/>
              </w:rPr>
              <w:footnoteReference w:id="14"/>
            </w:r>
            <w:r w:rsidR="2B9076D2" w:rsidRPr="45F458B9">
              <w:rPr>
                <w:rFonts w:ascii="Times New Roman" w:hAnsi="Times New Roman"/>
                <w:sz w:val="24"/>
                <w:szCs w:val="24"/>
              </w:rPr>
              <w:t>, adopted in June 202</w:t>
            </w:r>
            <w:r w:rsidR="2B9076D2" w:rsidRPr="2A61BB8C">
              <w:rPr>
                <w:rFonts w:ascii="Times New Roman" w:hAnsi="Times New Roman"/>
                <w:sz w:val="24"/>
                <w:szCs w:val="24"/>
              </w:rPr>
              <w:t>6</w:t>
            </w:r>
            <w:r w:rsidR="06710FA5" w:rsidRPr="45F458B9">
              <w:rPr>
                <w:rFonts w:ascii="Times New Roman" w:hAnsi="Times New Roman"/>
                <w:sz w:val="24"/>
                <w:szCs w:val="24"/>
              </w:rPr>
              <w:t xml:space="preserve">, </w:t>
            </w:r>
            <w:r w:rsidR="06710FA5" w:rsidRPr="2A61BB8C">
              <w:rPr>
                <w:rFonts w:ascii="Times New Roman" w:hAnsi="Times New Roman"/>
                <w:sz w:val="24"/>
                <w:szCs w:val="24"/>
              </w:rPr>
              <w:t xml:space="preserve">as well as in the </w:t>
            </w:r>
            <w:r w:rsidR="009074BC">
              <w:rPr>
                <w:rFonts w:ascii="Times New Roman" w:hAnsi="Times New Roman"/>
                <w:sz w:val="24"/>
                <w:szCs w:val="24"/>
              </w:rPr>
              <w:t>O</w:t>
            </w:r>
            <w:r w:rsidR="06710FA5" w:rsidRPr="2A61BB8C">
              <w:rPr>
                <w:rFonts w:ascii="Times New Roman" w:hAnsi="Times New Roman"/>
                <w:sz w:val="24"/>
                <w:szCs w:val="24"/>
              </w:rPr>
              <w:t xml:space="preserve">utermost </w:t>
            </w:r>
            <w:r w:rsidR="009074BC">
              <w:rPr>
                <w:rFonts w:ascii="Times New Roman" w:hAnsi="Times New Roman"/>
                <w:sz w:val="24"/>
                <w:szCs w:val="24"/>
              </w:rPr>
              <w:t>R</w:t>
            </w:r>
            <w:r w:rsidR="06710FA5" w:rsidRPr="2A61BB8C">
              <w:rPr>
                <w:rFonts w:ascii="Times New Roman" w:hAnsi="Times New Roman"/>
                <w:sz w:val="24"/>
                <w:szCs w:val="24"/>
              </w:rPr>
              <w:t xml:space="preserve">egion </w:t>
            </w:r>
            <w:r w:rsidR="009074BC">
              <w:rPr>
                <w:rFonts w:ascii="Times New Roman" w:hAnsi="Times New Roman"/>
                <w:sz w:val="24"/>
                <w:szCs w:val="24"/>
              </w:rPr>
              <w:t>S</w:t>
            </w:r>
            <w:r w:rsidR="06710FA5" w:rsidRPr="2A61BB8C">
              <w:rPr>
                <w:rFonts w:ascii="Times New Roman" w:hAnsi="Times New Roman"/>
                <w:sz w:val="24"/>
                <w:szCs w:val="24"/>
              </w:rPr>
              <w:t xml:space="preserve">trategy </w:t>
            </w:r>
            <w:r w:rsidR="06710FA5" w:rsidRPr="009D45A5">
              <w:rPr>
                <w:rFonts w:ascii="Times New Roman" w:hAnsi="Times New Roman"/>
                <w:sz w:val="24"/>
                <w:szCs w:val="24"/>
              </w:rPr>
              <w:t xml:space="preserve">adopted </w:t>
            </w:r>
            <w:r w:rsidR="006C11ED" w:rsidRPr="009D45A5">
              <w:rPr>
                <w:rFonts w:ascii="Times New Roman" w:hAnsi="Times New Roman"/>
                <w:sz w:val="24"/>
                <w:szCs w:val="24"/>
              </w:rPr>
              <w:t xml:space="preserve">on </w:t>
            </w:r>
            <w:r w:rsidR="006C11ED" w:rsidRPr="009D45A5">
              <w:rPr>
                <w:rFonts w:ascii="Times New Roman" w:hAnsi="Times New Roman"/>
                <w:sz w:val="24"/>
                <w:szCs w:val="24"/>
              </w:rPr>
              <w:lastRenderedPageBreak/>
              <w:t xml:space="preserve">10 </w:t>
            </w:r>
            <w:r w:rsidR="06710FA5" w:rsidRPr="009D45A5">
              <w:rPr>
                <w:rFonts w:ascii="Times New Roman" w:hAnsi="Times New Roman"/>
                <w:sz w:val="24"/>
                <w:szCs w:val="24"/>
              </w:rPr>
              <w:t>September 2026</w:t>
            </w:r>
            <w:r w:rsidR="06710FA5" w:rsidRPr="2A61BB8C">
              <w:rPr>
                <w:rFonts w:ascii="Times New Roman" w:hAnsi="Times New Roman"/>
                <w:sz w:val="24"/>
                <w:szCs w:val="24"/>
              </w:rPr>
              <w:t>.</w:t>
            </w:r>
            <w:r w:rsidR="2B9076D2" w:rsidRPr="2A61BB8C">
              <w:rPr>
                <w:rFonts w:ascii="Times New Roman" w:hAnsi="Times New Roman"/>
                <w:sz w:val="24"/>
                <w:szCs w:val="24"/>
              </w:rPr>
              <w:t xml:space="preserve"> The scope of future investment instruments, including the Sustainable Transport Investment Plan</w:t>
            </w:r>
            <w:r w:rsidR="009074BC">
              <w:rPr>
                <w:rStyle w:val="FootnoteReference"/>
                <w:rFonts w:ascii="Times New Roman" w:hAnsi="Times New Roman"/>
                <w:szCs w:val="24"/>
              </w:rPr>
              <w:footnoteReference w:id="15"/>
            </w:r>
            <w:r w:rsidR="2B9076D2" w:rsidRPr="2A61BB8C">
              <w:rPr>
                <w:rFonts w:ascii="Times New Roman" w:hAnsi="Times New Roman"/>
                <w:sz w:val="24"/>
                <w:szCs w:val="24"/>
              </w:rPr>
              <w:t>, cannot be prejudged.</w:t>
            </w:r>
          </w:p>
          <w:p w14:paraId="30D14481" w14:textId="2EE0BFEC" w:rsidR="005704E9" w:rsidRPr="005704E9" w:rsidRDefault="00C81D69" w:rsidP="00694DAE">
            <w:pPr>
              <w:spacing w:before="120" w:after="120"/>
              <w:jc w:val="both"/>
              <w:rPr>
                <w:rFonts w:ascii="Times New Roman" w:hAnsi="Times New Roman"/>
                <w:sz w:val="24"/>
                <w:szCs w:val="24"/>
              </w:rPr>
            </w:pPr>
            <w:r w:rsidRPr="00C81D69">
              <w:rPr>
                <w:rFonts w:ascii="Times New Roman" w:hAnsi="Times New Roman"/>
                <w:b/>
                <w:bCs/>
                <w:sz w:val="24"/>
                <w:szCs w:val="24"/>
              </w:rPr>
              <w:t>Point 1.21</w:t>
            </w:r>
            <w:r w:rsidRPr="00C81D69">
              <w:rPr>
                <w:rFonts w:ascii="Times New Roman" w:hAnsi="Times New Roman"/>
                <w:sz w:val="24"/>
                <w:szCs w:val="24"/>
              </w:rPr>
              <w:t xml:space="preserve">: </w:t>
            </w:r>
            <w:r w:rsidR="005704E9" w:rsidRPr="005704E9">
              <w:rPr>
                <w:rFonts w:ascii="Times New Roman" w:hAnsi="Times New Roman"/>
                <w:sz w:val="24"/>
                <w:szCs w:val="24"/>
              </w:rPr>
              <w:t>The Commission agrees that competitive and resilient ports require a skilled and diverse workforce, supported by safe working conditions, social dialogue, lifelong learning, upskilling and reskilling, with particular attention to attracting young people and women.</w:t>
            </w:r>
          </w:p>
        </w:tc>
      </w:tr>
    </w:tbl>
    <w:p w14:paraId="4B31F071" w14:textId="77777777" w:rsidR="00077C4F" w:rsidRPr="00A52652" w:rsidRDefault="00077C4F" w:rsidP="00A52652">
      <w:pPr>
        <w:spacing w:after="0" w:line="240" w:lineRule="auto"/>
        <w:ind w:left="-426"/>
        <w:rPr>
          <w:rFonts w:ascii="Times New Roman" w:hAnsi="Times New Roman"/>
          <w:sz w:val="10"/>
          <w:szCs w:val="10"/>
        </w:rPr>
      </w:pPr>
    </w:p>
    <w:sectPr w:rsidR="00077C4F" w:rsidRPr="00A5265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C515F" w14:textId="77777777" w:rsidR="002B0E6C" w:rsidRDefault="002B0E6C" w:rsidP="00FF63EA">
      <w:pPr>
        <w:spacing w:after="0" w:line="240" w:lineRule="auto"/>
      </w:pPr>
      <w:r>
        <w:separator/>
      </w:r>
    </w:p>
  </w:endnote>
  <w:endnote w:type="continuationSeparator" w:id="0">
    <w:p w14:paraId="6525AD54" w14:textId="77777777" w:rsidR="002B0E6C" w:rsidRDefault="002B0E6C"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0EAA" w14:textId="77777777" w:rsidR="00A34B13" w:rsidRDefault="00A34B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DBE5" w14:textId="77777777" w:rsidR="00A34B13" w:rsidRDefault="00A34B13">
    <w:pPr>
      <w:pStyle w:val="Footer"/>
      <w:jc w:val="center"/>
    </w:pPr>
    <w:r>
      <w:fldChar w:fldCharType="begin"/>
    </w:r>
    <w:r>
      <w:instrText xml:space="preserve"> PAGE   \* MERGEFORMAT </w:instrText>
    </w:r>
    <w:r>
      <w:fldChar w:fldCharType="separate"/>
    </w:r>
    <w:r>
      <w:rPr>
        <w:noProof/>
      </w:rPr>
      <w:t>2</w:t>
    </w:r>
    <w:r>
      <w:rPr>
        <w:noProof/>
      </w:rPr>
      <w:fldChar w:fldCharType="end"/>
    </w:r>
  </w:p>
  <w:p w14:paraId="6DC3A114" w14:textId="77777777" w:rsidR="00A34B13" w:rsidRDefault="00A34B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A626" w14:textId="77777777" w:rsidR="00A34B13" w:rsidRDefault="00A34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37DB" w14:textId="77777777" w:rsidR="002B0E6C" w:rsidRDefault="002B0E6C" w:rsidP="00FF63EA">
      <w:pPr>
        <w:spacing w:after="0" w:line="240" w:lineRule="auto"/>
      </w:pPr>
      <w:r>
        <w:separator/>
      </w:r>
    </w:p>
  </w:footnote>
  <w:footnote w:type="continuationSeparator" w:id="0">
    <w:p w14:paraId="7B73DAE6" w14:textId="77777777" w:rsidR="002B0E6C" w:rsidRDefault="002B0E6C" w:rsidP="00FF63EA">
      <w:pPr>
        <w:spacing w:after="0" w:line="240" w:lineRule="auto"/>
      </w:pPr>
      <w:r>
        <w:continuationSeparator/>
      </w:r>
    </w:p>
  </w:footnote>
  <w:footnote w:id="1">
    <w:p w14:paraId="7BD626C0" w14:textId="4C9D36B8" w:rsidR="006F3C90" w:rsidRPr="006A6903" w:rsidRDefault="006F3C90" w:rsidP="00350ECB">
      <w:pPr>
        <w:pStyle w:val="FootnoteText"/>
        <w:spacing w:after="0" w:line="240" w:lineRule="auto"/>
        <w:ind w:left="-142" w:right="-426" w:hanging="284"/>
        <w:jc w:val="both"/>
        <w:rPr>
          <w:rFonts w:ascii="Times New Roman" w:hAnsi="Times New Roman"/>
        </w:rPr>
      </w:pPr>
      <w:r w:rsidRPr="006A6903">
        <w:rPr>
          <w:rStyle w:val="FootnoteReference"/>
          <w:rFonts w:ascii="Times New Roman" w:hAnsi="Times New Roman"/>
          <w:sz w:val="20"/>
        </w:rPr>
        <w:footnoteRef/>
      </w:r>
      <w:r w:rsidRPr="006A6903">
        <w:rPr>
          <w:rFonts w:ascii="Times New Roman" w:hAnsi="Times New Roman"/>
        </w:rPr>
        <w:t xml:space="preserve"> </w:t>
      </w:r>
      <w:r w:rsidR="006A6903" w:rsidRPr="003C4BC7">
        <w:rPr>
          <w:rFonts w:ascii="Times New Roman" w:hAnsi="Times New Roman"/>
        </w:rPr>
        <w:tab/>
      </w:r>
      <w:r w:rsidR="00FF3BC6" w:rsidRPr="006A6903">
        <w:rPr>
          <w:rFonts w:ascii="Times New Roman" w:hAnsi="Times New Roman"/>
          <w:lang w:val="en-IE"/>
        </w:rPr>
        <w:t xml:space="preserve">Regulation (EU) 2019/1239 of the European Parliament and of the Council establishing a European Maritime Single Window environment </w:t>
      </w:r>
      <w:r w:rsidR="00FF3BC6" w:rsidRPr="006A6903">
        <w:rPr>
          <w:rFonts w:ascii="Times New Roman" w:hAnsi="Times New Roman"/>
        </w:rPr>
        <w:t>(</w:t>
      </w:r>
      <w:hyperlink r:id="rId1" w:history="1">
        <w:r w:rsidR="00B36E75" w:rsidRPr="006A6903">
          <w:rPr>
            <w:rStyle w:val="Hyperlink"/>
            <w:rFonts w:ascii="Times New Roman" w:hAnsi="Times New Roman"/>
          </w:rPr>
          <w:t>http://data.europa.eu/eli/reg/2019/1239/oj</w:t>
        </w:r>
      </w:hyperlink>
      <w:r w:rsidR="00B36E75" w:rsidRPr="006A6903">
        <w:rPr>
          <w:rFonts w:ascii="Times New Roman" w:hAnsi="Times New Roman"/>
        </w:rPr>
        <w:t>)</w:t>
      </w:r>
      <w:r w:rsidR="007A3526" w:rsidRPr="006A6903">
        <w:rPr>
          <w:rFonts w:ascii="Times New Roman" w:hAnsi="Times New Roman"/>
        </w:rPr>
        <w:t>.</w:t>
      </w:r>
    </w:p>
  </w:footnote>
  <w:footnote w:id="2">
    <w:p w14:paraId="2C63A95A" w14:textId="46490EA7" w:rsidR="00A23D56" w:rsidRPr="006A6903" w:rsidRDefault="00A23D56" w:rsidP="00350ECB">
      <w:pPr>
        <w:pStyle w:val="FootnoteText"/>
        <w:spacing w:after="0" w:line="240" w:lineRule="auto"/>
        <w:ind w:left="-142" w:right="-426" w:hanging="284"/>
        <w:jc w:val="both"/>
        <w:rPr>
          <w:rFonts w:ascii="Times New Roman" w:hAnsi="Times New Roman"/>
        </w:rPr>
      </w:pPr>
      <w:r w:rsidRPr="006A6903">
        <w:rPr>
          <w:rStyle w:val="FootnoteReference"/>
          <w:rFonts w:ascii="Times New Roman" w:hAnsi="Times New Roman"/>
          <w:sz w:val="20"/>
        </w:rPr>
        <w:footnoteRef/>
      </w:r>
      <w:r w:rsidRPr="006A6903">
        <w:rPr>
          <w:rFonts w:ascii="Times New Roman" w:hAnsi="Times New Roman"/>
        </w:rPr>
        <w:t xml:space="preserve"> </w:t>
      </w:r>
      <w:r w:rsidR="006A6903" w:rsidRPr="006A6903">
        <w:rPr>
          <w:rFonts w:ascii="Times New Roman" w:hAnsi="Times New Roman"/>
        </w:rPr>
        <w:tab/>
      </w:r>
      <w:r w:rsidR="0014027B" w:rsidRPr="006A6903">
        <w:rPr>
          <w:rFonts w:ascii="Times New Roman" w:hAnsi="Times New Roman"/>
        </w:rPr>
        <w:t>Regulation (EU) 2023/1804 of the European Parliament and of the Council on the deployment of alternative fuels infrastructure</w:t>
      </w:r>
      <w:r w:rsidR="007A3526" w:rsidRPr="006A6903">
        <w:rPr>
          <w:rFonts w:ascii="Times New Roman" w:hAnsi="Times New Roman"/>
        </w:rPr>
        <w:t xml:space="preserve"> </w:t>
      </w:r>
      <w:r w:rsidR="0014027B" w:rsidRPr="006A6903">
        <w:rPr>
          <w:rFonts w:ascii="Times New Roman" w:hAnsi="Times New Roman"/>
        </w:rPr>
        <w:t>(</w:t>
      </w:r>
      <w:hyperlink r:id="rId2" w:history="1">
        <w:r w:rsidR="0014027B" w:rsidRPr="006A6903">
          <w:rPr>
            <w:rStyle w:val="Hyperlink"/>
            <w:rFonts w:ascii="Times New Roman" w:hAnsi="Times New Roman"/>
          </w:rPr>
          <w:t>http://data.europa.eu/eli/reg/2023/1804/oj</w:t>
        </w:r>
      </w:hyperlink>
      <w:r w:rsidR="0014027B" w:rsidRPr="006A6903">
        <w:rPr>
          <w:rFonts w:ascii="Times New Roman" w:hAnsi="Times New Roman"/>
        </w:rPr>
        <w:t>).</w:t>
      </w:r>
    </w:p>
  </w:footnote>
  <w:footnote w:id="3">
    <w:p w14:paraId="514FA248" w14:textId="090D2316" w:rsidR="00BF0240" w:rsidRPr="006A6903" w:rsidRDefault="00BF0240" w:rsidP="00350ECB">
      <w:pPr>
        <w:pStyle w:val="FootnoteText"/>
        <w:spacing w:after="0" w:line="240" w:lineRule="auto"/>
        <w:ind w:left="-142" w:right="-426" w:hanging="284"/>
        <w:jc w:val="both"/>
        <w:rPr>
          <w:rFonts w:ascii="Times New Roman" w:hAnsi="Times New Roman"/>
        </w:rPr>
      </w:pPr>
      <w:r w:rsidRPr="006A6903">
        <w:rPr>
          <w:rStyle w:val="FootnoteReference"/>
          <w:rFonts w:ascii="Times New Roman" w:hAnsi="Times New Roman"/>
          <w:sz w:val="20"/>
        </w:rPr>
        <w:footnoteRef/>
      </w:r>
      <w:r w:rsidRPr="006A6903">
        <w:rPr>
          <w:rFonts w:ascii="Times New Roman" w:hAnsi="Times New Roman"/>
        </w:rPr>
        <w:t xml:space="preserve"> </w:t>
      </w:r>
      <w:r w:rsidR="006A6903" w:rsidRPr="006A6903">
        <w:rPr>
          <w:rFonts w:ascii="Times New Roman" w:hAnsi="Times New Roman"/>
        </w:rPr>
        <w:tab/>
      </w:r>
      <w:r w:rsidR="00C748DB" w:rsidRPr="006A6903">
        <w:rPr>
          <w:rFonts w:ascii="Times New Roman" w:hAnsi="Times New Roman"/>
        </w:rPr>
        <w:t>Regulation (EU) 2023/1805 of the European Parliament and of the Council on the use of renewable and low-carbon fuels in maritime transport</w:t>
      </w:r>
      <w:r w:rsidR="007A3526" w:rsidRPr="006A6903">
        <w:rPr>
          <w:rFonts w:ascii="Times New Roman" w:hAnsi="Times New Roman"/>
        </w:rPr>
        <w:t xml:space="preserve"> </w:t>
      </w:r>
      <w:r w:rsidR="00C748DB" w:rsidRPr="006A6903">
        <w:rPr>
          <w:rFonts w:ascii="Times New Roman" w:hAnsi="Times New Roman"/>
        </w:rPr>
        <w:t>(</w:t>
      </w:r>
      <w:hyperlink r:id="rId3" w:history="1">
        <w:r w:rsidR="00EC4806" w:rsidRPr="006A6903">
          <w:rPr>
            <w:rStyle w:val="Hyperlink"/>
            <w:rFonts w:ascii="Times New Roman" w:hAnsi="Times New Roman"/>
          </w:rPr>
          <w:t>http://data.europa.eu/eli/reg/2023/1805/oj</w:t>
        </w:r>
      </w:hyperlink>
      <w:r w:rsidR="00EC4806" w:rsidRPr="006A6903">
        <w:rPr>
          <w:rFonts w:ascii="Times New Roman" w:hAnsi="Times New Roman"/>
        </w:rPr>
        <w:t>).</w:t>
      </w:r>
    </w:p>
  </w:footnote>
  <w:footnote w:id="4">
    <w:p w14:paraId="60DFBCCD" w14:textId="004CA4DA" w:rsidR="000E026B" w:rsidRPr="001D3093" w:rsidRDefault="000E026B" w:rsidP="00350ECB">
      <w:pPr>
        <w:pStyle w:val="FootnoteText"/>
        <w:spacing w:after="0" w:line="240" w:lineRule="auto"/>
        <w:ind w:left="-142" w:right="-426" w:hanging="284"/>
        <w:jc w:val="both"/>
        <w:rPr>
          <w:rFonts w:ascii="Times New Roman" w:hAnsi="Times New Roman"/>
          <w:lang w:val="pt-PT"/>
        </w:rPr>
      </w:pPr>
      <w:r w:rsidRPr="00350ECB">
        <w:rPr>
          <w:rStyle w:val="FootnoteReference"/>
          <w:rFonts w:ascii="Times New Roman" w:hAnsi="Times New Roman"/>
          <w:sz w:val="20"/>
        </w:rPr>
        <w:footnoteRef/>
      </w:r>
      <w:r w:rsidRPr="001D3093">
        <w:rPr>
          <w:rFonts w:ascii="Times New Roman" w:hAnsi="Times New Roman"/>
          <w:lang w:val="pt-PT"/>
        </w:rPr>
        <w:t xml:space="preserve"> </w:t>
      </w:r>
      <w:r w:rsidRPr="001D3093">
        <w:rPr>
          <w:rFonts w:ascii="Times New Roman" w:hAnsi="Times New Roman"/>
          <w:lang w:val="pt-PT"/>
        </w:rPr>
        <w:tab/>
      </w:r>
      <w:proofErr w:type="gramStart"/>
      <w:r w:rsidRPr="00AD78B3">
        <w:rPr>
          <w:rFonts w:ascii="Times New Roman" w:hAnsi="Times New Roman"/>
          <w:lang w:val="pt-PT"/>
        </w:rPr>
        <w:t>COM(</w:t>
      </w:r>
      <w:proofErr w:type="gramEnd"/>
      <w:r w:rsidRPr="00AD78B3">
        <w:rPr>
          <w:rFonts w:ascii="Times New Roman" w:hAnsi="Times New Roman"/>
          <w:lang w:val="pt-PT"/>
        </w:rPr>
        <w:t>2026) 616 final (</w:t>
      </w:r>
      <w:hyperlink r:id="rId4" w:history="1">
        <w:r w:rsidRPr="001D3093">
          <w:rPr>
            <w:rStyle w:val="Hyperlink"/>
            <w:rFonts w:ascii="Times New Roman" w:hAnsi="Times New Roman"/>
            <w:lang w:val="pt-PT"/>
          </w:rPr>
          <w:t>EUR-</w:t>
        </w:r>
        <w:proofErr w:type="spellStart"/>
        <w:r w:rsidRPr="001D3093">
          <w:rPr>
            <w:rStyle w:val="Hyperlink"/>
            <w:rFonts w:ascii="Times New Roman" w:hAnsi="Times New Roman"/>
            <w:lang w:val="pt-PT"/>
          </w:rPr>
          <w:t>Lex</w:t>
        </w:r>
        <w:proofErr w:type="spellEnd"/>
        <w:r w:rsidRPr="001D3093">
          <w:rPr>
            <w:rStyle w:val="Hyperlink"/>
            <w:rFonts w:ascii="Times New Roman" w:hAnsi="Times New Roman"/>
            <w:lang w:val="pt-PT"/>
          </w:rPr>
          <w:t xml:space="preserve"> - 52026PC0616 - EN - EUR-</w:t>
        </w:r>
        <w:proofErr w:type="spellStart"/>
        <w:r w:rsidRPr="001D3093">
          <w:rPr>
            <w:rStyle w:val="Hyperlink"/>
            <w:rFonts w:ascii="Times New Roman" w:hAnsi="Times New Roman"/>
            <w:lang w:val="pt-PT"/>
          </w:rPr>
          <w:t>Lex</w:t>
        </w:r>
        <w:proofErr w:type="spellEnd"/>
      </w:hyperlink>
      <w:r w:rsidRPr="001D3093">
        <w:rPr>
          <w:rFonts w:ascii="Times New Roman" w:hAnsi="Times New Roman"/>
          <w:lang w:val="pt-PT"/>
        </w:rPr>
        <w:t>).</w:t>
      </w:r>
    </w:p>
  </w:footnote>
  <w:footnote w:id="5">
    <w:p w14:paraId="2ED375A3" w14:textId="3C7DA2C9" w:rsidR="0034345D" w:rsidRPr="00350ECB" w:rsidRDefault="0034345D" w:rsidP="00350ECB">
      <w:pPr>
        <w:pStyle w:val="FootnoteText"/>
        <w:spacing w:after="0" w:line="240" w:lineRule="auto"/>
        <w:ind w:left="-142" w:right="-426" w:hanging="284"/>
        <w:jc w:val="both"/>
        <w:rPr>
          <w:rFonts w:ascii="Times New Roman" w:hAnsi="Times New Roman"/>
          <w:lang w:val="pt-PT"/>
        </w:rPr>
      </w:pPr>
      <w:r w:rsidRPr="00AD78B3">
        <w:rPr>
          <w:rStyle w:val="FootnoteReference"/>
          <w:rFonts w:ascii="Times New Roman" w:hAnsi="Times New Roman"/>
          <w:sz w:val="20"/>
        </w:rPr>
        <w:footnoteRef/>
      </w:r>
      <w:r w:rsidR="007A3526" w:rsidRPr="00350ECB">
        <w:rPr>
          <w:rFonts w:ascii="Times New Roman" w:hAnsi="Times New Roman"/>
          <w:lang w:val="pt-PT"/>
        </w:rPr>
        <w:t xml:space="preserve"> </w:t>
      </w:r>
      <w:r w:rsidR="006A6903" w:rsidRPr="00350ECB">
        <w:rPr>
          <w:rFonts w:ascii="Times New Roman" w:hAnsi="Times New Roman"/>
          <w:lang w:val="pt-PT"/>
        </w:rPr>
        <w:tab/>
      </w:r>
      <w:proofErr w:type="gramStart"/>
      <w:r w:rsidR="000E026B" w:rsidRPr="00350ECB">
        <w:rPr>
          <w:rFonts w:ascii="Times New Roman" w:hAnsi="Times New Roman"/>
          <w:lang w:val="pt-PT"/>
        </w:rPr>
        <w:t>COM</w:t>
      </w:r>
      <w:r w:rsidR="000E026B" w:rsidRPr="00AD78B3">
        <w:rPr>
          <w:rFonts w:ascii="Times New Roman" w:hAnsi="Times New Roman"/>
          <w:lang w:val="pt-PT"/>
        </w:rPr>
        <w:t>(</w:t>
      </w:r>
      <w:proofErr w:type="gramEnd"/>
      <w:r w:rsidR="000E026B" w:rsidRPr="00350ECB">
        <w:rPr>
          <w:rFonts w:ascii="Times New Roman" w:hAnsi="Times New Roman"/>
          <w:lang w:val="pt-PT"/>
        </w:rPr>
        <w:t>2025</w:t>
      </w:r>
      <w:r w:rsidR="000E026B" w:rsidRPr="00AD78B3">
        <w:rPr>
          <w:rFonts w:ascii="Times New Roman" w:hAnsi="Times New Roman"/>
          <w:lang w:val="pt-PT"/>
        </w:rPr>
        <w:t xml:space="preserve">) </w:t>
      </w:r>
      <w:r w:rsidR="000E026B" w:rsidRPr="00350ECB">
        <w:rPr>
          <w:rFonts w:ascii="Times New Roman" w:hAnsi="Times New Roman"/>
          <w:lang w:val="pt-PT"/>
        </w:rPr>
        <w:t xml:space="preserve">148 final </w:t>
      </w:r>
      <w:r w:rsidR="009F5C91" w:rsidRPr="00350ECB">
        <w:rPr>
          <w:rFonts w:ascii="Times New Roman" w:hAnsi="Times New Roman"/>
          <w:lang w:val="pt-PT"/>
        </w:rPr>
        <w:t>(</w:t>
      </w:r>
      <w:r w:rsidR="009F5C91">
        <w:fldChar w:fldCharType="begin"/>
      </w:r>
      <w:r w:rsidR="009F5C91" w:rsidRPr="00A71915">
        <w:rPr>
          <w:lang w:val="pt-PT"/>
        </w:rPr>
        <w:instrText>HYPERLINK "https://eur-lex.europa.eu/legal-content/EN/TXT/?uri=CELEX:52025DC0148"</w:instrText>
      </w:r>
      <w:r w:rsidR="009F5C91">
        <w:fldChar w:fldCharType="separate"/>
      </w:r>
      <w:r w:rsidR="009F5C91" w:rsidRPr="00350ECB">
        <w:rPr>
          <w:rStyle w:val="Hyperlink"/>
          <w:rFonts w:ascii="Times New Roman" w:hAnsi="Times New Roman"/>
          <w:lang w:val="pt-PT"/>
        </w:rPr>
        <w:t>https://eur-lex.europa.eu/legal-content/EN/TXT/?uri=CELEX:52025DC0148</w:t>
      </w:r>
      <w:r w:rsidR="009F5C91">
        <w:fldChar w:fldCharType="end"/>
      </w:r>
      <w:r w:rsidR="009F5C91" w:rsidRPr="00350ECB">
        <w:rPr>
          <w:rFonts w:ascii="Times New Roman" w:hAnsi="Times New Roman"/>
          <w:lang w:val="pt-PT"/>
        </w:rPr>
        <w:t>).</w:t>
      </w:r>
    </w:p>
  </w:footnote>
  <w:footnote w:id="6">
    <w:p w14:paraId="46CDCB3A" w14:textId="2F3A57EC" w:rsidR="00AD78B3" w:rsidRPr="00350ECB" w:rsidRDefault="00AD78B3" w:rsidP="00350ECB">
      <w:pPr>
        <w:pStyle w:val="FootnoteText"/>
        <w:spacing w:after="0" w:line="240" w:lineRule="auto"/>
        <w:ind w:left="-142" w:right="-426" w:hanging="284"/>
        <w:jc w:val="both"/>
        <w:rPr>
          <w:rFonts w:ascii="Times New Roman" w:hAnsi="Times New Roman"/>
          <w:lang w:val="en-IE"/>
        </w:rPr>
      </w:pPr>
      <w:r w:rsidRPr="00350ECB">
        <w:rPr>
          <w:rStyle w:val="FootnoteReference"/>
          <w:rFonts w:ascii="Times New Roman" w:hAnsi="Times New Roman"/>
          <w:sz w:val="20"/>
        </w:rPr>
        <w:footnoteRef/>
      </w:r>
      <w:r w:rsidRPr="00350ECB">
        <w:rPr>
          <w:rFonts w:ascii="Times New Roman" w:hAnsi="Times New Roman"/>
          <w:lang w:val="en-IE"/>
        </w:rPr>
        <w:t xml:space="preserve"> </w:t>
      </w:r>
      <w:r w:rsidRPr="00350ECB">
        <w:rPr>
          <w:rFonts w:ascii="Times New Roman" w:hAnsi="Times New Roman"/>
          <w:lang w:val="en-IE"/>
        </w:rPr>
        <w:tab/>
      </w:r>
      <w:hyperlink r:id="rId5" w:history="1">
        <w:r w:rsidRPr="00350ECB">
          <w:rPr>
            <w:rStyle w:val="Hyperlink"/>
            <w:rFonts w:ascii="Times New Roman" w:hAnsi="Times New Roman"/>
          </w:rPr>
          <w:t>Drugs policy - Migration and Home Affairs - European Commission</w:t>
        </w:r>
      </w:hyperlink>
      <w:r w:rsidRPr="00350ECB">
        <w:rPr>
          <w:rFonts w:ascii="Times New Roman" w:hAnsi="Times New Roman"/>
          <w:lang w:val="en-IE"/>
        </w:rPr>
        <w:t>.</w:t>
      </w:r>
    </w:p>
  </w:footnote>
  <w:footnote w:id="7">
    <w:p w14:paraId="58013AEA" w14:textId="333EB383" w:rsidR="00AD78B3" w:rsidRPr="00350ECB" w:rsidRDefault="00AD78B3" w:rsidP="00350ECB">
      <w:pPr>
        <w:pStyle w:val="FootnoteText"/>
        <w:spacing w:after="0" w:line="240" w:lineRule="auto"/>
        <w:ind w:left="-142" w:right="-426" w:hanging="284"/>
        <w:jc w:val="both"/>
        <w:rPr>
          <w:rFonts w:ascii="Times New Roman" w:hAnsi="Times New Roman"/>
          <w:lang w:val="en-IE"/>
        </w:rPr>
      </w:pPr>
      <w:r w:rsidRPr="00350ECB">
        <w:rPr>
          <w:rStyle w:val="FootnoteReference"/>
          <w:rFonts w:ascii="Times New Roman" w:hAnsi="Times New Roman"/>
          <w:sz w:val="20"/>
        </w:rPr>
        <w:footnoteRef/>
      </w:r>
      <w:r w:rsidRPr="00350ECB">
        <w:rPr>
          <w:rFonts w:ascii="Times New Roman" w:hAnsi="Times New Roman"/>
          <w:lang w:val="en-IE"/>
        </w:rPr>
        <w:t xml:space="preserve"> </w:t>
      </w:r>
      <w:r w:rsidRPr="00350ECB">
        <w:rPr>
          <w:rFonts w:ascii="Times New Roman" w:hAnsi="Times New Roman"/>
          <w:lang w:val="en-IE"/>
        </w:rPr>
        <w:tab/>
      </w:r>
      <w:hyperlink r:id="rId6" w:history="1">
        <w:r w:rsidRPr="00350ECB">
          <w:rPr>
            <w:rStyle w:val="Hyperlink"/>
            <w:rFonts w:ascii="Times New Roman" w:hAnsi="Times New Roman"/>
          </w:rPr>
          <w:t xml:space="preserve">European Ports Alliance to fight drug trafficking and organised </w:t>
        </w:r>
        <w:proofErr w:type="gramStart"/>
        <w:r w:rsidRPr="00350ECB">
          <w:rPr>
            <w:rStyle w:val="Hyperlink"/>
            <w:rFonts w:ascii="Times New Roman" w:hAnsi="Times New Roman"/>
          </w:rPr>
          <w:t>crime  -</w:t>
        </w:r>
        <w:proofErr w:type="gramEnd"/>
        <w:r w:rsidRPr="00350ECB">
          <w:rPr>
            <w:rStyle w:val="Hyperlink"/>
            <w:rFonts w:ascii="Times New Roman" w:hAnsi="Times New Roman"/>
          </w:rPr>
          <w:t xml:space="preserve"> Migration and Home Affairs</w:t>
        </w:r>
      </w:hyperlink>
      <w:r w:rsidRPr="00350ECB">
        <w:rPr>
          <w:rFonts w:ascii="Times New Roman" w:hAnsi="Times New Roman"/>
          <w:lang w:val="en-IE"/>
        </w:rPr>
        <w:t>.</w:t>
      </w:r>
    </w:p>
  </w:footnote>
  <w:footnote w:id="8">
    <w:p w14:paraId="0D126A91" w14:textId="76C14023" w:rsidR="00330165" w:rsidRPr="00350ECB" w:rsidRDefault="00330165" w:rsidP="00350ECB">
      <w:pPr>
        <w:pStyle w:val="FootnoteText"/>
        <w:spacing w:after="0" w:line="240" w:lineRule="auto"/>
        <w:ind w:left="-142" w:right="-426" w:hanging="284"/>
        <w:jc w:val="both"/>
        <w:rPr>
          <w:rFonts w:ascii="Times New Roman" w:hAnsi="Times New Roman"/>
          <w:lang w:val="pt-PT"/>
        </w:rPr>
      </w:pPr>
      <w:r w:rsidRPr="00AD78B3">
        <w:rPr>
          <w:rStyle w:val="FootnoteReference"/>
          <w:rFonts w:ascii="Times New Roman" w:hAnsi="Times New Roman"/>
          <w:sz w:val="20"/>
        </w:rPr>
        <w:footnoteRef/>
      </w:r>
      <w:r w:rsidR="007A3526" w:rsidRPr="00350ECB">
        <w:rPr>
          <w:rFonts w:ascii="Times New Roman" w:hAnsi="Times New Roman"/>
          <w:lang w:val="pt-PT"/>
        </w:rPr>
        <w:t xml:space="preserve"> </w:t>
      </w:r>
      <w:r w:rsidR="006A6903" w:rsidRPr="00350ECB">
        <w:rPr>
          <w:rFonts w:ascii="Times New Roman" w:hAnsi="Times New Roman"/>
          <w:lang w:val="pt-PT"/>
        </w:rPr>
        <w:tab/>
      </w:r>
      <w:proofErr w:type="gramStart"/>
      <w:r w:rsidR="000E026B" w:rsidRPr="00350ECB">
        <w:rPr>
          <w:rFonts w:ascii="Times New Roman" w:hAnsi="Times New Roman"/>
          <w:lang w:val="pt-PT"/>
        </w:rPr>
        <w:t>COM(</w:t>
      </w:r>
      <w:proofErr w:type="gramEnd"/>
      <w:r w:rsidR="000E026B" w:rsidRPr="00350ECB">
        <w:rPr>
          <w:rFonts w:ascii="Times New Roman" w:hAnsi="Times New Roman"/>
          <w:lang w:val="pt-PT"/>
        </w:rPr>
        <w:t xml:space="preserve">2026) 81 final </w:t>
      </w:r>
      <w:r w:rsidRPr="00350ECB">
        <w:rPr>
          <w:rFonts w:ascii="Times New Roman" w:hAnsi="Times New Roman"/>
          <w:lang w:val="pt-PT"/>
        </w:rPr>
        <w:t>(</w:t>
      </w:r>
      <w:r w:rsidR="00520BFA">
        <w:fldChar w:fldCharType="begin"/>
      </w:r>
      <w:r w:rsidR="00520BFA" w:rsidRPr="00A71915">
        <w:rPr>
          <w:lang w:val="pt-PT"/>
        </w:rPr>
        <w:instrText>HYPERLINK "https://eur-lex.europa.eu/legal-content/EN/TXT/?uri=CELEX:52026DC0081"</w:instrText>
      </w:r>
      <w:r w:rsidR="00520BFA">
        <w:fldChar w:fldCharType="separate"/>
      </w:r>
      <w:r w:rsidR="00520BFA" w:rsidRPr="00350ECB">
        <w:rPr>
          <w:rStyle w:val="Hyperlink"/>
          <w:rFonts w:ascii="Times New Roman" w:hAnsi="Times New Roman"/>
          <w:lang w:val="pt-PT"/>
        </w:rPr>
        <w:t>https://eur-lex.europa.eu/legal-content/EN/TXT/?uri=CELEX:52026DC0081</w:t>
      </w:r>
      <w:r w:rsidR="00520BFA">
        <w:fldChar w:fldCharType="end"/>
      </w:r>
      <w:r w:rsidR="00520BFA" w:rsidRPr="00350ECB">
        <w:rPr>
          <w:rFonts w:ascii="Times New Roman" w:hAnsi="Times New Roman"/>
          <w:lang w:val="pt-PT"/>
        </w:rPr>
        <w:t>).</w:t>
      </w:r>
    </w:p>
  </w:footnote>
  <w:footnote w:id="9">
    <w:p w14:paraId="256D7A9B" w14:textId="77777777" w:rsidR="000D4E0A" w:rsidRPr="0037540F" w:rsidRDefault="000D4E0A" w:rsidP="000D4E0A">
      <w:pPr>
        <w:pStyle w:val="FootnoteText"/>
        <w:spacing w:after="0" w:line="240" w:lineRule="auto"/>
        <w:ind w:left="-142" w:right="-426" w:hanging="284"/>
        <w:jc w:val="both"/>
        <w:rPr>
          <w:rFonts w:ascii="Times New Roman" w:hAnsi="Times New Roman"/>
        </w:rPr>
      </w:pPr>
      <w:r w:rsidRPr="0037540F">
        <w:rPr>
          <w:rStyle w:val="FootnoteReference"/>
          <w:rFonts w:ascii="Times New Roman" w:hAnsi="Times New Roman"/>
          <w:sz w:val="20"/>
        </w:rPr>
        <w:footnoteRef/>
      </w:r>
      <w:r w:rsidRPr="0037540F">
        <w:rPr>
          <w:rFonts w:ascii="Times New Roman" w:hAnsi="Times New Roman"/>
        </w:rPr>
        <w:t xml:space="preserve"> </w:t>
      </w:r>
      <w:r w:rsidRPr="0037540F">
        <w:rPr>
          <w:rFonts w:ascii="Times New Roman" w:hAnsi="Times New Roman"/>
        </w:rPr>
        <w:tab/>
      </w:r>
      <w:hyperlink r:id="rId7" w:history="1">
        <w:r w:rsidRPr="0037540F">
          <w:rPr>
            <w:rStyle w:val="Hyperlink"/>
            <w:rFonts w:ascii="Times New Roman" w:hAnsi="Times New Roman"/>
          </w:rPr>
          <w:t>Review of the Merger Guidelines - Competition Policy - European Commission</w:t>
        </w:r>
      </w:hyperlink>
      <w:r w:rsidRPr="0037540F">
        <w:rPr>
          <w:rFonts w:ascii="Times New Roman" w:hAnsi="Times New Roman"/>
        </w:rPr>
        <w:t>.</w:t>
      </w:r>
    </w:p>
  </w:footnote>
  <w:footnote w:id="10">
    <w:p w14:paraId="104350E0" w14:textId="2AEFD042" w:rsidR="0007527C" w:rsidRPr="009074BC" w:rsidRDefault="0007527C" w:rsidP="00350ECB">
      <w:pPr>
        <w:pStyle w:val="FootnoteText"/>
        <w:spacing w:after="0" w:line="240" w:lineRule="auto"/>
        <w:ind w:left="-142" w:right="-426" w:hanging="284"/>
        <w:jc w:val="both"/>
        <w:rPr>
          <w:rFonts w:ascii="Times New Roman" w:hAnsi="Times New Roman"/>
          <w:lang w:val="en-IE"/>
        </w:rPr>
      </w:pPr>
      <w:r w:rsidRPr="009074BC">
        <w:rPr>
          <w:rStyle w:val="FootnoteReference"/>
          <w:rFonts w:ascii="Times New Roman" w:hAnsi="Times New Roman"/>
          <w:sz w:val="20"/>
          <w:lang w:val="en-IE"/>
        </w:rPr>
        <w:footnoteRef/>
      </w:r>
      <w:r w:rsidRPr="009074BC">
        <w:rPr>
          <w:rFonts w:ascii="Times New Roman" w:hAnsi="Times New Roman"/>
          <w:lang w:val="en-IE"/>
        </w:rPr>
        <w:t xml:space="preserve"> </w:t>
      </w:r>
      <w:r w:rsidR="006A6903" w:rsidRPr="009074BC">
        <w:rPr>
          <w:rFonts w:ascii="Times New Roman" w:hAnsi="Times New Roman"/>
          <w:lang w:val="en-IE"/>
        </w:rPr>
        <w:tab/>
      </w:r>
      <w:r w:rsidRPr="009074BC">
        <w:rPr>
          <w:rFonts w:ascii="Times New Roman" w:hAnsi="Times New Roman"/>
          <w:lang w:val="en-IE"/>
        </w:rPr>
        <w:t xml:space="preserve">Council Regulation (EC) No 139/2004 of 20 January 2004 on the control of concentrations between undertakings </w:t>
      </w:r>
      <w:r w:rsidR="00CD18F4" w:rsidRPr="00350ECB">
        <w:rPr>
          <w:rFonts w:ascii="Times New Roman" w:hAnsi="Times New Roman"/>
        </w:rPr>
        <w:t>(the</w:t>
      </w:r>
      <w:r w:rsidR="008978BA">
        <w:rPr>
          <w:rFonts w:ascii="Times New Roman" w:hAnsi="Times New Roman"/>
        </w:rPr>
        <w:t> </w:t>
      </w:r>
      <w:r w:rsidR="00CD18F4" w:rsidRPr="00350ECB">
        <w:rPr>
          <w:rFonts w:ascii="Times New Roman" w:hAnsi="Times New Roman"/>
        </w:rPr>
        <w:t>EC Merger Regulation);</w:t>
      </w:r>
      <w:r w:rsidR="00CD18F4" w:rsidRPr="009074BC">
        <w:rPr>
          <w:rFonts w:ascii="Times New Roman" w:hAnsi="Times New Roman"/>
          <w:lang w:val="en-IE"/>
        </w:rPr>
        <w:t xml:space="preserve"> </w:t>
      </w:r>
      <w:r w:rsidRPr="009074BC">
        <w:rPr>
          <w:rFonts w:ascii="Times New Roman" w:hAnsi="Times New Roman"/>
          <w:lang w:val="en-IE"/>
        </w:rPr>
        <w:t>(</w:t>
      </w:r>
      <w:hyperlink r:id="rId8" w:history="1">
        <w:r w:rsidR="00B15ECC" w:rsidRPr="009074BC">
          <w:rPr>
            <w:rStyle w:val="Hyperlink"/>
            <w:rFonts w:ascii="Times New Roman" w:hAnsi="Times New Roman"/>
            <w:lang w:val="en-IE"/>
          </w:rPr>
          <w:t>http://data.europa.eu/eli/reg/2004/139/oj</w:t>
        </w:r>
      </w:hyperlink>
      <w:r w:rsidR="00B15ECC" w:rsidRPr="009074BC">
        <w:rPr>
          <w:rFonts w:ascii="Times New Roman" w:hAnsi="Times New Roman"/>
          <w:lang w:val="en-IE"/>
        </w:rPr>
        <w:t>).</w:t>
      </w:r>
    </w:p>
  </w:footnote>
  <w:footnote w:id="11">
    <w:p w14:paraId="723FCBAC" w14:textId="2EB25094" w:rsidR="00CD18F4" w:rsidRPr="00350ECB" w:rsidRDefault="00CD18F4" w:rsidP="00350ECB">
      <w:pPr>
        <w:pStyle w:val="FootnoteText"/>
        <w:spacing w:after="0" w:line="240" w:lineRule="auto"/>
        <w:ind w:left="-142" w:right="-426" w:hanging="284"/>
        <w:jc w:val="both"/>
        <w:rPr>
          <w:rFonts w:ascii="Times New Roman" w:hAnsi="Times New Roman"/>
        </w:rPr>
      </w:pPr>
      <w:r w:rsidRPr="00350ECB">
        <w:rPr>
          <w:rStyle w:val="FootnoteReference"/>
          <w:rFonts w:ascii="Times New Roman" w:hAnsi="Times New Roman"/>
          <w:sz w:val="20"/>
        </w:rPr>
        <w:footnoteRef/>
      </w:r>
      <w:r w:rsidRPr="00350ECB">
        <w:rPr>
          <w:rFonts w:ascii="Times New Roman" w:hAnsi="Times New Roman"/>
        </w:rPr>
        <w:t xml:space="preserve"> </w:t>
      </w:r>
      <w:r w:rsidRPr="00350ECB">
        <w:rPr>
          <w:rFonts w:ascii="Times New Roman" w:hAnsi="Times New Roman"/>
        </w:rPr>
        <w:tab/>
        <w:t>Directive (EU) 2018/410 of the European Parliament and of the Council of 14 March 2018 amending Directive 2003/87/EC to enhance cost-effective emission reductions and low-carbon investments, and Decision (EU) 2015/1814 (</w:t>
      </w:r>
      <w:hyperlink r:id="rId9" w:tooltip="Gives access to this document through its ELI URI." w:history="1">
        <w:r w:rsidRPr="00350ECB">
          <w:rPr>
            <w:rStyle w:val="Hyperlink"/>
            <w:rFonts w:ascii="Times New Roman" w:hAnsi="Times New Roman"/>
          </w:rPr>
          <w:t>http://data.europa.eu/eli/dir/2018/410/oj</w:t>
        </w:r>
      </w:hyperlink>
      <w:r w:rsidRPr="00350ECB">
        <w:rPr>
          <w:rFonts w:ascii="Times New Roman" w:hAnsi="Times New Roman"/>
        </w:rPr>
        <w:t>).</w:t>
      </w:r>
    </w:p>
  </w:footnote>
  <w:footnote w:id="12">
    <w:p w14:paraId="6EA0848D" w14:textId="3FC13A4C" w:rsidR="00BB7F50" w:rsidRPr="00350ECB" w:rsidRDefault="00BB7F50" w:rsidP="00350ECB">
      <w:pPr>
        <w:pStyle w:val="FootnoteText"/>
        <w:spacing w:after="0" w:line="240" w:lineRule="auto"/>
        <w:ind w:left="-142" w:right="-426" w:hanging="284"/>
        <w:jc w:val="both"/>
        <w:rPr>
          <w:rFonts w:ascii="Times New Roman" w:hAnsi="Times New Roman"/>
          <w:lang w:val="en-IE"/>
        </w:rPr>
      </w:pPr>
      <w:r w:rsidRPr="00350ECB">
        <w:rPr>
          <w:rStyle w:val="FootnoteReference"/>
          <w:rFonts w:ascii="Times New Roman" w:hAnsi="Times New Roman"/>
          <w:sz w:val="20"/>
          <w:lang w:val="en-IE"/>
        </w:rPr>
        <w:footnoteRef/>
      </w:r>
      <w:r w:rsidRPr="00350ECB">
        <w:rPr>
          <w:rFonts w:ascii="Times New Roman" w:hAnsi="Times New Roman"/>
          <w:lang w:val="en-IE"/>
        </w:rPr>
        <w:t xml:space="preserve"> </w:t>
      </w:r>
      <w:r w:rsidR="006A6903" w:rsidRPr="00350ECB">
        <w:rPr>
          <w:rFonts w:ascii="Times New Roman" w:hAnsi="Times New Roman"/>
          <w:lang w:val="en-IE"/>
        </w:rPr>
        <w:tab/>
      </w:r>
      <w:r w:rsidR="00F250B1" w:rsidRPr="009074BC">
        <w:rPr>
          <w:rFonts w:ascii="Times New Roman" w:hAnsi="Times New Roman"/>
          <w:lang w:val="en-IE"/>
        </w:rPr>
        <w:t>Annex 1</w:t>
      </w:r>
      <w:r w:rsidR="001C4146" w:rsidRPr="009074BC">
        <w:rPr>
          <w:rFonts w:ascii="Times New Roman" w:hAnsi="Times New Roman"/>
          <w:lang w:val="en-IE"/>
        </w:rPr>
        <w:t xml:space="preserve"> of the EU Ports Strategy</w:t>
      </w:r>
      <w:r w:rsidR="00CD18F4" w:rsidRPr="009074BC">
        <w:rPr>
          <w:rFonts w:ascii="Times New Roman" w:hAnsi="Times New Roman"/>
          <w:lang w:val="en-IE"/>
        </w:rPr>
        <w:t xml:space="preserve">; </w:t>
      </w:r>
      <w:proofErr w:type="gramStart"/>
      <w:r w:rsidR="00CD18F4" w:rsidRPr="009074BC">
        <w:rPr>
          <w:rFonts w:ascii="Times New Roman" w:hAnsi="Times New Roman"/>
        </w:rPr>
        <w:t>COM(</w:t>
      </w:r>
      <w:proofErr w:type="gramEnd"/>
      <w:r w:rsidR="00CD18F4" w:rsidRPr="009074BC">
        <w:rPr>
          <w:rFonts w:ascii="Times New Roman" w:hAnsi="Times New Roman"/>
        </w:rPr>
        <w:t>2026) 112 final</w:t>
      </w:r>
      <w:r w:rsidRPr="009074BC">
        <w:rPr>
          <w:rFonts w:ascii="Times New Roman" w:hAnsi="Times New Roman"/>
          <w:lang w:val="en-IE"/>
        </w:rPr>
        <w:t xml:space="preserve"> (</w:t>
      </w:r>
      <w:hyperlink r:id="rId10" w:history="1">
        <w:r w:rsidR="00291E11" w:rsidRPr="009074BC">
          <w:rPr>
            <w:rStyle w:val="Hyperlink"/>
            <w:rFonts w:ascii="Times New Roman" w:hAnsi="Times New Roman"/>
            <w:lang w:val="en-IE"/>
          </w:rPr>
          <w:t>https://eur-lex.europa.eu/legal-content/EN/TXT/PDF/?uri=CELEX:52026DC0112</w:t>
        </w:r>
      </w:hyperlink>
      <w:r w:rsidR="00291E11" w:rsidRPr="009074BC">
        <w:rPr>
          <w:rFonts w:ascii="Times New Roman" w:hAnsi="Times New Roman"/>
          <w:lang w:val="en-IE"/>
        </w:rPr>
        <w:t>)</w:t>
      </w:r>
      <w:r w:rsidR="00796EC8" w:rsidRPr="009074BC">
        <w:rPr>
          <w:rFonts w:ascii="Times New Roman" w:hAnsi="Times New Roman"/>
          <w:lang w:val="en-IE"/>
        </w:rPr>
        <w:t>.</w:t>
      </w:r>
    </w:p>
  </w:footnote>
  <w:footnote w:id="13">
    <w:p w14:paraId="1EAB9C23" w14:textId="5E39FAA3" w:rsidR="008C7530" w:rsidRPr="008978BA" w:rsidRDefault="008C7530" w:rsidP="00350ECB">
      <w:pPr>
        <w:pStyle w:val="FootnoteText"/>
        <w:spacing w:after="0" w:line="240" w:lineRule="auto"/>
        <w:ind w:left="-142" w:right="-426" w:hanging="284"/>
        <w:jc w:val="both"/>
        <w:rPr>
          <w:rFonts w:ascii="Times New Roman" w:hAnsi="Times New Roman"/>
          <w:lang w:val="fr-BE"/>
        </w:rPr>
      </w:pPr>
      <w:r w:rsidRPr="009074BC">
        <w:rPr>
          <w:rStyle w:val="FootnoteReference"/>
          <w:rFonts w:ascii="Times New Roman" w:hAnsi="Times New Roman"/>
          <w:sz w:val="20"/>
          <w:lang w:val="en-IE"/>
        </w:rPr>
        <w:footnoteRef/>
      </w:r>
      <w:r w:rsidRPr="00350ECB">
        <w:rPr>
          <w:rFonts w:ascii="Times New Roman" w:hAnsi="Times New Roman"/>
          <w:lang w:val="fr-BE"/>
        </w:rPr>
        <w:t xml:space="preserve"> </w:t>
      </w:r>
      <w:r w:rsidR="006A6903" w:rsidRPr="008978BA">
        <w:rPr>
          <w:rFonts w:ascii="Times New Roman" w:hAnsi="Times New Roman"/>
          <w:lang w:val="fr-BE"/>
        </w:rPr>
        <w:tab/>
      </w:r>
      <w:proofErr w:type="gramStart"/>
      <w:r w:rsidR="00CD18F4" w:rsidRPr="00350ECB">
        <w:rPr>
          <w:rFonts w:ascii="Times New Roman" w:hAnsi="Times New Roman"/>
          <w:lang w:val="fr-BE"/>
        </w:rPr>
        <w:t>COM(</w:t>
      </w:r>
      <w:proofErr w:type="gramEnd"/>
      <w:r w:rsidR="00CD18F4" w:rsidRPr="00350ECB">
        <w:rPr>
          <w:rFonts w:ascii="Times New Roman" w:hAnsi="Times New Roman"/>
          <w:lang w:val="fr-BE"/>
        </w:rPr>
        <w:t>2026) 520 final</w:t>
      </w:r>
      <w:r w:rsidR="00CD18F4" w:rsidRPr="008978BA">
        <w:rPr>
          <w:rFonts w:ascii="Times New Roman" w:hAnsi="Times New Roman"/>
          <w:lang w:val="fr-BE"/>
        </w:rPr>
        <w:t xml:space="preserve"> </w:t>
      </w:r>
      <w:r w:rsidRPr="00350ECB">
        <w:rPr>
          <w:rFonts w:ascii="Times New Roman" w:hAnsi="Times New Roman"/>
          <w:lang w:val="fr-BE"/>
        </w:rPr>
        <w:t>(</w:t>
      </w:r>
      <w:r w:rsidR="00BB6A4C">
        <w:fldChar w:fldCharType="begin"/>
      </w:r>
      <w:r w:rsidR="00BB6A4C" w:rsidRPr="00A71915">
        <w:rPr>
          <w:lang w:val="fr-BE"/>
        </w:rPr>
        <w:instrText>HYPERLINK "https://eur-lex.europa.eu/legal-content/EN/TXT/?uri=COM:2026:520:FIN"</w:instrText>
      </w:r>
      <w:r w:rsidR="00BB6A4C">
        <w:fldChar w:fldCharType="separate"/>
      </w:r>
      <w:r w:rsidR="00BB6A4C" w:rsidRPr="00350ECB">
        <w:rPr>
          <w:rStyle w:val="Hyperlink"/>
          <w:rFonts w:ascii="Times New Roman" w:hAnsi="Times New Roman"/>
          <w:lang w:val="fr-BE"/>
        </w:rPr>
        <w:t>EUR-Lex - 52026DC0520 - EN - EUR-Lex</w:t>
      </w:r>
      <w:r w:rsidR="00BB6A4C">
        <w:fldChar w:fldCharType="end"/>
      </w:r>
      <w:r w:rsidR="00101BE7" w:rsidRPr="00350ECB">
        <w:rPr>
          <w:rFonts w:ascii="Times New Roman" w:hAnsi="Times New Roman"/>
          <w:lang w:val="fr-BE"/>
        </w:rPr>
        <w:t>)</w:t>
      </w:r>
      <w:r w:rsidR="00796EC8" w:rsidRPr="00350ECB">
        <w:rPr>
          <w:rFonts w:ascii="Times New Roman" w:hAnsi="Times New Roman"/>
          <w:lang w:val="fr-BE"/>
        </w:rPr>
        <w:t>.</w:t>
      </w:r>
    </w:p>
  </w:footnote>
  <w:footnote w:id="14">
    <w:p w14:paraId="0F3C617D" w14:textId="7FD58134" w:rsidR="004D246A" w:rsidRPr="00350ECB" w:rsidRDefault="004D246A" w:rsidP="00350ECB">
      <w:pPr>
        <w:spacing w:after="0" w:line="240" w:lineRule="auto"/>
        <w:ind w:left="-142" w:right="-426" w:hanging="284"/>
        <w:jc w:val="both"/>
        <w:rPr>
          <w:rFonts w:ascii="Times New Roman" w:hAnsi="Times New Roman"/>
          <w:sz w:val="20"/>
          <w:szCs w:val="20"/>
          <w:lang w:val="pt-PT"/>
        </w:rPr>
      </w:pPr>
      <w:r w:rsidRPr="00B05A09">
        <w:rPr>
          <w:rStyle w:val="FootnoteReference"/>
          <w:rFonts w:ascii="Times New Roman" w:hAnsi="Times New Roman"/>
          <w:sz w:val="20"/>
          <w:szCs w:val="20"/>
        </w:rPr>
        <w:footnoteRef/>
      </w:r>
      <w:r w:rsidR="00A10D17" w:rsidRPr="00350ECB">
        <w:rPr>
          <w:rFonts w:ascii="Times New Roman" w:hAnsi="Times New Roman"/>
          <w:sz w:val="20"/>
          <w:szCs w:val="20"/>
          <w:lang w:val="pt-PT"/>
        </w:rPr>
        <w:t xml:space="preserve"> </w:t>
      </w:r>
      <w:r w:rsidR="006A6903" w:rsidRPr="00350ECB">
        <w:rPr>
          <w:rFonts w:ascii="Times New Roman" w:hAnsi="Times New Roman"/>
          <w:sz w:val="20"/>
          <w:szCs w:val="20"/>
          <w:lang w:val="pt-PT"/>
        </w:rPr>
        <w:tab/>
      </w:r>
      <w:proofErr w:type="gramStart"/>
      <w:r w:rsidR="00CD18F4" w:rsidRPr="00350ECB">
        <w:rPr>
          <w:rFonts w:ascii="Times New Roman" w:hAnsi="Times New Roman"/>
          <w:sz w:val="20"/>
          <w:szCs w:val="20"/>
          <w:lang w:val="pt-PT"/>
        </w:rPr>
        <w:t>COM(</w:t>
      </w:r>
      <w:proofErr w:type="gramEnd"/>
      <w:r w:rsidR="00CD18F4" w:rsidRPr="00350ECB">
        <w:rPr>
          <w:rFonts w:ascii="Times New Roman" w:hAnsi="Times New Roman"/>
          <w:sz w:val="20"/>
          <w:szCs w:val="20"/>
          <w:lang w:val="pt-PT"/>
        </w:rPr>
        <w:t xml:space="preserve">2026) 530 final </w:t>
      </w:r>
      <w:r w:rsidRPr="00350ECB">
        <w:rPr>
          <w:rFonts w:ascii="Times New Roman" w:hAnsi="Times New Roman"/>
          <w:sz w:val="20"/>
          <w:szCs w:val="20"/>
          <w:lang w:val="pt-PT"/>
        </w:rPr>
        <w:t>(</w:t>
      </w:r>
      <w:r w:rsidR="00BB6A4C">
        <w:fldChar w:fldCharType="begin"/>
      </w:r>
      <w:r w:rsidR="00BB6A4C" w:rsidRPr="00A71915">
        <w:rPr>
          <w:lang w:val="pt-PT"/>
        </w:rPr>
        <w:instrText>HYPERLINK "https://eur-lex.europa.eu/legal-content/EN/TXT/?uri=COM:2026:530:FIN"</w:instrText>
      </w:r>
      <w:r w:rsidR="00BB6A4C">
        <w:fldChar w:fldCharType="separate"/>
      </w:r>
      <w:r w:rsidR="00BB6A4C" w:rsidRPr="00350ECB">
        <w:rPr>
          <w:rStyle w:val="Hyperlink"/>
          <w:rFonts w:ascii="Times New Roman" w:hAnsi="Times New Roman"/>
          <w:sz w:val="20"/>
          <w:szCs w:val="20"/>
          <w:lang w:val="pt-PT"/>
        </w:rPr>
        <w:t>https://eur-lex.europa.eu/legal-content/EN/TXT/?uri=COM:2026:530:FIN</w:t>
      </w:r>
      <w:r w:rsidR="00BB6A4C">
        <w:fldChar w:fldCharType="end"/>
      </w:r>
      <w:r w:rsidR="00BB6A4C" w:rsidRPr="00350ECB">
        <w:rPr>
          <w:rFonts w:ascii="Times New Roman" w:hAnsi="Times New Roman"/>
          <w:sz w:val="20"/>
          <w:szCs w:val="20"/>
          <w:lang w:val="pt-PT"/>
        </w:rPr>
        <w:t>)</w:t>
      </w:r>
      <w:r w:rsidR="006A6903" w:rsidRPr="00350ECB">
        <w:rPr>
          <w:rFonts w:ascii="Times New Roman" w:hAnsi="Times New Roman"/>
          <w:sz w:val="20"/>
          <w:szCs w:val="20"/>
          <w:lang w:val="pt-PT"/>
        </w:rPr>
        <w:t>.</w:t>
      </w:r>
    </w:p>
  </w:footnote>
  <w:footnote w:id="15">
    <w:p w14:paraId="59C74C88" w14:textId="50790BBA" w:rsidR="009074BC" w:rsidRPr="00350ECB" w:rsidRDefault="009074BC" w:rsidP="00350ECB">
      <w:pPr>
        <w:pStyle w:val="FootnoteText"/>
        <w:spacing w:after="0" w:line="240" w:lineRule="auto"/>
        <w:ind w:left="-142" w:right="-426" w:hanging="284"/>
        <w:jc w:val="both"/>
        <w:rPr>
          <w:rFonts w:ascii="Times New Roman" w:hAnsi="Times New Roman"/>
          <w:lang w:val="en-IE"/>
        </w:rPr>
      </w:pPr>
      <w:r w:rsidRPr="00350ECB">
        <w:rPr>
          <w:rStyle w:val="FootnoteReference"/>
          <w:rFonts w:ascii="Times New Roman" w:hAnsi="Times New Roman"/>
          <w:sz w:val="20"/>
        </w:rPr>
        <w:footnoteRef/>
      </w:r>
      <w:r w:rsidRPr="00350ECB">
        <w:rPr>
          <w:rFonts w:ascii="Times New Roman" w:hAnsi="Times New Roman"/>
        </w:rPr>
        <w:t xml:space="preserve"> </w:t>
      </w:r>
      <w:r w:rsidRPr="00350ECB">
        <w:rPr>
          <w:rFonts w:ascii="Times New Roman" w:hAnsi="Times New Roman"/>
          <w:lang w:val="en-IE"/>
        </w:rPr>
        <w:tab/>
      </w:r>
      <w:hyperlink r:id="rId11" w:history="1">
        <w:r w:rsidRPr="00350ECB">
          <w:rPr>
            <w:rStyle w:val="Hyperlink"/>
            <w:rFonts w:ascii="Times New Roman" w:hAnsi="Times New Roman"/>
          </w:rPr>
          <w:t>Sustainable transport investment plan - Mobility and Transport</w:t>
        </w:r>
      </w:hyperlink>
      <w:r w:rsidRPr="00350ECB">
        <w:rPr>
          <w:rFonts w:ascii="Times New Roman" w:hAnsi="Times New Roman"/>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691C" w14:textId="77777777" w:rsidR="00A34B13" w:rsidRDefault="00A34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28F3C" w14:textId="77777777" w:rsidR="00A34B13" w:rsidRDefault="00A34B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2712" w14:textId="77777777" w:rsidR="00A34B13" w:rsidRDefault="00A34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06390"/>
    <w:multiLevelType w:val="hybridMultilevel"/>
    <w:tmpl w:val="92E4C5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328720D9"/>
    <w:multiLevelType w:val="hybridMultilevel"/>
    <w:tmpl w:val="D4A8E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4E8F0182"/>
    <w:multiLevelType w:val="hybridMultilevel"/>
    <w:tmpl w:val="1DEC2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2A1557A"/>
    <w:multiLevelType w:val="hybridMultilevel"/>
    <w:tmpl w:val="24624CF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43416463">
    <w:abstractNumId w:val="2"/>
  </w:num>
  <w:num w:numId="2" w16cid:durableId="607930313">
    <w:abstractNumId w:val="1"/>
  </w:num>
  <w:num w:numId="3" w16cid:durableId="1816020039">
    <w:abstractNumId w:val="3"/>
  </w:num>
  <w:num w:numId="4" w16cid:durableId="124861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EPKit_DocumentHasBeenSaved" w:val="true"/>
    <w:docVar w:name="LW_DocType" w:val="NORMAL"/>
  </w:docVars>
  <w:rsids>
    <w:rsidRoot w:val="00077C4F"/>
    <w:rsid w:val="00003227"/>
    <w:rsid w:val="00006D47"/>
    <w:rsid w:val="000074CD"/>
    <w:rsid w:val="00007D41"/>
    <w:rsid w:val="00012A37"/>
    <w:rsid w:val="00017325"/>
    <w:rsid w:val="00021232"/>
    <w:rsid w:val="00023A17"/>
    <w:rsid w:val="000243CB"/>
    <w:rsid w:val="00026000"/>
    <w:rsid w:val="000264C3"/>
    <w:rsid w:val="00032899"/>
    <w:rsid w:val="00034D57"/>
    <w:rsid w:val="000454CF"/>
    <w:rsid w:val="00045734"/>
    <w:rsid w:val="00046B15"/>
    <w:rsid w:val="00050DC7"/>
    <w:rsid w:val="00052A3E"/>
    <w:rsid w:val="00053B9D"/>
    <w:rsid w:val="00055447"/>
    <w:rsid w:val="00057DB3"/>
    <w:rsid w:val="00060571"/>
    <w:rsid w:val="00061597"/>
    <w:rsid w:val="00062190"/>
    <w:rsid w:val="000678A0"/>
    <w:rsid w:val="000702B2"/>
    <w:rsid w:val="00070817"/>
    <w:rsid w:val="00071B4E"/>
    <w:rsid w:val="00071BC3"/>
    <w:rsid w:val="00071D77"/>
    <w:rsid w:val="0007527C"/>
    <w:rsid w:val="00075A0B"/>
    <w:rsid w:val="00076109"/>
    <w:rsid w:val="00076764"/>
    <w:rsid w:val="00076CD0"/>
    <w:rsid w:val="00077C4F"/>
    <w:rsid w:val="00086152"/>
    <w:rsid w:val="00087D81"/>
    <w:rsid w:val="00090906"/>
    <w:rsid w:val="000921D8"/>
    <w:rsid w:val="00097E23"/>
    <w:rsid w:val="000A002F"/>
    <w:rsid w:val="000A0B17"/>
    <w:rsid w:val="000A4C70"/>
    <w:rsid w:val="000A64BD"/>
    <w:rsid w:val="000A6666"/>
    <w:rsid w:val="000C069F"/>
    <w:rsid w:val="000C7B28"/>
    <w:rsid w:val="000D27CC"/>
    <w:rsid w:val="000D4E0A"/>
    <w:rsid w:val="000E0185"/>
    <w:rsid w:val="000E026B"/>
    <w:rsid w:val="000E0543"/>
    <w:rsid w:val="000E08DF"/>
    <w:rsid w:val="000E1254"/>
    <w:rsid w:val="000E6E06"/>
    <w:rsid w:val="000F3983"/>
    <w:rsid w:val="000F5B30"/>
    <w:rsid w:val="000F5FD8"/>
    <w:rsid w:val="00101BE7"/>
    <w:rsid w:val="0010302E"/>
    <w:rsid w:val="001035CE"/>
    <w:rsid w:val="00110C93"/>
    <w:rsid w:val="001120D5"/>
    <w:rsid w:val="00113573"/>
    <w:rsid w:val="001167C0"/>
    <w:rsid w:val="001174ED"/>
    <w:rsid w:val="001207F0"/>
    <w:rsid w:val="0012167D"/>
    <w:rsid w:val="0012237B"/>
    <w:rsid w:val="0013317E"/>
    <w:rsid w:val="00135C2A"/>
    <w:rsid w:val="00136118"/>
    <w:rsid w:val="0014027B"/>
    <w:rsid w:val="0014428A"/>
    <w:rsid w:val="00146E43"/>
    <w:rsid w:val="00147C3B"/>
    <w:rsid w:val="00157412"/>
    <w:rsid w:val="00163090"/>
    <w:rsid w:val="00173092"/>
    <w:rsid w:val="00173C97"/>
    <w:rsid w:val="00173E44"/>
    <w:rsid w:val="001751A7"/>
    <w:rsid w:val="00176768"/>
    <w:rsid w:val="00176B4D"/>
    <w:rsid w:val="00177E32"/>
    <w:rsid w:val="00180A95"/>
    <w:rsid w:val="00181294"/>
    <w:rsid w:val="00186074"/>
    <w:rsid w:val="00194D05"/>
    <w:rsid w:val="0019508F"/>
    <w:rsid w:val="0019644F"/>
    <w:rsid w:val="001A0793"/>
    <w:rsid w:val="001A3A33"/>
    <w:rsid w:val="001A60F6"/>
    <w:rsid w:val="001A7B16"/>
    <w:rsid w:val="001B0D07"/>
    <w:rsid w:val="001B0E0B"/>
    <w:rsid w:val="001B16D0"/>
    <w:rsid w:val="001B1932"/>
    <w:rsid w:val="001B209A"/>
    <w:rsid w:val="001B2A18"/>
    <w:rsid w:val="001B34FC"/>
    <w:rsid w:val="001B69DA"/>
    <w:rsid w:val="001B6C14"/>
    <w:rsid w:val="001B70B6"/>
    <w:rsid w:val="001B7457"/>
    <w:rsid w:val="001C3ACD"/>
    <w:rsid w:val="001C3DAD"/>
    <w:rsid w:val="001C4138"/>
    <w:rsid w:val="001C4146"/>
    <w:rsid w:val="001C58ED"/>
    <w:rsid w:val="001C693A"/>
    <w:rsid w:val="001C695B"/>
    <w:rsid w:val="001D1DA1"/>
    <w:rsid w:val="001D224B"/>
    <w:rsid w:val="001D3093"/>
    <w:rsid w:val="001D442E"/>
    <w:rsid w:val="001D60B6"/>
    <w:rsid w:val="001D6C06"/>
    <w:rsid w:val="001E40FC"/>
    <w:rsid w:val="001E429F"/>
    <w:rsid w:val="001F2A76"/>
    <w:rsid w:val="001F2EC6"/>
    <w:rsid w:val="001F4D28"/>
    <w:rsid w:val="001F5386"/>
    <w:rsid w:val="001F65D0"/>
    <w:rsid w:val="001F75ED"/>
    <w:rsid w:val="00200F99"/>
    <w:rsid w:val="002045A0"/>
    <w:rsid w:val="0020492F"/>
    <w:rsid w:val="00204B7B"/>
    <w:rsid w:val="00205103"/>
    <w:rsid w:val="00211221"/>
    <w:rsid w:val="002118A6"/>
    <w:rsid w:val="002125D5"/>
    <w:rsid w:val="00216106"/>
    <w:rsid w:val="00217E59"/>
    <w:rsid w:val="002221E2"/>
    <w:rsid w:val="00227EE8"/>
    <w:rsid w:val="00232D67"/>
    <w:rsid w:val="002403A3"/>
    <w:rsid w:val="00240570"/>
    <w:rsid w:val="00240C2E"/>
    <w:rsid w:val="0025042C"/>
    <w:rsid w:val="002561B6"/>
    <w:rsid w:val="00256F3A"/>
    <w:rsid w:val="00261191"/>
    <w:rsid w:val="00261AD2"/>
    <w:rsid w:val="00262E19"/>
    <w:rsid w:val="00266E2F"/>
    <w:rsid w:val="00282DA6"/>
    <w:rsid w:val="0028754E"/>
    <w:rsid w:val="00291AFB"/>
    <w:rsid w:val="00291E11"/>
    <w:rsid w:val="00292D99"/>
    <w:rsid w:val="00293171"/>
    <w:rsid w:val="00295466"/>
    <w:rsid w:val="00295F0E"/>
    <w:rsid w:val="002A54E3"/>
    <w:rsid w:val="002A6674"/>
    <w:rsid w:val="002B0660"/>
    <w:rsid w:val="002B0792"/>
    <w:rsid w:val="002B0E6C"/>
    <w:rsid w:val="002B6317"/>
    <w:rsid w:val="002C2931"/>
    <w:rsid w:val="002C3334"/>
    <w:rsid w:val="002C6E56"/>
    <w:rsid w:val="002D25FB"/>
    <w:rsid w:val="002D3DD4"/>
    <w:rsid w:val="002D611E"/>
    <w:rsid w:val="002E118B"/>
    <w:rsid w:val="002E1C74"/>
    <w:rsid w:val="002E2F31"/>
    <w:rsid w:val="002E2FF7"/>
    <w:rsid w:val="002E42C0"/>
    <w:rsid w:val="002E7FFE"/>
    <w:rsid w:val="002F03FA"/>
    <w:rsid w:val="002F0810"/>
    <w:rsid w:val="002F1F49"/>
    <w:rsid w:val="002F2E14"/>
    <w:rsid w:val="002F6286"/>
    <w:rsid w:val="003004D2"/>
    <w:rsid w:val="00305619"/>
    <w:rsid w:val="0031640D"/>
    <w:rsid w:val="003168D6"/>
    <w:rsid w:val="00320174"/>
    <w:rsid w:val="0032384C"/>
    <w:rsid w:val="00330165"/>
    <w:rsid w:val="003349A3"/>
    <w:rsid w:val="00335367"/>
    <w:rsid w:val="0033EDAF"/>
    <w:rsid w:val="0034302A"/>
    <w:rsid w:val="0034345D"/>
    <w:rsid w:val="00344ABC"/>
    <w:rsid w:val="003453B5"/>
    <w:rsid w:val="00346FA4"/>
    <w:rsid w:val="0034703A"/>
    <w:rsid w:val="00350ECB"/>
    <w:rsid w:val="00351C22"/>
    <w:rsid w:val="00353E31"/>
    <w:rsid w:val="003607B7"/>
    <w:rsid w:val="00360A9B"/>
    <w:rsid w:val="00361DF8"/>
    <w:rsid w:val="003626FD"/>
    <w:rsid w:val="0036389B"/>
    <w:rsid w:val="003674F4"/>
    <w:rsid w:val="003716E5"/>
    <w:rsid w:val="003745F1"/>
    <w:rsid w:val="003759E8"/>
    <w:rsid w:val="00377967"/>
    <w:rsid w:val="00380841"/>
    <w:rsid w:val="00382C4B"/>
    <w:rsid w:val="00384B1C"/>
    <w:rsid w:val="00386143"/>
    <w:rsid w:val="00387ECC"/>
    <w:rsid w:val="003A00ED"/>
    <w:rsid w:val="003A0575"/>
    <w:rsid w:val="003A15A8"/>
    <w:rsid w:val="003A2B24"/>
    <w:rsid w:val="003A2F71"/>
    <w:rsid w:val="003A4273"/>
    <w:rsid w:val="003A7F93"/>
    <w:rsid w:val="003B3286"/>
    <w:rsid w:val="003B58DC"/>
    <w:rsid w:val="003C3BB9"/>
    <w:rsid w:val="003C6BFB"/>
    <w:rsid w:val="003D42C0"/>
    <w:rsid w:val="003D5E21"/>
    <w:rsid w:val="003D6388"/>
    <w:rsid w:val="003E12F2"/>
    <w:rsid w:val="003E243E"/>
    <w:rsid w:val="003E385F"/>
    <w:rsid w:val="003E4E6E"/>
    <w:rsid w:val="003E5E59"/>
    <w:rsid w:val="003F1424"/>
    <w:rsid w:val="003F26F8"/>
    <w:rsid w:val="003F41B5"/>
    <w:rsid w:val="003F686E"/>
    <w:rsid w:val="00401A78"/>
    <w:rsid w:val="004026A9"/>
    <w:rsid w:val="004117A0"/>
    <w:rsid w:val="00414AF4"/>
    <w:rsid w:val="004167C5"/>
    <w:rsid w:val="004249AE"/>
    <w:rsid w:val="004370EF"/>
    <w:rsid w:val="0044081C"/>
    <w:rsid w:val="00442364"/>
    <w:rsid w:val="00442552"/>
    <w:rsid w:val="004450A6"/>
    <w:rsid w:val="004465A5"/>
    <w:rsid w:val="00455A1C"/>
    <w:rsid w:val="0045657A"/>
    <w:rsid w:val="00457AE6"/>
    <w:rsid w:val="00467403"/>
    <w:rsid w:val="004675B5"/>
    <w:rsid w:val="004706B4"/>
    <w:rsid w:val="004746BE"/>
    <w:rsid w:val="00476E64"/>
    <w:rsid w:val="004770D6"/>
    <w:rsid w:val="00477802"/>
    <w:rsid w:val="00484134"/>
    <w:rsid w:val="00485A05"/>
    <w:rsid w:val="0048655F"/>
    <w:rsid w:val="00487A26"/>
    <w:rsid w:val="00487A7D"/>
    <w:rsid w:val="004910B7"/>
    <w:rsid w:val="0049246C"/>
    <w:rsid w:val="004A10B4"/>
    <w:rsid w:val="004A4A48"/>
    <w:rsid w:val="004B1283"/>
    <w:rsid w:val="004C0464"/>
    <w:rsid w:val="004C119A"/>
    <w:rsid w:val="004C73B7"/>
    <w:rsid w:val="004D246A"/>
    <w:rsid w:val="004D70EB"/>
    <w:rsid w:val="004E09DE"/>
    <w:rsid w:val="004E4218"/>
    <w:rsid w:val="004E4FF5"/>
    <w:rsid w:val="004F2A53"/>
    <w:rsid w:val="004F3EA7"/>
    <w:rsid w:val="004F5915"/>
    <w:rsid w:val="004F6117"/>
    <w:rsid w:val="004F63F1"/>
    <w:rsid w:val="004F651E"/>
    <w:rsid w:val="00500CBA"/>
    <w:rsid w:val="00502C50"/>
    <w:rsid w:val="005032F6"/>
    <w:rsid w:val="00505838"/>
    <w:rsid w:val="00510210"/>
    <w:rsid w:val="00510F9B"/>
    <w:rsid w:val="0051256D"/>
    <w:rsid w:val="00512F6B"/>
    <w:rsid w:val="00515466"/>
    <w:rsid w:val="00520BFA"/>
    <w:rsid w:val="00521C70"/>
    <w:rsid w:val="0052465E"/>
    <w:rsid w:val="0052596B"/>
    <w:rsid w:val="00526A9D"/>
    <w:rsid w:val="00534A78"/>
    <w:rsid w:val="0053606E"/>
    <w:rsid w:val="00536B25"/>
    <w:rsid w:val="00541719"/>
    <w:rsid w:val="00544428"/>
    <w:rsid w:val="005446F1"/>
    <w:rsid w:val="00547941"/>
    <w:rsid w:val="00550199"/>
    <w:rsid w:val="00553DDB"/>
    <w:rsid w:val="00554D8D"/>
    <w:rsid w:val="00560522"/>
    <w:rsid w:val="0056128A"/>
    <w:rsid w:val="00561594"/>
    <w:rsid w:val="00562629"/>
    <w:rsid w:val="005678FC"/>
    <w:rsid w:val="005704E9"/>
    <w:rsid w:val="00570BD5"/>
    <w:rsid w:val="00571AE0"/>
    <w:rsid w:val="00572D5E"/>
    <w:rsid w:val="00573835"/>
    <w:rsid w:val="0058039A"/>
    <w:rsid w:val="00581306"/>
    <w:rsid w:val="00583FE8"/>
    <w:rsid w:val="005844B2"/>
    <w:rsid w:val="00586DEB"/>
    <w:rsid w:val="0058767D"/>
    <w:rsid w:val="00592AEF"/>
    <w:rsid w:val="00593304"/>
    <w:rsid w:val="00593307"/>
    <w:rsid w:val="005935EE"/>
    <w:rsid w:val="00595811"/>
    <w:rsid w:val="005A36A0"/>
    <w:rsid w:val="005A4823"/>
    <w:rsid w:val="005B18FB"/>
    <w:rsid w:val="005B1EA0"/>
    <w:rsid w:val="005B1EA1"/>
    <w:rsid w:val="005B284B"/>
    <w:rsid w:val="005B3D9F"/>
    <w:rsid w:val="005B448B"/>
    <w:rsid w:val="005B5A20"/>
    <w:rsid w:val="005B5CBA"/>
    <w:rsid w:val="005B60CE"/>
    <w:rsid w:val="005C0B9F"/>
    <w:rsid w:val="005C1EB7"/>
    <w:rsid w:val="005C2407"/>
    <w:rsid w:val="005C3105"/>
    <w:rsid w:val="005C53BB"/>
    <w:rsid w:val="005D041B"/>
    <w:rsid w:val="005D11ED"/>
    <w:rsid w:val="005E0791"/>
    <w:rsid w:val="005E0C72"/>
    <w:rsid w:val="005E448D"/>
    <w:rsid w:val="005F0A35"/>
    <w:rsid w:val="005F4451"/>
    <w:rsid w:val="0060166A"/>
    <w:rsid w:val="00602509"/>
    <w:rsid w:val="00604967"/>
    <w:rsid w:val="00606C9E"/>
    <w:rsid w:val="006108EE"/>
    <w:rsid w:val="00612DCB"/>
    <w:rsid w:val="00613B57"/>
    <w:rsid w:val="00616C84"/>
    <w:rsid w:val="00617440"/>
    <w:rsid w:val="0062201F"/>
    <w:rsid w:val="006270B5"/>
    <w:rsid w:val="006316DC"/>
    <w:rsid w:val="00634F85"/>
    <w:rsid w:val="006361D3"/>
    <w:rsid w:val="00637D1F"/>
    <w:rsid w:val="00637F90"/>
    <w:rsid w:val="00643520"/>
    <w:rsid w:val="00646259"/>
    <w:rsid w:val="00650019"/>
    <w:rsid w:val="00660186"/>
    <w:rsid w:val="00662287"/>
    <w:rsid w:val="0066379F"/>
    <w:rsid w:val="00664D17"/>
    <w:rsid w:val="00666CB0"/>
    <w:rsid w:val="0067138A"/>
    <w:rsid w:val="006715B2"/>
    <w:rsid w:val="006716F6"/>
    <w:rsid w:val="006744A3"/>
    <w:rsid w:val="006766A9"/>
    <w:rsid w:val="00676D75"/>
    <w:rsid w:val="0068090E"/>
    <w:rsid w:val="00680E72"/>
    <w:rsid w:val="00682C05"/>
    <w:rsid w:val="00683A3D"/>
    <w:rsid w:val="0068415D"/>
    <w:rsid w:val="00686DF9"/>
    <w:rsid w:val="00691B72"/>
    <w:rsid w:val="00692C2F"/>
    <w:rsid w:val="00693E61"/>
    <w:rsid w:val="006941DF"/>
    <w:rsid w:val="00694DAE"/>
    <w:rsid w:val="00695797"/>
    <w:rsid w:val="00696A5E"/>
    <w:rsid w:val="00697FC4"/>
    <w:rsid w:val="006A2C99"/>
    <w:rsid w:val="006A4747"/>
    <w:rsid w:val="006A6065"/>
    <w:rsid w:val="006A6903"/>
    <w:rsid w:val="006B11C8"/>
    <w:rsid w:val="006B146F"/>
    <w:rsid w:val="006B173C"/>
    <w:rsid w:val="006B3B69"/>
    <w:rsid w:val="006B3C3D"/>
    <w:rsid w:val="006B4607"/>
    <w:rsid w:val="006B53E9"/>
    <w:rsid w:val="006B5B01"/>
    <w:rsid w:val="006C0AE7"/>
    <w:rsid w:val="006C11ED"/>
    <w:rsid w:val="006C131A"/>
    <w:rsid w:val="006C4BC2"/>
    <w:rsid w:val="006C4E12"/>
    <w:rsid w:val="006D553C"/>
    <w:rsid w:val="006D6416"/>
    <w:rsid w:val="006D74FF"/>
    <w:rsid w:val="006E29C1"/>
    <w:rsid w:val="006F021F"/>
    <w:rsid w:val="006F127D"/>
    <w:rsid w:val="006F3C90"/>
    <w:rsid w:val="006F4B51"/>
    <w:rsid w:val="00701FA5"/>
    <w:rsid w:val="00712113"/>
    <w:rsid w:val="00714AD8"/>
    <w:rsid w:val="007174FB"/>
    <w:rsid w:val="00726E38"/>
    <w:rsid w:val="00731A7A"/>
    <w:rsid w:val="007323F0"/>
    <w:rsid w:val="00734613"/>
    <w:rsid w:val="007434CD"/>
    <w:rsid w:val="00746414"/>
    <w:rsid w:val="007503AC"/>
    <w:rsid w:val="00750AA9"/>
    <w:rsid w:val="00751774"/>
    <w:rsid w:val="00751910"/>
    <w:rsid w:val="00751E60"/>
    <w:rsid w:val="0075208A"/>
    <w:rsid w:val="00752472"/>
    <w:rsid w:val="007547B5"/>
    <w:rsid w:val="007566E5"/>
    <w:rsid w:val="00757649"/>
    <w:rsid w:val="00763DD5"/>
    <w:rsid w:val="0076527D"/>
    <w:rsid w:val="00766C36"/>
    <w:rsid w:val="00767D10"/>
    <w:rsid w:val="00772157"/>
    <w:rsid w:val="00782F55"/>
    <w:rsid w:val="0078309E"/>
    <w:rsid w:val="00783117"/>
    <w:rsid w:val="0079065D"/>
    <w:rsid w:val="00790818"/>
    <w:rsid w:val="00795A9E"/>
    <w:rsid w:val="00796EC8"/>
    <w:rsid w:val="007A3526"/>
    <w:rsid w:val="007A606D"/>
    <w:rsid w:val="007B2259"/>
    <w:rsid w:val="007B2965"/>
    <w:rsid w:val="007C028B"/>
    <w:rsid w:val="007C2214"/>
    <w:rsid w:val="007C58F4"/>
    <w:rsid w:val="007C6AB0"/>
    <w:rsid w:val="007C6FA9"/>
    <w:rsid w:val="007D4FBB"/>
    <w:rsid w:val="007D60B4"/>
    <w:rsid w:val="007E0BE4"/>
    <w:rsid w:val="007E6BE9"/>
    <w:rsid w:val="007E6D3B"/>
    <w:rsid w:val="007F051B"/>
    <w:rsid w:val="007F13C3"/>
    <w:rsid w:val="007F38B0"/>
    <w:rsid w:val="00800429"/>
    <w:rsid w:val="0080105E"/>
    <w:rsid w:val="00801689"/>
    <w:rsid w:val="00803D23"/>
    <w:rsid w:val="00804B43"/>
    <w:rsid w:val="008067F0"/>
    <w:rsid w:val="00806D9C"/>
    <w:rsid w:val="008077ED"/>
    <w:rsid w:val="00807B48"/>
    <w:rsid w:val="00807E8D"/>
    <w:rsid w:val="00810B66"/>
    <w:rsid w:val="008135CA"/>
    <w:rsid w:val="0081584F"/>
    <w:rsid w:val="00816162"/>
    <w:rsid w:val="00823D6C"/>
    <w:rsid w:val="00823E91"/>
    <w:rsid w:val="008244AE"/>
    <w:rsid w:val="00825C10"/>
    <w:rsid w:val="00826110"/>
    <w:rsid w:val="00826307"/>
    <w:rsid w:val="008264A7"/>
    <w:rsid w:val="0082683D"/>
    <w:rsid w:val="00830D36"/>
    <w:rsid w:val="00831F7D"/>
    <w:rsid w:val="00834D6B"/>
    <w:rsid w:val="00835992"/>
    <w:rsid w:val="00836749"/>
    <w:rsid w:val="008370C5"/>
    <w:rsid w:val="00843B82"/>
    <w:rsid w:val="00843E06"/>
    <w:rsid w:val="00844C0E"/>
    <w:rsid w:val="00854443"/>
    <w:rsid w:val="00855E86"/>
    <w:rsid w:val="00857286"/>
    <w:rsid w:val="0086276E"/>
    <w:rsid w:val="0086467A"/>
    <w:rsid w:val="00865C3E"/>
    <w:rsid w:val="00867810"/>
    <w:rsid w:val="008703BF"/>
    <w:rsid w:val="00871649"/>
    <w:rsid w:val="0087430A"/>
    <w:rsid w:val="008848A5"/>
    <w:rsid w:val="00885F5E"/>
    <w:rsid w:val="0088764D"/>
    <w:rsid w:val="00891C0F"/>
    <w:rsid w:val="008925CE"/>
    <w:rsid w:val="008926F2"/>
    <w:rsid w:val="00892FFD"/>
    <w:rsid w:val="00893E41"/>
    <w:rsid w:val="008958D9"/>
    <w:rsid w:val="00895FB3"/>
    <w:rsid w:val="008978BA"/>
    <w:rsid w:val="008A019C"/>
    <w:rsid w:val="008A32BD"/>
    <w:rsid w:val="008A6D57"/>
    <w:rsid w:val="008A7284"/>
    <w:rsid w:val="008B2B96"/>
    <w:rsid w:val="008B4C45"/>
    <w:rsid w:val="008C419B"/>
    <w:rsid w:val="008C4D41"/>
    <w:rsid w:val="008C7530"/>
    <w:rsid w:val="008D3598"/>
    <w:rsid w:val="008D512F"/>
    <w:rsid w:val="008D54FA"/>
    <w:rsid w:val="008D5C3D"/>
    <w:rsid w:val="008E0519"/>
    <w:rsid w:val="008F2913"/>
    <w:rsid w:val="008F3256"/>
    <w:rsid w:val="008F54BC"/>
    <w:rsid w:val="008F54DF"/>
    <w:rsid w:val="008F6999"/>
    <w:rsid w:val="00904604"/>
    <w:rsid w:val="0090461E"/>
    <w:rsid w:val="00904855"/>
    <w:rsid w:val="00904A4C"/>
    <w:rsid w:val="009074BC"/>
    <w:rsid w:val="00907718"/>
    <w:rsid w:val="00912C44"/>
    <w:rsid w:val="009141C1"/>
    <w:rsid w:val="00917313"/>
    <w:rsid w:val="009177DD"/>
    <w:rsid w:val="00920526"/>
    <w:rsid w:val="009259D5"/>
    <w:rsid w:val="00931CCA"/>
    <w:rsid w:val="009320FE"/>
    <w:rsid w:val="00934BDD"/>
    <w:rsid w:val="00935E67"/>
    <w:rsid w:val="00941AC0"/>
    <w:rsid w:val="00942C49"/>
    <w:rsid w:val="00944080"/>
    <w:rsid w:val="00945101"/>
    <w:rsid w:val="009527DD"/>
    <w:rsid w:val="00953BDE"/>
    <w:rsid w:val="009627C7"/>
    <w:rsid w:val="00971B23"/>
    <w:rsid w:val="0097519E"/>
    <w:rsid w:val="0097682E"/>
    <w:rsid w:val="009769C5"/>
    <w:rsid w:val="00976DBC"/>
    <w:rsid w:val="00980F73"/>
    <w:rsid w:val="00981F45"/>
    <w:rsid w:val="00987237"/>
    <w:rsid w:val="0098724F"/>
    <w:rsid w:val="00994D12"/>
    <w:rsid w:val="009B08DE"/>
    <w:rsid w:val="009B128B"/>
    <w:rsid w:val="009B36C7"/>
    <w:rsid w:val="009B6286"/>
    <w:rsid w:val="009C1556"/>
    <w:rsid w:val="009C165B"/>
    <w:rsid w:val="009C1C0D"/>
    <w:rsid w:val="009C3F70"/>
    <w:rsid w:val="009C43ED"/>
    <w:rsid w:val="009C6080"/>
    <w:rsid w:val="009D17AF"/>
    <w:rsid w:val="009D45A5"/>
    <w:rsid w:val="009D618C"/>
    <w:rsid w:val="009D72F4"/>
    <w:rsid w:val="009D7C5A"/>
    <w:rsid w:val="009E2078"/>
    <w:rsid w:val="009E254F"/>
    <w:rsid w:val="009E3124"/>
    <w:rsid w:val="009E51D5"/>
    <w:rsid w:val="009E69A8"/>
    <w:rsid w:val="009E7D49"/>
    <w:rsid w:val="009E7EA1"/>
    <w:rsid w:val="009F1111"/>
    <w:rsid w:val="009F3F22"/>
    <w:rsid w:val="009F5118"/>
    <w:rsid w:val="009F5C91"/>
    <w:rsid w:val="00A03EF9"/>
    <w:rsid w:val="00A05C9D"/>
    <w:rsid w:val="00A10D17"/>
    <w:rsid w:val="00A12C34"/>
    <w:rsid w:val="00A13E0E"/>
    <w:rsid w:val="00A15EFC"/>
    <w:rsid w:val="00A15F2B"/>
    <w:rsid w:val="00A15F5D"/>
    <w:rsid w:val="00A16F07"/>
    <w:rsid w:val="00A17850"/>
    <w:rsid w:val="00A17B03"/>
    <w:rsid w:val="00A22476"/>
    <w:rsid w:val="00A23D56"/>
    <w:rsid w:val="00A242D9"/>
    <w:rsid w:val="00A24CA5"/>
    <w:rsid w:val="00A25D45"/>
    <w:rsid w:val="00A26544"/>
    <w:rsid w:val="00A30F72"/>
    <w:rsid w:val="00A34B13"/>
    <w:rsid w:val="00A402BC"/>
    <w:rsid w:val="00A40BE1"/>
    <w:rsid w:val="00A4378A"/>
    <w:rsid w:val="00A44202"/>
    <w:rsid w:val="00A50E1A"/>
    <w:rsid w:val="00A50FEC"/>
    <w:rsid w:val="00A52652"/>
    <w:rsid w:val="00A54AF1"/>
    <w:rsid w:val="00A56964"/>
    <w:rsid w:val="00A62C7B"/>
    <w:rsid w:val="00A659B1"/>
    <w:rsid w:val="00A71915"/>
    <w:rsid w:val="00A71D8B"/>
    <w:rsid w:val="00A73D6A"/>
    <w:rsid w:val="00A7709A"/>
    <w:rsid w:val="00A85967"/>
    <w:rsid w:val="00A869E7"/>
    <w:rsid w:val="00A87ACE"/>
    <w:rsid w:val="00A87F70"/>
    <w:rsid w:val="00A90186"/>
    <w:rsid w:val="00A93428"/>
    <w:rsid w:val="00A93A62"/>
    <w:rsid w:val="00A960B4"/>
    <w:rsid w:val="00A97E8E"/>
    <w:rsid w:val="00AA3A9C"/>
    <w:rsid w:val="00AA5668"/>
    <w:rsid w:val="00AA697F"/>
    <w:rsid w:val="00AA76E8"/>
    <w:rsid w:val="00AB3E68"/>
    <w:rsid w:val="00AB4268"/>
    <w:rsid w:val="00AD1AFD"/>
    <w:rsid w:val="00AD35E0"/>
    <w:rsid w:val="00AD4378"/>
    <w:rsid w:val="00AD78B3"/>
    <w:rsid w:val="00AE1842"/>
    <w:rsid w:val="00AE19E0"/>
    <w:rsid w:val="00AE1C90"/>
    <w:rsid w:val="00AE28C9"/>
    <w:rsid w:val="00AE3C7C"/>
    <w:rsid w:val="00AE7E96"/>
    <w:rsid w:val="00AF21CC"/>
    <w:rsid w:val="00AF6063"/>
    <w:rsid w:val="00AF6FB5"/>
    <w:rsid w:val="00AF7BF4"/>
    <w:rsid w:val="00B003C1"/>
    <w:rsid w:val="00B0506A"/>
    <w:rsid w:val="00B054FD"/>
    <w:rsid w:val="00B05A09"/>
    <w:rsid w:val="00B07BF9"/>
    <w:rsid w:val="00B12E56"/>
    <w:rsid w:val="00B154D0"/>
    <w:rsid w:val="00B1583F"/>
    <w:rsid w:val="00B15ECC"/>
    <w:rsid w:val="00B25533"/>
    <w:rsid w:val="00B265C4"/>
    <w:rsid w:val="00B26D57"/>
    <w:rsid w:val="00B27D07"/>
    <w:rsid w:val="00B305A0"/>
    <w:rsid w:val="00B31306"/>
    <w:rsid w:val="00B33779"/>
    <w:rsid w:val="00B36E75"/>
    <w:rsid w:val="00B42814"/>
    <w:rsid w:val="00B52456"/>
    <w:rsid w:val="00B54655"/>
    <w:rsid w:val="00B56E8F"/>
    <w:rsid w:val="00B572C4"/>
    <w:rsid w:val="00B611D7"/>
    <w:rsid w:val="00B644A4"/>
    <w:rsid w:val="00B64C07"/>
    <w:rsid w:val="00B65E77"/>
    <w:rsid w:val="00B67265"/>
    <w:rsid w:val="00B74479"/>
    <w:rsid w:val="00B83936"/>
    <w:rsid w:val="00B9153B"/>
    <w:rsid w:val="00B938F8"/>
    <w:rsid w:val="00B9646F"/>
    <w:rsid w:val="00BA23DB"/>
    <w:rsid w:val="00BA53CF"/>
    <w:rsid w:val="00BA5AD5"/>
    <w:rsid w:val="00BB6667"/>
    <w:rsid w:val="00BB669B"/>
    <w:rsid w:val="00BB6A4C"/>
    <w:rsid w:val="00BB7F50"/>
    <w:rsid w:val="00BC01C8"/>
    <w:rsid w:val="00BC10F7"/>
    <w:rsid w:val="00BC1149"/>
    <w:rsid w:val="00BC1BAA"/>
    <w:rsid w:val="00BC28E5"/>
    <w:rsid w:val="00BC49E9"/>
    <w:rsid w:val="00BC6B42"/>
    <w:rsid w:val="00BC720D"/>
    <w:rsid w:val="00BD3CEC"/>
    <w:rsid w:val="00BD43F1"/>
    <w:rsid w:val="00BD4639"/>
    <w:rsid w:val="00BD6EB7"/>
    <w:rsid w:val="00BE3CF8"/>
    <w:rsid w:val="00BE5345"/>
    <w:rsid w:val="00BF0240"/>
    <w:rsid w:val="00BF0E77"/>
    <w:rsid w:val="00BF150B"/>
    <w:rsid w:val="00BF682C"/>
    <w:rsid w:val="00BF6BB2"/>
    <w:rsid w:val="00C02504"/>
    <w:rsid w:val="00C0673E"/>
    <w:rsid w:val="00C115C0"/>
    <w:rsid w:val="00C20536"/>
    <w:rsid w:val="00C24BAF"/>
    <w:rsid w:val="00C2549B"/>
    <w:rsid w:val="00C26A0B"/>
    <w:rsid w:val="00C27F38"/>
    <w:rsid w:val="00C34D86"/>
    <w:rsid w:val="00C35E85"/>
    <w:rsid w:val="00C36862"/>
    <w:rsid w:val="00C368A5"/>
    <w:rsid w:val="00C37296"/>
    <w:rsid w:val="00C373AB"/>
    <w:rsid w:val="00C44612"/>
    <w:rsid w:val="00C46A05"/>
    <w:rsid w:val="00C5183E"/>
    <w:rsid w:val="00C54D27"/>
    <w:rsid w:val="00C5657F"/>
    <w:rsid w:val="00C60CE2"/>
    <w:rsid w:val="00C627C7"/>
    <w:rsid w:val="00C6653E"/>
    <w:rsid w:val="00C66D32"/>
    <w:rsid w:val="00C7322D"/>
    <w:rsid w:val="00C73B10"/>
    <w:rsid w:val="00C74886"/>
    <w:rsid w:val="00C748DB"/>
    <w:rsid w:val="00C75D9E"/>
    <w:rsid w:val="00C76B7F"/>
    <w:rsid w:val="00C76EEB"/>
    <w:rsid w:val="00C81D69"/>
    <w:rsid w:val="00C83B99"/>
    <w:rsid w:val="00C840D3"/>
    <w:rsid w:val="00C84B22"/>
    <w:rsid w:val="00C84D94"/>
    <w:rsid w:val="00C87102"/>
    <w:rsid w:val="00C87D9F"/>
    <w:rsid w:val="00C912C5"/>
    <w:rsid w:val="00C928CE"/>
    <w:rsid w:val="00C9427B"/>
    <w:rsid w:val="00CA0F1F"/>
    <w:rsid w:val="00CA3447"/>
    <w:rsid w:val="00CA5EC8"/>
    <w:rsid w:val="00CA62FF"/>
    <w:rsid w:val="00CA6CE9"/>
    <w:rsid w:val="00CC0EF6"/>
    <w:rsid w:val="00CC7D5F"/>
    <w:rsid w:val="00CD18F4"/>
    <w:rsid w:val="00CD1C9A"/>
    <w:rsid w:val="00CD35A3"/>
    <w:rsid w:val="00CD4D5A"/>
    <w:rsid w:val="00CD70A6"/>
    <w:rsid w:val="00CD7E93"/>
    <w:rsid w:val="00CE0C1B"/>
    <w:rsid w:val="00CE2CF3"/>
    <w:rsid w:val="00CE2EDB"/>
    <w:rsid w:val="00CF2FF7"/>
    <w:rsid w:val="00CF3566"/>
    <w:rsid w:val="00CF67BD"/>
    <w:rsid w:val="00CF73C9"/>
    <w:rsid w:val="00D01F5A"/>
    <w:rsid w:val="00D03069"/>
    <w:rsid w:val="00D03E63"/>
    <w:rsid w:val="00D05477"/>
    <w:rsid w:val="00D07060"/>
    <w:rsid w:val="00D101A9"/>
    <w:rsid w:val="00D10493"/>
    <w:rsid w:val="00D10CCC"/>
    <w:rsid w:val="00D1716E"/>
    <w:rsid w:val="00D179FF"/>
    <w:rsid w:val="00D206D1"/>
    <w:rsid w:val="00D20849"/>
    <w:rsid w:val="00D20969"/>
    <w:rsid w:val="00D23C02"/>
    <w:rsid w:val="00D31EF3"/>
    <w:rsid w:val="00D32477"/>
    <w:rsid w:val="00D332CD"/>
    <w:rsid w:val="00D37A8F"/>
    <w:rsid w:val="00D37F94"/>
    <w:rsid w:val="00D4268A"/>
    <w:rsid w:val="00D60C2A"/>
    <w:rsid w:val="00D628B9"/>
    <w:rsid w:val="00D64E05"/>
    <w:rsid w:val="00D65504"/>
    <w:rsid w:val="00D72A6C"/>
    <w:rsid w:val="00D7616B"/>
    <w:rsid w:val="00D764C7"/>
    <w:rsid w:val="00D767C3"/>
    <w:rsid w:val="00D82E2F"/>
    <w:rsid w:val="00D84B23"/>
    <w:rsid w:val="00D92FD3"/>
    <w:rsid w:val="00D97FF2"/>
    <w:rsid w:val="00DA1A88"/>
    <w:rsid w:val="00DA279B"/>
    <w:rsid w:val="00DA3B6E"/>
    <w:rsid w:val="00DA6B73"/>
    <w:rsid w:val="00DB5B86"/>
    <w:rsid w:val="00DB7581"/>
    <w:rsid w:val="00DC024D"/>
    <w:rsid w:val="00DC50E0"/>
    <w:rsid w:val="00DC70C1"/>
    <w:rsid w:val="00DC7AA0"/>
    <w:rsid w:val="00DD0C82"/>
    <w:rsid w:val="00DD68E4"/>
    <w:rsid w:val="00DE4B01"/>
    <w:rsid w:val="00DE4B6B"/>
    <w:rsid w:val="00DE50A3"/>
    <w:rsid w:val="00DE6455"/>
    <w:rsid w:val="00DE6D83"/>
    <w:rsid w:val="00DE714D"/>
    <w:rsid w:val="00DF22EC"/>
    <w:rsid w:val="00E008C9"/>
    <w:rsid w:val="00E0306B"/>
    <w:rsid w:val="00E03106"/>
    <w:rsid w:val="00E0361D"/>
    <w:rsid w:val="00E042B7"/>
    <w:rsid w:val="00E070F8"/>
    <w:rsid w:val="00E102F7"/>
    <w:rsid w:val="00E10329"/>
    <w:rsid w:val="00E169FF"/>
    <w:rsid w:val="00E226D7"/>
    <w:rsid w:val="00E25FBF"/>
    <w:rsid w:val="00E2622A"/>
    <w:rsid w:val="00E325F8"/>
    <w:rsid w:val="00E41C04"/>
    <w:rsid w:val="00E432DD"/>
    <w:rsid w:val="00E4377A"/>
    <w:rsid w:val="00E441CF"/>
    <w:rsid w:val="00E44BB0"/>
    <w:rsid w:val="00E47068"/>
    <w:rsid w:val="00E639D6"/>
    <w:rsid w:val="00E73469"/>
    <w:rsid w:val="00E73D29"/>
    <w:rsid w:val="00E82CE6"/>
    <w:rsid w:val="00E83C12"/>
    <w:rsid w:val="00E8722D"/>
    <w:rsid w:val="00E8725C"/>
    <w:rsid w:val="00E87505"/>
    <w:rsid w:val="00E9041C"/>
    <w:rsid w:val="00E904C8"/>
    <w:rsid w:val="00E91924"/>
    <w:rsid w:val="00E93529"/>
    <w:rsid w:val="00E94BB5"/>
    <w:rsid w:val="00E94C4A"/>
    <w:rsid w:val="00EA0931"/>
    <w:rsid w:val="00EA1A27"/>
    <w:rsid w:val="00EA1BBF"/>
    <w:rsid w:val="00EA7BEA"/>
    <w:rsid w:val="00EB042A"/>
    <w:rsid w:val="00EB29A9"/>
    <w:rsid w:val="00EB3F4E"/>
    <w:rsid w:val="00EB77D2"/>
    <w:rsid w:val="00EC169B"/>
    <w:rsid w:val="00EC1F3B"/>
    <w:rsid w:val="00EC264D"/>
    <w:rsid w:val="00EC2819"/>
    <w:rsid w:val="00EC3563"/>
    <w:rsid w:val="00EC4806"/>
    <w:rsid w:val="00EC5250"/>
    <w:rsid w:val="00ED2D3E"/>
    <w:rsid w:val="00ED44EF"/>
    <w:rsid w:val="00ED5EBC"/>
    <w:rsid w:val="00EE45D4"/>
    <w:rsid w:val="00EE5ABF"/>
    <w:rsid w:val="00EF0E73"/>
    <w:rsid w:val="00EF1CFE"/>
    <w:rsid w:val="00EF5B9A"/>
    <w:rsid w:val="00EF7088"/>
    <w:rsid w:val="00EF76ED"/>
    <w:rsid w:val="00EF7C80"/>
    <w:rsid w:val="00F024F1"/>
    <w:rsid w:val="00F048EC"/>
    <w:rsid w:val="00F0546A"/>
    <w:rsid w:val="00F05547"/>
    <w:rsid w:val="00F059A0"/>
    <w:rsid w:val="00F07301"/>
    <w:rsid w:val="00F10620"/>
    <w:rsid w:val="00F11414"/>
    <w:rsid w:val="00F12A96"/>
    <w:rsid w:val="00F15608"/>
    <w:rsid w:val="00F20C10"/>
    <w:rsid w:val="00F22DE6"/>
    <w:rsid w:val="00F250B1"/>
    <w:rsid w:val="00F26F02"/>
    <w:rsid w:val="00F316C8"/>
    <w:rsid w:val="00F32262"/>
    <w:rsid w:val="00F35D9C"/>
    <w:rsid w:val="00F41017"/>
    <w:rsid w:val="00F41689"/>
    <w:rsid w:val="00F521D8"/>
    <w:rsid w:val="00F632DE"/>
    <w:rsid w:val="00F63632"/>
    <w:rsid w:val="00F641FE"/>
    <w:rsid w:val="00F66136"/>
    <w:rsid w:val="00F714B8"/>
    <w:rsid w:val="00F735E4"/>
    <w:rsid w:val="00F7379B"/>
    <w:rsid w:val="00F73F9B"/>
    <w:rsid w:val="00F82668"/>
    <w:rsid w:val="00F83635"/>
    <w:rsid w:val="00F83A3A"/>
    <w:rsid w:val="00F936E3"/>
    <w:rsid w:val="00F93A87"/>
    <w:rsid w:val="00F9515A"/>
    <w:rsid w:val="00FA3D2C"/>
    <w:rsid w:val="00FA5367"/>
    <w:rsid w:val="00FA6B96"/>
    <w:rsid w:val="00FA74B6"/>
    <w:rsid w:val="00FB0EEF"/>
    <w:rsid w:val="00FB3C3B"/>
    <w:rsid w:val="00FB7834"/>
    <w:rsid w:val="00FC0D39"/>
    <w:rsid w:val="00FC273F"/>
    <w:rsid w:val="00FC3174"/>
    <w:rsid w:val="00FC32DB"/>
    <w:rsid w:val="00FC636D"/>
    <w:rsid w:val="00FC66BC"/>
    <w:rsid w:val="00FC758B"/>
    <w:rsid w:val="00FC799E"/>
    <w:rsid w:val="00FD248B"/>
    <w:rsid w:val="00FD3325"/>
    <w:rsid w:val="00FD39EB"/>
    <w:rsid w:val="00FD3DFC"/>
    <w:rsid w:val="00FD427C"/>
    <w:rsid w:val="00FD44B8"/>
    <w:rsid w:val="00FD4B6A"/>
    <w:rsid w:val="00FD66C6"/>
    <w:rsid w:val="00FE777D"/>
    <w:rsid w:val="00FF03A8"/>
    <w:rsid w:val="00FF15CE"/>
    <w:rsid w:val="00FF3BC6"/>
    <w:rsid w:val="00FF61EC"/>
    <w:rsid w:val="00FF63EA"/>
    <w:rsid w:val="0235F4FE"/>
    <w:rsid w:val="023FCE46"/>
    <w:rsid w:val="029FA39E"/>
    <w:rsid w:val="06710FA5"/>
    <w:rsid w:val="099A0274"/>
    <w:rsid w:val="0F28D608"/>
    <w:rsid w:val="12E47E53"/>
    <w:rsid w:val="138D27EE"/>
    <w:rsid w:val="15B54A28"/>
    <w:rsid w:val="1623949C"/>
    <w:rsid w:val="176C7563"/>
    <w:rsid w:val="1F638B8E"/>
    <w:rsid w:val="1FEB03FF"/>
    <w:rsid w:val="23C38A7D"/>
    <w:rsid w:val="24A94517"/>
    <w:rsid w:val="24CF7E7D"/>
    <w:rsid w:val="26E9E0FC"/>
    <w:rsid w:val="26EE0C00"/>
    <w:rsid w:val="2A61BB8C"/>
    <w:rsid w:val="2B12419F"/>
    <w:rsid w:val="2B38ABD6"/>
    <w:rsid w:val="2B9076D2"/>
    <w:rsid w:val="44971933"/>
    <w:rsid w:val="456F36F8"/>
    <w:rsid w:val="457FD166"/>
    <w:rsid w:val="45F458B9"/>
    <w:rsid w:val="4B97E3E1"/>
    <w:rsid w:val="566C6449"/>
    <w:rsid w:val="57E068B7"/>
    <w:rsid w:val="5988CF42"/>
    <w:rsid w:val="59D85A64"/>
    <w:rsid w:val="6057F56B"/>
    <w:rsid w:val="60FDF571"/>
    <w:rsid w:val="619E92C0"/>
    <w:rsid w:val="6239EC7F"/>
    <w:rsid w:val="64CFC4ED"/>
    <w:rsid w:val="64F2F9E0"/>
    <w:rsid w:val="658315FB"/>
    <w:rsid w:val="6D1676BF"/>
    <w:rsid w:val="7149A4C0"/>
    <w:rsid w:val="7BDEB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1C1A1247-76BB-4462-8802-43C4FAE3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paragraph" w:styleId="Heading2">
    <w:name w:val="heading 2"/>
    <w:basedOn w:val="Normal"/>
    <w:next w:val="Normal"/>
    <w:link w:val="Heading2Char"/>
    <w:uiPriority w:val="9"/>
    <w:semiHidden/>
    <w:unhideWhenUsed/>
    <w:qFormat/>
    <w:rsid w:val="00A52652"/>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77E32"/>
    <w:rPr>
      <w:sz w:val="20"/>
      <w:szCs w:val="20"/>
    </w:rPr>
  </w:style>
  <w:style w:type="character" w:customStyle="1" w:styleId="FootnoteTextChar">
    <w:name w:val="Footnote Text Char"/>
    <w:link w:val="FootnoteText"/>
    <w:uiPriority w:val="99"/>
    <w:semiHidden/>
    <w:rsid w:val="00177E32"/>
    <w:rPr>
      <w:lang w:eastAsia="en-US"/>
    </w:rPr>
  </w:style>
  <w:style w:type="character" w:styleId="FootnoteReference">
    <w:name w:val="footnote reference"/>
    <w:aliases w:val="Footnote symbol"/>
    <w:unhideWhenUsed/>
    <w:qFormat/>
    <w:rsid w:val="00177E32"/>
    <w:rPr>
      <w:sz w:val="24"/>
      <w:vertAlign w:val="superscript"/>
    </w:rPr>
  </w:style>
  <w:style w:type="character" w:styleId="Hyperlink">
    <w:name w:val="Hyperlink"/>
    <w:uiPriority w:val="99"/>
    <w:rsid w:val="00177E32"/>
    <w:rPr>
      <w:color w:val="0000FF"/>
      <w:u w:val="single"/>
    </w:rPr>
  </w:style>
  <w:style w:type="character" w:styleId="CommentReference">
    <w:name w:val="annotation reference"/>
    <w:uiPriority w:val="99"/>
    <w:semiHidden/>
    <w:unhideWhenUsed/>
    <w:rsid w:val="00177E32"/>
    <w:rPr>
      <w:sz w:val="16"/>
      <w:szCs w:val="16"/>
    </w:rPr>
  </w:style>
  <w:style w:type="paragraph" w:styleId="CommentText">
    <w:name w:val="annotation text"/>
    <w:basedOn w:val="Normal"/>
    <w:link w:val="CommentTextChar"/>
    <w:uiPriority w:val="99"/>
    <w:unhideWhenUsed/>
    <w:rsid w:val="00177E32"/>
    <w:rPr>
      <w:sz w:val="20"/>
      <w:szCs w:val="20"/>
    </w:rPr>
  </w:style>
  <w:style w:type="character" w:customStyle="1" w:styleId="CommentTextChar">
    <w:name w:val="Comment Text Char"/>
    <w:link w:val="CommentText"/>
    <w:uiPriority w:val="99"/>
    <w:rsid w:val="00177E32"/>
    <w:rPr>
      <w:lang w:eastAsia="en-US"/>
    </w:rPr>
  </w:style>
  <w:style w:type="paragraph" w:styleId="Header">
    <w:name w:val="header"/>
    <w:basedOn w:val="Normal"/>
    <w:link w:val="HeaderChar"/>
    <w:uiPriority w:val="99"/>
    <w:unhideWhenUsed/>
    <w:rsid w:val="006361D3"/>
    <w:pPr>
      <w:tabs>
        <w:tab w:val="center" w:pos="4513"/>
        <w:tab w:val="right" w:pos="9026"/>
      </w:tabs>
    </w:pPr>
  </w:style>
  <w:style w:type="character" w:customStyle="1" w:styleId="HeaderChar">
    <w:name w:val="Header Char"/>
    <w:link w:val="Header"/>
    <w:uiPriority w:val="99"/>
    <w:rsid w:val="006361D3"/>
    <w:rPr>
      <w:sz w:val="22"/>
      <w:szCs w:val="22"/>
      <w:lang w:eastAsia="en-US"/>
    </w:rPr>
  </w:style>
  <w:style w:type="paragraph" w:styleId="Footer">
    <w:name w:val="footer"/>
    <w:basedOn w:val="Normal"/>
    <w:link w:val="FooterChar"/>
    <w:uiPriority w:val="99"/>
    <w:unhideWhenUsed/>
    <w:rsid w:val="006361D3"/>
    <w:pPr>
      <w:tabs>
        <w:tab w:val="center" w:pos="4513"/>
        <w:tab w:val="right" w:pos="9026"/>
      </w:tabs>
    </w:pPr>
  </w:style>
  <w:style w:type="character" w:customStyle="1" w:styleId="FooterChar">
    <w:name w:val="Footer Char"/>
    <w:link w:val="Footer"/>
    <w:uiPriority w:val="99"/>
    <w:rsid w:val="006361D3"/>
    <w:rPr>
      <w:sz w:val="22"/>
      <w:szCs w:val="22"/>
      <w:lang w:eastAsia="en-US"/>
    </w:rPr>
  </w:style>
  <w:style w:type="character" w:styleId="UnresolvedMention">
    <w:name w:val="Unresolved Mention"/>
    <w:uiPriority w:val="99"/>
    <w:semiHidden/>
    <w:unhideWhenUsed/>
    <w:rsid w:val="00BF0240"/>
    <w:rPr>
      <w:color w:val="605E5C"/>
      <w:shd w:val="clear" w:color="auto" w:fill="E1DFDD"/>
    </w:rPr>
  </w:style>
  <w:style w:type="paragraph" w:styleId="Revision">
    <w:name w:val="Revision"/>
    <w:hidden/>
    <w:uiPriority w:val="99"/>
    <w:semiHidden/>
    <w:rsid w:val="005C1EB7"/>
    <w:rPr>
      <w:sz w:val="22"/>
      <w:szCs w:val="22"/>
      <w:lang w:val="en-GB" w:eastAsia="en-US"/>
    </w:rPr>
  </w:style>
  <w:style w:type="paragraph" w:styleId="CommentSubject">
    <w:name w:val="annotation subject"/>
    <w:basedOn w:val="CommentText"/>
    <w:next w:val="CommentText"/>
    <w:link w:val="CommentSubjectChar"/>
    <w:uiPriority w:val="99"/>
    <w:semiHidden/>
    <w:unhideWhenUsed/>
    <w:rsid w:val="00634F85"/>
    <w:rPr>
      <w:b/>
      <w:bCs/>
    </w:rPr>
  </w:style>
  <w:style w:type="character" w:customStyle="1" w:styleId="CommentSubjectChar">
    <w:name w:val="Comment Subject Char"/>
    <w:link w:val="CommentSubject"/>
    <w:uiPriority w:val="99"/>
    <w:semiHidden/>
    <w:rsid w:val="00634F85"/>
    <w:rPr>
      <w:b/>
      <w:bCs/>
      <w:lang w:val="en-GB" w:eastAsia="en-US"/>
    </w:rPr>
  </w:style>
  <w:style w:type="character" w:customStyle="1" w:styleId="Heading2Char">
    <w:name w:val="Heading 2 Char"/>
    <w:basedOn w:val="DefaultParagraphFont"/>
    <w:link w:val="Heading2"/>
    <w:uiPriority w:val="9"/>
    <w:semiHidden/>
    <w:rsid w:val="00A52652"/>
    <w:rPr>
      <w:rFonts w:asciiTheme="majorHAnsi" w:eastAsiaTheme="majorEastAsia" w:hAnsiTheme="majorHAnsi" w:cstheme="majorBidi"/>
      <w:b/>
      <w:bCs/>
      <w:i/>
      <w:iCs/>
      <w:sz w:val="28"/>
      <w:szCs w:val="28"/>
      <w:lang w:val="en-GB" w:eastAsia="en-US"/>
    </w:rPr>
  </w:style>
  <w:style w:type="character" w:styleId="FollowedHyperlink">
    <w:name w:val="FollowedHyperlink"/>
    <w:basedOn w:val="DefaultParagraphFont"/>
    <w:uiPriority w:val="99"/>
    <w:semiHidden/>
    <w:unhideWhenUsed/>
    <w:rsid w:val="000E026B"/>
    <w:rPr>
      <w:color w:val="954F72" w:themeColor="followedHyperlink"/>
      <w:u w:val="single"/>
    </w:rPr>
  </w:style>
  <w:style w:type="paragraph" w:styleId="NormalWeb">
    <w:name w:val="Normal (Web)"/>
    <w:basedOn w:val="Normal"/>
    <w:uiPriority w:val="99"/>
    <w:semiHidden/>
    <w:unhideWhenUsed/>
    <w:rsid w:val="00CD18F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139/oj" TargetMode="External"/><Relationship Id="rId3" Type="http://schemas.openxmlformats.org/officeDocument/2006/relationships/hyperlink" Target="http://data.europa.eu/eli/reg/2023/1805/oj" TargetMode="External"/><Relationship Id="rId7" Type="http://schemas.openxmlformats.org/officeDocument/2006/relationships/hyperlink" Target="https://competition-policy.ec.europa.eu/mergers/review-merger-guidelines_en" TargetMode="External"/><Relationship Id="rId2" Type="http://schemas.openxmlformats.org/officeDocument/2006/relationships/hyperlink" Target="http://data.europa.eu/eli/reg/2023/1804/oj" TargetMode="External"/><Relationship Id="rId1" Type="http://schemas.openxmlformats.org/officeDocument/2006/relationships/hyperlink" Target="http://data.europa.eu/eli/reg/2019/1239/oj" TargetMode="External"/><Relationship Id="rId6" Type="http://schemas.openxmlformats.org/officeDocument/2006/relationships/hyperlink" Target="https://home-affairs.ec.europa.eu/news/european-ports-alliance-fight-drug-trafficking-and-organised-crime-2024-01-24_en" TargetMode="External"/><Relationship Id="rId11" Type="http://schemas.openxmlformats.org/officeDocument/2006/relationships/hyperlink" Target="https://transport.ec.europa.eu/transport-themes/clean-transport/sustainable-transport-investment-plan_en" TargetMode="External"/><Relationship Id="rId5" Type="http://schemas.openxmlformats.org/officeDocument/2006/relationships/hyperlink" Target="https://home-affairs.ec.europa.eu/policies/internal-security/organised-crime/drugs-policy_en" TargetMode="External"/><Relationship Id="rId10" Type="http://schemas.openxmlformats.org/officeDocument/2006/relationships/hyperlink" Target="https://eur-lex.europa.eu/legal-content/EN/TXT/PDF/?uri=CELEX:52026DC0112" TargetMode="External"/><Relationship Id="rId4" Type="http://schemas.openxmlformats.org/officeDocument/2006/relationships/hyperlink" Target="https://eur-lex.europa.eu/legal-content/EN/TXT/?uri=CELEX:52026PC0616" TargetMode="External"/><Relationship Id="rId9" Type="http://schemas.openxmlformats.org/officeDocument/2006/relationships/hyperlink" Target="http://data.europa.eu/eli/dir/2018/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6" ma:contentTypeDescription="Create a new document." ma:contentTypeScope="" ma:versionID="f8785bde19728ca988126fc3a56b8eca">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863d72d7a1d2ea5d19e496102efadb24"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fb504bd-4409-4c5f-a841-30ba9f0e7e51}"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C8D19F-323E-4951-AF1A-2E287067F720}">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customXml/itemProps2.xml><?xml version="1.0" encoding="utf-8"?>
<ds:datastoreItem xmlns:ds="http://schemas.openxmlformats.org/officeDocument/2006/customXml" ds:itemID="{C1F926E1-7006-424C-99B4-6B19C10F2D75}">
  <ds:schemaRefs>
    <ds:schemaRef ds:uri="http://schemas.openxmlformats.org/officeDocument/2006/bibliography"/>
  </ds:schemaRefs>
</ds:datastoreItem>
</file>

<file path=customXml/itemProps3.xml><?xml version="1.0" encoding="utf-8"?>
<ds:datastoreItem xmlns:ds="http://schemas.openxmlformats.org/officeDocument/2006/customXml" ds:itemID="{97943F1A-A78C-473C-9C6E-0BBD2B084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572A41-F2A2-4ABC-AADD-590A025248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1244</Words>
  <Characters>7929</Characters>
  <Application>Microsoft Office Word</Application>
  <DocSecurity>0</DocSecurity>
  <Lines>107</Lines>
  <Paragraphs>20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3</cp:revision>
  <cp:lastPrinted>2013-02-28T12:02:00Z</cp:lastPrinted>
  <dcterms:created xsi:type="dcterms:W3CDTF">2026-10-04T18:42:00Z</dcterms:created>
  <dcterms:modified xsi:type="dcterms:W3CDTF">2026-10-04T18:43:00Z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0x0101008B18F24F2D4E8140A461B5DCD99F9D2E</vt:lpwstr>
  </property>
  <property fmtid="{D5CDD505-2E9C-101B-9397-08002B2CF9AE}" pid="10" name="MediaServiceImageTags">
    <vt:lpwstr/>
  </property>
</Properties>
</file>