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232A0" w14:textId="77777777" w:rsidR="00077C4F" w:rsidRPr="00EE2F7D" w:rsidRDefault="00077C4F" w:rsidP="00554137">
      <w:pPr>
        <w:spacing w:after="0" w:line="240" w:lineRule="auto"/>
        <w:ind w:left="-709"/>
        <w:rPr>
          <w:rFonts w:ascii="Times New Roman" w:hAnsi="Times New Roman"/>
          <w:bCs/>
          <w:sz w:val="4"/>
          <w:szCs w:val="4"/>
          <w:lang w:val="en-IE"/>
        </w:rPr>
      </w:pPr>
    </w:p>
    <w:tbl>
      <w:tblPr>
        <w:tblW w:w="10243"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10243"/>
      </w:tblGrid>
      <w:tr w:rsidR="001C4138" w:rsidRPr="00EE2F7D" w14:paraId="7E6372DC" w14:textId="77777777" w:rsidTr="00C37BDD">
        <w:trPr>
          <w:jc w:val="center"/>
        </w:trPr>
        <w:tc>
          <w:tcPr>
            <w:tcW w:w="10243" w:type="dxa"/>
          </w:tcPr>
          <w:p w14:paraId="3A4EDC3A" w14:textId="0EE0663A" w:rsidR="001C4138" w:rsidRPr="00EE2F7D" w:rsidRDefault="0054574E" w:rsidP="001C4138">
            <w:pPr>
              <w:spacing w:before="120" w:after="120"/>
              <w:rPr>
                <w:rFonts w:ascii="Times New Roman" w:hAnsi="Times New Roman"/>
                <w:b/>
                <w:sz w:val="24"/>
                <w:szCs w:val="24"/>
                <w:lang w:val="en-IE"/>
              </w:rPr>
            </w:pPr>
            <w:r w:rsidRPr="00EE2F7D">
              <w:rPr>
                <w:rFonts w:ascii="Times New Roman" w:hAnsi="Times New Roman"/>
                <w:b/>
                <w:sz w:val="24"/>
                <w:szCs w:val="24"/>
                <w:lang w:val="en-IE"/>
              </w:rPr>
              <w:t>Implementing the New European Bauhaus</w:t>
            </w:r>
            <w:r w:rsidR="00554137" w:rsidRPr="00EE2F7D">
              <w:rPr>
                <w:rFonts w:ascii="Times New Roman" w:hAnsi="Times New Roman"/>
                <w:b/>
                <w:sz w:val="24"/>
                <w:szCs w:val="24"/>
                <w:lang w:val="en-IE"/>
              </w:rPr>
              <w:br/>
            </w:r>
            <w:r w:rsidR="0016361E" w:rsidRPr="00EE2F7D">
              <w:rPr>
                <w:rFonts w:ascii="Times New Roman" w:hAnsi="Times New Roman"/>
                <w:b/>
                <w:sz w:val="24"/>
                <w:szCs w:val="24"/>
                <w:lang w:val="en-IE"/>
              </w:rPr>
              <w:t xml:space="preserve">Optional </w:t>
            </w:r>
            <w:r w:rsidR="00C37BDD" w:rsidRPr="00EE2F7D">
              <w:rPr>
                <w:rFonts w:ascii="Times New Roman" w:hAnsi="Times New Roman"/>
                <w:b/>
                <w:sz w:val="24"/>
                <w:szCs w:val="24"/>
                <w:lang w:val="en-IE"/>
              </w:rPr>
              <w:t>opinion</w:t>
            </w:r>
            <w:r w:rsidR="001C4138" w:rsidRPr="00EE2F7D">
              <w:rPr>
                <w:rFonts w:ascii="Times New Roman" w:hAnsi="Times New Roman"/>
                <w:b/>
                <w:sz w:val="24"/>
                <w:szCs w:val="24"/>
                <w:lang w:val="en-IE"/>
              </w:rPr>
              <w:br/>
            </w:r>
            <w:proofErr w:type="gramStart"/>
            <w:r w:rsidR="00FA0DD8" w:rsidRPr="00EE2F7D">
              <w:rPr>
                <w:rFonts w:ascii="Times New Roman" w:hAnsi="Times New Roman"/>
                <w:b/>
                <w:sz w:val="24"/>
                <w:szCs w:val="24"/>
                <w:lang w:val="en-IE"/>
              </w:rPr>
              <w:t>COM(</w:t>
            </w:r>
            <w:proofErr w:type="gramEnd"/>
            <w:r w:rsidR="00FA0DD8" w:rsidRPr="00EE2F7D">
              <w:rPr>
                <w:rFonts w:ascii="Times New Roman" w:hAnsi="Times New Roman"/>
                <w:b/>
                <w:sz w:val="24"/>
                <w:szCs w:val="24"/>
                <w:lang w:val="en-IE"/>
              </w:rPr>
              <w:t>2025) 1026 final</w:t>
            </w:r>
            <w:r w:rsidR="001C4138" w:rsidRPr="00EE2F7D">
              <w:rPr>
                <w:rFonts w:ascii="Times New Roman" w:hAnsi="Times New Roman"/>
                <w:b/>
                <w:sz w:val="24"/>
                <w:szCs w:val="24"/>
                <w:lang w:val="en-IE"/>
              </w:rPr>
              <w:br/>
            </w:r>
            <w:r w:rsidR="007801B2" w:rsidRPr="002E7D6C">
              <w:rPr>
                <w:rFonts w:ascii="Times New Roman" w:hAnsi="Times New Roman"/>
                <w:b/>
                <w:sz w:val="24"/>
                <w:szCs w:val="24"/>
                <w:lang w:val="en-IE"/>
              </w:rPr>
              <w:t>EESC-2026-00440</w:t>
            </w:r>
            <w:r w:rsidR="007801B2" w:rsidRPr="00EE2F7D">
              <w:rPr>
                <w:rFonts w:ascii="Times New Roman" w:hAnsi="Times New Roman"/>
                <w:b/>
                <w:sz w:val="24"/>
                <w:szCs w:val="24"/>
                <w:lang w:val="en-IE"/>
              </w:rPr>
              <w:t xml:space="preserve"> – </w:t>
            </w:r>
            <w:r w:rsidR="008A4A11" w:rsidRPr="00EE2F7D">
              <w:rPr>
                <w:rFonts w:ascii="Times New Roman" w:hAnsi="Times New Roman"/>
                <w:b/>
                <w:sz w:val="24"/>
                <w:szCs w:val="24"/>
                <w:lang w:val="en-IE"/>
              </w:rPr>
              <w:t>TEN/873</w:t>
            </w:r>
            <w:r w:rsidR="001C4138" w:rsidRPr="00EE2F7D">
              <w:rPr>
                <w:rFonts w:ascii="Times New Roman" w:hAnsi="Times New Roman"/>
                <w:b/>
                <w:sz w:val="24"/>
                <w:szCs w:val="24"/>
                <w:lang w:val="en-IE"/>
              </w:rPr>
              <w:br/>
            </w:r>
            <w:r w:rsidR="00ED44CB" w:rsidRPr="00EE2F7D">
              <w:rPr>
                <w:rFonts w:ascii="Times New Roman" w:hAnsi="Times New Roman"/>
                <w:b/>
                <w:sz w:val="24"/>
                <w:szCs w:val="24"/>
                <w:lang w:val="en-IE"/>
              </w:rPr>
              <w:t>606</w:t>
            </w:r>
            <w:r w:rsidR="001C4138" w:rsidRPr="00EE2F7D">
              <w:rPr>
                <w:b/>
                <w:vertAlign w:val="superscript"/>
                <w:lang w:val="en-IE"/>
              </w:rPr>
              <w:t>th</w:t>
            </w:r>
            <w:r w:rsidR="001C4138" w:rsidRPr="00EE2F7D">
              <w:rPr>
                <w:b/>
                <w:lang w:val="en-IE"/>
              </w:rPr>
              <w:t xml:space="preserve"> </w:t>
            </w:r>
            <w:r w:rsidR="001C4138" w:rsidRPr="00EE2F7D">
              <w:rPr>
                <w:rFonts w:ascii="Times New Roman" w:hAnsi="Times New Roman"/>
                <w:b/>
                <w:sz w:val="24"/>
                <w:szCs w:val="24"/>
                <w:lang w:val="en-IE"/>
              </w:rPr>
              <w:t xml:space="preserve">Plenary Session – </w:t>
            </w:r>
            <w:r w:rsidR="00ED44CB" w:rsidRPr="00EE2F7D">
              <w:rPr>
                <w:rFonts w:ascii="Times New Roman" w:hAnsi="Times New Roman"/>
                <w:b/>
                <w:sz w:val="24"/>
                <w:szCs w:val="24"/>
                <w:lang w:val="en-IE"/>
              </w:rPr>
              <w:t>June 2026</w:t>
            </w:r>
            <w:r w:rsidR="001C4138" w:rsidRPr="00EE2F7D">
              <w:rPr>
                <w:rFonts w:ascii="Times New Roman" w:hAnsi="Times New Roman"/>
                <w:b/>
                <w:sz w:val="24"/>
                <w:szCs w:val="24"/>
                <w:lang w:val="en-IE"/>
              </w:rPr>
              <w:br/>
              <w:t xml:space="preserve">Rapporteur: </w:t>
            </w:r>
            <w:r w:rsidR="00ED44CB" w:rsidRPr="00EE2F7D">
              <w:rPr>
                <w:rFonts w:ascii="Times New Roman" w:hAnsi="Times New Roman"/>
                <w:b/>
                <w:sz w:val="24"/>
                <w:szCs w:val="24"/>
                <w:lang w:val="en-IE"/>
              </w:rPr>
              <w:t>Rudolf KOLBE</w:t>
            </w:r>
            <w:r w:rsidR="001C4138" w:rsidRPr="00EE2F7D">
              <w:rPr>
                <w:rFonts w:ascii="Times New Roman" w:hAnsi="Times New Roman"/>
                <w:b/>
                <w:sz w:val="24"/>
                <w:szCs w:val="24"/>
                <w:lang w:val="en-IE"/>
              </w:rPr>
              <w:t xml:space="preserve"> (</w:t>
            </w:r>
            <w:r w:rsidR="00ED44CB" w:rsidRPr="00EE2F7D">
              <w:rPr>
                <w:rFonts w:ascii="Times New Roman" w:hAnsi="Times New Roman"/>
                <w:b/>
                <w:sz w:val="24"/>
                <w:szCs w:val="24"/>
                <w:lang w:val="en-IE"/>
              </w:rPr>
              <w:t>AT</w:t>
            </w:r>
            <w:r w:rsidR="007801B2">
              <w:rPr>
                <w:rFonts w:ascii="Times New Roman" w:hAnsi="Times New Roman"/>
                <w:b/>
                <w:sz w:val="24"/>
                <w:szCs w:val="24"/>
                <w:lang w:val="en-IE"/>
              </w:rPr>
              <w:t xml:space="preserve"> – Group: CSO</w:t>
            </w:r>
            <w:r w:rsidR="00861F89" w:rsidRPr="00EE2F7D">
              <w:rPr>
                <w:rFonts w:ascii="Times New Roman" w:hAnsi="Times New Roman"/>
                <w:b/>
                <w:sz w:val="24"/>
                <w:szCs w:val="24"/>
                <w:lang w:val="en-IE"/>
              </w:rPr>
              <w:t>)</w:t>
            </w:r>
            <w:r w:rsidR="001C4138" w:rsidRPr="00EE2F7D">
              <w:rPr>
                <w:rFonts w:ascii="Times New Roman" w:hAnsi="Times New Roman"/>
                <w:b/>
                <w:sz w:val="24"/>
                <w:szCs w:val="24"/>
                <w:lang w:val="en-IE"/>
              </w:rPr>
              <w:br/>
              <w:t xml:space="preserve">DG </w:t>
            </w:r>
            <w:r w:rsidR="00ED44CB" w:rsidRPr="00EE2F7D">
              <w:rPr>
                <w:rFonts w:ascii="Times New Roman" w:hAnsi="Times New Roman"/>
                <w:b/>
                <w:sz w:val="24"/>
                <w:szCs w:val="24"/>
                <w:lang w:val="en-IE"/>
              </w:rPr>
              <w:t>JRC</w:t>
            </w:r>
            <w:r w:rsidR="001C4138" w:rsidRPr="00EE2F7D">
              <w:rPr>
                <w:rFonts w:ascii="Times New Roman" w:hAnsi="Times New Roman"/>
                <w:b/>
                <w:sz w:val="24"/>
                <w:szCs w:val="24"/>
                <w:lang w:val="en-IE"/>
              </w:rPr>
              <w:t xml:space="preserve"> – Commissioner</w:t>
            </w:r>
            <w:r w:rsidR="00ED44CB" w:rsidRPr="00EE2F7D">
              <w:rPr>
                <w:rFonts w:ascii="Times New Roman" w:hAnsi="Times New Roman"/>
                <w:b/>
                <w:sz w:val="24"/>
                <w:szCs w:val="24"/>
                <w:lang w:val="en-IE"/>
              </w:rPr>
              <w:t xml:space="preserve"> </w:t>
            </w:r>
            <w:r w:rsidR="007801B2" w:rsidRPr="00EE2F7D">
              <w:rPr>
                <w:rFonts w:ascii="Times New Roman" w:hAnsi="Times New Roman"/>
                <w:b/>
                <w:sz w:val="24"/>
                <w:szCs w:val="24"/>
                <w:lang w:val="en-IE"/>
              </w:rPr>
              <w:t>ROSWALL</w:t>
            </w:r>
          </w:p>
        </w:tc>
      </w:tr>
      <w:tr w:rsidR="00734613" w:rsidRPr="00EE2F7D" w14:paraId="1937071F" w14:textId="77777777" w:rsidTr="00C37BDD">
        <w:trPr>
          <w:jc w:val="center"/>
        </w:trPr>
        <w:tc>
          <w:tcPr>
            <w:tcW w:w="10243" w:type="dxa"/>
          </w:tcPr>
          <w:p w14:paraId="1E50B4DB" w14:textId="6210B328" w:rsidR="00734613" w:rsidRPr="00EE2F7D" w:rsidRDefault="004F6117" w:rsidP="004F6117">
            <w:pPr>
              <w:spacing w:before="120" w:after="120"/>
              <w:jc w:val="center"/>
              <w:rPr>
                <w:rFonts w:ascii="Times New Roman" w:hAnsi="Times New Roman"/>
                <w:b/>
                <w:sz w:val="24"/>
                <w:szCs w:val="24"/>
                <w:lang w:val="en-IE"/>
              </w:rPr>
            </w:pPr>
            <w:r w:rsidRPr="00EE2F7D">
              <w:rPr>
                <w:rFonts w:ascii="Times New Roman" w:hAnsi="Times New Roman"/>
                <w:b/>
                <w:sz w:val="24"/>
                <w:szCs w:val="24"/>
                <w:lang w:val="en-IE"/>
              </w:rPr>
              <w:t xml:space="preserve">European Commission position on points </w:t>
            </w:r>
            <w:r w:rsidRPr="00EE2F7D">
              <w:rPr>
                <w:rFonts w:ascii="Times New Roman" w:hAnsi="Times New Roman"/>
                <w:b/>
                <w:sz w:val="24"/>
                <w:szCs w:val="24"/>
                <w:lang w:val="en-IE"/>
              </w:rPr>
              <w:br/>
              <w:t xml:space="preserve">of the European Economic and Social Committee </w:t>
            </w:r>
            <w:r w:rsidR="00554137" w:rsidRPr="00EE2F7D">
              <w:rPr>
                <w:rFonts w:ascii="Times New Roman" w:hAnsi="Times New Roman"/>
                <w:b/>
                <w:sz w:val="24"/>
                <w:szCs w:val="24"/>
                <w:lang w:val="en-IE"/>
              </w:rPr>
              <w:t xml:space="preserve">(EESC) </w:t>
            </w:r>
            <w:r w:rsidRPr="00EE2F7D">
              <w:rPr>
                <w:rFonts w:ascii="Times New Roman" w:hAnsi="Times New Roman"/>
                <w:b/>
                <w:sz w:val="24"/>
                <w:szCs w:val="24"/>
                <w:lang w:val="en-IE"/>
              </w:rPr>
              <w:t>opinion</w:t>
            </w:r>
            <w:r w:rsidR="00E83C12" w:rsidRPr="00EE2F7D">
              <w:rPr>
                <w:rFonts w:ascii="Times New Roman" w:hAnsi="Times New Roman"/>
                <w:b/>
                <w:sz w:val="24"/>
                <w:szCs w:val="24"/>
                <w:lang w:val="en-IE"/>
              </w:rPr>
              <w:t xml:space="preserve"> considered as essential</w:t>
            </w:r>
          </w:p>
        </w:tc>
      </w:tr>
      <w:tr w:rsidR="00734613" w:rsidRPr="00EE2F7D" w14:paraId="673DDC1B" w14:textId="77777777" w:rsidTr="00C37BDD">
        <w:trPr>
          <w:jc w:val="center"/>
        </w:trPr>
        <w:tc>
          <w:tcPr>
            <w:tcW w:w="10243" w:type="dxa"/>
          </w:tcPr>
          <w:p w14:paraId="2A259BB0" w14:textId="14ACFA78" w:rsidR="00B47B0F" w:rsidRPr="00EE2F7D" w:rsidRDefault="00B47B0F" w:rsidP="002E7D6C">
            <w:pPr>
              <w:widowControl w:val="0"/>
              <w:spacing w:before="120" w:after="120"/>
              <w:jc w:val="both"/>
              <w:rPr>
                <w:rFonts w:ascii="Times New Roman" w:hAnsi="Times New Roman"/>
                <w:bCs/>
                <w:sz w:val="24"/>
                <w:szCs w:val="24"/>
                <w:lang w:val="en-IE"/>
              </w:rPr>
            </w:pPr>
            <w:r w:rsidRPr="00EE2F7D">
              <w:rPr>
                <w:rFonts w:ascii="Times New Roman" w:hAnsi="Times New Roman"/>
                <w:bCs/>
                <w:sz w:val="24"/>
                <w:szCs w:val="24"/>
                <w:lang w:val="en-IE"/>
              </w:rPr>
              <w:t xml:space="preserve">The Commission warmly welcomes the </w:t>
            </w:r>
            <w:r w:rsidR="007801B2">
              <w:rPr>
                <w:rFonts w:ascii="Times New Roman" w:hAnsi="Times New Roman"/>
                <w:bCs/>
                <w:sz w:val="24"/>
                <w:szCs w:val="24"/>
                <w:lang w:val="en-IE"/>
              </w:rPr>
              <w:t>Committee</w:t>
            </w:r>
            <w:r w:rsidRPr="00EE2F7D">
              <w:rPr>
                <w:rFonts w:ascii="Times New Roman" w:hAnsi="Times New Roman"/>
                <w:bCs/>
                <w:sz w:val="24"/>
                <w:szCs w:val="24"/>
                <w:lang w:val="en-IE"/>
              </w:rPr>
              <w:t xml:space="preserve">'s opinion and its strong support for the New European Bauhaus (NEB) and </w:t>
            </w:r>
            <w:r w:rsidR="00567486" w:rsidRPr="00EE2F7D">
              <w:rPr>
                <w:rFonts w:ascii="Times New Roman" w:hAnsi="Times New Roman"/>
                <w:bCs/>
                <w:sz w:val="24"/>
                <w:szCs w:val="24"/>
                <w:lang w:val="en-IE"/>
              </w:rPr>
              <w:t xml:space="preserve">for </w:t>
            </w:r>
            <w:r w:rsidRPr="00EE2F7D">
              <w:rPr>
                <w:rFonts w:ascii="Times New Roman" w:hAnsi="Times New Roman"/>
                <w:bCs/>
                <w:sz w:val="24"/>
                <w:szCs w:val="24"/>
                <w:lang w:val="en-IE"/>
              </w:rPr>
              <w:t>the roadmap for its implementation</w:t>
            </w:r>
            <w:r w:rsidR="00567486" w:rsidRPr="00EE2F7D">
              <w:rPr>
                <w:rFonts w:ascii="Times New Roman" w:hAnsi="Times New Roman"/>
                <w:bCs/>
                <w:sz w:val="24"/>
                <w:szCs w:val="24"/>
                <w:lang w:val="en-IE"/>
              </w:rPr>
              <w:t>, as</w:t>
            </w:r>
            <w:r w:rsidRPr="00EE2F7D">
              <w:rPr>
                <w:rFonts w:ascii="Times New Roman" w:hAnsi="Times New Roman"/>
                <w:bCs/>
                <w:sz w:val="24"/>
                <w:szCs w:val="24"/>
                <w:lang w:val="en-IE"/>
              </w:rPr>
              <w:t xml:space="preserve"> outlined in the Commission Communication</w:t>
            </w:r>
            <w:r w:rsidRPr="00EE2F7D">
              <w:rPr>
                <w:rStyle w:val="FootnoteReference"/>
                <w:rFonts w:ascii="Times New Roman" w:hAnsi="Times New Roman"/>
                <w:bCs/>
                <w:sz w:val="24"/>
                <w:szCs w:val="24"/>
                <w:lang w:val="en-IE"/>
              </w:rPr>
              <w:footnoteReference w:id="1"/>
            </w:r>
            <w:r w:rsidRPr="00EE2F7D">
              <w:rPr>
                <w:rFonts w:ascii="Times New Roman" w:hAnsi="Times New Roman"/>
                <w:bCs/>
                <w:sz w:val="24"/>
                <w:szCs w:val="24"/>
                <w:lang w:val="en-IE"/>
              </w:rPr>
              <w:t xml:space="preserve"> </w:t>
            </w:r>
            <w:r w:rsidR="00567486" w:rsidRPr="00EE2F7D">
              <w:rPr>
                <w:rFonts w:ascii="Times New Roman" w:hAnsi="Times New Roman"/>
                <w:bCs/>
                <w:sz w:val="24"/>
                <w:szCs w:val="24"/>
                <w:lang w:val="en-IE"/>
              </w:rPr>
              <w:t xml:space="preserve">adopted in December 2025 </w:t>
            </w:r>
            <w:r w:rsidRPr="00EE2F7D">
              <w:rPr>
                <w:rFonts w:ascii="Times New Roman" w:hAnsi="Times New Roman"/>
                <w:bCs/>
                <w:sz w:val="24"/>
                <w:szCs w:val="24"/>
                <w:lang w:val="en-IE"/>
              </w:rPr>
              <w:t xml:space="preserve">as part of the broader European Affordable Housing Plan. In </w:t>
            </w:r>
            <w:r w:rsidR="00567486" w:rsidRPr="00EE2F7D">
              <w:rPr>
                <w:rFonts w:ascii="Times New Roman" w:hAnsi="Times New Roman"/>
                <w:bCs/>
                <w:sz w:val="24"/>
                <w:szCs w:val="24"/>
                <w:lang w:val="en-IE"/>
              </w:rPr>
              <w:t xml:space="preserve">addressing </w:t>
            </w:r>
            <w:r w:rsidRPr="00EE2F7D">
              <w:rPr>
                <w:rFonts w:ascii="Times New Roman" w:hAnsi="Times New Roman"/>
                <w:bCs/>
                <w:sz w:val="24"/>
                <w:szCs w:val="24"/>
                <w:lang w:val="en-IE"/>
              </w:rPr>
              <w:t xml:space="preserve">the broader housing crisis across Europe, </w:t>
            </w:r>
            <w:r w:rsidR="007A659A">
              <w:rPr>
                <w:rFonts w:ascii="Times New Roman" w:hAnsi="Times New Roman"/>
                <w:bCs/>
                <w:sz w:val="24"/>
                <w:szCs w:val="24"/>
                <w:lang w:val="en-IE"/>
              </w:rPr>
              <w:t>the EU</w:t>
            </w:r>
            <w:r w:rsidR="007A659A" w:rsidRPr="00EE2F7D">
              <w:rPr>
                <w:rFonts w:ascii="Times New Roman" w:hAnsi="Times New Roman"/>
                <w:bCs/>
                <w:sz w:val="24"/>
                <w:szCs w:val="24"/>
                <w:lang w:val="en-IE"/>
              </w:rPr>
              <w:t xml:space="preserve"> </w:t>
            </w:r>
            <w:r w:rsidRPr="00EE2F7D">
              <w:rPr>
                <w:rFonts w:ascii="Times New Roman" w:hAnsi="Times New Roman"/>
                <w:bCs/>
                <w:sz w:val="24"/>
                <w:szCs w:val="24"/>
                <w:lang w:val="en-IE"/>
              </w:rPr>
              <w:t xml:space="preserve">must ensure that </w:t>
            </w:r>
            <w:r w:rsidR="008F7A60" w:rsidRPr="00EE2F7D">
              <w:rPr>
                <w:rFonts w:ascii="Times New Roman" w:hAnsi="Times New Roman"/>
                <w:bCs/>
                <w:sz w:val="24"/>
                <w:szCs w:val="24"/>
                <w:lang w:val="en-IE"/>
              </w:rPr>
              <w:t xml:space="preserve">actions to tackle </w:t>
            </w:r>
            <w:r w:rsidR="00567486" w:rsidRPr="00EE2F7D">
              <w:rPr>
                <w:rFonts w:ascii="Times New Roman" w:hAnsi="Times New Roman"/>
                <w:bCs/>
                <w:sz w:val="24"/>
                <w:szCs w:val="24"/>
                <w:lang w:val="en-IE"/>
              </w:rPr>
              <w:t>housing affordability challenges</w:t>
            </w:r>
            <w:r w:rsidR="008F7A60" w:rsidRPr="00EE2F7D">
              <w:rPr>
                <w:rFonts w:ascii="Times New Roman" w:hAnsi="Times New Roman"/>
                <w:bCs/>
                <w:sz w:val="24"/>
                <w:szCs w:val="24"/>
                <w:lang w:val="en-IE"/>
              </w:rPr>
              <w:t xml:space="preserve"> follow </w:t>
            </w:r>
            <w:r w:rsidRPr="00EE2F7D">
              <w:rPr>
                <w:rFonts w:ascii="Times New Roman" w:hAnsi="Times New Roman"/>
                <w:bCs/>
                <w:sz w:val="24"/>
                <w:szCs w:val="24"/>
                <w:lang w:val="en-IE"/>
              </w:rPr>
              <w:t xml:space="preserve">the integrated NEB approach </w:t>
            </w:r>
            <w:r w:rsidR="008F7A60" w:rsidRPr="00EE2F7D">
              <w:rPr>
                <w:rFonts w:ascii="Times New Roman" w:hAnsi="Times New Roman"/>
                <w:bCs/>
                <w:sz w:val="24"/>
                <w:szCs w:val="24"/>
                <w:lang w:val="en-IE"/>
              </w:rPr>
              <w:t xml:space="preserve">so that they </w:t>
            </w:r>
            <w:r w:rsidRPr="00EE2F7D">
              <w:rPr>
                <w:rFonts w:ascii="Times New Roman" w:hAnsi="Times New Roman"/>
                <w:bCs/>
                <w:sz w:val="24"/>
                <w:szCs w:val="24"/>
                <w:lang w:val="en-IE"/>
              </w:rPr>
              <w:t xml:space="preserve">can help foster social cohesion and improve the overall quality of life in local neighbourhoods through a clean, circular, </w:t>
            </w:r>
            <w:r w:rsidR="00CA5525" w:rsidRPr="00EE2F7D">
              <w:rPr>
                <w:rFonts w:ascii="Times New Roman" w:hAnsi="Times New Roman"/>
                <w:bCs/>
                <w:sz w:val="24"/>
                <w:szCs w:val="24"/>
                <w:lang w:val="en-IE"/>
              </w:rPr>
              <w:t xml:space="preserve">climate-resilient, </w:t>
            </w:r>
            <w:r w:rsidRPr="00EE2F7D">
              <w:rPr>
                <w:rFonts w:ascii="Times New Roman" w:hAnsi="Times New Roman"/>
                <w:bCs/>
                <w:sz w:val="24"/>
                <w:szCs w:val="24"/>
                <w:lang w:val="en-IE"/>
              </w:rPr>
              <w:t>and highly efficient built environment.</w:t>
            </w:r>
          </w:p>
          <w:p w14:paraId="7FD28028" w14:textId="1612492D" w:rsidR="00B47B0F" w:rsidRPr="00EE2F7D" w:rsidRDefault="00B47B0F" w:rsidP="002E7D6C">
            <w:pPr>
              <w:widowControl w:val="0"/>
              <w:spacing w:before="120" w:after="120"/>
              <w:jc w:val="both"/>
              <w:rPr>
                <w:rFonts w:ascii="Times New Roman" w:hAnsi="Times New Roman"/>
                <w:bCs/>
                <w:sz w:val="24"/>
                <w:szCs w:val="24"/>
                <w:lang w:val="en-IE"/>
              </w:rPr>
            </w:pPr>
            <w:r w:rsidRPr="00EE2F7D">
              <w:rPr>
                <w:rFonts w:ascii="Times New Roman" w:hAnsi="Times New Roman"/>
                <w:bCs/>
                <w:sz w:val="24"/>
                <w:szCs w:val="24"/>
                <w:lang w:val="en-IE"/>
              </w:rPr>
              <w:t xml:space="preserve">The </w:t>
            </w:r>
            <w:r w:rsidR="00567486" w:rsidRPr="00EE2F7D">
              <w:rPr>
                <w:rFonts w:ascii="Times New Roman" w:hAnsi="Times New Roman"/>
                <w:bCs/>
                <w:sz w:val="24"/>
                <w:szCs w:val="24"/>
                <w:lang w:val="en-IE"/>
              </w:rPr>
              <w:t xml:space="preserve">Commission fully shares the </w:t>
            </w:r>
            <w:r w:rsidRPr="00EE2F7D">
              <w:rPr>
                <w:rFonts w:ascii="Times New Roman" w:hAnsi="Times New Roman"/>
                <w:bCs/>
                <w:sz w:val="24"/>
                <w:szCs w:val="24"/>
                <w:lang w:val="en-IE"/>
              </w:rPr>
              <w:t xml:space="preserve">EESC’s view that the NEB </w:t>
            </w:r>
            <w:r w:rsidR="00567486" w:rsidRPr="00EE2F7D">
              <w:rPr>
                <w:rFonts w:ascii="Times New Roman" w:hAnsi="Times New Roman"/>
                <w:bCs/>
                <w:sz w:val="24"/>
                <w:szCs w:val="24"/>
                <w:lang w:val="en-IE"/>
              </w:rPr>
              <w:t xml:space="preserve">brings </w:t>
            </w:r>
            <w:r w:rsidRPr="00EE2F7D">
              <w:rPr>
                <w:rFonts w:ascii="Times New Roman" w:hAnsi="Times New Roman"/>
                <w:bCs/>
                <w:sz w:val="24"/>
                <w:szCs w:val="24"/>
                <w:lang w:val="en-IE"/>
              </w:rPr>
              <w:t xml:space="preserve">added value by translating policy objectives into tangible, people-centred solutions while fostering green innovation and enhancing competitiveness. </w:t>
            </w:r>
          </w:p>
          <w:p w14:paraId="498B7AD6" w14:textId="303A359D" w:rsidR="00B47B0F" w:rsidRPr="00EE2F7D" w:rsidRDefault="00B47B0F" w:rsidP="002E7D6C">
            <w:pPr>
              <w:widowControl w:val="0"/>
              <w:spacing w:before="120" w:after="120"/>
              <w:jc w:val="both"/>
              <w:rPr>
                <w:rFonts w:ascii="Times New Roman" w:hAnsi="Times New Roman"/>
                <w:bCs/>
                <w:sz w:val="24"/>
                <w:szCs w:val="24"/>
                <w:lang w:val="en-IE"/>
              </w:rPr>
            </w:pPr>
            <w:r w:rsidRPr="00EE2F7D">
              <w:rPr>
                <w:rFonts w:ascii="Times New Roman" w:hAnsi="Times New Roman"/>
                <w:bCs/>
                <w:sz w:val="24"/>
                <w:szCs w:val="24"/>
                <w:lang w:val="en-IE"/>
              </w:rPr>
              <w:t xml:space="preserve">The Commission also </w:t>
            </w:r>
            <w:r w:rsidR="00567486" w:rsidRPr="00EE2F7D">
              <w:rPr>
                <w:rFonts w:ascii="Times New Roman" w:hAnsi="Times New Roman"/>
                <w:bCs/>
                <w:sz w:val="24"/>
                <w:szCs w:val="24"/>
                <w:lang w:val="en-IE"/>
              </w:rPr>
              <w:t>welcomes the unanimous adoption, on 11 May 2026, of</w:t>
            </w:r>
            <w:r w:rsidRPr="00EE2F7D">
              <w:rPr>
                <w:rFonts w:ascii="Times New Roman" w:hAnsi="Times New Roman"/>
                <w:bCs/>
                <w:sz w:val="24"/>
                <w:szCs w:val="24"/>
                <w:lang w:val="en-IE"/>
              </w:rPr>
              <w:t xml:space="preserve"> the Council Recommendation on the NEB</w:t>
            </w:r>
            <w:r w:rsidRPr="00EE2F7D">
              <w:rPr>
                <w:rStyle w:val="FootnoteReference"/>
                <w:rFonts w:ascii="Times New Roman" w:hAnsi="Times New Roman"/>
                <w:bCs/>
                <w:sz w:val="24"/>
                <w:szCs w:val="24"/>
                <w:lang w:val="en-IE"/>
              </w:rPr>
              <w:footnoteReference w:id="2"/>
            </w:r>
            <w:r w:rsidRPr="00EE2F7D">
              <w:rPr>
                <w:rFonts w:ascii="Times New Roman" w:hAnsi="Times New Roman"/>
                <w:bCs/>
                <w:sz w:val="24"/>
                <w:szCs w:val="24"/>
                <w:lang w:val="en-IE"/>
              </w:rPr>
              <w:t xml:space="preserve"> referred to in the Committee’s opinion. This represents a major milestone for the NEB, as EU Member States are vital for its successful implementation on the ground, acting as a crucial bridge between the EU and local or regional levels to deliver place-based transformations. The Commission fully agrees with the EESC that this represents an opportunity for Member States to </w:t>
            </w:r>
            <w:r w:rsidR="00D2185C" w:rsidRPr="00EE2F7D">
              <w:rPr>
                <w:rFonts w:ascii="Times New Roman" w:hAnsi="Times New Roman"/>
                <w:bCs/>
                <w:sz w:val="24"/>
                <w:szCs w:val="24"/>
                <w:lang w:val="en-IE"/>
              </w:rPr>
              <w:t xml:space="preserve">put in place and </w:t>
            </w:r>
            <w:r w:rsidRPr="00EE2F7D">
              <w:rPr>
                <w:rFonts w:ascii="Times New Roman" w:hAnsi="Times New Roman"/>
                <w:bCs/>
                <w:sz w:val="24"/>
                <w:szCs w:val="24"/>
                <w:lang w:val="en-IE"/>
              </w:rPr>
              <w:t xml:space="preserve">coordinate measures </w:t>
            </w:r>
            <w:r w:rsidR="00D2185C" w:rsidRPr="00EE2F7D">
              <w:rPr>
                <w:rFonts w:ascii="Times New Roman" w:hAnsi="Times New Roman"/>
                <w:bCs/>
                <w:sz w:val="24"/>
                <w:szCs w:val="24"/>
                <w:lang w:val="en-IE"/>
              </w:rPr>
              <w:t xml:space="preserve">in </w:t>
            </w:r>
            <w:r w:rsidRPr="00EE2F7D">
              <w:rPr>
                <w:rFonts w:ascii="Times New Roman" w:hAnsi="Times New Roman"/>
                <w:bCs/>
                <w:sz w:val="24"/>
                <w:szCs w:val="24"/>
                <w:lang w:val="en-IE"/>
              </w:rPr>
              <w:t xml:space="preserve">full respect </w:t>
            </w:r>
            <w:r w:rsidR="00D2185C" w:rsidRPr="00EE2F7D">
              <w:rPr>
                <w:rFonts w:ascii="Times New Roman" w:hAnsi="Times New Roman"/>
                <w:bCs/>
                <w:sz w:val="24"/>
                <w:szCs w:val="24"/>
                <w:lang w:val="en-IE"/>
              </w:rPr>
              <w:t xml:space="preserve">of </w:t>
            </w:r>
            <w:r w:rsidRPr="00EE2F7D">
              <w:rPr>
                <w:rFonts w:ascii="Times New Roman" w:hAnsi="Times New Roman"/>
                <w:bCs/>
                <w:sz w:val="24"/>
                <w:szCs w:val="24"/>
                <w:lang w:val="en-IE"/>
              </w:rPr>
              <w:t xml:space="preserve">subsidiarity while delivering clear EU added value, as </w:t>
            </w:r>
            <w:r w:rsidR="007C1CD6" w:rsidRPr="00EE2F7D">
              <w:rPr>
                <w:rFonts w:ascii="Times New Roman" w:hAnsi="Times New Roman"/>
                <w:bCs/>
                <w:sz w:val="24"/>
                <w:szCs w:val="24"/>
                <w:lang w:val="en-IE"/>
              </w:rPr>
              <w:t>the NEB</w:t>
            </w:r>
            <w:r w:rsidRPr="00EE2F7D">
              <w:rPr>
                <w:rFonts w:ascii="Times New Roman" w:hAnsi="Times New Roman"/>
                <w:bCs/>
                <w:sz w:val="24"/>
                <w:szCs w:val="24"/>
                <w:lang w:val="en-IE"/>
              </w:rPr>
              <w:t xml:space="preserve"> empowers Member States </w:t>
            </w:r>
            <w:r w:rsidR="008A04B0" w:rsidRPr="00EE2F7D">
              <w:rPr>
                <w:rFonts w:ascii="Times New Roman" w:hAnsi="Times New Roman"/>
                <w:bCs/>
                <w:sz w:val="24"/>
                <w:szCs w:val="24"/>
                <w:lang w:val="en-IE"/>
              </w:rPr>
              <w:t xml:space="preserve">and regional and local actors </w:t>
            </w:r>
            <w:r w:rsidRPr="00EE2F7D">
              <w:rPr>
                <w:rFonts w:ascii="Times New Roman" w:hAnsi="Times New Roman"/>
                <w:bCs/>
                <w:sz w:val="24"/>
                <w:szCs w:val="24"/>
                <w:lang w:val="en-IE"/>
              </w:rPr>
              <w:t>to reflect their unique national and local needs</w:t>
            </w:r>
            <w:r w:rsidR="008A04B0" w:rsidRPr="00EE2F7D">
              <w:rPr>
                <w:rFonts w:ascii="Times New Roman" w:hAnsi="Times New Roman"/>
                <w:bCs/>
                <w:sz w:val="24"/>
                <w:szCs w:val="24"/>
                <w:lang w:val="en-IE"/>
              </w:rPr>
              <w:t xml:space="preserve"> and priorities</w:t>
            </w:r>
            <w:r w:rsidRPr="00EE2F7D">
              <w:rPr>
                <w:rFonts w:ascii="Times New Roman" w:hAnsi="Times New Roman"/>
                <w:bCs/>
                <w:sz w:val="24"/>
                <w:szCs w:val="24"/>
                <w:lang w:val="en-IE"/>
              </w:rPr>
              <w:t>.</w:t>
            </w:r>
          </w:p>
          <w:p w14:paraId="06F44AC6" w14:textId="025FD581" w:rsidR="00B47B0F" w:rsidRPr="00EE2F7D" w:rsidRDefault="00B47B0F" w:rsidP="002E7D6C">
            <w:pPr>
              <w:widowControl w:val="0"/>
              <w:spacing w:before="120" w:after="120"/>
              <w:jc w:val="both"/>
              <w:rPr>
                <w:rFonts w:ascii="Times New Roman" w:hAnsi="Times New Roman"/>
                <w:bCs/>
                <w:sz w:val="24"/>
                <w:szCs w:val="24"/>
                <w:lang w:val="en-IE"/>
              </w:rPr>
            </w:pPr>
            <w:r w:rsidRPr="00EE2F7D">
              <w:rPr>
                <w:rFonts w:ascii="Times New Roman" w:hAnsi="Times New Roman"/>
                <w:bCs/>
                <w:sz w:val="24"/>
                <w:szCs w:val="24"/>
                <w:lang w:val="en-IE"/>
              </w:rPr>
              <w:t xml:space="preserve">In response to the specific conclusions and recommendations outlined in the Committee’s opinion, the Commission offers the following </w:t>
            </w:r>
            <w:r w:rsidR="0018792E" w:rsidRPr="00EE2F7D">
              <w:rPr>
                <w:rFonts w:ascii="Times New Roman" w:hAnsi="Times New Roman"/>
                <w:bCs/>
                <w:sz w:val="24"/>
                <w:szCs w:val="24"/>
                <w:lang w:val="en-IE"/>
              </w:rPr>
              <w:t>comments</w:t>
            </w:r>
            <w:r w:rsidR="005B42C5" w:rsidRPr="00EE2F7D">
              <w:rPr>
                <w:rFonts w:ascii="Times New Roman" w:hAnsi="Times New Roman"/>
                <w:bCs/>
                <w:sz w:val="24"/>
                <w:szCs w:val="24"/>
                <w:lang w:val="en-IE"/>
              </w:rPr>
              <w:t>,</w:t>
            </w:r>
            <w:r w:rsidRPr="00EE2F7D">
              <w:rPr>
                <w:rFonts w:ascii="Times New Roman" w:hAnsi="Times New Roman"/>
                <w:bCs/>
                <w:sz w:val="24"/>
                <w:szCs w:val="24"/>
                <w:lang w:val="en-IE"/>
              </w:rPr>
              <w:t xml:space="preserve"> </w:t>
            </w:r>
            <w:r w:rsidR="005B42C5" w:rsidRPr="00EE2F7D">
              <w:rPr>
                <w:rFonts w:ascii="Times New Roman" w:hAnsi="Times New Roman"/>
                <w:bCs/>
                <w:sz w:val="24"/>
                <w:szCs w:val="24"/>
                <w:lang w:val="en-IE"/>
              </w:rPr>
              <w:t xml:space="preserve">in line </w:t>
            </w:r>
            <w:r w:rsidRPr="00EE2F7D">
              <w:rPr>
                <w:rFonts w:ascii="Times New Roman" w:hAnsi="Times New Roman"/>
                <w:bCs/>
                <w:sz w:val="24"/>
                <w:szCs w:val="24"/>
                <w:lang w:val="en-IE"/>
              </w:rPr>
              <w:t>with the vision of the NEB.</w:t>
            </w:r>
          </w:p>
          <w:p w14:paraId="64E5380A" w14:textId="666CAEB4" w:rsidR="00B47B0F" w:rsidRPr="00EE2F7D" w:rsidRDefault="00B47B0F" w:rsidP="002E7D6C">
            <w:pPr>
              <w:widowControl w:val="0"/>
              <w:spacing w:before="120" w:after="120"/>
              <w:jc w:val="both"/>
              <w:rPr>
                <w:rFonts w:ascii="Times New Roman" w:hAnsi="Times New Roman"/>
                <w:bCs/>
                <w:sz w:val="24"/>
                <w:szCs w:val="24"/>
                <w:lang w:val="en-IE"/>
              </w:rPr>
            </w:pPr>
            <w:r w:rsidRPr="00EE2F7D">
              <w:rPr>
                <w:rFonts w:ascii="Times New Roman" w:hAnsi="Times New Roman"/>
                <w:bCs/>
                <w:sz w:val="24"/>
                <w:szCs w:val="24"/>
                <w:lang w:val="en-IE"/>
              </w:rPr>
              <w:t xml:space="preserve">Regarding the </w:t>
            </w:r>
            <w:r w:rsidR="00C5166D" w:rsidRPr="00EE2F7D">
              <w:rPr>
                <w:rFonts w:ascii="Times New Roman" w:hAnsi="Times New Roman"/>
                <w:bCs/>
                <w:sz w:val="24"/>
                <w:szCs w:val="24"/>
                <w:lang w:val="en-IE"/>
              </w:rPr>
              <w:t xml:space="preserve">call on the Commission to </w:t>
            </w:r>
            <w:r w:rsidRPr="00EE2F7D">
              <w:rPr>
                <w:rFonts w:ascii="Times New Roman" w:hAnsi="Times New Roman"/>
                <w:bCs/>
                <w:sz w:val="24"/>
                <w:szCs w:val="24"/>
                <w:lang w:val="en-IE"/>
              </w:rPr>
              <w:t xml:space="preserve">develop key performance indicators (KPIs), the Commission acknowledges that </w:t>
            </w:r>
            <w:r w:rsidR="001A6B28" w:rsidRPr="00EE2F7D">
              <w:rPr>
                <w:rFonts w:ascii="Times New Roman" w:hAnsi="Times New Roman"/>
                <w:bCs/>
                <w:sz w:val="24"/>
                <w:szCs w:val="24"/>
                <w:lang w:val="en-IE"/>
              </w:rPr>
              <w:t xml:space="preserve">a harmonised set of NEB </w:t>
            </w:r>
            <w:r w:rsidR="005B42C5" w:rsidRPr="00EE2F7D">
              <w:rPr>
                <w:rFonts w:ascii="Times New Roman" w:hAnsi="Times New Roman"/>
                <w:bCs/>
                <w:sz w:val="24"/>
                <w:szCs w:val="24"/>
                <w:lang w:val="en-IE"/>
              </w:rPr>
              <w:t xml:space="preserve">indicators </w:t>
            </w:r>
            <w:r w:rsidR="00C5166D" w:rsidRPr="00EE2F7D">
              <w:rPr>
                <w:rFonts w:ascii="Times New Roman" w:hAnsi="Times New Roman"/>
                <w:bCs/>
                <w:sz w:val="24"/>
                <w:szCs w:val="24"/>
                <w:lang w:val="en-IE"/>
              </w:rPr>
              <w:t xml:space="preserve">could </w:t>
            </w:r>
            <w:r w:rsidR="00225FD8" w:rsidRPr="00EE2F7D">
              <w:rPr>
                <w:rFonts w:ascii="Times New Roman" w:hAnsi="Times New Roman"/>
                <w:bCs/>
                <w:sz w:val="24"/>
                <w:szCs w:val="24"/>
                <w:lang w:val="en-IE"/>
              </w:rPr>
              <w:t xml:space="preserve">support </w:t>
            </w:r>
            <w:r w:rsidRPr="00EE2F7D">
              <w:rPr>
                <w:rFonts w:ascii="Times New Roman" w:hAnsi="Times New Roman"/>
                <w:bCs/>
                <w:sz w:val="24"/>
                <w:szCs w:val="24"/>
                <w:lang w:val="en-IE"/>
              </w:rPr>
              <w:t>the horizontal cross-cutting implementation of the values and principles of the NEB</w:t>
            </w:r>
            <w:r w:rsidR="007811A3" w:rsidRPr="00EE2F7D">
              <w:rPr>
                <w:rFonts w:ascii="Times New Roman" w:hAnsi="Times New Roman"/>
                <w:bCs/>
                <w:sz w:val="24"/>
                <w:szCs w:val="24"/>
                <w:lang w:val="en-IE"/>
              </w:rPr>
              <w:t xml:space="preserve"> </w:t>
            </w:r>
            <w:proofErr w:type="gramStart"/>
            <w:r w:rsidR="007811A3" w:rsidRPr="00EE2F7D">
              <w:rPr>
                <w:rFonts w:ascii="Times New Roman" w:hAnsi="Times New Roman"/>
                <w:bCs/>
                <w:sz w:val="24"/>
                <w:szCs w:val="24"/>
                <w:lang w:val="en-IE"/>
              </w:rPr>
              <w:t>and also</w:t>
            </w:r>
            <w:proofErr w:type="gramEnd"/>
            <w:r w:rsidR="007811A3" w:rsidRPr="00EE2F7D">
              <w:rPr>
                <w:rFonts w:ascii="Times New Roman" w:hAnsi="Times New Roman"/>
                <w:bCs/>
                <w:sz w:val="24"/>
                <w:szCs w:val="24"/>
                <w:lang w:val="en-IE"/>
              </w:rPr>
              <w:t xml:space="preserve"> help to assess the impact of NEB actions. The Commission</w:t>
            </w:r>
            <w:r w:rsidRPr="00EE2F7D">
              <w:rPr>
                <w:rFonts w:ascii="Times New Roman" w:hAnsi="Times New Roman"/>
                <w:bCs/>
                <w:sz w:val="24"/>
                <w:szCs w:val="24"/>
                <w:lang w:val="en-IE"/>
              </w:rPr>
              <w:t xml:space="preserve"> has started the preparatory work for measuring the transformative impact of NEB projects, keeping in mind the possible connection with existing frameworks to avoid overlaps.</w:t>
            </w:r>
          </w:p>
          <w:p w14:paraId="4B54FB32" w14:textId="7D76D455" w:rsidR="00B47B0F" w:rsidRPr="00EE2F7D" w:rsidRDefault="00B47B0F" w:rsidP="002E7D6C">
            <w:pPr>
              <w:widowControl w:val="0"/>
              <w:spacing w:before="120" w:after="120"/>
              <w:jc w:val="both"/>
              <w:rPr>
                <w:rFonts w:ascii="Times New Roman" w:hAnsi="Times New Roman"/>
                <w:bCs/>
                <w:sz w:val="24"/>
                <w:szCs w:val="24"/>
                <w:lang w:val="en-IE"/>
              </w:rPr>
            </w:pPr>
            <w:r w:rsidRPr="00EE2F7D">
              <w:rPr>
                <w:rFonts w:ascii="Times New Roman" w:hAnsi="Times New Roman"/>
                <w:bCs/>
                <w:sz w:val="24"/>
                <w:szCs w:val="24"/>
                <w:lang w:val="en-IE"/>
              </w:rPr>
              <w:lastRenderedPageBreak/>
              <w:t>The Commission welcomes the EESC's call to deeply embed NEB values and principles at both</w:t>
            </w:r>
            <w:r w:rsidR="007A659A">
              <w:rPr>
                <w:rFonts w:ascii="Times New Roman" w:hAnsi="Times New Roman"/>
                <w:bCs/>
                <w:sz w:val="24"/>
                <w:szCs w:val="24"/>
                <w:lang w:val="en-IE"/>
              </w:rPr>
              <w:t xml:space="preserve"> the</w:t>
            </w:r>
            <w:r w:rsidRPr="00EE2F7D">
              <w:rPr>
                <w:rFonts w:ascii="Times New Roman" w:hAnsi="Times New Roman"/>
                <w:bCs/>
                <w:sz w:val="24"/>
                <w:szCs w:val="24"/>
                <w:lang w:val="en-IE"/>
              </w:rPr>
              <w:t xml:space="preserve"> EU and national level. Furthermore, the Council Recommendation </w:t>
            </w:r>
            <w:r w:rsidR="007A659A">
              <w:rPr>
                <w:rFonts w:ascii="Times New Roman" w:hAnsi="Times New Roman"/>
                <w:bCs/>
                <w:sz w:val="24"/>
                <w:szCs w:val="24"/>
                <w:lang w:val="en-IE"/>
              </w:rPr>
              <w:t xml:space="preserve">on the NEB </w:t>
            </w:r>
            <w:r w:rsidRPr="00EE2F7D">
              <w:rPr>
                <w:rFonts w:ascii="Times New Roman" w:hAnsi="Times New Roman"/>
                <w:bCs/>
                <w:sz w:val="24"/>
                <w:szCs w:val="24"/>
                <w:lang w:val="en-IE"/>
              </w:rPr>
              <w:t xml:space="preserve">encourages </w:t>
            </w:r>
            <w:r w:rsidR="00C5166D" w:rsidRPr="00EE2F7D">
              <w:rPr>
                <w:rFonts w:ascii="Times New Roman" w:hAnsi="Times New Roman"/>
                <w:bCs/>
                <w:sz w:val="24"/>
                <w:szCs w:val="24"/>
                <w:lang w:val="en-IE"/>
              </w:rPr>
              <w:t xml:space="preserve">Member States </w:t>
            </w:r>
            <w:r w:rsidRPr="00EE2F7D">
              <w:rPr>
                <w:rFonts w:ascii="Times New Roman" w:hAnsi="Times New Roman"/>
                <w:bCs/>
                <w:sz w:val="24"/>
                <w:szCs w:val="24"/>
                <w:lang w:val="en-IE"/>
              </w:rPr>
              <w:t xml:space="preserve">to </w:t>
            </w:r>
            <w:r w:rsidR="0018792E" w:rsidRPr="00EE2F7D">
              <w:rPr>
                <w:rFonts w:ascii="Times New Roman" w:hAnsi="Times New Roman"/>
                <w:bCs/>
                <w:sz w:val="24"/>
                <w:szCs w:val="24"/>
                <w:lang w:val="en-IE"/>
              </w:rPr>
              <w:t xml:space="preserve">build on lessons learned from successful projects, initiatives and governance structures and </w:t>
            </w:r>
            <w:r w:rsidRPr="00EE2F7D">
              <w:rPr>
                <w:rFonts w:ascii="Times New Roman" w:hAnsi="Times New Roman"/>
                <w:bCs/>
                <w:sz w:val="24"/>
                <w:szCs w:val="24"/>
                <w:lang w:val="en-IE"/>
              </w:rPr>
              <w:t>mainstream the NEB values and principles into their relevant policies and funding instruments</w:t>
            </w:r>
            <w:r w:rsidR="0093230A" w:rsidRPr="00EE2F7D">
              <w:rPr>
                <w:rFonts w:ascii="Times New Roman" w:hAnsi="Times New Roman"/>
                <w:bCs/>
                <w:sz w:val="24"/>
                <w:szCs w:val="24"/>
                <w:lang w:val="en-IE"/>
              </w:rPr>
              <w:t xml:space="preserve">, in full respect of their competences and </w:t>
            </w:r>
            <w:r w:rsidR="00DE4425" w:rsidRPr="00EE2F7D">
              <w:rPr>
                <w:rFonts w:ascii="Times New Roman" w:hAnsi="Times New Roman"/>
                <w:bCs/>
                <w:sz w:val="24"/>
                <w:szCs w:val="24"/>
                <w:lang w:val="en-IE"/>
              </w:rPr>
              <w:t xml:space="preserve">the subsidiarity </w:t>
            </w:r>
            <w:r w:rsidR="00DE4425" w:rsidRPr="004B059A">
              <w:rPr>
                <w:rFonts w:ascii="Times New Roman" w:hAnsi="Times New Roman"/>
                <w:bCs/>
                <w:sz w:val="24"/>
                <w:szCs w:val="24"/>
                <w:lang w:val="en-IE"/>
              </w:rPr>
              <w:t>principle</w:t>
            </w:r>
            <w:r w:rsidR="001B3015" w:rsidRPr="004B059A">
              <w:rPr>
                <w:rFonts w:ascii="Times New Roman" w:hAnsi="Times New Roman"/>
                <w:bCs/>
                <w:sz w:val="24"/>
                <w:szCs w:val="24"/>
                <w:lang w:val="en-IE"/>
              </w:rPr>
              <w:t xml:space="preserve">. </w:t>
            </w:r>
            <w:r w:rsidR="002D7BE9" w:rsidRPr="000D428C">
              <w:rPr>
                <w:rFonts w:ascii="Times New Roman" w:hAnsi="Times New Roman"/>
                <w:sz w:val="24"/>
                <w:szCs w:val="24"/>
                <w:lang w:val="en-IE"/>
              </w:rPr>
              <w:t xml:space="preserve">As an example, </w:t>
            </w:r>
            <w:r w:rsidR="001B3015" w:rsidRPr="004B059A">
              <w:rPr>
                <w:rFonts w:ascii="Times New Roman" w:hAnsi="Times New Roman"/>
                <w:bCs/>
                <w:sz w:val="24"/>
                <w:szCs w:val="24"/>
                <w:lang w:val="en-IE"/>
              </w:rPr>
              <w:t>Ireland’s Town Centre First Heritage Revival Scheme (THRIVE) demonstrates how multilevel governance can translate NEB principles into local action. By combining EU Cohesion Policy funding, national support, regional implementation and community-led planning, it enables towns to transform vacant heritage buildings into sustainable, inclusive and attractive community assets</w:t>
            </w:r>
            <w:r w:rsidR="001B3015" w:rsidRPr="00EE2F7D">
              <w:rPr>
                <w:rFonts w:ascii="Times New Roman" w:hAnsi="Times New Roman"/>
                <w:bCs/>
                <w:sz w:val="24"/>
                <w:szCs w:val="24"/>
                <w:lang w:val="en-IE"/>
              </w:rPr>
              <w:t>.</w:t>
            </w:r>
          </w:p>
          <w:p w14:paraId="5FF23E34" w14:textId="77777777" w:rsidR="00CD067D" w:rsidRDefault="00CD067D" w:rsidP="002E7D6C">
            <w:pPr>
              <w:widowControl w:val="0"/>
              <w:spacing w:before="120" w:after="120"/>
              <w:jc w:val="both"/>
              <w:rPr>
                <w:rFonts w:ascii="Times New Roman" w:hAnsi="Times New Roman"/>
                <w:bCs/>
                <w:sz w:val="24"/>
                <w:szCs w:val="24"/>
                <w:lang w:val="en-IE"/>
              </w:rPr>
            </w:pPr>
            <w:r w:rsidRPr="00CD067D">
              <w:rPr>
                <w:rFonts w:ascii="Times New Roman" w:hAnsi="Times New Roman"/>
                <w:bCs/>
                <w:sz w:val="24"/>
                <w:szCs w:val="24"/>
                <w:lang w:val="en-IE"/>
              </w:rPr>
              <w:t>The proposal for revision of the Public Procurement framework aims to encourage economic benefits throughout the product lifecycle. It includes, for example, the provision of additional tools to procure green or innovative products and to take social considerations into account, without imposing a disproportionate administrative burden.</w:t>
            </w:r>
          </w:p>
          <w:p w14:paraId="2146637B" w14:textId="7C3A3438" w:rsidR="00B47B0F" w:rsidRPr="00EE2F7D" w:rsidRDefault="00B47B0F" w:rsidP="002E7D6C">
            <w:pPr>
              <w:widowControl w:val="0"/>
              <w:spacing w:before="120" w:after="120"/>
              <w:jc w:val="both"/>
              <w:rPr>
                <w:rFonts w:ascii="Times New Roman" w:hAnsi="Times New Roman"/>
                <w:bCs/>
                <w:sz w:val="24"/>
                <w:szCs w:val="24"/>
                <w:lang w:val="en-IE"/>
              </w:rPr>
            </w:pPr>
            <w:r w:rsidRPr="00EE2F7D">
              <w:rPr>
                <w:rFonts w:ascii="Times New Roman" w:hAnsi="Times New Roman"/>
                <w:bCs/>
                <w:sz w:val="24"/>
                <w:szCs w:val="24"/>
                <w:lang w:val="en-IE"/>
              </w:rPr>
              <w:t xml:space="preserve">Regarding professional excellence and accessible upskilling, the Commission shares the belief that </w:t>
            </w:r>
            <w:r w:rsidR="00512D32">
              <w:rPr>
                <w:rFonts w:ascii="Times New Roman" w:hAnsi="Times New Roman"/>
                <w:bCs/>
                <w:sz w:val="24"/>
                <w:szCs w:val="24"/>
                <w:lang w:val="en-IE"/>
              </w:rPr>
              <w:br/>
            </w:r>
            <w:r w:rsidRPr="00EE2F7D">
              <w:rPr>
                <w:rFonts w:ascii="Times New Roman" w:hAnsi="Times New Roman"/>
                <w:bCs/>
                <w:sz w:val="24"/>
                <w:szCs w:val="24"/>
                <w:lang w:val="en-IE"/>
              </w:rPr>
              <w:t>a well-</w:t>
            </w:r>
            <w:r w:rsidR="00A32DD9" w:rsidRPr="00EE2F7D">
              <w:rPr>
                <w:rFonts w:ascii="Times New Roman" w:hAnsi="Times New Roman"/>
                <w:bCs/>
                <w:sz w:val="24"/>
                <w:szCs w:val="24"/>
                <w:lang w:val="en-IE"/>
              </w:rPr>
              <w:t xml:space="preserve">skilled </w:t>
            </w:r>
            <w:r w:rsidRPr="00EE2F7D">
              <w:rPr>
                <w:rFonts w:ascii="Times New Roman" w:hAnsi="Times New Roman"/>
                <w:bCs/>
                <w:sz w:val="24"/>
                <w:szCs w:val="24"/>
                <w:lang w:val="en-IE"/>
              </w:rPr>
              <w:t>workforce is the foundation of the clean transition. The NEB Academy</w:t>
            </w:r>
            <w:r w:rsidR="00A426DD" w:rsidRPr="00EE2F7D">
              <w:rPr>
                <w:rStyle w:val="FootnoteReference"/>
                <w:rFonts w:ascii="Times New Roman" w:hAnsi="Times New Roman"/>
                <w:bCs/>
                <w:sz w:val="24"/>
                <w:szCs w:val="24"/>
                <w:lang w:val="en-IE"/>
              </w:rPr>
              <w:footnoteReference w:id="3"/>
            </w:r>
            <w:r w:rsidRPr="00EE2F7D">
              <w:rPr>
                <w:rFonts w:ascii="Times New Roman" w:hAnsi="Times New Roman"/>
                <w:bCs/>
                <w:sz w:val="24"/>
                <w:szCs w:val="24"/>
                <w:lang w:val="en-IE"/>
              </w:rPr>
              <w:t xml:space="preserve"> </w:t>
            </w:r>
            <w:r w:rsidR="0018792E" w:rsidRPr="00EE2F7D">
              <w:rPr>
                <w:rFonts w:ascii="Times New Roman" w:hAnsi="Times New Roman"/>
                <w:bCs/>
                <w:sz w:val="24"/>
                <w:szCs w:val="24"/>
                <w:lang w:val="en-IE"/>
              </w:rPr>
              <w:t xml:space="preserve">as a learning and innovation infrastructure of the NEB is becoming </w:t>
            </w:r>
            <w:r w:rsidRPr="00EE2F7D">
              <w:rPr>
                <w:rFonts w:ascii="Times New Roman" w:hAnsi="Times New Roman"/>
                <w:bCs/>
                <w:sz w:val="24"/>
                <w:szCs w:val="24"/>
                <w:lang w:val="en-IE"/>
              </w:rPr>
              <w:t xml:space="preserve">the core infrastructure </w:t>
            </w:r>
            <w:r w:rsidR="0018792E" w:rsidRPr="00EE2F7D">
              <w:rPr>
                <w:rFonts w:ascii="Times New Roman" w:hAnsi="Times New Roman"/>
                <w:bCs/>
                <w:sz w:val="24"/>
                <w:szCs w:val="24"/>
                <w:lang w:val="en-IE"/>
              </w:rPr>
              <w:t xml:space="preserve">not only </w:t>
            </w:r>
            <w:r w:rsidRPr="00EE2F7D">
              <w:rPr>
                <w:rFonts w:ascii="Times New Roman" w:hAnsi="Times New Roman"/>
                <w:bCs/>
                <w:sz w:val="24"/>
                <w:szCs w:val="24"/>
                <w:lang w:val="en-IE"/>
              </w:rPr>
              <w:t>for knowledge and research</w:t>
            </w:r>
            <w:r w:rsidR="003008AA">
              <w:rPr>
                <w:rFonts w:ascii="Times New Roman" w:hAnsi="Times New Roman"/>
                <w:bCs/>
                <w:sz w:val="24"/>
                <w:szCs w:val="24"/>
                <w:lang w:val="en-IE"/>
              </w:rPr>
              <w:t xml:space="preserve"> </w:t>
            </w:r>
            <w:r w:rsidR="00894DA8">
              <w:rPr>
                <w:rFonts w:ascii="Times New Roman" w:hAnsi="Times New Roman"/>
                <w:bCs/>
                <w:sz w:val="24"/>
                <w:szCs w:val="24"/>
                <w:lang w:val="en-IE"/>
              </w:rPr>
              <w:t>valorisation</w:t>
            </w:r>
            <w:r w:rsidRPr="00EE2F7D">
              <w:rPr>
                <w:rFonts w:ascii="Times New Roman" w:hAnsi="Times New Roman"/>
                <w:bCs/>
                <w:sz w:val="24"/>
                <w:szCs w:val="24"/>
                <w:lang w:val="en-IE"/>
              </w:rPr>
              <w:t xml:space="preserve">, </w:t>
            </w:r>
            <w:r w:rsidR="0018792E" w:rsidRPr="00EE2F7D">
              <w:rPr>
                <w:rFonts w:ascii="Times New Roman" w:hAnsi="Times New Roman"/>
                <w:bCs/>
                <w:sz w:val="24"/>
                <w:szCs w:val="24"/>
                <w:lang w:val="en-IE"/>
              </w:rPr>
              <w:t xml:space="preserve">as well as skills development, but also for </w:t>
            </w:r>
            <w:r w:rsidRPr="00EE2F7D">
              <w:rPr>
                <w:rFonts w:ascii="Times New Roman" w:hAnsi="Times New Roman"/>
                <w:bCs/>
                <w:sz w:val="24"/>
                <w:szCs w:val="24"/>
                <w:lang w:val="en-IE"/>
              </w:rPr>
              <w:t>safe experimentation and innovation, providing a dynamic link to ensure that all knowledge produced under the NEB Facility R&amp;I is channelled towards skilling activities, capacity-building and applied innovation.</w:t>
            </w:r>
          </w:p>
          <w:p w14:paraId="246336FC" w14:textId="006EEF9B" w:rsidR="00B47B0F" w:rsidRPr="00EE2F7D" w:rsidRDefault="00B47B0F" w:rsidP="002E7D6C">
            <w:pPr>
              <w:widowControl w:val="0"/>
              <w:spacing w:before="120" w:after="120"/>
              <w:jc w:val="both"/>
              <w:rPr>
                <w:rFonts w:ascii="Times New Roman" w:hAnsi="Times New Roman"/>
                <w:bCs/>
                <w:sz w:val="24"/>
                <w:szCs w:val="24"/>
                <w:lang w:val="en-IE"/>
              </w:rPr>
            </w:pPr>
            <w:r w:rsidRPr="00EE2F7D">
              <w:rPr>
                <w:rFonts w:ascii="Times New Roman" w:hAnsi="Times New Roman"/>
                <w:bCs/>
                <w:sz w:val="24"/>
                <w:szCs w:val="24"/>
                <w:lang w:val="en-IE"/>
              </w:rPr>
              <w:t xml:space="preserve">On the inseparability of the NEB and affordable housing, the Commission firmly shares the view that housing must be sustainable, high-quality, and affordable. As mentioned </w:t>
            </w:r>
            <w:r w:rsidR="00F10E78" w:rsidRPr="00EE2F7D">
              <w:rPr>
                <w:rFonts w:ascii="Times New Roman" w:hAnsi="Times New Roman"/>
                <w:bCs/>
                <w:sz w:val="24"/>
                <w:szCs w:val="24"/>
                <w:lang w:val="en-IE"/>
              </w:rPr>
              <w:t>above</w:t>
            </w:r>
            <w:r w:rsidRPr="00EE2F7D">
              <w:rPr>
                <w:rFonts w:ascii="Times New Roman" w:hAnsi="Times New Roman"/>
                <w:bCs/>
                <w:sz w:val="24"/>
                <w:szCs w:val="24"/>
                <w:lang w:val="en-IE"/>
              </w:rPr>
              <w:t>, the Commission is addressing this directly through the European Affordable Housing Plan</w:t>
            </w:r>
            <w:r w:rsidR="007A659A">
              <w:rPr>
                <w:rFonts w:ascii="Times New Roman" w:hAnsi="Times New Roman"/>
                <w:bCs/>
                <w:sz w:val="24"/>
                <w:szCs w:val="24"/>
                <w:lang w:val="en-IE"/>
              </w:rPr>
              <w:t>,</w:t>
            </w:r>
            <w:r w:rsidRPr="00EE2F7D">
              <w:rPr>
                <w:rFonts w:ascii="Times New Roman" w:hAnsi="Times New Roman"/>
                <w:bCs/>
                <w:sz w:val="24"/>
                <w:szCs w:val="24"/>
                <w:lang w:val="en-IE"/>
              </w:rPr>
              <w:t xml:space="preserve"> and the NEB is an important part of the overall approach. </w:t>
            </w:r>
            <w:r w:rsidR="008E0A0A" w:rsidRPr="00EE2F7D">
              <w:rPr>
                <w:rFonts w:ascii="Times New Roman" w:hAnsi="Times New Roman"/>
                <w:bCs/>
                <w:sz w:val="24"/>
                <w:szCs w:val="24"/>
                <w:lang w:val="en-IE"/>
              </w:rPr>
              <w:t xml:space="preserve">A wide range of topics of the NEB </w:t>
            </w:r>
            <w:r w:rsidR="007A659A" w:rsidRPr="00EE2F7D">
              <w:rPr>
                <w:rFonts w:ascii="Times New Roman" w:hAnsi="Times New Roman"/>
                <w:bCs/>
                <w:sz w:val="24"/>
                <w:szCs w:val="24"/>
                <w:lang w:val="en-IE"/>
              </w:rPr>
              <w:t xml:space="preserve">Facility </w:t>
            </w:r>
            <w:r w:rsidR="008E0A0A" w:rsidRPr="00EE2F7D">
              <w:rPr>
                <w:rFonts w:ascii="Times New Roman" w:hAnsi="Times New Roman"/>
                <w:bCs/>
                <w:sz w:val="24"/>
                <w:szCs w:val="24"/>
                <w:lang w:val="en-IE"/>
              </w:rPr>
              <w:t>calls 2025-2027 test diverse solutions to housing affordability from community initiatives and ownership to circular and novel methods of construction and funding models.</w:t>
            </w:r>
            <w:r w:rsidR="000D428C">
              <w:rPr>
                <w:rFonts w:ascii="Times New Roman" w:hAnsi="Times New Roman"/>
                <w:bCs/>
                <w:sz w:val="24"/>
                <w:szCs w:val="24"/>
                <w:lang w:val="en-IE"/>
              </w:rPr>
              <w:t xml:space="preserve"> </w:t>
            </w:r>
            <w:r w:rsidR="000D428C" w:rsidRPr="00EE2F7D">
              <w:rPr>
                <w:rFonts w:ascii="Times New Roman" w:hAnsi="Times New Roman"/>
                <w:bCs/>
                <w:sz w:val="24"/>
                <w:szCs w:val="24"/>
                <w:lang w:val="en-IE"/>
              </w:rPr>
              <w:t>Additionally, the establishment of a NEB Lab specifically dedicated to affordable housing solutions is also an ongoing commitment to</w:t>
            </w:r>
            <w:r w:rsidR="002E7D6C">
              <w:rPr>
                <w:rFonts w:ascii="Times New Roman" w:hAnsi="Times New Roman"/>
                <w:bCs/>
                <w:sz w:val="24"/>
                <w:szCs w:val="24"/>
                <w:lang w:val="en-IE"/>
              </w:rPr>
              <w:t xml:space="preserve"> the connection between NEB and housing affordability. </w:t>
            </w:r>
            <w:r w:rsidR="008E0A0A" w:rsidRPr="00EE2F7D">
              <w:rPr>
                <w:rFonts w:ascii="Times New Roman" w:hAnsi="Times New Roman"/>
                <w:bCs/>
                <w:sz w:val="24"/>
                <w:szCs w:val="24"/>
                <w:lang w:val="en-IE"/>
              </w:rPr>
              <w:t>A NEB Catalogue of Blueprints for Affordable and Resilient Homes</w:t>
            </w:r>
            <w:r w:rsidR="008E0A0A" w:rsidRPr="00EE2F7D">
              <w:rPr>
                <w:rStyle w:val="FootnoteReference"/>
                <w:rFonts w:ascii="Times New Roman" w:hAnsi="Times New Roman"/>
                <w:bCs/>
                <w:sz w:val="24"/>
                <w:szCs w:val="24"/>
                <w:lang w:val="en-IE"/>
              </w:rPr>
              <w:footnoteReference w:id="4"/>
            </w:r>
            <w:r w:rsidR="008E0A0A" w:rsidRPr="00EE2F7D">
              <w:rPr>
                <w:rFonts w:ascii="Times New Roman" w:hAnsi="Times New Roman"/>
                <w:bCs/>
                <w:sz w:val="24"/>
                <w:szCs w:val="24"/>
                <w:lang w:val="en-IE"/>
              </w:rPr>
              <w:t xml:space="preserve">, has been produced as a first deliverable </w:t>
            </w:r>
            <w:r w:rsidR="007A659A">
              <w:rPr>
                <w:rFonts w:ascii="Times New Roman" w:hAnsi="Times New Roman"/>
                <w:bCs/>
                <w:sz w:val="24"/>
                <w:szCs w:val="24"/>
                <w:lang w:val="en-IE"/>
              </w:rPr>
              <w:t>being</w:t>
            </w:r>
            <w:r w:rsidR="007A659A" w:rsidRPr="00EE2F7D">
              <w:rPr>
                <w:rFonts w:ascii="Times New Roman" w:hAnsi="Times New Roman"/>
                <w:bCs/>
                <w:sz w:val="24"/>
                <w:szCs w:val="24"/>
                <w:lang w:val="en-IE"/>
              </w:rPr>
              <w:t xml:space="preserve"> </w:t>
            </w:r>
            <w:r w:rsidR="00512D32">
              <w:rPr>
                <w:rFonts w:ascii="Times New Roman" w:hAnsi="Times New Roman"/>
                <w:bCs/>
                <w:sz w:val="24"/>
                <w:szCs w:val="24"/>
                <w:lang w:val="en-IE"/>
              </w:rPr>
              <w:br/>
            </w:r>
            <w:r w:rsidR="008E0A0A" w:rsidRPr="00EE2F7D">
              <w:rPr>
                <w:rFonts w:ascii="Times New Roman" w:hAnsi="Times New Roman"/>
                <w:bCs/>
                <w:sz w:val="24"/>
                <w:szCs w:val="24"/>
                <w:lang w:val="en-IE"/>
              </w:rPr>
              <w:t>a practical learning tool that supports the delivery of more affordable, inclusive and resilient homes and neighbourhoods by mapping challenges, mechanisms and project responses that can be replicated and adapted to local conditions.</w:t>
            </w:r>
            <w:r w:rsidR="000D428C">
              <w:rPr>
                <w:rFonts w:ascii="Times New Roman" w:hAnsi="Times New Roman"/>
                <w:bCs/>
                <w:sz w:val="24"/>
                <w:szCs w:val="24"/>
                <w:lang w:val="en-IE"/>
              </w:rPr>
              <w:t xml:space="preserve"> </w:t>
            </w:r>
            <w:r w:rsidR="0018792E" w:rsidRPr="00EE2F7D">
              <w:rPr>
                <w:rFonts w:ascii="Times New Roman" w:hAnsi="Times New Roman"/>
                <w:bCs/>
                <w:sz w:val="24"/>
                <w:szCs w:val="24"/>
                <w:lang w:val="en-IE"/>
              </w:rPr>
              <w:t xml:space="preserve">Finally, the NEB Prizes 2025 awarded four </w:t>
            </w:r>
            <w:proofErr w:type="gramStart"/>
            <w:r w:rsidR="002E7D6C" w:rsidRPr="00EE2F7D">
              <w:rPr>
                <w:rFonts w:ascii="Times New Roman" w:hAnsi="Times New Roman"/>
                <w:bCs/>
                <w:sz w:val="24"/>
                <w:szCs w:val="24"/>
                <w:lang w:val="en-IE"/>
              </w:rPr>
              <w:t>special</w:t>
            </w:r>
            <w:proofErr w:type="gramEnd"/>
            <w:r w:rsidR="002E7D6C" w:rsidRPr="00EE2F7D">
              <w:rPr>
                <w:rFonts w:ascii="Times New Roman" w:hAnsi="Times New Roman"/>
                <w:bCs/>
                <w:sz w:val="24"/>
                <w:szCs w:val="24"/>
                <w:lang w:val="en-IE"/>
              </w:rPr>
              <w:t xml:space="preserve"> </w:t>
            </w:r>
            <w:r w:rsidR="002E7D6C">
              <w:rPr>
                <w:rFonts w:ascii="Times New Roman" w:hAnsi="Times New Roman"/>
                <w:bCs/>
                <w:sz w:val="24"/>
                <w:szCs w:val="24"/>
                <w:lang w:val="en-IE"/>
              </w:rPr>
              <w:t>‘</w:t>
            </w:r>
            <w:r w:rsidR="0018792E" w:rsidRPr="00EE2F7D">
              <w:rPr>
                <w:rFonts w:ascii="Times New Roman" w:hAnsi="Times New Roman"/>
                <w:bCs/>
                <w:sz w:val="24"/>
                <w:szCs w:val="24"/>
                <w:lang w:val="en-IE"/>
              </w:rPr>
              <w:t>Affordable Housing Prizes</w:t>
            </w:r>
            <w:r w:rsidR="00512D32">
              <w:rPr>
                <w:rFonts w:ascii="Times New Roman" w:hAnsi="Times New Roman"/>
                <w:bCs/>
                <w:sz w:val="24"/>
                <w:szCs w:val="24"/>
                <w:lang w:val="en-IE"/>
              </w:rPr>
              <w:t>’</w:t>
            </w:r>
            <w:r w:rsidR="0018792E" w:rsidRPr="00EE2F7D">
              <w:rPr>
                <w:rFonts w:ascii="Times New Roman" w:hAnsi="Times New Roman"/>
                <w:bCs/>
                <w:sz w:val="24"/>
                <w:szCs w:val="24"/>
                <w:lang w:val="en-IE"/>
              </w:rPr>
              <w:t xml:space="preserve"> to completed projects in the EU that combine affordability with sustainability, inclusivity, and beautiful design.</w:t>
            </w:r>
          </w:p>
          <w:p w14:paraId="77C50DF7" w14:textId="0612010C" w:rsidR="00565DA7" w:rsidRPr="00EE2F7D" w:rsidRDefault="002A3907" w:rsidP="002E7D6C">
            <w:pPr>
              <w:widowControl w:val="0"/>
              <w:spacing w:before="120" w:after="120"/>
              <w:jc w:val="both"/>
              <w:rPr>
                <w:rFonts w:ascii="Times New Roman" w:hAnsi="Times New Roman"/>
                <w:bCs/>
                <w:sz w:val="24"/>
                <w:szCs w:val="24"/>
                <w:lang w:val="en-IE"/>
              </w:rPr>
            </w:pPr>
            <w:r w:rsidRPr="00EE2F7D">
              <w:rPr>
                <w:rFonts w:ascii="Times New Roman" w:hAnsi="Times New Roman"/>
                <w:bCs/>
                <w:sz w:val="24"/>
                <w:szCs w:val="24"/>
                <w:lang w:val="en-IE"/>
              </w:rPr>
              <w:t xml:space="preserve">The Commission </w:t>
            </w:r>
            <w:r w:rsidR="00316F2C" w:rsidRPr="00EE2F7D">
              <w:rPr>
                <w:rFonts w:ascii="Times New Roman" w:hAnsi="Times New Roman"/>
                <w:bCs/>
                <w:sz w:val="24"/>
                <w:szCs w:val="24"/>
                <w:lang w:val="en-IE"/>
              </w:rPr>
              <w:t>welcomes</w:t>
            </w:r>
            <w:r w:rsidRPr="00EE2F7D">
              <w:rPr>
                <w:rFonts w:ascii="Times New Roman" w:hAnsi="Times New Roman"/>
                <w:bCs/>
                <w:sz w:val="24"/>
                <w:szCs w:val="24"/>
                <w:lang w:val="en-IE"/>
              </w:rPr>
              <w:t xml:space="preserve"> the EESC’s </w:t>
            </w:r>
            <w:r w:rsidR="00967F95" w:rsidRPr="00EE2F7D">
              <w:rPr>
                <w:rFonts w:ascii="Times New Roman" w:hAnsi="Times New Roman"/>
                <w:bCs/>
                <w:sz w:val="24"/>
                <w:szCs w:val="24"/>
                <w:lang w:val="en-IE"/>
              </w:rPr>
              <w:t>remark</w:t>
            </w:r>
            <w:r w:rsidRPr="00EE2F7D">
              <w:rPr>
                <w:rFonts w:ascii="Times New Roman" w:hAnsi="Times New Roman"/>
                <w:bCs/>
                <w:sz w:val="24"/>
                <w:szCs w:val="24"/>
                <w:lang w:val="en-IE"/>
              </w:rPr>
              <w:t xml:space="preserve"> on </w:t>
            </w:r>
            <w:r w:rsidR="00316F2C" w:rsidRPr="00EE2F7D">
              <w:rPr>
                <w:rFonts w:ascii="Times New Roman" w:hAnsi="Times New Roman"/>
                <w:bCs/>
                <w:sz w:val="24"/>
                <w:szCs w:val="24"/>
                <w:lang w:val="en-IE"/>
              </w:rPr>
              <w:t xml:space="preserve">the need for greater attention to </w:t>
            </w:r>
            <w:r w:rsidR="005520FE" w:rsidRPr="00EE2F7D">
              <w:rPr>
                <w:rFonts w:ascii="Times New Roman" w:hAnsi="Times New Roman"/>
                <w:bCs/>
                <w:sz w:val="24"/>
                <w:szCs w:val="24"/>
                <w:lang w:val="en-IE"/>
              </w:rPr>
              <w:t>the funding of water resilience, biodiversity, land use, climate adaptation, resilience and nature-based solutions. The Commission</w:t>
            </w:r>
            <w:r w:rsidR="00E8465A" w:rsidRPr="00EE2F7D">
              <w:rPr>
                <w:rFonts w:ascii="Times New Roman" w:hAnsi="Times New Roman"/>
                <w:bCs/>
                <w:sz w:val="24"/>
                <w:szCs w:val="24"/>
                <w:lang w:val="en-IE"/>
              </w:rPr>
              <w:t xml:space="preserve"> also</w:t>
            </w:r>
            <w:r w:rsidR="00EA3F60" w:rsidRPr="00EE2F7D">
              <w:rPr>
                <w:rFonts w:ascii="Times New Roman" w:hAnsi="Times New Roman"/>
                <w:bCs/>
                <w:sz w:val="24"/>
                <w:szCs w:val="24"/>
                <w:lang w:val="en-IE"/>
              </w:rPr>
              <w:t xml:space="preserve"> fully</w:t>
            </w:r>
            <w:r w:rsidR="005520FE" w:rsidRPr="00EE2F7D">
              <w:rPr>
                <w:rFonts w:ascii="Times New Roman" w:hAnsi="Times New Roman"/>
                <w:bCs/>
                <w:sz w:val="24"/>
                <w:szCs w:val="24"/>
                <w:lang w:val="en-IE"/>
              </w:rPr>
              <w:t xml:space="preserve"> </w:t>
            </w:r>
            <w:r w:rsidR="00555EBE" w:rsidRPr="00EE2F7D">
              <w:rPr>
                <w:rFonts w:ascii="Times New Roman" w:hAnsi="Times New Roman"/>
                <w:bCs/>
                <w:sz w:val="24"/>
                <w:szCs w:val="24"/>
                <w:lang w:val="en-IE"/>
              </w:rPr>
              <w:t xml:space="preserve">shares the EESC’s </w:t>
            </w:r>
            <w:r w:rsidR="00E8465A" w:rsidRPr="00EE2F7D">
              <w:rPr>
                <w:rFonts w:ascii="Times New Roman" w:hAnsi="Times New Roman"/>
                <w:bCs/>
                <w:sz w:val="24"/>
                <w:szCs w:val="24"/>
                <w:lang w:val="en-IE"/>
              </w:rPr>
              <w:t xml:space="preserve">position that building maintenance and the more efficient use of </w:t>
            </w:r>
            <w:r w:rsidR="000C7F38" w:rsidRPr="00EE2F7D">
              <w:rPr>
                <w:rFonts w:ascii="Times New Roman" w:hAnsi="Times New Roman"/>
                <w:bCs/>
                <w:sz w:val="24"/>
                <w:szCs w:val="24"/>
                <w:lang w:val="en-IE"/>
              </w:rPr>
              <w:t>vacant or under-occupied buildings</w:t>
            </w:r>
            <w:r w:rsidR="001B1C71" w:rsidRPr="00EE2F7D">
              <w:rPr>
                <w:rFonts w:ascii="Times New Roman" w:hAnsi="Times New Roman"/>
                <w:bCs/>
                <w:sz w:val="24"/>
                <w:szCs w:val="24"/>
                <w:lang w:val="en-IE"/>
              </w:rPr>
              <w:t xml:space="preserve">, as well as circular </w:t>
            </w:r>
            <w:r w:rsidR="00391B54" w:rsidRPr="00EE2F7D">
              <w:rPr>
                <w:rFonts w:ascii="Times New Roman" w:hAnsi="Times New Roman"/>
                <w:bCs/>
                <w:sz w:val="24"/>
                <w:szCs w:val="24"/>
                <w:lang w:val="en-IE"/>
              </w:rPr>
              <w:t>practices in the construction ecosystem,</w:t>
            </w:r>
            <w:r w:rsidR="000C7F38" w:rsidRPr="00EE2F7D">
              <w:rPr>
                <w:rFonts w:ascii="Times New Roman" w:hAnsi="Times New Roman"/>
                <w:bCs/>
                <w:sz w:val="24"/>
                <w:szCs w:val="24"/>
                <w:lang w:val="en-IE"/>
              </w:rPr>
              <w:t xml:space="preserve"> are important measures to reduce the environmental footprint of the built environment and </w:t>
            </w:r>
            <w:r w:rsidR="002167B4" w:rsidRPr="00EE2F7D">
              <w:rPr>
                <w:rFonts w:ascii="Times New Roman" w:hAnsi="Times New Roman"/>
                <w:bCs/>
                <w:sz w:val="24"/>
                <w:szCs w:val="24"/>
                <w:lang w:val="en-IE"/>
              </w:rPr>
              <w:t xml:space="preserve">increase the provision of </w:t>
            </w:r>
            <w:r w:rsidR="00412327" w:rsidRPr="00EE2F7D">
              <w:rPr>
                <w:rFonts w:ascii="Times New Roman" w:hAnsi="Times New Roman"/>
                <w:bCs/>
                <w:sz w:val="24"/>
                <w:szCs w:val="24"/>
                <w:lang w:val="en-IE"/>
              </w:rPr>
              <w:t xml:space="preserve">affordable housing. </w:t>
            </w:r>
            <w:r w:rsidR="006F61F5" w:rsidRPr="00EE2F7D">
              <w:rPr>
                <w:rFonts w:ascii="Times New Roman" w:hAnsi="Times New Roman"/>
                <w:bCs/>
                <w:sz w:val="24"/>
                <w:szCs w:val="24"/>
                <w:lang w:val="en-IE"/>
              </w:rPr>
              <w:t xml:space="preserve">The EESC’s </w:t>
            </w:r>
            <w:r w:rsidR="00512771" w:rsidRPr="00EE2F7D">
              <w:rPr>
                <w:rFonts w:ascii="Times New Roman" w:hAnsi="Times New Roman"/>
                <w:bCs/>
                <w:sz w:val="24"/>
                <w:szCs w:val="24"/>
                <w:lang w:val="en-IE"/>
              </w:rPr>
              <w:t xml:space="preserve">suggestion to call the NEB a ‘strategic instrument for </w:t>
            </w:r>
            <w:r w:rsidR="00512771" w:rsidRPr="00EE2F7D">
              <w:rPr>
                <w:rFonts w:ascii="Times New Roman" w:hAnsi="Times New Roman"/>
                <w:bCs/>
                <w:sz w:val="24"/>
                <w:szCs w:val="24"/>
                <w:lang w:val="en-IE"/>
              </w:rPr>
              <w:lastRenderedPageBreak/>
              <w:t xml:space="preserve">competitiveness and </w:t>
            </w:r>
            <w:r w:rsidR="00D1027D" w:rsidRPr="00EE2F7D">
              <w:rPr>
                <w:rFonts w:ascii="Times New Roman" w:hAnsi="Times New Roman"/>
                <w:bCs/>
                <w:sz w:val="24"/>
                <w:szCs w:val="24"/>
                <w:lang w:val="en-IE"/>
              </w:rPr>
              <w:t>the Clean industrial Deal’ is fully supported.</w:t>
            </w:r>
          </w:p>
          <w:p w14:paraId="0D411819" w14:textId="756CC797" w:rsidR="00B47B0F" w:rsidRPr="00EE2F7D" w:rsidRDefault="00B47B0F" w:rsidP="002E7D6C">
            <w:pPr>
              <w:widowControl w:val="0"/>
              <w:spacing w:before="120" w:after="120"/>
              <w:jc w:val="both"/>
              <w:rPr>
                <w:rFonts w:ascii="Times New Roman" w:hAnsi="Times New Roman"/>
                <w:bCs/>
                <w:sz w:val="24"/>
                <w:szCs w:val="24"/>
                <w:lang w:val="en-IE"/>
              </w:rPr>
            </w:pPr>
            <w:r w:rsidRPr="00EE2F7D">
              <w:rPr>
                <w:rFonts w:ascii="Times New Roman" w:hAnsi="Times New Roman"/>
                <w:bCs/>
                <w:sz w:val="24"/>
                <w:szCs w:val="24"/>
                <w:lang w:val="en-IE"/>
              </w:rPr>
              <w:t xml:space="preserve">The Commission is fully aware that to scale solutions for sustainable, resilient neighbourhoods that truly embody the integrated NEB approach, multi-level cooperation is needed, data needs to be collected, and best-practices need to be disseminated. To address this, the </w:t>
            </w:r>
            <w:r w:rsidR="00841C46" w:rsidRPr="00EE2F7D">
              <w:rPr>
                <w:rFonts w:ascii="Times New Roman" w:hAnsi="Times New Roman"/>
                <w:bCs/>
                <w:sz w:val="24"/>
                <w:szCs w:val="24"/>
                <w:lang w:val="en-IE"/>
              </w:rPr>
              <w:t>NEB Facility has supported the establishment of a</w:t>
            </w:r>
            <w:r w:rsidRPr="00EE2F7D">
              <w:rPr>
                <w:rFonts w:ascii="Times New Roman" w:hAnsi="Times New Roman"/>
                <w:bCs/>
                <w:sz w:val="24"/>
                <w:szCs w:val="24"/>
                <w:lang w:val="en-IE"/>
              </w:rPr>
              <w:t xml:space="preserve"> NEB Hub for Results and Impact</w:t>
            </w:r>
            <w:r w:rsidR="00B03F29" w:rsidRPr="00EE2F7D">
              <w:rPr>
                <w:rStyle w:val="FootnoteReference"/>
                <w:rFonts w:ascii="Times New Roman" w:hAnsi="Times New Roman"/>
                <w:bCs/>
                <w:sz w:val="24"/>
                <w:szCs w:val="24"/>
                <w:lang w:val="en-IE"/>
              </w:rPr>
              <w:footnoteReference w:id="5"/>
            </w:r>
            <w:r w:rsidRPr="00EE2F7D">
              <w:rPr>
                <w:rFonts w:ascii="Times New Roman" w:hAnsi="Times New Roman"/>
                <w:bCs/>
                <w:sz w:val="24"/>
                <w:szCs w:val="24"/>
                <w:lang w:val="en-IE"/>
              </w:rPr>
              <w:t xml:space="preserve">, which will collect, analyse, and share lessons learned. </w:t>
            </w:r>
            <w:r w:rsidR="00807CF7" w:rsidRPr="00EE2F7D">
              <w:rPr>
                <w:rFonts w:ascii="Times New Roman" w:hAnsi="Times New Roman"/>
                <w:bCs/>
                <w:sz w:val="24"/>
                <w:szCs w:val="24"/>
                <w:lang w:val="en-IE"/>
              </w:rPr>
              <w:t>Building on this, t</w:t>
            </w:r>
            <w:r w:rsidR="00B00443" w:rsidRPr="00EE2F7D">
              <w:rPr>
                <w:rFonts w:ascii="Times New Roman" w:hAnsi="Times New Roman"/>
                <w:bCs/>
                <w:sz w:val="24"/>
                <w:szCs w:val="24"/>
                <w:lang w:val="en-IE"/>
              </w:rPr>
              <w:t xml:space="preserve">he Commission will further enhance and structure </w:t>
            </w:r>
            <w:r w:rsidR="00807CF7" w:rsidRPr="00EE2F7D">
              <w:rPr>
                <w:rFonts w:ascii="Times New Roman" w:hAnsi="Times New Roman"/>
                <w:bCs/>
                <w:sz w:val="24"/>
                <w:szCs w:val="24"/>
                <w:lang w:val="en-IE"/>
              </w:rPr>
              <w:t>its NEB</w:t>
            </w:r>
            <w:r w:rsidR="00B00443" w:rsidRPr="00EE2F7D">
              <w:rPr>
                <w:rFonts w:ascii="Times New Roman" w:hAnsi="Times New Roman"/>
                <w:bCs/>
                <w:sz w:val="24"/>
                <w:szCs w:val="24"/>
                <w:lang w:val="en-IE"/>
              </w:rPr>
              <w:t xml:space="preserve"> knowledge base through a NEB </w:t>
            </w:r>
            <w:r w:rsidR="002E7D6C" w:rsidRPr="00EE2F7D">
              <w:rPr>
                <w:rFonts w:ascii="Times New Roman" w:hAnsi="Times New Roman"/>
                <w:bCs/>
                <w:sz w:val="24"/>
                <w:szCs w:val="24"/>
                <w:lang w:val="en-IE"/>
              </w:rPr>
              <w:t>Knowledge</w:t>
            </w:r>
            <w:r w:rsidR="00B00443" w:rsidRPr="00EE2F7D">
              <w:rPr>
                <w:rFonts w:ascii="Times New Roman" w:hAnsi="Times New Roman"/>
                <w:bCs/>
                <w:sz w:val="24"/>
                <w:szCs w:val="24"/>
                <w:lang w:val="en-IE"/>
              </w:rPr>
              <w:t xml:space="preserve"> Portal</w:t>
            </w:r>
            <w:r w:rsidR="00807CF7" w:rsidRPr="00EE2F7D">
              <w:rPr>
                <w:rFonts w:ascii="Times New Roman" w:hAnsi="Times New Roman"/>
                <w:bCs/>
                <w:sz w:val="24"/>
                <w:szCs w:val="24"/>
                <w:lang w:val="en-IE"/>
              </w:rPr>
              <w:t xml:space="preserve">, which will </w:t>
            </w:r>
            <w:r w:rsidR="00F00FCA" w:rsidRPr="00EE2F7D">
              <w:rPr>
                <w:rFonts w:ascii="Times New Roman" w:hAnsi="Times New Roman"/>
                <w:bCs/>
                <w:sz w:val="24"/>
                <w:szCs w:val="24"/>
                <w:lang w:val="en-IE"/>
              </w:rPr>
              <w:t>start operations in 2027.</w:t>
            </w:r>
          </w:p>
          <w:p w14:paraId="1546338D" w14:textId="5BAFB9FD" w:rsidR="00B47B0F" w:rsidRPr="00EE2F7D" w:rsidRDefault="00B47B0F" w:rsidP="002E7D6C">
            <w:pPr>
              <w:widowControl w:val="0"/>
              <w:spacing w:before="120" w:after="120"/>
              <w:jc w:val="both"/>
              <w:rPr>
                <w:rFonts w:ascii="Times New Roman" w:hAnsi="Times New Roman"/>
                <w:bCs/>
                <w:sz w:val="24"/>
                <w:szCs w:val="24"/>
                <w:lang w:val="en-IE"/>
              </w:rPr>
            </w:pPr>
            <w:r w:rsidRPr="00EE2F7D">
              <w:rPr>
                <w:rFonts w:ascii="Times New Roman" w:hAnsi="Times New Roman"/>
                <w:bCs/>
                <w:sz w:val="24"/>
                <w:szCs w:val="24"/>
                <w:lang w:val="en-IE"/>
              </w:rPr>
              <w:t xml:space="preserve">The transformative power of education is fully recognized in the context of </w:t>
            </w:r>
            <w:r w:rsidR="00F00FCA" w:rsidRPr="00EE2F7D">
              <w:rPr>
                <w:rFonts w:ascii="Times New Roman" w:hAnsi="Times New Roman"/>
                <w:bCs/>
                <w:sz w:val="24"/>
                <w:szCs w:val="24"/>
                <w:lang w:val="en-IE"/>
              </w:rPr>
              <w:t xml:space="preserve">the </w:t>
            </w:r>
            <w:r w:rsidRPr="00EE2F7D">
              <w:rPr>
                <w:rFonts w:ascii="Times New Roman" w:hAnsi="Times New Roman"/>
                <w:bCs/>
                <w:sz w:val="24"/>
                <w:szCs w:val="24"/>
                <w:lang w:val="en-IE"/>
              </w:rPr>
              <w:t>NEB and concerning the integration of the NEB into national education programmes, Member States are encouraged, with full respect for their competences, to consider the added value of the NEB in this area, through the aforementioned Council Recommendation. It is also recommended that M</w:t>
            </w:r>
            <w:r w:rsidR="00367C08">
              <w:rPr>
                <w:rFonts w:ascii="Times New Roman" w:hAnsi="Times New Roman"/>
                <w:bCs/>
                <w:sz w:val="24"/>
                <w:szCs w:val="24"/>
                <w:lang w:val="en-IE"/>
              </w:rPr>
              <w:t>ember States</w:t>
            </w:r>
            <w:r w:rsidRPr="00EE2F7D">
              <w:rPr>
                <w:rFonts w:ascii="Times New Roman" w:hAnsi="Times New Roman"/>
                <w:bCs/>
                <w:sz w:val="24"/>
                <w:szCs w:val="24"/>
                <w:lang w:val="en-IE"/>
              </w:rPr>
              <w:t xml:space="preserve"> promote the NEB Route within Discover EU</w:t>
            </w:r>
            <w:r w:rsidRPr="00EE2F7D">
              <w:rPr>
                <w:rStyle w:val="FootnoteReference"/>
                <w:rFonts w:ascii="Times New Roman" w:hAnsi="Times New Roman"/>
                <w:bCs/>
                <w:sz w:val="24"/>
                <w:szCs w:val="24"/>
                <w:lang w:val="en-IE"/>
              </w:rPr>
              <w:footnoteReference w:id="6"/>
            </w:r>
            <w:r w:rsidRPr="00EE2F7D">
              <w:rPr>
                <w:rFonts w:ascii="Times New Roman" w:hAnsi="Times New Roman"/>
                <w:bCs/>
                <w:sz w:val="24"/>
                <w:szCs w:val="24"/>
                <w:lang w:val="en-IE"/>
              </w:rPr>
              <w:t xml:space="preserve"> and that they raise awareness of the NEB values and principles among pupils and students.</w:t>
            </w:r>
            <w:r w:rsidR="002B640C" w:rsidRPr="00EE2F7D">
              <w:rPr>
                <w:rFonts w:ascii="Times New Roman" w:hAnsi="Times New Roman"/>
                <w:bCs/>
                <w:sz w:val="24"/>
                <w:szCs w:val="24"/>
                <w:lang w:val="en-IE"/>
              </w:rPr>
              <w:t xml:space="preserve"> The NEB Trophy 2026 Design Competition</w:t>
            </w:r>
            <w:r w:rsidR="00E97023" w:rsidRPr="00EE2F7D">
              <w:rPr>
                <w:rFonts w:ascii="Times New Roman" w:hAnsi="Times New Roman"/>
                <w:bCs/>
                <w:sz w:val="24"/>
                <w:szCs w:val="24"/>
                <w:lang w:val="en-IE"/>
              </w:rPr>
              <w:t> invited students across the EU to design the first official Trophy of the NEB Prizes</w:t>
            </w:r>
            <w:r w:rsidR="007A659A">
              <w:rPr>
                <w:rFonts w:ascii="Times New Roman" w:hAnsi="Times New Roman"/>
                <w:bCs/>
                <w:sz w:val="24"/>
                <w:szCs w:val="24"/>
                <w:lang w:val="en-IE"/>
              </w:rPr>
              <w:t>. T</w:t>
            </w:r>
            <w:r w:rsidR="009A3A74" w:rsidRPr="00EE2F7D">
              <w:rPr>
                <w:rFonts w:ascii="Times New Roman" w:hAnsi="Times New Roman"/>
                <w:bCs/>
                <w:sz w:val="24"/>
                <w:szCs w:val="24"/>
                <w:lang w:val="en-IE"/>
              </w:rPr>
              <w:t>he finalists were invited to present their concepts at the Festival of the NEB in Brussels where visitors had the opportunity to vote for their favourite trophy.</w:t>
            </w:r>
            <w:r w:rsidRPr="00EE2F7D">
              <w:rPr>
                <w:rFonts w:ascii="Times New Roman" w:hAnsi="Times New Roman"/>
                <w:bCs/>
                <w:sz w:val="24"/>
                <w:szCs w:val="24"/>
                <w:lang w:val="en-IE"/>
              </w:rPr>
              <w:t xml:space="preserve"> Moreover, the Commission is supporting an exploratory action for a possible NEB joint European Degree to develop transdisciplinary competences across architecture, design, sustainable engineering, and the arts that are relevant for NEB at university level.</w:t>
            </w:r>
          </w:p>
          <w:p w14:paraId="54BA0391" w14:textId="3DB56528" w:rsidR="007A0A7E" w:rsidRPr="00EE2F7D" w:rsidRDefault="00B47B0F" w:rsidP="002E7D6C">
            <w:pPr>
              <w:widowControl w:val="0"/>
              <w:spacing w:before="120" w:after="120"/>
              <w:jc w:val="both"/>
              <w:rPr>
                <w:rFonts w:ascii="Times New Roman" w:hAnsi="Times New Roman"/>
                <w:sz w:val="24"/>
                <w:szCs w:val="24"/>
                <w:lang w:val="en-IE"/>
              </w:rPr>
            </w:pPr>
            <w:r w:rsidRPr="00EE2F7D">
              <w:rPr>
                <w:rFonts w:ascii="Times New Roman" w:hAnsi="Times New Roman"/>
                <w:bCs/>
                <w:sz w:val="24"/>
                <w:szCs w:val="24"/>
                <w:lang w:val="en-IE"/>
              </w:rPr>
              <w:t>Regarding the challenges faced by smaller entities, including accessing funding, the Commission recognises that barriers need to be removed</w:t>
            </w:r>
            <w:r w:rsidR="00017D1B" w:rsidRPr="00EE2F7D">
              <w:rPr>
                <w:rFonts w:ascii="Times New Roman" w:hAnsi="Times New Roman"/>
                <w:bCs/>
                <w:sz w:val="24"/>
                <w:szCs w:val="24"/>
                <w:lang w:val="en-IE"/>
              </w:rPr>
              <w:t xml:space="preserve"> to the widest extent possible</w:t>
            </w:r>
            <w:r w:rsidRPr="00EE2F7D">
              <w:rPr>
                <w:rFonts w:ascii="Times New Roman" w:hAnsi="Times New Roman"/>
                <w:bCs/>
                <w:sz w:val="24"/>
                <w:szCs w:val="24"/>
                <w:lang w:val="en-IE"/>
              </w:rPr>
              <w:t xml:space="preserve">, and additional support </w:t>
            </w:r>
            <w:r w:rsidR="007A659A">
              <w:rPr>
                <w:rFonts w:ascii="Times New Roman" w:hAnsi="Times New Roman"/>
                <w:bCs/>
                <w:sz w:val="24"/>
                <w:szCs w:val="24"/>
                <w:lang w:val="en-IE"/>
              </w:rPr>
              <w:t xml:space="preserve">is to be </w:t>
            </w:r>
            <w:r w:rsidRPr="00EE2F7D">
              <w:rPr>
                <w:rFonts w:ascii="Times New Roman" w:hAnsi="Times New Roman"/>
                <w:bCs/>
                <w:sz w:val="24"/>
                <w:szCs w:val="24"/>
                <w:lang w:val="en-IE"/>
              </w:rPr>
              <w:t>provided</w:t>
            </w:r>
            <w:r w:rsidR="00017D1B" w:rsidRPr="00EE2F7D">
              <w:rPr>
                <w:rFonts w:ascii="Times New Roman" w:hAnsi="Times New Roman"/>
                <w:bCs/>
                <w:sz w:val="24"/>
                <w:szCs w:val="24"/>
                <w:lang w:val="en-IE"/>
              </w:rPr>
              <w:t xml:space="preserve"> as much as possible and feasible</w:t>
            </w:r>
            <w:r w:rsidRPr="00EE2F7D">
              <w:rPr>
                <w:rFonts w:ascii="Times New Roman" w:hAnsi="Times New Roman"/>
                <w:bCs/>
                <w:sz w:val="24"/>
                <w:szCs w:val="24"/>
                <w:lang w:val="en-IE"/>
              </w:rPr>
              <w:t>.</w:t>
            </w:r>
            <w:r w:rsidR="008E0A0A" w:rsidRPr="00EE2F7D">
              <w:rPr>
                <w:rFonts w:ascii="Times New Roman" w:hAnsi="Times New Roman"/>
                <w:bCs/>
                <w:sz w:val="24"/>
                <w:szCs w:val="24"/>
                <w:lang w:val="en-IE"/>
              </w:rPr>
              <w:t xml:space="preserve"> The boost for small municipalities and the NEB advisory funding hub, are two responses that seek to support small scale projects and project promoters. </w:t>
            </w:r>
            <w:proofErr w:type="gramStart"/>
            <w:r w:rsidR="007A659A">
              <w:rPr>
                <w:rFonts w:ascii="Times New Roman" w:hAnsi="Times New Roman"/>
                <w:bCs/>
                <w:sz w:val="24"/>
                <w:szCs w:val="24"/>
                <w:lang w:val="en-IE"/>
              </w:rPr>
              <w:t>I</w:t>
            </w:r>
            <w:r w:rsidR="007A659A" w:rsidRPr="00EE2F7D">
              <w:rPr>
                <w:rFonts w:ascii="Times New Roman" w:hAnsi="Times New Roman"/>
                <w:bCs/>
                <w:sz w:val="24"/>
                <w:szCs w:val="24"/>
                <w:lang w:val="en-IE"/>
              </w:rPr>
              <w:t>n order to</w:t>
            </w:r>
            <w:proofErr w:type="gramEnd"/>
            <w:r w:rsidR="007A659A" w:rsidRPr="00EE2F7D">
              <w:rPr>
                <w:rFonts w:ascii="Times New Roman" w:hAnsi="Times New Roman"/>
                <w:bCs/>
                <w:sz w:val="24"/>
                <w:szCs w:val="24"/>
                <w:lang w:val="en-IE"/>
              </w:rPr>
              <w:t xml:space="preserve"> honour and recognise the value of small</w:t>
            </w:r>
            <w:r w:rsidR="007A659A">
              <w:rPr>
                <w:rFonts w:ascii="Times New Roman" w:hAnsi="Times New Roman"/>
                <w:bCs/>
                <w:sz w:val="24"/>
                <w:szCs w:val="24"/>
                <w:lang w:val="en-IE"/>
              </w:rPr>
              <w:t>-</w:t>
            </w:r>
            <w:r w:rsidR="007A659A" w:rsidRPr="00EE2F7D">
              <w:rPr>
                <w:rFonts w:ascii="Times New Roman" w:hAnsi="Times New Roman"/>
                <w:bCs/>
                <w:sz w:val="24"/>
                <w:szCs w:val="24"/>
                <w:lang w:val="en-IE"/>
              </w:rPr>
              <w:t>scale initiatives in the most remote and small territories</w:t>
            </w:r>
            <w:r w:rsidR="007A659A">
              <w:rPr>
                <w:rFonts w:ascii="Times New Roman" w:hAnsi="Times New Roman"/>
                <w:bCs/>
                <w:sz w:val="24"/>
                <w:szCs w:val="24"/>
                <w:lang w:val="en-IE"/>
              </w:rPr>
              <w:t>, t</w:t>
            </w:r>
            <w:r w:rsidR="008E0A0A" w:rsidRPr="00EE2F7D">
              <w:rPr>
                <w:rFonts w:ascii="Times New Roman" w:hAnsi="Times New Roman"/>
                <w:bCs/>
                <w:sz w:val="24"/>
                <w:szCs w:val="24"/>
                <w:lang w:val="en-IE"/>
              </w:rPr>
              <w:t xml:space="preserve">he Commission has granted 40 prizes </w:t>
            </w:r>
            <w:r w:rsidR="007A659A">
              <w:rPr>
                <w:rFonts w:ascii="Times New Roman" w:hAnsi="Times New Roman"/>
                <w:bCs/>
                <w:sz w:val="24"/>
                <w:szCs w:val="24"/>
                <w:lang w:val="en-IE"/>
              </w:rPr>
              <w:t>and</w:t>
            </w:r>
            <w:r w:rsidR="007A659A" w:rsidRPr="00EE2F7D">
              <w:rPr>
                <w:rFonts w:ascii="Times New Roman" w:hAnsi="Times New Roman"/>
                <w:bCs/>
                <w:sz w:val="24"/>
                <w:szCs w:val="24"/>
                <w:lang w:val="en-IE"/>
              </w:rPr>
              <w:t xml:space="preserve"> </w:t>
            </w:r>
            <w:r w:rsidR="008E0A0A" w:rsidRPr="00EE2F7D">
              <w:rPr>
                <w:rFonts w:ascii="Times New Roman" w:hAnsi="Times New Roman"/>
                <w:bCs/>
                <w:sz w:val="24"/>
                <w:szCs w:val="24"/>
                <w:lang w:val="en-IE"/>
              </w:rPr>
              <w:t>boosts to small municipalities to face the challenges to implement projects in the built environment according to NEB values and principles</w:t>
            </w:r>
            <w:r w:rsidR="007A0A7E" w:rsidRPr="00EE2F7D">
              <w:rPr>
                <w:rFonts w:ascii="Times New Roman" w:hAnsi="Times New Roman"/>
                <w:bCs/>
                <w:sz w:val="24"/>
                <w:szCs w:val="24"/>
                <w:lang w:val="en-IE"/>
              </w:rPr>
              <w:t>. Additionally</w:t>
            </w:r>
            <w:r w:rsidR="00512D32">
              <w:rPr>
                <w:rFonts w:ascii="Times New Roman" w:hAnsi="Times New Roman"/>
                <w:bCs/>
                <w:sz w:val="24"/>
                <w:szCs w:val="24"/>
                <w:lang w:val="en-IE"/>
              </w:rPr>
              <w:t>,</w:t>
            </w:r>
            <w:r w:rsidR="007A0A7E" w:rsidRPr="00EE2F7D">
              <w:rPr>
                <w:rFonts w:ascii="Times New Roman" w:hAnsi="Times New Roman"/>
                <w:bCs/>
                <w:sz w:val="24"/>
                <w:szCs w:val="24"/>
                <w:lang w:val="en-IE"/>
              </w:rPr>
              <w:t xml:space="preserve"> the Advisory Funding Hub will match small scale grassroot NEB projects with philanthropy and crowdfunding. </w:t>
            </w:r>
            <w:r w:rsidR="007A659A">
              <w:rPr>
                <w:rFonts w:ascii="Times New Roman" w:hAnsi="Times New Roman"/>
                <w:bCs/>
                <w:sz w:val="24"/>
                <w:szCs w:val="24"/>
                <w:lang w:val="en-IE"/>
              </w:rPr>
              <w:t>Furthermore</w:t>
            </w:r>
            <w:r w:rsidR="007A0A7E" w:rsidRPr="00EE2F7D">
              <w:rPr>
                <w:rFonts w:ascii="Times New Roman" w:hAnsi="Times New Roman"/>
                <w:bCs/>
                <w:sz w:val="24"/>
                <w:szCs w:val="24"/>
                <w:lang w:val="en-IE"/>
              </w:rPr>
              <w:t>, t</w:t>
            </w:r>
            <w:r w:rsidR="0018792E" w:rsidRPr="00EE2F7D">
              <w:rPr>
                <w:rFonts w:ascii="Times New Roman" w:hAnsi="Times New Roman"/>
                <w:sz w:val="24"/>
                <w:szCs w:val="24"/>
                <w:lang w:val="en-IE"/>
              </w:rPr>
              <w:t xml:space="preserve">he Commission provides tailored expert assistance to 14 managing authorities, intermediate, and implementing bodies across nine Member States to integrate NEB principles into the 2021–2027 cohesion policy programmes, strengthen project preparation, and promote simplified reimbursement models (Financing not linked to costs and simplified Costs options). These measures may help improve access to funding for smaller beneficiaries by reducing administrative complexity. </w:t>
            </w:r>
          </w:p>
          <w:p w14:paraId="4134721A" w14:textId="2F3C5E86" w:rsidR="00B47B0F" w:rsidRPr="00EE2F7D" w:rsidRDefault="00B47B0F" w:rsidP="002E7D6C">
            <w:pPr>
              <w:widowControl w:val="0"/>
              <w:spacing w:before="120" w:after="120"/>
              <w:jc w:val="both"/>
              <w:rPr>
                <w:rFonts w:ascii="Times New Roman" w:hAnsi="Times New Roman"/>
                <w:bCs/>
                <w:sz w:val="24"/>
                <w:szCs w:val="24"/>
                <w:lang w:val="en-IE"/>
              </w:rPr>
            </w:pPr>
            <w:r w:rsidRPr="00EE2F7D">
              <w:rPr>
                <w:rFonts w:ascii="Times New Roman" w:hAnsi="Times New Roman"/>
                <w:bCs/>
                <w:sz w:val="24"/>
                <w:szCs w:val="24"/>
                <w:lang w:val="en-IE"/>
              </w:rPr>
              <w:t xml:space="preserve">The NEB Community brings together many types of entities including civil society organizations and small entities working to bring local NEB projects to life in their communities, but also National Contact Points and potential partners that can collaborate, including through NEB Labs. Additionally, through the NEB Advisory Hub the Commission aims to improve access </w:t>
            </w:r>
            <w:r w:rsidR="00A90407" w:rsidRPr="00EE2F7D">
              <w:rPr>
                <w:rFonts w:ascii="Times New Roman" w:hAnsi="Times New Roman"/>
                <w:bCs/>
                <w:sz w:val="24"/>
                <w:szCs w:val="24"/>
                <w:lang w:val="en-IE"/>
              </w:rPr>
              <w:t xml:space="preserve">and capacity support </w:t>
            </w:r>
            <w:r w:rsidRPr="00EE2F7D">
              <w:rPr>
                <w:rFonts w:ascii="Times New Roman" w:hAnsi="Times New Roman"/>
                <w:bCs/>
                <w:sz w:val="24"/>
                <w:szCs w:val="24"/>
                <w:lang w:val="en-IE"/>
              </w:rPr>
              <w:t xml:space="preserve">to funding for smaller players. The Commission </w:t>
            </w:r>
            <w:r w:rsidR="00E0382B" w:rsidRPr="00EE2F7D">
              <w:rPr>
                <w:rFonts w:ascii="Times New Roman" w:hAnsi="Times New Roman"/>
                <w:bCs/>
                <w:sz w:val="24"/>
                <w:szCs w:val="24"/>
                <w:lang w:val="en-IE"/>
              </w:rPr>
              <w:t>and its partners, in particular the European I</w:t>
            </w:r>
            <w:r w:rsidR="00527E1E" w:rsidRPr="00EE2F7D">
              <w:rPr>
                <w:rFonts w:ascii="Times New Roman" w:hAnsi="Times New Roman"/>
                <w:bCs/>
                <w:sz w:val="24"/>
                <w:szCs w:val="24"/>
                <w:lang w:val="en-IE"/>
              </w:rPr>
              <w:t xml:space="preserve">nstitute for Innovation and Technology, </w:t>
            </w:r>
            <w:r w:rsidR="00F7362B" w:rsidRPr="00EE2F7D">
              <w:rPr>
                <w:rFonts w:ascii="Times New Roman" w:hAnsi="Times New Roman"/>
                <w:bCs/>
                <w:sz w:val="24"/>
                <w:szCs w:val="24"/>
                <w:lang w:val="en-IE"/>
              </w:rPr>
              <w:t xml:space="preserve">are in constant dialogue with </w:t>
            </w:r>
            <w:r w:rsidRPr="00EE2F7D">
              <w:rPr>
                <w:rFonts w:ascii="Times New Roman" w:hAnsi="Times New Roman"/>
                <w:bCs/>
                <w:sz w:val="24"/>
                <w:szCs w:val="24"/>
                <w:lang w:val="en-IE"/>
              </w:rPr>
              <w:t>the wide variety of</w:t>
            </w:r>
            <w:r w:rsidR="00F7362B" w:rsidRPr="00EE2F7D">
              <w:rPr>
                <w:rFonts w:ascii="Times New Roman" w:hAnsi="Times New Roman"/>
                <w:bCs/>
                <w:sz w:val="24"/>
                <w:szCs w:val="24"/>
                <w:lang w:val="en-IE"/>
              </w:rPr>
              <w:t xml:space="preserve"> NEB </w:t>
            </w:r>
            <w:r w:rsidRPr="00EE2F7D">
              <w:rPr>
                <w:rFonts w:ascii="Times New Roman" w:hAnsi="Times New Roman"/>
                <w:bCs/>
                <w:sz w:val="24"/>
                <w:szCs w:val="24"/>
                <w:lang w:val="en-IE"/>
              </w:rPr>
              <w:t>stakeholder</w:t>
            </w:r>
            <w:r w:rsidR="00F7362B" w:rsidRPr="00EE2F7D">
              <w:rPr>
                <w:rFonts w:ascii="Times New Roman" w:hAnsi="Times New Roman"/>
                <w:bCs/>
                <w:sz w:val="24"/>
                <w:szCs w:val="24"/>
                <w:lang w:val="en-IE"/>
              </w:rPr>
              <w:t xml:space="preserve">s </w:t>
            </w:r>
            <w:proofErr w:type="gramStart"/>
            <w:r w:rsidR="00F7362B" w:rsidRPr="00EE2F7D">
              <w:rPr>
                <w:rFonts w:ascii="Times New Roman" w:hAnsi="Times New Roman"/>
                <w:bCs/>
                <w:sz w:val="24"/>
                <w:szCs w:val="24"/>
                <w:lang w:val="en-IE"/>
              </w:rPr>
              <w:t>in order to</w:t>
            </w:r>
            <w:proofErr w:type="gramEnd"/>
            <w:r w:rsidR="00F7362B" w:rsidRPr="00EE2F7D">
              <w:rPr>
                <w:rFonts w:ascii="Times New Roman" w:hAnsi="Times New Roman"/>
                <w:bCs/>
                <w:sz w:val="24"/>
                <w:szCs w:val="24"/>
                <w:lang w:val="en-IE"/>
              </w:rPr>
              <w:t xml:space="preserve"> also increase their </w:t>
            </w:r>
            <w:r w:rsidR="00784897" w:rsidRPr="00EE2F7D">
              <w:rPr>
                <w:rFonts w:ascii="Times New Roman" w:hAnsi="Times New Roman"/>
                <w:bCs/>
                <w:sz w:val="24"/>
                <w:szCs w:val="24"/>
                <w:lang w:val="en-IE"/>
              </w:rPr>
              <w:t>innovation and business development capacities and to support th</w:t>
            </w:r>
            <w:r w:rsidR="006C7F4E" w:rsidRPr="00EE2F7D">
              <w:rPr>
                <w:rFonts w:ascii="Times New Roman" w:hAnsi="Times New Roman"/>
                <w:bCs/>
                <w:sz w:val="24"/>
                <w:szCs w:val="24"/>
                <w:lang w:val="en-IE"/>
              </w:rPr>
              <w:t>eir</w:t>
            </w:r>
            <w:r w:rsidRPr="00EE2F7D">
              <w:rPr>
                <w:rFonts w:ascii="Times New Roman" w:hAnsi="Times New Roman"/>
                <w:bCs/>
                <w:sz w:val="24"/>
                <w:szCs w:val="24"/>
                <w:lang w:val="en-IE"/>
              </w:rPr>
              <w:t xml:space="preserve"> matching with </w:t>
            </w:r>
            <w:r w:rsidRPr="00EE2F7D">
              <w:rPr>
                <w:rFonts w:ascii="Times New Roman" w:hAnsi="Times New Roman"/>
                <w:bCs/>
                <w:sz w:val="24"/>
                <w:szCs w:val="24"/>
                <w:lang w:val="en-IE"/>
              </w:rPr>
              <w:lastRenderedPageBreak/>
              <w:t>potential investors.</w:t>
            </w:r>
          </w:p>
          <w:p w14:paraId="140A2D09" w14:textId="72F68BEA" w:rsidR="00B47B0F" w:rsidRPr="00EE2F7D" w:rsidRDefault="00017D1B" w:rsidP="002E7D6C">
            <w:pPr>
              <w:widowControl w:val="0"/>
              <w:spacing w:before="120" w:after="120"/>
              <w:jc w:val="both"/>
              <w:rPr>
                <w:rFonts w:ascii="Times New Roman" w:hAnsi="Times New Roman"/>
                <w:bCs/>
                <w:sz w:val="24"/>
                <w:szCs w:val="24"/>
                <w:lang w:val="en-IE"/>
              </w:rPr>
            </w:pPr>
            <w:r w:rsidRPr="00EE2F7D">
              <w:rPr>
                <w:rFonts w:ascii="Times New Roman" w:hAnsi="Times New Roman"/>
                <w:bCs/>
                <w:sz w:val="24"/>
                <w:szCs w:val="24"/>
                <w:lang w:val="en-IE"/>
              </w:rPr>
              <w:t xml:space="preserve">The Commission fully agrees on </w:t>
            </w:r>
            <w:r w:rsidR="00B47B0F" w:rsidRPr="00EE2F7D">
              <w:rPr>
                <w:rFonts w:ascii="Times New Roman" w:hAnsi="Times New Roman"/>
                <w:bCs/>
                <w:sz w:val="24"/>
                <w:szCs w:val="24"/>
                <w:lang w:val="en-IE"/>
              </w:rPr>
              <w:t xml:space="preserve">the importance of participatory tools, </w:t>
            </w:r>
            <w:r w:rsidRPr="00EE2F7D">
              <w:rPr>
                <w:rFonts w:ascii="Times New Roman" w:hAnsi="Times New Roman"/>
                <w:bCs/>
                <w:sz w:val="24"/>
                <w:szCs w:val="24"/>
                <w:lang w:val="en-IE"/>
              </w:rPr>
              <w:t>whereby participation is a core</w:t>
            </w:r>
            <w:r w:rsidR="00B47B0F" w:rsidRPr="00EE2F7D">
              <w:rPr>
                <w:rFonts w:ascii="Times New Roman" w:hAnsi="Times New Roman"/>
                <w:bCs/>
                <w:sz w:val="24"/>
                <w:szCs w:val="24"/>
                <w:lang w:val="en-IE"/>
              </w:rPr>
              <w:t xml:space="preserve"> working principle of the NEB </w:t>
            </w:r>
            <w:r w:rsidR="002F7437" w:rsidRPr="00EE2F7D">
              <w:rPr>
                <w:rFonts w:ascii="Times New Roman" w:hAnsi="Times New Roman"/>
                <w:bCs/>
                <w:sz w:val="24"/>
                <w:szCs w:val="24"/>
                <w:lang w:val="en-IE"/>
              </w:rPr>
              <w:t>which</w:t>
            </w:r>
            <w:r w:rsidR="00B47B0F" w:rsidRPr="00EE2F7D">
              <w:rPr>
                <w:rFonts w:ascii="Times New Roman" w:hAnsi="Times New Roman"/>
                <w:bCs/>
                <w:sz w:val="24"/>
                <w:szCs w:val="24"/>
                <w:lang w:val="en-IE"/>
              </w:rPr>
              <w:t xml:space="preserve"> permeates all aspects of the NEB </w:t>
            </w:r>
            <w:r w:rsidR="002F7437" w:rsidRPr="00EE2F7D">
              <w:rPr>
                <w:rFonts w:ascii="Times New Roman" w:hAnsi="Times New Roman"/>
                <w:bCs/>
                <w:sz w:val="24"/>
                <w:szCs w:val="24"/>
                <w:lang w:val="en-IE"/>
              </w:rPr>
              <w:t xml:space="preserve">initiative </w:t>
            </w:r>
            <w:r w:rsidR="00B47B0F" w:rsidRPr="00EE2F7D">
              <w:rPr>
                <w:rFonts w:ascii="Times New Roman" w:hAnsi="Times New Roman"/>
                <w:bCs/>
                <w:sz w:val="24"/>
                <w:szCs w:val="24"/>
                <w:lang w:val="en-IE"/>
              </w:rPr>
              <w:t xml:space="preserve">to </w:t>
            </w:r>
            <w:r w:rsidR="002F7437" w:rsidRPr="00EE2F7D">
              <w:rPr>
                <w:rFonts w:ascii="Times New Roman" w:hAnsi="Times New Roman"/>
                <w:bCs/>
                <w:sz w:val="24"/>
                <w:szCs w:val="24"/>
                <w:lang w:val="en-IE"/>
              </w:rPr>
              <w:t xml:space="preserve">ensure that </w:t>
            </w:r>
            <w:r w:rsidR="00B47B0F" w:rsidRPr="00EE2F7D">
              <w:rPr>
                <w:rFonts w:ascii="Times New Roman" w:hAnsi="Times New Roman"/>
                <w:bCs/>
                <w:sz w:val="24"/>
                <w:szCs w:val="24"/>
                <w:lang w:val="en-IE"/>
              </w:rPr>
              <w:t xml:space="preserve">communities affected by a project are involved in </w:t>
            </w:r>
            <w:r w:rsidRPr="00EE2F7D">
              <w:rPr>
                <w:rFonts w:ascii="Times New Roman" w:hAnsi="Times New Roman"/>
                <w:bCs/>
                <w:sz w:val="24"/>
                <w:szCs w:val="24"/>
                <w:lang w:val="en-IE"/>
              </w:rPr>
              <w:t xml:space="preserve">its </w:t>
            </w:r>
            <w:r w:rsidR="00B47B0F" w:rsidRPr="00EE2F7D">
              <w:rPr>
                <w:rFonts w:ascii="Times New Roman" w:hAnsi="Times New Roman"/>
                <w:bCs/>
                <w:sz w:val="24"/>
                <w:szCs w:val="24"/>
                <w:lang w:val="en-IE"/>
              </w:rPr>
              <w:t xml:space="preserve">design, decision-making and implementation phases. A truly NEB-aligned project will involve civil society or representatives of social groups within a highly participatory framework. </w:t>
            </w:r>
            <w:r w:rsidR="007031FF">
              <w:rPr>
                <w:rFonts w:ascii="Times New Roman" w:hAnsi="Times New Roman"/>
                <w:bCs/>
                <w:sz w:val="24"/>
                <w:szCs w:val="24"/>
                <w:lang w:val="en-IE"/>
              </w:rPr>
              <w:t>In this regard, t</w:t>
            </w:r>
            <w:r w:rsidR="00B47B0F" w:rsidRPr="00EE2F7D">
              <w:rPr>
                <w:rFonts w:ascii="Times New Roman" w:hAnsi="Times New Roman"/>
                <w:bCs/>
                <w:sz w:val="24"/>
                <w:szCs w:val="24"/>
                <w:lang w:val="en-IE"/>
              </w:rPr>
              <w:t xml:space="preserve">he Commission also takes note of the word of caution on the potential over-reliance on digital tools, while </w:t>
            </w:r>
            <w:r w:rsidR="00AD298A" w:rsidRPr="00EE2F7D">
              <w:rPr>
                <w:rFonts w:ascii="Times New Roman" w:hAnsi="Times New Roman"/>
                <w:bCs/>
                <w:sz w:val="24"/>
                <w:szCs w:val="24"/>
                <w:lang w:val="en-IE"/>
              </w:rPr>
              <w:t>stressing the importance o</w:t>
            </w:r>
            <w:r w:rsidR="004E0103" w:rsidRPr="00EE2F7D">
              <w:rPr>
                <w:rFonts w:ascii="Times New Roman" w:hAnsi="Times New Roman"/>
                <w:bCs/>
                <w:sz w:val="24"/>
                <w:szCs w:val="24"/>
                <w:lang w:val="en-IE"/>
              </w:rPr>
              <w:t>f continuing exploring how digital support can be aligned to the NEB, as some previous projects have demonstrated</w:t>
            </w:r>
            <w:r w:rsidR="004E0103" w:rsidRPr="00EE2F7D">
              <w:rPr>
                <w:rStyle w:val="FootnoteReference"/>
                <w:rFonts w:ascii="Times New Roman" w:hAnsi="Times New Roman"/>
                <w:bCs/>
                <w:sz w:val="24"/>
                <w:szCs w:val="24"/>
                <w:lang w:val="en-IE"/>
              </w:rPr>
              <w:footnoteReference w:id="7"/>
            </w:r>
            <w:r w:rsidR="00B47B0F" w:rsidRPr="00EE2F7D">
              <w:rPr>
                <w:rFonts w:ascii="Times New Roman" w:hAnsi="Times New Roman"/>
                <w:bCs/>
                <w:sz w:val="24"/>
                <w:szCs w:val="24"/>
                <w:lang w:val="en-IE"/>
              </w:rPr>
              <w:t>. Inclusion is one of the core values of the NEB and the Commission is mindful of the diversity of all NEB stakeholders in this context.</w:t>
            </w:r>
          </w:p>
          <w:p w14:paraId="30D14481" w14:textId="14B73AB4" w:rsidR="0049246C" w:rsidRPr="00EE2F7D" w:rsidRDefault="00B47B0F" w:rsidP="002E7D6C">
            <w:pPr>
              <w:widowControl w:val="0"/>
              <w:spacing w:before="120" w:after="120"/>
              <w:jc w:val="both"/>
              <w:rPr>
                <w:rFonts w:ascii="Times New Roman" w:hAnsi="Times New Roman"/>
                <w:b/>
                <w:sz w:val="24"/>
                <w:szCs w:val="24"/>
                <w:lang w:val="en-IE"/>
              </w:rPr>
            </w:pPr>
            <w:r w:rsidRPr="00EE2F7D">
              <w:rPr>
                <w:rFonts w:ascii="Times New Roman" w:hAnsi="Times New Roman"/>
                <w:bCs/>
                <w:sz w:val="24"/>
                <w:szCs w:val="24"/>
                <w:lang w:val="en-IE"/>
              </w:rPr>
              <w:t xml:space="preserve">Finally, regarding targeted communication and the role of arts and cultural heritage, the Commission fully recognizes the transformative power of culture and arts for the clean transition. The NEB aims to actively break down silos between the arts, science, and industry. The Commission aims to expand the NEB community and reach new relevant groups. Furthermore, it </w:t>
            </w:r>
            <w:r w:rsidR="00A30D65" w:rsidRPr="00EE2F7D">
              <w:rPr>
                <w:rFonts w:ascii="Times New Roman" w:hAnsi="Times New Roman"/>
                <w:bCs/>
                <w:sz w:val="24"/>
                <w:szCs w:val="24"/>
                <w:lang w:val="en-IE"/>
              </w:rPr>
              <w:t>will strive</w:t>
            </w:r>
            <w:r w:rsidRPr="00EE2F7D">
              <w:rPr>
                <w:rFonts w:ascii="Times New Roman" w:hAnsi="Times New Roman"/>
                <w:bCs/>
                <w:sz w:val="24"/>
                <w:szCs w:val="24"/>
                <w:lang w:val="en-IE"/>
              </w:rPr>
              <w:t xml:space="preserve"> to strengthen the European Capitals of Culture</w:t>
            </w:r>
            <w:r w:rsidR="002E7D6C">
              <w:rPr>
                <w:rFonts w:ascii="Times New Roman" w:hAnsi="Times New Roman"/>
                <w:bCs/>
                <w:sz w:val="24"/>
                <w:szCs w:val="24"/>
                <w:lang w:val="en-IE"/>
              </w:rPr>
              <w:t xml:space="preserve"> Initiative</w:t>
            </w:r>
            <w:r w:rsidRPr="00EE2F7D">
              <w:rPr>
                <w:rFonts w:ascii="Times New Roman" w:hAnsi="Times New Roman"/>
                <w:bCs/>
                <w:sz w:val="24"/>
                <w:szCs w:val="24"/>
                <w:lang w:val="en-IE"/>
              </w:rPr>
              <w:t xml:space="preserve"> </w:t>
            </w:r>
            <w:r w:rsidR="00A30D65" w:rsidRPr="00EE2F7D">
              <w:rPr>
                <w:rFonts w:ascii="Times New Roman" w:hAnsi="Times New Roman"/>
                <w:bCs/>
                <w:sz w:val="24"/>
                <w:szCs w:val="24"/>
                <w:lang w:val="en-IE"/>
              </w:rPr>
              <w:t>and to explore synergies</w:t>
            </w:r>
            <w:r w:rsidRPr="00EE2F7D">
              <w:rPr>
                <w:rFonts w:ascii="Times New Roman" w:hAnsi="Times New Roman"/>
                <w:bCs/>
                <w:sz w:val="24"/>
                <w:szCs w:val="24"/>
                <w:lang w:val="en-IE"/>
              </w:rPr>
              <w:t xml:space="preserve"> with the</w:t>
            </w:r>
            <w:r w:rsidR="00A30D65" w:rsidRPr="00EE2F7D">
              <w:rPr>
                <w:rFonts w:ascii="Times New Roman" w:hAnsi="Times New Roman"/>
                <w:bCs/>
                <w:sz w:val="24"/>
                <w:szCs w:val="24"/>
                <w:lang w:val="en-IE"/>
              </w:rPr>
              <w:t xml:space="preserve"> values and principles of the NEB</w:t>
            </w:r>
            <w:r w:rsidR="0018792E" w:rsidRPr="00EE2F7D">
              <w:rPr>
                <w:rFonts w:ascii="Times New Roman" w:hAnsi="Times New Roman"/>
                <w:sz w:val="24"/>
                <w:szCs w:val="24"/>
                <w:lang w:val="en-IE"/>
              </w:rPr>
              <w:t>.</w:t>
            </w:r>
          </w:p>
        </w:tc>
      </w:tr>
    </w:tbl>
    <w:p w14:paraId="7E347EA8" w14:textId="3EEBE380" w:rsidR="004F6117" w:rsidRPr="00EE2F7D" w:rsidRDefault="004F6117" w:rsidP="00554137">
      <w:pPr>
        <w:spacing w:after="0"/>
        <w:ind w:left="-425"/>
        <w:rPr>
          <w:rFonts w:ascii="Times New Roman" w:hAnsi="Times New Roman"/>
          <w:b/>
          <w:sz w:val="16"/>
          <w:szCs w:val="16"/>
          <w:u w:val="single"/>
          <w:lang w:val="en-IE"/>
        </w:rPr>
      </w:pPr>
    </w:p>
    <w:sectPr w:rsidR="004F6117" w:rsidRPr="00EE2F7D">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BE1AB" w14:textId="77777777" w:rsidR="00B62518" w:rsidRDefault="00B62518" w:rsidP="00FF63EA">
      <w:pPr>
        <w:spacing w:after="0" w:line="240" w:lineRule="auto"/>
      </w:pPr>
      <w:r>
        <w:separator/>
      </w:r>
    </w:p>
  </w:endnote>
  <w:endnote w:type="continuationSeparator" w:id="0">
    <w:p w14:paraId="7D9ECFAE" w14:textId="77777777" w:rsidR="00B62518" w:rsidRDefault="00B62518" w:rsidP="00FF63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80849" w14:textId="77777777" w:rsidR="00955D2A" w:rsidRDefault="00955D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4E7D0" w14:textId="77777777" w:rsidR="00955D2A" w:rsidRDefault="00955D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77759" w14:textId="77777777" w:rsidR="00955D2A" w:rsidRDefault="00955D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C44CD" w14:textId="77777777" w:rsidR="00B62518" w:rsidRDefault="00B62518" w:rsidP="00FF63EA">
      <w:pPr>
        <w:spacing w:after="0" w:line="240" w:lineRule="auto"/>
      </w:pPr>
      <w:r>
        <w:separator/>
      </w:r>
    </w:p>
  </w:footnote>
  <w:footnote w:type="continuationSeparator" w:id="0">
    <w:p w14:paraId="4BFD4E61" w14:textId="77777777" w:rsidR="00B62518" w:rsidRDefault="00B62518" w:rsidP="00FF63EA">
      <w:pPr>
        <w:spacing w:after="0" w:line="240" w:lineRule="auto"/>
      </w:pPr>
      <w:r>
        <w:continuationSeparator/>
      </w:r>
    </w:p>
  </w:footnote>
  <w:footnote w:id="1">
    <w:p w14:paraId="0ECA353B" w14:textId="1B0C9BC0" w:rsidR="00B47B0F" w:rsidRPr="002E7D6C" w:rsidRDefault="00B47B0F" w:rsidP="002E7D6C">
      <w:pPr>
        <w:pStyle w:val="FootnoteText"/>
        <w:widowControl w:val="0"/>
        <w:spacing w:after="0" w:line="240" w:lineRule="auto"/>
        <w:jc w:val="both"/>
        <w:rPr>
          <w:rFonts w:ascii="Times New Roman" w:hAnsi="Times New Roman"/>
        </w:rPr>
      </w:pPr>
      <w:r w:rsidRPr="002E7D6C">
        <w:rPr>
          <w:rStyle w:val="FootnoteReference"/>
          <w:rFonts w:ascii="Times New Roman" w:hAnsi="Times New Roman"/>
        </w:rPr>
        <w:footnoteRef/>
      </w:r>
      <w:r w:rsidRPr="002E7D6C">
        <w:rPr>
          <w:rFonts w:ascii="Times New Roman" w:hAnsi="Times New Roman"/>
        </w:rPr>
        <w:t xml:space="preserve"> </w:t>
      </w:r>
      <w:r w:rsidR="007801B2" w:rsidRPr="002E7D6C">
        <w:rPr>
          <w:rFonts w:ascii="Times New Roman" w:hAnsi="Times New Roman"/>
        </w:rPr>
        <w:tab/>
      </w:r>
      <w:r w:rsidRPr="007801B2">
        <w:rPr>
          <w:rFonts w:ascii="Times New Roman" w:hAnsi="Times New Roman"/>
        </w:rPr>
        <w:t>Communication from the Commission to the European Parliament, the Council, the European Economic and Social Committee and the Committee of the Regions New European Bauhaus - from vision to implementation (</w:t>
      </w:r>
      <w:proofErr w:type="gramStart"/>
      <w:r w:rsidRPr="007801B2">
        <w:rPr>
          <w:rFonts w:ascii="Times New Roman" w:hAnsi="Times New Roman"/>
        </w:rPr>
        <w:t>COM</w:t>
      </w:r>
      <w:r w:rsidR="007801B2" w:rsidRPr="007801B2">
        <w:rPr>
          <w:rFonts w:ascii="Times New Roman" w:hAnsi="Times New Roman"/>
        </w:rPr>
        <w:t>(</w:t>
      </w:r>
      <w:proofErr w:type="gramEnd"/>
      <w:r w:rsidRPr="007801B2">
        <w:rPr>
          <w:rFonts w:ascii="Times New Roman" w:hAnsi="Times New Roman"/>
        </w:rPr>
        <w:t>2025</w:t>
      </w:r>
      <w:r w:rsidR="007801B2" w:rsidRPr="007801B2">
        <w:rPr>
          <w:rFonts w:ascii="Times New Roman" w:hAnsi="Times New Roman"/>
        </w:rPr>
        <w:t>)</w:t>
      </w:r>
      <w:r w:rsidRPr="007801B2">
        <w:rPr>
          <w:rFonts w:ascii="Times New Roman" w:hAnsi="Times New Roman"/>
        </w:rPr>
        <w:t xml:space="preserve">1026 final) </w:t>
      </w:r>
      <w:r w:rsidR="007801B2" w:rsidRPr="007801B2">
        <w:rPr>
          <w:rFonts w:ascii="Times New Roman" w:hAnsi="Times New Roman"/>
        </w:rPr>
        <w:t>(</w:t>
      </w:r>
      <w:hyperlink r:id="rId1" w:history="1">
        <w:r w:rsidR="007801B2" w:rsidRPr="007801B2">
          <w:rPr>
            <w:rStyle w:val="Hyperlink"/>
            <w:rFonts w:ascii="Times New Roman" w:hAnsi="Times New Roman"/>
          </w:rPr>
          <w:t>https://eur-lex.europa.eu/legal-content/EN/TXT/?uri=CELEX:52025DC1026&amp;qid=1782805014477</w:t>
        </w:r>
      </w:hyperlink>
      <w:r w:rsidR="007801B2" w:rsidRPr="007801B2">
        <w:rPr>
          <w:rFonts w:ascii="Times New Roman" w:hAnsi="Times New Roman"/>
        </w:rPr>
        <w:t>)</w:t>
      </w:r>
      <w:r w:rsidR="007801B2" w:rsidRPr="002E7D6C">
        <w:rPr>
          <w:rFonts w:ascii="Times New Roman" w:hAnsi="Times New Roman"/>
        </w:rPr>
        <w:t>.</w:t>
      </w:r>
      <w:r w:rsidRPr="007801B2">
        <w:rPr>
          <w:rFonts w:ascii="Times New Roman" w:hAnsi="Times New Roman"/>
        </w:rPr>
        <w:t xml:space="preserve"> </w:t>
      </w:r>
    </w:p>
  </w:footnote>
  <w:footnote w:id="2">
    <w:p w14:paraId="7E68C516" w14:textId="049BFE20" w:rsidR="00B47B0F" w:rsidRPr="009C7EF1" w:rsidRDefault="00B47B0F" w:rsidP="002E7D6C">
      <w:pPr>
        <w:pStyle w:val="FootnoteText"/>
        <w:widowControl w:val="0"/>
        <w:spacing w:after="0" w:line="240" w:lineRule="auto"/>
        <w:jc w:val="both"/>
        <w:rPr>
          <w:lang w:val="en-IE"/>
        </w:rPr>
      </w:pPr>
      <w:r w:rsidRPr="002E7D6C">
        <w:rPr>
          <w:rStyle w:val="FootnoteReference"/>
          <w:rFonts w:ascii="Times New Roman" w:hAnsi="Times New Roman"/>
        </w:rPr>
        <w:footnoteRef/>
      </w:r>
      <w:r w:rsidRPr="002E7D6C">
        <w:rPr>
          <w:rFonts w:ascii="Times New Roman" w:hAnsi="Times New Roman"/>
        </w:rPr>
        <w:t xml:space="preserve"> </w:t>
      </w:r>
      <w:r w:rsidR="007801B2" w:rsidRPr="002E7D6C">
        <w:rPr>
          <w:rFonts w:ascii="Times New Roman" w:hAnsi="Times New Roman"/>
        </w:rPr>
        <w:tab/>
      </w:r>
      <w:r w:rsidRPr="007801B2">
        <w:rPr>
          <w:rFonts w:ascii="Times New Roman" w:hAnsi="Times New Roman"/>
        </w:rPr>
        <w:t xml:space="preserve">Council Recommendation on the New European Bauhaus (9128/26) </w:t>
      </w:r>
      <w:hyperlink r:id="rId2" w:history="1">
        <w:r w:rsidRPr="007801B2">
          <w:rPr>
            <w:rStyle w:val="Hyperlink"/>
            <w:rFonts w:ascii="Times New Roman" w:hAnsi="Times New Roman"/>
          </w:rPr>
          <w:t>https://eur-lex.europa.eu/legal-content/EN/TXT/?uri=CONSIL:ST_9128_2026_INIT&amp;qid=1782804272513</w:t>
        </w:r>
      </w:hyperlink>
      <w:r w:rsidR="007801B2" w:rsidRPr="002E7D6C">
        <w:rPr>
          <w:rFonts w:ascii="Times New Roman" w:hAnsi="Times New Roman"/>
        </w:rPr>
        <w:t>.</w:t>
      </w:r>
      <w:r w:rsidRPr="0094037A">
        <w:rPr>
          <w:rFonts w:ascii="Times New Roman" w:hAnsi="Times New Roman"/>
        </w:rPr>
        <w:t xml:space="preserve"> </w:t>
      </w:r>
    </w:p>
  </w:footnote>
  <w:footnote w:id="3">
    <w:p w14:paraId="473C0BBD" w14:textId="51385E51" w:rsidR="00A426DD" w:rsidRPr="002E7D6C" w:rsidRDefault="00A426DD" w:rsidP="002E7D6C">
      <w:pPr>
        <w:pStyle w:val="FootnoteText"/>
        <w:widowControl w:val="0"/>
        <w:spacing w:after="0" w:line="240" w:lineRule="auto"/>
        <w:jc w:val="both"/>
        <w:rPr>
          <w:rFonts w:ascii="Times New Roman" w:hAnsi="Times New Roman"/>
        </w:rPr>
      </w:pPr>
      <w:r w:rsidRPr="002E7D6C">
        <w:rPr>
          <w:rStyle w:val="FootnoteReference"/>
          <w:rFonts w:ascii="Times New Roman" w:hAnsi="Times New Roman"/>
        </w:rPr>
        <w:footnoteRef/>
      </w:r>
      <w:r w:rsidRPr="002E7D6C">
        <w:rPr>
          <w:rFonts w:ascii="Times New Roman" w:hAnsi="Times New Roman"/>
        </w:rPr>
        <w:t xml:space="preserve"> </w:t>
      </w:r>
      <w:r w:rsidR="00512D32" w:rsidRPr="002E7D6C">
        <w:rPr>
          <w:rFonts w:ascii="Times New Roman" w:hAnsi="Times New Roman"/>
        </w:rPr>
        <w:tab/>
      </w:r>
      <w:hyperlink r:id="rId3" w:history="1">
        <w:r w:rsidR="00512D32" w:rsidRPr="002E7D6C">
          <w:rPr>
            <w:rStyle w:val="Hyperlink"/>
            <w:rFonts w:ascii="Times New Roman" w:hAnsi="Times New Roman"/>
          </w:rPr>
          <w:t>https://new-european-bauhaus.europa.eu/tools-and-resources/neb-academy_en</w:t>
        </w:r>
      </w:hyperlink>
      <w:r w:rsidR="00512D32" w:rsidRPr="002E7D6C">
        <w:rPr>
          <w:rFonts w:ascii="Times New Roman" w:hAnsi="Times New Roman"/>
        </w:rPr>
        <w:t>.</w:t>
      </w:r>
      <w:r w:rsidRPr="002E7D6C">
        <w:rPr>
          <w:rFonts w:ascii="Times New Roman" w:hAnsi="Times New Roman"/>
        </w:rPr>
        <w:t xml:space="preserve"> </w:t>
      </w:r>
    </w:p>
  </w:footnote>
  <w:footnote w:id="4">
    <w:p w14:paraId="0DC45BB9" w14:textId="2D26B16C" w:rsidR="008E0A0A" w:rsidRPr="00E97D4F" w:rsidRDefault="008E0A0A" w:rsidP="002E7D6C">
      <w:pPr>
        <w:pStyle w:val="FootnoteText"/>
        <w:widowControl w:val="0"/>
        <w:spacing w:after="0" w:line="240" w:lineRule="auto"/>
        <w:jc w:val="both"/>
        <w:rPr>
          <w:lang w:val="en-IE"/>
        </w:rPr>
      </w:pPr>
      <w:r w:rsidRPr="002E7D6C">
        <w:rPr>
          <w:rStyle w:val="FootnoteReference"/>
          <w:rFonts w:ascii="Times New Roman" w:hAnsi="Times New Roman"/>
        </w:rPr>
        <w:footnoteRef/>
      </w:r>
      <w:r w:rsidRPr="002E7D6C">
        <w:rPr>
          <w:rFonts w:ascii="Times New Roman" w:hAnsi="Times New Roman"/>
        </w:rPr>
        <w:t xml:space="preserve"> </w:t>
      </w:r>
      <w:r w:rsidR="00512D32" w:rsidRPr="002E7D6C">
        <w:rPr>
          <w:rFonts w:ascii="Times New Roman" w:hAnsi="Times New Roman"/>
        </w:rPr>
        <w:tab/>
      </w:r>
      <w:hyperlink r:id="rId4" w:history="1">
        <w:r w:rsidR="00512D32" w:rsidRPr="002E7D6C">
          <w:rPr>
            <w:rStyle w:val="Hyperlink"/>
            <w:rFonts w:ascii="Times New Roman" w:hAnsi="Times New Roman"/>
          </w:rPr>
          <w:t>https://new-european-bauhaus.europa.eu/tools-and-resources/neb-catalogue-blueprints-affordable-and-resilient-homes_en</w:t>
        </w:r>
      </w:hyperlink>
      <w:r w:rsidR="00512D32" w:rsidRPr="002E7D6C">
        <w:rPr>
          <w:rFonts w:ascii="Times New Roman" w:hAnsi="Times New Roman"/>
        </w:rPr>
        <w:t>.</w:t>
      </w:r>
      <w:r>
        <w:t xml:space="preserve"> </w:t>
      </w:r>
    </w:p>
  </w:footnote>
  <w:footnote w:id="5">
    <w:p w14:paraId="3EEAB5B2" w14:textId="60A5B7E9" w:rsidR="00B03F29" w:rsidRPr="002E7D6C" w:rsidRDefault="00B03F29" w:rsidP="002E7D6C">
      <w:pPr>
        <w:pStyle w:val="FootnoteText"/>
        <w:widowControl w:val="0"/>
        <w:spacing w:after="0" w:line="240" w:lineRule="auto"/>
        <w:jc w:val="both"/>
        <w:rPr>
          <w:rFonts w:ascii="Times New Roman" w:hAnsi="Times New Roman"/>
        </w:rPr>
      </w:pPr>
      <w:r w:rsidRPr="002E7D6C">
        <w:rPr>
          <w:rStyle w:val="FootnoteReference"/>
          <w:rFonts w:ascii="Times New Roman" w:hAnsi="Times New Roman"/>
        </w:rPr>
        <w:footnoteRef/>
      </w:r>
      <w:r w:rsidRPr="002E7D6C">
        <w:rPr>
          <w:rFonts w:ascii="Times New Roman" w:hAnsi="Times New Roman"/>
        </w:rPr>
        <w:t xml:space="preserve"> </w:t>
      </w:r>
      <w:r w:rsidR="00512D32" w:rsidRPr="002E7D6C">
        <w:rPr>
          <w:rFonts w:ascii="Times New Roman" w:hAnsi="Times New Roman"/>
        </w:rPr>
        <w:tab/>
      </w:r>
      <w:hyperlink r:id="rId5" w:history="1">
        <w:r w:rsidR="00512D32" w:rsidRPr="002E7D6C">
          <w:rPr>
            <w:rStyle w:val="Hyperlink"/>
            <w:rFonts w:ascii="Times New Roman" w:hAnsi="Times New Roman"/>
          </w:rPr>
          <w:t>https://nebjunction.eu/</w:t>
        </w:r>
      </w:hyperlink>
      <w:r w:rsidR="00512D32" w:rsidRPr="002E7D6C">
        <w:rPr>
          <w:rFonts w:ascii="Times New Roman" w:hAnsi="Times New Roman"/>
        </w:rPr>
        <w:t>.</w:t>
      </w:r>
      <w:r w:rsidR="0016401F" w:rsidRPr="002E7D6C">
        <w:rPr>
          <w:rFonts w:ascii="Times New Roman" w:hAnsi="Times New Roman"/>
        </w:rPr>
        <w:t xml:space="preserve"> </w:t>
      </w:r>
    </w:p>
  </w:footnote>
  <w:footnote w:id="6">
    <w:p w14:paraId="717707D6" w14:textId="5AD4FD20" w:rsidR="00B47B0F" w:rsidRPr="005F0BA8" w:rsidRDefault="00B47B0F" w:rsidP="002E7D6C">
      <w:pPr>
        <w:pStyle w:val="FootnoteText"/>
        <w:widowControl w:val="0"/>
        <w:spacing w:after="0" w:line="240" w:lineRule="auto"/>
        <w:jc w:val="both"/>
        <w:rPr>
          <w:lang w:val="en-IE"/>
        </w:rPr>
      </w:pPr>
      <w:r w:rsidRPr="002E7D6C">
        <w:rPr>
          <w:rStyle w:val="FootnoteReference"/>
          <w:rFonts w:ascii="Times New Roman" w:hAnsi="Times New Roman"/>
        </w:rPr>
        <w:footnoteRef/>
      </w:r>
      <w:r w:rsidRPr="002E7D6C">
        <w:rPr>
          <w:rFonts w:ascii="Times New Roman" w:hAnsi="Times New Roman"/>
        </w:rPr>
        <w:t xml:space="preserve"> </w:t>
      </w:r>
      <w:r w:rsidR="00512D32" w:rsidRPr="002E7D6C">
        <w:rPr>
          <w:rFonts w:ascii="Times New Roman" w:hAnsi="Times New Roman"/>
        </w:rPr>
        <w:tab/>
      </w:r>
      <w:hyperlink r:id="rId6" w:history="1">
        <w:r w:rsidR="00512D32" w:rsidRPr="002E7D6C">
          <w:rPr>
            <w:rStyle w:val="Hyperlink"/>
            <w:rFonts w:ascii="Times New Roman" w:hAnsi="Times New Roman"/>
          </w:rPr>
          <w:t>https://youth.europa.eu/discovereu/new-european-bauhaus-routes_en</w:t>
        </w:r>
      </w:hyperlink>
      <w:r w:rsidR="00512D32" w:rsidRPr="002E7D6C">
        <w:rPr>
          <w:rFonts w:ascii="Times New Roman" w:hAnsi="Times New Roman"/>
        </w:rPr>
        <w:t>.</w:t>
      </w:r>
      <w:r>
        <w:t xml:space="preserve"> </w:t>
      </w:r>
    </w:p>
  </w:footnote>
  <w:footnote w:id="7">
    <w:p w14:paraId="7EA1BBBF" w14:textId="01EF9BA3" w:rsidR="004E0103" w:rsidRPr="002E7D6C" w:rsidRDefault="004E0103" w:rsidP="002E7D6C">
      <w:pPr>
        <w:pStyle w:val="FootnoteText"/>
        <w:widowControl w:val="0"/>
        <w:spacing w:after="0" w:line="240" w:lineRule="auto"/>
        <w:jc w:val="both"/>
        <w:rPr>
          <w:rFonts w:ascii="Times New Roman" w:hAnsi="Times New Roman"/>
        </w:rPr>
      </w:pPr>
      <w:r w:rsidRPr="002E7D6C">
        <w:rPr>
          <w:rStyle w:val="FootnoteReference"/>
          <w:rFonts w:ascii="Times New Roman" w:hAnsi="Times New Roman"/>
        </w:rPr>
        <w:footnoteRef/>
      </w:r>
      <w:r w:rsidRPr="002E7D6C">
        <w:rPr>
          <w:rFonts w:ascii="Times New Roman" w:hAnsi="Times New Roman"/>
        </w:rPr>
        <w:t xml:space="preserve"> </w:t>
      </w:r>
      <w:r w:rsidR="00512D32" w:rsidRPr="002E7D6C">
        <w:rPr>
          <w:rFonts w:ascii="Times New Roman" w:hAnsi="Times New Roman"/>
        </w:rPr>
        <w:tab/>
      </w:r>
      <w:r w:rsidRPr="002E7D6C">
        <w:rPr>
          <w:rFonts w:ascii="Times New Roman" w:hAnsi="Times New Roman"/>
        </w:rPr>
        <w:t xml:space="preserve">See for instance </w:t>
      </w:r>
      <w:hyperlink r:id="rId7" w:history="1">
        <w:r w:rsidRPr="002E7D6C">
          <w:rPr>
            <w:rStyle w:val="Hyperlink"/>
            <w:rFonts w:ascii="Times New Roman" w:hAnsi="Times New Roman"/>
          </w:rPr>
          <w:t xml:space="preserve">Home | </w:t>
        </w:r>
        <w:proofErr w:type="spellStart"/>
        <w:r w:rsidRPr="002E7D6C">
          <w:rPr>
            <w:rStyle w:val="Hyperlink"/>
            <w:rFonts w:ascii="Times New Roman" w:hAnsi="Times New Roman"/>
          </w:rPr>
          <w:t>DigiNEB</w:t>
        </w:r>
        <w:proofErr w:type="spellEnd"/>
      </w:hyperlink>
      <w:r w:rsidR="00512D32" w:rsidRPr="002E7D6C">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A1AC8" w14:textId="77777777" w:rsidR="00955D2A" w:rsidRDefault="00955D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02C85" w14:textId="77777777" w:rsidR="00955D2A" w:rsidRDefault="00955D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6E303" w14:textId="77777777" w:rsidR="00955D2A" w:rsidRDefault="00955D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NotTrackMoves/>
  <w:defaultTabStop w:val="720"/>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LW_DocType" w:val="NORMAL"/>
  </w:docVars>
  <w:rsids>
    <w:rsidRoot w:val="00077C4F"/>
    <w:rsid w:val="00012A37"/>
    <w:rsid w:val="00013586"/>
    <w:rsid w:val="00017D1B"/>
    <w:rsid w:val="00025C96"/>
    <w:rsid w:val="000348A5"/>
    <w:rsid w:val="000404D7"/>
    <w:rsid w:val="00046B15"/>
    <w:rsid w:val="00050DC7"/>
    <w:rsid w:val="00061541"/>
    <w:rsid w:val="00061C2B"/>
    <w:rsid w:val="000701E2"/>
    <w:rsid w:val="00076109"/>
    <w:rsid w:val="00077C4F"/>
    <w:rsid w:val="00093BE1"/>
    <w:rsid w:val="000C3E3F"/>
    <w:rsid w:val="000C5121"/>
    <w:rsid w:val="000C66BA"/>
    <w:rsid w:val="000C7F38"/>
    <w:rsid w:val="000D428C"/>
    <w:rsid w:val="000F0274"/>
    <w:rsid w:val="000F5FD8"/>
    <w:rsid w:val="00103D96"/>
    <w:rsid w:val="00107C3C"/>
    <w:rsid w:val="0011130A"/>
    <w:rsid w:val="001167C0"/>
    <w:rsid w:val="00135C2A"/>
    <w:rsid w:val="0015038B"/>
    <w:rsid w:val="00153114"/>
    <w:rsid w:val="0016361E"/>
    <w:rsid w:val="0016401F"/>
    <w:rsid w:val="001737B6"/>
    <w:rsid w:val="00174FF1"/>
    <w:rsid w:val="00180F28"/>
    <w:rsid w:val="00186AC5"/>
    <w:rsid w:val="0018792E"/>
    <w:rsid w:val="001A11AB"/>
    <w:rsid w:val="001A6B28"/>
    <w:rsid w:val="001B0E0B"/>
    <w:rsid w:val="001B11BA"/>
    <w:rsid w:val="001B1C71"/>
    <w:rsid w:val="001B3015"/>
    <w:rsid w:val="001C4138"/>
    <w:rsid w:val="001F2EC6"/>
    <w:rsid w:val="001F3C03"/>
    <w:rsid w:val="001F494F"/>
    <w:rsid w:val="001F65D0"/>
    <w:rsid w:val="001F660A"/>
    <w:rsid w:val="00204F06"/>
    <w:rsid w:val="00210E89"/>
    <w:rsid w:val="002134FF"/>
    <w:rsid w:val="002156CA"/>
    <w:rsid w:val="002167B4"/>
    <w:rsid w:val="00217E59"/>
    <w:rsid w:val="002204C0"/>
    <w:rsid w:val="002217D6"/>
    <w:rsid w:val="00225FD8"/>
    <w:rsid w:val="00240F8F"/>
    <w:rsid w:val="002438E0"/>
    <w:rsid w:val="00253FBB"/>
    <w:rsid w:val="00286929"/>
    <w:rsid w:val="0029560D"/>
    <w:rsid w:val="002A2E05"/>
    <w:rsid w:val="002A3907"/>
    <w:rsid w:val="002A6F11"/>
    <w:rsid w:val="002B3A29"/>
    <w:rsid w:val="002B640C"/>
    <w:rsid w:val="002C6FCE"/>
    <w:rsid w:val="002D33BA"/>
    <w:rsid w:val="002D7BE9"/>
    <w:rsid w:val="002E1F03"/>
    <w:rsid w:val="002E2F94"/>
    <w:rsid w:val="002E7D6C"/>
    <w:rsid w:val="002F03FA"/>
    <w:rsid w:val="002F66B6"/>
    <w:rsid w:val="002F7437"/>
    <w:rsid w:val="003004D2"/>
    <w:rsid w:val="003008AA"/>
    <w:rsid w:val="00316F2C"/>
    <w:rsid w:val="003176C7"/>
    <w:rsid w:val="003220E7"/>
    <w:rsid w:val="00324DA2"/>
    <w:rsid w:val="00325FCA"/>
    <w:rsid w:val="00331FC1"/>
    <w:rsid w:val="003340FC"/>
    <w:rsid w:val="003349A3"/>
    <w:rsid w:val="003630F9"/>
    <w:rsid w:val="00365D1D"/>
    <w:rsid w:val="00367C08"/>
    <w:rsid w:val="003722E0"/>
    <w:rsid w:val="00374A83"/>
    <w:rsid w:val="00374C59"/>
    <w:rsid w:val="00377967"/>
    <w:rsid w:val="00384D28"/>
    <w:rsid w:val="00386143"/>
    <w:rsid w:val="00386F25"/>
    <w:rsid w:val="0039066F"/>
    <w:rsid w:val="00391B54"/>
    <w:rsid w:val="003953ED"/>
    <w:rsid w:val="003954BE"/>
    <w:rsid w:val="003B274B"/>
    <w:rsid w:val="003B58DC"/>
    <w:rsid w:val="003C733E"/>
    <w:rsid w:val="003E590C"/>
    <w:rsid w:val="003F0E2B"/>
    <w:rsid w:val="003F6411"/>
    <w:rsid w:val="003F686E"/>
    <w:rsid w:val="00412327"/>
    <w:rsid w:val="00442552"/>
    <w:rsid w:val="00453265"/>
    <w:rsid w:val="00455A1C"/>
    <w:rsid w:val="004615D6"/>
    <w:rsid w:val="00466AA8"/>
    <w:rsid w:val="004675B5"/>
    <w:rsid w:val="00467707"/>
    <w:rsid w:val="004770D6"/>
    <w:rsid w:val="00481985"/>
    <w:rsid w:val="0049246C"/>
    <w:rsid w:val="004A4E30"/>
    <w:rsid w:val="004A7932"/>
    <w:rsid w:val="004A7996"/>
    <w:rsid w:val="004B059A"/>
    <w:rsid w:val="004B3094"/>
    <w:rsid w:val="004C7604"/>
    <w:rsid w:val="004D1815"/>
    <w:rsid w:val="004E0103"/>
    <w:rsid w:val="004F1D11"/>
    <w:rsid w:val="004F6117"/>
    <w:rsid w:val="004F63F1"/>
    <w:rsid w:val="004F651E"/>
    <w:rsid w:val="00501067"/>
    <w:rsid w:val="00505A3B"/>
    <w:rsid w:val="00512771"/>
    <w:rsid w:val="00512D32"/>
    <w:rsid w:val="00515220"/>
    <w:rsid w:val="00516A23"/>
    <w:rsid w:val="0052596B"/>
    <w:rsid w:val="00527E1E"/>
    <w:rsid w:val="0054574E"/>
    <w:rsid w:val="00550F13"/>
    <w:rsid w:val="005520FE"/>
    <w:rsid w:val="00554137"/>
    <w:rsid w:val="00554D8D"/>
    <w:rsid w:val="00555EBE"/>
    <w:rsid w:val="00565DA7"/>
    <w:rsid w:val="00567486"/>
    <w:rsid w:val="00573835"/>
    <w:rsid w:val="0057784F"/>
    <w:rsid w:val="00581306"/>
    <w:rsid w:val="0059249F"/>
    <w:rsid w:val="00592681"/>
    <w:rsid w:val="005929AC"/>
    <w:rsid w:val="00593628"/>
    <w:rsid w:val="00595A62"/>
    <w:rsid w:val="005B42C5"/>
    <w:rsid w:val="005B4C47"/>
    <w:rsid w:val="005C3105"/>
    <w:rsid w:val="005D1052"/>
    <w:rsid w:val="005F0BA8"/>
    <w:rsid w:val="005F2B04"/>
    <w:rsid w:val="005F66F6"/>
    <w:rsid w:val="00644255"/>
    <w:rsid w:val="0065779A"/>
    <w:rsid w:val="00666C77"/>
    <w:rsid w:val="006806AF"/>
    <w:rsid w:val="00686559"/>
    <w:rsid w:val="00692C2F"/>
    <w:rsid w:val="00695797"/>
    <w:rsid w:val="00696A5E"/>
    <w:rsid w:val="006A02AF"/>
    <w:rsid w:val="006A510F"/>
    <w:rsid w:val="006A69E0"/>
    <w:rsid w:val="006B3B69"/>
    <w:rsid w:val="006C4686"/>
    <w:rsid w:val="006C7F4E"/>
    <w:rsid w:val="006D4257"/>
    <w:rsid w:val="006F61F5"/>
    <w:rsid w:val="007031FF"/>
    <w:rsid w:val="00714B33"/>
    <w:rsid w:val="00732658"/>
    <w:rsid w:val="00734613"/>
    <w:rsid w:val="007356B2"/>
    <w:rsid w:val="00751910"/>
    <w:rsid w:val="00751E60"/>
    <w:rsid w:val="007544D9"/>
    <w:rsid w:val="007547B5"/>
    <w:rsid w:val="00767ADD"/>
    <w:rsid w:val="00772242"/>
    <w:rsid w:val="007801B2"/>
    <w:rsid w:val="007811A3"/>
    <w:rsid w:val="00784897"/>
    <w:rsid w:val="00795A9E"/>
    <w:rsid w:val="00795F2B"/>
    <w:rsid w:val="007A0A7E"/>
    <w:rsid w:val="007A606D"/>
    <w:rsid w:val="007A659A"/>
    <w:rsid w:val="007B441F"/>
    <w:rsid w:val="007C1CD6"/>
    <w:rsid w:val="007C2214"/>
    <w:rsid w:val="007C6586"/>
    <w:rsid w:val="007D0D45"/>
    <w:rsid w:val="007E0EDE"/>
    <w:rsid w:val="00802814"/>
    <w:rsid w:val="00804C2D"/>
    <w:rsid w:val="00807B48"/>
    <w:rsid w:val="00807CF7"/>
    <w:rsid w:val="008135CA"/>
    <w:rsid w:val="008147FE"/>
    <w:rsid w:val="0081584F"/>
    <w:rsid w:val="00816016"/>
    <w:rsid w:val="0082587D"/>
    <w:rsid w:val="008351FE"/>
    <w:rsid w:val="00841C46"/>
    <w:rsid w:val="00847046"/>
    <w:rsid w:val="00857AD3"/>
    <w:rsid w:val="00861F89"/>
    <w:rsid w:val="008703BF"/>
    <w:rsid w:val="00874E3F"/>
    <w:rsid w:val="008750B3"/>
    <w:rsid w:val="008850F3"/>
    <w:rsid w:val="00885D52"/>
    <w:rsid w:val="0088629E"/>
    <w:rsid w:val="00891ABB"/>
    <w:rsid w:val="008925CE"/>
    <w:rsid w:val="00894DA8"/>
    <w:rsid w:val="008A04B0"/>
    <w:rsid w:val="008A4A11"/>
    <w:rsid w:val="008C4D41"/>
    <w:rsid w:val="008C5583"/>
    <w:rsid w:val="008D7D72"/>
    <w:rsid w:val="008E0A0A"/>
    <w:rsid w:val="008F21F3"/>
    <w:rsid w:val="008F2953"/>
    <w:rsid w:val="008F7A60"/>
    <w:rsid w:val="00905783"/>
    <w:rsid w:val="00911157"/>
    <w:rsid w:val="009175C1"/>
    <w:rsid w:val="0093230A"/>
    <w:rsid w:val="009339CA"/>
    <w:rsid w:val="00934604"/>
    <w:rsid w:val="0094037A"/>
    <w:rsid w:val="00953016"/>
    <w:rsid w:val="00955D2A"/>
    <w:rsid w:val="00956A62"/>
    <w:rsid w:val="00962439"/>
    <w:rsid w:val="0096676E"/>
    <w:rsid w:val="00966EB1"/>
    <w:rsid w:val="00967F95"/>
    <w:rsid w:val="009706AE"/>
    <w:rsid w:val="009743F2"/>
    <w:rsid w:val="00981F45"/>
    <w:rsid w:val="00984958"/>
    <w:rsid w:val="00987C0A"/>
    <w:rsid w:val="00994D12"/>
    <w:rsid w:val="009972E6"/>
    <w:rsid w:val="009A3524"/>
    <w:rsid w:val="009A3A74"/>
    <w:rsid w:val="009B128B"/>
    <w:rsid w:val="009C5AD5"/>
    <w:rsid w:val="009C7EF1"/>
    <w:rsid w:val="009D1841"/>
    <w:rsid w:val="009D7C52"/>
    <w:rsid w:val="00A0506B"/>
    <w:rsid w:val="00A06BC8"/>
    <w:rsid w:val="00A1289F"/>
    <w:rsid w:val="00A16F07"/>
    <w:rsid w:val="00A30D65"/>
    <w:rsid w:val="00A32DD9"/>
    <w:rsid w:val="00A426DD"/>
    <w:rsid w:val="00A42E0F"/>
    <w:rsid w:val="00A62C7B"/>
    <w:rsid w:val="00A67D47"/>
    <w:rsid w:val="00A74EC0"/>
    <w:rsid w:val="00A7709A"/>
    <w:rsid w:val="00A8674E"/>
    <w:rsid w:val="00A90407"/>
    <w:rsid w:val="00A92463"/>
    <w:rsid w:val="00A92C32"/>
    <w:rsid w:val="00AA0D0B"/>
    <w:rsid w:val="00AB1BBB"/>
    <w:rsid w:val="00AB51B6"/>
    <w:rsid w:val="00AD298A"/>
    <w:rsid w:val="00AE1842"/>
    <w:rsid w:val="00AE3C7C"/>
    <w:rsid w:val="00AF7BD8"/>
    <w:rsid w:val="00B00443"/>
    <w:rsid w:val="00B01C00"/>
    <w:rsid w:val="00B0257A"/>
    <w:rsid w:val="00B03F29"/>
    <w:rsid w:val="00B10B1C"/>
    <w:rsid w:val="00B16F20"/>
    <w:rsid w:val="00B2127F"/>
    <w:rsid w:val="00B2774A"/>
    <w:rsid w:val="00B31306"/>
    <w:rsid w:val="00B35477"/>
    <w:rsid w:val="00B42814"/>
    <w:rsid w:val="00B47B0F"/>
    <w:rsid w:val="00B62518"/>
    <w:rsid w:val="00B80C0D"/>
    <w:rsid w:val="00B83936"/>
    <w:rsid w:val="00B86C40"/>
    <w:rsid w:val="00B92B7C"/>
    <w:rsid w:val="00BA4E24"/>
    <w:rsid w:val="00BB01A4"/>
    <w:rsid w:val="00BC50B5"/>
    <w:rsid w:val="00BC5E38"/>
    <w:rsid w:val="00BD481B"/>
    <w:rsid w:val="00BD5B79"/>
    <w:rsid w:val="00BD6EB7"/>
    <w:rsid w:val="00BE28CA"/>
    <w:rsid w:val="00BF0D8B"/>
    <w:rsid w:val="00BF43C7"/>
    <w:rsid w:val="00C05A26"/>
    <w:rsid w:val="00C10163"/>
    <w:rsid w:val="00C14173"/>
    <w:rsid w:val="00C37BDD"/>
    <w:rsid w:val="00C5166D"/>
    <w:rsid w:val="00C5365E"/>
    <w:rsid w:val="00C54D27"/>
    <w:rsid w:val="00C76EEB"/>
    <w:rsid w:val="00C809EB"/>
    <w:rsid w:val="00C92838"/>
    <w:rsid w:val="00C97976"/>
    <w:rsid w:val="00CA5525"/>
    <w:rsid w:val="00CA7C08"/>
    <w:rsid w:val="00CB0554"/>
    <w:rsid w:val="00CD067D"/>
    <w:rsid w:val="00CD2E79"/>
    <w:rsid w:val="00CE43F4"/>
    <w:rsid w:val="00CF141E"/>
    <w:rsid w:val="00CF51B6"/>
    <w:rsid w:val="00D01F5A"/>
    <w:rsid w:val="00D054F9"/>
    <w:rsid w:val="00D1027D"/>
    <w:rsid w:val="00D11E5F"/>
    <w:rsid w:val="00D1323B"/>
    <w:rsid w:val="00D1716E"/>
    <w:rsid w:val="00D2185C"/>
    <w:rsid w:val="00D22905"/>
    <w:rsid w:val="00D272B5"/>
    <w:rsid w:val="00D3100D"/>
    <w:rsid w:val="00D34EAE"/>
    <w:rsid w:val="00D47711"/>
    <w:rsid w:val="00D51F26"/>
    <w:rsid w:val="00D543B0"/>
    <w:rsid w:val="00D61743"/>
    <w:rsid w:val="00D63C85"/>
    <w:rsid w:val="00D63E47"/>
    <w:rsid w:val="00D64E05"/>
    <w:rsid w:val="00D85A09"/>
    <w:rsid w:val="00D92FD3"/>
    <w:rsid w:val="00D93118"/>
    <w:rsid w:val="00DA1B22"/>
    <w:rsid w:val="00DA3B6E"/>
    <w:rsid w:val="00DA5167"/>
    <w:rsid w:val="00DA77B8"/>
    <w:rsid w:val="00DB081C"/>
    <w:rsid w:val="00DB6743"/>
    <w:rsid w:val="00DB7581"/>
    <w:rsid w:val="00DC15BA"/>
    <w:rsid w:val="00DC70C1"/>
    <w:rsid w:val="00DD08D4"/>
    <w:rsid w:val="00DD74FC"/>
    <w:rsid w:val="00DE4425"/>
    <w:rsid w:val="00E0382B"/>
    <w:rsid w:val="00E03F24"/>
    <w:rsid w:val="00E1698E"/>
    <w:rsid w:val="00E24582"/>
    <w:rsid w:val="00E43324"/>
    <w:rsid w:val="00E56E4F"/>
    <w:rsid w:val="00E755D8"/>
    <w:rsid w:val="00E83C12"/>
    <w:rsid w:val="00E8465A"/>
    <w:rsid w:val="00E904C8"/>
    <w:rsid w:val="00E9119A"/>
    <w:rsid w:val="00E95DDD"/>
    <w:rsid w:val="00E97023"/>
    <w:rsid w:val="00E97D4F"/>
    <w:rsid w:val="00EA0E3A"/>
    <w:rsid w:val="00EA1BBF"/>
    <w:rsid w:val="00EA3F60"/>
    <w:rsid w:val="00EA4082"/>
    <w:rsid w:val="00EB29A9"/>
    <w:rsid w:val="00EB4BC1"/>
    <w:rsid w:val="00EB77D2"/>
    <w:rsid w:val="00ED44CB"/>
    <w:rsid w:val="00EE2F7D"/>
    <w:rsid w:val="00EF5A69"/>
    <w:rsid w:val="00F00FCA"/>
    <w:rsid w:val="00F01C51"/>
    <w:rsid w:val="00F06D40"/>
    <w:rsid w:val="00F10E78"/>
    <w:rsid w:val="00F152FB"/>
    <w:rsid w:val="00F1542D"/>
    <w:rsid w:val="00F20609"/>
    <w:rsid w:val="00F23859"/>
    <w:rsid w:val="00F316C8"/>
    <w:rsid w:val="00F40FB5"/>
    <w:rsid w:val="00F51D0C"/>
    <w:rsid w:val="00F632DE"/>
    <w:rsid w:val="00F735E4"/>
    <w:rsid w:val="00F7362B"/>
    <w:rsid w:val="00F94089"/>
    <w:rsid w:val="00FA0DD8"/>
    <w:rsid w:val="00FA3310"/>
    <w:rsid w:val="00FA4507"/>
    <w:rsid w:val="00FB7834"/>
    <w:rsid w:val="00FD1535"/>
    <w:rsid w:val="00FD4B6A"/>
    <w:rsid w:val="00FF03A8"/>
    <w:rsid w:val="00FF63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DBEE9"/>
  <w15:chartTrackingRefBased/>
  <w15:docId w15:val="{8507FFFC-2A3B-4044-A0CA-1A0D8E943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C7EF1"/>
    <w:rPr>
      <w:sz w:val="20"/>
      <w:szCs w:val="20"/>
    </w:rPr>
  </w:style>
  <w:style w:type="character" w:customStyle="1" w:styleId="FootnoteTextChar">
    <w:name w:val="Footnote Text Char"/>
    <w:link w:val="FootnoteText"/>
    <w:uiPriority w:val="99"/>
    <w:semiHidden/>
    <w:rsid w:val="009C7EF1"/>
    <w:rPr>
      <w:lang w:eastAsia="en-US"/>
    </w:rPr>
  </w:style>
  <w:style w:type="character" w:styleId="FootnoteReference">
    <w:name w:val="footnote reference"/>
    <w:uiPriority w:val="99"/>
    <w:semiHidden/>
    <w:unhideWhenUsed/>
    <w:rsid w:val="009C7EF1"/>
    <w:rPr>
      <w:vertAlign w:val="superscript"/>
    </w:rPr>
  </w:style>
  <w:style w:type="character" w:styleId="Hyperlink">
    <w:name w:val="Hyperlink"/>
    <w:uiPriority w:val="99"/>
    <w:unhideWhenUsed/>
    <w:rsid w:val="009C7EF1"/>
    <w:rPr>
      <w:color w:val="0563C1"/>
      <w:u w:val="single"/>
    </w:rPr>
  </w:style>
  <w:style w:type="character" w:styleId="UnresolvedMention">
    <w:name w:val="Unresolved Mention"/>
    <w:uiPriority w:val="99"/>
    <w:semiHidden/>
    <w:unhideWhenUsed/>
    <w:rsid w:val="009C7EF1"/>
    <w:rPr>
      <w:color w:val="605E5C"/>
      <w:shd w:val="clear" w:color="auto" w:fill="E1DFDD"/>
    </w:rPr>
  </w:style>
  <w:style w:type="character" w:styleId="CommentReference">
    <w:name w:val="annotation reference"/>
    <w:uiPriority w:val="99"/>
    <w:semiHidden/>
    <w:unhideWhenUsed/>
    <w:rsid w:val="00174FF1"/>
    <w:rPr>
      <w:sz w:val="16"/>
      <w:szCs w:val="16"/>
    </w:rPr>
  </w:style>
  <w:style w:type="paragraph" w:styleId="CommentText">
    <w:name w:val="annotation text"/>
    <w:basedOn w:val="Normal"/>
    <w:link w:val="CommentTextChar"/>
    <w:uiPriority w:val="99"/>
    <w:unhideWhenUsed/>
    <w:rsid w:val="00174FF1"/>
    <w:rPr>
      <w:sz w:val="20"/>
      <w:szCs w:val="20"/>
    </w:rPr>
  </w:style>
  <w:style w:type="character" w:customStyle="1" w:styleId="CommentTextChar">
    <w:name w:val="Comment Text Char"/>
    <w:link w:val="CommentText"/>
    <w:uiPriority w:val="99"/>
    <w:rsid w:val="00174FF1"/>
    <w:rPr>
      <w:lang w:eastAsia="en-US"/>
    </w:rPr>
  </w:style>
  <w:style w:type="paragraph" w:styleId="CommentSubject">
    <w:name w:val="annotation subject"/>
    <w:basedOn w:val="CommentText"/>
    <w:next w:val="CommentText"/>
    <w:link w:val="CommentSubjectChar"/>
    <w:uiPriority w:val="99"/>
    <w:semiHidden/>
    <w:unhideWhenUsed/>
    <w:rsid w:val="00174FF1"/>
    <w:rPr>
      <w:b/>
      <w:bCs/>
    </w:rPr>
  </w:style>
  <w:style w:type="character" w:customStyle="1" w:styleId="CommentSubjectChar">
    <w:name w:val="Comment Subject Char"/>
    <w:link w:val="CommentSubject"/>
    <w:uiPriority w:val="99"/>
    <w:semiHidden/>
    <w:rsid w:val="00174FF1"/>
    <w:rPr>
      <w:b/>
      <w:bCs/>
      <w:lang w:eastAsia="en-US"/>
    </w:rPr>
  </w:style>
  <w:style w:type="paragraph" w:styleId="Header">
    <w:name w:val="header"/>
    <w:basedOn w:val="Normal"/>
    <w:link w:val="HeaderChar"/>
    <w:uiPriority w:val="99"/>
    <w:unhideWhenUsed/>
    <w:rsid w:val="00C809EB"/>
    <w:pPr>
      <w:tabs>
        <w:tab w:val="center" w:pos="4513"/>
        <w:tab w:val="right" w:pos="9026"/>
      </w:tabs>
    </w:pPr>
  </w:style>
  <w:style w:type="character" w:customStyle="1" w:styleId="HeaderChar">
    <w:name w:val="Header Char"/>
    <w:link w:val="Header"/>
    <w:uiPriority w:val="99"/>
    <w:rsid w:val="00C809EB"/>
    <w:rPr>
      <w:sz w:val="22"/>
      <w:szCs w:val="22"/>
      <w:lang w:val="en-GB"/>
    </w:rPr>
  </w:style>
  <w:style w:type="paragraph" w:styleId="Footer">
    <w:name w:val="footer"/>
    <w:basedOn w:val="Normal"/>
    <w:link w:val="FooterChar"/>
    <w:uiPriority w:val="99"/>
    <w:unhideWhenUsed/>
    <w:rsid w:val="00C809EB"/>
    <w:pPr>
      <w:tabs>
        <w:tab w:val="center" w:pos="4513"/>
        <w:tab w:val="right" w:pos="9026"/>
      </w:tabs>
    </w:pPr>
  </w:style>
  <w:style w:type="character" w:customStyle="1" w:styleId="FooterChar">
    <w:name w:val="Footer Char"/>
    <w:link w:val="Footer"/>
    <w:uiPriority w:val="99"/>
    <w:rsid w:val="00C809EB"/>
    <w:rPr>
      <w:sz w:val="22"/>
      <w:szCs w:val="22"/>
      <w:lang w:val="en-GB"/>
    </w:rPr>
  </w:style>
  <w:style w:type="paragraph" w:styleId="Revision">
    <w:name w:val="Revision"/>
    <w:hidden/>
    <w:uiPriority w:val="99"/>
    <w:semiHidden/>
    <w:rsid w:val="00857AD3"/>
    <w:rPr>
      <w:sz w:val="22"/>
      <w:szCs w:val="22"/>
      <w:lang w:val="en-GB"/>
    </w:rPr>
  </w:style>
  <w:style w:type="paragraph" w:styleId="EndnoteText">
    <w:name w:val="endnote text"/>
    <w:basedOn w:val="Normal"/>
    <w:link w:val="EndnoteTextChar"/>
    <w:uiPriority w:val="99"/>
    <w:semiHidden/>
    <w:unhideWhenUsed/>
    <w:rsid w:val="002E1F03"/>
    <w:rPr>
      <w:sz w:val="20"/>
      <w:szCs w:val="20"/>
    </w:rPr>
  </w:style>
  <w:style w:type="character" w:customStyle="1" w:styleId="EndnoteTextChar">
    <w:name w:val="Endnote Text Char"/>
    <w:link w:val="EndnoteText"/>
    <w:uiPriority w:val="99"/>
    <w:semiHidden/>
    <w:rsid w:val="002E1F03"/>
    <w:rPr>
      <w:lang w:val="en-GB"/>
    </w:rPr>
  </w:style>
  <w:style w:type="character" w:styleId="EndnoteReference">
    <w:name w:val="endnote reference"/>
    <w:uiPriority w:val="99"/>
    <w:semiHidden/>
    <w:unhideWhenUsed/>
    <w:rsid w:val="002E1F0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006390">
      <w:bodyDiv w:val="1"/>
      <w:marLeft w:val="0"/>
      <w:marRight w:val="0"/>
      <w:marTop w:val="0"/>
      <w:marBottom w:val="0"/>
      <w:divBdr>
        <w:top w:val="none" w:sz="0" w:space="0" w:color="auto"/>
        <w:left w:val="none" w:sz="0" w:space="0" w:color="auto"/>
        <w:bottom w:val="none" w:sz="0" w:space="0" w:color="auto"/>
        <w:right w:val="none" w:sz="0" w:space="0" w:color="auto"/>
      </w:divBdr>
    </w:div>
    <w:div w:id="598833213">
      <w:bodyDiv w:val="1"/>
      <w:marLeft w:val="0"/>
      <w:marRight w:val="0"/>
      <w:marTop w:val="0"/>
      <w:marBottom w:val="0"/>
      <w:divBdr>
        <w:top w:val="none" w:sz="0" w:space="0" w:color="auto"/>
        <w:left w:val="none" w:sz="0" w:space="0" w:color="auto"/>
        <w:bottom w:val="none" w:sz="0" w:space="0" w:color="auto"/>
        <w:right w:val="none" w:sz="0" w:space="0" w:color="auto"/>
      </w:divBdr>
    </w:div>
    <w:div w:id="696274536">
      <w:bodyDiv w:val="1"/>
      <w:marLeft w:val="0"/>
      <w:marRight w:val="0"/>
      <w:marTop w:val="0"/>
      <w:marBottom w:val="0"/>
      <w:divBdr>
        <w:top w:val="none" w:sz="0" w:space="0" w:color="auto"/>
        <w:left w:val="none" w:sz="0" w:space="0" w:color="auto"/>
        <w:bottom w:val="none" w:sz="0" w:space="0" w:color="auto"/>
        <w:right w:val="none" w:sz="0" w:space="0" w:color="auto"/>
      </w:divBdr>
    </w:div>
    <w:div w:id="988486389">
      <w:bodyDiv w:val="1"/>
      <w:marLeft w:val="0"/>
      <w:marRight w:val="0"/>
      <w:marTop w:val="0"/>
      <w:marBottom w:val="0"/>
      <w:divBdr>
        <w:top w:val="none" w:sz="0" w:space="0" w:color="auto"/>
        <w:left w:val="none" w:sz="0" w:space="0" w:color="auto"/>
        <w:bottom w:val="none" w:sz="0" w:space="0" w:color="auto"/>
        <w:right w:val="none" w:sz="0" w:space="0" w:color="auto"/>
      </w:divBdr>
      <w:divsChild>
        <w:div w:id="199321871">
          <w:marLeft w:val="0"/>
          <w:marRight w:val="0"/>
          <w:marTop w:val="0"/>
          <w:marBottom w:val="0"/>
          <w:divBdr>
            <w:top w:val="none" w:sz="0" w:space="0" w:color="auto"/>
            <w:left w:val="none" w:sz="0" w:space="0" w:color="auto"/>
            <w:bottom w:val="none" w:sz="0" w:space="0" w:color="auto"/>
            <w:right w:val="none" w:sz="0" w:space="0" w:color="auto"/>
          </w:divBdr>
        </w:div>
        <w:div w:id="242764730">
          <w:marLeft w:val="0"/>
          <w:marRight w:val="0"/>
          <w:marTop w:val="0"/>
          <w:marBottom w:val="0"/>
          <w:divBdr>
            <w:top w:val="none" w:sz="0" w:space="0" w:color="auto"/>
            <w:left w:val="none" w:sz="0" w:space="0" w:color="auto"/>
            <w:bottom w:val="none" w:sz="0" w:space="0" w:color="auto"/>
            <w:right w:val="none" w:sz="0" w:space="0" w:color="auto"/>
          </w:divBdr>
        </w:div>
        <w:div w:id="387531665">
          <w:marLeft w:val="0"/>
          <w:marRight w:val="0"/>
          <w:marTop w:val="0"/>
          <w:marBottom w:val="0"/>
          <w:divBdr>
            <w:top w:val="none" w:sz="0" w:space="0" w:color="auto"/>
            <w:left w:val="none" w:sz="0" w:space="0" w:color="auto"/>
            <w:bottom w:val="none" w:sz="0" w:space="0" w:color="auto"/>
            <w:right w:val="none" w:sz="0" w:space="0" w:color="auto"/>
          </w:divBdr>
        </w:div>
        <w:div w:id="818041277">
          <w:marLeft w:val="0"/>
          <w:marRight w:val="0"/>
          <w:marTop w:val="0"/>
          <w:marBottom w:val="0"/>
          <w:divBdr>
            <w:top w:val="none" w:sz="0" w:space="0" w:color="auto"/>
            <w:left w:val="none" w:sz="0" w:space="0" w:color="auto"/>
            <w:bottom w:val="none" w:sz="0" w:space="0" w:color="auto"/>
            <w:right w:val="none" w:sz="0" w:space="0" w:color="auto"/>
          </w:divBdr>
        </w:div>
        <w:div w:id="888344922">
          <w:marLeft w:val="0"/>
          <w:marRight w:val="0"/>
          <w:marTop w:val="0"/>
          <w:marBottom w:val="0"/>
          <w:divBdr>
            <w:top w:val="none" w:sz="0" w:space="0" w:color="auto"/>
            <w:left w:val="none" w:sz="0" w:space="0" w:color="auto"/>
            <w:bottom w:val="none" w:sz="0" w:space="0" w:color="auto"/>
            <w:right w:val="none" w:sz="0" w:space="0" w:color="auto"/>
          </w:divBdr>
        </w:div>
        <w:div w:id="934753665">
          <w:marLeft w:val="0"/>
          <w:marRight w:val="0"/>
          <w:marTop w:val="0"/>
          <w:marBottom w:val="0"/>
          <w:divBdr>
            <w:top w:val="none" w:sz="0" w:space="0" w:color="auto"/>
            <w:left w:val="none" w:sz="0" w:space="0" w:color="auto"/>
            <w:bottom w:val="none" w:sz="0" w:space="0" w:color="auto"/>
            <w:right w:val="none" w:sz="0" w:space="0" w:color="auto"/>
          </w:divBdr>
        </w:div>
        <w:div w:id="978536110">
          <w:marLeft w:val="0"/>
          <w:marRight w:val="0"/>
          <w:marTop w:val="0"/>
          <w:marBottom w:val="0"/>
          <w:divBdr>
            <w:top w:val="none" w:sz="0" w:space="0" w:color="auto"/>
            <w:left w:val="none" w:sz="0" w:space="0" w:color="auto"/>
            <w:bottom w:val="none" w:sz="0" w:space="0" w:color="auto"/>
            <w:right w:val="none" w:sz="0" w:space="0" w:color="auto"/>
          </w:divBdr>
        </w:div>
        <w:div w:id="1223517180">
          <w:marLeft w:val="0"/>
          <w:marRight w:val="0"/>
          <w:marTop w:val="0"/>
          <w:marBottom w:val="0"/>
          <w:divBdr>
            <w:top w:val="none" w:sz="0" w:space="0" w:color="auto"/>
            <w:left w:val="none" w:sz="0" w:space="0" w:color="auto"/>
            <w:bottom w:val="none" w:sz="0" w:space="0" w:color="auto"/>
            <w:right w:val="none" w:sz="0" w:space="0" w:color="auto"/>
          </w:divBdr>
        </w:div>
        <w:div w:id="1569268466">
          <w:marLeft w:val="0"/>
          <w:marRight w:val="0"/>
          <w:marTop w:val="0"/>
          <w:marBottom w:val="0"/>
          <w:divBdr>
            <w:top w:val="none" w:sz="0" w:space="0" w:color="auto"/>
            <w:left w:val="none" w:sz="0" w:space="0" w:color="auto"/>
            <w:bottom w:val="none" w:sz="0" w:space="0" w:color="auto"/>
            <w:right w:val="none" w:sz="0" w:space="0" w:color="auto"/>
          </w:divBdr>
        </w:div>
        <w:div w:id="1734162828">
          <w:marLeft w:val="0"/>
          <w:marRight w:val="0"/>
          <w:marTop w:val="0"/>
          <w:marBottom w:val="0"/>
          <w:divBdr>
            <w:top w:val="none" w:sz="0" w:space="0" w:color="auto"/>
            <w:left w:val="none" w:sz="0" w:space="0" w:color="auto"/>
            <w:bottom w:val="none" w:sz="0" w:space="0" w:color="auto"/>
            <w:right w:val="none" w:sz="0" w:space="0" w:color="auto"/>
          </w:divBdr>
        </w:div>
        <w:div w:id="1758165018">
          <w:marLeft w:val="0"/>
          <w:marRight w:val="0"/>
          <w:marTop w:val="0"/>
          <w:marBottom w:val="0"/>
          <w:divBdr>
            <w:top w:val="none" w:sz="0" w:space="0" w:color="auto"/>
            <w:left w:val="none" w:sz="0" w:space="0" w:color="auto"/>
            <w:bottom w:val="none" w:sz="0" w:space="0" w:color="auto"/>
            <w:right w:val="none" w:sz="0" w:space="0" w:color="auto"/>
          </w:divBdr>
        </w:div>
      </w:divsChild>
    </w:div>
    <w:div w:id="1268000932">
      <w:bodyDiv w:val="1"/>
      <w:marLeft w:val="0"/>
      <w:marRight w:val="0"/>
      <w:marTop w:val="0"/>
      <w:marBottom w:val="0"/>
      <w:divBdr>
        <w:top w:val="none" w:sz="0" w:space="0" w:color="auto"/>
        <w:left w:val="none" w:sz="0" w:space="0" w:color="auto"/>
        <w:bottom w:val="none" w:sz="0" w:space="0" w:color="auto"/>
        <w:right w:val="none" w:sz="0" w:space="0" w:color="auto"/>
      </w:divBdr>
    </w:div>
    <w:div w:id="1317489660">
      <w:bodyDiv w:val="1"/>
      <w:marLeft w:val="0"/>
      <w:marRight w:val="0"/>
      <w:marTop w:val="0"/>
      <w:marBottom w:val="0"/>
      <w:divBdr>
        <w:top w:val="none" w:sz="0" w:space="0" w:color="auto"/>
        <w:left w:val="none" w:sz="0" w:space="0" w:color="auto"/>
        <w:bottom w:val="none" w:sz="0" w:space="0" w:color="auto"/>
        <w:right w:val="none" w:sz="0" w:space="0" w:color="auto"/>
      </w:divBdr>
      <w:divsChild>
        <w:div w:id="14961862">
          <w:marLeft w:val="0"/>
          <w:marRight w:val="0"/>
          <w:marTop w:val="0"/>
          <w:marBottom w:val="0"/>
          <w:divBdr>
            <w:top w:val="none" w:sz="0" w:space="0" w:color="auto"/>
            <w:left w:val="none" w:sz="0" w:space="0" w:color="auto"/>
            <w:bottom w:val="none" w:sz="0" w:space="0" w:color="auto"/>
            <w:right w:val="none" w:sz="0" w:space="0" w:color="auto"/>
          </w:divBdr>
        </w:div>
        <w:div w:id="269091563">
          <w:marLeft w:val="0"/>
          <w:marRight w:val="0"/>
          <w:marTop w:val="0"/>
          <w:marBottom w:val="0"/>
          <w:divBdr>
            <w:top w:val="none" w:sz="0" w:space="0" w:color="auto"/>
            <w:left w:val="none" w:sz="0" w:space="0" w:color="auto"/>
            <w:bottom w:val="none" w:sz="0" w:space="0" w:color="auto"/>
            <w:right w:val="none" w:sz="0" w:space="0" w:color="auto"/>
          </w:divBdr>
        </w:div>
        <w:div w:id="626425218">
          <w:marLeft w:val="0"/>
          <w:marRight w:val="0"/>
          <w:marTop w:val="0"/>
          <w:marBottom w:val="0"/>
          <w:divBdr>
            <w:top w:val="none" w:sz="0" w:space="0" w:color="auto"/>
            <w:left w:val="none" w:sz="0" w:space="0" w:color="auto"/>
            <w:bottom w:val="none" w:sz="0" w:space="0" w:color="auto"/>
            <w:right w:val="none" w:sz="0" w:space="0" w:color="auto"/>
          </w:divBdr>
        </w:div>
        <w:div w:id="723405604">
          <w:marLeft w:val="0"/>
          <w:marRight w:val="0"/>
          <w:marTop w:val="0"/>
          <w:marBottom w:val="0"/>
          <w:divBdr>
            <w:top w:val="none" w:sz="0" w:space="0" w:color="auto"/>
            <w:left w:val="none" w:sz="0" w:space="0" w:color="auto"/>
            <w:bottom w:val="none" w:sz="0" w:space="0" w:color="auto"/>
            <w:right w:val="none" w:sz="0" w:space="0" w:color="auto"/>
          </w:divBdr>
        </w:div>
        <w:div w:id="1199969194">
          <w:marLeft w:val="0"/>
          <w:marRight w:val="0"/>
          <w:marTop w:val="0"/>
          <w:marBottom w:val="0"/>
          <w:divBdr>
            <w:top w:val="none" w:sz="0" w:space="0" w:color="auto"/>
            <w:left w:val="none" w:sz="0" w:space="0" w:color="auto"/>
            <w:bottom w:val="none" w:sz="0" w:space="0" w:color="auto"/>
            <w:right w:val="none" w:sz="0" w:space="0" w:color="auto"/>
          </w:divBdr>
        </w:div>
        <w:div w:id="1219630960">
          <w:marLeft w:val="0"/>
          <w:marRight w:val="0"/>
          <w:marTop w:val="0"/>
          <w:marBottom w:val="0"/>
          <w:divBdr>
            <w:top w:val="none" w:sz="0" w:space="0" w:color="auto"/>
            <w:left w:val="none" w:sz="0" w:space="0" w:color="auto"/>
            <w:bottom w:val="none" w:sz="0" w:space="0" w:color="auto"/>
            <w:right w:val="none" w:sz="0" w:space="0" w:color="auto"/>
          </w:divBdr>
        </w:div>
        <w:div w:id="1488011868">
          <w:marLeft w:val="0"/>
          <w:marRight w:val="0"/>
          <w:marTop w:val="0"/>
          <w:marBottom w:val="0"/>
          <w:divBdr>
            <w:top w:val="none" w:sz="0" w:space="0" w:color="auto"/>
            <w:left w:val="none" w:sz="0" w:space="0" w:color="auto"/>
            <w:bottom w:val="none" w:sz="0" w:space="0" w:color="auto"/>
            <w:right w:val="none" w:sz="0" w:space="0" w:color="auto"/>
          </w:divBdr>
        </w:div>
        <w:div w:id="1499006296">
          <w:marLeft w:val="0"/>
          <w:marRight w:val="0"/>
          <w:marTop w:val="0"/>
          <w:marBottom w:val="0"/>
          <w:divBdr>
            <w:top w:val="none" w:sz="0" w:space="0" w:color="auto"/>
            <w:left w:val="none" w:sz="0" w:space="0" w:color="auto"/>
            <w:bottom w:val="none" w:sz="0" w:space="0" w:color="auto"/>
            <w:right w:val="none" w:sz="0" w:space="0" w:color="auto"/>
          </w:divBdr>
        </w:div>
        <w:div w:id="1930847439">
          <w:marLeft w:val="0"/>
          <w:marRight w:val="0"/>
          <w:marTop w:val="0"/>
          <w:marBottom w:val="0"/>
          <w:divBdr>
            <w:top w:val="none" w:sz="0" w:space="0" w:color="auto"/>
            <w:left w:val="none" w:sz="0" w:space="0" w:color="auto"/>
            <w:bottom w:val="none" w:sz="0" w:space="0" w:color="auto"/>
            <w:right w:val="none" w:sz="0" w:space="0" w:color="auto"/>
          </w:divBdr>
        </w:div>
        <w:div w:id="1965883666">
          <w:marLeft w:val="0"/>
          <w:marRight w:val="0"/>
          <w:marTop w:val="0"/>
          <w:marBottom w:val="0"/>
          <w:divBdr>
            <w:top w:val="none" w:sz="0" w:space="0" w:color="auto"/>
            <w:left w:val="none" w:sz="0" w:space="0" w:color="auto"/>
            <w:bottom w:val="none" w:sz="0" w:space="0" w:color="auto"/>
            <w:right w:val="none" w:sz="0" w:space="0" w:color="auto"/>
          </w:divBdr>
        </w:div>
        <w:div w:id="2005089336">
          <w:marLeft w:val="0"/>
          <w:marRight w:val="0"/>
          <w:marTop w:val="0"/>
          <w:marBottom w:val="0"/>
          <w:divBdr>
            <w:top w:val="none" w:sz="0" w:space="0" w:color="auto"/>
            <w:left w:val="none" w:sz="0" w:space="0" w:color="auto"/>
            <w:bottom w:val="none" w:sz="0" w:space="0" w:color="auto"/>
            <w:right w:val="none" w:sz="0" w:space="0" w:color="auto"/>
          </w:divBdr>
        </w:div>
      </w:divsChild>
    </w:div>
    <w:div w:id="1600330374">
      <w:bodyDiv w:val="1"/>
      <w:marLeft w:val="0"/>
      <w:marRight w:val="0"/>
      <w:marTop w:val="0"/>
      <w:marBottom w:val="0"/>
      <w:divBdr>
        <w:top w:val="none" w:sz="0" w:space="0" w:color="auto"/>
        <w:left w:val="none" w:sz="0" w:space="0" w:color="auto"/>
        <w:bottom w:val="none" w:sz="0" w:space="0" w:color="auto"/>
        <w:right w:val="none" w:sz="0" w:space="0" w:color="auto"/>
      </w:divBdr>
    </w:div>
    <w:div w:id="2026445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s://new-european-bauhaus.europa.eu/tools-and-resources/neb-academy_en" TargetMode="External"/><Relationship Id="rId7" Type="http://schemas.openxmlformats.org/officeDocument/2006/relationships/hyperlink" Target="https://digineb.eu/" TargetMode="External"/><Relationship Id="rId2" Type="http://schemas.openxmlformats.org/officeDocument/2006/relationships/hyperlink" Target="https://eur-lex.europa.eu/legal-content/EN/TXT/?uri=CONSIL:ST_9128_2026_INIT&amp;qid=1782804272513" TargetMode="External"/><Relationship Id="rId1" Type="http://schemas.openxmlformats.org/officeDocument/2006/relationships/hyperlink" Target="https://eur-lex.europa.eu/legal-content/EN/TXT/?uri=CELEX:52025DC1026&amp;qid=1782805014477" TargetMode="External"/><Relationship Id="rId6" Type="http://schemas.openxmlformats.org/officeDocument/2006/relationships/hyperlink" Target="https://youth.europa.eu/discovereu/new-european-bauhaus-routes_en" TargetMode="External"/><Relationship Id="rId5" Type="http://schemas.openxmlformats.org/officeDocument/2006/relationships/hyperlink" Target="https://nebjunction.eu/" TargetMode="External"/><Relationship Id="rId4" Type="http://schemas.openxmlformats.org/officeDocument/2006/relationships/hyperlink" Target="https://new-european-bauhaus.europa.eu/tools-and-resources/neb-catalogue-blueprints-affordable-and-resilient-homes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2F05394DCE044693DCAA726179B598" ma:contentTypeVersion="16" ma:contentTypeDescription="Create a new document." ma:contentTypeScope="" ma:versionID="07bf178fb37b06d5e67644eb7e76c129">
  <xsd:schema xmlns:xsd="http://www.w3.org/2001/XMLSchema" xmlns:xs="http://www.w3.org/2001/XMLSchema" xmlns:p="http://schemas.microsoft.com/office/2006/metadata/properties" xmlns:ns3="71fe9c91-5602-4bdb-b72c-69451971f681" xmlns:ns4="ccf8ecc5-ce9f-4cc1-bb60-062c62b05209" targetNamespace="http://schemas.microsoft.com/office/2006/metadata/properties" ma:root="true" ma:fieldsID="5294293b4c3297f926b1a2d1c55d12b5" ns3:_="" ns4:_="">
    <xsd:import namespace="71fe9c91-5602-4bdb-b72c-69451971f681"/>
    <xsd:import namespace="ccf8ecc5-ce9f-4cc1-bb60-062c62b0520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ObjectDetectorVersions" minOccurs="0"/>
                <xsd:element ref="ns3:_activity"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fe9c91-5602-4bdb-b72c-69451971f6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f8ecc5-ce9f-4cc1-bb60-062c62b0520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1fe9c91-5602-4bdb-b72c-69451971f68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5CC330-8215-4582-B8AA-14D806A444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fe9c91-5602-4bdb-b72c-69451971f681"/>
    <ds:schemaRef ds:uri="ccf8ecc5-ce9f-4cc1-bb60-062c62b052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1350C9-5421-488E-B156-DC4E1F430795}">
  <ds:schemaRefs>
    <ds:schemaRef ds:uri="http://schemas.microsoft.com/sharepoint/v3/contenttype/forms"/>
  </ds:schemaRefs>
</ds:datastoreItem>
</file>

<file path=customXml/itemProps3.xml><?xml version="1.0" encoding="utf-8"?>
<ds:datastoreItem xmlns:ds="http://schemas.openxmlformats.org/officeDocument/2006/customXml" ds:itemID="{7594B1C3-CAD6-4295-AC5E-FBE943356EFF}">
  <ds:schemaRefs>
    <ds:schemaRef ds:uri="http://schemas.microsoft.com/office/2006/metadata/properties"/>
    <ds:schemaRef ds:uri="http://schemas.microsoft.com/office/infopath/2007/PartnerControls"/>
    <ds:schemaRef ds:uri="71fe9c91-5602-4bdb-b72c-69451971f681"/>
  </ds:schemaRefs>
</ds:datastoreItem>
</file>

<file path=customXml/itemProps4.xml><?xml version="1.0" encoding="utf-8"?>
<ds:datastoreItem xmlns:ds="http://schemas.openxmlformats.org/officeDocument/2006/customXml" ds:itemID="{0B782432-D8CE-44D5-BC88-088E91BA2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1661</Words>
  <Characters>9620</Characters>
  <Application>Microsoft Office Word</Application>
  <DocSecurity>0</DocSecurity>
  <Lines>128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11260</CharactersWithSpaces>
  <SharedDoc>false</SharedDoc>
  <HLinks>
    <vt:vector size="36" baseType="variant">
      <vt:variant>
        <vt:i4>3080234</vt:i4>
      </vt:variant>
      <vt:variant>
        <vt:i4>15</vt:i4>
      </vt:variant>
      <vt:variant>
        <vt:i4>0</vt:i4>
      </vt:variant>
      <vt:variant>
        <vt:i4>5</vt:i4>
      </vt:variant>
      <vt:variant>
        <vt:lpwstr>https://digineb.eu/</vt:lpwstr>
      </vt:variant>
      <vt:variant>
        <vt:lpwstr/>
      </vt:variant>
      <vt:variant>
        <vt:i4>46</vt:i4>
      </vt:variant>
      <vt:variant>
        <vt:i4>12</vt:i4>
      </vt:variant>
      <vt:variant>
        <vt:i4>0</vt:i4>
      </vt:variant>
      <vt:variant>
        <vt:i4>5</vt:i4>
      </vt:variant>
      <vt:variant>
        <vt:lpwstr>https://youth.europa.eu/discovereu/new-european-bauhaus-routes_en</vt:lpwstr>
      </vt:variant>
      <vt:variant>
        <vt:lpwstr/>
      </vt:variant>
      <vt:variant>
        <vt:i4>5898290</vt:i4>
      </vt:variant>
      <vt:variant>
        <vt:i4>9</vt:i4>
      </vt:variant>
      <vt:variant>
        <vt:i4>0</vt:i4>
      </vt:variant>
      <vt:variant>
        <vt:i4>5</vt:i4>
      </vt:variant>
      <vt:variant>
        <vt:lpwstr>https://new-european-bauhaus.europa.eu/tools-and-resources/neb-catalogue-blueprints-affordable-and-resilient-homes_en</vt:lpwstr>
      </vt:variant>
      <vt:variant>
        <vt:lpwstr/>
      </vt:variant>
      <vt:variant>
        <vt:i4>852019</vt:i4>
      </vt:variant>
      <vt:variant>
        <vt:i4>6</vt:i4>
      </vt:variant>
      <vt:variant>
        <vt:i4>0</vt:i4>
      </vt:variant>
      <vt:variant>
        <vt:i4>5</vt:i4>
      </vt:variant>
      <vt:variant>
        <vt:lpwstr>https://new-european-bauhaus.europa.eu/tools-and-resources/neb-academy_en</vt:lpwstr>
      </vt:variant>
      <vt:variant>
        <vt:lpwstr/>
      </vt:variant>
      <vt:variant>
        <vt:i4>7274507</vt:i4>
      </vt:variant>
      <vt:variant>
        <vt:i4>3</vt:i4>
      </vt:variant>
      <vt:variant>
        <vt:i4>0</vt:i4>
      </vt:variant>
      <vt:variant>
        <vt:i4>5</vt:i4>
      </vt:variant>
      <vt:variant>
        <vt:lpwstr>https://eur-lex.europa.eu/legal-content/EN/TXT/?uri=CONSIL:ST_9128_2026_INIT&amp;qid=1782804272513</vt:lpwstr>
      </vt:variant>
      <vt:variant>
        <vt:lpwstr/>
      </vt:variant>
      <vt:variant>
        <vt:i4>7798835</vt:i4>
      </vt:variant>
      <vt:variant>
        <vt:i4>0</vt:i4>
      </vt:variant>
      <vt:variant>
        <vt:i4>0</vt:i4>
      </vt:variant>
      <vt:variant>
        <vt:i4>5</vt:i4>
      </vt:variant>
      <vt:variant>
        <vt:lpwstr>https://eur-lex.europa.eu/legal-content/EN/TXT/?uri=CELEX:52025DC1026&amp;qid=1782805014477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VANCO Samuel (JRC)</dc:creator>
  <cp:keywords/>
  <cp:lastModifiedBy>ROSSI Simona (SG)</cp:lastModifiedBy>
  <cp:revision>2</cp:revision>
  <dcterms:created xsi:type="dcterms:W3CDTF">2026-10-09T13:32:00Z</dcterms:created>
  <dcterms:modified xsi:type="dcterms:W3CDTF">2026-10-09T13:32:00Z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2026-07-23T14:35:40Z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c8933688-ac23-4645-9f15-c5e659d043b5</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0x0101005C2F05394DCE044693DCAA726179B598</vt:lpwstr>
  </property>
</Properties>
</file>