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590" w:type="dxa"/>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0490"/>
      </w:tblGrid>
      <w:tr w:rsidR="7ABD1E37" w:rsidRPr="00EE5A34" w14:paraId="74926D31" w14:textId="77777777" w:rsidTr="004D1C10">
        <w:trPr>
          <w:trHeight w:val="300"/>
        </w:trPr>
        <w:tc>
          <w:tcPr>
            <w:tcW w:w="10490" w:type="dxa"/>
            <w:tcBorders>
              <w:top w:val="double" w:sz="6" w:space="0" w:color="auto"/>
              <w:left w:val="double" w:sz="6" w:space="0" w:color="auto"/>
              <w:bottom w:val="single" w:sz="6" w:space="0" w:color="auto"/>
              <w:right w:val="double" w:sz="6" w:space="0" w:color="auto"/>
            </w:tcBorders>
            <w:tcMar>
              <w:left w:w="90" w:type="dxa"/>
              <w:right w:w="90" w:type="dxa"/>
            </w:tcMar>
          </w:tcPr>
          <w:p w14:paraId="427DE744" w14:textId="4C0F5598" w:rsidR="00CA1419" w:rsidRPr="00EE5A34" w:rsidRDefault="0079503B" w:rsidP="68612729">
            <w:pPr>
              <w:spacing w:before="120" w:after="120" w:line="276" w:lineRule="auto"/>
              <w:rPr>
                <w:rFonts w:ascii="Times New Roman" w:eastAsia="Times New Roman" w:hAnsi="Times New Roman" w:cs="Times New Roman"/>
                <w:b/>
                <w:bCs/>
                <w:color w:val="000000" w:themeColor="text1"/>
                <w:lang w:val="en-IE"/>
              </w:rPr>
            </w:pPr>
            <w:r w:rsidRPr="00EE5A34">
              <w:rPr>
                <w:rFonts w:ascii="Times New Roman" w:eastAsia="Times New Roman" w:hAnsi="Times New Roman" w:cs="Times New Roman"/>
                <w:b/>
                <w:bCs/>
                <w:color w:val="000000" w:themeColor="text1"/>
                <w:lang w:val="en-IE"/>
              </w:rPr>
              <w:t>Industrial Accelerator Act</w:t>
            </w:r>
            <w:r w:rsidRPr="00EE5A34">
              <w:rPr>
                <w:lang w:val="en-IE"/>
              </w:rPr>
              <w:br/>
            </w:r>
            <w:r w:rsidR="1DF47DB9" w:rsidRPr="00EE5A34">
              <w:rPr>
                <w:rFonts w:ascii="Times New Roman" w:eastAsia="Times New Roman" w:hAnsi="Times New Roman" w:cs="Times New Roman"/>
                <w:b/>
                <w:bCs/>
                <w:color w:val="000000" w:themeColor="text1"/>
                <w:lang w:val="en-IE"/>
              </w:rPr>
              <w:t>(</w:t>
            </w:r>
            <w:r w:rsidRPr="00EE5A34">
              <w:rPr>
                <w:rFonts w:ascii="Times New Roman" w:eastAsia="Times New Roman" w:hAnsi="Times New Roman" w:cs="Times New Roman"/>
                <w:b/>
                <w:bCs/>
                <w:color w:val="000000" w:themeColor="text1"/>
                <w:lang w:val="en-IE"/>
              </w:rPr>
              <w:t>mandatory</w:t>
            </w:r>
            <w:r w:rsidR="00797AD4" w:rsidRPr="00EE5A34">
              <w:rPr>
                <w:rFonts w:ascii="Times New Roman" w:eastAsia="Times New Roman" w:hAnsi="Times New Roman" w:cs="Times New Roman"/>
                <w:b/>
                <w:bCs/>
                <w:color w:val="000000" w:themeColor="text1"/>
                <w:lang w:val="en-IE"/>
              </w:rPr>
              <w:t xml:space="preserve"> </w:t>
            </w:r>
            <w:r w:rsidR="1DF47DB9" w:rsidRPr="00EE5A34">
              <w:rPr>
                <w:rFonts w:ascii="Times New Roman" w:eastAsia="Times New Roman" w:hAnsi="Times New Roman" w:cs="Times New Roman"/>
                <w:b/>
                <w:bCs/>
                <w:color w:val="000000" w:themeColor="text1"/>
                <w:lang w:val="en-IE"/>
              </w:rPr>
              <w:t>opinion)</w:t>
            </w:r>
            <w:r w:rsidRPr="00EE5A34">
              <w:rPr>
                <w:lang w:val="en-IE"/>
              </w:rPr>
              <w:br/>
            </w:r>
            <w:r w:rsidR="3809CC96" w:rsidRPr="00EE5A34">
              <w:rPr>
                <w:rFonts w:ascii="Times New Roman" w:eastAsia="Times New Roman" w:hAnsi="Times New Roman" w:cs="Times New Roman"/>
                <w:b/>
                <w:bCs/>
                <w:color w:val="000000" w:themeColor="text1"/>
                <w:lang w:val="en-IE"/>
              </w:rPr>
              <w:t>COM(2026) 100</w:t>
            </w:r>
            <w:r w:rsidRPr="00EE5A34">
              <w:rPr>
                <w:lang w:val="en-IE"/>
              </w:rPr>
              <w:br/>
            </w:r>
            <w:r w:rsidR="1DF47DB9" w:rsidRPr="00EE5A34">
              <w:rPr>
                <w:rFonts w:ascii="Times New Roman" w:eastAsia="Times New Roman" w:hAnsi="Times New Roman" w:cs="Times New Roman"/>
                <w:b/>
                <w:bCs/>
                <w:color w:val="000000" w:themeColor="text1"/>
                <w:lang w:val="en-IE"/>
              </w:rPr>
              <w:t>EESC-202</w:t>
            </w:r>
            <w:r w:rsidR="00F02D73" w:rsidRPr="00EE5A34">
              <w:rPr>
                <w:rFonts w:ascii="Times New Roman" w:eastAsia="Times New Roman" w:hAnsi="Times New Roman" w:cs="Times New Roman"/>
                <w:b/>
                <w:bCs/>
                <w:color w:val="000000" w:themeColor="text1"/>
                <w:lang w:val="en-IE"/>
              </w:rPr>
              <w:t>6</w:t>
            </w:r>
            <w:r w:rsidR="1DF47DB9" w:rsidRPr="00EE5A34">
              <w:rPr>
                <w:rFonts w:ascii="Times New Roman" w:eastAsia="Times New Roman" w:hAnsi="Times New Roman" w:cs="Times New Roman"/>
                <w:b/>
                <w:bCs/>
                <w:color w:val="000000" w:themeColor="text1"/>
                <w:lang w:val="en-IE"/>
              </w:rPr>
              <w:t>-0</w:t>
            </w:r>
            <w:r w:rsidR="00797AD4" w:rsidRPr="00EE5A34">
              <w:rPr>
                <w:rFonts w:ascii="Times New Roman" w:eastAsia="Times New Roman" w:hAnsi="Times New Roman" w:cs="Times New Roman"/>
                <w:b/>
                <w:bCs/>
                <w:color w:val="000000" w:themeColor="text1"/>
                <w:lang w:val="en-IE"/>
              </w:rPr>
              <w:t>0</w:t>
            </w:r>
            <w:r w:rsidRPr="00EE5A34">
              <w:rPr>
                <w:rFonts w:ascii="Times New Roman" w:eastAsia="Times New Roman" w:hAnsi="Times New Roman" w:cs="Times New Roman"/>
                <w:b/>
                <w:bCs/>
                <w:color w:val="000000" w:themeColor="text1"/>
                <w:lang w:val="en-IE"/>
              </w:rPr>
              <w:t>379</w:t>
            </w:r>
            <w:r w:rsidR="1DF47DB9" w:rsidRPr="00EE5A34">
              <w:rPr>
                <w:rFonts w:ascii="Times New Roman" w:eastAsia="Times New Roman" w:hAnsi="Times New Roman" w:cs="Times New Roman"/>
                <w:b/>
                <w:bCs/>
                <w:color w:val="000000" w:themeColor="text1"/>
                <w:lang w:val="en-IE"/>
              </w:rPr>
              <w:t xml:space="preserve"> ‒ </w:t>
            </w:r>
            <w:r w:rsidRPr="00EE5A34">
              <w:rPr>
                <w:rFonts w:ascii="Times New Roman" w:eastAsia="Times New Roman" w:hAnsi="Times New Roman" w:cs="Times New Roman"/>
                <w:b/>
                <w:bCs/>
                <w:color w:val="000000" w:themeColor="text1"/>
                <w:lang w:val="en-IE"/>
              </w:rPr>
              <w:t>INT</w:t>
            </w:r>
            <w:r w:rsidR="1DF47DB9" w:rsidRPr="00EE5A34">
              <w:rPr>
                <w:rFonts w:ascii="Times New Roman" w:eastAsia="Times New Roman" w:hAnsi="Times New Roman" w:cs="Times New Roman"/>
                <w:b/>
                <w:bCs/>
                <w:color w:val="000000" w:themeColor="text1"/>
                <w:lang w:val="en-IE"/>
              </w:rPr>
              <w:t>/</w:t>
            </w:r>
            <w:r w:rsidRPr="00EE5A34">
              <w:rPr>
                <w:rFonts w:ascii="Times New Roman" w:eastAsia="Times New Roman" w:hAnsi="Times New Roman" w:cs="Times New Roman"/>
                <w:b/>
                <w:bCs/>
                <w:color w:val="000000" w:themeColor="text1"/>
                <w:lang w:val="en-IE"/>
              </w:rPr>
              <w:t>1119</w:t>
            </w:r>
            <w:r w:rsidRPr="00EE5A34">
              <w:rPr>
                <w:lang w:val="en-IE"/>
              </w:rPr>
              <w:br/>
            </w:r>
            <w:r w:rsidR="1DF47DB9" w:rsidRPr="00EE5A34">
              <w:rPr>
                <w:rFonts w:ascii="Times New Roman" w:eastAsia="Times New Roman" w:hAnsi="Times New Roman" w:cs="Times New Roman"/>
                <w:b/>
                <w:bCs/>
                <w:color w:val="000000" w:themeColor="text1"/>
                <w:lang w:val="en-IE"/>
              </w:rPr>
              <w:t>60</w:t>
            </w:r>
            <w:r w:rsidR="00797AD4" w:rsidRPr="00EE5A34">
              <w:rPr>
                <w:rFonts w:ascii="Times New Roman" w:eastAsia="Times New Roman" w:hAnsi="Times New Roman" w:cs="Times New Roman"/>
                <w:b/>
                <w:bCs/>
                <w:color w:val="000000" w:themeColor="text1"/>
                <w:lang w:val="en-IE"/>
              </w:rPr>
              <w:t>7</w:t>
            </w:r>
            <w:r w:rsidR="1DF47DB9" w:rsidRPr="00EE5A34">
              <w:rPr>
                <w:rFonts w:ascii="Times New Roman" w:eastAsia="Times New Roman" w:hAnsi="Times New Roman" w:cs="Times New Roman"/>
                <w:b/>
                <w:bCs/>
                <w:color w:val="000000" w:themeColor="text1"/>
                <w:vertAlign w:val="superscript"/>
                <w:lang w:val="en-IE"/>
              </w:rPr>
              <w:t>th</w:t>
            </w:r>
            <w:r w:rsidR="1DF47DB9" w:rsidRPr="00EE5A34">
              <w:rPr>
                <w:rFonts w:ascii="Times New Roman" w:eastAsia="Times New Roman" w:hAnsi="Times New Roman" w:cs="Times New Roman"/>
                <w:b/>
                <w:bCs/>
                <w:color w:val="000000" w:themeColor="text1"/>
                <w:lang w:val="en-IE"/>
              </w:rPr>
              <w:t xml:space="preserve"> Plenary Session – </w:t>
            </w:r>
            <w:r w:rsidR="00797AD4" w:rsidRPr="00EE5A34">
              <w:rPr>
                <w:rFonts w:ascii="Times New Roman" w:eastAsia="Times New Roman" w:hAnsi="Times New Roman" w:cs="Times New Roman"/>
                <w:b/>
                <w:bCs/>
                <w:color w:val="000000" w:themeColor="text1"/>
                <w:lang w:val="en-IE"/>
              </w:rPr>
              <w:t>July</w:t>
            </w:r>
            <w:r w:rsidR="1DF47DB9" w:rsidRPr="00EE5A34">
              <w:rPr>
                <w:rFonts w:ascii="Times New Roman" w:eastAsia="Times New Roman" w:hAnsi="Times New Roman" w:cs="Times New Roman"/>
                <w:b/>
                <w:bCs/>
                <w:color w:val="000000" w:themeColor="text1"/>
                <w:lang w:val="en-IE"/>
              </w:rPr>
              <w:t xml:space="preserve"> 2026</w:t>
            </w:r>
            <w:r w:rsidRPr="00EE5A34">
              <w:rPr>
                <w:lang w:val="en-IE"/>
              </w:rPr>
              <w:br/>
            </w:r>
            <w:r w:rsidR="1DF47DB9" w:rsidRPr="00EE5A34">
              <w:rPr>
                <w:rFonts w:ascii="Times New Roman" w:eastAsia="Times New Roman" w:hAnsi="Times New Roman" w:cs="Times New Roman"/>
                <w:b/>
                <w:bCs/>
                <w:color w:val="000000" w:themeColor="text1"/>
                <w:lang w:val="en-IE"/>
              </w:rPr>
              <w:t xml:space="preserve">Rapporteur: </w:t>
            </w:r>
            <w:r w:rsidRPr="00EE5A34">
              <w:rPr>
                <w:rFonts w:ascii="Times New Roman" w:eastAsia="Times New Roman" w:hAnsi="Times New Roman" w:cs="Times New Roman"/>
                <w:b/>
                <w:bCs/>
                <w:color w:val="000000" w:themeColor="text1"/>
                <w:lang w:val="en-IE"/>
              </w:rPr>
              <w:t>Konstantinos DIAMANTOUROS (EL-</w:t>
            </w:r>
            <w:r w:rsidR="005E76A0" w:rsidRPr="00EE5A34">
              <w:rPr>
                <w:rFonts w:ascii="Times New Roman" w:eastAsia="Times New Roman" w:hAnsi="Times New Roman" w:cs="Times New Roman"/>
                <w:b/>
                <w:bCs/>
                <w:color w:val="000000" w:themeColor="text1"/>
                <w:lang w:val="en-IE"/>
              </w:rPr>
              <w:t>group: Employers</w:t>
            </w:r>
            <w:r w:rsidRPr="00EE5A34">
              <w:rPr>
                <w:rFonts w:ascii="Times New Roman" w:eastAsia="Times New Roman" w:hAnsi="Times New Roman" w:cs="Times New Roman"/>
                <w:b/>
                <w:bCs/>
                <w:color w:val="000000" w:themeColor="text1"/>
                <w:lang w:val="en-IE"/>
              </w:rPr>
              <w:t>)</w:t>
            </w:r>
            <w:r w:rsidRPr="00EE5A34">
              <w:rPr>
                <w:lang w:val="en-IE"/>
              </w:rPr>
              <w:br/>
            </w:r>
            <w:r w:rsidR="1DF47DB9" w:rsidRPr="00EE5A34">
              <w:rPr>
                <w:rFonts w:ascii="Times New Roman" w:eastAsia="Times New Roman" w:hAnsi="Times New Roman" w:cs="Times New Roman"/>
                <w:b/>
                <w:bCs/>
                <w:color w:val="000000" w:themeColor="text1"/>
                <w:lang w:val="en-IE"/>
              </w:rPr>
              <w:t xml:space="preserve">DG GROW – Executive Vice-President SÉJOURNÉ </w:t>
            </w:r>
          </w:p>
        </w:tc>
      </w:tr>
      <w:tr w:rsidR="7ABD1E37" w:rsidRPr="00EE5A34" w14:paraId="5D673E65" w14:textId="77777777" w:rsidTr="004D1C10">
        <w:trPr>
          <w:trHeight w:val="615"/>
        </w:trPr>
        <w:tc>
          <w:tcPr>
            <w:tcW w:w="10490" w:type="dxa"/>
            <w:tcBorders>
              <w:top w:val="single" w:sz="6" w:space="0" w:color="auto"/>
              <w:left w:val="double" w:sz="6" w:space="0" w:color="auto"/>
              <w:bottom w:val="single" w:sz="6" w:space="0" w:color="000000" w:themeColor="text1"/>
              <w:right w:val="double" w:sz="6" w:space="0" w:color="auto"/>
            </w:tcBorders>
            <w:tcMar>
              <w:left w:w="90" w:type="dxa"/>
              <w:right w:w="90" w:type="dxa"/>
            </w:tcMar>
          </w:tcPr>
          <w:p w14:paraId="17FE84A8" w14:textId="5E82CCF7" w:rsidR="7ABD1E37" w:rsidRPr="00EE5A34" w:rsidRDefault="7ABD1E37" w:rsidP="7ABD1E37">
            <w:pPr>
              <w:spacing w:before="120" w:after="120" w:line="276" w:lineRule="auto"/>
              <w:jc w:val="center"/>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b/>
                <w:bCs/>
                <w:color w:val="000000" w:themeColor="text1"/>
                <w:lang w:val="en-IE"/>
              </w:rPr>
              <w:t>European Commission position on points</w:t>
            </w:r>
            <w:r w:rsidRPr="00EE5A34">
              <w:rPr>
                <w:lang w:val="en-IE"/>
              </w:rPr>
              <w:br/>
            </w:r>
            <w:r w:rsidRPr="00EE5A34">
              <w:rPr>
                <w:rFonts w:ascii="Times New Roman" w:eastAsia="Times New Roman" w:hAnsi="Times New Roman" w:cs="Times New Roman"/>
                <w:b/>
                <w:bCs/>
                <w:color w:val="000000" w:themeColor="text1"/>
                <w:lang w:val="en-IE"/>
              </w:rPr>
              <w:t>of the European Economic and Social Committee (EESC) opinion considered as essential</w:t>
            </w:r>
          </w:p>
        </w:tc>
      </w:tr>
      <w:tr w:rsidR="7ABD1E37" w:rsidRPr="00EE5A34" w14:paraId="5A3C9F1F" w14:textId="77777777" w:rsidTr="004D1C10">
        <w:trPr>
          <w:trHeight w:val="795"/>
        </w:trPr>
        <w:tc>
          <w:tcPr>
            <w:tcW w:w="10490" w:type="dxa"/>
            <w:tcBorders>
              <w:top w:val="single" w:sz="6" w:space="0" w:color="000000" w:themeColor="text1"/>
              <w:left w:val="double" w:sz="6" w:space="0" w:color="000000" w:themeColor="text1"/>
              <w:bottom w:val="double" w:sz="6" w:space="0" w:color="000000" w:themeColor="text1"/>
              <w:right w:val="double" w:sz="6" w:space="0" w:color="000000" w:themeColor="text1"/>
            </w:tcBorders>
            <w:tcMar>
              <w:left w:w="90" w:type="dxa"/>
              <w:right w:w="90" w:type="dxa"/>
            </w:tcMar>
          </w:tcPr>
          <w:p w14:paraId="39E854A1" w14:textId="472C5E23" w:rsidR="00797AD4" w:rsidRPr="00EE5A34" w:rsidRDefault="54FBB931" w:rsidP="004D1C10">
            <w:pPr>
              <w:spacing w:before="120" w:after="120" w:line="276" w:lineRule="auto"/>
              <w:jc w:val="both"/>
              <w:rPr>
                <w:rFonts w:ascii="Times New Roman" w:eastAsia="Times New Roman" w:hAnsi="Times New Roman" w:cs="Times New Roman"/>
                <w:color w:val="000000" w:themeColor="text1"/>
                <w:vertAlign w:val="superscript"/>
                <w:lang w:val="en-IE"/>
              </w:rPr>
            </w:pPr>
            <w:r w:rsidRPr="00EE5A34">
              <w:rPr>
                <w:rFonts w:ascii="Times New Roman" w:eastAsia="Times New Roman" w:hAnsi="Times New Roman" w:cs="Times New Roman"/>
                <w:color w:val="000000" w:themeColor="text1"/>
                <w:lang w:val="en-IE"/>
              </w:rPr>
              <w:t xml:space="preserve">The Commission welcomes the opinion of the </w:t>
            </w:r>
            <w:r w:rsidR="008065F1" w:rsidRPr="00EE5A34">
              <w:rPr>
                <w:rFonts w:ascii="Times New Roman" w:eastAsia="Times New Roman" w:hAnsi="Times New Roman" w:cs="Times New Roman"/>
                <w:color w:val="000000" w:themeColor="text1"/>
                <w:lang w:val="en-IE"/>
              </w:rPr>
              <w:t xml:space="preserve">Committee </w:t>
            </w:r>
            <w:r w:rsidRPr="00EE5A34">
              <w:rPr>
                <w:rFonts w:ascii="Times New Roman" w:eastAsia="Times New Roman" w:hAnsi="Times New Roman" w:cs="Times New Roman"/>
                <w:color w:val="000000" w:themeColor="text1"/>
                <w:lang w:val="en-IE"/>
              </w:rPr>
              <w:t>on the Commission Proposal for a Regulation establishing a framework of measures for the acceleration of industrial capacity and decarbonisation in strategic sectors and amending Regulations (EU) 2018/1724, (EU)</w:t>
            </w:r>
            <w:r w:rsidR="005E76A0"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2024/1735 and (EU) 2024/3110</w:t>
            </w:r>
            <w:r w:rsidR="00797AD4" w:rsidRPr="00EE5A34">
              <w:rPr>
                <w:rStyle w:val="FootnoteReference"/>
                <w:rFonts w:ascii="Times New Roman" w:eastAsia="Times New Roman" w:hAnsi="Times New Roman" w:cs="Times New Roman"/>
                <w:color w:val="000000" w:themeColor="text1"/>
                <w:lang w:val="en-IE"/>
              </w:rPr>
              <w:footnoteReference w:id="1"/>
            </w:r>
            <w:r w:rsidR="005E76A0" w:rsidRPr="00EE5A34">
              <w:rPr>
                <w:rFonts w:ascii="Times New Roman" w:eastAsia="Times New Roman" w:hAnsi="Times New Roman" w:cs="Times New Roman"/>
                <w:color w:val="000000" w:themeColor="text1"/>
                <w:lang w:val="en-IE"/>
              </w:rPr>
              <w:t>.</w:t>
            </w:r>
          </w:p>
          <w:p w14:paraId="0B6F5F92" w14:textId="2F9B3E7D"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Together with other measures introduced under the Clean Industrial Deal</w:t>
            </w:r>
            <w:r w:rsidR="00797AD4" w:rsidRPr="00EE5A34">
              <w:rPr>
                <w:rStyle w:val="FootnoteReference"/>
                <w:rFonts w:ascii="Times New Roman" w:eastAsia="Times New Roman" w:hAnsi="Times New Roman" w:cs="Times New Roman"/>
                <w:color w:val="000000" w:themeColor="text1"/>
                <w:lang w:val="en-IE"/>
              </w:rPr>
              <w:footnoteReference w:id="2"/>
            </w:r>
            <w:r w:rsidRPr="00EE5A34">
              <w:rPr>
                <w:rFonts w:ascii="Times New Roman" w:eastAsia="Times New Roman" w:hAnsi="Times New Roman" w:cs="Times New Roman"/>
                <w:color w:val="000000" w:themeColor="text1"/>
                <w:lang w:val="en-IE"/>
              </w:rPr>
              <w:t>, the Commission proposed the</w:t>
            </w:r>
            <w:r w:rsidR="005E76A0"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 xml:space="preserve">Industrial Accelerator Act (IAA) to strengthen the competitiveness, resilience and decarbonisation of </w:t>
            </w:r>
            <w:r w:rsidR="3C85432A" w:rsidRPr="00EE5A34">
              <w:rPr>
                <w:rFonts w:ascii="Times New Roman" w:eastAsia="Times New Roman" w:hAnsi="Times New Roman" w:cs="Times New Roman"/>
                <w:color w:val="000000" w:themeColor="text1"/>
                <w:lang w:val="en-IE"/>
              </w:rPr>
              <w:t>the</w:t>
            </w:r>
            <w:r w:rsidR="002F34D7"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Union</w:t>
            </w:r>
            <w:r w:rsidR="3CD5AA7A"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 xml:space="preserve">s industrial base. Companies operating in the sectors covered by the IAA are currently taking long-term decisions on the location, expansion, modernisation or closure of production facilities. As these investments are highly capital-intensive and largely irreversible, uncertainty regarding permitting procedures, future </w:t>
            </w:r>
            <w:r w:rsidR="008065F1" w:rsidRPr="00EE5A34">
              <w:rPr>
                <w:rFonts w:ascii="Times New Roman" w:eastAsia="Times New Roman" w:hAnsi="Times New Roman" w:cs="Times New Roman"/>
                <w:color w:val="000000" w:themeColor="text1"/>
                <w:lang w:val="en-IE"/>
              </w:rPr>
              <w:t xml:space="preserve">market </w:t>
            </w:r>
            <w:r w:rsidRPr="00EE5A34">
              <w:rPr>
                <w:rFonts w:ascii="Times New Roman" w:eastAsia="Times New Roman" w:hAnsi="Times New Roman" w:cs="Times New Roman"/>
                <w:color w:val="000000" w:themeColor="text1"/>
                <w:lang w:val="en-IE"/>
              </w:rPr>
              <w:t>demand and the regulatory framework risks encouraging companies to move production and investment outside the Union, thereby increasing dependencies in strategic value chains and weakening</w:t>
            </w:r>
            <w:r w:rsidR="45B6FACA" w:rsidRPr="00EE5A34">
              <w:rPr>
                <w:rFonts w:ascii="Times New Roman" w:eastAsia="Times New Roman" w:hAnsi="Times New Roman" w:cs="Times New Roman"/>
                <w:color w:val="000000" w:themeColor="text1"/>
                <w:lang w:val="en-IE"/>
              </w:rPr>
              <w:t xml:space="preserve"> the </w:t>
            </w:r>
            <w:r w:rsidRPr="00EE5A34">
              <w:rPr>
                <w:rFonts w:ascii="Times New Roman" w:eastAsia="Times New Roman" w:hAnsi="Times New Roman" w:cs="Times New Roman"/>
                <w:color w:val="000000" w:themeColor="text1"/>
                <w:lang w:val="en-IE"/>
              </w:rPr>
              <w:t>Union</w:t>
            </w:r>
            <w:r w:rsidR="30BAC2BC"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s industrial capacity. The proposal therefore introduces measures designed to create a</w:t>
            </w:r>
            <w:r w:rsidR="005E76A0"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more predictable investment environment, including accelerated permitting procedures, measures to stimulate demand for European low-carbon industrial products and technologies</w:t>
            </w:r>
            <w:r w:rsidR="34DB8420"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 xml:space="preserve"> and conditions to attract quality foreign</w:t>
            </w:r>
            <w:r w:rsidR="005E76A0" w:rsidRPr="00EE5A34">
              <w:rPr>
                <w:rFonts w:ascii="Times New Roman" w:eastAsia="Times New Roman" w:hAnsi="Times New Roman" w:cs="Times New Roman"/>
                <w:color w:val="000000" w:themeColor="text1"/>
                <w:lang w:val="en-IE"/>
              </w:rPr>
              <w:t xml:space="preserve"> </w:t>
            </w:r>
            <w:r w:rsidRPr="00EE5A34">
              <w:rPr>
                <w:rFonts w:ascii="Times New Roman" w:eastAsia="Times New Roman" w:hAnsi="Times New Roman" w:cs="Times New Roman"/>
                <w:color w:val="000000" w:themeColor="text1"/>
                <w:lang w:val="en-IE"/>
              </w:rPr>
              <w:t>investments. By reducing investment risks and strengthening the business case for industrial decarbonisation, the initiative seeks to anchor industrial capacity within the Union, accelerate the</w:t>
            </w:r>
            <w:r w:rsidR="005E76A0"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deployment of net-zero technologies and support the transition towards a more resilient, competitive and climate-neutral European economy.</w:t>
            </w:r>
          </w:p>
          <w:p w14:paraId="5156F4B0" w14:textId="4A25ADD5"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b/>
                <w:bCs/>
                <w:color w:val="000000" w:themeColor="text1"/>
                <w:lang w:val="en-IE"/>
              </w:rPr>
              <w:t>General comments</w:t>
            </w:r>
          </w:p>
          <w:p w14:paraId="59DF6ED4" w14:textId="607C2EE0"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welcomes the </w:t>
            </w:r>
            <w:r w:rsidR="40093B4A" w:rsidRPr="00EE5A34">
              <w:rPr>
                <w:rFonts w:ascii="Times New Roman" w:eastAsia="Times New Roman" w:hAnsi="Times New Roman" w:cs="Times New Roman"/>
                <w:color w:val="000000" w:themeColor="text1"/>
                <w:lang w:val="en-IE"/>
              </w:rPr>
              <w:t>Committee’s</w:t>
            </w:r>
            <w:r w:rsidRPr="00EE5A34">
              <w:rPr>
                <w:rFonts w:ascii="Times New Roman" w:eastAsia="Times New Roman" w:hAnsi="Times New Roman" w:cs="Times New Roman"/>
                <w:color w:val="000000" w:themeColor="text1"/>
                <w:lang w:val="en-IE"/>
              </w:rPr>
              <w:t xml:space="preserve"> support for the IAA’s objective of increasing manufacturing’s share of EU </w:t>
            </w:r>
            <w:r w:rsidR="002824B3" w:rsidRPr="00EE5A34">
              <w:rPr>
                <w:rFonts w:ascii="Times New Roman" w:eastAsia="Times New Roman" w:hAnsi="Times New Roman" w:cs="Times New Roman"/>
                <w:color w:val="000000" w:themeColor="text1"/>
                <w:lang w:val="en-IE"/>
              </w:rPr>
              <w:t>gross domestic product (</w:t>
            </w:r>
            <w:r w:rsidRPr="00EE5A34">
              <w:rPr>
                <w:rFonts w:ascii="Times New Roman" w:eastAsia="Times New Roman" w:hAnsi="Times New Roman" w:cs="Times New Roman"/>
                <w:color w:val="000000" w:themeColor="text1"/>
                <w:lang w:val="en-IE"/>
              </w:rPr>
              <w:t>GDP</w:t>
            </w:r>
            <w:r w:rsidR="002824B3"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 xml:space="preserve"> to 20% by 2035. The Commission agrees that faster and more efficient permitting procedures must remain consistent with environmental protection requirements, public participation rights and access to justice. Furthermore, the Commission takes note of the </w:t>
            </w:r>
            <w:r w:rsidR="718AEC1B"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s support for the ‘</w:t>
            </w:r>
            <w:proofErr w:type="gramStart"/>
            <w:r w:rsidRPr="00EE5A34">
              <w:rPr>
                <w:rFonts w:ascii="Times New Roman" w:eastAsia="Times New Roman" w:hAnsi="Times New Roman" w:cs="Times New Roman"/>
                <w:color w:val="000000" w:themeColor="text1"/>
                <w:lang w:val="en-IE"/>
              </w:rPr>
              <w:t>low-carbon</w:t>
            </w:r>
            <w:proofErr w:type="gramEnd"/>
            <w:r w:rsidRPr="00EE5A34">
              <w:rPr>
                <w:rFonts w:ascii="Times New Roman" w:eastAsia="Times New Roman" w:hAnsi="Times New Roman" w:cs="Times New Roman"/>
                <w:color w:val="000000" w:themeColor="text1"/>
                <w:lang w:val="en-IE"/>
              </w:rPr>
              <w:t>’ and ‘Made in EU’ criteria and share</w:t>
            </w:r>
            <w:r w:rsidR="06A6E6DF" w:rsidRPr="00EE5A34">
              <w:rPr>
                <w:rFonts w:ascii="Times New Roman" w:eastAsia="Times New Roman" w:hAnsi="Times New Roman" w:cs="Times New Roman"/>
                <w:color w:val="000000" w:themeColor="text1"/>
                <w:lang w:val="en-IE"/>
              </w:rPr>
              <w:t>s</w:t>
            </w:r>
            <w:r w:rsidRPr="00EE5A34">
              <w:rPr>
                <w:rFonts w:ascii="Times New Roman" w:eastAsia="Times New Roman" w:hAnsi="Times New Roman" w:cs="Times New Roman"/>
                <w:color w:val="000000" w:themeColor="text1"/>
                <w:lang w:val="en-IE"/>
              </w:rPr>
              <w:t xml:space="preserve"> the Committee’s view on the importance of safeguarding</w:t>
            </w:r>
            <w:r w:rsidR="2E9B1A9B" w:rsidRPr="00EE5A34">
              <w:rPr>
                <w:rFonts w:ascii="Times New Roman" w:eastAsia="Times New Roman" w:hAnsi="Times New Roman" w:cs="Times New Roman"/>
                <w:color w:val="000000" w:themeColor="text1"/>
                <w:lang w:val="en-IE"/>
              </w:rPr>
              <w:t xml:space="preserve"> </w:t>
            </w:r>
            <w:r w:rsidRPr="00EE5A34">
              <w:rPr>
                <w:rFonts w:ascii="Times New Roman" w:eastAsia="Times New Roman" w:hAnsi="Times New Roman" w:cs="Times New Roman"/>
                <w:color w:val="000000" w:themeColor="text1"/>
                <w:lang w:val="en-IE"/>
              </w:rPr>
              <w:t xml:space="preserve">European value chains. Finally, the Commission shares the </w:t>
            </w:r>
            <w:r w:rsidR="5FC57D0B"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’s view that the</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success of the industrial transition will also depend on skills development and measures that ensure a</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 xml:space="preserve">fair </w:t>
            </w:r>
            <w:r w:rsidRPr="00EE5A34">
              <w:rPr>
                <w:rFonts w:ascii="Times New Roman" w:eastAsia="Times New Roman" w:hAnsi="Times New Roman" w:cs="Times New Roman"/>
                <w:color w:val="000000" w:themeColor="text1"/>
                <w:lang w:val="en-IE"/>
              </w:rPr>
              <w:lastRenderedPageBreak/>
              <w:t>and socially balanced transition. The Commission will continue to take these considerations into account during the legislative process and in the implementation of the IAA.</w:t>
            </w:r>
          </w:p>
          <w:p w14:paraId="510EB236" w14:textId="0400FEA2"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b/>
                <w:bCs/>
                <w:color w:val="000000" w:themeColor="text1"/>
                <w:lang w:val="en-IE"/>
              </w:rPr>
              <w:t>Permitting and acceleration areas</w:t>
            </w:r>
          </w:p>
          <w:p w14:paraId="675C5A22" w14:textId="77777777" w:rsidR="008B01DD"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shares the </w:t>
            </w:r>
            <w:r w:rsidR="2E782D98"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 xml:space="preserve">’s view that faster and more efficient permitting procedures are essential to accelerate industrial investment. To address delays and bottlenecks linked to structural factors, the IAA proposal introduces in Articles 4 and 5 measures aimed at improving coordination and administrative efficiency, including digital permitting procedures </w:t>
            </w:r>
            <w:r w:rsidRPr="00EE5A34">
              <w:rPr>
                <w:rFonts w:ascii="Times New Roman" w:eastAsia="Times New Roman" w:hAnsi="Times New Roman" w:cs="Times New Roman"/>
                <w:i/>
                <w:iCs/>
                <w:color w:val="000000" w:themeColor="text1"/>
                <w:lang w:val="en-IE"/>
              </w:rPr>
              <w:t xml:space="preserve">via </w:t>
            </w:r>
            <w:r w:rsidRPr="00EE5A34">
              <w:rPr>
                <w:rFonts w:ascii="Times New Roman" w:eastAsia="Times New Roman" w:hAnsi="Times New Roman" w:cs="Times New Roman"/>
                <w:color w:val="000000" w:themeColor="text1"/>
                <w:lang w:val="en-IE"/>
              </w:rPr>
              <w:t>the European Business Wallet, single permit applications, access points and clear time limits.</w:t>
            </w:r>
          </w:p>
          <w:p w14:paraId="0B5F4A2A" w14:textId="6D304C5C" w:rsidR="008B01DD"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acknowledges </w:t>
            </w:r>
            <w:r w:rsidR="3BA83B9D" w:rsidRPr="00EE5A34">
              <w:rPr>
                <w:rFonts w:ascii="Times New Roman" w:eastAsia="Times New Roman" w:hAnsi="Times New Roman" w:cs="Times New Roman"/>
                <w:color w:val="000000" w:themeColor="text1"/>
                <w:lang w:val="en-IE"/>
              </w:rPr>
              <w:t xml:space="preserve">the </w:t>
            </w:r>
            <w:r w:rsidR="008B01DD"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’s view that industrial acceleration areas must provide genuine benefits by enabling faster permitting and facilitating the deployment of strategic industrial projects. Under the Commission proposal, industrial acceleration areas will benefit from streamlined permitting through aggregated baseline permits (Art</w:t>
            </w:r>
            <w:r w:rsidR="002824B3" w:rsidRPr="00EE5A34">
              <w:rPr>
                <w:rFonts w:ascii="Times New Roman" w:eastAsia="Times New Roman" w:hAnsi="Times New Roman" w:cs="Times New Roman"/>
                <w:color w:val="000000" w:themeColor="text1"/>
                <w:lang w:val="en-IE"/>
              </w:rPr>
              <w:t>icle</w:t>
            </w:r>
            <w:r w:rsidRPr="00EE5A34">
              <w:rPr>
                <w:rFonts w:ascii="Times New Roman" w:eastAsia="Times New Roman" w:hAnsi="Times New Roman" w:cs="Times New Roman"/>
                <w:color w:val="000000" w:themeColor="text1"/>
                <w:lang w:val="en-IE"/>
              </w:rPr>
              <w:t xml:space="preserve"> 27 </w:t>
            </w:r>
            <w:r w:rsidR="002824B3" w:rsidRPr="00EE5A34">
              <w:rPr>
                <w:rFonts w:ascii="Times New Roman" w:eastAsia="Times New Roman" w:hAnsi="Times New Roman" w:cs="Times New Roman"/>
                <w:color w:val="000000" w:themeColor="text1"/>
                <w:lang w:val="en-IE"/>
              </w:rPr>
              <w:t xml:space="preserve">of the </w:t>
            </w:r>
            <w:r w:rsidRPr="00EE5A34">
              <w:rPr>
                <w:rFonts w:ascii="Times New Roman" w:eastAsia="Times New Roman" w:hAnsi="Times New Roman" w:cs="Times New Roman"/>
                <w:color w:val="000000" w:themeColor="text1"/>
                <w:lang w:val="en-IE"/>
              </w:rPr>
              <w:t>IAA</w:t>
            </w:r>
            <w:r w:rsidR="4EAD6CDA" w:rsidRPr="00EE5A34">
              <w:rPr>
                <w:rFonts w:ascii="Times New Roman" w:eastAsia="Times New Roman" w:hAnsi="Times New Roman" w:cs="Times New Roman"/>
                <w:color w:val="000000" w:themeColor="text1"/>
                <w:lang w:val="en-IE"/>
              </w:rPr>
              <w:t xml:space="preserve"> proposal</w:t>
            </w:r>
            <w:r w:rsidRPr="00EE5A34">
              <w:rPr>
                <w:rFonts w:ascii="Times New Roman" w:eastAsia="Times New Roman" w:hAnsi="Times New Roman" w:cs="Times New Roman"/>
                <w:color w:val="000000" w:themeColor="text1"/>
                <w:lang w:val="en-IE"/>
              </w:rPr>
              <w:t>). They will take advantage of facilitated access to energy infrastructure by ensuring that energy needs are assessed and reflected in network planning (Art</w:t>
            </w:r>
            <w:r w:rsidR="002824B3" w:rsidRPr="00EE5A34">
              <w:rPr>
                <w:rFonts w:ascii="Times New Roman" w:eastAsia="Times New Roman" w:hAnsi="Times New Roman" w:cs="Times New Roman"/>
                <w:color w:val="000000" w:themeColor="text1"/>
                <w:lang w:val="en-IE"/>
              </w:rPr>
              <w:t>icle</w:t>
            </w:r>
            <w:r w:rsidRPr="00EE5A34">
              <w:rPr>
                <w:rFonts w:ascii="Times New Roman" w:eastAsia="Times New Roman" w:hAnsi="Times New Roman" w:cs="Times New Roman"/>
                <w:color w:val="000000" w:themeColor="text1"/>
                <w:lang w:val="en-IE"/>
              </w:rPr>
              <w:t xml:space="preserve"> 26(1)(c) and (d) </w:t>
            </w:r>
            <w:r w:rsidR="002824B3" w:rsidRPr="00EE5A34">
              <w:rPr>
                <w:rFonts w:ascii="Times New Roman" w:eastAsia="Times New Roman" w:hAnsi="Times New Roman" w:cs="Times New Roman"/>
                <w:color w:val="000000" w:themeColor="text1"/>
                <w:lang w:val="en-IE"/>
              </w:rPr>
              <w:t xml:space="preserve">of the </w:t>
            </w:r>
            <w:r w:rsidRPr="00EE5A34">
              <w:rPr>
                <w:rFonts w:ascii="Times New Roman" w:eastAsia="Times New Roman" w:hAnsi="Times New Roman" w:cs="Times New Roman"/>
                <w:color w:val="000000" w:themeColor="text1"/>
                <w:lang w:val="en-IE"/>
              </w:rPr>
              <w:t>IAA</w:t>
            </w:r>
            <w:r w:rsidR="0C1C0117" w:rsidRPr="00EE5A34">
              <w:rPr>
                <w:rFonts w:ascii="Times New Roman" w:eastAsia="Times New Roman" w:hAnsi="Times New Roman" w:cs="Times New Roman"/>
                <w:color w:val="000000" w:themeColor="text1"/>
                <w:lang w:val="en-IE"/>
              </w:rPr>
              <w:t xml:space="preserve"> proposal</w:t>
            </w:r>
            <w:r w:rsidRPr="00EE5A34">
              <w:rPr>
                <w:rFonts w:ascii="Times New Roman" w:eastAsia="Times New Roman" w:hAnsi="Times New Roman" w:cs="Times New Roman"/>
                <w:color w:val="000000" w:themeColor="text1"/>
                <w:lang w:val="en-IE"/>
              </w:rPr>
              <w:t>). In addition, acceleration areas will contribute to addressing skills shortages by promoting training, apprenticeships and partnerships (Art</w:t>
            </w:r>
            <w:r w:rsidR="002824B3" w:rsidRPr="00EE5A34">
              <w:rPr>
                <w:rFonts w:ascii="Times New Roman" w:eastAsia="Times New Roman" w:hAnsi="Times New Roman" w:cs="Times New Roman"/>
                <w:color w:val="000000" w:themeColor="text1"/>
                <w:lang w:val="en-IE"/>
              </w:rPr>
              <w:t>icle</w:t>
            </w:r>
            <w:r w:rsidRPr="00EE5A34">
              <w:rPr>
                <w:rFonts w:ascii="Times New Roman" w:eastAsia="Times New Roman" w:hAnsi="Times New Roman" w:cs="Times New Roman"/>
                <w:color w:val="000000" w:themeColor="text1"/>
                <w:lang w:val="en-IE"/>
              </w:rPr>
              <w:t xml:space="preserve"> 26(1)(g), (h) and (i) </w:t>
            </w:r>
            <w:r w:rsidR="002824B3" w:rsidRPr="00EE5A34">
              <w:rPr>
                <w:rFonts w:ascii="Times New Roman" w:eastAsia="Times New Roman" w:hAnsi="Times New Roman" w:cs="Times New Roman"/>
                <w:color w:val="000000" w:themeColor="text1"/>
                <w:lang w:val="en-IE"/>
              </w:rPr>
              <w:t>of the</w:t>
            </w:r>
            <w:r w:rsidR="002F34D7"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IAA</w:t>
            </w:r>
            <w:r w:rsidR="1F38A4EE" w:rsidRPr="00EE5A34">
              <w:rPr>
                <w:rFonts w:ascii="Times New Roman" w:eastAsia="Times New Roman" w:hAnsi="Times New Roman" w:cs="Times New Roman"/>
                <w:color w:val="000000" w:themeColor="text1"/>
                <w:lang w:val="en-IE"/>
              </w:rPr>
              <w:t xml:space="preserve"> proposal</w:t>
            </w:r>
            <w:r w:rsidRPr="00EE5A34">
              <w:rPr>
                <w:rFonts w:ascii="Times New Roman" w:eastAsia="Times New Roman" w:hAnsi="Times New Roman" w:cs="Times New Roman"/>
                <w:color w:val="000000" w:themeColor="text1"/>
                <w:lang w:val="en-IE"/>
              </w:rPr>
              <w:t>).</w:t>
            </w:r>
          </w:p>
          <w:p w14:paraId="66160362" w14:textId="536957EF"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also takes note of the concerns regarding Natura 2000 and other sensitive areas and recalls that any designation must comply with </w:t>
            </w:r>
            <w:r w:rsidR="268C79A0" w:rsidRPr="00EE5A34">
              <w:rPr>
                <w:rFonts w:ascii="Times New Roman" w:eastAsia="Times New Roman" w:hAnsi="Times New Roman" w:cs="Times New Roman"/>
                <w:color w:val="000000" w:themeColor="text1"/>
                <w:lang w:val="en-IE"/>
              </w:rPr>
              <w:t xml:space="preserve">the </w:t>
            </w:r>
            <w:r w:rsidRPr="00EE5A34">
              <w:rPr>
                <w:rFonts w:ascii="Times New Roman" w:eastAsia="Times New Roman" w:hAnsi="Times New Roman" w:cs="Times New Roman"/>
                <w:color w:val="000000" w:themeColor="text1"/>
                <w:lang w:val="en-IE"/>
              </w:rPr>
              <w:t xml:space="preserve">Union’s environmental legislation and be based on appropriate environmental assessments. The Commission also recalls that acceleration areas are not aimed at increasing regional disparities, but at creating a level playing field through targeted measures. Effects on territorial cohesion are also listed among the relevant criteria to designate acceleration areas. The objective of the IAA is to ensure that each Member State designates at least one acceleration area where all industrial projects can benefit from, </w:t>
            </w:r>
            <w:r w:rsidRPr="00EE5A34">
              <w:rPr>
                <w:rFonts w:ascii="Times New Roman" w:eastAsia="Times New Roman" w:hAnsi="Times New Roman" w:cs="Times New Roman"/>
                <w:i/>
                <w:iCs/>
                <w:color w:val="000000" w:themeColor="text1"/>
                <w:lang w:val="en-IE"/>
              </w:rPr>
              <w:t>inter alia</w:t>
            </w:r>
            <w:r w:rsidRPr="00EE5A34">
              <w:rPr>
                <w:rFonts w:ascii="Times New Roman" w:eastAsia="Times New Roman" w:hAnsi="Times New Roman" w:cs="Times New Roman"/>
                <w:color w:val="000000" w:themeColor="text1"/>
                <w:lang w:val="en-IE"/>
              </w:rPr>
              <w:t>, faster permitting procedures</w:t>
            </w:r>
            <w:r w:rsidR="00B713BE" w:rsidRPr="00EE5A34">
              <w:rPr>
                <w:rFonts w:ascii="Times New Roman" w:eastAsia="Times New Roman" w:hAnsi="Times New Roman" w:cs="Times New Roman"/>
                <w:color w:val="000000" w:themeColor="text1"/>
                <w:lang w:val="en-IE"/>
              </w:rPr>
              <w:t xml:space="preserve">, </w:t>
            </w:r>
            <w:r w:rsidR="00387E7E" w:rsidRPr="00EE5A34">
              <w:rPr>
                <w:rFonts w:ascii="Times New Roman" w:eastAsia="Times New Roman" w:hAnsi="Times New Roman" w:cs="Times New Roman"/>
                <w:color w:val="000000" w:themeColor="text1"/>
                <w:lang w:val="en-IE"/>
              </w:rPr>
              <w:t>provided that the area hosts</w:t>
            </w:r>
            <w:r w:rsidR="00FC6A6C" w:rsidRPr="00EE5A34">
              <w:rPr>
                <w:rFonts w:ascii="Times New Roman" w:eastAsia="Times New Roman" w:hAnsi="Times New Roman" w:cs="Times New Roman"/>
                <w:color w:val="000000" w:themeColor="text1"/>
                <w:lang w:val="en-IE"/>
              </w:rPr>
              <w:t xml:space="preserve"> </w:t>
            </w:r>
            <w:r w:rsidR="00B713BE" w:rsidRPr="00EE5A34">
              <w:rPr>
                <w:rFonts w:ascii="Times New Roman" w:eastAsia="Times New Roman" w:hAnsi="Times New Roman" w:cs="Times New Roman"/>
                <w:color w:val="000000" w:themeColor="text1"/>
                <w:lang w:val="en-IE"/>
              </w:rPr>
              <w:t xml:space="preserve">at least one project </w:t>
            </w:r>
            <w:r w:rsidR="00FC6A6C" w:rsidRPr="00EE5A34">
              <w:rPr>
                <w:rFonts w:ascii="Times New Roman" w:eastAsia="Times New Roman" w:hAnsi="Times New Roman" w:cs="Times New Roman"/>
                <w:color w:val="000000" w:themeColor="text1"/>
                <w:lang w:val="en-IE"/>
              </w:rPr>
              <w:t xml:space="preserve">from </w:t>
            </w:r>
            <w:r w:rsidR="00387E7E" w:rsidRPr="00EE5A34">
              <w:rPr>
                <w:rFonts w:ascii="Times New Roman" w:eastAsia="Times New Roman" w:hAnsi="Times New Roman" w:cs="Times New Roman"/>
                <w:color w:val="000000" w:themeColor="text1"/>
                <w:lang w:val="en-IE"/>
              </w:rPr>
              <w:t xml:space="preserve">one of </w:t>
            </w:r>
            <w:r w:rsidR="00F974DA" w:rsidRPr="00EE5A34">
              <w:rPr>
                <w:rFonts w:ascii="Times New Roman" w:eastAsia="Times New Roman" w:hAnsi="Times New Roman" w:cs="Times New Roman"/>
                <w:color w:val="000000" w:themeColor="text1"/>
                <w:lang w:val="en-IE"/>
              </w:rPr>
              <w:t>the strategic sectors listed in Annex I</w:t>
            </w:r>
            <w:r w:rsidRPr="00EE5A34">
              <w:rPr>
                <w:rFonts w:ascii="Times New Roman" w:eastAsia="Times New Roman" w:hAnsi="Times New Roman" w:cs="Times New Roman"/>
                <w:color w:val="000000" w:themeColor="text1"/>
                <w:lang w:val="en-IE"/>
              </w:rPr>
              <w:t>.</w:t>
            </w:r>
          </w:p>
          <w:p w14:paraId="2E9FDB8E" w14:textId="1384F3F3"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b/>
                <w:bCs/>
                <w:color w:val="000000" w:themeColor="text1"/>
                <w:lang w:val="en-IE"/>
              </w:rPr>
              <w:t>Made in EU</w:t>
            </w:r>
          </w:p>
          <w:p w14:paraId="46160EA0" w14:textId="7FBAFD2F" w:rsidR="008B01DD"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takes note of the </w:t>
            </w:r>
            <w:r w:rsidR="242F9B95"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 xml:space="preserve">’s view on the importance of ensuring that the geographic scope of the proposal ensures effective </w:t>
            </w:r>
            <w:proofErr w:type="gramStart"/>
            <w:r w:rsidRPr="00EE5A34">
              <w:rPr>
                <w:rFonts w:ascii="Times New Roman" w:eastAsia="Times New Roman" w:hAnsi="Times New Roman" w:cs="Times New Roman"/>
                <w:color w:val="000000" w:themeColor="text1"/>
                <w:lang w:val="en-IE"/>
              </w:rPr>
              <w:t>reciprocity</w:t>
            </w:r>
            <w:r w:rsidR="0021312D"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 xml:space="preserve"> and</w:t>
            </w:r>
            <w:proofErr w:type="gramEnd"/>
            <w:r w:rsidRPr="00EE5A34">
              <w:rPr>
                <w:rFonts w:ascii="Times New Roman" w:eastAsia="Times New Roman" w:hAnsi="Times New Roman" w:cs="Times New Roman"/>
                <w:color w:val="000000" w:themeColor="text1"/>
                <w:lang w:val="en-IE"/>
              </w:rPr>
              <w:t xml:space="preserve"> is accompanied by appropriate safeguards. The</w:t>
            </w:r>
            <w:r w:rsidR="002F34D7"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Commission confirms that the purpose of the provisions on Union origin</w:t>
            </w:r>
            <w:r w:rsidR="002955AA" w:rsidRPr="00EE5A34">
              <w:rPr>
                <w:rFonts w:ascii="Times New Roman" w:eastAsia="Times New Roman" w:hAnsi="Times New Roman" w:cs="Times New Roman"/>
                <w:color w:val="000000" w:themeColor="text1"/>
                <w:lang w:val="en-IE"/>
              </w:rPr>
              <w:t xml:space="preserve"> </w:t>
            </w:r>
            <w:r w:rsidR="008B01DD" w:rsidRPr="00EE5A34">
              <w:rPr>
                <w:rFonts w:ascii="Times New Roman" w:eastAsia="Times New Roman" w:hAnsi="Times New Roman" w:cs="Times New Roman"/>
                <w:color w:val="000000" w:themeColor="text1"/>
                <w:lang w:val="en-IE"/>
              </w:rPr>
              <w:t>is</w:t>
            </w:r>
            <w:r w:rsidR="002955AA" w:rsidRPr="00EE5A34">
              <w:rPr>
                <w:rFonts w:ascii="Times New Roman" w:eastAsia="Times New Roman" w:hAnsi="Times New Roman" w:cs="Times New Roman"/>
                <w:color w:val="000000" w:themeColor="text1"/>
                <w:lang w:val="en-IE"/>
              </w:rPr>
              <w:t xml:space="preserve"> to foster the</w:t>
            </w:r>
            <w:r w:rsidR="002F34D7" w:rsidRPr="00EE5A34">
              <w:rPr>
                <w:rFonts w:ascii="Times New Roman" w:eastAsia="Times New Roman" w:hAnsi="Times New Roman" w:cs="Times New Roman"/>
                <w:color w:val="000000" w:themeColor="text1"/>
                <w:lang w:val="en-IE"/>
              </w:rPr>
              <w:t xml:space="preserve"> </w:t>
            </w:r>
            <w:r w:rsidR="00562DC5" w:rsidRPr="00EE5A34">
              <w:rPr>
                <w:rFonts w:ascii="Times New Roman" w:eastAsia="Times New Roman" w:hAnsi="Times New Roman" w:cs="Times New Roman"/>
                <w:color w:val="000000" w:themeColor="text1"/>
                <w:lang w:val="en-IE"/>
              </w:rPr>
              <w:t>creation of lead markets for European low-carbon industrial products</w:t>
            </w:r>
            <w:r w:rsidRPr="00EE5A34">
              <w:rPr>
                <w:rFonts w:ascii="Times New Roman" w:eastAsia="Times New Roman" w:hAnsi="Times New Roman" w:cs="Times New Roman"/>
                <w:color w:val="000000" w:themeColor="text1"/>
                <w:lang w:val="en-IE"/>
              </w:rPr>
              <w:t xml:space="preserve"> and</w:t>
            </w:r>
            <w:r w:rsidR="00EB6409" w:rsidRPr="00EE5A34">
              <w:rPr>
                <w:rFonts w:ascii="Times New Roman" w:eastAsia="Times New Roman" w:hAnsi="Times New Roman" w:cs="Times New Roman"/>
                <w:color w:val="000000" w:themeColor="text1"/>
                <w:lang w:val="en-IE"/>
              </w:rPr>
              <w:t xml:space="preserve"> </w:t>
            </w:r>
            <w:r w:rsidR="009D75DF" w:rsidRPr="00EE5A34">
              <w:rPr>
                <w:rFonts w:ascii="Times New Roman" w:eastAsia="Times New Roman" w:hAnsi="Times New Roman" w:cs="Times New Roman"/>
                <w:color w:val="000000" w:themeColor="text1"/>
                <w:lang w:val="en-IE"/>
              </w:rPr>
              <w:t>ensure the resilience and competitiveness of the</w:t>
            </w:r>
            <w:r w:rsidR="002F34D7" w:rsidRPr="00EE5A34">
              <w:rPr>
                <w:rFonts w:ascii="Times New Roman" w:eastAsia="Times New Roman" w:hAnsi="Times New Roman" w:cs="Times New Roman"/>
                <w:color w:val="000000" w:themeColor="text1"/>
                <w:lang w:val="en-IE"/>
              </w:rPr>
              <w:t> </w:t>
            </w:r>
            <w:r w:rsidR="009D75DF" w:rsidRPr="00EE5A34">
              <w:rPr>
                <w:rFonts w:ascii="Times New Roman" w:eastAsia="Times New Roman" w:hAnsi="Times New Roman" w:cs="Times New Roman"/>
                <w:color w:val="000000" w:themeColor="text1"/>
                <w:lang w:val="en-IE"/>
              </w:rPr>
              <w:t>EU’s manufacturing sector</w:t>
            </w:r>
            <w:r w:rsidR="00794732" w:rsidRPr="00EE5A34">
              <w:rPr>
                <w:rFonts w:ascii="Times New Roman" w:eastAsia="Times New Roman" w:hAnsi="Times New Roman" w:cs="Times New Roman"/>
                <w:color w:val="000000" w:themeColor="text1"/>
                <w:lang w:val="en-IE"/>
              </w:rPr>
              <w:t>, while safeguarding the EU’s</w:t>
            </w:r>
            <w:r w:rsidR="00B30DA6" w:rsidRPr="00EE5A34">
              <w:rPr>
                <w:rFonts w:ascii="Times New Roman" w:eastAsia="Times New Roman" w:hAnsi="Times New Roman" w:cs="Times New Roman"/>
                <w:color w:val="000000" w:themeColor="text1"/>
                <w:lang w:val="en-IE"/>
              </w:rPr>
              <w:t xml:space="preserve"> strategic autonomy</w:t>
            </w:r>
            <w:r w:rsidRPr="00EE5A34">
              <w:rPr>
                <w:rFonts w:ascii="Times New Roman" w:eastAsia="Times New Roman" w:hAnsi="Times New Roman" w:cs="Times New Roman"/>
                <w:color w:val="000000" w:themeColor="text1"/>
                <w:lang w:val="en-IE"/>
              </w:rPr>
              <w:t>. These considerations will remain key in the proposal</w:t>
            </w:r>
            <w:r w:rsidR="009D75DF" w:rsidRPr="00EE5A34">
              <w:rPr>
                <w:rFonts w:ascii="Times New Roman" w:eastAsia="Times New Roman" w:hAnsi="Times New Roman" w:cs="Times New Roman"/>
                <w:color w:val="000000" w:themeColor="text1"/>
                <w:lang w:val="en-IE"/>
              </w:rPr>
              <w:t>’s</w:t>
            </w:r>
            <w:r w:rsidRPr="00EE5A34">
              <w:rPr>
                <w:rFonts w:ascii="Times New Roman" w:eastAsia="Times New Roman" w:hAnsi="Times New Roman" w:cs="Times New Roman"/>
                <w:color w:val="000000" w:themeColor="text1"/>
                <w:lang w:val="en-IE"/>
              </w:rPr>
              <w:t xml:space="preserve"> implementation. The empowerment of the Commission to exclude third countries is indispensable for ensuring a quick reaction to geopolitical changes and uniform conditions of implementation across Member States.</w:t>
            </w:r>
            <w:r w:rsidR="09B3B57B" w:rsidRPr="00EE5A34">
              <w:rPr>
                <w:rFonts w:ascii="Times New Roman" w:eastAsia="Times New Roman" w:hAnsi="Times New Roman" w:cs="Times New Roman"/>
                <w:color w:val="000000" w:themeColor="text1"/>
                <w:lang w:val="en-IE"/>
              </w:rPr>
              <w:t xml:space="preserve"> At the same time, the proposal reflects a targeted and proportionate </w:t>
            </w:r>
            <w:r w:rsidR="521F8934" w:rsidRPr="00EE5A34">
              <w:rPr>
                <w:rFonts w:ascii="Times New Roman" w:eastAsia="Times New Roman" w:hAnsi="Times New Roman" w:cs="Times New Roman"/>
                <w:color w:val="000000" w:themeColor="text1"/>
                <w:lang w:val="en-IE"/>
              </w:rPr>
              <w:t xml:space="preserve">approach to </w:t>
            </w:r>
            <w:r w:rsidR="2F0B746C" w:rsidRPr="00EE5A34">
              <w:rPr>
                <w:rFonts w:ascii="Times New Roman" w:eastAsia="Times New Roman" w:hAnsi="Times New Roman" w:cs="Times New Roman"/>
                <w:color w:val="000000" w:themeColor="text1"/>
                <w:lang w:val="en-IE"/>
              </w:rPr>
              <w:t>respect</w:t>
            </w:r>
            <w:r w:rsidR="09B3B57B" w:rsidRPr="00EE5A34">
              <w:rPr>
                <w:rFonts w:ascii="Times New Roman" w:eastAsia="Times New Roman" w:hAnsi="Times New Roman" w:cs="Times New Roman"/>
                <w:color w:val="000000" w:themeColor="text1"/>
                <w:lang w:val="en-IE"/>
              </w:rPr>
              <w:t xml:space="preserve"> </w:t>
            </w:r>
            <w:r w:rsidR="002824B3" w:rsidRPr="00EE5A34">
              <w:rPr>
                <w:rFonts w:ascii="Times New Roman" w:eastAsia="Times New Roman" w:hAnsi="Times New Roman" w:cs="Times New Roman"/>
                <w:color w:val="000000" w:themeColor="text1"/>
                <w:lang w:val="en-IE"/>
              </w:rPr>
              <w:t>EU</w:t>
            </w:r>
            <w:r w:rsidR="760DA48B" w:rsidRPr="00EE5A34">
              <w:rPr>
                <w:rFonts w:ascii="Times New Roman" w:eastAsia="Times New Roman" w:hAnsi="Times New Roman" w:cs="Times New Roman"/>
                <w:color w:val="000000" w:themeColor="text1"/>
                <w:lang w:val="en-IE"/>
              </w:rPr>
              <w:t xml:space="preserve"> commitments towards international partners and preserv</w:t>
            </w:r>
            <w:r w:rsidR="5EFFDDFF" w:rsidRPr="00EE5A34">
              <w:rPr>
                <w:rFonts w:ascii="Times New Roman" w:eastAsia="Times New Roman" w:hAnsi="Times New Roman" w:cs="Times New Roman"/>
                <w:color w:val="000000" w:themeColor="text1"/>
                <w:lang w:val="en-IE"/>
              </w:rPr>
              <w:t>e</w:t>
            </w:r>
            <w:r w:rsidR="760DA48B" w:rsidRPr="00EE5A34">
              <w:rPr>
                <w:rFonts w:ascii="Times New Roman" w:eastAsia="Times New Roman" w:hAnsi="Times New Roman" w:cs="Times New Roman"/>
                <w:color w:val="000000" w:themeColor="text1"/>
                <w:lang w:val="en-IE"/>
              </w:rPr>
              <w:t xml:space="preserve"> </w:t>
            </w:r>
            <w:r w:rsidR="002824B3" w:rsidRPr="00EE5A34">
              <w:rPr>
                <w:rFonts w:ascii="Times New Roman" w:eastAsia="Times New Roman" w:hAnsi="Times New Roman" w:cs="Times New Roman"/>
                <w:color w:val="000000" w:themeColor="text1"/>
                <w:lang w:val="en-IE"/>
              </w:rPr>
              <w:t xml:space="preserve">its </w:t>
            </w:r>
            <w:r w:rsidR="760DA48B" w:rsidRPr="00EE5A34">
              <w:rPr>
                <w:rFonts w:ascii="Times New Roman" w:eastAsia="Times New Roman" w:hAnsi="Times New Roman" w:cs="Times New Roman"/>
                <w:color w:val="000000" w:themeColor="text1"/>
                <w:lang w:val="en-IE"/>
              </w:rPr>
              <w:t>openness to international trade on fair terms.</w:t>
            </w:r>
          </w:p>
          <w:p w14:paraId="32E9FF1E" w14:textId="39A1B06C" w:rsidR="008B01DD"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takes </w:t>
            </w:r>
            <w:r w:rsidR="488AAFA6" w:rsidRPr="00EE5A34">
              <w:rPr>
                <w:rFonts w:ascii="Times New Roman" w:eastAsia="Times New Roman" w:hAnsi="Times New Roman" w:cs="Times New Roman"/>
                <w:color w:val="000000" w:themeColor="text1"/>
                <w:lang w:val="en-IE"/>
              </w:rPr>
              <w:t xml:space="preserve">further </w:t>
            </w:r>
            <w:r w:rsidRPr="00EE5A34">
              <w:rPr>
                <w:rFonts w:ascii="Times New Roman" w:eastAsia="Times New Roman" w:hAnsi="Times New Roman" w:cs="Times New Roman"/>
                <w:color w:val="000000" w:themeColor="text1"/>
                <w:lang w:val="en-IE"/>
              </w:rPr>
              <w:t>note of</w:t>
            </w:r>
            <w:r w:rsidR="42CE2821" w:rsidRPr="00EE5A34">
              <w:rPr>
                <w:rFonts w:ascii="Times New Roman" w:eastAsia="Times New Roman" w:hAnsi="Times New Roman" w:cs="Times New Roman"/>
                <w:color w:val="000000" w:themeColor="text1"/>
                <w:lang w:val="en-IE"/>
              </w:rPr>
              <w:t xml:space="preserve"> the</w:t>
            </w:r>
            <w:r w:rsidR="10AC30A0" w:rsidRPr="00EE5A34">
              <w:rPr>
                <w:rFonts w:ascii="Times New Roman" w:eastAsia="Times New Roman" w:hAnsi="Times New Roman" w:cs="Times New Roman"/>
                <w:color w:val="000000" w:themeColor="text1"/>
                <w:lang w:val="en-IE"/>
              </w:rPr>
              <w:t xml:space="preserve"> </w:t>
            </w:r>
            <w:r w:rsidR="35A966C8" w:rsidRPr="00EE5A34">
              <w:rPr>
                <w:rFonts w:ascii="Times New Roman" w:eastAsia="Times New Roman" w:hAnsi="Times New Roman" w:cs="Times New Roman"/>
                <w:color w:val="000000" w:themeColor="text1"/>
                <w:lang w:val="en-IE"/>
              </w:rPr>
              <w:t>Committee’s v</w:t>
            </w:r>
            <w:r w:rsidRPr="00EE5A34">
              <w:rPr>
                <w:rFonts w:ascii="Times New Roman" w:eastAsia="Times New Roman" w:hAnsi="Times New Roman" w:cs="Times New Roman"/>
                <w:color w:val="000000" w:themeColor="text1"/>
                <w:lang w:val="en-IE"/>
              </w:rPr>
              <w:t xml:space="preserve">iew that ‘Made in EU’ criteria should be extended to steel. The Commission recalls that the steel sector is already covered by a comprehensive EU protection </w:t>
            </w:r>
            <w:r w:rsidRPr="00EE5A34">
              <w:rPr>
                <w:rFonts w:ascii="Times New Roman" w:eastAsia="Times New Roman" w:hAnsi="Times New Roman" w:cs="Times New Roman"/>
                <w:color w:val="000000" w:themeColor="text1"/>
                <w:lang w:val="en-IE"/>
              </w:rPr>
              <w:lastRenderedPageBreak/>
              <w:t>framework addressing carbon leakage through the Carbon Border Adjustment Mechanism</w:t>
            </w:r>
            <w:r w:rsidRPr="00EE5A34">
              <w:rPr>
                <w:rStyle w:val="FootnoteReference"/>
                <w:rFonts w:ascii="Times New Roman" w:eastAsia="Times New Roman" w:hAnsi="Times New Roman" w:cs="Times New Roman"/>
                <w:color w:val="000000" w:themeColor="text1"/>
                <w:lang w:val="en-IE"/>
              </w:rPr>
              <w:footnoteReference w:id="3"/>
            </w:r>
            <w:r w:rsidRPr="00EE5A34">
              <w:rPr>
                <w:rFonts w:ascii="Times New Roman" w:eastAsia="Times New Roman" w:hAnsi="Times New Roman" w:cs="Times New Roman"/>
                <w:color w:val="000000" w:themeColor="text1"/>
                <w:lang w:val="en-IE"/>
              </w:rPr>
              <w:t xml:space="preserve"> and import surges linked to global overcapacity through the EU’s Steel Regulation which entered into force in July</w:t>
            </w:r>
            <w:r w:rsidR="00EE5A34"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2026</w:t>
            </w:r>
            <w:r w:rsidRPr="00EE5A34">
              <w:rPr>
                <w:rStyle w:val="FootnoteReference"/>
                <w:rFonts w:ascii="Times New Roman" w:eastAsia="Times New Roman" w:hAnsi="Times New Roman" w:cs="Times New Roman"/>
                <w:color w:val="000000" w:themeColor="text1"/>
                <w:lang w:val="en-IE"/>
              </w:rPr>
              <w:footnoteReference w:id="4"/>
            </w:r>
            <w:r w:rsidR="002824B3" w:rsidRPr="00EE5A34">
              <w:rPr>
                <w:rFonts w:ascii="Times New Roman" w:eastAsia="Times New Roman" w:hAnsi="Times New Roman" w:cs="Times New Roman"/>
                <w:color w:val="000000" w:themeColor="text1"/>
                <w:lang w:val="en-IE"/>
              </w:rPr>
              <w:t>.</w:t>
            </w:r>
          </w:p>
          <w:p w14:paraId="1466B4ED" w14:textId="68D2AC5D"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 xml:space="preserve">The Commission takes note of </w:t>
            </w:r>
            <w:r w:rsidR="377E0874" w:rsidRPr="00EE5A34">
              <w:rPr>
                <w:rFonts w:ascii="Times New Roman" w:eastAsia="Times New Roman" w:hAnsi="Times New Roman" w:cs="Times New Roman"/>
                <w:color w:val="000000" w:themeColor="text1"/>
                <w:lang w:val="en-IE"/>
              </w:rPr>
              <w:t xml:space="preserve">the </w:t>
            </w:r>
            <w:r w:rsidR="551B4CF6" w:rsidRPr="00EE5A34">
              <w:rPr>
                <w:rFonts w:ascii="Times New Roman" w:eastAsia="Times New Roman" w:hAnsi="Times New Roman" w:cs="Times New Roman"/>
                <w:color w:val="000000" w:themeColor="text1"/>
                <w:lang w:val="en-IE"/>
              </w:rPr>
              <w:t>Committee</w:t>
            </w:r>
            <w:r w:rsidRPr="00EE5A34">
              <w:rPr>
                <w:rFonts w:ascii="Times New Roman" w:eastAsia="Times New Roman" w:hAnsi="Times New Roman" w:cs="Times New Roman"/>
                <w:color w:val="000000" w:themeColor="text1"/>
                <w:lang w:val="en-IE"/>
              </w:rPr>
              <w:t>’s interest in the role of private procurement and private sector-driven demand in supporting the objectives of the IAA. This approach is fully aligned with Article</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16 of the</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proposal, which empowers the Commission to introduce demand-side measures for products in the</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chemical sector.</w:t>
            </w:r>
          </w:p>
          <w:p w14:paraId="5940C271" w14:textId="5DA10F7C"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b/>
                <w:bCs/>
                <w:color w:val="000000" w:themeColor="text1"/>
                <w:lang w:val="en-IE"/>
              </w:rPr>
              <w:t>Foreign direct investments</w:t>
            </w:r>
          </w:p>
          <w:p w14:paraId="7B9CE034" w14:textId="538593F9" w:rsidR="008B01DD"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The Commission shares the Committee’s view on the importance of ensuring that foreign direct investments contribute to</w:t>
            </w:r>
            <w:r w:rsidR="1AE224D0" w:rsidRPr="00EE5A34">
              <w:rPr>
                <w:rFonts w:ascii="Times New Roman" w:eastAsia="Times New Roman" w:hAnsi="Times New Roman" w:cs="Times New Roman"/>
                <w:color w:val="000000" w:themeColor="text1"/>
                <w:lang w:val="en-IE"/>
              </w:rPr>
              <w:t xml:space="preserve"> the</w:t>
            </w:r>
            <w:r w:rsidRPr="00EE5A34">
              <w:rPr>
                <w:rFonts w:ascii="Times New Roman" w:eastAsia="Times New Roman" w:hAnsi="Times New Roman" w:cs="Times New Roman"/>
                <w:color w:val="000000" w:themeColor="text1"/>
                <w:lang w:val="en-IE"/>
              </w:rPr>
              <w:t xml:space="preserve"> Union’s value creation, strengthen industrial ecosystems and support the Union’s strategic objectives, including decarbonisation, circularity and high environmental and social standards. The</w:t>
            </w:r>
            <w:r w:rsidR="002824B3" w:rsidRPr="00EE5A34">
              <w:rPr>
                <w:rFonts w:ascii="Times New Roman" w:eastAsia="Times New Roman" w:hAnsi="Times New Roman" w:cs="Times New Roman"/>
                <w:color w:val="000000" w:themeColor="text1"/>
                <w:lang w:val="en-IE"/>
              </w:rPr>
              <w:t> </w:t>
            </w:r>
            <w:r w:rsidRPr="00EE5A34">
              <w:rPr>
                <w:rFonts w:ascii="Times New Roman" w:eastAsia="Times New Roman" w:hAnsi="Times New Roman" w:cs="Times New Roman"/>
                <w:color w:val="000000" w:themeColor="text1"/>
                <w:lang w:val="en-IE"/>
              </w:rPr>
              <w:t>Commission is also mindful of the need to avoid unnecessary administrative burdens and will ensure that the implementation of the IAA is coherent with existing instruments, including the Foreign Direct Investment Screening Regulation</w:t>
            </w:r>
            <w:r w:rsidR="00797AD4" w:rsidRPr="00EE5A34">
              <w:rPr>
                <w:rStyle w:val="FootnoteReference"/>
                <w:rFonts w:ascii="Times New Roman" w:eastAsia="Times New Roman" w:hAnsi="Times New Roman" w:cs="Times New Roman"/>
                <w:color w:val="000000" w:themeColor="text1"/>
                <w:lang w:val="en-IE"/>
              </w:rPr>
              <w:footnoteReference w:id="5"/>
            </w:r>
            <w:r w:rsidR="002824B3" w:rsidRPr="00EE5A34">
              <w:rPr>
                <w:rFonts w:ascii="Times New Roman" w:eastAsia="Times New Roman" w:hAnsi="Times New Roman" w:cs="Times New Roman"/>
                <w:color w:val="000000" w:themeColor="text1"/>
                <w:lang w:val="en-IE"/>
              </w:rPr>
              <w:t>.</w:t>
            </w:r>
            <w:r w:rsidRPr="00EE5A34">
              <w:rPr>
                <w:rFonts w:ascii="Times New Roman" w:eastAsia="Times New Roman" w:hAnsi="Times New Roman" w:cs="Times New Roman"/>
                <w:color w:val="000000" w:themeColor="text1"/>
                <w:lang w:val="en-IE"/>
              </w:rPr>
              <w:t xml:space="preserve"> In this context, the Commission proposed measures in a very targeted manner, ensuring that large investments in certain emerging strategic sectors add value to the Union’s economy and contribute to its supply security.</w:t>
            </w:r>
          </w:p>
          <w:p w14:paraId="5F122459" w14:textId="797A6B67" w:rsidR="00797AD4" w:rsidRPr="00EE5A34" w:rsidRDefault="54FBB931" w:rsidP="004D1C10">
            <w:pPr>
              <w:spacing w:before="120" w:after="120" w:line="276" w:lineRule="auto"/>
              <w:jc w:val="both"/>
              <w:rPr>
                <w:rFonts w:ascii="Times New Roman" w:eastAsia="Times New Roman" w:hAnsi="Times New Roman" w:cs="Times New Roman"/>
                <w:color w:val="000000" w:themeColor="text1"/>
                <w:lang w:val="en-IE"/>
              </w:rPr>
            </w:pPr>
            <w:r w:rsidRPr="00EE5A34">
              <w:rPr>
                <w:rFonts w:ascii="Times New Roman" w:eastAsia="Times New Roman" w:hAnsi="Times New Roman" w:cs="Times New Roman"/>
                <w:color w:val="000000" w:themeColor="text1"/>
                <w:lang w:val="en-IE"/>
              </w:rPr>
              <w:t>Furthermore, the Commission fully recognises the importance of a skilled workforce for maintaining Europe’s industrial competitiveness and strategic autonomy. For this reason, the proposal includes workforce-related safeguards, notably in Art</w:t>
            </w:r>
            <w:r w:rsidR="002824B3" w:rsidRPr="00EE5A34">
              <w:rPr>
                <w:rFonts w:ascii="Times New Roman" w:eastAsia="Times New Roman" w:hAnsi="Times New Roman" w:cs="Times New Roman"/>
                <w:color w:val="000000" w:themeColor="text1"/>
                <w:lang w:val="en-IE"/>
              </w:rPr>
              <w:t>icle </w:t>
            </w:r>
            <w:r w:rsidRPr="00EE5A34">
              <w:rPr>
                <w:rFonts w:ascii="Times New Roman" w:eastAsia="Times New Roman" w:hAnsi="Times New Roman" w:cs="Times New Roman"/>
                <w:color w:val="000000" w:themeColor="text1"/>
                <w:lang w:val="en-IE"/>
              </w:rPr>
              <w:t>18, which provides that, as an investment criterion, at least 50% of the workforce employed in the context of the foreign direct investment must consist of Union workers across all categories of positions, including operational, technical, supervisory and managerial roles.</w:t>
            </w:r>
          </w:p>
        </w:tc>
      </w:tr>
    </w:tbl>
    <w:p w14:paraId="2C078E63" w14:textId="43212127" w:rsidR="00DF4212" w:rsidRPr="00EE5A34" w:rsidRDefault="00DF4212" w:rsidP="006D48C8">
      <w:pPr>
        <w:spacing w:after="0" w:line="240" w:lineRule="auto"/>
        <w:ind w:left="-567"/>
        <w:rPr>
          <w:rFonts w:ascii="Times New Roman" w:hAnsi="Times New Roman" w:cs="Times New Roman"/>
          <w:sz w:val="10"/>
          <w:szCs w:val="10"/>
          <w:lang w:val="en-IE"/>
        </w:rPr>
      </w:pPr>
    </w:p>
    <w:sectPr w:rsidR="00DF4212" w:rsidRPr="00EE5A34">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6225C9" w14:textId="77777777" w:rsidR="00023D5A" w:rsidRDefault="00023D5A" w:rsidP="00F46004">
      <w:pPr>
        <w:spacing w:after="0" w:line="240" w:lineRule="auto"/>
      </w:pPr>
      <w:r>
        <w:separator/>
      </w:r>
    </w:p>
  </w:endnote>
  <w:endnote w:type="continuationSeparator" w:id="0">
    <w:p w14:paraId="434A3F76" w14:textId="77777777" w:rsidR="00023D5A" w:rsidRDefault="00023D5A" w:rsidP="00F460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6BFA" w14:textId="77777777" w:rsidR="001E0D5E" w:rsidRDefault="001E0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006177"/>
      <w:docPartObj>
        <w:docPartGallery w:val="Page Numbers (Bottom of Page)"/>
        <w:docPartUnique/>
      </w:docPartObj>
    </w:sdtPr>
    <w:sdtEndPr>
      <w:rPr>
        <w:rFonts w:ascii="Times New Roman" w:hAnsi="Times New Roman" w:cs="Times New Roman"/>
        <w:noProof/>
      </w:rPr>
    </w:sdtEndPr>
    <w:sdtContent>
      <w:p w14:paraId="624D3C2E" w14:textId="5A74723C" w:rsidR="001E0D5E" w:rsidRPr="001E0D5E" w:rsidRDefault="001E0D5E">
        <w:pPr>
          <w:pStyle w:val="Footer"/>
          <w:jc w:val="right"/>
          <w:rPr>
            <w:rFonts w:ascii="Times New Roman" w:hAnsi="Times New Roman" w:cs="Times New Roman"/>
          </w:rPr>
        </w:pPr>
        <w:r w:rsidRPr="001E0D5E">
          <w:rPr>
            <w:rFonts w:ascii="Times New Roman" w:hAnsi="Times New Roman" w:cs="Times New Roman"/>
          </w:rPr>
          <w:fldChar w:fldCharType="begin"/>
        </w:r>
        <w:r w:rsidRPr="001E0D5E">
          <w:rPr>
            <w:rFonts w:ascii="Times New Roman" w:hAnsi="Times New Roman" w:cs="Times New Roman"/>
          </w:rPr>
          <w:instrText xml:space="preserve"> PAGE   \* MERGEFORMAT </w:instrText>
        </w:r>
        <w:r w:rsidRPr="001E0D5E">
          <w:rPr>
            <w:rFonts w:ascii="Times New Roman" w:hAnsi="Times New Roman" w:cs="Times New Roman"/>
          </w:rPr>
          <w:fldChar w:fldCharType="separate"/>
        </w:r>
        <w:r w:rsidRPr="001E0D5E">
          <w:rPr>
            <w:rFonts w:ascii="Times New Roman" w:hAnsi="Times New Roman" w:cs="Times New Roman"/>
            <w:noProof/>
          </w:rPr>
          <w:t>2</w:t>
        </w:r>
        <w:r w:rsidRPr="001E0D5E">
          <w:rPr>
            <w:rFonts w:ascii="Times New Roman" w:hAnsi="Times New Roman" w:cs="Times New Roman"/>
            <w:noProof/>
          </w:rPr>
          <w:fldChar w:fldCharType="end"/>
        </w:r>
      </w:p>
    </w:sdtContent>
  </w:sdt>
  <w:p w14:paraId="6B70489E" w14:textId="77777777" w:rsidR="001E0D5E" w:rsidRDefault="001E0D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A2653" w14:textId="77777777" w:rsidR="001E0D5E" w:rsidRDefault="001E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F1619" w14:textId="77777777" w:rsidR="00023D5A" w:rsidRDefault="00023D5A" w:rsidP="00F46004">
      <w:pPr>
        <w:spacing w:after="0" w:line="240" w:lineRule="auto"/>
      </w:pPr>
      <w:r>
        <w:separator/>
      </w:r>
    </w:p>
  </w:footnote>
  <w:footnote w:type="continuationSeparator" w:id="0">
    <w:p w14:paraId="20545FC2" w14:textId="77777777" w:rsidR="00023D5A" w:rsidRDefault="00023D5A" w:rsidP="00F46004">
      <w:pPr>
        <w:spacing w:after="0" w:line="240" w:lineRule="auto"/>
      </w:pPr>
      <w:r>
        <w:continuationSeparator/>
      </w:r>
    </w:p>
  </w:footnote>
  <w:footnote w:id="1">
    <w:p w14:paraId="68377C93" w14:textId="34A1DD51" w:rsidR="7869E62C" w:rsidRPr="006F7424" w:rsidRDefault="7869E62C" w:rsidP="003E1CCE">
      <w:pPr>
        <w:pStyle w:val="FootnoteText"/>
        <w:ind w:left="-142" w:right="-421" w:hanging="284"/>
        <w:jc w:val="both"/>
        <w:rPr>
          <w:rFonts w:ascii="Times New Roman" w:hAnsi="Times New Roman" w:cs="Times New Roman"/>
          <w:lang w:val="en-IE"/>
        </w:rPr>
      </w:pPr>
      <w:r w:rsidRPr="00EE5A34">
        <w:rPr>
          <w:rStyle w:val="FootnoteReference"/>
          <w:rFonts w:ascii="Times New Roman" w:hAnsi="Times New Roman" w:cs="Times New Roman"/>
        </w:rPr>
        <w:footnoteRef/>
      </w:r>
      <w:r w:rsidR="045E7DEA" w:rsidRPr="006F7424">
        <w:rPr>
          <w:rFonts w:ascii="Times New Roman" w:hAnsi="Times New Roman" w:cs="Times New Roman"/>
          <w:lang w:val="en-IE"/>
        </w:rPr>
        <w:t xml:space="preserve"> </w:t>
      </w:r>
      <w:r w:rsidR="002824B3" w:rsidRPr="006F7424">
        <w:rPr>
          <w:rFonts w:ascii="Times New Roman" w:hAnsi="Times New Roman" w:cs="Times New Roman"/>
          <w:lang w:val="en-IE"/>
        </w:rPr>
        <w:tab/>
      </w:r>
      <w:r w:rsidR="045E7DEA" w:rsidRPr="006F7424">
        <w:rPr>
          <w:rFonts w:ascii="Times New Roman" w:eastAsia="Times New Roman" w:hAnsi="Times New Roman" w:cs="Times New Roman"/>
          <w:color w:val="000000" w:themeColor="text1"/>
          <w:lang w:val="en-IE"/>
        </w:rPr>
        <w:t>COM(2026) 100 final (</w:t>
      </w:r>
      <w:hyperlink r:id="rId1">
        <w:r w:rsidR="045E7DEA" w:rsidRPr="006F7424">
          <w:rPr>
            <w:rStyle w:val="Hyperlink"/>
            <w:rFonts w:ascii="Times New Roman" w:eastAsia="Times New Roman" w:hAnsi="Times New Roman" w:cs="Times New Roman"/>
            <w:lang w:val="en-IE"/>
          </w:rPr>
          <w:t>EUR-Lex - 52026PC0100 - EN - EUR-Lex)</w:t>
        </w:r>
      </w:hyperlink>
      <w:r w:rsidR="002824B3" w:rsidRPr="006F7424">
        <w:rPr>
          <w:rFonts w:ascii="Times New Roman" w:hAnsi="Times New Roman" w:cs="Times New Roman"/>
          <w:lang w:val="en-IE"/>
        </w:rPr>
        <w:t>.</w:t>
      </w:r>
    </w:p>
  </w:footnote>
  <w:footnote w:id="2">
    <w:p w14:paraId="35C03DE0" w14:textId="4E8007D0" w:rsidR="7869E62C" w:rsidRPr="006F7424" w:rsidRDefault="7869E62C" w:rsidP="003E1CCE">
      <w:pPr>
        <w:pStyle w:val="FootnoteText"/>
        <w:shd w:val="clear" w:color="auto" w:fill="FFFFFF" w:themeFill="background1"/>
        <w:ind w:left="-142" w:right="-421" w:hanging="284"/>
        <w:jc w:val="both"/>
        <w:rPr>
          <w:rFonts w:ascii="Times New Roman" w:hAnsi="Times New Roman" w:cs="Times New Roman"/>
          <w:lang w:val="en-IE"/>
        </w:rPr>
      </w:pPr>
      <w:r w:rsidRPr="00EE5A34">
        <w:rPr>
          <w:rStyle w:val="FootnoteReference"/>
          <w:rFonts w:ascii="Times New Roman" w:hAnsi="Times New Roman" w:cs="Times New Roman"/>
        </w:rPr>
        <w:footnoteRef/>
      </w:r>
      <w:r w:rsidR="045E7DEA" w:rsidRPr="006F7424">
        <w:rPr>
          <w:rFonts w:ascii="Times New Roman" w:hAnsi="Times New Roman" w:cs="Times New Roman"/>
          <w:lang w:val="en-IE"/>
        </w:rPr>
        <w:t xml:space="preserve"> </w:t>
      </w:r>
      <w:r w:rsidR="002824B3" w:rsidRPr="006F7424">
        <w:rPr>
          <w:rFonts w:ascii="Times New Roman" w:hAnsi="Times New Roman" w:cs="Times New Roman"/>
          <w:lang w:val="en-IE"/>
        </w:rPr>
        <w:tab/>
      </w:r>
      <w:r w:rsidR="045E7DEA" w:rsidRPr="006F7424">
        <w:rPr>
          <w:rFonts w:ascii="Times New Roman" w:eastAsia="Times New Roman" w:hAnsi="Times New Roman" w:cs="Times New Roman"/>
          <w:color w:val="333333"/>
          <w:lang w:val="en-IE"/>
        </w:rPr>
        <w:t>COM</w:t>
      </w:r>
      <w:r w:rsidR="00CA5F6A" w:rsidRPr="006F7424">
        <w:rPr>
          <w:rFonts w:ascii="Times New Roman" w:eastAsia="Times New Roman" w:hAnsi="Times New Roman" w:cs="Times New Roman"/>
          <w:color w:val="333333"/>
          <w:lang w:val="en-IE"/>
        </w:rPr>
        <w:t>(</w:t>
      </w:r>
      <w:r w:rsidR="045E7DEA" w:rsidRPr="006F7424">
        <w:rPr>
          <w:rFonts w:ascii="Times New Roman" w:eastAsia="Times New Roman" w:hAnsi="Times New Roman" w:cs="Times New Roman"/>
          <w:color w:val="333333"/>
          <w:lang w:val="en-IE"/>
        </w:rPr>
        <w:t>2025</w:t>
      </w:r>
      <w:r w:rsidR="00CA5F6A" w:rsidRPr="006F7424">
        <w:rPr>
          <w:rFonts w:ascii="Times New Roman" w:eastAsia="Times New Roman" w:hAnsi="Times New Roman" w:cs="Times New Roman"/>
          <w:color w:val="333333"/>
          <w:lang w:val="en-IE"/>
        </w:rPr>
        <w:t xml:space="preserve">) </w:t>
      </w:r>
      <w:r w:rsidR="045E7DEA" w:rsidRPr="006F7424">
        <w:rPr>
          <w:rFonts w:ascii="Times New Roman" w:eastAsia="Times New Roman" w:hAnsi="Times New Roman" w:cs="Times New Roman"/>
          <w:color w:val="333333"/>
          <w:lang w:val="en-IE"/>
        </w:rPr>
        <w:t>85 final (</w:t>
      </w:r>
      <w:hyperlink r:id="rId2" w:history="1">
        <w:r w:rsidR="00CA5F6A" w:rsidRPr="006F7424">
          <w:rPr>
            <w:rStyle w:val="Hyperlink"/>
            <w:rFonts w:ascii="Times New Roman" w:hAnsi="Times New Roman" w:cs="Times New Roman"/>
            <w:lang w:val="en-IE"/>
          </w:rPr>
          <w:t>EUR-Lex - 52025DC0085 - EN - EUR-Lex</w:t>
        </w:r>
      </w:hyperlink>
      <w:r w:rsidR="00CA5F6A" w:rsidRPr="006F7424">
        <w:rPr>
          <w:rFonts w:ascii="Times New Roman" w:hAnsi="Times New Roman" w:cs="Times New Roman"/>
          <w:lang w:val="en-IE"/>
        </w:rPr>
        <w:t>)</w:t>
      </w:r>
      <w:r w:rsidR="002824B3" w:rsidRPr="006F7424">
        <w:rPr>
          <w:rFonts w:ascii="Times New Roman" w:hAnsi="Times New Roman" w:cs="Times New Roman"/>
          <w:lang w:val="en-IE"/>
        </w:rPr>
        <w:t>.</w:t>
      </w:r>
    </w:p>
  </w:footnote>
  <w:footnote w:id="3">
    <w:p w14:paraId="650BF2DA" w14:textId="3A35BDC6" w:rsidR="7869E62C" w:rsidRPr="00EE5A34" w:rsidRDefault="7869E62C" w:rsidP="003E1CCE">
      <w:pPr>
        <w:pStyle w:val="FootnoteText"/>
        <w:ind w:left="-142" w:right="-421" w:hanging="284"/>
        <w:jc w:val="both"/>
        <w:rPr>
          <w:rFonts w:ascii="Times New Roman" w:hAnsi="Times New Roman" w:cs="Times New Roman"/>
        </w:rPr>
      </w:pPr>
      <w:r w:rsidRPr="00EE5A34">
        <w:rPr>
          <w:rStyle w:val="FootnoteReference"/>
          <w:rFonts w:ascii="Times New Roman" w:hAnsi="Times New Roman" w:cs="Times New Roman"/>
        </w:rPr>
        <w:footnoteRef/>
      </w:r>
      <w:r w:rsidR="045E7DEA" w:rsidRPr="00EE5A34">
        <w:rPr>
          <w:rFonts w:ascii="Times New Roman" w:hAnsi="Times New Roman" w:cs="Times New Roman"/>
        </w:rPr>
        <w:t xml:space="preserve"> </w:t>
      </w:r>
      <w:r w:rsidR="002824B3" w:rsidRPr="00EE5A34">
        <w:rPr>
          <w:rFonts w:ascii="Times New Roman" w:hAnsi="Times New Roman" w:cs="Times New Roman"/>
        </w:rPr>
        <w:tab/>
      </w:r>
      <w:r w:rsidR="045E7DEA" w:rsidRPr="00EE5A34">
        <w:rPr>
          <w:rFonts w:ascii="Times New Roman" w:eastAsia="Times New Roman" w:hAnsi="Times New Roman" w:cs="Times New Roman"/>
        </w:rPr>
        <w:t>Regulation (EU) 2023/956 of the European Parliament and of the Council of 10 May 2023 establishing a carbon border adjustment mechanism (</w:t>
      </w:r>
      <w:hyperlink r:id="rId3">
        <w:r w:rsidR="045E7DEA" w:rsidRPr="00EE5A34">
          <w:rPr>
            <w:rStyle w:val="Hyperlink"/>
            <w:rFonts w:ascii="Times New Roman" w:eastAsia="Times New Roman" w:hAnsi="Times New Roman" w:cs="Times New Roman"/>
          </w:rPr>
          <w:t>EUR-Lex - 02023R0956-20251020 - EN - EUR-Lex</w:t>
        </w:r>
      </w:hyperlink>
      <w:r w:rsidR="045E7DEA" w:rsidRPr="00EE5A34">
        <w:rPr>
          <w:rFonts w:ascii="Times New Roman" w:eastAsia="Times New Roman" w:hAnsi="Times New Roman" w:cs="Times New Roman"/>
        </w:rPr>
        <w:t>).</w:t>
      </w:r>
    </w:p>
  </w:footnote>
  <w:footnote w:id="4">
    <w:p w14:paraId="148C3DD5" w14:textId="7AD84F15" w:rsidR="7869E62C" w:rsidRPr="00EE5A34" w:rsidRDefault="7869E62C" w:rsidP="003E1CCE">
      <w:pPr>
        <w:pStyle w:val="FootnoteText"/>
        <w:ind w:left="-142" w:right="-421" w:hanging="284"/>
        <w:jc w:val="both"/>
        <w:rPr>
          <w:rFonts w:ascii="Times New Roman" w:eastAsia="Times New Roman" w:hAnsi="Times New Roman" w:cs="Times New Roman"/>
        </w:rPr>
      </w:pPr>
      <w:r w:rsidRPr="00EE5A34">
        <w:rPr>
          <w:rStyle w:val="FootnoteReference"/>
          <w:rFonts w:ascii="Times New Roman" w:hAnsi="Times New Roman" w:cs="Times New Roman"/>
        </w:rPr>
        <w:footnoteRef/>
      </w:r>
      <w:r w:rsidR="045E7DEA" w:rsidRPr="00EE5A34">
        <w:rPr>
          <w:rFonts w:ascii="Times New Roman" w:hAnsi="Times New Roman" w:cs="Times New Roman"/>
        </w:rPr>
        <w:t xml:space="preserve"> </w:t>
      </w:r>
      <w:r w:rsidR="002824B3" w:rsidRPr="00EE5A34">
        <w:rPr>
          <w:rFonts w:ascii="Times New Roman" w:hAnsi="Times New Roman" w:cs="Times New Roman"/>
        </w:rPr>
        <w:tab/>
      </w:r>
      <w:r w:rsidR="045E7DEA" w:rsidRPr="00EE5A34">
        <w:rPr>
          <w:rFonts w:ascii="Times New Roman" w:eastAsia="Times New Roman" w:hAnsi="Times New Roman" w:cs="Times New Roman"/>
          <w:color w:val="333333"/>
        </w:rPr>
        <w:t>Regulation (EU) 2026/1384 of the European Parliament and of the Council of 17 June 2026 addressing the negative trade-related effects of global overcapacity on the Union steel market and amending Regulation (EU) 2020/2170 (</w:t>
      </w:r>
      <w:hyperlink r:id="rId4">
        <w:r w:rsidR="045E7DEA" w:rsidRPr="00EE5A34">
          <w:rPr>
            <w:rStyle w:val="Hyperlink"/>
            <w:rFonts w:ascii="Times New Roman" w:eastAsia="Times New Roman" w:hAnsi="Times New Roman" w:cs="Times New Roman"/>
          </w:rPr>
          <w:t>Regulation - EU - 2026/1384 - EN - EUR-Lex</w:t>
        </w:r>
      </w:hyperlink>
      <w:r w:rsidR="045E7DEA" w:rsidRPr="00EE5A34">
        <w:rPr>
          <w:rFonts w:ascii="Times New Roman" w:eastAsia="Times New Roman" w:hAnsi="Times New Roman" w:cs="Times New Roman"/>
          <w:color w:val="333333"/>
        </w:rPr>
        <w:t>).</w:t>
      </w:r>
    </w:p>
  </w:footnote>
  <w:footnote w:id="5">
    <w:p w14:paraId="50BAF79A" w14:textId="530B819D" w:rsidR="7869E62C" w:rsidRPr="00EE5A34" w:rsidRDefault="7869E62C" w:rsidP="003E1CCE">
      <w:pPr>
        <w:pStyle w:val="FootnoteText"/>
        <w:ind w:left="-142" w:right="-421" w:hanging="284"/>
        <w:jc w:val="both"/>
        <w:rPr>
          <w:rFonts w:ascii="Times New Roman" w:hAnsi="Times New Roman" w:cs="Times New Roman"/>
        </w:rPr>
      </w:pPr>
      <w:r w:rsidRPr="00EE5A34">
        <w:rPr>
          <w:rStyle w:val="FootnoteReference"/>
          <w:rFonts w:ascii="Times New Roman" w:hAnsi="Times New Roman" w:cs="Times New Roman"/>
        </w:rPr>
        <w:footnoteRef/>
      </w:r>
      <w:r w:rsidRPr="00EE5A34">
        <w:rPr>
          <w:rFonts w:ascii="Times New Roman" w:hAnsi="Times New Roman" w:cs="Times New Roman"/>
        </w:rPr>
        <w:t xml:space="preserve"> </w:t>
      </w:r>
      <w:r w:rsidR="002824B3" w:rsidRPr="00EE5A34">
        <w:rPr>
          <w:rFonts w:ascii="Times New Roman" w:hAnsi="Times New Roman" w:cs="Times New Roman"/>
        </w:rPr>
        <w:tab/>
      </w:r>
      <w:r w:rsidRPr="00EE5A34">
        <w:rPr>
          <w:rFonts w:ascii="Times New Roman" w:eastAsia="Times New Roman" w:hAnsi="Times New Roman" w:cs="Times New Roman"/>
          <w:color w:val="000000" w:themeColor="text1"/>
        </w:rPr>
        <w:t>Regulation (EU) 2019/452 e</w:t>
      </w:r>
      <w:r w:rsidRPr="00EE5A34">
        <w:rPr>
          <w:rFonts w:ascii="Times New Roman" w:eastAsia="Times New Roman" w:hAnsi="Times New Roman" w:cs="Times New Roman"/>
          <w:color w:val="333333"/>
        </w:rPr>
        <w:t>stablishing a framework for the screening of foreign direct investments into the Union, (</w:t>
      </w:r>
      <w:hyperlink r:id="rId5">
        <w:r w:rsidRPr="00EE5A34">
          <w:rPr>
            <w:rStyle w:val="Hyperlink"/>
            <w:rFonts w:ascii="Times New Roman" w:eastAsia="Times New Roman" w:hAnsi="Times New Roman" w:cs="Times New Roman"/>
          </w:rPr>
          <w:t>EUR-Lex - 02019R0452-20211223 -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6F022" w14:textId="77777777" w:rsidR="001E0D5E" w:rsidRDefault="001E0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56C2" w14:textId="77777777" w:rsidR="001E0D5E" w:rsidRDefault="001E0D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1805" w14:textId="77777777" w:rsidR="001E0D5E" w:rsidRDefault="001E0D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3F2F4ABD"/>
    <w:rsid w:val="00023D5A"/>
    <w:rsid w:val="00041FAE"/>
    <w:rsid w:val="0004429A"/>
    <w:rsid w:val="00045424"/>
    <w:rsid w:val="00047C94"/>
    <w:rsid w:val="00064C55"/>
    <w:rsid w:val="00079C7A"/>
    <w:rsid w:val="000B1201"/>
    <w:rsid w:val="000B2AC9"/>
    <w:rsid w:val="000C1920"/>
    <w:rsid w:val="000C25FB"/>
    <w:rsid w:val="000D3B2F"/>
    <w:rsid w:val="000E192B"/>
    <w:rsid w:val="00100DEE"/>
    <w:rsid w:val="00116F4F"/>
    <w:rsid w:val="0012299F"/>
    <w:rsid w:val="00130162"/>
    <w:rsid w:val="001323D5"/>
    <w:rsid w:val="00132553"/>
    <w:rsid w:val="001411CF"/>
    <w:rsid w:val="0015417B"/>
    <w:rsid w:val="00157D12"/>
    <w:rsid w:val="00170B4A"/>
    <w:rsid w:val="00175B50"/>
    <w:rsid w:val="00185457"/>
    <w:rsid w:val="0019057B"/>
    <w:rsid w:val="001A45B9"/>
    <w:rsid w:val="001B40EC"/>
    <w:rsid w:val="001B7641"/>
    <w:rsid w:val="001D052E"/>
    <w:rsid w:val="001E0D5E"/>
    <w:rsid w:val="001E299A"/>
    <w:rsid w:val="001E45FB"/>
    <w:rsid w:val="001F2170"/>
    <w:rsid w:val="00205043"/>
    <w:rsid w:val="0021312D"/>
    <w:rsid w:val="0022335B"/>
    <w:rsid w:val="0025065C"/>
    <w:rsid w:val="002550F7"/>
    <w:rsid w:val="00256970"/>
    <w:rsid w:val="002613F8"/>
    <w:rsid w:val="002801B9"/>
    <w:rsid w:val="0028079C"/>
    <w:rsid w:val="002816E4"/>
    <w:rsid w:val="002824B3"/>
    <w:rsid w:val="00282C99"/>
    <w:rsid w:val="002837B6"/>
    <w:rsid w:val="002955AA"/>
    <w:rsid w:val="002A2BA7"/>
    <w:rsid w:val="002B3178"/>
    <w:rsid w:val="002B369E"/>
    <w:rsid w:val="002B6527"/>
    <w:rsid w:val="002D12A4"/>
    <w:rsid w:val="002D77A4"/>
    <w:rsid w:val="002F34D7"/>
    <w:rsid w:val="002F5966"/>
    <w:rsid w:val="00301154"/>
    <w:rsid w:val="00312283"/>
    <w:rsid w:val="00323F32"/>
    <w:rsid w:val="0032474F"/>
    <w:rsid w:val="00326247"/>
    <w:rsid w:val="00327259"/>
    <w:rsid w:val="00336A44"/>
    <w:rsid w:val="0034264E"/>
    <w:rsid w:val="0034763B"/>
    <w:rsid w:val="00350852"/>
    <w:rsid w:val="00350A45"/>
    <w:rsid w:val="00375A29"/>
    <w:rsid w:val="00387E7E"/>
    <w:rsid w:val="003B5B12"/>
    <w:rsid w:val="003C580A"/>
    <w:rsid w:val="003D76DF"/>
    <w:rsid w:val="003E1CCE"/>
    <w:rsid w:val="003E5C20"/>
    <w:rsid w:val="003F1E1A"/>
    <w:rsid w:val="00401D43"/>
    <w:rsid w:val="00401D6A"/>
    <w:rsid w:val="0040476C"/>
    <w:rsid w:val="00422C27"/>
    <w:rsid w:val="004261A2"/>
    <w:rsid w:val="004348DF"/>
    <w:rsid w:val="0045497F"/>
    <w:rsid w:val="004626D3"/>
    <w:rsid w:val="004631E8"/>
    <w:rsid w:val="004648A1"/>
    <w:rsid w:val="004670A6"/>
    <w:rsid w:val="00484363"/>
    <w:rsid w:val="004B1EB9"/>
    <w:rsid w:val="004C5BB7"/>
    <w:rsid w:val="004D1C10"/>
    <w:rsid w:val="004D3850"/>
    <w:rsid w:val="00504375"/>
    <w:rsid w:val="0053030A"/>
    <w:rsid w:val="00530BCB"/>
    <w:rsid w:val="005528F7"/>
    <w:rsid w:val="00553852"/>
    <w:rsid w:val="00556F4A"/>
    <w:rsid w:val="00562DC5"/>
    <w:rsid w:val="00566402"/>
    <w:rsid w:val="00582E37"/>
    <w:rsid w:val="0059085D"/>
    <w:rsid w:val="005A03F7"/>
    <w:rsid w:val="005A6C54"/>
    <w:rsid w:val="005A6F34"/>
    <w:rsid w:val="005B4F0B"/>
    <w:rsid w:val="005C31DC"/>
    <w:rsid w:val="005E76A0"/>
    <w:rsid w:val="006029DA"/>
    <w:rsid w:val="0060409C"/>
    <w:rsid w:val="00607834"/>
    <w:rsid w:val="006438D4"/>
    <w:rsid w:val="00672E39"/>
    <w:rsid w:val="006868A4"/>
    <w:rsid w:val="00690ABE"/>
    <w:rsid w:val="0069219E"/>
    <w:rsid w:val="006A358E"/>
    <w:rsid w:val="006A7D6E"/>
    <w:rsid w:val="006B0433"/>
    <w:rsid w:val="006C1AD5"/>
    <w:rsid w:val="006C741B"/>
    <w:rsid w:val="006D48C8"/>
    <w:rsid w:val="006E5344"/>
    <w:rsid w:val="006F7424"/>
    <w:rsid w:val="007100C9"/>
    <w:rsid w:val="0071534F"/>
    <w:rsid w:val="007172D7"/>
    <w:rsid w:val="00725C91"/>
    <w:rsid w:val="00730D58"/>
    <w:rsid w:val="00737BFC"/>
    <w:rsid w:val="007403EA"/>
    <w:rsid w:val="00756465"/>
    <w:rsid w:val="00762F03"/>
    <w:rsid w:val="00771C71"/>
    <w:rsid w:val="007868E9"/>
    <w:rsid w:val="00794732"/>
    <w:rsid w:val="0079503B"/>
    <w:rsid w:val="007966B9"/>
    <w:rsid w:val="00797492"/>
    <w:rsid w:val="00797AD4"/>
    <w:rsid w:val="007A628A"/>
    <w:rsid w:val="007B7D71"/>
    <w:rsid w:val="007D4C28"/>
    <w:rsid w:val="007E52C9"/>
    <w:rsid w:val="007F2FDF"/>
    <w:rsid w:val="00801BE8"/>
    <w:rsid w:val="00802A48"/>
    <w:rsid w:val="0080444F"/>
    <w:rsid w:val="008065F1"/>
    <w:rsid w:val="00810B0E"/>
    <w:rsid w:val="00880021"/>
    <w:rsid w:val="0088202A"/>
    <w:rsid w:val="00882089"/>
    <w:rsid w:val="00884B8C"/>
    <w:rsid w:val="0089510A"/>
    <w:rsid w:val="008A7582"/>
    <w:rsid w:val="008B01DD"/>
    <w:rsid w:val="008B0A85"/>
    <w:rsid w:val="008B1E82"/>
    <w:rsid w:val="008B2AAC"/>
    <w:rsid w:val="008B691F"/>
    <w:rsid w:val="008C4E11"/>
    <w:rsid w:val="008C5648"/>
    <w:rsid w:val="008D0BAD"/>
    <w:rsid w:val="008E315A"/>
    <w:rsid w:val="008E360A"/>
    <w:rsid w:val="008F41D9"/>
    <w:rsid w:val="009015BA"/>
    <w:rsid w:val="00907044"/>
    <w:rsid w:val="0092129B"/>
    <w:rsid w:val="00923239"/>
    <w:rsid w:val="00923CC5"/>
    <w:rsid w:val="00933C41"/>
    <w:rsid w:val="009426FA"/>
    <w:rsid w:val="00942B13"/>
    <w:rsid w:val="00947DB1"/>
    <w:rsid w:val="00950601"/>
    <w:rsid w:val="00951F66"/>
    <w:rsid w:val="0095337B"/>
    <w:rsid w:val="0096382A"/>
    <w:rsid w:val="00981922"/>
    <w:rsid w:val="00997A77"/>
    <w:rsid w:val="009A351D"/>
    <w:rsid w:val="009A5DCC"/>
    <w:rsid w:val="009B2971"/>
    <w:rsid w:val="009B6929"/>
    <w:rsid w:val="009C0069"/>
    <w:rsid w:val="009D75DF"/>
    <w:rsid w:val="009E1689"/>
    <w:rsid w:val="009E54D9"/>
    <w:rsid w:val="009F7A17"/>
    <w:rsid w:val="00A1401B"/>
    <w:rsid w:val="00A1627A"/>
    <w:rsid w:val="00A3364D"/>
    <w:rsid w:val="00A44A81"/>
    <w:rsid w:val="00A53291"/>
    <w:rsid w:val="00A5450B"/>
    <w:rsid w:val="00A64D47"/>
    <w:rsid w:val="00A8589D"/>
    <w:rsid w:val="00A870E7"/>
    <w:rsid w:val="00A87BED"/>
    <w:rsid w:val="00AC77E5"/>
    <w:rsid w:val="00AE2F93"/>
    <w:rsid w:val="00AE6492"/>
    <w:rsid w:val="00B21260"/>
    <w:rsid w:val="00B22E53"/>
    <w:rsid w:val="00B30DA6"/>
    <w:rsid w:val="00B36E89"/>
    <w:rsid w:val="00B52C29"/>
    <w:rsid w:val="00B5447D"/>
    <w:rsid w:val="00B55A7B"/>
    <w:rsid w:val="00B713BE"/>
    <w:rsid w:val="00B72F64"/>
    <w:rsid w:val="00B94FF0"/>
    <w:rsid w:val="00BA4A30"/>
    <w:rsid w:val="00BB1ECB"/>
    <w:rsid w:val="00BC3B7E"/>
    <w:rsid w:val="00BD0716"/>
    <w:rsid w:val="00BD0E2C"/>
    <w:rsid w:val="00BD40D2"/>
    <w:rsid w:val="00BD5DB7"/>
    <w:rsid w:val="00BE2DF3"/>
    <w:rsid w:val="00BE347F"/>
    <w:rsid w:val="00BF1274"/>
    <w:rsid w:val="00C07CCD"/>
    <w:rsid w:val="00C332A1"/>
    <w:rsid w:val="00C50E2C"/>
    <w:rsid w:val="00C51656"/>
    <w:rsid w:val="00C86118"/>
    <w:rsid w:val="00C95804"/>
    <w:rsid w:val="00C95920"/>
    <w:rsid w:val="00CA1419"/>
    <w:rsid w:val="00CA177D"/>
    <w:rsid w:val="00CA5F6A"/>
    <w:rsid w:val="00CB1F40"/>
    <w:rsid w:val="00CC7B6C"/>
    <w:rsid w:val="00CD6378"/>
    <w:rsid w:val="00CE0412"/>
    <w:rsid w:val="00D002C4"/>
    <w:rsid w:val="00D10537"/>
    <w:rsid w:val="00D1619E"/>
    <w:rsid w:val="00D17C3A"/>
    <w:rsid w:val="00D24968"/>
    <w:rsid w:val="00D2598F"/>
    <w:rsid w:val="00D47598"/>
    <w:rsid w:val="00D757E5"/>
    <w:rsid w:val="00D8611D"/>
    <w:rsid w:val="00D95FEE"/>
    <w:rsid w:val="00DA4C25"/>
    <w:rsid w:val="00DA507B"/>
    <w:rsid w:val="00DD1E7E"/>
    <w:rsid w:val="00DD5E84"/>
    <w:rsid w:val="00DE193C"/>
    <w:rsid w:val="00DF092E"/>
    <w:rsid w:val="00DF4212"/>
    <w:rsid w:val="00DF5EA1"/>
    <w:rsid w:val="00E11CA1"/>
    <w:rsid w:val="00E2572F"/>
    <w:rsid w:val="00E30009"/>
    <w:rsid w:val="00E37649"/>
    <w:rsid w:val="00E4617F"/>
    <w:rsid w:val="00E504AB"/>
    <w:rsid w:val="00E520D9"/>
    <w:rsid w:val="00E56125"/>
    <w:rsid w:val="00E7486E"/>
    <w:rsid w:val="00E80F4A"/>
    <w:rsid w:val="00E81E97"/>
    <w:rsid w:val="00E82018"/>
    <w:rsid w:val="00E92EC0"/>
    <w:rsid w:val="00E93E05"/>
    <w:rsid w:val="00EA3938"/>
    <w:rsid w:val="00EB009A"/>
    <w:rsid w:val="00EB59D3"/>
    <w:rsid w:val="00EB6409"/>
    <w:rsid w:val="00EE5A34"/>
    <w:rsid w:val="00EE7D77"/>
    <w:rsid w:val="00F01562"/>
    <w:rsid w:val="00F02D73"/>
    <w:rsid w:val="00F1222D"/>
    <w:rsid w:val="00F17A52"/>
    <w:rsid w:val="00F278EF"/>
    <w:rsid w:val="00F46004"/>
    <w:rsid w:val="00F521F1"/>
    <w:rsid w:val="00F56D54"/>
    <w:rsid w:val="00F66938"/>
    <w:rsid w:val="00F67BE7"/>
    <w:rsid w:val="00F74938"/>
    <w:rsid w:val="00F84EC3"/>
    <w:rsid w:val="00F96C2F"/>
    <w:rsid w:val="00F974DA"/>
    <w:rsid w:val="00FA0033"/>
    <w:rsid w:val="00FC6A6C"/>
    <w:rsid w:val="00FD115A"/>
    <w:rsid w:val="00FD168E"/>
    <w:rsid w:val="00FE0B4E"/>
    <w:rsid w:val="00FF0B96"/>
    <w:rsid w:val="00FF2166"/>
    <w:rsid w:val="017958FC"/>
    <w:rsid w:val="01FC2BE1"/>
    <w:rsid w:val="0234740A"/>
    <w:rsid w:val="0268ED1E"/>
    <w:rsid w:val="026BDA9E"/>
    <w:rsid w:val="0299BC4B"/>
    <w:rsid w:val="02EF5100"/>
    <w:rsid w:val="03AAFC7D"/>
    <w:rsid w:val="03CCA949"/>
    <w:rsid w:val="045E7DEA"/>
    <w:rsid w:val="04C2ADED"/>
    <w:rsid w:val="04D22A54"/>
    <w:rsid w:val="054F73FE"/>
    <w:rsid w:val="05938386"/>
    <w:rsid w:val="05E71E7C"/>
    <w:rsid w:val="05F54122"/>
    <w:rsid w:val="06A6E6DF"/>
    <w:rsid w:val="06A7048F"/>
    <w:rsid w:val="079147E0"/>
    <w:rsid w:val="084AD42C"/>
    <w:rsid w:val="087C183C"/>
    <w:rsid w:val="091BCBBB"/>
    <w:rsid w:val="093C4556"/>
    <w:rsid w:val="09B3B57B"/>
    <w:rsid w:val="09E8685A"/>
    <w:rsid w:val="09F7D620"/>
    <w:rsid w:val="0A6A115A"/>
    <w:rsid w:val="0AB10A0B"/>
    <w:rsid w:val="0B374E09"/>
    <w:rsid w:val="0B3A73DC"/>
    <w:rsid w:val="0BB1D004"/>
    <w:rsid w:val="0BE944FA"/>
    <w:rsid w:val="0C1C0117"/>
    <w:rsid w:val="0C8C8704"/>
    <w:rsid w:val="0C9B2DD1"/>
    <w:rsid w:val="0CB421B3"/>
    <w:rsid w:val="0E250042"/>
    <w:rsid w:val="0E35EE6C"/>
    <w:rsid w:val="0E3DA050"/>
    <w:rsid w:val="0EAA77DB"/>
    <w:rsid w:val="0F3170D9"/>
    <w:rsid w:val="0FB1EF77"/>
    <w:rsid w:val="10AC30A0"/>
    <w:rsid w:val="119A5463"/>
    <w:rsid w:val="11CD606C"/>
    <w:rsid w:val="12624CA3"/>
    <w:rsid w:val="12A99A55"/>
    <w:rsid w:val="12AB7CC7"/>
    <w:rsid w:val="1321A2DF"/>
    <w:rsid w:val="13DF60E9"/>
    <w:rsid w:val="15C11C7D"/>
    <w:rsid w:val="1659DE3A"/>
    <w:rsid w:val="1666D6F5"/>
    <w:rsid w:val="16819FC3"/>
    <w:rsid w:val="16B7FCF6"/>
    <w:rsid w:val="1704EE3E"/>
    <w:rsid w:val="184734CF"/>
    <w:rsid w:val="18CFDE67"/>
    <w:rsid w:val="18FE3698"/>
    <w:rsid w:val="19C6E652"/>
    <w:rsid w:val="1AE224D0"/>
    <w:rsid w:val="1B079498"/>
    <w:rsid w:val="1BAF576D"/>
    <w:rsid w:val="1D3A4C27"/>
    <w:rsid w:val="1D842DA7"/>
    <w:rsid w:val="1D9D9D7B"/>
    <w:rsid w:val="1DF47DB9"/>
    <w:rsid w:val="1ED99598"/>
    <w:rsid w:val="1F2D6845"/>
    <w:rsid w:val="1F38A4EE"/>
    <w:rsid w:val="1FBB2087"/>
    <w:rsid w:val="1FD048AD"/>
    <w:rsid w:val="1FE21C97"/>
    <w:rsid w:val="2044B678"/>
    <w:rsid w:val="20F5469E"/>
    <w:rsid w:val="212EE3BC"/>
    <w:rsid w:val="21EE30DA"/>
    <w:rsid w:val="2276346A"/>
    <w:rsid w:val="22C62D06"/>
    <w:rsid w:val="23262BAD"/>
    <w:rsid w:val="2346825E"/>
    <w:rsid w:val="23A624D2"/>
    <w:rsid w:val="23B5817D"/>
    <w:rsid w:val="242F9B95"/>
    <w:rsid w:val="2457934B"/>
    <w:rsid w:val="24E98DC0"/>
    <w:rsid w:val="2509547A"/>
    <w:rsid w:val="25143543"/>
    <w:rsid w:val="25629E7B"/>
    <w:rsid w:val="2682635F"/>
    <w:rsid w:val="268C79A0"/>
    <w:rsid w:val="27259EA7"/>
    <w:rsid w:val="279C23FB"/>
    <w:rsid w:val="27FBC939"/>
    <w:rsid w:val="28B76343"/>
    <w:rsid w:val="2946F5CB"/>
    <w:rsid w:val="29A111D5"/>
    <w:rsid w:val="2A600422"/>
    <w:rsid w:val="2ABABAEE"/>
    <w:rsid w:val="2AD772BB"/>
    <w:rsid w:val="2B568F5E"/>
    <w:rsid w:val="2B66CE31"/>
    <w:rsid w:val="2CA636FF"/>
    <w:rsid w:val="2D63D803"/>
    <w:rsid w:val="2E5B441C"/>
    <w:rsid w:val="2E782D98"/>
    <w:rsid w:val="2E9B1A9B"/>
    <w:rsid w:val="2F0B746C"/>
    <w:rsid w:val="2F270BAA"/>
    <w:rsid w:val="2F3F7CC5"/>
    <w:rsid w:val="2F930737"/>
    <w:rsid w:val="3003F429"/>
    <w:rsid w:val="3066A1A5"/>
    <w:rsid w:val="30BAC2BC"/>
    <w:rsid w:val="30F4F6D1"/>
    <w:rsid w:val="30F509CB"/>
    <w:rsid w:val="31BBF696"/>
    <w:rsid w:val="3230CF46"/>
    <w:rsid w:val="32C163D8"/>
    <w:rsid w:val="32E8634D"/>
    <w:rsid w:val="33127C38"/>
    <w:rsid w:val="33CDBE04"/>
    <w:rsid w:val="34B94965"/>
    <w:rsid w:val="34DB8420"/>
    <w:rsid w:val="359955F9"/>
    <w:rsid w:val="35A966C8"/>
    <w:rsid w:val="35DEB537"/>
    <w:rsid w:val="3660254E"/>
    <w:rsid w:val="3682479D"/>
    <w:rsid w:val="368F6355"/>
    <w:rsid w:val="36F7718B"/>
    <w:rsid w:val="377E0874"/>
    <w:rsid w:val="379463FD"/>
    <w:rsid w:val="379FCED3"/>
    <w:rsid w:val="3809CC96"/>
    <w:rsid w:val="39EF315C"/>
    <w:rsid w:val="3AED4AED"/>
    <w:rsid w:val="3BA83B9D"/>
    <w:rsid w:val="3BA89232"/>
    <w:rsid w:val="3C3A2604"/>
    <w:rsid w:val="3C85432A"/>
    <w:rsid w:val="3CD5AA7A"/>
    <w:rsid w:val="3DBE0984"/>
    <w:rsid w:val="3DCD9BFE"/>
    <w:rsid w:val="3F2F4ABD"/>
    <w:rsid w:val="3F8557F7"/>
    <w:rsid w:val="40093B4A"/>
    <w:rsid w:val="4022AA27"/>
    <w:rsid w:val="416C24F2"/>
    <w:rsid w:val="41F216E3"/>
    <w:rsid w:val="420D450D"/>
    <w:rsid w:val="42218049"/>
    <w:rsid w:val="42729331"/>
    <w:rsid w:val="42CE2821"/>
    <w:rsid w:val="433848CB"/>
    <w:rsid w:val="434F1FD7"/>
    <w:rsid w:val="43506E3C"/>
    <w:rsid w:val="43866803"/>
    <w:rsid w:val="438D1632"/>
    <w:rsid w:val="45B6FACA"/>
    <w:rsid w:val="45EBF018"/>
    <w:rsid w:val="466135BF"/>
    <w:rsid w:val="46A9EA5A"/>
    <w:rsid w:val="4701E0EF"/>
    <w:rsid w:val="47F46438"/>
    <w:rsid w:val="4889CB4B"/>
    <w:rsid w:val="488AAFA6"/>
    <w:rsid w:val="4938DB73"/>
    <w:rsid w:val="495B7345"/>
    <w:rsid w:val="498146F3"/>
    <w:rsid w:val="4A1EB0A2"/>
    <w:rsid w:val="4A3DC5AD"/>
    <w:rsid w:val="4B04E27C"/>
    <w:rsid w:val="4B0EEE74"/>
    <w:rsid w:val="4B71FA31"/>
    <w:rsid w:val="4CD2D275"/>
    <w:rsid w:val="4CE40DA0"/>
    <w:rsid w:val="4D03B1A5"/>
    <w:rsid w:val="4D6AD61D"/>
    <w:rsid w:val="4DCDE57A"/>
    <w:rsid w:val="4DCDFAD1"/>
    <w:rsid w:val="4DFCAE46"/>
    <w:rsid w:val="4E5AED12"/>
    <w:rsid w:val="4E8757EA"/>
    <w:rsid w:val="4EAD6CDA"/>
    <w:rsid w:val="4FAC1AA5"/>
    <w:rsid w:val="50A49D04"/>
    <w:rsid w:val="5195D7F4"/>
    <w:rsid w:val="521F8934"/>
    <w:rsid w:val="5280CA5A"/>
    <w:rsid w:val="536E88E4"/>
    <w:rsid w:val="53D5C9AE"/>
    <w:rsid w:val="54036C60"/>
    <w:rsid w:val="54FBB931"/>
    <w:rsid w:val="551B4CF6"/>
    <w:rsid w:val="5530BF78"/>
    <w:rsid w:val="56B923DA"/>
    <w:rsid w:val="5722AC90"/>
    <w:rsid w:val="576496C0"/>
    <w:rsid w:val="58283039"/>
    <w:rsid w:val="58E4C723"/>
    <w:rsid w:val="58F55E86"/>
    <w:rsid w:val="5953F760"/>
    <w:rsid w:val="5A67C860"/>
    <w:rsid w:val="5AFA1AD1"/>
    <w:rsid w:val="5B165E16"/>
    <w:rsid w:val="5B6933E6"/>
    <w:rsid w:val="5C59AD5B"/>
    <w:rsid w:val="5D19706B"/>
    <w:rsid w:val="5E319596"/>
    <w:rsid w:val="5E31A83D"/>
    <w:rsid w:val="5EFFDDFF"/>
    <w:rsid w:val="5F458F90"/>
    <w:rsid w:val="5F50891D"/>
    <w:rsid w:val="5FC4C444"/>
    <w:rsid w:val="5FC57D0B"/>
    <w:rsid w:val="5FD5E30E"/>
    <w:rsid w:val="60082DA3"/>
    <w:rsid w:val="60A9A444"/>
    <w:rsid w:val="61058B93"/>
    <w:rsid w:val="618C3D2B"/>
    <w:rsid w:val="61D0C34B"/>
    <w:rsid w:val="6361D441"/>
    <w:rsid w:val="6461D610"/>
    <w:rsid w:val="64A459AF"/>
    <w:rsid w:val="64CB41E0"/>
    <w:rsid w:val="650FEAEF"/>
    <w:rsid w:val="6517280E"/>
    <w:rsid w:val="65393F61"/>
    <w:rsid w:val="6594CC57"/>
    <w:rsid w:val="65C26506"/>
    <w:rsid w:val="65DF0115"/>
    <w:rsid w:val="6693C7C1"/>
    <w:rsid w:val="6695838B"/>
    <w:rsid w:val="673FF4AA"/>
    <w:rsid w:val="67403A52"/>
    <w:rsid w:val="67E74A61"/>
    <w:rsid w:val="67EC9AAE"/>
    <w:rsid w:val="68612729"/>
    <w:rsid w:val="690C571D"/>
    <w:rsid w:val="69FAE76C"/>
    <w:rsid w:val="6B5287E6"/>
    <w:rsid w:val="6BB40B53"/>
    <w:rsid w:val="6C03A471"/>
    <w:rsid w:val="6CBDB1FF"/>
    <w:rsid w:val="6D44BC01"/>
    <w:rsid w:val="6E97AE44"/>
    <w:rsid w:val="6F836E1C"/>
    <w:rsid w:val="7044AE0C"/>
    <w:rsid w:val="717062F9"/>
    <w:rsid w:val="718AEC1B"/>
    <w:rsid w:val="723CE396"/>
    <w:rsid w:val="72681961"/>
    <w:rsid w:val="731D9386"/>
    <w:rsid w:val="73202355"/>
    <w:rsid w:val="7447D48F"/>
    <w:rsid w:val="746C21F5"/>
    <w:rsid w:val="75237A13"/>
    <w:rsid w:val="760DA48B"/>
    <w:rsid w:val="76509178"/>
    <w:rsid w:val="781C17E1"/>
    <w:rsid w:val="7869E62C"/>
    <w:rsid w:val="793D4B2C"/>
    <w:rsid w:val="7A26D33D"/>
    <w:rsid w:val="7ABD1E37"/>
    <w:rsid w:val="7C730E10"/>
    <w:rsid w:val="7C997450"/>
    <w:rsid w:val="7F3FDFD2"/>
    <w:rsid w:val="7F560920"/>
    <w:rsid w:val="7FCF53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5D1BF"/>
  <w15:chartTrackingRefBased/>
  <w15:docId w15:val="{CB3E4DA4-E9BC-4988-9C3A-90EAE5C83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F460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6004"/>
    <w:rPr>
      <w:sz w:val="20"/>
      <w:szCs w:val="20"/>
    </w:rPr>
  </w:style>
  <w:style w:type="character" w:styleId="FootnoteReference">
    <w:name w:val="footnote reference"/>
    <w:basedOn w:val="DefaultParagraphFont"/>
    <w:uiPriority w:val="99"/>
    <w:semiHidden/>
    <w:unhideWhenUsed/>
    <w:rsid w:val="00F46004"/>
    <w:rPr>
      <w:vertAlign w:val="superscript"/>
    </w:rPr>
  </w:style>
  <w:style w:type="character" w:styleId="Hyperlink">
    <w:name w:val="Hyperlink"/>
    <w:basedOn w:val="DefaultParagraphFont"/>
    <w:uiPriority w:val="99"/>
    <w:unhideWhenUsed/>
    <w:rsid w:val="00F46004"/>
    <w:rPr>
      <w:color w:val="467886" w:themeColor="hyperlink"/>
      <w:u w:val="single"/>
    </w:rPr>
  </w:style>
  <w:style w:type="character" w:styleId="UnresolvedMention">
    <w:name w:val="Unresolved Mention"/>
    <w:basedOn w:val="DefaultParagraphFont"/>
    <w:uiPriority w:val="99"/>
    <w:semiHidden/>
    <w:unhideWhenUsed/>
    <w:rsid w:val="00F46004"/>
    <w:rPr>
      <w:color w:val="605E5C"/>
      <w:shd w:val="clear" w:color="auto" w:fill="E1DFDD"/>
    </w:rPr>
  </w:style>
  <w:style w:type="character" w:customStyle="1" w:styleId="information">
    <w:name w:val="information"/>
    <w:basedOn w:val="DefaultParagraphFont"/>
    <w:uiPriority w:val="1"/>
    <w:rsid w:val="6693C7C1"/>
    <w:rPr>
      <w:rFonts w:asciiTheme="minorHAnsi" w:eastAsiaTheme="minorEastAsia" w:hAnsiTheme="minorHAnsi" w:cstheme="minorBidi"/>
      <w:sz w:val="22"/>
      <w:szCs w:val="22"/>
    </w:rPr>
  </w:style>
  <w:style w:type="paragraph" w:customStyle="1" w:styleId="Text2">
    <w:name w:val="Text 2"/>
    <w:basedOn w:val="Normal"/>
    <w:uiPriority w:val="1"/>
    <w:rsid w:val="6693C7C1"/>
    <w:pPr>
      <w:tabs>
        <w:tab w:val="left" w:pos="2302"/>
      </w:tabs>
      <w:spacing w:after="240" w:line="240" w:lineRule="auto"/>
      <w:ind w:left="1202"/>
      <w:jc w:val="both"/>
    </w:pPr>
    <w:rPr>
      <w:lang w:val="en-IE"/>
    </w:rPr>
  </w:style>
  <w:style w:type="paragraph" w:styleId="Revision">
    <w:name w:val="Revision"/>
    <w:hidden/>
    <w:uiPriority w:val="99"/>
    <w:semiHidden/>
    <w:rsid w:val="00A1627A"/>
    <w:pPr>
      <w:spacing w:after="0" w:line="240" w:lineRule="auto"/>
    </w:pPr>
  </w:style>
  <w:style w:type="paragraph" w:styleId="Header">
    <w:name w:val="header"/>
    <w:basedOn w:val="Normal"/>
    <w:link w:val="HeaderChar"/>
    <w:uiPriority w:val="99"/>
    <w:unhideWhenUsed/>
    <w:rsid w:val="00E37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649"/>
  </w:style>
  <w:style w:type="paragraph" w:styleId="Footer">
    <w:name w:val="footer"/>
    <w:basedOn w:val="Normal"/>
    <w:link w:val="FooterChar"/>
    <w:uiPriority w:val="99"/>
    <w:unhideWhenUsed/>
    <w:rsid w:val="00E37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649"/>
  </w:style>
  <w:style w:type="character" w:styleId="CommentReference">
    <w:name w:val="annotation reference"/>
    <w:basedOn w:val="DefaultParagraphFont"/>
    <w:uiPriority w:val="99"/>
    <w:semiHidden/>
    <w:unhideWhenUsed/>
    <w:rsid w:val="00907044"/>
    <w:rPr>
      <w:sz w:val="16"/>
      <w:szCs w:val="16"/>
    </w:rPr>
  </w:style>
  <w:style w:type="paragraph" w:styleId="CommentText">
    <w:name w:val="annotation text"/>
    <w:basedOn w:val="Normal"/>
    <w:link w:val="CommentTextChar"/>
    <w:uiPriority w:val="99"/>
    <w:unhideWhenUsed/>
    <w:rsid w:val="00907044"/>
    <w:pPr>
      <w:spacing w:line="240" w:lineRule="auto"/>
    </w:pPr>
    <w:rPr>
      <w:sz w:val="20"/>
      <w:szCs w:val="20"/>
    </w:rPr>
  </w:style>
  <w:style w:type="character" w:customStyle="1" w:styleId="CommentTextChar">
    <w:name w:val="Comment Text Char"/>
    <w:basedOn w:val="DefaultParagraphFont"/>
    <w:link w:val="CommentText"/>
    <w:uiPriority w:val="99"/>
    <w:rsid w:val="00907044"/>
    <w:rPr>
      <w:sz w:val="20"/>
      <w:szCs w:val="20"/>
    </w:rPr>
  </w:style>
  <w:style w:type="paragraph" w:styleId="CommentSubject">
    <w:name w:val="annotation subject"/>
    <w:basedOn w:val="CommentText"/>
    <w:next w:val="CommentText"/>
    <w:link w:val="CommentSubjectChar"/>
    <w:uiPriority w:val="99"/>
    <w:semiHidden/>
    <w:unhideWhenUsed/>
    <w:rsid w:val="00907044"/>
    <w:rPr>
      <w:b/>
      <w:bCs/>
    </w:rPr>
  </w:style>
  <w:style w:type="character" w:customStyle="1" w:styleId="CommentSubjectChar">
    <w:name w:val="Comment Subject Char"/>
    <w:basedOn w:val="CommentTextChar"/>
    <w:link w:val="CommentSubject"/>
    <w:uiPriority w:val="99"/>
    <w:semiHidden/>
    <w:rsid w:val="00907044"/>
    <w:rPr>
      <w:b/>
      <w:bCs/>
      <w:sz w:val="20"/>
      <w:szCs w:val="20"/>
    </w:rPr>
  </w:style>
  <w:style w:type="character" w:styleId="FollowedHyperlink">
    <w:name w:val="FollowedHyperlink"/>
    <w:basedOn w:val="DefaultParagraphFont"/>
    <w:uiPriority w:val="99"/>
    <w:semiHidden/>
    <w:unhideWhenUsed/>
    <w:rsid w:val="004B1EB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3A02023R0956-20251020" TargetMode="External"/><Relationship Id="rId2" Type="http://schemas.openxmlformats.org/officeDocument/2006/relationships/hyperlink" Target="https://eur-lex.europa.eu/legal-content/EN/TXT/?uri=celex:52025DC0085" TargetMode="External"/><Relationship Id="rId1" Type="http://schemas.openxmlformats.org/officeDocument/2006/relationships/hyperlink" Target="https://eur-lex.europa.eu/legal-content/EN/TXT/?uri=celex:52026PC0100" TargetMode="External"/><Relationship Id="rId5" Type="http://schemas.openxmlformats.org/officeDocument/2006/relationships/hyperlink" Target="https://eur-lex.europa.eu/legal-content/EN/TXT/?uri=CELEX%3A02019R0452-20211223" TargetMode="External"/><Relationship Id="rId4" Type="http://schemas.openxmlformats.org/officeDocument/2006/relationships/hyperlink" Target="https://eur-lex.europa.eu/legal-content/EN/TXT/?uri=OJ:L_202601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D2C354A9B80F4897019BC7E2880A88" ma:contentTypeVersion="4" ma:contentTypeDescription="Create a new document." ma:contentTypeScope="" ma:versionID="caea1a69ce3dc0c39cc726368ded7aa8">
  <xsd:schema xmlns:xsd="http://www.w3.org/2001/XMLSchema" xmlns:xs="http://www.w3.org/2001/XMLSchema" xmlns:p="http://schemas.microsoft.com/office/2006/metadata/properties" xmlns:ns2="2a565401-6124-4834-af4c-bc1a772a6083" targetNamespace="http://schemas.microsoft.com/office/2006/metadata/properties" ma:root="true" ma:fieldsID="2283f32238b260abd87f3a6f43294de9" ns2:_="">
    <xsd:import namespace="2a565401-6124-4834-af4c-bc1a772a60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65401-6124-4834-af4c-bc1a772a60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765DF8-2F76-4EC3-9FC9-04AE713C1E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65401-6124-4834-af4c-bc1a772a60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86ED9-2092-47E5-9888-ADCCA2FB2155}">
  <ds:schemaRefs>
    <ds:schemaRef ds:uri="http://schemas.microsoft.com/sharepoint/v3/contenttype/forms"/>
  </ds:schemaRefs>
</ds:datastoreItem>
</file>

<file path=customXml/itemProps3.xml><?xml version="1.0" encoding="utf-8"?>
<ds:datastoreItem xmlns:ds="http://schemas.openxmlformats.org/officeDocument/2006/customXml" ds:itemID="{9A842281-E6AD-4E69-B127-38D279817B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4C693A-EB5A-49DA-A52C-4D15705D3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1118</Words>
  <Characters>6934</Characters>
  <Application>Microsoft Office Word</Application>
  <DocSecurity>0</DocSecurity>
  <Lines>92</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8033</CharactersWithSpaces>
  <SharedDoc>false</SharedDoc>
  <HLinks>
    <vt:vector size="30" baseType="variant">
      <vt:variant>
        <vt:i4>7209059</vt:i4>
      </vt:variant>
      <vt:variant>
        <vt:i4>12</vt:i4>
      </vt:variant>
      <vt:variant>
        <vt:i4>0</vt:i4>
      </vt:variant>
      <vt:variant>
        <vt:i4>5</vt:i4>
      </vt:variant>
      <vt:variant>
        <vt:lpwstr>https://eur-lex.europa.eu/legal-content/EN/TXT/?uri=CELEX%3A02019R0452-20211223</vt:lpwstr>
      </vt:variant>
      <vt:variant>
        <vt:lpwstr/>
      </vt:variant>
      <vt:variant>
        <vt:i4>7274496</vt:i4>
      </vt:variant>
      <vt:variant>
        <vt:i4>9</vt:i4>
      </vt:variant>
      <vt:variant>
        <vt:i4>0</vt:i4>
      </vt:variant>
      <vt:variant>
        <vt:i4>5</vt:i4>
      </vt:variant>
      <vt:variant>
        <vt:lpwstr>https://eur-lex.europa.eu/legal-content/EN/TXT/?uri=OJ:L_202601384</vt:lpwstr>
      </vt:variant>
      <vt:variant>
        <vt:lpwstr/>
      </vt:variant>
      <vt:variant>
        <vt:i4>6553711</vt:i4>
      </vt:variant>
      <vt:variant>
        <vt:i4>6</vt:i4>
      </vt:variant>
      <vt:variant>
        <vt:i4>0</vt:i4>
      </vt:variant>
      <vt:variant>
        <vt:i4>5</vt:i4>
      </vt:variant>
      <vt:variant>
        <vt:lpwstr>https://eur-lex.europa.eu/legal-content/EN/TXT/?uri=CELEX%3A02023R0956-20251020</vt:lpwstr>
      </vt:variant>
      <vt:variant>
        <vt:lpwstr/>
      </vt:variant>
      <vt:variant>
        <vt:i4>524305</vt:i4>
      </vt:variant>
      <vt:variant>
        <vt:i4>3</vt:i4>
      </vt:variant>
      <vt:variant>
        <vt:i4>0</vt:i4>
      </vt:variant>
      <vt:variant>
        <vt:i4>5</vt:i4>
      </vt:variant>
      <vt:variant>
        <vt:lpwstr>https://eur-lex.europa.eu/legal-content/EN/TXT/?uri=celex:52025DC0085</vt:lpwstr>
      </vt:variant>
      <vt:variant>
        <vt:lpwstr/>
      </vt:variant>
      <vt:variant>
        <vt:i4>1310739</vt:i4>
      </vt:variant>
      <vt:variant>
        <vt:i4>0</vt:i4>
      </vt:variant>
      <vt:variant>
        <vt:i4>0</vt:i4>
      </vt:variant>
      <vt:variant>
        <vt:i4>5</vt:i4>
      </vt:variant>
      <vt:variant>
        <vt:lpwstr>https://eur-lex.europa.eu/legal-content/EN/TXT/?uri=celex:52026PC0100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NEU Erik (GROW-EXT)</dc:creator>
  <cp:keywords/>
  <dc:description/>
  <cp:lastModifiedBy>ROSSI Simona (SG)</cp:lastModifiedBy>
  <cp:revision>3</cp:revision>
  <dcterms:created xsi:type="dcterms:W3CDTF">2026-09-23T15:25:00Z</dcterms:created>
  <dcterms:modified xsi:type="dcterms:W3CDTF">2026-09-23T15:27:00Z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0x01010078D2C354A9B80F4897019BC7E2880A88</vt:lpwstr>
  </property>
  <property fmtid="{D5CDD505-2E9C-101B-9397-08002B2CF9AE}" pid="3" name="MSIP_Label_6bd9ddd1-4d20-43f6-abfa-fc3c07406f94_Enabled">
    <vt:lpwstr>true</vt:lpwstr>
  </property>
  <property fmtid="{D5CDD505-2E9C-101B-9397-08002B2CF9AE}" pid="4" name="MSIP_Label_6bd9ddd1-4d20-43f6-abfa-fc3c07406f94_SetDate">
    <vt:lpwstr>2026-03-24T14:01:04Z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144bd125-5330-4339-a124-e40200fd50bc</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ies>
</file>