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29F79" w14:textId="6385D56A" w:rsidR="006D4BDA" w:rsidRDefault="00A101A9" w:rsidP="00AC3951">
      <w:pPr>
        <w:pStyle w:val="Heading1"/>
        <w:jc w:val="center"/>
      </w:pPr>
      <w:r>
        <w:t>EU</w:t>
      </w:r>
      <w:r w:rsidR="00631D63">
        <w:t>-ACP</w:t>
      </w:r>
      <w:r>
        <w:t xml:space="preserve"> Follow-up Committee – Draft</w:t>
      </w:r>
      <w:r w:rsidR="006B3BE8">
        <w:t xml:space="preserve"> Work P</w:t>
      </w:r>
      <w:r>
        <w:t>rogramme 2026</w:t>
      </w:r>
      <w:r w:rsidR="0018713D">
        <w:t>-2028</w:t>
      </w:r>
    </w:p>
    <w:p w14:paraId="72F10826" w14:textId="77777777" w:rsidR="00B877BD" w:rsidRPr="00B877BD" w:rsidRDefault="00B877BD" w:rsidP="00B877BD"/>
    <w:p w14:paraId="35436F20" w14:textId="18419A3D" w:rsidR="00BB6C43" w:rsidRDefault="00BB6C43" w:rsidP="00BB6C43">
      <w:pPr>
        <w:pStyle w:val="Heading2"/>
        <w:numPr>
          <w:ilvl w:val="0"/>
          <w:numId w:val="10"/>
        </w:numPr>
      </w:pPr>
      <w:r>
        <w:t>In</w:t>
      </w:r>
      <w:r w:rsidR="00A35E1F">
        <w:t xml:space="preserve">troduction and </w:t>
      </w:r>
      <w:r>
        <w:t xml:space="preserve">Political </w:t>
      </w:r>
      <w:r w:rsidR="00A35E1F">
        <w:t>Context</w:t>
      </w:r>
    </w:p>
    <w:p w14:paraId="11FF917B" w14:textId="62C99159" w:rsidR="00B877BD" w:rsidRPr="00B877BD" w:rsidRDefault="00B877BD" w:rsidP="00B877BD">
      <w:pPr>
        <w:jc w:val="both"/>
      </w:pPr>
      <w:r w:rsidRPr="00AC3951">
        <w:t xml:space="preserve">The EU-ACP Follow-up Committee is a body of the EESC within the External Relations (REX) section. Its role is to closely monitor the EU’s economic, social, development, political and cultural relations with the countries of the Organisation of African, Caribbean and Pacific States (OACPS), with a view to promoting their sustainable development and a vision of shared interests. </w:t>
      </w:r>
      <w:r w:rsidR="009E4539" w:rsidRPr="009E4539">
        <w:t xml:space="preserve">The Committee plays a role in promoting the reflection of civil society perspectives in the implementation of the </w:t>
      </w:r>
      <w:hyperlink r:id="rId6" w:history="1">
        <w:r w:rsidR="009E4539" w:rsidRPr="00987D63">
          <w:rPr>
            <w:rStyle w:val="Hyperlink"/>
          </w:rPr>
          <w:t>OACPS–EU partnership</w:t>
        </w:r>
      </w:hyperlink>
      <w:r w:rsidR="009E4539" w:rsidRPr="009E4539">
        <w:t>.</w:t>
      </w:r>
      <w:r w:rsidR="009E43BA">
        <w:t xml:space="preserve"> </w:t>
      </w:r>
      <w:r w:rsidRPr="00AC3951">
        <w:t xml:space="preserve">Particular attention is paid to the development and promotion of civil society organisations in </w:t>
      </w:r>
      <w:r w:rsidR="00E0096D">
        <w:t>partner</w:t>
      </w:r>
      <w:r w:rsidRPr="00AC3951">
        <w:t xml:space="preserve"> countries, as key actors in putting common values into practice </w:t>
      </w:r>
      <w:r>
        <w:t xml:space="preserve">and strengthening </w:t>
      </w:r>
      <w:r w:rsidRPr="00987D63">
        <w:t>EU–OACPS</w:t>
      </w:r>
      <w:r w:rsidR="00E0096D" w:rsidRPr="001405A6">
        <w:t xml:space="preserve"> </w:t>
      </w:r>
      <w:r w:rsidRPr="001405A6">
        <w:t>cooperation</w:t>
      </w:r>
      <w:r>
        <w:t>.</w:t>
      </w:r>
    </w:p>
    <w:p w14:paraId="31EB222C" w14:textId="15F071C7" w:rsidR="006D4BDA" w:rsidRDefault="00A101A9" w:rsidP="002F4C01">
      <w:pPr>
        <w:jc w:val="both"/>
      </w:pPr>
      <w:r>
        <w:t>The</w:t>
      </w:r>
      <w:r w:rsidR="006617B2">
        <w:t xml:space="preserve"> OACPS-EU</w:t>
      </w:r>
      <w:r>
        <w:t xml:space="preserve"> Samoa Agreement was signed in November 2023 and entered into provisional application in January 2024. The Samoa Agreement establishes a common foundation for EU cooperation with OACPS partners, structured around shared values, political dialogue and thematic priorities including human rights and democracy, peace and security, human and social development, inclusive and sustainable economic growth</w:t>
      </w:r>
      <w:r w:rsidR="00274E1D">
        <w:t xml:space="preserve"> and development</w:t>
      </w:r>
      <w:r>
        <w:t xml:space="preserve">, environmental sustainability and climate action, as well as migration and mobility. </w:t>
      </w:r>
      <w:r w:rsidR="00274E1D">
        <w:t>The</w:t>
      </w:r>
      <w:r>
        <w:t xml:space="preserve"> </w:t>
      </w:r>
      <w:r w:rsidR="00274E1D" w:rsidRPr="00274E1D">
        <w:t xml:space="preserve">common foundation, which applies to all Parties, </w:t>
      </w:r>
      <w:r w:rsidR="00274E1D">
        <w:t xml:space="preserve">is </w:t>
      </w:r>
      <w:r w:rsidR="00274E1D" w:rsidRPr="00274E1D">
        <w:t>combined with three regional protocols for Africa, the Caribbean and the Pacific</w:t>
      </w:r>
      <w:r w:rsidR="00274E1D">
        <w:t xml:space="preserve">, </w:t>
      </w:r>
      <w:r w:rsidR="00274E1D" w:rsidRPr="00274E1D">
        <w:t>focus</w:t>
      </w:r>
      <w:r w:rsidR="00274E1D">
        <w:t>ing</w:t>
      </w:r>
      <w:r w:rsidR="00274E1D" w:rsidRPr="00274E1D">
        <w:t xml:space="preserve"> on the specific needs of each region.</w:t>
      </w:r>
      <w:r w:rsidR="00274E1D">
        <w:t xml:space="preserve"> </w:t>
      </w:r>
      <w:r>
        <w:t>Article 95 provides for a stakeholder engagement mechanism through which civil society should be closely consulted on the implementation of the agreement. However, progress on establishing such a mechanism has remained limited.</w:t>
      </w:r>
    </w:p>
    <w:p w14:paraId="248AAD1B" w14:textId="546BFE99" w:rsidR="006D4BDA" w:rsidRDefault="00A101A9" w:rsidP="002F4C01">
      <w:pPr>
        <w:jc w:val="both"/>
      </w:pPr>
      <w:r>
        <w:t>The EU</w:t>
      </w:r>
      <w:r w:rsidR="00631D63">
        <w:t>-ACP</w:t>
      </w:r>
      <w:r>
        <w:t xml:space="preserve"> Follow-up Committee was established under the </w:t>
      </w:r>
      <w:r w:rsidR="006617B2">
        <w:t xml:space="preserve">previous EU-ACP agreement, the </w:t>
      </w:r>
      <w:r>
        <w:t>Cotonou Agreement</w:t>
      </w:r>
      <w:r w:rsidR="006617B2">
        <w:t>,</w:t>
      </w:r>
      <w:r>
        <w:t xml:space="preserve"> as an institutional channel for consultation with organised civil society on the implementation of the </w:t>
      </w:r>
      <w:r w:rsidR="006617B2">
        <w:t>EU-ACP</w:t>
      </w:r>
      <w:r>
        <w:t xml:space="preserve"> partnership. In the transition to the Samoa Agreement architecture, the Committee’s role continues to be important for </w:t>
      </w:r>
      <w:r w:rsidR="000550DB">
        <w:t>pursuing</w:t>
      </w:r>
      <w:r>
        <w:t xml:space="preserve"> structured dialogue and ensuring that civil society voices inform the partnership’s priorities and delivery</w:t>
      </w:r>
      <w:r w:rsidR="000550DB">
        <w:t>, although its bilateral nature could not be maintained due to the interruption of funding for ACP delegates' participation.</w:t>
      </w:r>
    </w:p>
    <w:p w14:paraId="0C714362" w14:textId="5AD440BE" w:rsidR="006617B2" w:rsidRDefault="006617B2" w:rsidP="009651E9">
      <w:pPr>
        <w:jc w:val="both"/>
      </w:pPr>
      <w:r>
        <w:t>Additionally</w:t>
      </w:r>
      <w:r w:rsidR="00A101A9">
        <w:t xml:space="preserve">, </w:t>
      </w:r>
      <w:r>
        <w:t xml:space="preserve">the Follow-up Committee </w:t>
      </w:r>
      <w:r w:rsidR="00A101A9">
        <w:t xml:space="preserve">continues </w:t>
      </w:r>
      <w:r>
        <w:t xml:space="preserve">work </w:t>
      </w:r>
      <w:r w:rsidR="00A101A9">
        <w:t xml:space="preserve">on strengthening civil society engagement in the framework of the </w:t>
      </w:r>
      <w:hyperlink r:id="rId7" w:history="1">
        <w:r w:rsidR="00033B9E" w:rsidRPr="00656373">
          <w:rPr>
            <w:rStyle w:val="Hyperlink"/>
          </w:rPr>
          <w:t>EU-A</w:t>
        </w:r>
        <w:r w:rsidR="00E94CA4">
          <w:rPr>
            <w:rStyle w:val="Hyperlink"/>
          </w:rPr>
          <w:t xml:space="preserve">frican </w:t>
        </w:r>
        <w:r w:rsidR="00033B9E" w:rsidRPr="00656373">
          <w:rPr>
            <w:rStyle w:val="Hyperlink"/>
          </w:rPr>
          <w:t>U</w:t>
        </w:r>
        <w:r w:rsidR="00E94CA4">
          <w:rPr>
            <w:rStyle w:val="Hyperlink"/>
          </w:rPr>
          <w:t>nion (AU)</w:t>
        </w:r>
        <w:r w:rsidR="00A101A9" w:rsidRPr="00656373">
          <w:rPr>
            <w:rStyle w:val="Hyperlink"/>
          </w:rPr>
          <w:t xml:space="preserve"> partnership</w:t>
        </w:r>
      </w:hyperlink>
      <w:r w:rsidR="00A101A9">
        <w:t xml:space="preserve">. </w:t>
      </w:r>
      <w:r>
        <w:t xml:space="preserve">The </w:t>
      </w:r>
      <w:hyperlink r:id="rId8" w:history="1">
        <w:r w:rsidR="00E94CA4">
          <w:rPr>
            <w:rStyle w:val="Hyperlink"/>
          </w:rPr>
          <w:t>E</w:t>
        </w:r>
        <w:r w:rsidR="00274E1D" w:rsidRPr="00274E1D">
          <w:rPr>
            <w:rStyle w:val="Hyperlink"/>
          </w:rPr>
          <w:t>U–</w:t>
        </w:r>
        <w:r w:rsidR="00E94CA4">
          <w:rPr>
            <w:rStyle w:val="Hyperlink"/>
          </w:rPr>
          <w:t>A</w:t>
        </w:r>
        <w:r w:rsidR="00274E1D" w:rsidRPr="00274E1D">
          <w:rPr>
            <w:rStyle w:val="Hyperlink"/>
          </w:rPr>
          <w:t xml:space="preserve">U </w:t>
        </w:r>
        <w:r w:rsidRPr="00274E1D">
          <w:rPr>
            <w:rStyle w:val="Hyperlink"/>
          </w:rPr>
          <w:t>Joint Vision for 2030</w:t>
        </w:r>
      </w:hyperlink>
      <w:r>
        <w:t xml:space="preserve">, endorsed by leaders at the AU–EU Summit in February 2022 </w:t>
      </w:r>
      <w:r w:rsidRPr="00274E1D">
        <w:t xml:space="preserve">and </w:t>
      </w:r>
      <w:r w:rsidR="00274E1D" w:rsidRPr="00274E1D">
        <w:t xml:space="preserve">reaffirmed </w:t>
      </w:r>
      <w:r w:rsidR="00E80CE2" w:rsidRPr="00E80CE2">
        <w:t xml:space="preserve">as the shared political framework at the </w:t>
      </w:r>
      <w:hyperlink r:id="rId9" w:history="1">
        <w:r w:rsidR="00274E1D" w:rsidRPr="00274E1D">
          <w:rPr>
            <w:rStyle w:val="Hyperlink"/>
          </w:rPr>
          <w:t>AU–EU Summit of November 2025</w:t>
        </w:r>
      </w:hyperlink>
      <w:r>
        <w:t xml:space="preserve">, provides an overarching </w:t>
      </w:r>
      <w:r w:rsidR="00E80CE2">
        <w:t>basis</w:t>
      </w:r>
      <w:r>
        <w:t xml:space="preserve"> for cooperation between the two continents, notably in areas such as the green transition and energy access, digital </w:t>
      </w:r>
      <w:r w:rsidR="00E80CE2">
        <w:t>transition</w:t>
      </w:r>
      <w:r>
        <w:t>, sustainable growth and jobs, peace and governance, migration and mobility and multilateral cooperation.</w:t>
      </w:r>
    </w:p>
    <w:p w14:paraId="771FA458" w14:textId="0B5F12E0" w:rsidR="006D4BDA" w:rsidRDefault="006617B2" w:rsidP="002F4C01">
      <w:pPr>
        <w:jc w:val="both"/>
      </w:pPr>
      <w:r>
        <w:lastRenderedPageBreak/>
        <w:t>The EESC c</w:t>
      </w:r>
      <w:r w:rsidR="00A101A9">
        <w:t xml:space="preserve">ooperation with the African Union’s Economic, Social and Cultural Council (AU ECOSOCC) has deepened further following the signature of </w:t>
      </w:r>
      <w:r>
        <w:t>a</w:t>
      </w:r>
      <w:r w:rsidR="00A101A9">
        <w:t xml:space="preserve"> Memorandum of Understanding (MoU) in July 2024 in Accra</w:t>
      </w:r>
      <w:r>
        <w:t xml:space="preserve"> (Ghana)</w:t>
      </w:r>
      <w:r w:rsidR="00A101A9">
        <w:t>.</w:t>
      </w:r>
      <w:r w:rsidRPr="006617B2">
        <w:t xml:space="preserve"> </w:t>
      </w:r>
    </w:p>
    <w:p w14:paraId="13F0C55F" w14:textId="02E2C1B9" w:rsidR="006D4BDA" w:rsidRDefault="00A101A9" w:rsidP="002F4C01">
      <w:pPr>
        <w:jc w:val="both"/>
      </w:pPr>
      <w:r>
        <w:t xml:space="preserve">Against this backdrop, the ACP-EU Follow-up Committee’s work </w:t>
      </w:r>
      <w:r w:rsidR="00E80CE2">
        <w:t>during the 2026-2028 mandate</w:t>
      </w:r>
      <w:r>
        <w:t xml:space="preserve"> will build on the actions undertaken in previous years and will focus on</w:t>
      </w:r>
      <w:r w:rsidRPr="002B14E4">
        <w:t>: (i) advancing meaningful civil society consultation under the Samoa Agreement (Article 95); (ii) implementing the EESC–AU ECOSOCC MoU through a practical set of joint activities</w:t>
      </w:r>
      <w:r w:rsidR="006617B2" w:rsidRPr="002B14E4">
        <w:t>, strengthening civil society engagement under the EU-AU Partnership</w:t>
      </w:r>
      <w:r w:rsidRPr="002B14E4">
        <w:t>; and (iii) strengthening civil society monitoring of key policy and investment initiatives affecting ACP regions, including the Global Gateway and Economic Partnership Agreements (EPAs).</w:t>
      </w:r>
    </w:p>
    <w:p w14:paraId="16D09BAA" w14:textId="715C8247" w:rsidR="006D4BDA" w:rsidRPr="00DA3F49" w:rsidRDefault="00DA3F49" w:rsidP="00E62F6A">
      <w:pPr>
        <w:pStyle w:val="Heading2"/>
        <w:numPr>
          <w:ilvl w:val="0"/>
          <w:numId w:val="10"/>
        </w:numPr>
      </w:pPr>
      <w:r w:rsidRPr="00DA3F49">
        <w:t xml:space="preserve">Main </w:t>
      </w:r>
      <w:r w:rsidR="006627D1">
        <w:t>E</w:t>
      </w:r>
      <w:r w:rsidR="009213CE">
        <w:t>lements</w:t>
      </w:r>
      <w:r w:rsidRPr="00DA3F49">
        <w:t xml:space="preserve"> of the </w:t>
      </w:r>
      <w:r w:rsidR="006627D1">
        <w:t>W</w:t>
      </w:r>
      <w:r w:rsidRPr="00DA3F49">
        <w:t xml:space="preserve">ork </w:t>
      </w:r>
      <w:r w:rsidR="006627D1">
        <w:t>P</w:t>
      </w:r>
      <w:r w:rsidRPr="00DA3F49">
        <w:t xml:space="preserve">rogramme </w:t>
      </w:r>
    </w:p>
    <w:p w14:paraId="5BF08D8A" w14:textId="66AD4E49" w:rsidR="006D4BDA" w:rsidRDefault="004435D3" w:rsidP="002F4C01">
      <w:pPr>
        <w:jc w:val="both"/>
      </w:pPr>
      <w:r w:rsidRPr="004435D3">
        <w:t>The Committee’s work for 2026–2028 will revolve around the following pillars</w:t>
      </w:r>
      <w:r w:rsidR="00A101A9">
        <w:t>:</w:t>
      </w:r>
    </w:p>
    <w:p w14:paraId="3672DD98" w14:textId="2BDE0E1A" w:rsidR="006D4BDA" w:rsidRDefault="00A101A9" w:rsidP="002F4C01">
      <w:pPr>
        <w:pStyle w:val="ListBullet"/>
        <w:jc w:val="both"/>
      </w:pPr>
      <w:r>
        <w:t xml:space="preserve">continuing cooperation with the European Commission and the Organisation of African, Caribbean and Pacific States (OACPS) on the implementation of Article 95 of the Samoa Agreement </w:t>
      </w:r>
      <w:r w:rsidR="009213CE">
        <w:t>for th</w:t>
      </w:r>
      <w:r>
        <w:t>e establishment of an effective stakeholder engagement mechanism;</w:t>
      </w:r>
    </w:p>
    <w:p w14:paraId="4F2C16BC" w14:textId="77777777" w:rsidR="003F6D40" w:rsidRDefault="003F6D40" w:rsidP="002F4C01">
      <w:pPr>
        <w:pStyle w:val="ListBullet"/>
        <w:jc w:val="both"/>
      </w:pPr>
      <w:r w:rsidRPr="00235BD7">
        <w:t>implementing the MoU with AU ECOSOCC through joint activities on stakeholder engagement, policy dialogue and civil society empowerment within the EU–Africa Partnership</w:t>
      </w:r>
      <w:r w:rsidRPr="004F2AD5">
        <w:t>, including cooperation in the context of multilateral events such as COP31, contributions by AU ECOSOCC to relevant opinions (e.g. on humanitarian aid), and the reciprocal exchange of invitations to events on issues of common interest;</w:t>
      </w:r>
    </w:p>
    <w:p w14:paraId="323EE79D" w14:textId="00BCA937" w:rsidR="006D4BDA" w:rsidRDefault="00A101A9" w:rsidP="009B13D6">
      <w:pPr>
        <w:pStyle w:val="ListBullet"/>
        <w:jc w:val="both"/>
      </w:pPr>
      <w:r>
        <w:t>participating in meetings of the OACPS–EU Joint Parliamentary Assembly (JPA), including regional assemblies (in particular the Africa–EU Regional Assembly), and strengthening cooperation with the JPA, notably as regards civil society events organised in the margins of the JPA</w:t>
      </w:r>
      <w:r w:rsidR="00235BD7">
        <w:t xml:space="preserve">, in cooperation with the AU ECOSOCC where </w:t>
      </w:r>
      <w:r w:rsidR="000D113E">
        <w:t>relevant</w:t>
      </w:r>
      <w:r>
        <w:t>;</w:t>
      </w:r>
    </w:p>
    <w:p w14:paraId="2287720D" w14:textId="02CFD4B7" w:rsidR="000E22EE" w:rsidRDefault="00A101A9" w:rsidP="009651E9">
      <w:pPr>
        <w:pStyle w:val="ListBullet"/>
        <w:jc w:val="both"/>
      </w:pPr>
      <w:r>
        <w:t xml:space="preserve">continuing efforts to ensure that civil society is involved in implementing </w:t>
      </w:r>
      <w:r w:rsidRPr="00E70F68">
        <w:t>EPAs</w:t>
      </w:r>
      <w:r>
        <w:t>, including follow-up to previous work on the EU–Côte d’Ivoire EPA and the EU–SADC EPA</w:t>
      </w:r>
      <w:r w:rsidR="00E80CE2">
        <w:t>. In this respect, to</w:t>
      </w:r>
      <w:r>
        <w:t xml:space="preserve"> ensure coherence and maximise impact, the Committee will also coordinate, as appropriate, with other consultative bodies, including the Joint Consultative Committee of the CARIFORUM–EU Economic Partnership Agreement and the Domestic Advisory Group (DAG) under the EU–Kenya Economic Partnership Agreement</w:t>
      </w:r>
      <w:r w:rsidR="0072289D">
        <w:t>;</w:t>
      </w:r>
    </w:p>
    <w:p w14:paraId="7ECBAA69" w14:textId="25068F93" w:rsidR="009B13D6" w:rsidRDefault="009B13D6" w:rsidP="00F91EFD">
      <w:pPr>
        <w:pStyle w:val="ListBullet"/>
        <w:jc w:val="both"/>
      </w:pPr>
      <w:r>
        <w:t xml:space="preserve">contributing to the update of the </w:t>
      </w:r>
      <w:r w:rsidR="00573E6B">
        <w:t>MoU</w:t>
      </w:r>
      <w:r>
        <w:t xml:space="preserve"> with the Union of Economic and Social Councils and Similar Institutions of Africa (UCESA);</w:t>
      </w:r>
    </w:p>
    <w:p w14:paraId="245D1E9B" w14:textId="3BFF577A" w:rsidR="0072289D" w:rsidRDefault="00A101A9" w:rsidP="0072289D">
      <w:pPr>
        <w:pStyle w:val="ListBullet"/>
        <w:numPr>
          <w:ilvl w:val="0"/>
          <w:numId w:val="0"/>
        </w:numPr>
        <w:ind w:left="360"/>
        <w:jc w:val="both"/>
      </w:pPr>
      <w:r>
        <w:t>maintaining engagement on the Indo-Pacific, including in the context of developing an EU–Pacific axis drawing on the Samoa Agreement architecture</w:t>
      </w:r>
      <w:r w:rsidR="0072289D">
        <w:t>;</w:t>
      </w:r>
    </w:p>
    <w:p w14:paraId="7D0CD3C9" w14:textId="330FA84B" w:rsidR="00F6168E" w:rsidRDefault="0072289D" w:rsidP="0072289D">
      <w:pPr>
        <w:pStyle w:val="ListBullet"/>
        <w:jc w:val="both"/>
      </w:pPr>
      <w:r>
        <w:t>i</w:t>
      </w:r>
      <w:r w:rsidR="00F6168E" w:rsidRPr="00F6168E">
        <w:t>t will</w:t>
      </w:r>
      <w:r w:rsidR="00F6168E">
        <w:t xml:space="preserve"> also</w:t>
      </w:r>
      <w:r w:rsidR="00F6168E" w:rsidRPr="00F6168E">
        <w:t xml:space="preserve"> be important to explore possibilities for financial support</w:t>
      </w:r>
      <w:r w:rsidR="00250504">
        <w:t xml:space="preserve"> </w:t>
      </w:r>
      <w:r w:rsidR="00F6168E" w:rsidRPr="00F6168E">
        <w:t>—</w:t>
      </w:r>
      <w:r w:rsidR="00250504">
        <w:t xml:space="preserve"> </w:t>
      </w:r>
      <w:r w:rsidR="00F6168E" w:rsidRPr="00F6168E">
        <w:t xml:space="preserve">particularly from </w:t>
      </w:r>
      <w:r w:rsidR="00F6168E">
        <w:t>the European Commission (</w:t>
      </w:r>
      <w:r w:rsidR="00F6168E" w:rsidRPr="00F6168E">
        <w:t>DG INTPA</w:t>
      </w:r>
      <w:r w:rsidR="00F6168E">
        <w:t>)</w:t>
      </w:r>
      <w:r w:rsidR="00250504">
        <w:t xml:space="preserve"> </w:t>
      </w:r>
      <w:r w:rsidR="00F6168E" w:rsidRPr="00F6168E">
        <w:t>—</w:t>
      </w:r>
      <w:r w:rsidR="00250504">
        <w:t xml:space="preserve"> </w:t>
      </w:r>
      <w:r w:rsidR="00F6168E" w:rsidRPr="00F6168E">
        <w:t>to enable the meaningful participation of ACP stakeholders in the Committee’s activities and ensure genuine inclusiveness in the implementation of the partnership</w:t>
      </w:r>
      <w:r w:rsidR="00F6168E">
        <w:t>s</w:t>
      </w:r>
      <w:r w:rsidR="00F6168E" w:rsidRPr="00F6168E">
        <w:t>.</w:t>
      </w:r>
    </w:p>
    <w:p w14:paraId="214A0ABA" w14:textId="3E3BAC8B" w:rsidR="00E80CE2" w:rsidRDefault="00E80CE2" w:rsidP="00F12815">
      <w:pPr>
        <w:pStyle w:val="Heading2"/>
        <w:numPr>
          <w:ilvl w:val="0"/>
          <w:numId w:val="10"/>
        </w:numPr>
      </w:pPr>
      <w:r>
        <w:lastRenderedPageBreak/>
        <w:t xml:space="preserve">Thematic </w:t>
      </w:r>
      <w:r w:rsidR="006627D1">
        <w:t>P</w:t>
      </w:r>
      <w:r>
        <w:t xml:space="preserve">riorities </w:t>
      </w:r>
    </w:p>
    <w:p w14:paraId="308A5664" w14:textId="3E9DD1B6" w:rsidR="00E80CE2" w:rsidRDefault="009213CE" w:rsidP="00E80CE2">
      <w:pPr>
        <w:jc w:val="both"/>
      </w:pPr>
      <w:r>
        <w:t>T</w:t>
      </w:r>
      <w:r w:rsidR="00E80CE2">
        <w:t>he ACP-EU Follow-up Committee will prioritise work on:</w:t>
      </w:r>
    </w:p>
    <w:p w14:paraId="4621057B" w14:textId="47F13F8C" w:rsidR="00E80CE2" w:rsidRDefault="00E80CE2" w:rsidP="00E80CE2">
      <w:pPr>
        <w:pStyle w:val="ListBullet"/>
        <w:jc w:val="both"/>
      </w:pPr>
      <w:r w:rsidRPr="00E70F68">
        <w:rPr>
          <w:b/>
          <w:bCs/>
        </w:rPr>
        <w:t>meaningful civil society engagement</w:t>
      </w:r>
      <w:r>
        <w:t xml:space="preserve"> under the Samoa Agreement and in the EU–</w:t>
      </w:r>
      <w:r w:rsidR="009213CE">
        <w:t>AU</w:t>
      </w:r>
      <w:r>
        <w:t xml:space="preserve"> partnership;</w:t>
      </w:r>
    </w:p>
    <w:p w14:paraId="6A5D8E5A" w14:textId="77777777" w:rsidR="00F02A5A" w:rsidRDefault="00F02A5A" w:rsidP="00F02A5A">
      <w:pPr>
        <w:pStyle w:val="ListBullet"/>
        <w:jc w:val="both"/>
      </w:pPr>
      <w:r w:rsidRPr="00E70F68">
        <w:rPr>
          <w:b/>
          <w:bCs/>
        </w:rPr>
        <w:t>shared and sustainable management of strategic resources</w:t>
      </w:r>
      <w:r>
        <w:t>, including water and critical raw materials;</w:t>
      </w:r>
    </w:p>
    <w:p w14:paraId="1EDDC173" w14:textId="77777777" w:rsidR="00F02A5A" w:rsidRDefault="00F02A5A" w:rsidP="00F02A5A">
      <w:pPr>
        <w:pStyle w:val="ListBullet"/>
        <w:jc w:val="both"/>
      </w:pPr>
      <w:r>
        <w:t xml:space="preserve">protection of the environment and tackling </w:t>
      </w:r>
      <w:r w:rsidRPr="00E70F68">
        <w:rPr>
          <w:b/>
          <w:bCs/>
        </w:rPr>
        <w:t>climate change</w:t>
      </w:r>
      <w:r>
        <w:t>;</w:t>
      </w:r>
    </w:p>
    <w:p w14:paraId="749F4210" w14:textId="5FBADDD9" w:rsidR="00F02A5A" w:rsidRDefault="00F02A5A" w:rsidP="00F02A5A">
      <w:pPr>
        <w:pStyle w:val="ListBullet"/>
        <w:jc w:val="both"/>
      </w:pPr>
      <w:r>
        <w:t xml:space="preserve">demographics and movement of people, including regular, forced and climate-related </w:t>
      </w:r>
      <w:r w:rsidRPr="00E70F68">
        <w:rPr>
          <w:b/>
          <w:bCs/>
        </w:rPr>
        <w:t>migration</w:t>
      </w:r>
      <w:r>
        <w:t>;</w:t>
      </w:r>
    </w:p>
    <w:p w14:paraId="7BDC20A3" w14:textId="2274C466" w:rsidR="00E80CE2" w:rsidRDefault="00E80CE2" w:rsidP="00F02A5A">
      <w:pPr>
        <w:pStyle w:val="ListBullet"/>
        <w:jc w:val="both"/>
      </w:pPr>
      <w:r>
        <w:t xml:space="preserve">monitoring the impact of </w:t>
      </w:r>
      <w:r w:rsidRPr="00E70F68">
        <w:rPr>
          <w:b/>
          <w:bCs/>
        </w:rPr>
        <w:t>Global Gateway</w:t>
      </w:r>
      <w:r>
        <w:t xml:space="preserve"> projects, including transparency, inclusiveness and local ownership;</w:t>
      </w:r>
    </w:p>
    <w:p w14:paraId="384746E9" w14:textId="77777777" w:rsidR="00F02A5A" w:rsidRDefault="00F02A5A" w:rsidP="00F02A5A">
      <w:pPr>
        <w:pStyle w:val="ListBullet"/>
        <w:jc w:val="both"/>
      </w:pPr>
      <w:r w:rsidRPr="00E70F68">
        <w:rPr>
          <w:b/>
          <w:bCs/>
        </w:rPr>
        <w:t>SMEs’ internationalisation</w:t>
      </w:r>
      <w:r>
        <w:t xml:space="preserve"> and their ability to participate in development projects and sustainable value chains.</w:t>
      </w:r>
    </w:p>
    <w:p w14:paraId="280E6791" w14:textId="388B220D" w:rsidR="00F02A5A" w:rsidRDefault="00F02A5A" w:rsidP="00F02A5A">
      <w:pPr>
        <w:pStyle w:val="ListBullet"/>
        <w:jc w:val="both"/>
      </w:pPr>
      <w:r w:rsidRPr="00F02A5A">
        <w:rPr>
          <w:b/>
          <w:bCs/>
        </w:rPr>
        <w:t>sustainable development</w:t>
      </w:r>
      <w:r w:rsidRPr="00F02A5A">
        <w:t xml:space="preserve"> and </w:t>
      </w:r>
      <w:r w:rsidRPr="00F02A5A">
        <w:rPr>
          <w:b/>
          <w:bCs/>
        </w:rPr>
        <w:t>democracy</w:t>
      </w:r>
      <w:r>
        <w:t>;</w:t>
      </w:r>
    </w:p>
    <w:p w14:paraId="354264E3" w14:textId="77777777" w:rsidR="00F02A5A" w:rsidRDefault="00F02A5A" w:rsidP="00E80CE2">
      <w:pPr>
        <w:pStyle w:val="ListBullet"/>
        <w:jc w:val="both"/>
      </w:pPr>
      <w:r w:rsidRPr="00E70F68">
        <w:t xml:space="preserve">reform of </w:t>
      </w:r>
      <w:r w:rsidRPr="00E70F68">
        <w:rPr>
          <w:b/>
          <w:bCs/>
        </w:rPr>
        <w:t>global governance</w:t>
      </w:r>
      <w:r w:rsidRPr="00E70F68">
        <w:rPr>
          <w:rFonts w:ascii="CIDFont+F1" w:hAnsi="CIDFont+F1" w:cs="CIDFont+F1"/>
          <w:sz w:val="21"/>
          <w:szCs w:val="21"/>
        </w:rPr>
        <w:t xml:space="preserve"> and international organisations (UN, WTO, IMF, World Bank)</w:t>
      </w:r>
      <w:r w:rsidRPr="00E70F68">
        <w:t xml:space="preserve"> and reinforcement of </w:t>
      </w:r>
      <w:r w:rsidRPr="00E70F68">
        <w:rPr>
          <w:b/>
          <w:bCs/>
        </w:rPr>
        <w:t>multilateralism</w:t>
      </w:r>
      <w:r w:rsidRPr="00E70F68">
        <w:t xml:space="preserve">; </w:t>
      </w:r>
    </w:p>
    <w:p w14:paraId="57008C5F" w14:textId="111F9A77" w:rsidR="00E80CE2" w:rsidRDefault="00F02A5A" w:rsidP="00F02A5A">
      <w:pPr>
        <w:pStyle w:val="ListBullet"/>
        <w:jc w:val="both"/>
      </w:pPr>
      <w:r w:rsidRPr="00E70F68">
        <w:rPr>
          <w:b/>
          <w:bCs/>
        </w:rPr>
        <w:t>women’s empowerment</w:t>
      </w:r>
      <w:r>
        <w:rPr>
          <w:b/>
          <w:bCs/>
        </w:rPr>
        <w:t xml:space="preserve"> and</w:t>
      </w:r>
      <w:r w:rsidRPr="00E70F68">
        <w:rPr>
          <w:b/>
          <w:bCs/>
        </w:rPr>
        <w:t xml:space="preserve"> employment</w:t>
      </w:r>
      <w:r>
        <w:rPr>
          <w:b/>
          <w:bCs/>
        </w:rPr>
        <w:t>,</w:t>
      </w:r>
      <w:r w:rsidRPr="00E70F68">
        <w:rPr>
          <w:b/>
          <w:bCs/>
        </w:rPr>
        <w:t xml:space="preserve"> and youth participation</w:t>
      </w:r>
      <w:r>
        <w:rPr>
          <w:b/>
          <w:bCs/>
        </w:rPr>
        <w:t>.</w:t>
      </w:r>
    </w:p>
    <w:p w14:paraId="70E61507" w14:textId="337068E4" w:rsidR="006D4BDA" w:rsidRPr="00F12815" w:rsidRDefault="00A101A9" w:rsidP="00E62F6A">
      <w:pPr>
        <w:pStyle w:val="Heading2"/>
        <w:numPr>
          <w:ilvl w:val="0"/>
          <w:numId w:val="10"/>
        </w:numPr>
      </w:pPr>
      <w:r w:rsidRPr="00F12815">
        <w:t xml:space="preserve">Indicative </w:t>
      </w:r>
      <w:r w:rsidR="006627D1" w:rsidRPr="00F12815">
        <w:t>A</w:t>
      </w:r>
      <w:r w:rsidRPr="00F12815">
        <w:t xml:space="preserve">ctivities </w:t>
      </w:r>
      <w:r w:rsidR="00F91EFD" w:rsidRPr="00F12815">
        <w:t>for 2026</w:t>
      </w:r>
    </w:p>
    <w:p w14:paraId="2E10F30A" w14:textId="1A55A6F8" w:rsidR="00407C4B" w:rsidRDefault="00407C4B" w:rsidP="002F4C01">
      <w:pPr>
        <w:jc w:val="both"/>
      </w:pPr>
      <w:r w:rsidRPr="00407C4B">
        <w:t>To implement the programme we will hold several meetings, seminars and other events during the term of office</w:t>
      </w:r>
      <w:r>
        <w:t>.</w:t>
      </w:r>
      <w:r w:rsidRPr="00407C4B">
        <w:t xml:space="preserve"> </w:t>
      </w:r>
    </w:p>
    <w:p w14:paraId="7BAB99C1" w14:textId="37AA3FE8" w:rsidR="00F91EFD" w:rsidRDefault="00A101A9" w:rsidP="00110F84">
      <w:pPr>
        <w:jc w:val="both"/>
      </w:pPr>
      <w:r>
        <w:t>The following activities are envisaged</w:t>
      </w:r>
      <w:r w:rsidR="00110F84">
        <w:t xml:space="preserve"> in 2026</w:t>
      </w:r>
      <w:r>
        <w:t xml:space="preserve"> (subject to institutional calendars and resource availability):</w:t>
      </w:r>
    </w:p>
    <w:p w14:paraId="5A39CDE1" w14:textId="2BA07007" w:rsidR="00C260E2" w:rsidRDefault="00C260E2" w:rsidP="00F91EFD">
      <w:pPr>
        <w:pStyle w:val="ListBullet"/>
        <w:jc w:val="both"/>
      </w:pPr>
      <w:r>
        <w:t>Up to four meetings of the ACP-EU Follow-up Committee</w:t>
      </w:r>
      <w:r w:rsidR="00F02A5A">
        <w:t>;</w:t>
      </w:r>
    </w:p>
    <w:p w14:paraId="6BA2B5AD" w14:textId="4C9A17B6" w:rsidR="00F12268" w:rsidRDefault="00F12268" w:rsidP="00F91EFD">
      <w:pPr>
        <w:pStyle w:val="ListBullet"/>
        <w:jc w:val="both"/>
      </w:pPr>
      <w:r>
        <w:t>Participation in t</w:t>
      </w:r>
      <w:r w:rsidRPr="00F12268">
        <w:t>he High-level Preparatory Meeting for the 2026 UN Water Conference (Dakar</w:t>
      </w:r>
      <w:r>
        <w:t>,</w:t>
      </w:r>
      <w:r w:rsidRPr="00F12268">
        <w:t xml:space="preserve"> 26 and 27 January 2026</w:t>
      </w:r>
      <w:r>
        <w:t>)</w:t>
      </w:r>
    </w:p>
    <w:p w14:paraId="14390191" w14:textId="12AC00AD" w:rsidR="006D4BDA" w:rsidRDefault="00F91EFD" w:rsidP="00F91EFD">
      <w:pPr>
        <w:pStyle w:val="ListBullet"/>
        <w:jc w:val="both"/>
      </w:pPr>
      <w:r>
        <w:t xml:space="preserve">Participation </w:t>
      </w:r>
      <w:r w:rsidR="00A101A9">
        <w:t xml:space="preserve">in </w:t>
      </w:r>
      <w:r>
        <w:t xml:space="preserve">the plenary </w:t>
      </w:r>
      <w:r w:rsidR="00A101A9">
        <w:t>sessions of the OACPS–EU Joint Parliamentary Assembly (</w:t>
      </w:r>
      <w:r>
        <w:t>Brussels, November 2026</w:t>
      </w:r>
      <w:r w:rsidR="00A101A9">
        <w:t>),</w:t>
      </w:r>
      <w:r>
        <w:t xml:space="preserve"> and of the EU-Africa Assembly (Côte d'Ivoire, May 2026)</w:t>
      </w:r>
      <w:r w:rsidR="00A101A9">
        <w:t>;</w:t>
      </w:r>
    </w:p>
    <w:p w14:paraId="06DAAF95" w14:textId="2930AB17" w:rsidR="00F91EFD" w:rsidRDefault="00C260E2" w:rsidP="002F4C01">
      <w:pPr>
        <w:pStyle w:val="ListBullet"/>
        <w:jc w:val="both"/>
      </w:pPr>
      <w:r>
        <w:t>Organisation of a c</w:t>
      </w:r>
      <w:r w:rsidR="00F91EFD">
        <w:t xml:space="preserve">ivil society event </w:t>
      </w:r>
      <w:r>
        <w:t xml:space="preserve">with the AU ECOSOCC </w:t>
      </w:r>
      <w:r w:rsidR="00F91EFD">
        <w:t>in the margins of the Africa-EU Parliamentary Assembly (Côte d'Ivoire, May 2026)</w:t>
      </w:r>
      <w:r w:rsidR="00FA0C2C">
        <w:t>;</w:t>
      </w:r>
    </w:p>
    <w:p w14:paraId="415B4B35" w14:textId="4596C7C5" w:rsidR="00B277AB" w:rsidRDefault="00FA0C2C" w:rsidP="00375AA7">
      <w:pPr>
        <w:pStyle w:val="ListBullet"/>
        <w:jc w:val="both"/>
      </w:pPr>
      <w:r>
        <w:t>Organisation of a</w:t>
      </w:r>
      <w:r w:rsidR="00851E15" w:rsidRPr="00C7242F">
        <w:t xml:space="preserve"> joint </w:t>
      </w:r>
      <w:r w:rsidR="00851E15">
        <w:t>event with the AU ECOSOCC</w:t>
      </w:r>
      <w:r w:rsidR="006323D8">
        <w:t xml:space="preserve"> on </w:t>
      </w:r>
      <w:r w:rsidR="005A4489">
        <w:t xml:space="preserve">water governance and blue diplomacy, given </w:t>
      </w:r>
      <w:r w:rsidR="00851E15">
        <w:t>the AU</w:t>
      </w:r>
      <w:r w:rsidR="00C7242F" w:rsidRPr="00C7242F">
        <w:t xml:space="preserve"> theme of the year 2026 ‘Assuring sustainable water availability and safe sanitation systems in order to achieve the goals of the AU Agenda 2063</w:t>
      </w:r>
      <w:r w:rsidR="00250504">
        <w:t>'</w:t>
      </w:r>
      <w:r w:rsidR="006323D8">
        <w:t xml:space="preserve"> </w:t>
      </w:r>
      <w:r w:rsidR="00110F84">
        <w:t>(</w:t>
      </w:r>
      <w:r w:rsidR="00110F84" w:rsidRPr="00250504">
        <w:rPr>
          <w:i/>
          <w:iCs/>
        </w:rPr>
        <w:t>date and place tbd</w:t>
      </w:r>
      <w:r w:rsidR="00110F84">
        <w:t>)</w:t>
      </w:r>
      <w:r w:rsidR="00375AA7">
        <w:t>.</w:t>
      </w:r>
    </w:p>
    <w:sectPr w:rsidR="00B277A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28EDFA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94DE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7835A5"/>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4A56D9"/>
    <w:multiLevelType w:val="multilevel"/>
    <w:tmpl w:val="08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55C81B32"/>
    <w:multiLevelType w:val="hybridMultilevel"/>
    <w:tmpl w:val="ACB4099E"/>
    <w:lvl w:ilvl="0" w:tplc="5914E85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418601091">
    <w:abstractNumId w:val="8"/>
  </w:num>
  <w:num w:numId="2" w16cid:durableId="1968583671">
    <w:abstractNumId w:val="6"/>
  </w:num>
  <w:num w:numId="3" w16cid:durableId="1055199235">
    <w:abstractNumId w:val="5"/>
  </w:num>
  <w:num w:numId="4" w16cid:durableId="1472091119">
    <w:abstractNumId w:val="4"/>
  </w:num>
  <w:num w:numId="5" w16cid:durableId="361831625">
    <w:abstractNumId w:val="7"/>
  </w:num>
  <w:num w:numId="6" w16cid:durableId="1828547778">
    <w:abstractNumId w:val="3"/>
  </w:num>
  <w:num w:numId="7" w16cid:durableId="282077945">
    <w:abstractNumId w:val="2"/>
  </w:num>
  <w:num w:numId="8" w16cid:durableId="2006129122">
    <w:abstractNumId w:val="1"/>
  </w:num>
  <w:num w:numId="9" w16cid:durableId="1850486905">
    <w:abstractNumId w:val="0"/>
  </w:num>
  <w:num w:numId="10" w16cid:durableId="1710689558">
    <w:abstractNumId w:val="10"/>
  </w:num>
  <w:num w:numId="11" w16cid:durableId="1328242968">
    <w:abstractNumId w:val="11"/>
  </w:num>
  <w:num w:numId="12" w16cid:durableId="2069448968">
    <w:abstractNumId w:val="9"/>
  </w:num>
  <w:num w:numId="13" w16cid:durableId="503017535">
    <w:abstractNumId w:val="12"/>
  </w:num>
  <w:num w:numId="14" w16cid:durableId="1594975222">
    <w:abstractNumId w:val="8"/>
  </w:num>
  <w:num w:numId="15" w16cid:durableId="7577938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B9E"/>
    <w:rsid w:val="00034616"/>
    <w:rsid w:val="000550DB"/>
    <w:rsid w:val="0006063C"/>
    <w:rsid w:val="000C6912"/>
    <w:rsid w:val="000D113E"/>
    <w:rsid w:val="000E22EE"/>
    <w:rsid w:val="00110F84"/>
    <w:rsid w:val="00125C04"/>
    <w:rsid w:val="001405A6"/>
    <w:rsid w:val="0015074B"/>
    <w:rsid w:val="0018713D"/>
    <w:rsid w:val="00235BD7"/>
    <w:rsid w:val="00250504"/>
    <w:rsid w:val="00274E1D"/>
    <w:rsid w:val="0029639D"/>
    <w:rsid w:val="002B14E4"/>
    <w:rsid w:val="002F4C01"/>
    <w:rsid w:val="00316200"/>
    <w:rsid w:val="00326F90"/>
    <w:rsid w:val="003438F8"/>
    <w:rsid w:val="00375AA7"/>
    <w:rsid w:val="003A7F9E"/>
    <w:rsid w:val="003D664F"/>
    <w:rsid w:val="003F6D40"/>
    <w:rsid w:val="004067D9"/>
    <w:rsid w:val="00407C4B"/>
    <w:rsid w:val="004435D3"/>
    <w:rsid w:val="00471230"/>
    <w:rsid w:val="004D7660"/>
    <w:rsid w:val="004F2AD5"/>
    <w:rsid w:val="00573E6B"/>
    <w:rsid w:val="005A4489"/>
    <w:rsid w:val="005E5147"/>
    <w:rsid w:val="00631D63"/>
    <w:rsid w:val="006323D8"/>
    <w:rsid w:val="00656373"/>
    <w:rsid w:val="006617B2"/>
    <w:rsid w:val="006627D1"/>
    <w:rsid w:val="006B2FBF"/>
    <w:rsid w:val="006B3BE8"/>
    <w:rsid w:val="006D4BDA"/>
    <w:rsid w:val="0072289D"/>
    <w:rsid w:val="008231D8"/>
    <w:rsid w:val="00851E15"/>
    <w:rsid w:val="00852213"/>
    <w:rsid w:val="008951AF"/>
    <w:rsid w:val="009075E6"/>
    <w:rsid w:val="009213CE"/>
    <w:rsid w:val="009651E9"/>
    <w:rsid w:val="00987D63"/>
    <w:rsid w:val="009B13D6"/>
    <w:rsid w:val="009C78A2"/>
    <w:rsid w:val="009D7146"/>
    <w:rsid w:val="009E43BA"/>
    <w:rsid w:val="009E4539"/>
    <w:rsid w:val="00A101A9"/>
    <w:rsid w:val="00A35E1F"/>
    <w:rsid w:val="00AA1D8D"/>
    <w:rsid w:val="00AC3951"/>
    <w:rsid w:val="00B277AB"/>
    <w:rsid w:val="00B47730"/>
    <w:rsid w:val="00B560B1"/>
    <w:rsid w:val="00B877BD"/>
    <w:rsid w:val="00BB6C43"/>
    <w:rsid w:val="00C260E2"/>
    <w:rsid w:val="00C7242F"/>
    <w:rsid w:val="00CB0664"/>
    <w:rsid w:val="00CC0625"/>
    <w:rsid w:val="00D73666"/>
    <w:rsid w:val="00DA3F49"/>
    <w:rsid w:val="00DC58BC"/>
    <w:rsid w:val="00DD28CB"/>
    <w:rsid w:val="00DD5F77"/>
    <w:rsid w:val="00E0096D"/>
    <w:rsid w:val="00E62F6A"/>
    <w:rsid w:val="00E662A2"/>
    <w:rsid w:val="00E70F68"/>
    <w:rsid w:val="00E80CE2"/>
    <w:rsid w:val="00E94CA4"/>
    <w:rsid w:val="00EB560E"/>
    <w:rsid w:val="00F02A5A"/>
    <w:rsid w:val="00F12268"/>
    <w:rsid w:val="00F12815"/>
    <w:rsid w:val="00F21B19"/>
    <w:rsid w:val="00F6168E"/>
    <w:rsid w:val="00F672B1"/>
    <w:rsid w:val="00F91EFD"/>
    <w:rsid w:val="00FA0C2C"/>
    <w:rsid w:val="00FC57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4E2E40"/>
  <w14:defaultImageDpi w14:val="300"/>
  <w15:docId w15:val="{89C8D11E-9C44-42B0-B7B0-C205E5BF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74E1D"/>
    <w:rPr>
      <w:color w:val="0000FF" w:themeColor="hyperlink"/>
      <w:u w:val="single"/>
    </w:rPr>
  </w:style>
  <w:style w:type="character" w:styleId="UnresolvedMention">
    <w:name w:val="Unresolved Mention"/>
    <w:basedOn w:val="DefaultParagraphFont"/>
    <w:uiPriority w:val="99"/>
    <w:semiHidden/>
    <w:unhideWhenUsed/>
    <w:rsid w:val="00274E1D"/>
    <w:rPr>
      <w:color w:val="605E5C"/>
      <w:shd w:val="clear" w:color="auto" w:fill="E1DFDD"/>
    </w:rPr>
  </w:style>
  <w:style w:type="character" w:styleId="FollowedHyperlink">
    <w:name w:val="FollowedHyperlink"/>
    <w:basedOn w:val="DefaultParagraphFont"/>
    <w:uiPriority w:val="99"/>
    <w:semiHidden/>
    <w:unhideWhenUsed/>
    <w:rsid w:val="00E80CE2"/>
    <w:rPr>
      <w:color w:val="800080" w:themeColor="followedHyperlink"/>
      <w:u w:val="single"/>
    </w:rPr>
  </w:style>
  <w:style w:type="character" w:styleId="CommentReference">
    <w:name w:val="annotation reference"/>
    <w:basedOn w:val="DefaultParagraphFont"/>
    <w:uiPriority w:val="99"/>
    <w:semiHidden/>
    <w:unhideWhenUsed/>
    <w:rsid w:val="009213CE"/>
    <w:rPr>
      <w:sz w:val="16"/>
      <w:szCs w:val="16"/>
    </w:rPr>
  </w:style>
  <w:style w:type="paragraph" w:styleId="CommentText">
    <w:name w:val="annotation text"/>
    <w:basedOn w:val="Normal"/>
    <w:link w:val="CommentTextChar"/>
    <w:uiPriority w:val="99"/>
    <w:semiHidden/>
    <w:unhideWhenUsed/>
    <w:rsid w:val="009213CE"/>
    <w:pPr>
      <w:spacing w:line="240" w:lineRule="auto"/>
    </w:pPr>
    <w:rPr>
      <w:sz w:val="20"/>
      <w:szCs w:val="20"/>
    </w:rPr>
  </w:style>
  <w:style w:type="character" w:customStyle="1" w:styleId="CommentTextChar">
    <w:name w:val="Comment Text Char"/>
    <w:basedOn w:val="DefaultParagraphFont"/>
    <w:link w:val="CommentText"/>
    <w:uiPriority w:val="99"/>
    <w:semiHidden/>
    <w:rsid w:val="009213CE"/>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9213CE"/>
    <w:rPr>
      <w:b/>
      <w:bCs/>
    </w:rPr>
  </w:style>
  <w:style w:type="character" w:customStyle="1" w:styleId="CommentSubjectChar">
    <w:name w:val="Comment Subject Char"/>
    <w:basedOn w:val="CommentTextChar"/>
    <w:link w:val="CommentSubject"/>
    <w:uiPriority w:val="99"/>
    <w:semiHidden/>
    <w:rsid w:val="009213CE"/>
    <w:rPr>
      <w:rFonts w:ascii="Calibri" w:hAnsi="Calibri"/>
      <w:b/>
      <w:bCs/>
      <w:sz w:val="20"/>
      <w:szCs w:val="20"/>
    </w:rPr>
  </w:style>
  <w:style w:type="paragraph" w:styleId="Revision">
    <w:name w:val="Revision"/>
    <w:hidden/>
    <w:uiPriority w:val="99"/>
    <w:semiHidden/>
    <w:rsid w:val="003D664F"/>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ilium.europa.eu/media/54412/final_declaration-en.pd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international-partnerships.ec.europa.eu/policies/africa-eu-partnership_en"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ternational-partnerships.ec.europa.eu/policies/european-development-policy/oacps-eu-partnership_e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ilium.europa.eu/media/vtej1kjs/joint-declaration-of-the-7th-african-union-european-union-summit-2025-24-25-november-2025.pdf"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627BB8F0D2847BA4583DA3CAF1233" ma:contentTypeVersion="14" ma:contentTypeDescription="Create a new document." ma:contentTypeScope="" ma:versionID="11eaa6a75c266dc429c89dc2dd71de6d">
  <xsd:schema xmlns:xsd="http://www.w3.org/2001/XMLSchema" xmlns:xs="http://www.w3.org/2001/XMLSchema" xmlns:p="http://schemas.microsoft.com/office/2006/metadata/properties" xmlns:ns2="c7a06915-057a-4af1-abb7-a9083d05536c" xmlns:ns3="139408b5-cd95-41a2-b442-2b289d59f97f" targetNamespace="http://schemas.microsoft.com/office/2006/metadata/properties" ma:root="true" ma:fieldsID="30f40f0d7efa7e87831e7795524dcb76" ns2:_="" ns3:_="">
    <xsd:import namespace="c7a06915-057a-4af1-abb7-a9083d05536c"/>
    <xsd:import namespace="139408b5-cd95-41a2-b442-2b289d59f9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DanieleVital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06915-057a-4af1-abb7-a9083d055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DanieleVitali" ma:index="21" nillable="true" ma:displayName="Daniele Vitali" ma:format="Dropdown" ma:list="UserInfo" ma:SharePointGroup="0" ma:internalName="DanieleVital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9408b5-cd95-41a2-b442-2b289d59f97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bf9e637-f00f-455f-af10-83e37406edba}" ma:internalName="TaxCatchAll" ma:showField="CatchAllData" ma:web="139408b5-cd95-41a2-b442-2b289d59f9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7a06915-057a-4af1-abb7-a9083d05536c">
      <Terms xmlns="http://schemas.microsoft.com/office/infopath/2007/PartnerControls"/>
    </lcf76f155ced4ddcb4097134ff3c332f>
    <DanieleVitali xmlns="c7a06915-057a-4af1-abb7-a9083d05536c">
      <UserInfo>
        <DisplayName/>
        <AccountId xsi:nil="true"/>
        <AccountType/>
      </UserInfo>
    </DanieleVitali>
    <TaxCatchAll xmlns="139408b5-cd95-41a2-b442-2b289d59f97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41C4B63-740E-4A4A-8DC0-2007D3E2B48B}"/>
</file>

<file path=customXml/itemProps3.xml><?xml version="1.0" encoding="utf-8"?>
<ds:datastoreItem xmlns:ds="http://schemas.openxmlformats.org/officeDocument/2006/customXml" ds:itemID="{1DBB160E-75F7-4170-A896-B7D2D3D31C87}"/>
</file>

<file path=customXml/itemProps4.xml><?xml version="1.0" encoding="utf-8"?>
<ds:datastoreItem xmlns:ds="http://schemas.openxmlformats.org/officeDocument/2006/customXml" ds:itemID="{FF21D825-FCB3-4A13-B815-9395DF4F76C0}"/>
</file>

<file path=docProps/app.xml><?xml version="1.0" encoding="utf-8"?>
<Properties xmlns="http://schemas.openxmlformats.org/officeDocument/2006/extended-properties" xmlns:vt="http://schemas.openxmlformats.org/officeDocument/2006/docPropsVTypes">
  <Template>Normal</Template>
  <TotalTime>4</TotalTime>
  <Pages>3</Pages>
  <Words>1177</Words>
  <Characters>7053</Characters>
  <Application>Microsoft Office Word</Application>
  <DocSecurity>0</DocSecurity>
  <Lines>113</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Dias Elisabete</cp:lastModifiedBy>
  <cp:revision>4</cp:revision>
  <dcterms:created xsi:type="dcterms:W3CDTF">2026-01-30T14:37:00Z</dcterms:created>
  <dcterms:modified xsi:type="dcterms:W3CDTF">2026-01-30T14:41:00Z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0x010100BF0627BB8F0D2847BA4583DA3CAF1233</vt:lpwstr>
  </property>
</Properties>
</file>