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232A0" w14:textId="77777777" w:rsidR="00077C4F" w:rsidRPr="00554137" w:rsidRDefault="00077C4F" w:rsidP="00554137">
      <w:pPr>
        <w:spacing w:after="0" w:line="240" w:lineRule="auto"/>
        <w:ind w:left="-709"/>
        <w:rPr>
          <w:rFonts w:ascii="Times New Roman" w:hAnsi="Times New Roman"/>
          <w:bCs/>
          <w:sz w:val="4"/>
          <w:szCs w:val="4"/>
        </w:rPr>
      </w:pPr>
    </w:p>
    <w:tbl>
      <w:tblPr>
        <w:tblW w:w="10243"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0243"/>
      </w:tblGrid>
      <w:tr w:rsidR="001C4138" w:rsidRPr="00442552" w14:paraId="7E6372DC" w14:textId="77777777" w:rsidTr="00C37BDD">
        <w:trPr>
          <w:jc w:val="center"/>
        </w:trPr>
        <w:tc>
          <w:tcPr>
            <w:tcW w:w="10243" w:type="dxa"/>
          </w:tcPr>
          <w:p w14:paraId="3A4EDC3A" w14:textId="48A2F5C2" w:rsidR="001C4138" w:rsidRPr="004F6117" w:rsidRDefault="00B633EE" w:rsidP="001C4138">
            <w:pPr>
              <w:spacing w:before="120" w:after="120"/>
              <w:rPr>
                <w:rFonts w:ascii="Times New Roman" w:hAnsi="Times New Roman"/>
                <w:b/>
                <w:sz w:val="24"/>
                <w:szCs w:val="24"/>
              </w:rPr>
            </w:pPr>
            <w:r w:rsidRPr="00B633EE">
              <w:rPr>
                <w:rFonts w:ascii="Times New Roman" w:hAnsi="Times New Roman"/>
                <w:b/>
                <w:sz w:val="24"/>
                <w:szCs w:val="24"/>
              </w:rPr>
              <w:t>Civil Society’s role in supporting reform under the growth plans for the Western Balkans and Moldova, as well as in Ukraine’s reform path</w:t>
            </w:r>
            <w:r w:rsidR="0097215B">
              <w:rPr>
                <w:rFonts w:ascii="Times New Roman" w:hAnsi="Times New Roman"/>
                <w:b/>
                <w:sz w:val="24"/>
                <w:szCs w:val="24"/>
              </w:rPr>
              <w:br/>
            </w:r>
            <w:r>
              <w:rPr>
                <w:rFonts w:ascii="Times New Roman" w:hAnsi="Times New Roman"/>
                <w:b/>
                <w:sz w:val="24"/>
                <w:szCs w:val="24"/>
              </w:rPr>
              <w:t>(</w:t>
            </w:r>
            <w:r w:rsidR="00554137" w:rsidRPr="00554137">
              <w:rPr>
                <w:rFonts w:ascii="Times New Roman" w:hAnsi="Times New Roman"/>
                <w:b/>
                <w:sz w:val="24"/>
                <w:szCs w:val="24"/>
              </w:rPr>
              <w:t>exploratory opinion</w:t>
            </w:r>
            <w:r>
              <w:rPr>
                <w:rFonts w:ascii="Times New Roman" w:hAnsi="Times New Roman"/>
                <w:b/>
                <w:sz w:val="24"/>
                <w:szCs w:val="24"/>
              </w:rPr>
              <w:t xml:space="preserve"> </w:t>
            </w:r>
            <w:r w:rsidR="0097215B">
              <w:rPr>
                <w:rFonts w:ascii="Times New Roman" w:hAnsi="Times New Roman"/>
                <w:b/>
                <w:sz w:val="24"/>
                <w:szCs w:val="24"/>
              </w:rPr>
              <w:t xml:space="preserve">requested by </w:t>
            </w:r>
            <w:r>
              <w:rPr>
                <w:rFonts w:ascii="Times New Roman" w:hAnsi="Times New Roman"/>
                <w:b/>
                <w:sz w:val="24"/>
                <w:szCs w:val="24"/>
              </w:rPr>
              <w:t>the Cyprus Presidency of the EU)</w:t>
            </w:r>
            <w:r w:rsidR="0097215B">
              <w:rPr>
                <w:rFonts w:ascii="Times New Roman" w:hAnsi="Times New Roman"/>
                <w:b/>
                <w:sz w:val="24"/>
                <w:szCs w:val="24"/>
              </w:rPr>
              <w:br/>
            </w:r>
            <w:r w:rsidR="001C4138" w:rsidRPr="00554137">
              <w:rPr>
                <w:rFonts w:ascii="Times New Roman" w:hAnsi="Times New Roman"/>
                <w:b/>
                <w:sz w:val="24"/>
                <w:szCs w:val="24"/>
                <w:lang w:val="en-IE"/>
              </w:rPr>
              <w:t>EESC-</w:t>
            </w:r>
            <w:r w:rsidR="001C4138" w:rsidRPr="009175C1">
              <w:rPr>
                <w:rFonts w:ascii="Times New Roman" w:hAnsi="Times New Roman"/>
                <w:b/>
                <w:sz w:val="24"/>
                <w:szCs w:val="24"/>
                <w:lang w:val="en-IE"/>
              </w:rPr>
              <w:t>202</w:t>
            </w:r>
            <w:r w:rsidR="00DC7E45">
              <w:rPr>
                <w:rFonts w:ascii="Times New Roman" w:hAnsi="Times New Roman"/>
                <w:b/>
                <w:sz w:val="24"/>
                <w:szCs w:val="24"/>
                <w:lang w:val="en-IE"/>
              </w:rPr>
              <w:t>6</w:t>
            </w:r>
            <w:r>
              <w:rPr>
                <w:rFonts w:ascii="Times New Roman" w:hAnsi="Times New Roman"/>
                <w:b/>
                <w:sz w:val="24"/>
                <w:szCs w:val="24"/>
                <w:lang w:val="en-IE"/>
              </w:rPr>
              <w:t>-</w:t>
            </w:r>
            <w:r w:rsidR="00DC7E45" w:rsidRPr="00DC7E45">
              <w:rPr>
                <w:rFonts w:ascii="Times New Roman" w:hAnsi="Times New Roman"/>
                <w:b/>
                <w:sz w:val="24"/>
                <w:szCs w:val="24"/>
              </w:rPr>
              <w:t>00143</w:t>
            </w:r>
            <w:r w:rsidR="001C4138" w:rsidRPr="00807B48">
              <w:rPr>
                <w:rFonts w:ascii="Times New Roman" w:hAnsi="Times New Roman"/>
                <w:b/>
                <w:sz w:val="24"/>
                <w:szCs w:val="24"/>
              </w:rPr>
              <w:t xml:space="preserve">‒ </w:t>
            </w:r>
            <w:r w:rsidR="001C4138" w:rsidRPr="009175C1">
              <w:rPr>
                <w:rFonts w:ascii="Times New Roman" w:hAnsi="Times New Roman"/>
                <w:b/>
                <w:sz w:val="24"/>
                <w:szCs w:val="24"/>
              </w:rPr>
              <w:t>REX/</w:t>
            </w:r>
            <w:r w:rsidR="00DC7E45">
              <w:rPr>
                <w:rFonts w:ascii="Times New Roman" w:hAnsi="Times New Roman"/>
                <w:b/>
                <w:sz w:val="24"/>
                <w:szCs w:val="24"/>
              </w:rPr>
              <w:t>612</w:t>
            </w:r>
            <w:r w:rsidR="001C4138" w:rsidRPr="00807B48">
              <w:rPr>
                <w:rFonts w:ascii="Times New Roman" w:hAnsi="Times New Roman"/>
                <w:b/>
                <w:sz w:val="24"/>
                <w:szCs w:val="24"/>
              </w:rPr>
              <w:br/>
            </w:r>
            <w:r>
              <w:rPr>
                <w:rFonts w:ascii="Times New Roman" w:hAnsi="Times New Roman"/>
                <w:b/>
                <w:sz w:val="24"/>
                <w:szCs w:val="24"/>
              </w:rPr>
              <w:t>605</w:t>
            </w:r>
            <w:r w:rsidRPr="00B633EE">
              <w:rPr>
                <w:rFonts w:ascii="Times New Roman" w:hAnsi="Times New Roman"/>
                <w:b/>
                <w:sz w:val="24"/>
                <w:szCs w:val="24"/>
                <w:vertAlign w:val="superscript"/>
              </w:rPr>
              <w:t>th</w:t>
            </w:r>
            <w:r>
              <w:rPr>
                <w:rFonts w:ascii="Times New Roman" w:hAnsi="Times New Roman"/>
                <w:b/>
                <w:sz w:val="24"/>
                <w:szCs w:val="24"/>
              </w:rPr>
              <w:t xml:space="preserve"> </w:t>
            </w:r>
            <w:r w:rsidR="001C4138" w:rsidRPr="00AE3C7C">
              <w:rPr>
                <w:rFonts w:ascii="Times New Roman" w:hAnsi="Times New Roman"/>
                <w:b/>
                <w:sz w:val="24"/>
                <w:szCs w:val="24"/>
              </w:rPr>
              <w:t xml:space="preserve">Plenary Session – </w:t>
            </w:r>
            <w:r>
              <w:rPr>
                <w:rFonts w:ascii="Times New Roman" w:hAnsi="Times New Roman"/>
                <w:b/>
                <w:sz w:val="24"/>
                <w:szCs w:val="24"/>
              </w:rPr>
              <w:t>April 2026</w:t>
            </w:r>
            <w:r w:rsidR="001C4138" w:rsidRPr="00807B48">
              <w:rPr>
                <w:rFonts w:ascii="Times New Roman" w:hAnsi="Times New Roman"/>
                <w:b/>
                <w:sz w:val="24"/>
                <w:szCs w:val="24"/>
              </w:rPr>
              <w:br/>
              <w:t xml:space="preserve">Rapporteur: </w:t>
            </w:r>
            <w:r w:rsidR="00DC7E45">
              <w:rPr>
                <w:rFonts w:ascii="Times New Roman" w:hAnsi="Times New Roman"/>
                <w:b/>
                <w:sz w:val="24"/>
                <w:szCs w:val="24"/>
              </w:rPr>
              <w:t>Oleg ROIBU</w:t>
            </w:r>
            <w:r>
              <w:rPr>
                <w:rFonts w:ascii="Times New Roman" w:hAnsi="Times New Roman"/>
                <w:b/>
                <w:sz w:val="24"/>
                <w:szCs w:val="24"/>
              </w:rPr>
              <w:t xml:space="preserve"> </w:t>
            </w:r>
            <w:r w:rsidR="0097215B">
              <w:rPr>
                <w:rFonts w:ascii="Times New Roman" w:hAnsi="Times New Roman"/>
                <w:b/>
                <w:sz w:val="24"/>
                <w:szCs w:val="24"/>
              </w:rPr>
              <w:t>(</w:t>
            </w:r>
            <w:r>
              <w:rPr>
                <w:rFonts w:ascii="Times New Roman" w:hAnsi="Times New Roman"/>
                <w:b/>
                <w:sz w:val="24"/>
                <w:szCs w:val="24"/>
              </w:rPr>
              <w:t>RO</w:t>
            </w:r>
            <w:r w:rsidR="00DA2F9A">
              <w:rPr>
                <w:rFonts w:ascii="Times New Roman" w:hAnsi="Times New Roman"/>
                <w:b/>
                <w:sz w:val="24"/>
                <w:szCs w:val="24"/>
              </w:rPr>
              <w:t xml:space="preserve"> </w:t>
            </w:r>
            <w:r>
              <w:rPr>
                <w:rFonts w:ascii="Times New Roman" w:hAnsi="Times New Roman"/>
                <w:b/>
                <w:sz w:val="24"/>
                <w:szCs w:val="24"/>
              </w:rPr>
              <w:t>- I</w:t>
            </w:r>
            <w:r w:rsidRPr="00B633EE">
              <w:rPr>
                <w:rFonts w:ascii="Times New Roman" w:hAnsi="Times New Roman"/>
                <w:b/>
                <w:sz w:val="24"/>
                <w:szCs w:val="24"/>
              </w:rPr>
              <w:t>)</w:t>
            </w:r>
            <w:r w:rsidR="001C4138" w:rsidRPr="00807B48">
              <w:rPr>
                <w:rFonts w:ascii="Times New Roman" w:hAnsi="Times New Roman"/>
                <w:b/>
                <w:sz w:val="24"/>
                <w:szCs w:val="24"/>
              </w:rPr>
              <w:br/>
              <w:t xml:space="preserve">DG </w:t>
            </w:r>
            <w:r>
              <w:rPr>
                <w:rFonts w:ascii="Times New Roman" w:hAnsi="Times New Roman"/>
                <w:b/>
                <w:sz w:val="24"/>
                <w:szCs w:val="24"/>
              </w:rPr>
              <w:t>ENEST</w:t>
            </w:r>
            <w:r w:rsidR="001C4138" w:rsidRPr="00807B48">
              <w:rPr>
                <w:rFonts w:ascii="Times New Roman" w:hAnsi="Times New Roman"/>
                <w:b/>
                <w:sz w:val="24"/>
                <w:szCs w:val="24"/>
              </w:rPr>
              <w:t xml:space="preserve"> – </w:t>
            </w:r>
            <w:r>
              <w:rPr>
                <w:rFonts w:ascii="Times New Roman" w:hAnsi="Times New Roman"/>
                <w:b/>
                <w:sz w:val="24"/>
                <w:szCs w:val="24"/>
              </w:rPr>
              <w:t>Commissioner KOS</w:t>
            </w:r>
          </w:p>
        </w:tc>
      </w:tr>
      <w:tr w:rsidR="00734613" w:rsidRPr="00442552" w14:paraId="1937071F" w14:textId="77777777" w:rsidTr="00C37BDD">
        <w:trPr>
          <w:jc w:val="center"/>
        </w:trPr>
        <w:tc>
          <w:tcPr>
            <w:tcW w:w="10243" w:type="dxa"/>
          </w:tcPr>
          <w:p w14:paraId="1E50B4DB" w14:textId="6210B328" w:rsidR="00734613" w:rsidRPr="00695797" w:rsidRDefault="004F6117" w:rsidP="004F6117">
            <w:pPr>
              <w:spacing w:before="120" w:after="120"/>
              <w:jc w:val="center"/>
              <w:rPr>
                <w:rFonts w:ascii="Times New Roman" w:hAnsi="Times New Roman"/>
                <w:b/>
                <w:sz w:val="24"/>
                <w:szCs w:val="24"/>
              </w:rPr>
            </w:pPr>
            <w:r w:rsidRPr="004F6117">
              <w:rPr>
                <w:rFonts w:ascii="Times New Roman" w:hAnsi="Times New Roman"/>
                <w:b/>
                <w:sz w:val="24"/>
                <w:szCs w:val="24"/>
              </w:rPr>
              <w:t xml:space="preserve">European Commission position on points </w:t>
            </w:r>
            <w:r>
              <w:rPr>
                <w:rFonts w:ascii="Times New Roman" w:hAnsi="Times New Roman"/>
                <w:b/>
                <w:sz w:val="24"/>
                <w:szCs w:val="24"/>
              </w:rPr>
              <w:br/>
            </w:r>
            <w:r w:rsidRPr="004F6117">
              <w:rPr>
                <w:rFonts w:ascii="Times New Roman" w:hAnsi="Times New Roman"/>
                <w:b/>
                <w:sz w:val="24"/>
                <w:szCs w:val="24"/>
              </w:rPr>
              <w:t xml:space="preserve">of the European Economic and Social Committee </w:t>
            </w:r>
            <w:r w:rsidR="00554137">
              <w:rPr>
                <w:rFonts w:ascii="Times New Roman" w:hAnsi="Times New Roman"/>
                <w:b/>
                <w:sz w:val="24"/>
                <w:szCs w:val="24"/>
              </w:rPr>
              <w:t xml:space="preserve">(EESC) </w:t>
            </w:r>
            <w:r w:rsidRPr="004F6117">
              <w:rPr>
                <w:rFonts w:ascii="Times New Roman" w:hAnsi="Times New Roman"/>
                <w:b/>
                <w:sz w:val="24"/>
                <w:szCs w:val="24"/>
              </w:rPr>
              <w:t>opinion</w:t>
            </w:r>
            <w:r w:rsidR="00E83C12">
              <w:rPr>
                <w:rFonts w:ascii="Times New Roman" w:hAnsi="Times New Roman"/>
                <w:b/>
                <w:sz w:val="24"/>
                <w:szCs w:val="24"/>
              </w:rPr>
              <w:t xml:space="preserve"> </w:t>
            </w:r>
            <w:r w:rsidR="00E83C12" w:rsidRPr="00E83C12">
              <w:rPr>
                <w:rFonts w:ascii="Times New Roman" w:hAnsi="Times New Roman"/>
                <w:b/>
                <w:sz w:val="24"/>
                <w:szCs w:val="24"/>
              </w:rPr>
              <w:t>considered as essential</w:t>
            </w:r>
          </w:p>
        </w:tc>
      </w:tr>
      <w:tr w:rsidR="00734613" w:rsidRPr="004F6117" w14:paraId="673DDC1B" w14:textId="77777777" w:rsidTr="00C37BDD">
        <w:trPr>
          <w:jc w:val="center"/>
        </w:trPr>
        <w:tc>
          <w:tcPr>
            <w:tcW w:w="10243" w:type="dxa"/>
          </w:tcPr>
          <w:p w14:paraId="447B9B3A" w14:textId="54FEC96D" w:rsidR="00881FDD" w:rsidRPr="0097215B" w:rsidRDefault="00881FDD" w:rsidP="00B702B2">
            <w:pPr>
              <w:widowControl w:val="0"/>
              <w:spacing w:before="120" w:after="120"/>
              <w:jc w:val="both"/>
              <w:rPr>
                <w:rFonts w:ascii="Times New Roman" w:hAnsi="Times New Roman"/>
                <w:b/>
                <w:bCs/>
                <w:sz w:val="24"/>
                <w:szCs w:val="24"/>
                <w:lang w:val="en-IE"/>
              </w:rPr>
            </w:pPr>
            <w:r w:rsidRPr="0097215B">
              <w:rPr>
                <w:rFonts w:ascii="Times New Roman" w:hAnsi="Times New Roman"/>
                <w:b/>
                <w:bCs/>
                <w:sz w:val="24"/>
                <w:szCs w:val="24"/>
                <w:lang w:val="en-IE"/>
              </w:rPr>
              <w:t xml:space="preserve">Introduction </w:t>
            </w:r>
          </w:p>
          <w:p w14:paraId="37DC58AD" w14:textId="07EACA3A" w:rsidR="00B633EE" w:rsidRPr="0097215B" w:rsidRDefault="00B633EE" w:rsidP="00B702B2">
            <w:pPr>
              <w:widowControl w:val="0"/>
              <w:spacing w:before="120" w:after="120"/>
              <w:jc w:val="both"/>
              <w:rPr>
                <w:rFonts w:ascii="Times New Roman" w:hAnsi="Times New Roman"/>
                <w:sz w:val="24"/>
                <w:szCs w:val="24"/>
                <w:lang w:val="en-IE"/>
              </w:rPr>
            </w:pPr>
            <w:r w:rsidRPr="0097215B">
              <w:rPr>
                <w:rFonts w:ascii="Times New Roman" w:hAnsi="Times New Roman"/>
                <w:sz w:val="24"/>
                <w:szCs w:val="24"/>
                <w:lang w:val="en-IE"/>
              </w:rPr>
              <w:t>The Commission welcomes the ongoing efforts of civil society and social partners to contribute to both the implementation and the monitoring of the Reform Agendas. The insights from civil society, enabled by its close involvement and important local perspective, can support the government</w:t>
            </w:r>
            <w:r w:rsidR="002C1852" w:rsidRPr="0097215B">
              <w:rPr>
                <w:rFonts w:ascii="Times New Roman" w:hAnsi="Times New Roman"/>
                <w:sz w:val="24"/>
                <w:szCs w:val="24"/>
                <w:lang w:val="en-IE"/>
              </w:rPr>
              <w:t xml:space="preserve">s </w:t>
            </w:r>
            <w:r w:rsidRPr="0097215B">
              <w:rPr>
                <w:rFonts w:ascii="Times New Roman" w:hAnsi="Times New Roman"/>
                <w:sz w:val="24"/>
                <w:szCs w:val="24"/>
                <w:lang w:val="en-IE"/>
              </w:rPr>
              <w:t xml:space="preserve">in the policy design and ensuring the quality of the reform implementation whilst their additional reporting can support the Commission during the assessment phase. The </w:t>
            </w:r>
            <w:r w:rsidR="0097215B" w:rsidRPr="0097215B">
              <w:rPr>
                <w:rFonts w:ascii="Times New Roman" w:hAnsi="Times New Roman"/>
                <w:sz w:val="24"/>
                <w:szCs w:val="24"/>
                <w:lang w:val="en-IE"/>
              </w:rPr>
              <w:t>performance-based</w:t>
            </w:r>
            <w:r w:rsidRPr="0097215B">
              <w:rPr>
                <w:rFonts w:ascii="Times New Roman" w:hAnsi="Times New Roman"/>
                <w:sz w:val="24"/>
                <w:szCs w:val="24"/>
                <w:lang w:val="en-IE"/>
              </w:rPr>
              <w:t xml:space="preserve"> </w:t>
            </w:r>
            <w:r w:rsidR="00C11409" w:rsidRPr="0097215B">
              <w:rPr>
                <w:rFonts w:ascii="Times New Roman" w:hAnsi="Times New Roman"/>
                <w:sz w:val="24"/>
                <w:szCs w:val="24"/>
                <w:lang w:val="en-IE"/>
              </w:rPr>
              <w:t>Facilit</w:t>
            </w:r>
            <w:r w:rsidRPr="0097215B">
              <w:rPr>
                <w:rFonts w:ascii="Times New Roman" w:hAnsi="Times New Roman"/>
                <w:sz w:val="24"/>
                <w:szCs w:val="24"/>
                <w:lang w:val="en-IE"/>
              </w:rPr>
              <w:t xml:space="preserve">ies and the Reform Agendas are a historical opportunity to accelerate reforms and unlock financial support for the EU accession process and single market integration. Only the joint efforts from the public institutions, civil society and social partners can ensure that this momentum is </w:t>
            </w:r>
            <w:r w:rsidR="00137A7F">
              <w:rPr>
                <w:rFonts w:ascii="Times New Roman" w:hAnsi="Times New Roman"/>
                <w:sz w:val="24"/>
                <w:szCs w:val="24"/>
                <w:lang w:val="en-IE"/>
              </w:rPr>
              <w:t>capitalised</w:t>
            </w:r>
            <w:r w:rsidR="00137A7F" w:rsidRPr="0097215B">
              <w:rPr>
                <w:rFonts w:ascii="Times New Roman" w:hAnsi="Times New Roman"/>
                <w:sz w:val="24"/>
                <w:szCs w:val="24"/>
                <w:lang w:val="en-IE"/>
              </w:rPr>
              <w:t xml:space="preserve"> </w:t>
            </w:r>
            <w:r w:rsidRPr="0097215B">
              <w:rPr>
                <w:rFonts w:ascii="Times New Roman" w:hAnsi="Times New Roman"/>
                <w:sz w:val="24"/>
                <w:szCs w:val="24"/>
                <w:lang w:val="en-IE"/>
              </w:rPr>
              <w:t>to the fullest.</w:t>
            </w:r>
          </w:p>
          <w:p w14:paraId="1622A9DF" w14:textId="77777777" w:rsidR="00881FDD" w:rsidRPr="00B702B2" w:rsidRDefault="00881FDD" w:rsidP="00B702B2">
            <w:pPr>
              <w:widowControl w:val="0"/>
              <w:spacing w:before="120" w:after="120"/>
              <w:jc w:val="both"/>
              <w:rPr>
                <w:rFonts w:ascii="Times New Roman" w:eastAsia="Times New Roman" w:hAnsi="Times New Roman"/>
                <w:b/>
                <w:bCs/>
                <w:sz w:val="24"/>
                <w:szCs w:val="24"/>
              </w:rPr>
            </w:pPr>
            <w:r w:rsidRPr="00B702B2">
              <w:rPr>
                <w:rFonts w:ascii="Times New Roman" w:eastAsia="Times New Roman" w:hAnsi="Times New Roman"/>
                <w:b/>
                <w:bCs/>
                <w:sz w:val="24"/>
                <w:szCs w:val="24"/>
              </w:rPr>
              <w:t xml:space="preserve">Conclusions and Recommendations </w:t>
            </w:r>
          </w:p>
          <w:p w14:paraId="24E99A4D" w14:textId="2C82BB96" w:rsidR="00734613" w:rsidRPr="00B702B2" w:rsidRDefault="009D6350" w:rsidP="00B702B2">
            <w:pPr>
              <w:widowControl w:val="0"/>
              <w:spacing w:before="120" w:after="120"/>
              <w:jc w:val="both"/>
              <w:rPr>
                <w:rFonts w:ascii="Times New Roman" w:eastAsia="Times New Roman" w:hAnsi="Times New Roman"/>
                <w:sz w:val="24"/>
                <w:szCs w:val="24"/>
              </w:rPr>
            </w:pPr>
            <w:r w:rsidRPr="00B702B2">
              <w:rPr>
                <w:rFonts w:ascii="Times New Roman" w:eastAsia="Times New Roman" w:hAnsi="Times New Roman"/>
                <w:sz w:val="24"/>
                <w:szCs w:val="24"/>
              </w:rPr>
              <w:t xml:space="preserve">The Commission takes note of the conclusions and recommendations of the EESC opinion. </w:t>
            </w:r>
          </w:p>
          <w:p w14:paraId="33AC20FB" w14:textId="58609362" w:rsidR="003870EF" w:rsidRPr="00B702B2" w:rsidRDefault="003870EF" w:rsidP="00B702B2">
            <w:pPr>
              <w:widowControl w:val="0"/>
              <w:spacing w:before="120" w:after="120"/>
              <w:jc w:val="both"/>
              <w:rPr>
                <w:rFonts w:ascii="Times New Roman" w:eastAsia="Times New Roman" w:hAnsi="Times New Roman"/>
                <w:sz w:val="24"/>
                <w:szCs w:val="24"/>
              </w:rPr>
            </w:pPr>
            <w:r w:rsidRPr="00B702B2">
              <w:rPr>
                <w:rFonts w:ascii="Times New Roman" w:eastAsia="Times New Roman" w:hAnsi="Times New Roman"/>
                <w:sz w:val="24"/>
                <w:szCs w:val="24"/>
              </w:rPr>
              <w:t>The Commission recognises that the Reform Agenda</w:t>
            </w:r>
            <w:r w:rsidR="00C11409" w:rsidRPr="00B702B2">
              <w:rPr>
                <w:rFonts w:ascii="Times New Roman" w:eastAsia="Times New Roman" w:hAnsi="Times New Roman"/>
                <w:sz w:val="24"/>
                <w:szCs w:val="24"/>
              </w:rPr>
              <w:t>s</w:t>
            </w:r>
            <w:r w:rsidRPr="00B702B2">
              <w:rPr>
                <w:rFonts w:ascii="Times New Roman" w:eastAsia="Times New Roman" w:hAnsi="Times New Roman"/>
                <w:sz w:val="24"/>
                <w:szCs w:val="24"/>
              </w:rPr>
              <w:t xml:space="preserve"> </w:t>
            </w:r>
            <w:r w:rsidR="00C11409" w:rsidRPr="00B702B2">
              <w:rPr>
                <w:rFonts w:ascii="Times New Roman" w:eastAsia="Times New Roman" w:hAnsi="Times New Roman"/>
                <w:sz w:val="24"/>
                <w:szCs w:val="24"/>
              </w:rPr>
              <w:t xml:space="preserve">are </w:t>
            </w:r>
            <w:r w:rsidRPr="00B702B2">
              <w:rPr>
                <w:rFonts w:ascii="Times New Roman" w:eastAsia="Times New Roman" w:hAnsi="Times New Roman"/>
                <w:sz w:val="24"/>
                <w:szCs w:val="24"/>
              </w:rPr>
              <w:t xml:space="preserve">advancing unevenly under the Reform and Growth Facility for the Western Balkans. In this context, the Commission through the Instrument for Pre-accession Assistance and the </w:t>
            </w:r>
            <w:r w:rsidR="0097215B" w:rsidRPr="0097215B">
              <w:rPr>
                <w:rFonts w:ascii="Times New Roman" w:eastAsia="Times New Roman" w:hAnsi="Times New Roman"/>
                <w:sz w:val="24"/>
                <w:szCs w:val="24"/>
              </w:rPr>
              <w:t> </w:t>
            </w:r>
            <w:r w:rsidR="0097215B" w:rsidRPr="00B702B2">
              <w:rPr>
                <w:rFonts w:ascii="Times New Roman" w:eastAsia="Times New Roman" w:hAnsi="Times New Roman"/>
                <w:sz w:val="24"/>
                <w:szCs w:val="24"/>
              </w:rPr>
              <w:t>Neighbourhood, Development and International Cooperation Instrument (</w:t>
            </w:r>
            <w:r w:rsidRPr="00B702B2">
              <w:rPr>
                <w:rFonts w:ascii="Times New Roman" w:eastAsia="Times New Roman" w:hAnsi="Times New Roman"/>
                <w:sz w:val="24"/>
                <w:szCs w:val="24"/>
              </w:rPr>
              <w:t>NDICI</w:t>
            </w:r>
            <w:r w:rsidR="0097215B">
              <w:rPr>
                <w:rFonts w:ascii="Times New Roman" w:eastAsia="Times New Roman" w:hAnsi="Times New Roman"/>
                <w:sz w:val="24"/>
                <w:szCs w:val="24"/>
              </w:rPr>
              <w:t xml:space="preserve">) </w:t>
            </w:r>
            <w:r w:rsidRPr="00B702B2">
              <w:rPr>
                <w:rFonts w:ascii="Times New Roman" w:eastAsia="Times New Roman" w:hAnsi="Times New Roman"/>
                <w:sz w:val="24"/>
                <w:szCs w:val="24"/>
              </w:rPr>
              <w:t>-</w:t>
            </w:r>
            <w:r w:rsidR="0097215B">
              <w:rPr>
                <w:rFonts w:ascii="Times New Roman" w:eastAsia="Times New Roman" w:hAnsi="Times New Roman"/>
                <w:sz w:val="24"/>
                <w:szCs w:val="24"/>
              </w:rPr>
              <w:t xml:space="preserve"> </w:t>
            </w:r>
            <w:r w:rsidRPr="00B702B2">
              <w:rPr>
                <w:rFonts w:ascii="Times New Roman" w:eastAsia="Times New Roman" w:hAnsi="Times New Roman"/>
                <w:sz w:val="24"/>
                <w:szCs w:val="24"/>
              </w:rPr>
              <w:t xml:space="preserve">Global Europe instrument supports the creation of a conducive environment for civil society organisations </w:t>
            </w:r>
            <w:r w:rsidR="00137A7F">
              <w:rPr>
                <w:rFonts w:ascii="Times New Roman" w:eastAsia="Times New Roman" w:hAnsi="Times New Roman"/>
                <w:sz w:val="24"/>
                <w:szCs w:val="24"/>
              </w:rPr>
              <w:t xml:space="preserve">(CSOs) </w:t>
            </w:r>
            <w:r w:rsidRPr="00B702B2">
              <w:rPr>
                <w:rFonts w:ascii="Times New Roman" w:eastAsia="Times New Roman" w:hAnsi="Times New Roman"/>
                <w:sz w:val="24"/>
                <w:szCs w:val="24"/>
              </w:rPr>
              <w:t xml:space="preserve">in the enlargement countries; promotes the establishment of </w:t>
            </w:r>
            <w:r w:rsidR="009A6159">
              <w:rPr>
                <w:rFonts w:ascii="Times New Roman" w:eastAsia="Times New Roman" w:hAnsi="Times New Roman"/>
                <w:sz w:val="24"/>
                <w:szCs w:val="24"/>
              </w:rPr>
              <w:br/>
            </w:r>
            <w:r w:rsidRPr="00B702B2">
              <w:rPr>
                <w:rFonts w:ascii="Times New Roman" w:eastAsia="Times New Roman" w:hAnsi="Times New Roman"/>
                <w:sz w:val="24"/>
                <w:szCs w:val="24"/>
              </w:rPr>
              <w:t xml:space="preserve">a dialogue between civil society and public authorities; and builds capacity of </w:t>
            </w:r>
            <w:r w:rsidR="00137A7F">
              <w:rPr>
                <w:rFonts w:ascii="Times New Roman" w:eastAsia="Times New Roman" w:hAnsi="Times New Roman"/>
                <w:sz w:val="24"/>
                <w:szCs w:val="24"/>
              </w:rPr>
              <w:t>CSOs</w:t>
            </w:r>
            <w:r w:rsidRPr="00B702B2">
              <w:rPr>
                <w:rFonts w:ascii="Times New Roman" w:eastAsia="Times New Roman" w:hAnsi="Times New Roman"/>
                <w:sz w:val="24"/>
                <w:szCs w:val="24"/>
              </w:rPr>
              <w:t xml:space="preserve"> towards their sustainability and expert contribution to policy and reforms. To this end</w:t>
            </w:r>
            <w:r w:rsidR="00137A7F">
              <w:rPr>
                <w:rFonts w:ascii="Times New Roman" w:eastAsia="Times New Roman" w:hAnsi="Times New Roman"/>
                <w:sz w:val="24"/>
                <w:szCs w:val="24"/>
              </w:rPr>
              <w:t>,</w:t>
            </w:r>
            <w:r w:rsidRPr="00B702B2">
              <w:rPr>
                <w:rFonts w:ascii="Times New Roman" w:eastAsia="Times New Roman" w:hAnsi="Times New Roman"/>
                <w:sz w:val="24"/>
                <w:szCs w:val="24"/>
              </w:rPr>
              <w:t xml:space="preserve"> the Commission supports civil society in their monitoring role of the reforms and recognises that their role should be enhanced as implementing partners.</w:t>
            </w:r>
          </w:p>
          <w:p w14:paraId="1DE12457" w14:textId="2DBD2CE3" w:rsidR="00572FA4" w:rsidRPr="00B702B2" w:rsidRDefault="00572FA4" w:rsidP="00B702B2">
            <w:pPr>
              <w:widowControl w:val="0"/>
              <w:spacing w:before="120" w:after="120"/>
              <w:jc w:val="both"/>
              <w:rPr>
                <w:rFonts w:ascii="Times New Roman" w:eastAsia="Times New Roman" w:hAnsi="Times New Roman"/>
                <w:sz w:val="24"/>
                <w:szCs w:val="24"/>
              </w:rPr>
            </w:pPr>
            <w:r w:rsidRPr="00B702B2">
              <w:rPr>
                <w:rFonts w:ascii="Times New Roman" w:eastAsia="Times New Roman" w:hAnsi="Times New Roman"/>
                <w:sz w:val="24"/>
                <w:szCs w:val="24"/>
              </w:rPr>
              <w:t xml:space="preserve">The Commission supports the strengthening of regional networks and CSOs to expose corruption and human rights violations, in addition to </w:t>
            </w:r>
            <w:r w:rsidR="00137A7F">
              <w:rPr>
                <w:rFonts w:ascii="Times New Roman" w:eastAsia="Times New Roman" w:hAnsi="Times New Roman"/>
                <w:sz w:val="24"/>
                <w:szCs w:val="24"/>
              </w:rPr>
              <w:t>the</w:t>
            </w:r>
            <w:r w:rsidR="00137A7F" w:rsidRPr="00B702B2">
              <w:rPr>
                <w:rFonts w:ascii="Times New Roman" w:eastAsia="Times New Roman" w:hAnsi="Times New Roman"/>
                <w:sz w:val="24"/>
                <w:szCs w:val="24"/>
              </w:rPr>
              <w:t> </w:t>
            </w:r>
            <w:r w:rsidRPr="00B702B2">
              <w:rPr>
                <w:rFonts w:ascii="Times New Roman" w:eastAsia="Times New Roman" w:hAnsi="Times New Roman"/>
                <w:sz w:val="24"/>
                <w:szCs w:val="24"/>
              </w:rPr>
              <w:t>ongoing EU-Council of Europe cooperation through the Horizontal Facility providing technical assistance and capacity building to support reforms aligned to EU fundamental rights standards. This partnership contributes to inclusive and participatory implementation of key reforms for the EU accession process. </w:t>
            </w:r>
          </w:p>
          <w:p w14:paraId="6D7A18BE" w14:textId="4D6FDECD" w:rsidR="003870EF" w:rsidRPr="00B702B2" w:rsidRDefault="003870EF" w:rsidP="00B702B2">
            <w:pPr>
              <w:widowControl w:val="0"/>
              <w:spacing w:before="120" w:after="120"/>
              <w:jc w:val="both"/>
              <w:rPr>
                <w:rFonts w:ascii="Times New Roman" w:eastAsia="Times New Roman" w:hAnsi="Times New Roman"/>
                <w:sz w:val="24"/>
                <w:szCs w:val="24"/>
                <w:lang w:val="en-IE"/>
              </w:rPr>
            </w:pPr>
            <w:r w:rsidRPr="00B702B2">
              <w:rPr>
                <w:rFonts w:ascii="Times New Roman" w:eastAsia="Times New Roman" w:hAnsi="Times New Roman"/>
                <w:sz w:val="24"/>
                <w:szCs w:val="24"/>
              </w:rPr>
              <w:t xml:space="preserve">The Commission shares the assessment of the EESC opinion regarding the high implementation rate of the Moldova Reform Agenda commitments so far. </w:t>
            </w:r>
            <w:r w:rsidR="00137A7F">
              <w:rPr>
                <w:rFonts w:ascii="Times New Roman" w:eastAsia="Times New Roman" w:hAnsi="Times New Roman"/>
                <w:sz w:val="24"/>
                <w:szCs w:val="24"/>
              </w:rPr>
              <w:t>That said, m</w:t>
            </w:r>
            <w:r w:rsidRPr="00B702B2">
              <w:rPr>
                <w:rFonts w:ascii="Times New Roman" w:eastAsia="Times New Roman" w:hAnsi="Times New Roman"/>
                <w:sz w:val="24"/>
                <w:szCs w:val="24"/>
              </w:rPr>
              <w:t xml:space="preserve">aintaining the good pace of implementation will require increased whole-of-society efforts and close coordination with the Commission services. At the same time, the speed of reforms should not undermine the quality of the implementation or the meaningfulness of the consultations with citizens and civil society. </w:t>
            </w:r>
          </w:p>
          <w:p w14:paraId="00142FE2" w14:textId="57C32C3F" w:rsidR="003870EF" w:rsidRPr="00B702B2" w:rsidRDefault="003870EF" w:rsidP="00B702B2">
            <w:pPr>
              <w:widowControl w:val="0"/>
              <w:spacing w:before="120" w:after="120"/>
              <w:jc w:val="both"/>
              <w:rPr>
                <w:rFonts w:ascii="Times New Roman" w:eastAsia="Times New Roman" w:hAnsi="Times New Roman"/>
                <w:sz w:val="24"/>
                <w:szCs w:val="24"/>
                <w:lang w:val="en-IE"/>
              </w:rPr>
            </w:pPr>
            <w:r w:rsidRPr="00B702B2">
              <w:rPr>
                <w:rFonts w:ascii="Times New Roman" w:eastAsia="Times New Roman" w:hAnsi="Times New Roman"/>
                <w:sz w:val="24"/>
                <w:szCs w:val="24"/>
              </w:rPr>
              <w:lastRenderedPageBreak/>
              <w:t>The Commission shares EESC’s view on the importance of robust anti-corruption institutions and civil society under extra-ordinary wartime conditions</w:t>
            </w:r>
            <w:r w:rsidR="00137A7F">
              <w:rPr>
                <w:rFonts w:ascii="Times New Roman" w:eastAsia="Times New Roman" w:hAnsi="Times New Roman"/>
                <w:sz w:val="24"/>
                <w:szCs w:val="24"/>
              </w:rPr>
              <w:t>,</w:t>
            </w:r>
            <w:r w:rsidRPr="00B702B2">
              <w:rPr>
                <w:rFonts w:ascii="Times New Roman" w:eastAsia="Times New Roman" w:hAnsi="Times New Roman"/>
                <w:sz w:val="24"/>
                <w:szCs w:val="24"/>
              </w:rPr>
              <w:t xml:space="preserve"> as well as for the recovery of Ukraine and its EU accession process. The Commission recognises the crucial role of </w:t>
            </w:r>
            <w:r w:rsidR="00137A7F">
              <w:rPr>
                <w:rFonts w:ascii="Times New Roman" w:eastAsia="Times New Roman" w:hAnsi="Times New Roman"/>
                <w:sz w:val="24"/>
                <w:szCs w:val="24"/>
              </w:rPr>
              <w:t>CSOs</w:t>
            </w:r>
            <w:r w:rsidRPr="00B702B2">
              <w:rPr>
                <w:rFonts w:ascii="Times New Roman" w:eastAsia="Times New Roman" w:hAnsi="Times New Roman"/>
                <w:sz w:val="24"/>
                <w:szCs w:val="24"/>
              </w:rPr>
              <w:t xml:space="preserve"> as </w:t>
            </w:r>
            <w:r w:rsidR="007C13CF" w:rsidRPr="00B702B2">
              <w:rPr>
                <w:rFonts w:ascii="Times New Roman" w:eastAsia="Times New Roman" w:hAnsi="Times New Roman"/>
                <w:sz w:val="24"/>
                <w:szCs w:val="24"/>
              </w:rPr>
              <w:t>watchdogs</w:t>
            </w:r>
            <w:r w:rsidRPr="00B702B2">
              <w:rPr>
                <w:rFonts w:ascii="Times New Roman" w:eastAsia="Times New Roman" w:hAnsi="Times New Roman"/>
                <w:sz w:val="24"/>
                <w:szCs w:val="24"/>
              </w:rPr>
              <w:t xml:space="preserve"> against corruption and in ensuring the transparency and accountability in the reconstruction process. The continuous dialogue with civil society will remain essential in stimulating further reforms during the lifecycle of </w:t>
            </w:r>
            <w:r w:rsidR="00137A7F">
              <w:rPr>
                <w:rFonts w:ascii="Times New Roman" w:eastAsia="Times New Roman" w:hAnsi="Times New Roman"/>
                <w:sz w:val="24"/>
                <w:szCs w:val="24"/>
              </w:rPr>
              <w:t xml:space="preserve">the </w:t>
            </w:r>
            <w:r w:rsidRPr="00B702B2">
              <w:rPr>
                <w:rFonts w:ascii="Times New Roman" w:eastAsia="Times New Roman" w:hAnsi="Times New Roman"/>
                <w:sz w:val="24"/>
                <w:szCs w:val="24"/>
              </w:rPr>
              <w:t>Ukraine Facility</w:t>
            </w:r>
            <w:r w:rsidR="00137A7F">
              <w:rPr>
                <w:rFonts w:ascii="Times New Roman" w:eastAsia="Times New Roman" w:hAnsi="Times New Roman"/>
                <w:sz w:val="24"/>
                <w:szCs w:val="24"/>
              </w:rPr>
              <w:t>,</w:t>
            </w:r>
            <w:r w:rsidRPr="00B702B2">
              <w:rPr>
                <w:rFonts w:ascii="Times New Roman" w:eastAsia="Times New Roman" w:hAnsi="Times New Roman"/>
                <w:sz w:val="24"/>
                <w:szCs w:val="24"/>
              </w:rPr>
              <w:t xml:space="preserve"> and </w:t>
            </w:r>
            <w:r w:rsidRPr="00B702B2">
              <w:rPr>
                <w:rFonts w:ascii="Times New Roman" w:eastAsia="Times New Roman" w:hAnsi="Times New Roman"/>
                <w:sz w:val="24"/>
                <w:szCs w:val="24"/>
                <w:lang w:val="en-IE"/>
              </w:rPr>
              <w:t>allegations of political pressure on CSOs and activists should be thoroughly investigated.</w:t>
            </w:r>
          </w:p>
          <w:p w14:paraId="217D9226" w14:textId="2A18287B" w:rsidR="003870EF" w:rsidRPr="00B702B2" w:rsidRDefault="006820AE" w:rsidP="00B702B2">
            <w:pPr>
              <w:widowControl w:val="0"/>
              <w:spacing w:before="120" w:after="120"/>
              <w:jc w:val="both"/>
              <w:rPr>
                <w:rFonts w:ascii="Times New Roman" w:eastAsia="Times New Roman" w:hAnsi="Times New Roman"/>
                <w:sz w:val="24"/>
                <w:szCs w:val="24"/>
              </w:rPr>
            </w:pPr>
            <w:r w:rsidRPr="00B702B2">
              <w:rPr>
                <w:rFonts w:ascii="Times New Roman" w:eastAsia="Times New Roman" w:hAnsi="Times New Roman"/>
                <w:sz w:val="24"/>
                <w:szCs w:val="24"/>
              </w:rPr>
              <w:t>The EU Civil Society Strategy</w:t>
            </w:r>
            <w:r w:rsidR="0097215B">
              <w:rPr>
                <w:rStyle w:val="FootnoteReference"/>
                <w:rFonts w:ascii="Times New Roman" w:eastAsia="Times New Roman" w:hAnsi="Times New Roman"/>
                <w:sz w:val="24"/>
                <w:szCs w:val="24"/>
              </w:rPr>
              <w:footnoteReference w:id="1"/>
            </w:r>
            <w:r w:rsidRPr="00B702B2">
              <w:rPr>
                <w:rFonts w:ascii="Times New Roman" w:eastAsia="Times New Roman" w:hAnsi="Times New Roman"/>
                <w:sz w:val="24"/>
                <w:szCs w:val="24"/>
              </w:rPr>
              <w:t xml:space="preserve"> explicitly recognises the civic space in Member States and enlargement countries as a continuum and shared space. Enlargement countries are integrated and/or associated in actions under the Strategy as relevant, and the enlargement dimension is mainstreamed throughout the Strategy. This fosters gradual integration by enabling civil society from enlargement partners to participate </w:t>
            </w:r>
            <w:r w:rsidR="00160830">
              <w:rPr>
                <w:rFonts w:ascii="Times New Roman" w:eastAsia="Times New Roman" w:hAnsi="Times New Roman"/>
                <w:sz w:val="24"/>
                <w:szCs w:val="24"/>
              </w:rPr>
              <w:t>on</w:t>
            </w:r>
            <w:r w:rsidR="00160830" w:rsidRPr="00B702B2">
              <w:rPr>
                <w:rFonts w:ascii="Times New Roman" w:eastAsia="Times New Roman" w:hAnsi="Times New Roman"/>
                <w:sz w:val="24"/>
                <w:szCs w:val="24"/>
              </w:rPr>
              <w:t xml:space="preserve"> </w:t>
            </w:r>
            <w:r w:rsidRPr="00B702B2">
              <w:rPr>
                <w:rFonts w:ascii="Times New Roman" w:eastAsia="Times New Roman" w:hAnsi="Times New Roman"/>
                <w:sz w:val="24"/>
                <w:szCs w:val="24"/>
              </w:rPr>
              <w:t xml:space="preserve">an equal footing as their counterparts in the Member States. Furthermore, </w:t>
            </w:r>
            <w:r w:rsidRPr="00B702B2">
              <w:rPr>
                <w:rFonts w:ascii="Times New Roman" w:eastAsia="Times New Roman" w:hAnsi="Times New Roman"/>
                <w:sz w:val="24"/>
                <w:szCs w:val="24"/>
                <w:lang w:val="en-IE"/>
              </w:rPr>
              <w:t>t</w:t>
            </w:r>
            <w:r w:rsidR="00572FA4" w:rsidRPr="00B702B2">
              <w:rPr>
                <w:rFonts w:ascii="Times New Roman" w:eastAsia="Times New Roman" w:hAnsi="Times New Roman"/>
                <w:sz w:val="24"/>
                <w:szCs w:val="24"/>
                <w:lang w:val="en-IE"/>
              </w:rPr>
              <w:t>he Strategy outlines two actions specifically targeted at enlargement countries, one focusing on</w:t>
            </w:r>
            <w:r w:rsidRPr="00B702B2">
              <w:rPr>
                <w:rFonts w:ascii="Times New Roman" w:eastAsia="Times New Roman" w:hAnsi="Times New Roman"/>
                <w:sz w:val="24"/>
                <w:szCs w:val="24"/>
                <w:lang w:val="en-IE"/>
              </w:rPr>
              <w:t xml:space="preserve"> strengthening EU’s</w:t>
            </w:r>
            <w:r w:rsidR="00572FA4" w:rsidRPr="00B702B2">
              <w:rPr>
                <w:rFonts w:ascii="Times New Roman" w:eastAsia="Times New Roman" w:hAnsi="Times New Roman"/>
                <w:sz w:val="24"/>
                <w:szCs w:val="24"/>
                <w:lang w:val="en-IE"/>
              </w:rPr>
              <w:t xml:space="preserve"> engagement </w:t>
            </w:r>
            <w:r w:rsidRPr="00B702B2">
              <w:rPr>
                <w:rFonts w:ascii="Times New Roman" w:eastAsia="Times New Roman" w:hAnsi="Times New Roman"/>
                <w:sz w:val="24"/>
                <w:szCs w:val="24"/>
                <w:lang w:val="en-IE"/>
              </w:rPr>
              <w:t xml:space="preserve">with civil society </w:t>
            </w:r>
            <w:r w:rsidR="00572FA4" w:rsidRPr="00B702B2">
              <w:rPr>
                <w:rFonts w:ascii="Times New Roman" w:eastAsia="Times New Roman" w:hAnsi="Times New Roman"/>
                <w:sz w:val="24"/>
                <w:szCs w:val="24"/>
                <w:lang w:val="en-IE"/>
              </w:rPr>
              <w:t>in the preparation of meetings of relevant bodies under the association agreements, and the second on detecting emerging signs of shrinking civic space. </w:t>
            </w:r>
            <w:r w:rsidR="00572FA4" w:rsidRPr="00B702B2">
              <w:rPr>
                <w:rFonts w:ascii="Times New Roman" w:eastAsia="Times New Roman" w:hAnsi="Times New Roman"/>
                <w:sz w:val="24"/>
                <w:szCs w:val="24"/>
              </w:rPr>
              <w:t> </w:t>
            </w:r>
          </w:p>
          <w:p w14:paraId="695C7340" w14:textId="5F811D20" w:rsidR="003870EF" w:rsidRPr="00B702B2" w:rsidRDefault="003870EF" w:rsidP="00B702B2">
            <w:pPr>
              <w:widowControl w:val="0"/>
              <w:spacing w:before="120" w:after="120"/>
              <w:jc w:val="both"/>
              <w:rPr>
                <w:rFonts w:ascii="Times New Roman" w:eastAsia="Times New Roman" w:hAnsi="Times New Roman"/>
                <w:sz w:val="24"/>
                <w:szCs w:val="24"/>
                <w:lang w:val="en-IE"/>
              </w:rPr>
            </w:pPr>
            <w:r w:rsidRPr="00B702B2">
              <w:rPr>
                <w:rFonts w:ascii="Times New Roman" w:eastAsia="Times New Roman" w:hAnsi="Times New Roman"/>
                <w:sz w:val="24"/>
                <w:szCs w:val="24"/>
              </w:rPr>
              <w:t xml:space="preserve">Social dialogue plays a crucial role in economic reforms, facilitating their smooth implementation and ensuring that the interests of all stakeholders are considered. Moreover, social dialogue and public policies are mutually reinforcing. The Commission supports economic and social reforms (education, employment, health) in enlargement countries in an inclusive way, promoting social dialogue. Effective social dialogue can result in </w:t>
            </w:r>
            <w:r w:rsidR="00160830">
              <w:rPr>
                <w:rFonts w:ascii="Times New Roman" w:eastAsia="Times New Roman" w:hAnsi="Times New Roman"/>
                <w:sz w:val="24"/>
                <w:szCs w:val="24"/>
              </w:rPr>
              <w:t xml:space="preserve">the </w:t>
            </w:r>
            <w:r w:rsidRPr="00B702B2">
              <w:rPr>
                <w:rFonts w:ascii="Times New Roman" w:eastAsia="Times New Roman" w:hAnsi="Times New Roman"/>
                <w:sz w:val="24"/>
                <w:szCs w:val="24"/>
              </w:rPr>
              <w:t>better design and implementation of public policies, while well-designed public policies can create a more favourable environment for social dialogue and economic growth in enlargement countries</w:t>
            </w:r>
            <w:r w:rsidRPr="00B702B2">
              <w:rPr>
                <w:rFonts w:ascii="Times New Roman" w:eastAsia="Times New Roman" w:hAnsi="Times New Roman"/>
                <w:sz w:val="24"/>
                <w:szCs w:val="24"/>
                <w:lang w:val="en-IE"/>
              </w:rPr>
              <w:t>is</w:t>
            </w:r>
            <w:r w:rsidR="001B383E" w:rsidRPr="00B702B2">
              <w:rPr>
                <w:rFonts w:ascii="Times New Roman" w:eastAsia="Times New Roman" w:hAnsi="Times New Roman"/>
                <w:sz w:val="24"/>
                <w:szCs w:val="24"/>
                <w:lang w:val="en-IE"/>
              </w:rPr>
              <w:t xml:space="preserve">. </w:t>
            </w:r>
          </w:p>
          <w:p w14:paraId="588F52B3" w14:textId="7BD5C0C9" w:rsidR="001B383E" w:rsidRPr="00B702B2" w:rsidRDefault="001B383E" w:rsidP="00B702B2">
            <w:pPr>
              <w:widowControl w:val="0"/>
              <w:spacing w:before="120" w:after="120"/>
              <w:jc w:val="both"/>
              <w:rPr>
                <w:rFonts w:ascii="Times New Roman" w:eastAsia="Times New Roman" w:hAnsi="Times New Roman"/>
                <w:sz w:val="24"/>
                <w:szCs w:val="24"/>
              </w:rPr>
            </w:pPr>
            <w:r w:rsidRPr="00B702B2">
              <w:rPr>
                <w:rFonts w:ascii="Times New Roman" w:eastAsia="Times New Roman" w:hAnsi="Times New Roman"/>
                <w:sz w:val="24"/>
                <w:szCs w:val="24"/>
                <w:lang w:val="en-IE"/>
              </w:rPr>
              <w:t xml:space="preserve">The Commission shares </w:t>
            </w:r>
            <w:r w:rsidR="00160830">
              <w:rPr>
                <w:rFonts w:ascii="Times New Roman" w:eastAsia="Times New Roman" w:hAnsi="Times New Roman"/>
                <w:sz w:val="24"/>
                <w:szCs w:val="24"/>
                <w:lang w:val="en-IE"/>
              </w:rPr>
              <w:t xml:space="preserve">the </w:t>
            </w:r>
            <w:r w:rsidRPr="00B702B2">
              <w:rPr>
                <w:rFonts w:ascii="Times New Roman" w:eastAsia="Times New Roman" w:hAnsi="Times New Roman"/>
                <w:sz w:val="24"/>
                <w:szCs w:val="24"/>
                <w:lang w:val="en-IE"/>
              </w:rPr>
              <w:t xml:space="preserve">EESC’s </w:t>
            </w:r>
            <w:r w:rsidR="00160830">
              <w:rPr>
                <w:rFonts w:ascii="Times New Roman" w:eastAsia="Times New Roman" w:hAnsi="Times New Roman"/>
                <w:sz w:val="24"/>
                <w:szCs w:val="24"/>
                <w:lang w:val="en-IE"/>
              </w:rPr>
              <w:t>views</w:t>
            </w:r>
            <w:r w:rsidR="00160830" w:rsidRPr="00B702B2">
              <w:rPr>
                <w:rFonts w:ascii="Times New Roman" w:eastAsia="Times New Roman" w:hAnsi="Times New Roman"/>
                <w:sz w:val="24"/>
                <w:szCs w:val="24"/>
                <w:lang w:val="en-IE"/>
              </w:rPr>
              <w:t xml:space="preserve"> </w:t>
            </w:r>
            <w:r w:rsidRPr="00B702B2">
              <w:rPr>
                <w:rFonts w:ascii="Times New Roman" w:eastAsia="Times New Roman" w:hAnsi="Times New Roman"/>
                <w:sz w:val="24"/>
                <w:szCs w:val="24"/>
                <w:lang w:val="en-IE"/>
              </w:rPr>
              <w:t xml:space="preserve">on the role of the social partners in the design, implementation and monitoring of the reforms while </w:t>
            </w:r>
            <w:r w:rsidR="00D24440" w:rsidRPr="00B702B2">
              <w:rPr>
                <w:rFonts w:ascii="Times New Roman" w:eastAsia="Times New Roman" w:hAnsi="Times New Roman"/>
                <w:sz w:val="24"/>
                <w:szCs w:val="24"/>
                <w:lang w:val="en-IE"/>
              </w:rPr>
              <w:t xml:space="preserve">being aware of the capacities in thematic areas that need to be improved for the future performance-based instruments.  </w:t>
            </w:r>
          </w:p>
          <w:p w14:paraId="633A5933" w14:textId="77777777" w:rsidR="00881FDD" w:rsidRPr="00B702B2" w:rsidRDefault="00881FDD" w:rsidP="00B702B2">
            <w:pPr>
              <w:widowControl w:val="0"/>
              <w:spacing w:before="120" w:after="120"/>
              <w:jc w:val="both"/>
              <w:rPr>
                <w:rFonts w:ascii="Times New Roman" w:eastAsia="Times New Roman" w:hAnsi="Times New Roman"/>
                <w:b/>
                <w:bCs/>
                <w:sz w:val="24"/>
                <w:szCs w:val="24"/>
              </w:rPr>
            </w:pPr>
            <w:r w:rsidRPr="00B702B2">
              <w:rPr>
                <w:rFonts w:ascii="Times New Roman" w:eastAsia="Times New Roman" w:hAnsi="Times New Roman"/>
                <w:b/>
                <w:bCs/>
                <w:sz w:val="24"/>
                <w:szCs w:val="24"/>
              </w:rPr>
              <w:t>Conclusion</w:t>
            </w:r>
          </w:p>
          <w:p w14:paraId="30D14481" w14:textId="7829D152" w:rsidR="0049246C" w:rsidRPr="0097215B" w:rsidRDefault="00881FDD" w:rsidP="00B702B2">
            <w:pPr>
              <w:widowControl w:val="0"/>
              <w:spacing w:before="120" w:after="120"/>
              <w:jc w:val="both"/>
              <w:rPr>
                <w:rFonts w:ascii="Times New Roman" w:hAnsi="Times New Roman"/>
                <w:b/>
                <w:sz w:val="24"/>
                <w:szCs w:val="24"/>
              </w:rPr>
            </w:pPr>
            <w:bookmarkStart w:id="0" w:name="_Hlk205361661"/>
            <w:r w:rsidRPr="00B702B2">
              <w:rPr>
                <w:rFonts w:ascii="Times New Roman" w:eastAsia="Times New Roman" w:hAnsi="Times New Roman"/>
                <w:sz w:val="24"/>
                <w:szCs w:val="24"/>
              </w:rPr>
              <w:t xml:space="preserve">The Commission welcomes the EESC opinion on </w:t>
            </w:r>
            <w:r w:rsidRPr="0097215B">
              <w:rPr>
                <w:rFonts w:ascii="Times New Roman" w:hAnsi="Times New Roman"/>
                <w:bCs/>
                <w:sz w:val="24"/>
                <w:szCs w:val="24"/>
              </w:rPr>
              <w:t>Civil Society’s role in supporting reform under the growth plans for the Western Balkans and Moldova, as well as in Ukraine’s reform path</w:t>
            </w:r>
            <w:r w:rsidR="00160830">
              <w:rPr>
                <w:rFonts w:ascii="Times New Roman" w:hAnsi="Times New Roman"/>
                <w:bCs/>
                <w:sz w:val="24"/>
                <w:szCs w:val="24"/>
              </w:rPr>
              <w:t xml:space="preserve">. The Commission </w:t>
            </w:r>
            <w:r w:rsidRPr="00B702B2">
              <w:rPr>
                <w:rFonts w:ascii="Times New Roman" w:eastAsia="Times New Roman" w:hAnsi="Times New Roman"/>
                <w:sz w:val="24"/>
                <w:szCs w:val="24"/>
              </w:rPr>
              <w:t>is committed to continue collaborating with the EESC</w:t>
            </w:r>
            <w:r w:rsidR="00160830">
              <w:rPr>
                <w:rFonts w:ascii="Times New Roman" w:eastAsia="Times New Roman" w:hAnsi="Times New Roman"/>
                <w:sz w:val="24"/>
                <w:szCs w:val="24"/>
              </w:rPr>
              <w:t xml:space="preserve"> in follow up actions, and</w:t>
            </w:r>
            <w:r w:rsidRPr="00B702B2">
              <w:rPr>
                <w:rFonts w:ascii="Times New Roman" w:eastAsia="Times New Roman" w:hAnsi="Times New Roman"/>
                <w:sz w:val="24"/>
                <w:szCs w:val="24"/>
              </w:rPr>
              <w:t xml:space="preserve"> in advancing </w:t>
            </w:r>
            <w:r w:rsidR="002C1852" w:rsidRPr="00B702B2">
              <w:rPr>
                <w:rFonts w:ascii="Times New Roman" w:eastAsia="Times New Roman" w:hAnsi="Times New Roman"/>
                <w:sz w:val="24"/>
                <w:szCs w:val="24"/>
              </w:rPr>
              <w:t>the role</w:t>
            </w:r>
            <w:r w:rsidRPr="00B702B2">
              <w:rPr>
                <w:rFonts w:ascii="Times New Roman" w:eastAsia="Times New Roman" w:hAnsi="Times New Roman"/>
                <w:sz w:val="24"/>
                <w:szCs w:val="24"/>
              </w:rPr>
              <w:t xml:space="preserve"> of civil society and civic representatives </w:t>
            </w:r>
            <w:r w:rsidR="002C1852" w:rsidRPr="00B702B2">
              <w:rPr>
                <w:rFonts w:ascii="Times New Roman" w:eastAsia="Times New Roman" w:hAnsi="Times New Roman"/>
                <w:sz w:val="24"/>
                <w:szCs w:val="24"/>
              </w:rPr>
              <w:t>on the implementation and the monitoring of the growth plans</w:t>
            </w:r>
            <w:r w:rsidRPr="00B702B2">
              <w:rPr>
                <w:rFonts w:ascii="Times New Roman" w:eastAsia="Times New Roman" w:hAnsi="Times New Roman"/>
                <w:sz w:val="24"/>
                <w:szCs w:val="24"/>
              </w:rPr>
              <w:t xml:space="preserve">. </w:t>
            </w:r>
            <w:bookmarkEnd w:id="0"/>
          </w:p>
        </w:tc>
      </w:tr>
    </w:tbl>
    <w:p w14:paraId="41D86A3C" w14:textId="77777777" w:rsidR="00554137" w:rsidRPr="00554137" w:rsidRDefault="00554137" w:rsidP="00554137">
      <w:pPr>
        <w:ind w:left="-426"/>
        <w:rPr>
          <w:rFonts w:ascii="Times New Roman" w:hAnsi="Times New Roman"/>
          <w:b/>
          <w:sz w:val="16"/>
          <w:szCs w:val="16"/>
          <w:u w:val="single"/>
        </w:rPr>
      </w:pPr>
    </w:p>
    <w:sectPr w:rsidR="00554137" w:rsidRPr="005541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0C23A" w14:textId="77777777" w:rsidR="007F6DE6" w:rsidRDefault="007F6DE6" w:rsidP="00FF63EA">
      <w:pPr>
        <w:spacing w:after="0" w:line="240" w:lineRule="auto"/>
      </w:pPr>
      <w:r>
        <w:separator/>
      </w:r>
    </w:p>
  </w:endnote>
  <w:endnote w:type="continuationSeparator" w:id="0">
    <w:p w14:paraId="397D3254" w14:textId="77777777" w:rsidR="007F6DE6" w:rsidRDefault="007F6DE6" w:rsidP="00FF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36189" w14:textId="77777777" w:rsidR="007F6DE6" w:rsidRDefault="007F6DE6" w:rsidP="00FF63EA">
      <w:pPr>
        <w:spacing w:after="0" w:line="240" w:lineRule="auto"/>
      </w:pPr>
      <w:r>
        <w:separator/>
      </w:r>
    </w:p>
  </w:footnote>
  <w:footnote w:type="continuationSeparator" w:id="0">
    <w:p w14:paraId="175881A9" w14:textId="77777777" w:rsidR="007F6DE6" w:rsidRDefault="007F6DE6" w:rsidP="00FF63EA">
      <w:pPr>
        <w:spacing w:after="0" w:line="240" w:lineRule="auto"/>
      </w:pPr>
      <w:r>
        <w:continuationSeparator/>
      </w:r>
    </w:p>
  </w:footnote>
  <w:footnote w:id="1">
    <w:p w14:paraId="29151C21" w14:textId="3D6CB91D" w:rsidR="0097215B" w:rsidRPr="00B702B2" w:rsidRDefault="0097215B" w:rsidP="00B702B2">
      <w:pPr>
        <w:pStyle w:val="FootnoteText"/>
        <w:widowControl w:val="0"/>
        <w:spacing w:after="0" w:line="240" w:lineRule="auto"/>
        <w:jc w:val="both"/>
        <w:rPr>
          <w:rFonts w:ascii="Times New Roman" w:hAnsi="Times New Roman"/>
          <w:lang w:val="fr-BE"/>
        </w:rPr>
      </w:pPr>
      <w:r w:rsidRPr="00B702B2">
        <w:rPr>
          <w:rStyle w:val="FootnoteReference"/>
          <w:rFonts w:ascii="Times New Roman" w:hAnsi="Times New Roman"/>
        </w:rPr>
        <w:footnoteRef/>
      </w:r>
      <w:r w:rsidRPr="00B702B2">
        <w:rPr>
          <w:rFonts w:ascii="Times New Roman" w:hAnsi="Times New Roman"/>
          <w:lang w:val="fr-BE"/>
        </w:rPr>
        <w:t xml:space="preserve"> </w:t>
      </w:r>
      <w:r w:rsidR="004E01A2">
        <w:rPr>
          <w:rFonts w:ascii="Times New Roman" w:hAnsi="Times New Roman"/>
          <w:lang w:val="fr-BE"/>
        </w:rPr>
        <w:t xml:space="preserve"> </w:t>
      </w:r>
      <w:r w:rsidRPr="00B702B2">
        <w:rPr>
          <w:rFonts w:ascii="Times New Roman" w:hAnsi="Times New Roman"/>
          <w:lang w:val="fr-BE"/>
        </w:rPr>
        <w:t>COM(2025)790 final (</w:t>
      </w:r>
      <w:hyperlink r:id="rId1" w:history="1">
        <w:r w:rsidRPr="00B702B2">
          <w:rPr>
            <w:rStyle w:val="Hyperlink"/>
            <w:rFonts w:ascii="Times New Roman" w:hAnsi="Times New Roman"/>
            <w:lang w:val="fr-BE"/>
          </w:rPr>
          <w:t>EUR-Lex - 52025DC0790 - EN - EUR-Lex</w:t>
        </w:r>
      </w:hyperlink>
      <w:r w:rsidRPr="00B702B2">
        <w:rPr>
          <w:rFonts w:ascii="Times New Roman" w:hAnsi="Times New Roman"/>
          <w:lang w:val="fr-BE"/>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LW_DocType" w:val="NORMAL"/>
  </w:docVars>
  <w:rsids>
    <w:rsidRoot w:val="00077C4F"/>
    <w:rsid w:val="00012A37"/>
    <w:rsid w:val="00026F94"/>
    <w:rsid w:val="000412B0"/>
    <w:rsid w:val="00046B15"/>
    <w:rsid w:val="00050DC7"/>
    <w:rsid w:val="000750EB"/>
    <w:rsid w:val="00076109"/>
    <w:rsid w:val="00077C4F"/>
    <w:rsid w:val="00097E72"/>
    <w:rsid w:val="000C2819"/>
    <w:rsid w:val="000C6322"/>
    <w:rsid w:val="000F0274"/>
    <w:rsid w:val="000F5FD8"/>
    <w:rsid w:val="001167C0"/>
    <w:rsid w:val="001223F8"/>
    <w:rsid w:val="00135C2A"/>
    <w:rsid w:val="00137A7F"/>
    <w:rsid w:val="00156D2E"/>
    <w:rsid w:val="00160830"/>
    <w:rsid w:val="00164CCF"/>
    <w:rsid w:val="00184656"/>
    <w:rsid w:val="001B0E0B"/>
    <w:rsid w:val="001B383E"/>
    <w:rsid w:val="001C4138"/>
    <w:rsid w:val="001F1429"/>
    <w:rsid w:val="001F2EC6"/>
    <w:rsid w:val="001F65D0"/>
    <w:rsid w:val="00217E59"/>
    <w:rsid w:val="00246F88"/>
    <w:rsid w:val="0026294B"/>
    <w:rsid w:val="00286764"/>
    <w:rsid w:val="002C1852"/>
    <w:rsid w:val="002F03FA"/>
    <w:rsid w:val="003004D2"/>
    <w:rsid w:val="003220E7"/>
    <w:rsid w:val="003349A3"/>
    <w:rsid w:val="003355F5"/>
    <w:rsid w:val="00347459"/>
    <w:rsid w:val="00361E26"/>
    <w:rsid w:val="00377967"/>
    <w:rsid w:val="00386143"/>
    <w:rsid w:val="003870EF"/>
    <w:rsid w:val="003B58DC"/>
    <w:rsid w:val="003D2411"/>
    <w:rsid w:val="003F686E"/>
    <w:rsid w:val="00407493"/>
    <w:rsid w:val="004104D3"/>
    <w:rsid w:val="004145B4"/>
    <w:rsid w:val="00442552"/>
    <w:rsid w:val="00455A1C"/>
    <w:rsid w:val="004675B5"/>
    <w:rsid w:val="004770D6"/>
    <w:rsid w:val="0049246C"/>
    <w:rsid w:val="004A7932"/>
    <w:rsid w:val="004C66D5"/>
    <w:rsid w:val="004C7604"/>
    <w:rsid w:val="004E01A2"/>
    <w:rsid w:val="004E758E"/>
    <w:rsid w:val="004F6117"/>
    <w:rsid w:val="004F63F1"/>
    <w:rsid w:val="004F651E"/>
    <w:rsid w:val="004F670F"/>
    <w:rsid w:val="00514272"/>
    <w:rsid w:val="0052596B"/>
    <w:rsid w:val="00554137"/>
    <w:rsid w:val="00554D8D"/>
    <w:rsid w:val="00560EE9"/>
    <w:rsid w:val="00572FA4"/>
    <w:rsid w:val="00573835"/>
    <w:rsid w:val="00581306"/>
    <w:rsid w:val="005C3105"/>
    <w:rsid w:val="005F72CF"/>
    <w:rsid w:val="00641E85"/>
    <w:rsid w:val="0066214D"/>
    <w:rsid w:val="006820AE"/>
    <w:rsid w:val="00692C2F"/>
    <w:rsid w:val="00695797"/>
    <w:rsid w:val="00696A5E"/>
    <w:rsid w:val="006B3B69"/>
    <w:rsid w:val="006E3C78"/>
    <w:rsid w:val="006E7096"/>
    <w:rsid w:val="00717577"/>
    <w:rsid w:val="00734613"/>
    <w:rsid w:val="00751910"/>
    <w:rsid w:val="00751E60"/>
    <w:rsid w:val="007547B5"/>
    <w:rsid w:val="00772AEF"/>
    <w:rsid w:val="0077414B"/>
    <w:rsid w:val="00784BAB"/>
    <w:rsid w:val="00795A42"/>
    <w:rsid w:val="00795A9E"/>
    <w:rsid w:val="007A5197"/>
    <w:rsid w:val="007A606D"/>
    <w:rsid w:val="007C13CF"/>
    <w:rsid w:val="007C2214"/>
    <w:rsid w:val="007F6DE6"/>
    <w:rsid w:val="007F7665"/>
    <w:rsid w:val="008064F6"/>
    <w:rsid w:val="00807B48"/>
    <w:rsid w:val="008135CA"/>
    <w:rsid w:val="0081584F"/>
    <w:rsid w:val="008703BF"/>
    <w:rsid w:val="008750B3"/>
    <w:rsid w:val="00881FDD"/>
    <w:rsid w:val="008925CE"/>
    <w:rsid w:val="008C4D41"/>
    <w:rsid w:val="00915770"/>
    <w:rsid w:val="009175C1"/>
    <w:rsid w:val="0097215B"/>
    <w:rsid w:val="00981F45"/>
    <w:rsid w:val="00994D12"/>
    <w:rsid w:val="009A3524"/>
    <w:rsid w:val="009A48EB"/>
    <w:rsid w:val="009A6159"/>
    <w:rsid w:val="009B128B"/>
    <w:rsid w:val="009C120F"/>
    <w:rsid w:val="009D0905"/>
    <w:rsid w:val="009D6350"/>
    <w:rsid w:val="009E5A1F"/>
    <w:rsid w:val="00A16F07"/>
    <w:rsid w:val="00A20232"/>
    <w:rsid w:val="00A2784B"/>
    <w:rsid w:val="00A4052A"/>
    <w:rsid w:val="00A47859"/>
    <w:rsid w:val="00A55A6D"/>
    <w:rsid w:val="00A62C7B"/>
    <w:rsid w:val="00A7709A"/>
    <w:rsid w:val="00AA0D0B"/>
    <w:rsid w:val="00AB2FB4"/>
    <w:rsid w:val="00AC05A5"/>
    <w:rsid w:val="00AE1842"/>
    <w:rsid w:val="00AE3C7C"/>
    <w:rsid w:val="00AF5CFE"/>
    <w:rsid w:val="00B2625D"/>
    <w:rsid w:val="00B31306"/>
    <w:rsid w:val="00B331C2"/>
    <w:rsid w:val="00B33CA7"/>
    <w:rsid w:val="00B42814"/>
    <w:rsid w:val="00B633EE"/>
    <w:rsid w:val="00B702B2"/>
    <w:rsid w:val="00B83936"/>
    <w:rsid w:val="00B846FD"/>
    <w:rsid w:val="00B92E15"/>
    <w:rsid w:val="00BB3596"/>
    <w:rsid w:val="00BB3A67"/>
    <w:rsid w:val="00BC1243"/>
    <w:rsid w:val="00BC2224"/>
    <w:rsid w:val="00BD6E58"/>
    <w:rsid w:val="00BD6EB7"/>
    <w:rsid w:val="00BE2B01"/>
    <w:rsid w:val="00C06E95"/>
    <w:rsid w:val="00C11409"/>
    <w:rsid w:val="00C2160F"/>
    <w:rsid w:val="00C37BDD"/>
    <w:rsid w:val="00C54D27"/>
    <w:rsid w:val="00C76EEB"/>
    <w:rsid w:val="00CA2367"/>
    <w:rsid w:val="00D01F5A"/>
    <w:rsid w:val="00D1323B"/>
    <w:rsid w:val="00D1716E"/>
    <w:rsid w:val="00D24440"/>
    <w:rsid w:val="00D64E05"/>
    <w:rsid w:val="00D92FD3"/>
    <w:rsid w:val="00DA2F9A"/>
    <w:rsid w:val="00DA3B6E"/>
    <w:rsid w:val="00DB7581"/>
    <w:rsid w:val="00DC70C1"/>
    <w:rsid w:val="00DC7E45"/>
    <w:rsid w:val="00E033E7"/>
    <w:rsid w:val="00E56DDF"/>
    <w:rsid w:val="00E755D8"/>
    <w:rsid w:val="00E83C12"/>
    <w:rsid w:val="00E904C8"/>
    <w:rsid w:val="00EA1BBF"/>
    <w:rsid w:val="00EB29A9"/>
    <w:rsid w:val="00EB77D2"/>
    <w:rsid w:val="00F316C8"/>
    <w:rsid w:val="00F31D9E"/>
    <w:rsid w:val="00F31EFB"/>
    <w:rsid w:val="00F632DE"/>
    <w:rsid w:val="00F735E4"/>
    <w:rsid w:val="00FB7834"/>
    <w:rsid w:val="00FC2991"/>
    <w:rsid w:val="00FD4B6A"/>
    <w:rsid w:val="00FF03A8"/>
    <w:rsid w:val="00FF63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DBEE9"/>
  <w15:chartTrackingRefBased/>
  <w15:docId w15:val="{8250BCC8-4D0F-43C9-A9FB-5B735BFF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C11409"/>
    <w:rPr>
      <w:sz w:val="22"/>
      <w:szCs w:val="22"/>
      <w:lang w:val="en-GB" w:eastAsia="en-US"/>
    </w:rPr>
  </w:style>
  <w:style w:type="character" w:styleId="CommentReference">
    <w:name w:val="annotation reference"/>
    <w:uiPriority w:val="99"/>
    <w:semiHidden/>
    <w:unhideWhenUsed/>
    <w:rsid w:val="00C11409"/>
    <w:rPr>
      <w:sz w:val="16"/>
      <w:szCs w:val="16"/>
    </w:rPr>
  </w:style>
  <w:style w:type="paragraph" w:styleId="CommentText">
    <w:name w:val="annotation text"/>
    <w:basedOn w:val="Normal"/>
    <w:link w:val="CommentTextChar"/>
    <w:uiPriority w:val="99"/>
    <w:unhideWhenUsed/>
    <w:rsid w:val="00C11409"/>
    <w:rPr>
      <w:sz w:val="20"/>
      <w:szCs w:val="20"/>
    </w:rPr>
  </w:style>
  <w:style w:type="character" w:customStyle="1" w:styleId="CommentTextChar">
    <w:name w:val="Comment Text Char"/>
    <w:link w:val="CommentText"/>
    <w:uiPriority w:val="99"/>
    <w:rsid w:val="00C11409"/>
    <w:rPr>
      <w:lang w:val="en-GB" w:eastAsia="en-US"/>
    </w:rPr>
  </w:style>
  <w:style w:type="paragraph" w:styleId="CommentSubject">
    <w:name w:val="annotation subject"/>
    <w:basedOn w:val="CommentText"/>
    <w:next w:val="CommentText"/>
    <w:link w:val="CommentSubjectChar"/>
    <w:uiPriority w:val="99"/>
    <w:semiHidden/>
    <w:unhideWhenUsed/>
    <w:rsid w:val="00C11409"/>
    <w:rPr>
      <w:b/>
      <w:bCs/>
    </w:rPr>
  </w:style>
  <w:style w:type="character" w:customStyle="1" w:styleId="CommentSubjectChar">
    <w:name w:val="Comment Subject Char"/>
    <w:link w:val="CommentSubject"/>
    <w:uiPriority w:val="99"/>
    <w:semiHidden/>
    <w:rsid w:val="00C11409"/>
    <w:rPr>
      <w:b/>
      <w:bCs/>
      <w:lang w:val="en-GB" w:eastAsia="en-US"/>
    </w:rPr>
  </w:style>
  <w:style w:type="paragraph" w:styleId="FootnoteText">
    <w:name w:val="footnote text"/>
    <w:basedOn w:val="Normal"/>
    <w:link w:val="FootnoteTextChar"/>
    <w:uiPriority w:val="99"/>
    <w:semiHidden/>
    <w:unhideWhenUsed/>
    <w:rsid w:val="0097215B"/>
    <w:rPr>
      <w:sz w:val="20"/>
      <w:szCs w:val="20"/>
    </w:rPr>
  </w:style>
  <w:style w:type="character" w:customStyle="1" w:styleId="FootnoteTextChar">
    <w:name w:val="Footnote Text Char"/>
    <w:basedOn w:val="DefaultParagraphFont"/>
    <w:link w:val="FootnoteText"/>
    <w:uiPriority w:val="99"/>
    <w:semiHidden/>
    <w:rsid w:val="0097215B"/>
    <w:rPr>
      <w:lang w:val="en-GB" w:eastAsia="en-US"/>
    </w:rPr>
  </w:style>
  <w:style w:type="character" w:styleId="FootnoteReference">
    <w:name w:val="footnote reference"/>
    <w:basedOn w:val="DefaultParagraphFont"/>
    <w:uiPriority w:val="99"/>
    <w:semiHidden/>
    <w:unhideWhenUsed/>
    <w:rsid w:val="0097215B"/>
    <w:rPr>
      <w:vertAlign w:val="superscript"/>
    </w:rPr>
  </w:style>
  <w:style w:type="character" w:styleId="Hyperlink">
    <w:name w:val="Hyperlink"/>
    <w:basedOn w:val="DefaultParagraphFont"/>
    <w:uiPriority w:val="99"/>
    <w:unhideWhenUsed/>
    <w:rsid w:val="0097215B"/>
    <w:rPr>
      <w:color w:val="0563C1" w:themeColor="hyperlink"/>
      <w:u w:val="single"/>
    </w:rPr>
  </w:style>
  <w:style w:type="character" w:styleId="UnresolvedMention">
    <w:name w:val="Unresolved Mention"/>
    <w:basedOn w:val="DefaultParagraphFont"/>
    <w:uiPriority w:val="99"/>
    <w:semiHidden/>
    <w:unhideWhenUsed/>
    <w:rsid w:val="009721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7292458">
      <w:bodyDiv w:val="1"/>
      <w:marLeft w:val="0"/>
      <w:marRight w:val="0"/>
      <w:marTop w:val="0"/>
      <w:marBottom w:val="0"/>
      <w:divBdr>
        <w:top w:val="none" w:sz="0" w:space="0" w:color="auto"/>
        <w:left w:val="none" w:sz="0" w:space="0" w:color="auto"/>
        <w:bottom w:val="none" w:sz="0" w:space="0" w:color="auto"/>
        <w:right w:val="none" w:sz="0" w:space="0" w:color="auto"/>
      </w:divBdr>
    </w:div>
    <w:div w:id="2133134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52025DC07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C87A2EBC14384998988299DCD0AECA" ma:contentTypeVersion="10" ma:contentTypeDescription="Create a new document." ma:contentTypeScope="" ma:versionID="b2942ded3934c9e664810668e52d2348">
  <xsd:schema xmlns:xsd="http://www.w3.org/2001/XMLSchema" xmlns:xs="http://www.w3.org/2001/XMLSchema" xmlns:p="http://schemas.microsoft.com/office/2006/metadata/properties" xmlns:ns2="6cfd0253-084f-4b47-b415-a97731b3b01e" xmlns:ns3="e0757b53-df10-4b98-9811-094c4c3e23a8" targetNamespace="http://schemas.microsoft.com/office/2006/metadata/properties" ma:root="true" ma:fieldsID="1de8f1c6e6f80dd541cc6e4d164bc08f" ns2:_="" ns3:_="">
    <xsd:import namespace="6cfd0253-084f-4b47-b415-a97731b3b01e"/>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fd0253-084f-4b47-b415-a97731b3b0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a06400-04b2-4666-bc92-87ec4a3fbe14}"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cfd0253-084f-4b47-b415-a97731b3b01e">
      <Terms xmlns="http://schemas.microsoft.com/office/infopath/2007/PartnerControls"/>
    </lcf76f155ced4ddcb4097134ff3c332f>
    <TaxCatchAll xmlns="e0757b53-df10-4b98-9811-094c4c3e23a8" xsi:nil="true"/>
  </documentManagement>
</p:properties>
</file>

<file path=customXml/itemProps1.xml><?xml version="1.0" encoding="utf-8"?>
<ds:datastoreItem xmlns:ds="http://schemas.openxmlformats.org/officeDocument/2006/customXml" ds:itemID="{A2907848-23EB-424C-A73B-9EEAEED25CD3}">
  <ds:schemaRefs>
    <ds:schemaRef ds:uri="http://schemas.openxmlformats.org/officeDocument/2006/bibliography"/>
  </ds:schemaRefs>
</ds:datastoreItem>
</file>

<file path=customXml/itemProps2.xml><?xml version="1.0" encoding="utf-8"?>
<ds:datastoreItem xmlns:ds="http://schemas.openxmlformats.org/officeDocument/2006/customXml" ds:itemID="{6937153F-94AC-473F-9C59-C176EC83EA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fd0253-084f-4b47-b415-a97731b3b01e"/>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3208A1A-67EB-4504-98A1-8B81E1534A77}">
  <ds:schemaRefs>
    <ds:schemaRef ds:uri="http://schemas.microsoft.com/sharepoint/v3/contenttype/forms"/>
  </ds:schemaRefs>
</ds:datastoreItem>
</file>

<file path=customXml/itemProps4.xml><?xml version="1.0" encoding="utf-8"?>
<ds:datastoreItem xmlns:ds="http://schemas.openxmlformats.org/officeDocument/2006/customXml" ds:itemID="{832816B5-1ECD-49DF-831E-4FA30EAB51DF}">
  <ds:schemaRefs>
    <ds:schemaRef ds:uri="http://schemas.microsoft.com/office/2006/metadata/properties"/>
    <ds:schemaRef ds:uri="http://schemas.microsoft.com/office/infopath/2007/PartnerControls"/>
    <ds:schemaRef ds:uri="6cfd0253-084f-4b47-b415-a97731b3b01e"/>
    <ds:schemaRef ds:uri="e0757b53-df10-4b98-9811-094c4c3e23a8"/>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838</Words>
  <Characters>5013</Characters>
  <Application>Microsoft Office Word</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PUIA Manuela Morena (SG)</dc:creator>
  <cp:keywords/>
  <cp:lastModifiedBy>ROSSI Simona (SG)</cp:lastModifiedBy>
  <cp:revision>2</cp:revision>
  <cp:lastPrinted>2013-02-27T18:02:00Z</cp:lastPrinted>
  <dcterms:created xsi:type="dcterms:W3CDTF">2026-10-19T12:59:00Z</dcterms:created>
  <dcterms:modified xsi:type="dcterms:W3CDTF">2026-10-19T12:59:00Z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2023-04-12T12:31:59Z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633b4ac4-9ed9-4135-981c-e588276a87bc</vt:lpwstr>
  </property>
  <property fmtid="{D5CDD505-2E9C-101B-9397-08002B2CF9AE}" pid="8" name="MSIP_Label_6bd9ddd1-4d20-43f6-abfa-fc3c07406f94_ContentBits">
    <vt:lpwstr>0</vt:lpwstr>
  </property>
  <property fmtid="{D5CDD505-2E9C-101B-9397-08002B2CF9AE}" pid="9" name="ContentTypeId">
    <vt:lpwstr>0x010100A0C87A2EBC14384998988299DCD0AECA</vt:lpwstr>
  </property>
</Properties>
</file>