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6"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10156"/>
      </w:tblGrid>
      <w:tr w:rsidR="001C4138" w:rsidRPr="00442552" w14:paraId="7E6372DC" w14:textId="77777777" w:rsidTr="00407F57">
        <w:trPr>
          <w:jc w:val="center"/>
        </w:trPr>
        <w:tc>
          <w:tcPr>
            <w:tcW w:w="10156" w:type="dxa"/>
          </w:tcPr>
          <w:p w14:paraId="3A4EDC3A" w14:textId="5BCBE131" w:rsidR="001C4138" w:rsidRPr="003D48D0" w:rsidRDefault="00747C02" w:rsidP="217B1109">
            <w:pPr>
              <w:spacing w:before="120" w:after="120"/>
              <w:rPr>
                <w:rFonts w:ascii="Times New Roman" w:hAnsi="Times New Roman"/>
                <w:b/>
                <w:bCs/>
                <w:sz w:val="24"/>
                <w:szCs w:val="24"/>
              </w:rPr>
            </w:pPr>
            <w:r w:rsidRPr="003D48D0">
              <w:rPr>
                <w:rFonts w:ascii="Times New Roman" w:hAnsi="Times New Roman"/>
                <w:b/>
                <w:bCs/>
                <w:sz w:val="24"/>
                <w:szCs w:val="24"/>
              </w:rPr>
              <w:t xml:space="preserve">Economic impact </w:t>
            </w:r>
            <w:r w:rsidR="00966273" w:rsidRPr="003D48D0">
              <w:rPr>
                <w:rFonts w:ascii="Times New Roman" w:hAnsi="Times New Roman"/>
                <w:b/>
                <w:bCs/>
                <w:sz w:val="24"/>
                <w:szCs w:val="24"/>
              </w:rPr>
              <w:t>of the</w:t>
            </w:r>
            <w:r w:rsidR="00BC604F" w:rsidRPr="003D48D0">
              <w:rPr>
                <w:rFonts w:ascii="Times New Roman" w:hAnsi="Times New Roman"/>
                <w:b/>
                <w:bCs/>
                <w:sz w:val="24"/>
                <w:szCs w:val="24"/>
              </w:rPr>
              <w:t xml:space="preserve"> </w:t>
            </w:r>
            <w:r w:rsidRPr="003D48D0">
              <w:rPr>
                <w:rFonts w:ascii="Times New Roman" w:hAnsi="Times New Roman"/>
                <w:b/>
                <w:bCs/>
                <w:sz w:val="24"/>
                <w:szCs w:val="24"/>
              </w:rPr>
              <w:t>implementation</w:t>
            </w:r>
            <w:r w:rsidR="00BC604F" w:rsidRPr="003D48D0">
              <w:rPr>
                <w:rFonts w:ascii="Times New Roman" w:hAnsi="Times New Roman"/>
                <w:b/>
                <w:bCs/>
                <w:sz w:val="24"/>
                <w:szCs w:val="24"/>
              </w:rPr>
              <w:t xml:space="preserve"> </w:t>
            </w:r>
            <w:r w:rsidR="00BC604F" w:rsidRPr="00966273">
              <w:rPr>
                <w:rFonts w:ascii="Times New Roman" w:hAnsi="Times New Roman"/>
                <w:b/>
                <w:bCs/>
                <w:sz w:val="24"/>
                <w:szCs w:val="24"/>
              </w:rPr>
              <w:t>of the EU Emissions Trading System (ETS)</w:t>
            </w:r>
            <w:r w:rsidRPr="003D48D0">
              <w:rPr>
                <w:rFonts w:ascii="Times New Roman" w:hAnsi="Times New Roman"/>
                <w:sz w:val="24"/>
                <w:szCs w:val="24"/>
              </w:rPr>
              <w:br/>
            </w:r>
            <w:r w:rsidR="00BC604F" w:rsidRPr="00966273">
              <w:rPr>
                <w:rFonts w:ascii="Times New Roman" w:hAnsi="Times New Roman"/>
                <w:b/>
                <w:bCs/>
                <w:sz w:val="24"/>
                <w:szCs w:val="24"/>
              </w:rPr>
              <w:t>(own-initiative opinion)</w:t>
            </w:r>
            <w:r w:rsidR="00BC604F" w:rsidRPr="00966273">
              <w:rPr>
                <w:rFonts w:ascii="Times New Roman" w:hAnsi="Times New Roman"/>
                <w:b/>
                <w:bCs/>
                <w:sz w:val="24"/>
                <w:szCs w:val="24"/>
              </w:rPr>
              <w:br/>
            </w:r>
            <w:r w:rsidR="001C4138" w:rsidRPr="003D48D0">
              <w:rPr>
                <w:rFonts w:ascii="Times New Roman" w:hAnsi="Times New Roman"/>
                <w:b/>
                <w:bCs/>
                <w:sz w:val="24"/>
                <w:szCs w:val="24"/>
                <w:lang w:val="en-IE"/>
              </w:rPr>
              <w:t>EESC-202</w:t>
            </w:r>
            <w:r w:rsidRPr="003D48D0">
              <w:rPr>
                <w:rFonts w:ascii="Times New Roman" w:hAnsi="Times New Roman"/>
                <w:b/>
                <w:bCs/>
                <w:sz w:val="24"/>
                <w:szCs w:val="24"/>
                <w:lang w:val="en-IE"/>
              </w:rPr>
              <w:t>5 01434</w:t>
            </w:r>
            <w:r w:rsidRPr="003D48D0">
              <w:rPr>
                <w:rFonts w:ascii="Times New Roman" w:hAnsi="Times New Roman"/>
                <w:b/>
                <w:bCs/>
                <w:sz w:val="24"/>
                <w:szCs w:val="24"/>
              </w:rPr>
              <w:t xml:space="preserve"> </w:t>
            </w:r>
            <w:r w:rsidR="001C4138" w:rsidRPr="003D48D0">
              <w:rPr>
                <w:rFonts w:ascii="Times New Roman" w:hAnsi="Times New Roman"/>
                <w:b/>
                <w:bCs/>
                <w:sz w:val="24"/>
                <w:szCs w:val="24"/>
              </w:rPr>
              <w:t xml:space="preserve">‒ </w:t>
            </w:r>
            <w:r w:rsidRPr="003D48D0">
              <w:rPr>
                <w:rFonts w:ascii="Times New Roman" w:hAnsi="Times New Roman"/>
                <w:b/>
                <w:bCs/>
                <w:sz w:val="24"/>
                <w:szCs w:val="24"/>
              </w:rPr>
              <w:t>ECO/671</w:t>
            </w:r>
            <w:r w:rsidRPr="003D48D0">
              <w:rPr>
                <w:rFonts w:ascii="Times New Roman" w:hAnsi="Times New Roman"/>
                <w:sz w:val="24"/>
                <w:szCs w:val="24"/>
              </w:rPr>
              <w:br/>
            </w:r>
            <w:r w:rsidRPr="003D48D0">
              <w:rPr>
                <w:rFonts w:ascii="Times New Roman" w:hAnsi="Times New Roman"/>
                <w:b/>
                <w:bCs/>
                <w:sz w:val="24"/>
                <w:szCs w:val="24"/>
              </w:rPr>
              <w:t>598</w:t>
            </w:r>
            <w:r w:rsidR="001C4138" w:rsidRPr="003D48D0">
              <w:rPr>
                <w:rFonts w:ascii="Times New Roman" w:hAnsi="Times New Roman"/>
                <w:b/>
                <w:bCs/>
                <w:sz w:val="24"/>
                <w:szCs w:val="24"/>
                <w:vertAlign w:val="superscript"/>
                <w:lang w:val="en-IE"/>
              </w:rPr>
              <w:t>th</w:t>
            </w:r>
            <w:r w:rsidR="001C4138" w:rsidRPr="003D48D0">
              <w:rPr>
                <w:rFonts w:ascii="Times New Roman" w:hAnsi="Times New Roman"/>
                <w:b/>
                <w:bCs/>
                <w:sz w:val="24"/>
                <w:szCs w:val="24"/>
                <w:lang w:val="en-IE"/>
              </w:rPr>
              <w:t xml:space="preserve"> </w:t>
            </w:r>
            <w:r w:rsidR="001C4138" w:rsidRPr="003D48D0">
              <w:rPr>
                <w:rFonts w:ascii="Times New Roman" w:hAnsi="Times New Roman"/>
                <w:b/>
                <w:bCs/>
                <w:sz w:val="24"/>
                <w:szCs w:val="24"/>
              </w:rPr>
              <w:t xml:space="preserve">Plenary Session – </w:t>
            </w:r>
            <w:r w:rsidRPr="003D48D0">
              <w:rPr>
                <w:rFonts w:ascii="Times New Roman" w:hAnsi="Times New Roman"/>
                <w:b/>
                <w:bCs/>
                <w:sz w:val="24"/>
                <w:szCs w:val="24"/>
              </w:rPr>
              <w:t>July</w:t>
            </w:r>
            <w:r w:rsidR="00422668" w:rsidRPr="003D48D0">
              <w:rPr>
                <w:rFonts w:ascii="Times New Roman" w:hAnsi="Times New Roman"/>
                <w:b/>
                <w:bCs/>
                <w:sz w:val="24"/>
                <w:szCs w:val="24"/>
              </w:rPr>
              <w:t xml:space="preserve"> 202</w:t>
            </w:r>
            <w:r w:rsidRPr="003D48D0">
              <w:rPr>
                <w:rFonts w:ascii="Times New Roman" w:hAnsi="Times New Roman"/>
                <w:b/>
                <w:bCs/>
                <w:sz w:val="24"/>
                <w:szCs w:val="24"/>
              </w:rPr>
              <w:t>5</w:t>
            </w:r>
            <w:r w:rsidRPr="003D48D0">
              <w:rPr>
                <w:rFonts w:ascii="Times New Roman" w:hAnsi="Times New Roman"/>
                <w:sz w:val="24"/>
                <w:szCs w:val="24"/>
              </w:rPr>
              <w:br/>
            </w:r>
            <w:r w:rsidR="001C4138" w:rsidRPr="003D48D0">
              <w:rPr>
                <w:rFonts w:ascii="Times New Roman" w:hAnsi="Times New Roman"/>
                <w:b/>
                <w:bCs/>
                <w:sz w:val="24"/>
                <w:szCs w:val="24"/>
              </w:rPr>
              <w:t xml:space="preserve">Rapporteur: </w:t>
            </w:r>
            <w:r w:rsidRPr="003D48D0">
              <w:rPr>
                <w:rFonts w:ascii="Times New Roman" w:hAnsi="Times New Roman"/>
                <w:b/>
                <w:bCs/>
                <w:sz w:val="24"/>
                <w:szCs w:val="24"/>
              </w:rPr>
              <w:t xml:space="preserve">Krister ANDERSSON </w:t>
            </w:r>
            <w:r w:rsidR="00422668" w:rsidRPr="003D48D0">
              <w:rPr>
                <w:rFonts w:ascii="Times New Roman" w:hAnsi="Times New Roman"/>
                <w:b/>
                <w:bCs/>
                <w:sz w:val="24"/>
                <w:szCs w:val="24"/>
              </w:rPr>
              <w:t>(</w:t>
            </w:r>
            <w:r w:rsidR="00B31A34" w:rsidRPr="003D48D0">
              <w:rPr>
                <w:rFonts w:ascii="Times New Roman" w:hAnsi="Times New Roman"/>
                <w:b/>
                <w:bCs/>
                <w:sz w:val="24"/>
                <w:szCs w:val="24"/>
              </w:rPr>
              <w:t>S</w:t>
            </w:r>
            <w:r w:rsidRPr="003D48D0">
              <w:rPr>
                <w:rFonts w:ascii="Times New Roman" w:hAnsi="Times New Roman"/>
                <w:b/>
                <w:bCs/>
                <w:sz w:val="24"/>
                <w:szCs w:val="24"/>
              </w:rPr>
              <w:t>E</w:t>
            </w:r>
            <w:r w:rsidR="00B31A34" w:rsidRPr="003D48D0">
              <w:rPr>
                <w:rFonts w:ascii="Times New Roman" w:hAnsi="Times New Roman"/>
                <w:b/>
                <w:bCs/>
                <w:sz w:val="24"/>
                <w:szCs w:val="24"/>
              </w:rPr>
              <w:t>-</w:t>
            </w:r>
            <w:r w:rsidR="00422668" w:rsidRPr="003D48D0">
              <w:rPr>
                <w:rFonts w:ascii="Times New Roman" w:hAnsi="Times New Roman"/>
                <w:b/>
                <w:bCs/>
                <w:sz w:val="24"/>
                <w:szCs w:val="24"/>
              </w:rPr>
              <w:t>I</w:t>
            </w:r>
            <w:r w:rsidR="001C4138" w:rsidRPr="003D48D0">
              <w:rPr>
                <w:rFonts w:ascii="Times New Roman" w:hAnsi="Times New Roman"/>
                <w:b/>
                <w:bCs/>
                <w:sz w:val="24"/>
                <w:szCs w:val="24"/>
              </w:rPr>
              <w:t>)</w:t>
            </w:r>
            <w:r w:rsidRPr="003D48D0">
              <w:rPr>
                <w:rFonts w:ascii="Times New Roman" w:hAnsi="Times New Roman"/>
                <w:sz w:val="24"/>
                <w:szCs w:val="24"/>
              </w:rPr>
              <w:br/>
            </w:r>
            <w:r w:rsidR="001C4138" w:rsidRPr="003D48D0">
              <w:rPr>
                <w:rFonts w:ascii="Times New Roman" w:hAnsi="Times New Roman"/>
                <w:b/>
                <w:bCs/>
                <w:sz w:val="24"/>
                <w:szCs w:val="24"/>
              </w:rPr>
              <w:t xml:space="preserve">DG </w:t>
            </w:r>
            <w:r w:rsidR="00422668" w:rsidRPr="003D48D0">
              <w:rPr>
                <w:rFonts w:ascii="Times New Roman" w:hAnsi="Times New Roman"/>
                <w:b/>
                <w:bCs/>
                <w:sz w:val="24"/>
                <w:szCs w:val="24"/>
              </w:rPr>
              <w:t>CLIMA</w:t>
            </w:r>
            <w:r w:rsidR="001C4138" w:rsidRPr="003D48D0">
              <w:rPr>
                <w:rFonts w:ascii="Times New Roman" w:hAnsi="Times New Roman"/>
                <w:b/>
                <w:bCs/>
                <w:sz w:val="24"/>
                <w:szCs w:val="24"/>
              </w:rPr>
              <w:t xml:space="preserve"> – Commissioner </w:t>
            </w:r>
            <w:r w:rsidR="00422668" w:rsidRPr="003D48D0">
              <w:rPr>
                <w:rFonts w:ascii="Times New Roman" w:hAnsi="Times New Roman"/>
                <w:b/>
                <w:bCs/>
                <w:sz w:val="24"/>
                <w:szCs w:val="24"/>
              </w:rPr>
              <w:t>HOEKSTRA</w:t>
            </w:r>
          </w:p>
        </w:tc>
      </w:tr>
      <w:tr w:rsidR="00734613" w:rsidRPr="00442552" w14:paraId="1937071F" w14:textId="77777777" w:rsidTr="00407F57">
        <w:trPr>
          <w:jc w:val="center"/>
        </w:trPr>
        <w:tc>
          <w:tcPr>
            <w:tcW w:w="10156" w:type="dxa"/>
          </w:tcPr>
          <w:p w14:paraId="1E50B4DB" w14:textId="2CEBBAB4" w:rsidR="00734613" w:rsidRPr="00695797" w:rsidRDefault="004F6117" w:rsidP="004F6117">
            <w:pPr>
              <w:spacing w:before="120" w:after="120"/>
              <w:jc w:val="center"/>
              <w:rPr>
                <w:rFonts w:ascii="Times New Roman" w:hAnsi="Times New Roman"/>
                <w:b/>
                <w:sz w:val="24"/>
                <w:szCs w:val="24"/>
              </w:rPr>
            </w:pPr>
            <w:r w:rsidRPr="004F6117">
              <w:rPr>
                <w:rFonts w:ascii="Times New Roman" w:hAnsi="Times New Roman"/>
                <w:b/>
                <w:sz w:val="24"/>
                <w:szCs w:val="24"/>
              </w:rPr>
              <w:t>European Commission position on points</w:t>
            </w:r>
            <w:r>
              <w:rPr>
                <w:rFonts w:ascii="Times New Roman" w:hAnsi="Times New Roman"/>
                <w:b/>
                <w:sz w:val="24"/>
                <w:szCs w:val="24"/>
              </w:rPr>
              <w:br/>
            </w:r>
            <w:r w:rsidRPr="004F6117">
              <w:rPr>
                <w:rFonts w:ascii="Times New Roman" w:hAnsi="Times New Roman"/>
                <w:b/>
                <w:sz w:val="24"/>
                <w:szCs w:val="24"/>
              </w:rPr>
              <w:t xml:space="preserve">of the European Economic and Social Committee </w:t>
            </w:r>
            <w:r w:rsidR="00C937CA">
              <w:rPr>
                <w:rFonts w:ascii="Times New Roman" w:hAnsi="Times New Roman"/>
                <w:b/>
                <w:sz w:val="24"/>
                <w:szCs w:val="24"/>
              </w:rPr>
              <w:t xml:space="preserve">(EESC) </w:t>
            </w:r>
            <w:r w:rsidRPr="004F6117">
              <w:rPr>
                <w:rFonts w:ascii="Times New Roman" w:hAnsi="Times New Roman"/>
                <w:b/>
                <w:sz w:val="24"/>
                <w:szCs w:val="24"/>
              </w:rPr>
              <w:t>opinion</w:t>
            </w:r>
            <w:r w:rsidR="00E83C12">
              <w:rPr>
                <w:rFonts w:ascii="Times New Roman" w:hAnsi="Times New Roman"/>
                <w:b/>
                <w:sz w:val="24"/>
                <w:szCs w:val="24"/>
              </w:rPr>
              <w:t xml:space="preserve"> </w:t>
            </w:r>
            <w:r w:rsidR="00E83C12" w:rsidRPr="00E83C12">
              <w:rPr>
                <w:rFonts w:ascii="Times New Roman" w:hAnsi="Times New Roman"/>
                <w:b/>
                <w:sz w:val="24"/>
                <w:szCs w:val="24"/>
              </w:rPr>
              <w:t>considered as essential</w:t>
            </w:r>
          </w:p>
        </w:tc>
      </w:tr>
      <w:tr w:rsidR="00694A2F" w:rsidRPr="004F6117" w14:paraId="20F07D8C" w14:textId="77777777" w:rsidTr="00407F57">
        <w:trPr>
          <w:trHeight w:val="420"/>
          <w:jc w:val="center"/>
        </w:trPr>
        <w:tc>
          <w:tcPr>
            <w:tcW w:w="10156" w:type="dxa"/>
          </w:tcPr>
          <w:p w14:paraId="1C031421" w14:textId="06C9590C" w:rsidR="0E17D261" w:rsidRPr="00AE6F9F" w:rsidRDefault="00FE16DF" w:rsidP="00AE6F9F">
            <w:pPr>
              <w:widowControl w:val="0"/>
              <w:spacing w:before="120" w:after="120"/>
              <w:jc w:val="both"/>
              <w:rPr>
                <w:rFonts w:ascii="Times New Roman" w:hAnsi="Times New Roman"/>
                <w:sz w:val="24"/>
                <w:szCs w:val="24"/>
              </w:rPr>
            </w:pPr>
            <w:r w:rsidRPr="00AE6F9F">
              <w:rPr>
                <w:rFonts w:ascii="Times New Roman" w:hAnsi="Times New Roman"/>
                <w:sz w:val="24"/>
                <w:szCs w:val="24"/>
              </w:rPr>
              <w:t xml:space="preserve">The Commission </w:t>
            </w:r>
            <w:r w:rsidR="0054763B" w:rsidRPr="00AE6F9F">
              <w:rPr>
                <w:rFonts w:ascii="Times New Roman" w:hAnsi="Times New Roman"/>
                <w:sz w:val="24"/>
                <w:szCs w:val="24"/>
              </w:rPr>
              <w:t>welcomes the</w:t>
            </w:r>
            <w:r w:rsidRPr="00AE6F9F">
              <w:rPr>
                <w:rFonts w:ascii="Times New Roman" w:hAnsi="Times New Roman"/>
                <w:sz w:val="24"/>
                <w:szCs w:val="24"/>
              </w:rPr>
              <w:t xml:space="preserve"> C</w:t>
            </w:r>
            <w:r w:rsidR="003D48D0" w:rsidRPr="00AE6F9F">
              <w:rPr>
                <w:rFonts w:ascii="Times New Roman" w:hAnsi="Times New Roman"/>
                <w:bCs/>
                <w:sz w:val="24"/>
                <w:szCs w:val="24"/>
              </w:rPr>
              <w:t>ommittee</w:t>
            </w:r>
            <w:r w:rsidRPr="00AE6F9F">
              <w:rPr>
                <w:rFonts w:ascii="Times New Roman" w:hAnsi="Times New Roman"/>
                <w:sz w:val="24"/>
                <w:szCs w:val="24"/>
              </w:rPr>
              <w:t xml:space="preserve"> support, i</w:t>
            </w:r>
            <w:r w:rsidR="70919993" w:rsidRPr="00AE6F9F">
              <w:rPr>
                <w:rFonts w:ascii="Times New Roman" w:hAnsi="Times New Roman"/>
                <w:sz w:val="24"/>
                <w:szCs w:val="24"/>
              </w:rPr>
              <w:t xml:space="preserve">n </w:t>
            </w:r>
            <w:r w:rsidR="70919993" w:rsidRPr="00AE6F9F">
              <w:rPr>
                <w:rFonts w:ascii="Times New Roman" w:hAnsi="Times New Roman"/>
                <w:sz w:val="24"/>
                <w:szCs w:val="24"/>
                <w:u w:val="single"/>
              </w:rPr>
              <w:t>points 1.1-1.3 and 1.5</w:t>
            </w:r>
            <w:r w:rsidR="70919993" w:rsidRPr="00AE6F9F">
              <w:rPr>
                <w:rFonts w:ascii="Times New Roman" w:hAnsi="Times New Roman"/>
                <w:sz w:val="24"/>
                <w:szCs w:val="24"/>
              </w:rPr>
              <w:t xml:space="preserve">, </w:t>
            </w:r>
            <w:r w:rsidRPr="00AE6F9F">
              <w:rPr>
                <w:rFonts w:ascii="Times New Roman" w:hAnsi="Times New Roman"/>
                <w:sz w:val="24"/>
                <w:szCs w:val="24"/>
              </w:rPr>
              <w:t>of</w:t>
            </w:r>
            <w:r w:rsidR="148283E4" w:rsidRPr="00AE6F9F">
              <w:rPr>
                <w:rFonts w:ascii="Times New Roman" w:hAnsi="Times New Roman"/>
                <w:sz w:val="24"/>
                <w:szCs w:val="24"/>
              </w:rPr>
              <w:t xml:space="preserve"> the general objectives of the EU </w:t>
            </w:r>
            <w:r w:rsidR="00245054" w:rsidRPr="00AE6F9F">
              <w:rPr>
                <w:rFonts w:ascii="Times New Roman" w:hAnsi="Times New Roman"/>
                <w:sz w:val="24"/>
                <w:szCs w:val="24"/>
              </w:rPr>
              <w:t>Emissions Trading System (</w:t>
            </w:r>
            <w:r w:rsidR="148283E4" w:rsidRPr="00AE6F9F">
              <w:rPr>
                <w:rFonts w:ascii="Times New Roman" w:hAnsi="Times New Roman"/>
                <w:sz w:val="24"/>
                <w:szCs w:val="24"/>
              </w:rPr>
              <w:t>ETS</w:t>
            </w:r>
            <w:r w:rsidR="00245054" w:rsidRPr="00AE6F9F">
              <w:rPr>
                <w:rFonts w:ascii="Times New Roman" w:hAnsi="Times New Roman"/>
                <w:sz w:val="24"/>
                <w:szCs w:val="24"/>
              </w:rPr>
              <w:t>)</w:t>
            </w:r>
            <w:r w:rsidR="05ABA1CC" w:rsidRPr="00AE6F9F">
              <w:rPr>
                <w:rFonts w:ascii="Times New Roman" w:hAnsi="Times New Roman"/>
                <w:sz w:val="24"/>
                <w:szCs w:val="24"/>
              </w:rPr>
              <w:t xml:space="preserve"> </w:t>
            </w:r>
            <w:r w:rsidR="148283E4" w:rsidRPr="00AE6F9F">
              <w:rPr>
                <w:rFonts w:ascii="Times New Roman" w:hAnsi="Times New Roman"/>
                <w:sz w:val="24"/>
                <w:szCs w:val="24"/>
              </w:rPr>
              <w:t>in achieving greenhouse gas</w:t>
            </w:r>
            <w:r w:rsidR="7C81F5E9" w:rsidRPr="00AE6F9F">
              <w:rPr>
                <w:rFonts w:ascii="Times New Roman" w:hAnsi="Times New Roman"/>
                <w:sz w:val="24"/>
                <w:szCs w:val="24"/>
              </w:rPr>
              <w:t xml:space="preserve"> </w:t>
            </w:r>
            <w:r w:rsidR="00245054" w:rsidRPr="00AE6F9F">
              <w:rPr>
                <w:rFonts w:ascii="Times New Roman" w:hAnsi="Times New Roman"/>
                <w:sz w:val="24"/>
                <w:szCs w:val="24"/>
              </w:rPr>
              <w:t xml:space="preserve">(GHG) </w:t>
            </w:r>
            <w:r w:rsidR="148283E4" w:rsidRPr="00AE6F9F">
              <w:rPr>
                <w:rFonts w:ascii="Times New Roman" w:hAnsi="Times New Roman"/>
                <w:sz w:val="24"/>
                <w:szCs w:val="24"/>
              </w:rPr>
              <w:t>reduction targets</w:t>
            </w:r>
            <w:r w:rsidR="6C755B79" w:rsidRPr="00AE6F9F">
              <w:rPr>
                <w:rFonts w:ascii="Times New Roman" w:hAnsi="Times New Roman"/>
                <w:sz w:val="24"/>
                <w:szCs w:val="24"/>
              </w:rPr>
              <w:t>, and ultimately a low-carbon economy,</w:t>
            </w:r>
            <w:r w:rsidR="148283E4" w:rsidRPr="00AE6F9F">
              <w:rPr>
                <w:rFonts w:ascii="Times New Roman" w:hAnsi="Times New Roman"/>
                <w:sz w:val="24"/>
                <w:szCs w:val="24"/>
              </w:rPr>
              <w:t xml:space="preserve"> in a cost-efficient manner. </w:t>
            </w:r>
            <w:r w:rsidRPr="00AE6F9F">
              <w:rPr>
                <w:rFonts w:ascii="Times New Roman" w:hAnsi="Times New Roman"/>
                <w:sz w:val="24"/>
                <w:szCs w:val="24"/>
              </w:rPr>
              <w:t xml:space="preserve">The EESC </w:t>
            </w:r>
            <w:r w:rsidR="148283E4" w:rsidRPr="00AE6F9F">
              <w:rPr>
                <w:rFonts w:ascii="Times New Roman" w:hAnsi="Times New Roman"/>
                <w:sz w:val="24"/>
                <w:szCs w:val="24"/>
              </w:rPr>
              <w:t xml:space="preserve">believes that a thorough </w:t>
            </w:r>
            <w:r w:rsidR="5CADD441" w:rsidRPr="00AE6F9F">
              <w:rPr>
                <w:rFonts w:ascii="Times New Roman" w:hAnsi="Times New Roman"/>
                <w:sz w:val="24"/>
                <w:szCs w:val="24"/>
              </w:rPr>
              <w:t xml:space="preserve">impact assessment is needed, </w:t>
            </w:r>
            <w:proofErr w:type="gramStart"/>
            <w:r w:rsidR="5CADD441" w:rsidRPr="00AE6F9F">
              <w:rPr>
                <w:rFonts w:ascii="Times New Roman" w:hAnsi="Times New Roman"/>
                <w:sz w:val="24"/>
                <w:szCs w:val="24"/>
              </w:rPr>
              <w:t>in particular of</w:t>
            </w:r>
            <w:proofErr w:type="gramEnd"/>
            <w:r w:rsidR="5CADD441" w:rsidRPr="00AE6F9F">
              <w:rPr>
                <w:rFonts w:ascii="Times New Roman" w:hAnsi="Times New Roman"/>
                <w:sz w:val="24"/>
                <w:szCs w:val="24"/>
              </w:rPr>
              <w:t xml:space="preserve"> the impacts on jobs and competitiveness</w:t>
            </w:r>
            <w:r w:rsidR="00245054" w:rsidRPr="00AE6F9F">
              <w:rPr>
                <w:rFonts w:ascii="Times New Roman" w:hAnsi="Times New Roman"/>
                <w:sz w:val="24"/>
                <w:szCs w:val="24"/>
              </w:rPr>
              <w:t>,</w:t>
            </w:r>
            <w:r w:rsidR="5CADD441" w:rsidRPr="00AE6F9F">
              <w:rPr>
                <w:rFonts w:ascii="Times New Roman" w:hAnsi="Times New Roman"/>
                <w:sz w:val="24"/>
                <w:szCs w:val="24"/>
              </w:rPr>
              <w:t xml:space="preserve"> </w:t>
            </w:r>
            <w:proofErr w:type="gramStart"/>
            <w:r w:rsidR="5CADD441" w:rsidRPr="00AE6F9F">
              <w:rPr>
                <w:rFonts w:ascii="Times New Roman" w:hAnsi="Times New Roman"/>
                <w:sz w:val="24"/>
                <w:szCs w:val="24"/>
              </w:rPr>
              <w:t>taking into account</w:t>
            </w:r>
            <w:proofErr w:type="gramEnd"/>
            <w:r w:rsidR="5CADD441" w:rsidRPr="00AE6F9F">
              <w:rPr>
                <w:rFonts w:ascii="Times New Roman" w:hAnsi="Times New Roman"/>
                <w:sz w:val="24"/>
                <w:szCs w:val="24"/>
              </w:rPr>
              <w:t xml:space="preserve"> the risks for sectors, value chains, regions and </w:t>
            </w:r>
            <w:r w:rsidR="00994F2D" w:rsidRPr="00AE6F9F">
              <w:rPr>
                <w:rFonts w:ascii="Times New Roman" w:hAnsi="Times New Roman"/>
                <w:sz w:val="24"/>
                <w:szCs w:val="24"/>
              </w:rPr>
              <w:t>countries</w:t>
            </w:r>
            <w:r w:rsidR="5CADD441" w:rsidRPr="00AE6F9F">
              <w:rPr>
                <w:rFonts w:ascii="Times New Roman" w:hAnsi="Times New Roman"/>
                <w:sz w:val="24"/>
                <w:szCs w:val="24"/>
              </w:rPr>
              <w:t>.</w:t>
            </w:r>
          </w:p>
          <w:p w14:paraId="69B43FF1" w14:textId="2B57F7FC" w:rsidR="00DA18E2" w:rsidRPr="00AE6F9F" w:rsidRDefault="51B79207" w:rsidP="00AE6F9F">
            <w:pPr>
              <w:widowControl w:val="0"/>
              <w:spacing w:before="120" w:after="120"/>
              <w:jc w:val="both"/>
              <w:rPr>
                <w:rFonts w:ascii="Times New Roman" w:eastAsia="Times New Roman" w:hAnsi="Times New Roman"/>
                <w:sz w:val="24"/>
                <w:szCs w:val="24"/>
              </w:rPr>
            </w:pPr>
            <w:r w:rsidRPr="00AE6F9F">
              <w:rPr>
                <w:rFonts w:ascii="Times New Roman" w:eastAsia="Times New Roman" w:hAnsi="Times New Roman"/>
                <w:sz w:val="24"/>
                <w:szCs w:val="24"/>
              </w:rPr>
              <w:t>In this respect, the purpose of the EU ETS is defined by the Climate Law</w:t>
            </w:r>
            <w:r w:rsidR="00BB6BAC" w:rsidRPr="00AE6F9F">
              <w:rPr>
                <w:rFonts w:ascii="Times New Roman" w:eastAsia="Times New Roman" w:hAnsi="Times New Roman"/>
                <w:sz w:val="24"/>
                <w:szCs w:val="24"/>
              </w:rPr>
              <w:t xml:space="preserve">, </w:t>
            </w:r>
            <w:r w:rsidRPr="00AE6F9F">
              <w:rPr>
                <w:rFonts w:ascii="Times New Roman" w:eastAsia="Times New Roman" w:hAnsi="Times New Roman"/>
                <w:sz w:val="24"/>
                <w:szCs w:val="24"/>
              </w:rPr>
              <w:t>in which the EU has set the</w:t>
            </w:r>
            <w:r w:rsidR="00824FF1">
              <w:rPr>
                <w:rFonts w:ascii="Times New Roman" w:eastAsia="Times New Roman" w:hAnsi="Times New Roman"/>
                <w:sz w:val="24"/>
                <w:szCs w:val="24"/>
              </w:rPr>
              <w:t> </w:t>
            </w:r>
            <w:r w:rsidRPr="00AE6F9F">
              <w:rPr>
                <w:rFonts w:ascii="Times New Roman" w:eastAsia="Times New Roman" w:hAnsi="Times New Roman"/>
                <w:sz w:val="24"/>
                <w:szCs w:val="24"/>
              </w:rPr>
              <w:t xml:space="preserve">goal to become climate-neutral </w:t>
            </w:r>
            <w:r w:rsidR="006B2171" w:rsidRPr="00AE6F9F">
              <w:rPr>
                <w:rFonts w:ascii="Times New Roman" w:eastAsia="Times New Roman" w:hAnsi="Times New Roman"/>
                <w:sz w:val="24"/>
                <w:szCs w:val="24"/>
              </w:rPr>
              <w:t xml:space="preserve">at the latest </w:t>
            </w:r>
            <w:r w:rsidRPr="00AE6F9F">
              <w:rPr>
                <w:rFonts w:ascii="Times New Roman" w:eastAsia="Times New Roman" w:hAnsi="Times New Roman"/>
                <w:sz w:val="24"/>
                <w:szCs w:val="24"/>
              </w:rPr>
              <w:t>by 2050. The Commission has proposed an intermediate target of reducing net GHG emissions by 90% by 2040 compared to 1990, on which a</w:t>
            </w:r>
            <w:r w:rsidR="00824FF1">
              <w:rPr>
                <w:rFonts w:ascii="Times New Roman" w:eastAsia="Times New Roman" w:hAnsi="Times New Roman"/>
                <w:sz w:val="24"/>
                <w:szCs w:val="24"/>
              </w:rPr>
              <w:t> </w:t>
            </w:r>
            <w:r w:rsidRPr="00AE6F9F">
              <w:rPr>
                <w:rFonts w:ascii="Times New Roman" w:eastAsia="Times New Roman" w:hAnsi="Times New Roman"/>
                <w:sz w:val="24"/>
                <w:szCs w:val="24"/>
              </w:rPr>
              <w:t>provisional agreement was reached between co-legislators in December 2025.</w:t>
            </w:r>
          </w:p>
          <w:p w14:paraId="10345388" w14:textId="68D15A2F" w:rsidR="00DA18E2" w:rsidRPr="00AE6F9F" w:rsidRDefault="51B79207" w:rsidP="00AE6F9F">
            <w:pPr>
              <w:widowControl w:val="0"/>
              <w:spacing w:before="120" w:after="120"/>
              <w:jc w:val="both"/>
              <w:rPr>
                <w:rFonts w:ascii="Times New Roman" w:eastAsia="Times New Roman" w:hAnsi="Times New Roman"/>
                <w:sz w:val="24"/>
                <w:szCs w:val="24"/>
              </w:rPr>
            </w:pPr>
            <w:r w:rsidRPr="00AE6F9F">
              <w:rPr>
                <w:rFonts w:ascii="Times New Roman" w:eastAsia="Times New Roman" w:hAnsi="Times New Roman"/>
                <w:sz w:val="24"/>
                <w:szCs w:val="24"/>
              </w:rPr>
              <w:t>This provisional agreement sets out a pragmatic and flexible pathway to 2040 that reflects today's economic and geopolitical realities. It provides the enabling conditions to deliver the 90% agreed target, including full implementation of the Clean Industrial Deal.</w:t>
            </w:r>
          </w:p>
          <w:p w14:paraId="42ACA9E7" w14:textId="2A033E02" w:rsidR="00DA18E2" w:rsidRPr="00AE6F9F" w:rsidRDefault="51B79207" w:rsidP="00AE6F9F">
            <w:pPr>
              <w:widowControl w:val="0"/>
              <w:spacing w:before="120" w:after="120"/>
              <w:jc w:val="both"/>
              <w:rPr>
                <w:rFonts w:ascii="Times New Roman" w:eastAsia="Times New Roman" w:hAnsi="Times New Roman"/>
                <w:sz w:val="24"/>
                <w:szCs w:val="24"/>
              </w:rPr>
            </w:pPr>
            <w:r w:rsidRPr="00AE6F9F">
              <w:rPr>
                <w:rFonts w:ascii="Times New Roman" w:eastAsia="Times New Roman" w:hAnsi="Times New Roman"/>
                <w:sz w:val="24"/>
                <w:szCs w:val="24"/>
              </w:rPr>
              <w:t>It sets out some flexibilities and key elements for the 2040 target and for the post-2030 climate framework that will steer the Commission's upcoming legislative proposals:</w:t>
            </w:r>
          </w:p>
          <w:p w14:paraId="541E8F57" w14:textId="3C11D267" w:rsidR="00DA18E2" w:rsidRPr="00AE6F9F" w:rsidRDefault="51B79207" w:rsidP="00407F57">
            <w:pPr>
              <w:pStyle w:val="ListParagraph"/>
              <w:widowControl w:val="0"/>
              <w:numPr>
                <w:ilvl w:val="0"/>
                <w:numId w:val="15"/>
              </w:numPr>
              <w:spacing w:before="120" w:after="120"/>
              <w:ind w:left="398"/>
              <w:jc w:val="both"/>
              <w:rPr>
                <w:rFonts w:ascii="Times New Roman" w:eastAsia="Times New Roman" w:hAnsi="Times New Roman"/>
                <w:sz w:val="24"/>
                <w:szCs w:val="24"/>
              </w:rPr>
            </w:pPr>
            <w:r w:rsidRPr="00AE6F9F">
              <w:rPr>
                <w:rFonts w:ascii="Times New Roman" w:eastAsia="Times New Roman" w:hAnsi="Times New Roman"/>
                <w:sz w:val="24"/>
                <w:szCs w:val="24"/>
              </w:rPr>
              <w:t>The possibility to use high-quality international credits to make an ‘adequate contribution' towards the 2040 target, starting in 2036. This amount can be up to 5% of 1990 EU net GHG emissions, corresponding to a domestic reduction of net GHG emissions by 85% compared to 1990 levels by 2040. This needs to occur in a way that is ambitious and cost-efficient</w:t>
            </w:r>
            <w:r w:rsidR="002579DB" w:rsidRPr="00AE6F9F">
              <w:rPr>
                <w:rFonts w:ascii="Times New Roman" w:hAnsi="Times New Roman"/>
                <w:color w:val="333333"/>
                <w:sz w:val="24"/>
                <w:szCs w:val="24"/>
                <w:shd w:val="clear" w:color="auto" w:fill="FFFFFF"/>
              </w:rPr>
              <w:t xml:space="preserve"> while supporting the Union and third countries in achieving net greenhouse gas reduction trajectories compatible with the Paris Agreement objective to hold the increase in the global average temperature to well below 2</w:t>
            </w:r>
            <w:r w:rsidR="002579DB" w:rsidRPr="00AE6F9F">
              <w:rPr>
                <w:rStyle w:val="superscript"/>
                <w:rFonts w:ascii="Times New Roman" w:hAnsi="Times New Roman"/>
                <w:color w:val="333333"/>
                <w:sz w:val="24"/>
                <w:szCs w:val="24"/>
                <w:shd w:val="clear" w:color="auto" w:fill="FFFFFF"/>
                <w:vertAlign w:val="superscript"/>
              </w:rPr>
              <w:t>o</w:t>
            </w:r>
            <w:r w:rsidR="002579DB" w:rsidRPr="00AE6F9F">
              <w:rPr>
                <w:rFonts w:ascii="Times New Roman" w:hAnsi="Times New Roman"/>
                <w:color w:val="333333"/>
                <w:sz w:val="24"/>
                <w:szCs w:val="24"/>
                <w:shd w:val="clear" w:color="auto" w:fill="FFFFFF"/>
              </w:rPr>
              <w:t>C and pursue efforts to limit the temperature increase to 1,5</w:t>
            </w:r>
            <w:r w:rsidR="002579DB" w:rsidRPr="00AE6F9F">
              <w:rPr>
                <w:rStyle w:val="superscript"/>
                <w:rFonts w:ascii="Times New Roman" w:hAnsi="Times New Roman"/>
                <w:color w:val="333333"/>
                <w:sz w:val="24"/>
                <w:szCs w:val="24"/>
                <w:shd w:val="clear" w:color="auto" w:fill="FFFFFF"/>
                <w:vertAlign w:val="superscript"/>
              </w:rPr>
              <w:t>o</w:t>
            </w:r>
            <w:r w:rsidR="002579DB" w:rsidRPr="00AE6F9F">
              <w:rPr>
                <w:rFonts w:ascii="Times New Roman" w:hAnsi="Times New Roman"/>
                <w:color w:val="333333"/>
                <w:sz w:val="24"/>
                <w:szCs w:val="24"/>
                <w:shd w:val="clear" w:color="auto" w:fill="FFFFFF"/>
              </w:rPr>
              <w:t>C above pre-industrial levels</w:t>
            </w:r>
            <w:r w:rsidRPr="00AE6F9F">
              <w:rPr>
                <w:rFonts w:ascii="Times New Roman" w:eastAsia="Times New Roman" w:hAnsi="Times New Roman"/>
                <w:sz w:val="24"/>
                <w:szCs w:val="24"/>
              </w:rPr>
              <w:t xml:space="preserve">. It must ensure important safeguards that complement those under Article 6.4 of the Paris </w:t>
            </w:r>
            <w:proofErr w:type="gramStart"/>
            <w:r w:rsidRPr="00AE6F9F">
              <w:rPr>
                <w:rFonts w:ascii="Times New Roman" w:eastAsia="Times New Roman" w:hAnsi="Times New Roman"/>
                <w:sz w:val="24"/>
                <w:szCs w:val="24"/>
              </w:rPr>
              <w:t>Agreement, and</w:t>
            </w:r>
            <w:proofErr w:type="gramEnd"/>
            <w:r w:rsidRPr="00AE6F9F">
              <w:rPr>
                <w:rFonts w:ascii="Times New Roman" w:eastAsia="Times New Roman" w:hAnsi="Times New Roman"/>
                <w:sz w:val="24"/>
                <w:szCs w:val="24"/>
              </w:rPr>
              <w:t xml:space="preserve"> must ensure the consideration of a pilot period for the period 2031-2035.</w:t>
            </w:r>
          </w:p>
          <w:p w14:paraId="5B9796D0" w14:textId="36DC6731" w:rsidR="00DA18E2" w:rsidRPr="00AE6F9F" w:rsidRDefault="51B79207" w:rsidP="00407F57">
            <w:pPr>
              <w:pStyle w:val="ListParagraph"/>
              <w:widowControl w:val="0"/>
              <w:numPr>
                <w:ilvl w:val="0"/>
                <w:numId w:val="15"/>
              </w:numPr>
              <w:spacing w:before="120" w:after="120"/>
              <w:ind w:left="398"/>
              <w:jc w:val="both"/>
              <w:rPr>
                <w:rFonts w:ascii="Times New Roman" w:eastAsia="Times New Roman" w:hAnsi="Times New Roman"/>
                <w:sz w:val="24"/>
                <w:szCs w:val="24"/>
              </w:rPr>
            </w:pPr>
            <w:r w:rsidRPr="00AE6F9F">
              <w:rPr>
                <w:rFonts w:ascii="Times New Roman" w:eastAsia="Times New Roman" w:hAnsi="Times New Roman"/>
                <w:sz w:val="24"/>
                <w:szCs w:val="24"/>
              </w:rPr>
              <w:t xml:space="preserve">The </w:t>
            </w:r>
            <w:r w:rsidR="006B2171" w:rsidRPr="00AE6F9F">
              <w:rPr>
                <w:rFonts w:ascii="Times New Roman" w:eastAsia="Times New Roman" w:hAnsi="Times New Roman"/>
                <w:sz w:val="24"/>
                <w:szCs w:val="24"/>
              </w:rPr>
              <w:t xml:space="preserve">inclusion </w:t>
            </w:r>
            <w:r w:rsidRPr="00AE6F9F">
              <w:rPr>
                <w:rFonts w:ascii="Times New Roman" w:eastAsia="Times New Roman" w:hAnsi="Times New Roman"/>
                <w:sz w:val="24"/>
                <w:szCs w:val="24"/>
              </w:rPr>
              <w:t>of domestic permanent removals in the EU Emissions Trading System</w:t>
            </w:r>
            <w:r w:rsidR="00374415" w:rsidRPr="00AE6F9F">
              <w:rPr>
                <w:rFonts w:ascii="Times New Roman" w:eastAsia="Times New Roman" w:hAnsi="Times New Roman"/>
                <w:sz w:val="24"/>
                <w:szCs w:val="24"/>
              </w:rPr>
              <w:t xml:space="preserve"> (EU ETS)</w:t>
            </w:r>
            <w:r w:rsidR="00374415" w:rsidRPr="00AE6F9F">
              <w:rPr>
                <w:rStyle w:val="FootnoteReference"/>
                <w:rFonts w:ascii="Times New Roman" w:eastAsia="Times New Roman" w:hAnsi="Times New Roman"/>
                <w:szCs w:val="24"/>
              </w:rPr>
              <w:footnoteReference w:id="2"/>
            </w:r>
            <w:r w:rsidRPr="00AE6F9F">
              <w:rPr>
                <w:rFonts w:ascii="Times New Roman" w:eastAsia="Times New Roman" w:hAnsi="Times New Roman"/>
                <w:sz w:val="24"/>
                <w:szCs w:val="24"/>
              </w:rPr>
              <w:t xml:space="preserve"> to compensate for residual hard-to-abate emissions.</w:t>
            </w:r>
          </w:p>
          <w:p w14:paraId="2FB1232D" w14:textId="40D05DCC" w:rsidR="00DA18E2" w:rsidRPr="00AE6F9F" w:rsidRDefault="006B2171" w:rsidP="00407F57">
            <w:pPr>
              <w:pStyle w:val="ListParagraph"/>
              <w:widowControl w:val="0"/>
              <w:numPr>
                <w:ilvl w:val="0"/>
                <w:numId w:val="15"/>
              </w:numPr>
              <w:spacing w:before="120" w:after="120"/>
              <w:ind w:left="398"/>
              <w:jc w:val="both"/>
              <w:rPr>
                <w:rFonts w:ascii="Times New Roman" w:eastAsia="Times New Roman" w:hAnsi="Times New Roman"/>
                <w:sz w:val="24"/>
                <w:szCs w:val="24"/>
              </w:rPr>
            </w:pPr>
            <w:r w:rsidRPr="00AE6F9F">
              <w:rPr>
                <w:rFonts w:ascii="Times New Roman" w:eastAsia="Times New Roman" w:hAnsi="Times New Roman"/>
                <w:sz w:val="24"/>
                <w:szCs w:val="24"/>
              </w:rPr>
              <w:t>G</w:t>
            </w:r>
            <w:r w:rsidR="51B79207" w:rsidRPr="00AE6F9F">
              <w:rPr>
                <w:rFonts w:ascii="Times New Roman" w:eastAsia="Times New Roman" w:hAnsi="Times New Roman"/>
                <w:sz w:val="24"/>
                <w:szCs w:val="24"/>
              </w:rPr>
              <w:t>reater flexibilities within and across sectors and instruments to help achieve targets in a simple and cost-effective way.</w:t>
            </w:r>
          </w:p>
          <w:p w14:paraId="1889B5F3" w14:textId="1D9B07E0" w:rsidR="00DA18E2" w:rsidRPr="00AE6F9F" w:rsidRDefault="51B79207" w:rsidP="00AE6F9F">
            <w:pPr>
              <w:widowControl w:val="0"/>
              <w:spacing w:before="120" w:after="120"/>
              <w:jc w:val="both"/>
              <w:rPr>
                <w:rFonts w:ascii="Times New Roman" w:eastAsia="Times New Roman" w:hAnsi="Times New Roman"/>
                <w:sz w:val="24"/>
                <w:szCs w:val="24"/>
              </w:rPr>
            </w:pPr>
            <w:r w:rsidRPr="00AE6F9F">
              <w:rPr>
                <w:rFonts w:ascii="Times New Roman" w:eastAsia="Times New Roman" w:hAnsi="Times New Roman"/>
                <w:sz w:val="24"/>
                <w:szCs w:val="24"/>
              </w:rPr>
              <w:t>The ETS is part of a package of policy instruments to achieve the 2040 target.</w:t>
            </w:r>
          </w:p>
          <w:p w14:paraId="72D82319" w14:textId="23F3C26A" w:rsidR="00DA18E2" w:rsidRPr="00AE6F9F" w:rsidRDefault="0BA112EF" w:rsidP="00AE6F9F">
            <w:pPr>
              <w:widowControl w:val="0"/>
              <w:spacing w:before="120" w:after="120"/>
              <w:jc w:val="both"/>
              <w:rPr>
                <w:rFonts w:ascii="Times New Roman" w:hAnsi="Times New Roman"/>
                <w:sz w:val="24"/>
                <w:szCs w:val="24"/>
              </w:rPr>
            </w:pPr>
            <w:r w:rsidRPr="00AE6F9F">
              <w:rPr>
                <w:rFonts w:ascii="Times New Roman" w:hAnsi="Times New Roman"/>
                <w:sz w:val="24"/>
                <w:szCs w:val="24"/>
              </w:rPr>
              <w:lastRenderedPageBreak/>
              <w:t>T</w:t>
            </w:r>
            <w:r w:rsidR="47D121F0" w:rsidRPr="00AE6F9F">
              <w:rPr>
                <w:rFonts w:ascii="Times New Roman" w:hAnsi="Times New Roman"/>
                <w:sz w:val="24"/>
                <w:szCs w:val="24"/>
              </w:rPr>
              <w:t xml:space="preserve">he impact assessment </w:t>
            </w:r>
            <w:r w:rsidR="4DEB4A5A" w:rsidRPr="00AE6F9F">
              <w:rPr>
                <w:rFonts w:ascii="Times New Roman" w:hAnsi="Times New Roman"/>
                <w:sz w:val="24"/>
                <w:szCs w:val="24"/>
              </w:rPr>
              <w:t>for</w:t>
            </w:r>
            <w:r w:rsidR="47D121F0" w:rsidRPr="00AE6F9F">
              <w:rPr>
                <w:rFonts w:ascii="Times New Roman" w:hAnsi="Times New Roman"/>
                <w:sz w:val="24"/>
                <w:szCs w:val="24"/>
              </w:rPr>
              <w:t xml:space="preserve"> the 2040 </w:t>
            </w:r>
            <w:r w:rsidR="501BC4F2" w:rsidRPr="00AE6F9F">
              <w:rPr>
                <w:rFonts w:ascii="Times New Roman" w:hAnsi="Times New Roman"/>
                <w:sz w:val="24"/>
                <w:szCs w:val="24"/>
              </w:rPr>
              <w:t>c</w:t>
            </w:r>
            <w:r w:rsidR="040C5EC6" w:rsidRPr="00AE6F9F">
              <w:rPr>
                <w:rFonts w:ascii="Times New Roman" w:hAnsi="Times New Roman"/>
                <w:sz w:val="24"/>
                <w:szCs w:val="24"/>
              </w:rPr>
              <w:t xml:space="preserve">limate </w:t>
            </w:r>
            <w:r w:rsidR="501BC4F2" w:rsidRPr="00AE6F9F">
              <w:rPr>
                <w:rFonts w:ascii="Times New Roman" w:hAnsi="Times New Roman"/>
                <w:sz w:val="24"/>
                <w:szCs w:val="24"/>
              </w:rPr>
              <w:t>t</w:t>
            </w:r>
            <w:r w:rsidR="47D121F0" w:rsidRPr="00AE6F9F">
              <w:rPr>
                <w:rFonts w:ascii="Times New Roman" w:hAnsi="Times New Roman"/>
                <w:sz w:val="24"/>
                <w:szCs w:val="24"/>
              </w:rPr>
              <w:t>arget has examined the socio-economic impacts of the</w:t>
            </w:r>
            <w:r w:rsidR="00990ACE">
              <w:rPr>
                <w:rFonts w:ascii="Times New Roman" w:hAnsi="Times New Roman"/>
                <w:sz w:val="24"/>
                <w:szCs w:val="24"/>
              </w:rPr>
              <w:t> </w:t>
            </w:r>
            <w:r w:rsidR="47D121F0" w:rsidRPr="00AE6F9F">
              <w:rPr>
                <w:rFonts w:ascii="Times New Roman" w:hAnsi="Times New Roman"/>
                <w:sz w:val="24"/>
                <w:szCs w:val="24"/>
              </w:rPr>
              <w:t>transition, including</w:t>
            </w:r>
            <w:r w:rsidR="5F392217" w:rsidRPr="00AE6F9F">
              <w:rPr>
                <w:rFonts w:ascii="Times New Roman" w:hAnsi="Times New Roman"/>
                <w:sz w:val="24"/>
                <w:szCs w:val="24"/>
              </w:rPr>
              <w:t>, among others,</w:t>
            </w:r>
            <w:r w:rsidR="16D326AC" w:rsidRPr="00AE6F9F">
              <w:rPr>
                <w:rFonts w:ascii="Times New Roman" w:hAnsi="Times New Roman"/>
                <w:sz w:val="24"/>
                <w:szCs w:val="24"/>
              </w:rPr>
              <w:t xml:space="preserve"> the impacts</w:t>
            </w:r>
            <w:r w:rsidR="47D121F0" w:rsidRPr="00AE6F9F">
              <w:rPr>
                <w:rFonts w:ascii="Times New Roman" w:hAnsi="Times New Roman"/>
                <w:sz w:val="24"/>
                <w:szCs w:val="24"/>
              </w:rPr>
              <w:t xml:space="preserve"> on employment</w:t>
            </w:r>
            <w:r w:rsidR="056B6F9F" w:rsidRPr="00AE6F9F">
              <w:rPr>
                <w:rFonts w:ascii="Times New Roman" w:hAnsi="Times New Roman"/>
                <w:sz w:val="24"/>
                <w:szCs w:val="24"/>
              </w:rPr>
              <w:t xml:space="preserve"> (in aggregate and at sector level)</w:t>
            </w:r>
            <w:r w:rsidR="47D121F0" w:rsidRPr="00AE6F9F">
              <w:rPr>
                <w:rFonts w:ascii="Times New Roman" w:hAnsi="Times New Roman"/>
                <w:sz w:val="24"/>
                <w:szCs w:val="24"/>
              </w:rPr>
              <w:t>, competitiveness</w:t>
            </w:r>
            <w:r w:rsidR="056B6F9F" w:rsidRPr="00AE6F9F">
              <w:rPr>
                <w:rFonts w:ascii="Times New Roman" w:hAnsi="Times New Roman"/>
                <w:sz w:val="24"/>
                <w:szCs w:val="24"/>
              </w:rPr>
              <w:t xml:space="preserve"> (in aggregate and at sector level)</w:t>
            </w:r>
            <w:r w:rsidR="47D121F0" w:rsidRPr="00AE6F9F">
              <w:rPr>
                <w:rFonts w:ascii="Times New Roman" w:hAnsi="Times New Roman"/>
                <w:sz w:val="24"/>
                <w:szCs w:val="24"/>
              </w:rPr>
              <w:t xml:space="preserve">, </w:t>
            </w:r>
            <w:r w:rsidR="5CD632AA" w:rsidRPr="00AE6F9F">
              <w:rPr>
                <w:rFonts w:ascii="Times New Roman" w:hAnsi="Times New Roman"/>
                <w:sz w:val="24"/>
                <w:szCs w:val="24"/>
              </w:rPr>
              <w:t xml:space="preserve">trade, </w:t>
            </w:r>
            <w:r w:rsidR="2D9422AC" w:rsidRPr="00AE6F9F">
              <w:rPr>
                <w:rFonts w:ascii="Times New Roman" w:hAnsi="Times New Roman"/>
                <w:sz w:val="24"/>
                <w:szCs w:val="24"/>
              </w:rPr>
              <w:t xml:space="preserve">regions, </w:t>
            </w:r>
            <w:r w:rsidR="47D121F0" w:rsidRPr="00AE6F9F">
              <w:rPr>
                <w:rFonts w:ascii="Times New Roman" w:hAnsi="Times New Roman"/>
                <w:sz w:val="24"/>
                <w:szCs w:val="24"/>
              </w:rPr>
              <w:t>energy and transport poverty</w:t>
            </w:r>
            <w:r w:rsidR="701892DD" w:rsidRPr="00AE6F9F">
              <w:rPr>
                <w:rFonts w:ascii="Times New Roman" w:hAnsi="Times New Roman"/>
                <w:sz w:val="24"/>
                <w:szCs w:val="24"/>
                <w:vertAlign w:val="superscript"/>
              </w:rPr>
              <w:footnoteReference w:id="3"/>
            </w:r>
            <w:r w:rsidR="00DA369C">
              <w:rPr>
                <w:rFonts w:ascii="Times New Roman" w:hAnsi="Times New Roman"/>
                <w:sz w:val="24"/>
                <w:szCs w:val="24"/>
              </w:rPr>
              <w:t>.</w:t>
            </w:r>
            <w:r w:rsidR="00DA18E2" w:rsidRPr="00AE6F9F">
              <w:rPr>
                <w:rFonts w:ascii="Times New Roman" w:hAnsi="Times New Roman"/>
                <w:sz w:val="24"/>
                <w:szCs w:val="24"/>
              </w:rPr>
              <w:t xml:space="preserve"> This follows the impact assessments for the 2030 climate target</w:t>
            </w:r>
            <w:r w:rsidR="00DA18E2" w:rsidRPr="00AE6F9F">
              <w:rPr>
                <w:rStyle w:val="FootnoteReference"/>
                <w:rFonts w:ascii="Times New Roman" w:hAnsi="Times New Roman"/>
                <w:szCs w:val="24"/>
              </w:rPr>
              <w:footnoteReference w:id="4"/>
            </w:r>
            <w:r w:rsidR="00DA18E2" w:rsidRPr="00AE6F9F">
              <w:rPr>
                <w:rFonts w:ascii="Times New Roman" w:hAnsi="Times New Roman"/>
                <w:sz w:val="24"/>
                <w:szCs w:val="24"/>
              </w:rPr>
              <w:t xml:space="preserve"> and the latest revision of the EU Emissions Trading System</w:t>
            </w:r>
            <w:r w:rsidR="00DA18E2" w:rsidRPr="00AE6F9F">
              <w:rPr>
                <w:rStyle w:val="FootnoteReference"/>
                <w:rFonts w:ascii="Times New Roman" w:hAnsi="Times New Roman"/>
                <w:szCs w:val="24"/>
              </w:rPr>
              <w:footnoteReference w:id="5"/>
            </w:r>
            <w:r w:rsidR="00DA18E2" w:rsidRPr="00AE6F9F">
              <w:rPr>
                <w:rFonts w:ascii="Times New Roman" w:hAnsi="Times New Roman"/>
                <w:sz w:val="24"/>
                <w:szCs w:val="24"/>
              </w:rPr>
              <w:t xml:space="preserve">. </w:t>
            </w:r>
            <w:r w:rsidR="00C71E10" w:rsidRPr="00AE6F9F">
              <w:rPr>
                <w:rFonts w:ascii="Times New Roman" w:hAnsi="Times New Roman"/>
                <w:sz w:val="24"/>
                <w:szCs w:val="24"/>
              </w:rPr>
              <w:t>The Commission will continue engaging in a strategic dialogue on the post-2030 framework, including with industry.</w:t>
            </w:r>
          </w:p>
          <w:p w14:paraId="0FA230D5" w14:textId="59761D9F" w:rsidR="701892DD" w:rsidRPr="00AE6F9F" w:rsidRDefault="23BDFA42" w:rsidP="00AE6F9F">
            <w:pPr>
              <w:widowControl w:val="0"/>
              <w:spacing w:before="120" w:after="120"/>
              <w:jc w:val="both"/>
              <w:rPr>
                <w:rFonts w:ascii="Times New Roman" w:hAnsi="Times New Roman"/>
                <w:b/>
                <w:bCs/>
                <w:sz w:val="24"/>
                <w:szCs w:val="24"/>
              </w:rPr>
            </w:pPr>
            <w:r w:rsidRPr="00AE6F9F">
              <w:rPr>
                <w:rFonts w:ascii="Times New Roman" w:hAnsi="Times New Roman"/>
                <w:sz w:val="24"/>
                <w:szCs w:val="24"/>
              </w:rPr>
              <w:t>I</w:t>
            </w:r>
            <w:r w:rsidR="33762960" w:rsidRPr="00AE6F9F">
              <w:rPr>
                <w:rFonts w:ascii="Times New Roman" w:hAnsi="Times New Roman"/>
                <w:sz w:val="24"/>
                <w:szCs w:val="24"/>
              </w:rPr>
              <w:t>n February 2025, t</w:t>
            </w:r>
            <w:r w:rsidR="76EA3BB3" w:rsidRPr="00AE6F9F">
              <w:rPr>
                <w:rFonts w:ascii="Times New Roman" w:hAnsi="Times New Roman"/>
                <w:sz w:val="24"/>
                <w:szCs w:val="24"/>
              </w:rPr>
              <w:t xml:space="preserve">he Clean </w:t>
            </w:r>
            <w:r w:rsidR="00F23280" w:rsidRPr="00AE6F9F">
              <w:rPr>
                <w:rFonts w:ascii="Times New Roman" w:hAnsi="Times New Roman"/>
                <w:sz w:val="24"/>
                <w:szCs w:val="24"/>
              </w:rPr>
              <w:t>I</w:t>
            </w:r>
            <w:r w:rsidR="76EA3BB3" w:rsidRPr="00AE6F9F">
              <w:rPr>
                <w:rFonts w:ascii="Times New Roman" w:hAnsi="Times New Roman"/>
                <w:sz w:val="24"/>
                <w:szCs w:val="24"/>
              </w:rPr>
              <w:t>ndustrial Deal</w:t>
            </w:r>
            <w:r w:rsidR="20482A00" w:rsidRPr="00AE6F9F">
              <w:rPr>
                <w:rFonts w:ascii="Times New Roman" w:hAnsi="Times New Roman"/>
                <w:sz w:val="24"/>
                <w:szCs w:val="24"/>
              </w:rPr>
              <w:t xml:space="preserve"> (CID)</w:t>
            </w:r>
            <w:r w:rsidR="701892DD" w:rsidRPr="00AE6F9F">
              <w:rPr>
                <w:rFonts w:ascii="Times New Roman" w:hAnsi="Times New Roman"/>
                <w:sz w:val="24"/>
                <w:szCs w:val="24"/>
                <w:vertAlign w:val="superscript"/>
              </w:rPr>
              <w:footnoteReference w:id="6"/>
            </w:r>
            <w:r w:rsidR="76EA3BB3" w:rsidRPr="00AE6F9F">
              <w:rPr>
                <w:rFonts w:ascii="Times New Roman" w:hAnsi="Times New Roman"/>
                <w:sz w:val="24"/>
                <w:szCs w:val="24"/>
              </w:rPr>
              <w:t xml:space="preserve"> has been introduced</w:t>
            </w:r>
            <w:r w:rsidR="5198AD9E" w:rsidRPr="00AE6F9F">
              <w:rPr>
                <w:rFonts w:ascii="Times New Roman" w:hAnsi="Times New Roman"/>
                <w:sz w:val="24"/>
                <w:szCs w:val="24"/>
              </w:rPr>
              <w:t xml:space="preserve"> to</w:t>
            </w:r>
            <w:r w:rsidR="2E7576F7" w:rsidRPr="00AE6F9F">
              <w:rPr>
                <w:rFonts w:ascii="Times New Roman" w:hAnsi="Times New Roman"/>
                <w:sz w:val="24"/>
                <w:szCs w:val="24"/>
              </w:rPr>
              <w:t xml:space="preserve"> </w:t>
            </w:r>
            <w:r w:rsidR="792907A4" w:rsidRPr="00AE6F9F">
              <w:rPr>
                <w:rFonts w:ascii="Times New Roman" w:hAnsi="Times New Roman"/>
                <w:sz w:val="24"/>
                <w:szCs w:val="24"/>
              </w:rPr>
              <w:t>ensure</w:t>
            </w:r>
            <w:r w:rsidR="5198AD9E" w:rsidRPr="00AE6F9F">
              <w:rPr>
                <w:rFonts w:ascii="Times New Roman" w:hAnsi="Times New Roman"/>
                <w:sz w:val="24"/>
                <w:szCs w:val="24"/>
              </w:rPr>
              <w:t xml:space="preserve"> decarbonisation </w:t>
            </w:r>
            <w:r w:rsidR="792907A4" w:rsidRPr="00AE6F9F">
              <w:rPr>
                <w:rFonts w:ascii="Times New Roman" w:hAnsi="Times New Roman"/>
                <w:sz w:val="24"/>
                <w:szCs w:val="24"/>
              </w:rPr>
              <w:t>is</w:t>
            </w:r>
            <w:r w:rsidR="5198AD9E" w:rsidRPr="00AE6F9F">
              <w:rPr>
                <w:rFonts w:ascii="Times New Roman" w:hAnsi="Times New Roman"/>
                <w:sz w:val="24"/>
                <w:szCs w:val="24"/>
              </w:rPr>
              <w:t xml:space="preserve"> a</w:t>
            </w:r>
            <w:r w:rsidR="00990ACE">
              <w:rPr>
                <w:rFonts w:ascii="Times New Roman" w:hAnsi="Times New Roman"/>
                <w:sz w:val="24"/>
                <w:szCs w:val="24"/>
              </w:rPr>
              <w:t> </w:t>
            </w:r>
            <w:r w:rsidR="5198AD9E" w:rsidRPr="00AE6F9F">
              <w:rPr>
                <w:rFonts w:ascii="Times New Roman" w:hAnsi="Times New Roman"/>
                <w:sz w:val="24"/>
                <w:szCs w:val="24"/>
              </w:rPr>
              <w:t>driver of growth for European industries</w:t>
            </w:r>
            <w:r w:rsidR="66055C17" w:rsidRPr="00AE6F9F">
              <w:rPr>
                <w:rFonts w:ascii="Times New Roman" w:hAnsi="Times New Roman"/>
                <w:sz w:val="24"/>
                <w:szCs w:val="24"/>
              </w:rPr>
              <w:t>.</w:t>
            </w:r>
          </w:p>
          <w:p w14:paraId="1D06D2CB" w14:textId="11EE4D5E" w:rsidR="701892DD" w:rsidRPr="00AE6F9F" w:rsidRDefault="5BE06A28" w:rsidP="00AE6F9F">
            <w:pPr>
              <w:widowControl w:val="0"/>
              <w:spacing w:before="120" w:after="120"/>
              <w:jc w:val="both"/>
              <w:rPr>
                <w:rFonts w:ascii="Times New Roman" w:hAnsi="Times New Roman"/>
                <w:b/>
                <w:bCs/>
                <w:sz w:val="24"/>
                <w:szCs w:val="24"/>
              </w:rPr>
            </w:pPr>
            <w:r w:rsidRPr="00AE6F9F">
              <w:rPr>
                <w:rFonts w:ascii="Times New Roman" w:hAnsi="Times New Roman"/>
                <w:b/>
                <w:bCs/>
                <w:sz w:val="24"/>
                <w:szCs w:val="24"/>
              </w:rPr>
              <w:t>Employment</w:t>
            </w:r>
            <w:r w:rsidR="7133980D" w:rsidRPr="00AE6F9F">
              <w:rPr>
                <w:rFonts w:ascii="Times New Roman" w:hAnsi="Times New Roman"/>
                <w:b/>
                <w:bCs/>
                <w:sz w:val="24"/>
                <w:szCs w:val="24"/>
              </w:rPr>
              <w:t xml:space="preserve"> and social aspects</w:t>
            </w:r>
            <w:r w:rsidR="00D25293" w:rsidRPr="00AE6F9F">
              <w:rPr>
                <w:rFonts w:ascii="Times New Roman" w:hAnsi="Times New Roman"/>
                <w:b/>
                <w:bCs/>
                <w:sz w:val="24"/>
                <w:szCs w:val="24"/>
              </w:rPr>
              <w:t>:</w:t>
            </w:r>
          </w:p>
          <w:p w14:paraId="131EA53A" w14:textId="235B30AF" w:rsidR="00DA18E2" w:rsidRPr="00AE6F9F" w:rsidRDefault="5BE06A28" w:rsidP="00AE6F9F">
            <w:pPr>
              <w:widowControl w:val="0"/>
              <w:spacing w:before="120" w:after="120"/>
              <w:jc w:val="both"/>
              <w:rPr>
                <w:rFonts w:ascii="Times New Roman" w:hAnsi="Times New Roman"/>
                <w:sz w:val="24"/>
                <w:szCs w:val="24"/>
              </w:rPr>
            </w:pPr>
            <w:r w:rsidRPr="00AE6F9F">
              <w:rPr>
                <w:rFonts w:ascii="Times New Roman" w:hAnsi="Times New Roman"/>
                <w:sz w:val="24"/>
                <w:szCs w:val="24"/>
              </w:rPr>
              <w:t>T</w:t>
            </w:r>
            <w:r w:rsidR="38833688" w:rsidRPr="00AE6F9F">
              <w:rPr>
                <w:rFonts w:ascii="Times New Roman" w:hAnsi="Times New Roman"/>
                <w:sz w:val="24"/>
                <w:szCs w:val="24"/>
              </w:rPr>
              <w:t>he transition to climate neutrality is projected to have a limited impact on total employment in the</w:t>
            </w:r>
            <w:r w:rsidR="00990ACE">
              <w:rPr>
                <w:rFonts w:ascii="Times New Roman" w:hAnsi="Times New Roman"/>
                <w:sz w:val="24"/>
                <w:szCs w:val="24"/>
              </w:rPr>
              <w:t> </w:t>
            </w:r>
            <w:r w:rsidR="38833688" w:rsidRPr="00AE6F9F">
              <w:rPr>
                <w:rFonts w:ascii="Times New Roman" w:hAnsi="Times New Roman"/>
                <w:sz w:val="24"/>
                <w:szCs w:val="24"/>
              </w:rPr>
              <w:t>economy, in comparison with the effect of demographic (population ageing), structural</w:t>
            </w:r>
            <w:r w:rsidR="003C2DD1" w:rsidRPr="00AE6F9F">
              <w:rPr>
                <w:rFonts w:ascii="Times New Roman" w:hAnsi="Times New Roman"/>
                <w:sz w:val="24"/>
                <w:szCs w:val="24"/>
              </w:rPr>
              <w:t>,</w:t>
            </w:r>
            <w:r w:rsidR="38833688" w:rsidRPr="00AE6F9F">
              <w:rPr>
                <w:rFonts w:ascii="Times New Roman" w:hAnsi="Times New Roman"/>
                <w:sz w:val="24"/>
                <w:szCs w:val="24"/>
              </w:rPr>
              <w:t xml:space="preserve"> and technological changes (digital transition, artificial intelligence).</w:t>
            </w:r>
            <w:r w:rsidR="7B91F6F9" w:rsidRPr="00AE6F9F">
              <w:rPr>
                <w:rFonts w:ascii="Times New Roman" w:hAnsi="Times New Roman"/>
                <w:sz w:val="24"/>
                <w:szCs w:val="24"/>
              </w:rPr>
              <w:t xml:space="preserve"> </w:t>
            </w:r>
            <w:r w:rsidR="38833688" w:rsidRPr="00AE6F9F">
              <w:rPr>
                <w:rFonts w:ascii="Times New Roman" w:hAnsi="Times New Roman"/>
                <w:sz w:val="24"/>
                <w:szCs w:val="24"/>
              </w:rPr>
              <w:t>For a large share of sectors (</w:t>
            </w:r>
            <w:proofErr w:type="gramStart"/>
            <w:r w:rsidR="38833688" w:rsidRPr="00AE6F9F">
              <w:rPr>
                <w:rFonts w:ascii="Times New Roman" w:hAnsi="Times New Roman"/>
                <w:sz w:val="24"/>
                <w:szCs w:val="24"/>
              </w:rPr>
              <w:t>in particular services</w:t>
            </w:r>
            <w:proofErr w:type="gramEnd"/>
            <w:r w:rsidR="38833688" w:rsidRPr="00AE6F9F">
              <w:rPr>
                <w:rFonts w:ascii="Times New Roman" w:hAnsi="Times New Roman"/>
                <w:sz w:val="24"/>
                <w:szCs w:val="24"/>
              </w:rPr>
              <w:t>), employment will be affected only marginally.</w:t>
            </w:r>
          </w:p>
          <w:p w14:paraId="43B0C895" w14:textId="3636FF20" w:rsidR="0161504B" w:rsidRPr="00AE6F9F" w:rsidRDefault="38833688" w:rsidP="00AE6F9F">
            <w:pPr>
              <w:widowControl w:val="0"/>
              <w:spacing w:before="120" w:after="120"/>
              <w:jc w:val="both"/>
              <w:rPr>
                <w:rFonts w:ascii="Times New Roman" w:hAnsi="Times New Roman"/>
                <w:sz w:val="24"/>
                <w:szCs w:val="24"/>
              </w:rPr>
            </w:pPr>
            <w:r w:rsidRPr="00AE6F9F">
              <w:rPr>
                <w:rFonts w:ascii="Times New Roman" w:hAnsi="Times New Roman"/>
                <w:sz w:val="24"/>
                <w:szCs w:val="24"/>
              </w:rPr>
              <w:t xml:space="preserve">For a few sectors, the transition implies very significant transformations in terms of employment levels, skills </w:t>
            </w:r>
            <w:proofErr w:type="gramStart"/>
            <w:r w:rsidRPr="00AE6F9F">
              <w:rPr>
                <w:rFonts w:ascii="Times New Roman" w:hAnsi="Times New Roman"/>
                <w:sz w:val="24"/>
                <w:szCs w:val="24"/>
              </w:rPr>
              <w:t>needs</w:t>
            </w:r>
            <w:proofErr w:type="gramEnd"/>
            <w:r w:rsidR="002C46FC" w:rsidRPr="00AE6F9F">
              <w:rPr>
                <w:rFonts w:ascii="Times New Roman" w:hAnsi="Times New Roman"/>
                <w:sz w:val="24"/>
                <w:szCs w:val="24"/>
              </w:rPr>
              <w:t>,</w:t>
            </w:r>
            <w:r w:rsidRPr="00AE6F9F">
              <w:rPr>
                <w:rFonts w:ascii="Times New Roman" w:hAnsi="Times New Roman"/>
                <w:sz w:val="24"/>
                <w:szCs w:val="24"/>
              </w:rPr>
              <w:t xml:space="preserve"> and occupations. For these industries, and </w:t>
            </w:r>
            <w:proofErr w:type="gramStart"/>
            <w:r w:rsidRPr="00AE6F9F">
              <w:rPr>
                <w:rFonts w:ascii="Times New Roman" w:hAnsi="Times New Roman"/>
                <w:sz w:val="24"/>
                <w:szCs w:val="24"/>
              </w:rPr>
              <w:t>in particular for</w:t>
            </w:r>
            <w:proofErr w:type="gramEnd"/>
            <w:r w:rsidRPr="00AE6F9F">
              <w:rPr>
                <w:rFonts w:ascii="Times New Roman" w:hAnsi="Times New Roman"/>
                <w:sz w:val="24"/>
                <w:szCs w:val="24"/>
              </w:rPr>
              <w:t xml:space="preserve"> the limited number of sectors which will decline (for example, oil and gas extraction), targeted policies and measures </w:t>
            </w:r>
            <w:r w:rsidR="5015E943" w:rsidRPr="00AE6F9F">
              <w:rPr>
                <w:rFonts w:ascii="Times New Roman" w:hAnsi="Times New Roman"/>
                <w:sz w:val="24"/>
                <w:szCs w:val="24"/>
              </w:rPr>
              <w:t>will</w:t>
            </w:r>
            <w:r w:rsidRPr="00AE6F9F">
              <w:rPr>
                <w:rFonts w:ascii="Times New Roman" w:hAnsi="Times New Roman"/>
                <w:sz w:val="24"/>
                <w:szCs w:val="24"/>
              </w:rPr>
              <w:t xml:space="preserve"> support the transition.</w:t>
            </w:r>
            <w:r w:rsidR="002C46FC" w:rsidRPr="00AE6F9F">
              <w:rPr>
                <w:rFonts w:ascii="Times New Roman" w:hAnsi="Times New Roman"/>
                <w:sz w:val="24"/>
                <w:szCs w:val="24"/>
              </w:rPr>
              <w:t xml:space="preserve"> The EU does</w:t>
            </w:r>
            <w:r w:rsidR="0D24ABAF" w:rsidRPr="00AE6F9F">
              <w:rPr>
                <w:rFonts w:ascii="Times New Roman" w:hAnsi="Times New Roman"/>
                <w:sz w:val="24"/>
                <w:szCs w:val="24"/>
              </w:rPr>
              <w:t>, therefore,</w:t>
            </w:r>
            <w:r w:rsidR="606B808E" w:rsidRPr="00AE6F9F">
              <w:rPr>
                <w:rFonts w:ascii="Times New Roman" w:hAnsi="Times New Roman"/>
                <w:sz w:val="24"/>
                <w:szCs w:val="24"/>
              </w:rPr>
              <w:t xml:space="preserve"> need to address both the risk of unemployment in declining sectors and future labour shortages in key sectors for the green transition. It is essential to re- and upskill the workforce in impacted sectors and to ensure that educational programmes are relevant to the labour market.</w:t>
            </w:r>
            <w:r w:rsidR="21C96087" w:rsidRPr="00AE6F9F">
              <w:rPr>
                <w:rFonts w:ascii="Times New Roman" w:hAnsi="Times New Roman"/>
                <w:sz w:val="24"/>
                <w:szCs w:val="24"/>
              </w:rPr>
              <w:t xml:space="preserve"> </w:t>
            </w:r>
            <w:r w:rsidR="3C58B28A" w:rsidRPr="00AE6F9F">
              <w:rPr>
                <w:rFonts w:ascii="Times New Roman" w:hAnsi="Times New Roman"/>
                <w:sz w:val="24"/>
                <w:szCs w:val="24"/>
              </w:rPr>
              <w:t>Skills are at the centre of the Green Deal Industrial Plan</w:t>
            </w:r>
            <w:r w:rsidR="00DA18E2" w:rsidRPr="00AE6F9F">
              <w:rPr>
                <w:rFonts w:ascii="Times New Roman" w:hAnsi="Times New Roman"/>
                <w:sz w:val="24"/>
                <w:szCs w:val="24"/>
              </w:rPr>
              <w:t xml:space="preserve"> for the Net-Zero Age</w:t>
            </w:r>
            <w:r w:rsidR="0161504B" w:rsidRPr="00AE6F9F">
              <w:rPr>
                <w:rStyle w:val="FootnoteReference"/>
                <w:rFonts w:ascii="Times New Roman" w:hAnsi="Times New Roman"/>
                <w:szCs w:val="24"/>
              </w:rPr>
              <w:footnoteReference w:id="7"/>
            </w:r>
            <w:r w:rsidR="3C58B28A" w:rsidRPr="00AE6F9F">
              <w:rPr>
                <w:rFonts w:ascii="Times New Roman" w:hAnsi="Times New Roman"/>
                <w:sz w:val="24"/>
                <w:szCs w:val="24"/>
              </w:rPr>
              <w:t xml:space="preserve"> with initiatives such as the skill academies for clean technology sectors, initiatives aimed at ensuring there is a skilled workforce supporting the production of net-zero technologies in the EU.</w:t>
            </w:r>
          </w:p>
          <w:p w14:paraId="0B029301" w14:textId="688C8631" w:rsidR="5B1BAFEB" w:rsidRPr="00AE6F9F" w:rsidRDefault="6D17F37B" w:rsidP="00AE6F9F">
            <w:pPr>
              <w:widowControl w:val="0"/>
              <w:spacing w:before="120" w:after="120"/>
              <w:jc w:val="both"/>
              <w:rPr>
                <w:rFonts w:ascii="Times New Roman" w:hAnsi="Times New Roman"/>
                <w:sz w:val="24"/>
                <w:szCs w:val="24"/>
              </w:rPr>
            </w:pPr>
            <w:r w:rsidRPr="00AE6F9F">
              <w:rPr>
                <w:rFonts w:ascii="Times New Roman" w:hAnsi="Times New Roman"/>
                <w:sz w:val="24"/>
                <w:szCs w:val="24"/>
              </w:rPr>
              <w:t xml:space="preserve">The new Social Climate Fund (SCF), using revenues from the </w:t>
            </w:r>
            <w:r w:rsidR="00814DE7" w:rsidRPr="00AE6F9F">
              <w:rPr>
                <w:rFonts w:ascii="Times New Roman" w:hAnsi="Times New Roman"/>
                <w:sz w:val="24"/>
                <w:szCs w:val="24"/>
              </w:rPr>
              <w:t xml:space="preserve">new emissions trading system (ETS2) established in the </w:t>
            </w:r>
            <w:r w:rsidRPr="00AE6F9F">
              <w:rPr>
                <w:rFonts w:ascii="Times New Roman" w:hAnsi="Times New Roman"/>
                <w:sz w:val="24"/>
                <w:szCs w:val="24"/>
              </w:rPr>
              <w:t>EU ETS</w:t>
            </w:r>
            <w:r w:rsidR="00814DE7" w:rsidRPr="00AE6F9F">
              <w:rPr>
                <w:rFonts w:ascii="Times New Roman" w:hAnsi="Times New Roman"/>
                <w:sz w:val="24"/>
                <w:szCs w:val="24"/>
              </w:rPr>
              <w:t xml:space="preserve"> Directive</w:t>
            </w:r>
            <w:r w:rsidRPr="00AE6F9F">
              <w:rPr>
                <w:rFonts w:ascii="Times New Roman" w:hAnsi="Times New Roman"/>
                <w:sz w:val="24"/>
                <w:szCs w:val="24"/>
              </w:rPr>
              <w:t xml:space="preserve">, will support vulnerable households, transport users and micro-enterprises affected by the introduction of emissions trading for fuels used in road transport and buildings. The aim is to </w:t>
            </w:r>
            <w:r w:rsidR="00814DE7" w:rsidRPr="00AE6F9F">
              <w:rPr>
                <w:rFonts w:ascii="Times New Roman" w:hAnsi="Times New Roman"/>
                <w:sz w:val="24"/>
                <w:szCs w:val="24"/>
              </w:rPr>
              <w:t xml:space="preserve">support </w:t>
            </w:r>
            <w:r w:rsidRPr="00AE6F9F">
              <w:rPr>
                <w:rFonts w:ascii="Times New Roman" w:hAnsi="Times New Roman"/>
                <w:sz w:val="24"/>
                <w:szCs w:val="24"/>
              </w:rPr>
              <w:t xml:space="preserve">these groups </w:t>
            </w:r>
            <w:r w:rsidR="00814DE7" w:rsidRPr="00AE6F9F">
              <w:rPr>
                <w:rFonts w:ascii="Times New Roman" w:hAnsi="Times New Roman"/>
                <w:sz w:val="24"/>
                <w:szCs w:val="24"/>
              </w:rPr>
              <w:t xml:space="preserve">amid possible impacts from carbon pricing and help </w:t>
            </w:r>
            <w:r w:rsidRPr="00AE6F9F">
              <w:rPr>
                <w:rFonts w:ascii="Times New Roman" w:hAnsi="Times New Roman"/>
                <w:sz w:val="24"/>
                <w:szCs w:val="24"/>
              </w:rPr>
              <w:t xml:space="preserve">invest in more efficient buildings, decarbonising heating and cooling and sustainable transport. All this will help </w:t>
            </w:r>
            <w:r w:rsidR="00814DE7" w:rsidRPr="00AE6F9F">
              <w:rPr>
                <w:rFonts w:ascii="Times New Roman" w:hAnsi="Times New Roman"/>
                <w:sz w:val="24"/>
                <w:szCs w:val="24"/>
              </w:rPr>
              <w:t xml:space="preserve">to </w:t>
            </w:r>
            <w:r w:rsidRPr="00AE6F9F">
              <w:rPr>
                <w:rFonts w:ascii="Times New Roman" w:hAnsi="Times New Roman"/>
                <w:sz w:val="24"/>
                <w:szCs w:val="24"/>
              </w:rPr>
              <w:t>reduce reliance on costly fossil fuels</w:t>
            </w:r>
            <w:r w:rsidR="005F635E" w:rsidRPr="00AE6F9F">
              <w:rPr>
                <w:rFonts w:ascii="Times New Roman" w:hAnsi="Times New Roman"/>
                <w:sz w:val="24"/>
                <w:szCs w:val="24"/>
              </w:rPr>
              <w:t xml:space="preserve">, as part of broader efforts by the EU and </w:t>
            </w:r>
            <w:r w:rsidR="009303A1" w:rsidRPr="00AE6F9F">
              <w:rPr>
                <w:rFonts w:ascii="Times New Roman" w:hAnsi="Times New Roman"/>
                <w:sz w:val="24"/>
                <w:szCs w:val="24"/>
              </w:rPr>
              <w:t>M</w:t>
            </w:r>
            <w:r w:rsidR="005F635E" w:rsidRPr="00AE6F9F">
              <w:rPr>
                <w:rFonts w:ascii="Times New Roman" w:hAnsi="Times New Roman"/>
                <w:sz w:val="24"/>
                <w:szCs w:val="24"/>
              </w:rPr>
              <w:t xml:space="preserve">ember </w:t>
            </w:r>
            <w:r w:rsidR="009303A1" w:rsidRPr="00AE6F9F">
              <w:rPr>
                <w:rFonts w:ascii="Times New Roman" w:hAnsi="Times New Roman"/>
                <w:sz w:val="24"/>
                <w:szCs w:val="24"/>
              </w:rPr>
              <w:t>S</w:t>
            </w:r>
            <w:r w:rsidR="005F635E" w:rsidRPr="00AE6F9F">
              <w:rPr>
                <w:rFonts w:ascii="Times New Roman" w:hAnsi="Times New Roman"/>
                <w:sz w:val="24"/>
                <w:szCs w:val="24"/>
              </w:rPr>
              <w:t>tate fiscal policies</w:t>
            </w:r>
            <w:r w:rsidRPr="00AE6F9F">
              <w:rPr>
                <w:rFonts w:ascii="Times New Roman" w:hAnsi="Times New Roman"/>
                <w:sz w:val="24"/>
                <w:szCs w:val="24"/>
              </w:rPr>
              <w:t>. In addition, the SCF can support vulnerable groups through targeted and temporary direct income support.</w:t>
            </w:r>
          </w:p>
          <w:p w14:paraId="2201CD72" w14:textId="4278D8FD" w:rsidR="3B758677" w:rsidRPr="00AE6F9F" w:rsidRDefault="119B0C23" w:rsidP="00AE6F9F">
            <w:pPr>
              <w:widowControl w:val="0"/>
              <w:spacing w:before="120" w:after="120"/>
              <w:jc w:val="both"/>
              <w:rPr>
                <w:rFonts w:ascii="Times New Roman" w:hAnsi="Times New Roman"/>
                <w:b/>
                <w:bCs/>
                <w:sz w:val="24"/>
                <w:szCs w:val="24"/>
              </w:rPr>
            </w:pPr>
            <w:r w:rsidRPr="00AE6F9F">
              <w:rPr>
                <w:rFonts w:ascii="Times New Roman" w:hAnsi="Times New Roman"/>
                <w:b/>
                <w:bCs/>
                <w:sz w:val="24"/>
                <w:szCs w:val="24"/>
              </w:rPr>
              <w:t>Competitiveness</w:t>
            </w:r>
            <w:r w:rsidR="00D25293" w:rsidRPr="00AE6F9F">
              <w:rPr>
                <w:rFonts w:ascii="Times New Roman" w:hAnsi="Times New Roman"/>
                <w:b/>
                <w:bCs/>
                <w:sz w:val="24"/>
                <w:szCs w:val="24"/>
              </w:rPr>
              <w:t>:</w:t>
            </w:r>
          </w:p>
          <w:p w14:paraId="5C291113" w14:textId="0A6CCAA8" w:rsidR="00CF6F44" w:rsidRPr="00AE6F9F" w:rsidRDefault="00D25293" w:rsidP="00AE6F9F">
            <w:pPr>
              <w:widowControl w:val="0"/>
              <w:spacing w:before="120" w:after="120"/>
              <w:jc w:val="both"/>
              <w:rPr>
                <w:rFonts w:ascii="Times New Roman" w:hAnsi="Times New Roman"/>
                <w:sz w:val="24"/>
                <w:szCs w:val="24"/>
              </w:rPr>
            </w:pPr>
            <w:r w:rsidRPr="00AE6F9F">
              <w:rPr>
                <w:rFonts w:ascii="Times New Roman" w:hAnsi="Times New Roman"/>
                <w:sz w:val="24"/>
                <w:szCs w:val="24"/>
              </w:rPr>
              <w:t>EU</w:t>
            </w:r>
            <w:r w:rsidR="411DFE81" w:rsidRPr="00AE6F9F">
              <w:rPr>
                <w:rFonts w:ascii="Times New Roman" w:hAnsi="Times New Roman"/>
                <w:sz w:val="24"/>
                <w:szCs w:val="24"/>
              </w:rPr>
              <w:t xml:space="preserve"> economic resilience and the competitiveness of </w:t>
            </w:r>
            <w:r w:rsidRPr="00AE6F9F">
              <w:rPr>
                <w:rFonts w:ascii="Times New Roman" w:hAnsi="Times New Roman"/>
                <w:sz w:val="24"/>
                <w:szCs w:val="24"/>
              </w:rPr>
              <w:t>its</w:t>
            </w:r>
            <w:r w:rsidR="411DFE81" w:rsidRPr="00AE6F9F">
              <w:rPr>
                <w:rFonts w:ascii="Times New Roman" w:hAnsi="Times New Roman"/>
                <w:sz w:val="24"/>
                <w:szCs w:val="24"/>
              </w:rPr>
              <w:t xml:space="preserve"> industries have suffered from rising energy prices</w:t>
            </w:r>
            <w:r w:rsidR="5A2BF240" w:rsidRPr="00AE6F9F">
              <w:rPr>
                <w:rFonts w:ascii="Times New Roman" w:hAnsi="Times New Roman"/>
                <w:sz w:val="24"/>
                <w:szCs w:val="24"/>
              </w:rPr>
              <w:t xml:space="preserve"> </w:t>
            </w:r>
            <w:r w:rsidR="18BD8869" w:rsidRPr="00AE6F9F">
              <w:rPr>
                <w:rFonts w:ascii="Times New Roman" w:hAnsi="Times New Roman"/>
                <w:sz w:val="24"/>
                <w:szCs w:val="24"/>
              </w:rPr>
              <w:t xml:space="preserve">and </w:t>
            </w:r>
            <w:r w:rsidR="411DFE81" w:rsidRPr="00AE6F9F">
              <w:rPr>
                <w:rFonts w:ascii="Times New Roman" w:hAnsi="Times New Roman"/>
                <w:sz w:val="24"/>
                <w:szCs w:val="24"/>
              </w:rPr>
              <w:t xml:space="preserve">geopolitical instability. </w:t>
            </w:r>
            <w:r w:rsidR="51F4F4CA" w:rsidRPr="00AE6F9F">
              <w:rPr>
                <w:rFonts w:ascii="Times New Roman" w:hAnsi="Times New Roman"/>
                <w:sz w:val="24"/>
                <w:szCs w:val="24"/>
              </w:rPr>
              <w:t>T</w:t>
            </w:r>
            <w:r w:rsidR="588E403C" w:rsidRPr="00AE6F9F">
              <w:rPr>
                <w:rFonts w:ascii="Times New Roman" w:hAnsi="Times New Roman"/>
                <w:sz w:val="24"/>
                <w:szCs w:val="24"/>
              </w:rPr>
              <w:t xml:space="preserve">he EU must address challenges </w:t>
            </w:r>
            <w:r w:rsidR="23C5CA87" w:rsidRPr="00AE6F9F">
              <w:rPr>
                <w:rFonts w:ascii="Times New Roman" w:hAnsi="Times New Roman"/>
                <w:sz w:val="24"/>
                <w:szCs w:val="24"/>
              </w:rPr>
              <w:t>related to the</w:t>
            </w:r>
            <w:r w:rsidR="588E403C" w:rsidRPr="00AE6F9F">
              <w:rPr>
                <w:rFonts w:ascii="Times New Roman" w:hAnsi="Times New Roman"/>
                <w:sz w:val="24"/>
                <w:szCs w:val="24"/>
              </w:rPr>
              <w:t xml:space="preserve"> climate crisis, competitiveness concerns, and economic resilience</w:t>
            </w:r>
            <w:r w:rsidR="23C5CA87" w:rsidRPr="00AE6F9F">
              <w:rPr>
                <w:rFonts w:ascii="Times New Roman" w:hAnsi="Times New Roman"/>
                <w:sz w:val="24"/>
                <w:szCs w:val="24"/>
              </w:rPr>
              <w:t xml:space="preserve"> all at once</w:t>
            </w:r>
            <w:r w:rsidR="588E403C" w:rsidRPr="00AE6F9F">
              <w:rPr>
                <w:rFonts w:ascii="Times New Roman" w:hAnsi="Times New Roman"/>
                <w:sz w:val="24"/>
                <w:szCs w:val="24"/>
              </w:rPr>
              <w:t>.</w:t>
            </w:r>
          </w:p>
          <w:p w14:paraId="6E4CE88B" w14:textId="5D51913A" w:rsidR="0025357A" w:rsidRPr="00AE6F9F" w:rsidRDefault="01FF1243" w:rsidP="00AE6F9F">
            <w:pPr>
              <w:widowControl w:val="0"/>
              <w:spacing w:before="120" w:after="120"/>
              <w:jc w:val="both"/>
              <w:rPr>
                <w:rFonts w:ascii="Times New Roman" w:eastAsia="Times New Roman" w:hAnsi="Times New Roman"/>
                <w:sz w:val="24"/>
                <w:szCs w:val="24"/>
              </w:rPr>
            </w:pPr>
            <w:r w:rsidRPr="00AE6F9F">
              <w:rPr>
                <w:rFonts w:ascii="Times New Roman" w:eastAsia="Times New Roman" w:hAnsi="Times New Roman"/>
                <w:sz w:val="24"/>
                <w:szCs w:val="24"/>
              </w:rPr>
              <w:lastRenderedPageBreak/>
              <w:t>The EU has created strong foundations with the Green Deal Industrial Pla</w:t>
            </w:r>
            <w:r w:rsidR="1D64F938" w:rsidRPr="00AE6F9F">
              <w:rPr>
                <w:rFonts w:ascii="Times New Roman" w:eastAsia="Times New Roman" w:hAnsi="Times New Roman"/>
                <w:sz w:val="24"/>
                <w:szCs w:val="24"/>
              </w:rPr>
              <w:t>n</w:t>
            </w:r>
            <w:r w:rsidR="33D61172" w:rsidRPr="00AE6F9F">
              <w:rPr>
                <w:rFonts w:ascii="Times New Roman" w:eastAsia="Times New Roman" w:hAnsi="Times New Roman"/>
                <w:sz w:val="24"/>
                <w:szCs w:val="24"/>
              </w:rPr>
              <w:t xml:space="preserve">, the </w:t>
            </w:r>
            <w:r w:rsidRPr="00AE6F9F">
              <w:rPr>
                <w:rFonts w:ascii="Times New Roman" w:eastAsia="Times New Roman" w:hAnsi="Times New Roman"/>
                <w:sz w:val="24"/>
                <w:szCs w:val="24"/>
              </w:rPr>
              <w:t>Net Zero Industry Act</w:t>
            </w:r>
            <w:r w:rsidR="00567BEF" w:rsidRPr="00AE6F9F">
              <w:rPr>
                <w:rStyle w:val="FootnoteReference"/>
                <w:rFonts w:ascii="Times New Roman" w:hAnsi="Times New Roman"/>
                <w:szCs w:val="24"/>
              </w:rPr>
              <w:footnoteReference w:id="8"/>
            </w:r>
            <w:r w:rsidR="20917DC1" w:rsidRPr="00AE6F9F">
              <w:rPr>
                <w:rFonts w:ascii="Times New Roman" w:eastAsia="Times New Roman" w:hAnsi="Times New Roman"/>
                <w:sz w:val="24"/>
                <w:szCs w:val="24"/>
              </w:rPr>
              <w:t>, t</w:t>
            </w:r>
            <w:r w:rsidRPr="00AE6F9F">
              <w:rPr>
                <w:rFonts w:ascii="Times New Roman" w:eastAsia="Times New Roman" w:hAnsi="Times New Roman"/>
                <w:sz w:val="24"/>
                <w:szCs w:val="24"/>
              </w:rPr>
              <w:t>he Critical Raw Materials Act</w:t>
            </w:r>
            <w:r w:rsidR="00567BEF" w:rsidRPr="00AE6F9F">
              <w:rPr>
                <w:rStyle w:val="FootnoteReference"/>
                <w:rFonts w:ascii="Times New Roman" w:hAnsi="Times New Roman"/>
                <w:szCs w:val="24"/>
              </w:rPr>
              <w:footnoteReference w:id="9"/>
            </w:r>
            <w:r w:rsidR="23F899B0" w:rsidRPr="00AE6F9F">
              <w:rPr>
                <w:rFonts w:ascii="Times New Roman" w:eastAsia="Times New Roman" w:hAnsi="Times New Roman"/>
                <w:sz w:val="24"/>
                <w:szCs w:val="24"/>
              </w:rPr>
              <w:t xml:space="preserve">, </w:t>
            </w:r>
            <w:r w:rsidRPr="00AE6F9F">
              <w:rPr>
                <w:rFonts w:ascii="Times New Roman" w:eastAsia="Times New Roman" w:hAnsi="Times New Roman"/>
                <w:sz w:val="24"/>
                <w:szCs w:val="24"/>
              </w:rPr>
              <w:t>and other initiatives</w:t>
            </w:r>
            <w:r w:rsidR="0C436B8C" w:rsidRPr="00AE6F9F">
              <w:rPr>
                <w:rFonts w:ascii="Times New Roman" w:eastAsia="Times New Roman" w:hAnsi="Times New Roman"/>
                <w:sz w:val="24"/>
                <w:szCs w:val="24"/>
              </w:rPr>
              <w:t xml:space="preserve"> such as REPowerEU or the</w:t>
            </w:r>
            <w:r w:rsidR="00990ACE">
              <w:rPr>
                <w:rFonts w:ascii="Times New Roman" w:eastAsia="Times New Roman" w:hAnsi="Times New Roman"/>
                <w:sz w:val="24"/>
                <w:szCs w:val="24"/>
              </w:rPr>
              <w:t> </w:t>
            </w:r>
            <w:r w:rsidR="0C436B8C" w:rsidRPr="00AE6F9F">
              <w:rPr>
                <w:rFonts w:ascii="Times New Roman" w:eastAsia="Times New Roman" w:hAnsi="Times New Roman"/>
                <w:sz w:val="24"/>
                <w:szCs w:val="24"/>
              </w:rPr>
              <w:t>Competitiveness Compass</w:t>
            </w:r>
            <w:r w:rsidRPr="00AE6F9F">
              <w:rPr>
                <w:rFonts w:ascii="Times New Roman" w:eastAsia="Times New Roman" w:hAnsi="Times New Roman"/>
                <w:sz w:val="24"/>
                <w:szCs w:val="24"/>
              </w:rPr>
              <w:t>.</w:t>
            </w:r>
            <w:r w:rsidR="1C364AD3" w:rsidRPr="00AE6F9F">
              <w:rPr>
                <w:rFonts w:ascii="Times New Roman" w:eastAsia="Times New Roman" w:hAnsi="Times New Roman"/>
                <w:sz w:val="24"/>
                <w:szCs w:val="24"/>
              </w:rPr>
              <w:t xml:space="preserve"> </w:t>
            </w:r>
            <w:r w:rsidR="411DFE81" w:rsidRPr="00AE6F9F">
              <w:rPr>
                <w:rFonts w:ascii="Times New Roman" w:eastAsia="Times New Roman" w:hAnsi="Times New Roman"/>
                <w:sz w:val="24"/>
                <w:szCs w:val="24"/>
              </w:rPr>
              <w:t>The Clean Industrial Deal</w:t>
            </w:r>
            <w:r w:rsidR="59DD9625" w:rsidRPr="00AE6F9F">
              <w:rPr>
                <w:rFonts w:ascii="Times New Roman" w:eastAsia="Times New Roman" w:hAnsi="Times New Roman"/>
                <w:sz w:val="24"/>
                <w:szCs w:val="24"/>
              </w:rPr>
              <w:t xml:space="preserve"> builds on this and</w:t>
            </w:r>
            <w:r w:rsidR="411DFE81" w:rsidRPr="00AE6F9F">
              <w:rPr>
                <w:rFonts w:ascii="Times New Roman" w:eastAsia="Times New Roman" w:hAnsi="Times New Roman"/>
                <w:sz w:val="24"/>
                <w:szCs w:val="24"/>
              </w:rPr>
              <w:t xml:space="preserve"> contains concrete measures to make decarbonisation a driver of growth for European industry. This includes </w:t>
            </w:r>
            <w:r w:rsidR="006A3397" w:rsidRPr="00AE6F9F">
              <w:rPr>
                <w:rFonts w:ascii="Times New Roman" w:eastAsia="Times New Roman" w:hAnsi="Times New Roman"/>
                <w:sz w:val="24"/>
                <w:szCs w:val="24"/>
              </w:rPr>
              <w:t xml:space="preserve">concrete actions to improve access to affordable energy, lead markets, public and private investments, materials and resources, global markets and international partnerships, skills and quality jobs. </w:t>
            </w:r>
            <w:r w:rsidR="588E403C" w:rsidRPr="00AE6F9F">
              <w:rPr>
                <w:rFonts w:ascii="Times New Roman" w:eastAsia="Times New Roman" w:hAnsi="Times New Roman"/>
                <w:sz w:val="24"/>
                <w:szCs w:val="24"/>
              </w:rPr>
              <w:t xml:space="preserve">To </w:t>
            </w:r>
            <w:r w:rsidR="74E09EFE" w:rsidRPr="00AE6F9F">
              <w:rPr>
                <w:rFonts w:ascii="Times New Roman" w:eastAsia="Times New Roman" w:hAnsi="Times New Roman"/>
                <w:sz w:val="24"/>
                <w:szCs w:val="24"/>
              </w:rPr>
              <w:t>this end</w:t>
            </w:r>
            <w:r w:rsidR="588E403C" w:rsidRPr="00AE6F9F">
              <w:rPr>
                <w:rFonts w:ascii="Times New Roman" w:eastAsia="Times New Roman" w:hAnsi="Times New Roman"/>
                <w:sz w:val="24"/>
                <w:szCs w:val="24"/>
              </w:rPr>
              <w:t>,</w:t>
            </w:r>
            <w:r w:rsidR="006A3397" w:rsidRPr="00AE6F9F">
              <w:rPr>
                <w:rFonts w:ascii="Times New Roman" w:eastAsia="Times New Roman" w:hAnsi="Times New Roman"/>
                <w:sz w:val="24"/>
                <w:szCs w:val="24"/>
              </w:rPr>
              <w:t xml:space="preserve"> for instance,</w:t>
            </w:r>
            <w:r w:rsidR="588E403C" w:rsidRPr="00AE6F9F">
              <w:rPr>
                <w:rFonts w:ascii="Times New Roman" w:eastAsia="Times New Roman" w:hAnsi="Times New Roman"/>
                <w:sz w:val="24"/>
                <w:szCs w:val="24"/>
              </w:rPr>
              <w:t xml:space="preserve"> the Affordable Energy Action Plan (AEAP) </w:t>
            </w:r>
            <w:r w:rsidR="00F23280" w:rsidRPr="00AE6F9F">
              <w:rPr>
                <w:rFonts w:ascii="Times New Roman" w:eastAsia="Times New Roman" w:hAnsi="Times New Roman"/>
                <w:sz w:val="24"/>
                <w:szCs w:val="24"/>
              </w:rPr>
              <w:t>announces measures</w:t>
            </w:r>
            <w:r w:rsidR="36A26EAE" w:rsidRPr="00AE6F9F">
              <w:rPr>
                <w:rFonts w:ascii="Times New Roman" w:eastAsia="Times New Roman" w:hAnsi="Times New Roman"/>
                <w:sz w:val="24"/>
                <w:szCs w:val="24"/>
              </w:rPr>
              <w:t xml:space="preserve"> to</w:t>
            </w:r>
            <w:r w:rsidR="3922F77E" w:rsidRPr="00AE6F9F">
              <w:rPr>
                <w:rFonts w:ascii="Times New Roman" w:eastAsia="Times New Roman" w:hAnsi="Times New Roman"/>
                <w:sz w:val="24"/>
                <w:szCs w:val="24"/>
              </w:rPr>
              <w:t xml:space="preserve"> </w:t>
            </w:r>
            <w:r w:rsidR="588E403C" w:rsidRPr="00AE6F9F">
              <w:rPr>
                <w:rFonts w:ascii="Times New Roman" w:eastAsia="Times New Roman" w:hAnsi="Times New Roman"/>
                <w:sz w:val="24"/>
                <w:szCs w:val="24"/>
              </w:rPr>
              <w:t>step up electrification</w:t>
            </w:r>
            <w:r w:rsidR="779290CE" w:rsidRPr="00AE6F9F">
              <w:rPr>
                <w:rFonts w:ascii="Times New Roman" w:eastAsia="Times New Roman" w:hAnsi="Times New Roman"/>
                <w:sz w:val="24"/>
                <w:szCs w:val="24"/>
              </w:rPr>
              <w:t xml:space="preserve">, </w:t>
            </w:r>
            <w:r w:rsidR="588E403C" w:rsidRPr="00AE6F9F">
              <w:rPr>
                <w:rFonts w:ascii="Times New Roman" w:eastAsia="Times New Roman" w:hAnsi="Times New Roman"/>
                <w:sz w:val="24"/>
                <w:szCs w:val="24"/>
              </w:rPr>
              <w:t>speed up</w:t>
            </w:r>
            <w:r w:rsidR="009303A1" w:rsidRPr="00AE6F9F">
              <w:rPr>
                <w:rFonts w:ascii="Times New Roman" w:eastAsia="Times New Roman" w:hAnsi="Times New Roman"/>
                <w:sz w:val="24"/>
                <w:szCs w:val="24"/>
              </w:rPr>
              <w:t xml:space="preserve"> permit</w:t>
            </w:r>
            <w:r w:rsidR="00F23280" w:rsidRPr="00AE6F9F">
              <w:rPr>
                <w:rFonts w:ascii="Times New Roman" w:eastAsia="Times New Roman" w:hAnsi="Times New Roman"/>
                <w:sz w:val="24"/>
                <w:szCs w:val="24"/>
              </w:rPr>
              <w:t>ting procedure</w:t>
            </w:r>
            <w:r w:rsidR="009303A1" w:rsidRPr="00AE6F9F">
              <w:rPr>
                <w:rFonts w:ascii="Times New Roman" w:eastAsia="Times New Roman" w:hAnsi="Times New Roman"/>
                <w:sz w:val="24"/>
                <w:szCs w:val="24"/>
              </w:rPr>
              <w:t>s</w:t>
            </w:r>
            <w:r w:rsidR="6F939509" w:rsidRPr="00AE6F9F">
              <w:rPr>
                <w:rFonts w:ascii="Times New Roman" w:eastAsia="Times New Roman" w:hAnsi="Times New Roman"/>
                <w:sz w:val="24"/>
                <w:szCs w:val="24"/>
              </w:rPr>
              <w:t xml:space="preserve">, </w:t>
            </w:r>
            <w:r w:rsidR="00F23280" w:rsidRPr="00AE6F9F">
              <w:rPr>
                <w:rFonts w:ascii="Times New Roman" w:eastAsia="Times New Roman" w:hAnsi="Times New Roman"/>
                <w:sz w:val="24"/>
                <w:szCs w:val="24"/>
              </w:rPr>
              <w:t>improve the efficiency of</w:t>
            </w:r>
            <w:r w:rsidR="588E403C" w:rsidRPr="00AE6F9F">
              <w:rPr>
                <w:rFonts w:ascii="Times New Roman" w:eastAsia="Times New Roman" w:hAnsi="Times New Roman"/>
                <w:sz w:val="24"/>
                <w:szCs w:val="24"/>
              </w:rPr>
              <w:t xml:space="preserve"> network charges</w:t>
            </w:r>
            <w:r w:rsidR="69FBB6D5" w:rsidRPr="00AE6F9F">
              <w:rPr>
                <w:rFonts w:ascii="Times New Roman" w:eastAsia="Times New Roman" w:hAnsi="Times New Roman"/>
                <w:sz w:val="24"/>
                <w:szCs w:val="24"/>
              </w:rPr>
              <w:t xml:space="preserve">, </w:t>
            </w:r>
            <w:r w:rsidR="00F23280" w:rsidRPr="00AE6F9F">
              <w:rPr>
                <w:rFonts w:ascii="Times New Roman" w:eastAsia="Times New Roman" w:hAnsi="Times New Roman"/>
                <w:sz w:val="24"/>
                <w:szCs w:val="24"/>
              </w:rPr>
              <w:t>and encourages</w:t>
            </w:r>
            <w:r w:rsidR="588E403C" w:rsidRPr="00AE6F9F">
              <w:rPr>
                <w:rFonts w:ascii="Times New Roman" w:eastAsia="Times New Roman" w:hAnsi="Times New Roman"/>
                <w:sz w:val="24"/>
                <w:szCs w:val="24"/>
              </w:rPr>
              <w:t xml:space="preserve"> Member States to lower taxes and levies on electricity.</w:t>
            </w:r>
            <w:r w:rsidR="00696708" w:rsidRPr="00AE6F9F">
              <w:rPr>
                <w:rFonts w:ascii="Times New Roman" w:eastAsia="Times New Roman" w:hAnsi="Times New Roman"/>
                <w:sz w:val="24"/>
                <w:szCs w:val="24"/>
              </w:rPr>
              <w:t xml:space="preserve"> </w:t>
            </w:r>
            <w:r w:rsidR="002262B9" w:rsidRPr="00AE6F9F">
              <w:rPr>
                <w:rFonts w:ascii="Times New Roman" w:eastAsia="Times New Roman" w:hAnsi="Times New Roman"/>
                <w:sz w:val="24"/>
                <w:szCs w:val="24"/>
              </w:rPr>
              <w:t xml:space="preserve">Additionally, </w:t>
            </w:r>
            <w:r w:rsidR="000B4E26" w:rsidRPr="00AE6F9F">
              <w:rPr>
                <w:rFonts w:ascii="Times New Roman" w:eastAsia="Times New Roman" w:hAnsi="Times New Roman"/>
                <w:sz w:val="24"/>
                <w:szCs w:val="24"/>
              </w:rPr>
              <w:t xml:space="preserve">the </w:t>
            </w:r>
            <w:r w:rsidR="00E03559" w:rsidRPr="00AE6F9F">
              <w:rPr>
                <w:rFonts w:ascii="Times New Roman" w:eastAsia="Times New Roman" w:hAnsi="Times New Roman"/>
                <w:sz w:val="24"/>
                <w:szCs w:val="24"/>
              </w:rPr>
              <w:t>Industrial Accelerator Act</w:t>
            </w:r>
            <w:r w:rsidR="000B4E26" w:rsidRPr="00AE6F9F">
              <w:rPr>
                <w:rFonts w:ascii="Times New Roman" w:eastAsia="Times New Roman" w:hAnsi="Times New Roman"/>
                <w:sz w:val="24"/>
                <w:szCs w:val="24"/>
              </w:rPr>
              <w:t xml:space="preserve"> introduces</w:t>
            </w:r>
            <w:r w:rsidR="00DA369C">
              <w:rPr>
                <w:rFonts w:ascii="Times New Roman" w:eastAsia="Times New Roman" w:hAnsi="Times New Roman"/>
                <w:sz w:val="24"/>
                <w:szCs w:val="24"/>
              </w:rPr>
              <w:t xml:space="preserve"> </w:t>
            </w:r>
            <w:r w:rsidR="000B4E26" w:rsidRPr="00AE6F9F">
              <w:rPr>
                <w:rFonts w:ascii="Times New Roman" w:eastAsia="Times New Roman" w:hAnsi="Times New Roman"/>
                <w:sz w:val="24"/>
                <w:szCs w:val="24"/>
              </w:rPr>
              <w:t>targeted and proportionate ‘Made in EU' and / or low-carbon requirements for public procurement and public support schemes.</w:t>
            </w:r>
            <w:r w:rsidR="00DA369C">
              <w:rPr>
                <w:rFonts w:ascii="Times New Roman" w:eastAsia="Times New Roman" w:hAnsi="Times New Roman"/>
                <w:sz w:val="24"/>
                <w:szCs w:val="24"/>
              </w:rPr>
              <w:t xml:space="preserve"> </w:t>
            </w:r>
            <w:r w:rsidR="000B4E26" w:rsidRPr="00AE6F9F">
              <w:rPr>
                <w:rFonts w:ascii="Times New Roman" w:eastAsia="Times New Roman" w:hAnsi="Times New Roman"/>
                <w:sz w:val="24"/>
                <w:szCs w:val="24"/>
              </w:rPr>
              <w:t>These will apply to selected strategic sectors, notably</w:t>
            </w:r>
            <w:r w:rsidR="001A3E33">
              <w:rPr>
                <w:rFonts w:ascii="Times New Roman" w:eastAsia="Times New Roman" w:hAnsi="Times New Roman"/>
                <w:sz w:val="24"/>
                <w:szCs w:val="24"/>
              </w:rPr>
              <w:t xml:space="preserve"> </w:t>
            </w:r>
            <w:r w:rsidR="000B4E26" w:rsidRPr="00AE6F9F">
              <w:rPr>
                <w:rFonts w:ascii="Times New Roman" w:eastAsia="Times New Roman" w:hAnsi="Times New Roman"/>
                <w:sz w:val="24"/>
                <w:szCs w:val="24"/>
              </w:rPr>
              <w:t>in steel, cement, aluminium, cars, and net-zero technologies, while establishing a framework that can be extended, where appropriate, to other energy-intensive sectors such as chemicals. This will</w:t>
            </w:r>
            <w:r w:rsidR="001A3E33">
              <w:rPr>
                <w:rFonts w:ascii="Times New Roman" w:eastAsia="Times New Roman" w:hAnsi="Times New Roman"/>
                <w:sz w:val="24"/>
                <w:szCs w:val="24"/>
              </w:rPr>
              <w:t xml:space="preserve"> </w:t>
            </w:r>
            <w:r w:rsidR="000B4E26" w:rsidRPr="00AE6F9F">
              <w:rPr>
                <w:rFonts w:ascii="Times New Roman" w:eastAsia="Times New Roman" w:hAnsi="Times New Roman"/>
                <w:sz w:val="24"/>
                <w:szCs w:val="24"/>
              </w:rPr>
              <w:t>strengthen European production capacities and boost demand for European-made clean technologies and products.</w:t>
            </w:r>
          </w:p>
          <w:p w14:paraId="706C99D5" w14:textId="6EB3F7BC" w:rsidR="001D3738" w:rsidRPr="00AE6F9F" w:rsidRDefault="63BB6D96" w:rsidP="00AE6F9F">
            <w:pPr>
              <w:widowControl w:val="0"/>
              <w:spacing w:before="120" w:after="120"/>
              <w:jc w:val="both"/>
              <w:rPr>
                <w:rFonts w:ascii="Times New Roman" w:hAnsi="Times New Roman"/>
                <w:sz w:val="24"/>
                <w:szCs w:val="24"/>
              </w:rPr>
            </w:pPr>
            <w:r w:rsidRPr="00AE6F9F">
              <w:rPr>
                <w:rFonts w:ascii="Times New Roman" w:eastAsia="Times New Roman" w:hAnsi="Times New Roman"/>
                <w:sz w:val="24"/>
                <w:szCs w:val="24"/>
              </w:rPr>
              <w:t>The 2040 target</w:t>
            </w:r>
            <w:r w:rsidR="005F635E" w:rsidRPr="00AE6F9F">
              <w:rPr>
                <w:rFonts w:ascii="Times New Roman" w:eastAsia="Times New Roman" w:hAnsi="Times New Roman"/>
                <w:sz w:val="24"/>
                <w:szCs w:val="24"/>
              </w:rPr>
              <w:t xml:space="preserve"> and the 2050 climate neutralit</w:t>
            </w:r>
            <w:r w:rsidR="0025357A" w:rsidRPr="00AE6F9F">
              <w:rPr>
                <w:rFonts w:ascii="Times New Roman" w:eastAsia="Times New Roman" w:hAnsi="Times New Roman"/>
                <w:sz w:val="24"/>
                <w:szCs w:val="24"/>
              </w:rPr>
              <w:t>y</w:t>
            </w:r>
            <w:r w:rsidR="005F635E" w:rsidRPr="00AE6F9F">
              <w:rPr>
                <w:rFonts w:ascii="Times New Roman" w:eastAsia="Times New Roman" w:hAnsi="Times New Roman"/>
                <w:sz w:val="24"/>
                <w:szCs w:val="24"/>
              </w:rPr>
              <w:t xml:space="preserve"> target</w:t>
            </w:r>
            <w:r w:rsidRPr="00AE6F9F">
              <w:rPr>
                <w:rFonts w:ascii="Times New Roman" w:eastAsia="Times New Roman" w:hAnsi="Times New Roman"/>
                <w:sz w:val="24"/>
                <w:szCs w:val="24"/>
              </w:rPr>
              <w:t xml:space="preserve"> require</w:t>
            </w:r>
            <w:r w:rsidR="005F635E" w:rsidRPr="00AE6F9F">
              <w:rPr>
                <w:rFonts w:ascii="Times New Roman" w:eastAsia="Times New Roman" w:hAnsi="Times New Roman"/>
                <w:sz w:val="24"/>
                <w:szCs w:val="24"/>
              </w:rPr>
              <w:t xml:space="preserve"> </w:t>
            </w:r>
            <w:r w:rsidRPr="00AE6F9F">
              <w:rPr>
                <w:rFonts w:ascii="Times New Roman" w:eastAsia="Times New Roman" w:hAnsi="Times New Roman"/>
                <w:sz w:val="24"/>
                <w:szCs w:val="24"/>
              </w:rPr>
              <w:t xml:space="preserve">an additional 1.5 percentage point of </w:t>
            </w:r>
            <w:r w:rsidR="00DB643D" w:rsidRPr="00AE6F9F">
              <w:rPr>
                <w:rFonts w:ascii="Times New Roman" w:eastAsia="Times New Roman" w:hAnsi="Times New Roman"/>
                <w:sz w:val="24"/>
                <w:szCs w:val="24"/>
              </w:rPr>
              <w:t xml:space="preserve">Gross </w:t>
            </w:r>
            <w:r w:rsidR="009303A1" w:rsidRPr="00AE6F9F">
              <w:rPr>
                <w:rFonts w:ascii="Times New Roman" w:eastAsia="Times New Roman" w:hAnsi="Times New Roman"/>
                <w:sz w:val="24"/>
                <w:szCs w:val="24"/>
              </w:rPr>
              <w:t>D</w:t>
            </w:r>
            <w:r w:rsidR="00DB643D" w:rsidRPr="00AE6F9F">
              <w:rPr>
                <w:rFonts w:ascii="Times New Roman" w:eastAsia="Times New Roman" w:hAnsi="Times New Roman"/>
                <w:sz w:val="24"/>
                <w:szCs w:val="24"/>
              </w:rPr>
              <w:t xml:space="preserve">omestic </w:t>
            </w:r>
            <w:r w:rsidR="009303A1" w:rsidRPr="00AE6F9F">
              <w:rPr>
                <w:rFonts w:ascii="Times New Roman" w:eastAsia="Times New Roman" w:hAnsi="Times New Roman"/>
                <w:sz w:val="24"/>
                <w:szCs w:val="24"/>
              </w:rPr>
              <w:t>P</w:t>
            </w:r>
            <w:r w:rsidR="00DB643D" w:rsidRPr="00AE6F9F">
              <w:rPr>
                <w:rFonts w:ascii="Times New Roman" w:eastAsia="Times New Roman" w:hAnsi="Times New Roman"/>
                <w:sz w:val="24"/>
                <w:szCs w:val="24"/>
              </w:rPr>
              <w:t>roduct (</w:t>
            </w:r>
            <w:r w:rsidRPr="00AE6F9F">
              <w:rPr>
                <w:rFonts w:ascii="Times New Roman" w:eastAsia="Times New Roman" w:hAnsi="Times New Roman"/>
                <w:sz w:val="24"/>
                <w:szCs w:val="24"/>
              </w:rPr>
              <w:t>GDP</w:t>
            </w:r>
            <w:r w:rsidR="00DB643D" w:rsidRPr="00AE6F9F">
              <w:rPr>
                <w:rFonts w:ascii="Times New Roman" w:eastAsia="Times New Roman" w:hAnsi="Times New Roman"/>
                <w:sz w:val="24"/>
                <w:szCs w:val="24"/>
              </w:rPr>
              <w:t>)</w:t>
            </w:r>
            <w:r w:rsidR="005F635E" w:rsidRPr="00AE6F9F">
              <w:rPr>
                <w:rFonts w:ascii="Times New Roman" w:eastAsia="Times New Roman" w:hAnsi="Times New Roman"/>
                <w:sz w:val="24"/>
                <w:szCs w:val="24"/>
              </w:rPr>
              <w:t xml:space="preserve"> during 2021-2050</w:t>
            </w:r>
            <w:r w:rsidRPr="00AE6F9F">
              <w:rPr>
                <w:rFonts w:ascii="Times New Roman" w:eastAsia="Times New Roman" w:hAnsi="Times New Roman"/>
                <w:sz w:val="24"/>
                <w:szCs w:val="24"/>
              </w:rPr>
              <w:t xml:space="preserve"> in investment compared to average energy system investment in 2011-2020. The resulting evolution of investment as a proportion of GDP is not exceptional in historical terms, though the increase would need to be sustained over a prolonged </w:t>
            </w:r>
            <w:proofErr w:type="gramStart"/>
            <w:r w:rsidRPr="00AE6F9F">
              <w:rPr>
                <w:rFonts w:ascii="Times New Roman" w:eastAsia="Times New Roman" w:hAnsi="Times New Roman"/>
                <w:sz w:val="24"/>
                <w:szCs w:val="24"/>
              </w:rPr>
              <w:t>period of time</w:t>
            </w:r>
            <w:proofErr w:type="gramEnd"/>
            <w:r w:rsidR="1F68FF91" w:rsidRPr="00AE6F9F">
              <w:rPr>
                <w:rFonts w:ascii="Times New Roman" w:eastAsia="Times New Roman" w:hAnsi="Times New Roman"/>
                <w:sz w:val="24"/>
                <w:szCs w:val="24"/>
              </w:rPr>
              <w:t>.</w:t>
            </w:r>
            <w:r w:rsidR="1D49324E" w:rsidRPr="00AE6F9F">
              <w:rPr>
                <w:rFonts w:ascii="Times New Roman" w:eastAsia="Times New Roman" w:hAnsi="Times New Roman"/>
                <w:sz w:val="24"/>
                <w:szCs w:val="24"/>
              </w:rPr>
              <w:t xml:space="preserve"> </w:t>
            </w:r>
            <w:r w:rsidR="72D9CF90" w:rsidRPr="00AE6F9F">
              <w:rPr>
                <w:rFonts w:ascii="Times New Roman" w:hAnsi="Times New Roman"/>
                <w:sz w:val="24"/>
                <w:szCs w:val="24"/>
              </w:rPr>
              <w:t>To support these investments, t</w:t>
            </w:r>
            <w:r w:rsidR="01FF72BA" w:rsidRPr="00AE6F9F">
              <w:rPr>
                <w:rFonts w:ascii="Times New Roman" w:hAnsi="Times New Roman"/>
                <w:sz w:val="24"/>
                <w:szCs w:val="24"/>
              </w:rPr>
              <w:t xml:space="preserve">he Union will build on the </w:t>
            </w:r>
            <w:r w:rsidR="411DFE81" w:rsidRPr="00AE6F9F">
              <w:rPr>
                <w:rFonts w:ascii="Times New Roman" w:hAnsi="Times New Roman"/>
                <w:sz w:val="24"/>
                <w:szCs w:val="24"/>
              </w:rPr>
              <w:t xml:space="preserve">successful tools </w:t>
            </w:r>
            <w:r w:rsidR="01FF72BA" w:rsidRPr="00AE6F9F">
              <w:rPr>
                <w:rFonts w:ascii="Times New Roman" w:hAnsi="Times New Roman"/>
                <w:sz w:val="24"/>
                <w:szCs w:val="24"/>
              </w:rPr>
              <w:t>it has</w:t>
            </w:r>
            <w:r w:rsidR="411DFE81" w:rsidRPr="00AE6F9F">
              <w:rPr>
                <w:rFonts w:ascii="Times New Roman" w:hAnsi="Times New Roman"/>
                <w:sz w:val="24"/>
                <w:szCs w:val="24"/>
              </w:rPr>
              <w:t xml:space="preserve">. </w:t>
            </w:r>
            <w:r w:rsidR="001D3738" w:rsidRPr="00AE6F9F">
              <w:rPr>
                <w:rFonts w:ascii="Times New Roman" w:hAnsi="Times New Roman"/>
                <w:sz w:val="24"/>
                <w:szCs w:val="24"/>
              </w:rPr>
              <w:t xml:space="preserve">To give a few examples: </w:t>
            </w:r>
            <w:r w:rsidR="00DB643D" w:rsidRPr="00AE6F9F">
              <w:rPr>
                <w:rFonts w:ascii="Times New Roman" w:hAnsi="Times New Roman"/>
                <w:sz w:val="24"/>
                <w:szCs w:val="24"/>
              </w:rPr>
              <w:t>w</w:t>
            </w:r>
            <w:r w:rsidR="411DFE81" w:rsidRPr="00AE6F9F">
              <w:rPr>
                <w:rFonts w:ascii="Times New Roman" w:hAnsi="Times New Roman"/>
                <w:sz w:val="24"/>
                <w:szCs w:val="24"/>
              </w:rPr>
              <w:t xml:space="preserve">ith the review of the </w:t>
            </w:r>
            <w:proofErr w:type="gramStart"/>
            <w:r w:rsidR="411DFE81" w:rsidRPr="00AE6F9F">
              <w:rPr>
                <w:rFonts w:ascii="Times New Roman" w:hAnsi="Times New Roman"/>
                <w:sz w:val="24"/>
                <w:szCs w:val="24"/>
              </w:rPr>
              <w:t>EU ETS, and</w:t>
            </w:r>
            <w:proofErr w:type="gramEnd"/>
            <w:r w:rsidR="411DFE81" w:rsidRPr="00AE6F9F">
              <w:rPr>
                <w:rFonts w:ascii="Times New Roman" w:hAnsi="Times New Roman"/>
                <w:sz w:val="24"/>
                <w:szCs w:val="24"/>
              </w:rPr>
              <w:t xml:space="preserve"> based on the experiences of the </w:t>
            </w:r>
            <w:r w:rsidR="0054763B" w:rsidRPr="00AE6F9F">
              <w:rPr>
                <w:rFonts w:ascii="Times New Roman" w:hAnsi="Times New Roman"/>
                <w:sz w:val="24"/>
                <w:szCs w:val="24"/>
              </w:rPr>
              <w:t xml:space="preserve">ETS-financed </w:t>
            </w:r>
            <w:r w:rsidR="411DFE81" w:rsidRPr="00AE6F9F">
              <w:rPr>
                <w:rFonts w:ascii="Times New Roman" w:hAnsi="Times New Roman"/>
                <w:sz w:val="24"/>
                <w:szCs w:val="24"/>
              </w:rPr>
              <w:t xml:space="preserve">Innovation Fund, </w:t>
            </w:r>
            <w:r w:rsidR="4AD13DFC" w:rsidRPr="00AE6F9F">
              <w:rPr>
                <w:rFonts w:ascii="Times New Roman" w:hAnsi="Times New Roman"/>
                <w:sz w:val="24"/>
                <w:szCs w:val="24"/>
              </w:rPr>
              <w:t>the Commission</w:t>
            </w:r>
            <w:r w:rsidR="411DFE81" w:rsidRPr="00AE6F9F">
              <w:rPr>
                <w:rFonts w:ascii="Times New Roman" w:hAnsi="Times New Roman"/>
                <w:sz w:val="24"/>
                <w:szCs w:val="24"/>
              </w:rPr>
              <w:t xml:space="preserve"> propose</w:t>
            </w:r>
            <w:r w:rsidR="001E6CA6" w:rsidRPr="00AE6F9F">
              <w:rPr>
                <w:rFonts w:ascii="Times New Roman" w:hAnsi="Times New Roman"/>
                <w:sz w:val="24"/>
                <w:szCs w:val="24"/>
              </w:rPr>
              <w:t>s</w:t>
            </w:r>
            <w:r w:rsidR="411DFE81" w:rsidRPr="00AE6F9F">
              <w:rPr>
                <w:rFonts w:ascii="Times New Roman" w:hAnsi="Times New Roman"/>
                <w:sz w:val="24"/>
                <w:szCs w:val="24"/>
              </w:rPr>
              <w:t xml:space="preserve"> an Industrial Decarbonisation Bank, which aims at providing </w:t>
            </w:r>
            <w:r w:rsidR="00DB643D" w:rsidRPr="00AE6F9F">
              <w:rPr>
                <w:rFonts w:ascii="Times New Roman" w:hAnsi="Times New Roman"/>
                <w:sz w:val="24"/>
                <w:szCs w:val="24"/>
              </w:rPr>
              <w:t>EUR</w:t>
            </w:r>
            <w:r w:rsidR="009303A1" w:rsidRPr="00AE6F9F">
              <w:rPr>
                <w:rFonts w:ascii="Times New Roman" w:hAnsi="Times New Roman"/>
                <w:sz w:val="24"/>
                <w:szCs w:val="24"/>
              </w:rPr>
              <w:t xml:space="preserve"> </w:t>
            </w:r>
            <w:r w:rsidR="411DFE81" w:rsidRPr="00AE6F9F">
              <w:rPr>
                <w:rFonts w:ascii="Times New Roman" w:hAnsi="Times New Roman"/>
                <w:sz w:val="24"/>
                <w:szCs w:val="24"/>
              </w:rPr>
              <w:t>100 billion in funding for industrial decarbonization.</w:t>
            </w:r>
            <w:r w:rsidR="001D3738" w:rsidRPr="00AE6F9F">
              <w:rPr>
                <w:rFonts w:ascii="Times New Roman" w:hAnsi="Times New Roman"/>
                <w:sz w:val="24"/>
                <w:szCs w:val="24"/>
              </w:rPr>
              <w:t xml:space="preserve"> State aid measures will be fast tracked through the Clean Industrial Deal State </w:t>
            </w:r>
            <w:proofErr w:type="gramStart"/>
            <w:r w:rsidR="001D3738" w:rsidRPr="00AE6F9F">
              <w:rPr>
                <w:rFonts w:ascii="Times New Roman" w:hAnsi="Times New Roman"/>
                <w:sz w:val="24"/>
                <w:szCs w:val="24"/>
              </w:rPr>
              <w:t>aid</w:t>
            </w:r>
            <w:proofErr w:type="gramEnd"/>
            <w:r w:rsidR="001D3738" w:rsidRPr="00AE6F9F">
              <w:rPr>
                <w:rFonts w:ascii="Times New Roman" w:hAnsi="Times New Roman"/>
                <w:sz w:val="24"/>
                <w:szCs w:val="24"/>
              </w:rPr>
              <w:t xml:space="preserve"> Framework.</w:t>
            </w:r>
            <w:r w:rsidR="00DB643D" w:rsidRPr="00AE6F9F">
              <w:rPr>
                <w:rFonts w:ascii="Times New Roman" w:hAnsi="Times New Roman"/>
                <w:sz w:val="24"/>
                <w:szCs w:val="24"/>
                <w:lang w:val="en-IE"/>
              </w:rPr>
              <w:t xml:space="preserve"> </w:t>
            </w:r>
            <w:r w:rsidR="001D3738" w:rsidRPr="00AE6F9F">
              <w:rPr>
                <w:rFonts w:ascii="Times New Roman" w:hAnsi="Times New Roman"/>
                <w:sz w:val="24"/>
                <w:szCs w:val="24"/>
              </w:rPr>
              <w:t xml:space="preserve">EU Invest will also be revamped and several additional guarantee and lending systems will be developed with the </w:t>
            </w:r>
            <w:r w:rsidR="00DB643D" w:rsidRPr="00AE6F9F">
              <w:rPr>
                <w:rFonts w:ascii="Times New Roman" w:hAnsi="Times New Roman"/>
                <w:sz w:val="24"/>
                <w:szCs w:val="24"/>
              </w:rPr>
              <w:t>European Investment Bank</w:t>
            </w:r>
            <w:r w:rsidR="009303A1" w:rsidRPr="00AE6F9F">
              <w:rPr>
                <w:rFonts w:ascii="Times New Roman" w:hAnsi="Times New Roman"/>
                <w:sz w:val="24"/>
                <w:szCs w:val="24"/>
              </w:rPr>
              <w:t xml:space="preserve"> </w:t>
            </w:r>
            <w:r w:rsidR="00DB643D" w:rsidRPr="00AE6F9F">
              <w:rPr>
                <w:rFonts w:ascii="Times New Roman" w:hAnsi="Times New Roman"/>
                <w:sz w:val="24"/>
                <w:szCs w:val="24"/>
              </w:rPr>
              <w:t>(</w:t>
            </w:r>
            <w:r w:rsidR="001D3738" w:rsidRPr="00AE6F9F">
              <w:rPr>
                <w:rFonts w:ascii="Times New Roman" w:hAnsi="Times New Roman"/>
                <w:sz w:val="24"/>
                <w:szCs w:val="24"/>
              </w:rPr>
              <w:t>EIB</w:t>
            </w:r>
            <w:r w:rsidR="00DB643D" w:rsidRPr="00AE6F9F">
              <w:rPr>
                <w:rFonts w:ascii="Times New Roman" w:hAnsi="Times New Roman"/>
                <w:sz w:val="24"/>
                <w:szCs w:val="24"/>
              </w:rPr>
              <w:t>)</w:t>
            </w:r>
            <w:r w:rsidR="001D3738" w:rsidRPr="00AE6F9F">
              <w:rPr>
                <w:rFonts w:ascii="Times New Roman" w:hAnsi="Times New Roman"/>
                <w:sz w:val="24"/>
                <w:szCs w:val="24"/>
              </w:rPr>
              <w:t xml:space="preserve"> to derisk investments related to clean tech manufacturing and industrial decarbonisation.</w:t>
            </w:r>
            <w:r w:rsidR="00DB643D" w:rsidRPr="00AE6F9F">
              <w:rPr>
                <w:rFonts w:ascii="Times New Roman" w:hAnsi="Times New Roman"/>
                <w:sz w:val="24"/>
                <w:szCs w:val="24"/>
                <w:lang w:val="en-IE"/>
              </w:rPr>
              <w:t xml:space="preserve"> </w:t>
            </w:r>
            <w:r w:rsidR="001D3738" w:rsidRPr="00AE6F9F">
              <w:rPr>
                <w:rFonts w:ascii="Times New Roman" w:hAnsi="Times New Roman"/>
                <w:sz w:val="24"/>
                <w:szCs w:val="24"/>
              </w:rPr>
              <w:t xml:space="preserve">Lead markets for decarbonised industrial products </w:t>
            </w:r>
            <w:proofErr w:type="gramStart"/>
            <w:r w:rsidR="001D3738" w:rsidRPr="00AE6F9F">
              <w:rPr>
                <w:rFonts w:ascii="Times New Roman" w:hAnsi="Times New Roman"/>
                <w:sz w:val="24"/>
                <w:szCs w:val="24"/>
              </w:rPr>
              <w:t>have to</w:t>
            </w:r>
            <w:proofErr w:type="gramEnd"/>
            <w:r w:rsidR="001D3738" w:rsidRPr="00AE6F9F">
              <w:rPr>
                <w:rFonts w:ascii="Times New Roman" w:hAnsi="Times New Roman"/>
                <w:sz w:val="24"/>
                <w:szCs w:val="24"/>
              </w:rPr>
              <w:t xml:space="preserve"> be fostered. Non</w:t>
            </w:r>
            <w:r w:rsidR="009303A1" w:rsidRPr="00AE6F9F">
              <w:rPr>
                <w:rFonts w:ascii="Times New Roman" w:hAnsi="Times New Roman"/>
                <w:sz w:val="24"/>
                <w:szCs w:val="24"/>
              </w:rPr>
              <w:t>-</w:t>
            </w:r>
            <w:r w:rsidR="001D3738" w:rsidRPr="00AE6F9F">
              <w:rPr>
                <w:rFonts w:ascii="Times New Roman" w:hAnsi="Times New Roman"/>
                <w:sz w:val="24"/>
                <w:szCs w:val="24"/>
              </w:rPr>
              <w:t>price criteria will be developed and their use encouraged under public procurement.</w:t>
            </w:r>
          </w:p>
          <w:p w14:paraId="31C310BA" w14:textId="564924BE" w:rsidR="00325901" w:rsidRPr="00AE6F9F" w:rsidRDefault="589F01EA" w:rsidP="00AE6F9F">
            <w:pPr>
              <w:widowControl w:val="0"/>
              <w:spacing w:before="120" w:after="120"/>
              <w:jc w:val="both"/>
              <w:rPr>
                <w:rFonts w:ascii="Times New Roman" w:hAnsi="Times New Roman"/>
                <w:b/>
                <w:bCs/>
                <w:sz w:val="24"/>
                <w:szCs w:val="24"/>
                <w:lang w:eastAsia="zh-CN"/>
              </w:rPr>
            </w:pPr>
            <w:r w:rsidRPr="00AE6F9F">
              <w:rPr>
                <w:rFonts w:ascii="Times New Roman" w:hAnsi="Times New Roman"/>
                <w:b/>
                <w:bCs/>
                <w:sz w:val="24"/>
                <w:szCs w:val="24"/>
                <w:lang w:eastAsia="zh-CN"/>
              </w:rPr>
              <w:t>Cost of inaction</w:t>
            </w:r>
            <w:r w:rsidR="00DB643D" w:rsidRPr="00AE6F9F">
              <w:rPr>
                <w:rFonts w:ascii="Times New Roman" w:hAnsi="Times New Roman"/>
                <w:b/>
                <w:bCs/>
                <w:sz w:val="24"/>
                <w:szCs w:val="24"/>
                <w:lang w:eastAsia="zh-CN"/>
              </w:rPr>
              <w:t>:</w:t>
            </w:r>
          </w:p>
          <w:p w14:paraId="4914B389" w14:textId="43807763" w:rsidR="00524FDC" w:rsidRPr="00AE6F9F" w:rsidRDefault="589F01EA" w:rsidP="00AE6F9F">
            <w:pPr>
              <w:widowControl w:val="0"/>
              <w:spacing w:before="120" w:after="120"/>
              <w:jc w:val="both"/>
              <w:rPr>
                <w:rFonts w:ascii="Times New Roman" w:eastAsia="Times New Roman" w:hAnsi="Times New Roman"/>
                <w:sz w:val="24"/>
                <w:szCs w:val="24"/>
                <w:lang w:eastAsia="zh-CN"/>
              </w:rPr>
            </w:pPr>
            <w:r w:rsidRPr="00AE6F9F">
              <w:rPr>
                <w:rFonts w:ascii="Times New Roman" w:eastAsia="Times New Roman" w:hAnsi="Times New Roman"/>
                <w:sz w:val="24"/>
                <w:szCs w:val="24"/>
              </w:rPr>
              <w:t>Ultimately, the</w:t>
            </w:r>
            <w:r w:rsidR="1093AB8C" w:rsidRPr="00AE6F9F">
              <w:rPr>
                <w:rFonts w:ascii="Times New Roman" w:eastAsia="Times New Roman" w:hAnsi="Times New Roman"/>
                <w:sz w:val="24"/>
                <w:szCs w:val="24"/>
              </w:rPr>
              <w:t xml:space="preserve"> cost of inaction </w:t>
            </w:r>
            <w:r w:rsidR="1993EC13" w:rsidRPr="00AE6F9F">
              <w:rPr>
                <w:rFonts w:ascii="Times New Roman" w:eastAsia="Times New Roman" w:hAnsi="Times New Roman"/>
                <w:sz w:val="24"/>
                <w:szCs w:val="24"/>
              </w:rPr>
              <w:t xml:space="preserve">on climate change </w:t>
            </w:r>
            <w:r w:rsidR="1093AB8C" w:rsidRPr="00AE6F9F">
              <w:rPr>
                <w:rFonts w:ascii="Times New Roman" w:eastAsia="Times New Roman" w:hAnsi="Times New Roman"/>
                <w:sz w:val="24"/>
                <w:szCs w:val="24"/>
              </w:rPr>
              <w:t>globally would be much higher</w:t>
            </w:r>
            <w:r w:rsidR="5E5DB3A4" w:rsidRPr="00AE6F9F">
              <w:rPr>
                <w:rFonts w:ascii="Times New Roman" w:eastAsia="Times New Roman" w:hAnsi="Times New Roman"/>
                <w:sz w:val="24"/>
                <w:szCs w:val="24"/>
              </w:rPr>
              <w:t xml:space="preserve"> than the cost of decarbonisation</w:t>
            </w:r>
            <w:r w:rsidR="1093AB8C" w:rsidRPr="00AE6F9F">
              <w:rPr>
                <w:rFonts w:ascii="Times New Roman" w:eastAsia="Times New Roman" w:hAnsi="Times New Roman"/>
                <w:sz w:val="24"/>
                <w:szCs w:val="24"/>
              </w:rPr>
              <w:t xml:space="preserve">. And the co-benefits of climate action are substantial, in terms of reductions in premature deaths and illness due to air pollution, in terms of reduced costs of importing fossil fuels, </w:t>
            </w:r>
            <w:r w:rsidR="009303A1" w:rsidRPr="00AE6F9F">
              <w:rPr>
                <w:rFonts w:ascii="Times New Roman" w:eastAsia="Times New Roman" w:hAnsi="Times New Roman"/>
                <w:sz w:val="24"/>
                <w:szCs w:val="24"/>
              </w:rPr>
              <w:t xml:space="preserve">and </w:t>
            </w:r>
            <w:r w:rsidR="1093AB8C" w:rsidRPr="00AE6F9F">
              <w:rPr>
                <w:rFonts w:ascii="Times New Roman" w:eastAsia="Times New Roman" w:hAnsi="Times New Roman"/>
                <w:sz w:val="24"/>
                <w:szCs w:val="24"/>
              </w:rPr>
              <w:t>in terms of reducing exposure to energy price shocks.</w:t>
            </w:r>
          </w:p>
          <w:p w14:paraId="3A38708D" w14:textId="471C5F91" w:rsidR="00524FDC" w:rsidRPr="00AE6F9F" w:rsidRDefault="1093AB8C" w:rsidP="00AE6F9F">
            <w:pPr>
              <w:widowControl w:val="0"/>
              <w:spacing w:before="120" w:after="120"/>
              <w:jc w:val="both"/>
              <w:rPr>
                <w:rFonts w:ascii="Times New Roman" w:eastAsia="Times New Roman" w:hAnsi="Times New Roman"/>
                <w:sz w:val="24"/>
                <w:szCs w:val="24"/>
                <w:lang w:eastAsia="zh-CN"/>
              </w:rPr>
            </w:pPr>
            <w:r w:rsidRPr="00AE6F9F">
              <w:rPr>
                <w:rFonts w:ascii="Times New Roman" w:eastAsia="Times New Roman" w:hAnsi="Times New Roman"/>
                <w:sz w:val="24"/>
                <w:szCs w:val="24"/>
              </w:rPr>
              <w:t>According to the European Environmental Agency, the economic losses due to weather and climate related events amounted to EUR</w:t>
            </w:r>
            <w:r w:rsidR="00DB643D" w:rsidRPr="00AE6F9F">
              <w:rPr>
                <w:rFonts w:ascii="Times New Roman" w:eastAsia="Times New Roman" w:hAnsi="Times New Roman"/>
                <w:sz w:val="24"/>
                <w:szCs w:val="24"/>
              </w:rPr>
              <w:t> </w:t>
            </w:r>
            <w:r w:rsidRPr="00AE6F9F">
              <w:rPr>
                <w:rFonts w:ascii="Times New Roman" w:eastAsia="Times New Roman" w:hAnsi="Times New Roman"/>
                <w:sz w:val="24"/>
                <w:szCs w:val="24"/>
              </w:rPr>
              <w:t>650 billion in the EU in the past four decades (1980-2022), of which EUR</w:t>
            </w:r>
            <w:r w:rsidR="00DB643D" w:rsidRPr="00AE6F9F">
              <w:rPr>
                <w:rFonts w:ascii="Times New Roman" w:eastAsia="Times New Roman" w:hAnsi="Times New Roman"/>
                <w:sz w:val="24"/>
                <w:szCs w:val="24"/>
              </w:rPr>
              <w:t> </w:t>
            </w:r>
            <w:r w:rsidRPr="00AE6F9F">
              <w:rPr>
                <w:rFonts w:ascii="Times New Roman" w:eastAsia="Times New Roman" w:hAnsi="Times New Roman"/>
                <w:sz w:val="24"/>
                <w:szCs w:val="24"/>
              </w:rPr>
              <w:t>59.4 billion in 2021 and EUR</w:t>
            </w:r>
            <w:r w:rsidR="00DB643D" w:rsidRPr="00AE6F9F">
              <w:rPr>
                <w:rFonts w:ascii="Times New Roman" w:eastAsia="Times New Roman" w:hAnsi="Times New Roman"/>
                <w:sz w:val="24"/>
                <w:szCs w:val="24"/>
              </w:rPr>
              <w:t> </w:t>
            </w:r>
            <w:r w:rsidRPr="00AE6F9F">
              <w:rPr>
                <w:rFonts w:ascii="Times New Roman" w:eastAsia="Times New Roman" w:hAnsi="Times New Roman"/>
                <w:sz w:val="24"/>
                <w:szCs w:val="24"/>
              </w:rPr>
              <w:t>52.3 billion in 2022.</w:t>
            </w:r>
          </w:p>
          <w:p w14:paraId="2E80DECF" w14:textId="0D87BA42" w:rsidR="0022275D" w:rsidRPr="00AE6F9F" w:rsidRDefault="1093AB8C" w:rsidP="00AE6F9F">
            <w:pPr>
              <w:widowControl w:val="0"/>
              <w:spacing w:before="120" w:after="120"/>
              <w:jc w:val="both"/>
              <w:rPr>
                <w:rFonts w:ascii="Times New Roman" w:eastAsia="Times New Roman" w:hAnsi="Times New Roman"/>
                <w:sz w:val="24"/>
                <w:szCs w:val="24"/>
                <w:lang w:eastAsia="zh-CN"/>
              </w:rPr>
            </w:pPr>
            <w:r w:rsidRPr="00AE6F9F">
              <w:rPr>
                <w:rFonts w:ascii="Times New Roman" w:eastAsia="Times New Roman" w:hAnsi="Times New Roman"/>
                <w:sz w:val="24"/>
                <w:szCs w:val="24"/>
              </w:rPr>
              <w:t xml:space="preserve">Estimating the total costs of future extreme weather events is extremely difficult and subject to major uncertainties. </w:t>
            </w:r>
            <w:r w:rsidR="0054763B" w:rsidRPr="00AE6F9F">
              <w:rPr>
                <w:rFonts w:ascii="Times New Roman" w:eastAsia="Times New Roman" w:hAnsi="Times New Roman"/>
                <w:sz w:val="24"/>
                <w:szCs w:val="24"/>
              </w:rPr>
              <w:t xml:space="preserve">However, a </w:t>
            </w:r>
            <w:r w:rsidRPr="00AE6F9F">
              <w:rPr>
                <w:rFonts w:ascii="Times New Roman" w:eastAsia="Times New Roman" w:hAnsi="Times New Roman"/>
                <w:sz w:val="24"/>
                <w:szCs w:val="24"/>
              </w:rPr>
              <w:t>conservative estimate is that EU GDP could</w:t>
            </w:r>
            <w:r w:rsidR="009303A1" w:rsidRPr="00AE6F9F">
              <w:rPr>
                <w:rFonts w:ascii="Times New Roman" w:eastAsia="Times New Roman" w:hAnsi="Times New Roman"/>
                <w:sz w:val="24"/>
                <w:szCs w:val="24"/>
              </w:rPr>
              <w:t xml:space="preserve"> be</w:t>
            </w:r>
            <w:r w:rsidRPr="00AE6F9F">
              <w:rPr>
                <w:rFonts w:ascii="Times New Roman" w:eastAsia="Times New Roman" w:hAnsi="Times New Roman"/>
                <w:sz w:val="24"/>
                <w:szCs w:val="24"/>
              </w:rPr>
              <w:t xml:space="preserve"> about 7% lower by the end of the century in the absence of strong mitigation efforts.</w:t>
            </w:r>
          </w:p>
        </w:tc>
      </w:tr>
      <w:tr w:rsidR="0054763B" w:rsidRPr="004F6117" w14:paraId="5C7B8570" w14:textId="77777777" w:rsidTr="00407F57">
        <w:trPr>
          <w:trHeight w:val="812"/>
          <w:jc w:val="center"/>
        </w:trPr>
        <w:tc>
          <w:tcPr>
            <w:tcW w:w="10156" w:type="dxa"/>
          </w:tcPr>
          <w:p w14:paraId="38BCDE28" w14:textId="22C8835D" w:rsidR="0054763B" w:rsidRPr="00AE6F9F" w:rsidRDefault="0054763B" w:rsidP="00AE6F9F">
            <w:pPr>
              <w:widowControl w:val="0"/>
              <w:spacing w:before="120" w:after="120"/>
              <w:jc w:val="both"/>
              <w:rPr>
                <w:rFonts w:ascii="Times New Roman" w:hAnsi="Times New Roman"/>
                <w:sz w:val="24"/>
                <w:szCs w:val="24"/>
              </w:rPr>
            </w:pPr>
            <w:r w:rsidRPr="00AE6F9F">
              <w:rPr>
                <w:rFonts w:ascii="Times New Roman" w:hAnsi="Times New Roman"/>
                <w:sz w:val="24"/>
                <w:szCs w:val="24"/>
                <w:u w:val="single"/>
              </w:rPr>
              <w:lastRenderedPageBreak/>
              <w:t>In point 1.4</w:t>
            </w:r>
            <w:r w:rsidR="00DB643D" w:rsidRPr="00AE6F9F">
              <w:rPr>
                <w:rFonts w:ascii="Times New Roman" w:hAnsi="Times New Roman"/>
                <w:sz w:val="24"/>
                <w:szCs w:val="24"/>
              </w:rPr>
              <w:t>,</w:t>
            </w:r>
            <w:r w:rsidRPr="00AE6F9F">
              <w:rPr>
                <w:rFonts w:ascii="Times New Roman" w:hAnsi="Times New Roman"/>
                <w:sz w:val="24"/>
                <w:szCs w:val="24"/>
              </w:rPr>
              <w:t xml:space="preserve"> the EESC points out that the ETS mechanism presents </w:t>
            </w:r>
            <w:proofErr w:type="gramStart"/>
            <w:r w:rsidRPr="00AE6F9F">
              <w:rPr>
                <w:rFonts w:ascii="Times New Roman" w:hAnsi="Times New Roman"/>
                <w:sz w:val="24"/>
                <w:szCs w:val="24"/>
              </w:rPr>
              <w:t>a number of</w:t>
            </w:r>
            <w:proofErr w:type="gramEnd"/>
            <w:r w:rsidRPr="00AE6F9F">
              <w:rPr>
                <w:rFonts w:ascii="Times New Roman" w:hAnsi="Times New Roman"/>
                <w:sz w:val="24"/>
                <w:szCs w:val="24"/>
              </w:rPr>
              <w:t xml:space="preserve"> critical implications regarding compliance costs and potentially distorting effects, as well as imposing an excessive administrative burden. The Commission emphasises that a robust monitoring, reporting and verification</w:t>
            </w:r>
            <w:r w:rsidR="00DA369C">
              <w:rPr>
                <w:rFonts w:ascii="Times New Roman" w:hAnsi="Times New Roman"/>
                <w:sz w:val="24"/>
                <w:szCs w:val="24"/>
              </w:rPr>
              <w:t> </w:t>
            </w:r>
            <w:r w:rsidRPr="00AE6F9F">
              <w:rPr>
                <w:rFonts w:ascii="Times New Roman" w:hAnsi="Times New Roman"/>
                <w:sz w:val="24"/>
                <w:szCs w:val="24"/>
              </w:rPr>
              <w:t>(MRV) system is crucial for the credibility and functioning of any emission trading system. It is the complete, consistent, accurate and transparent MRV system that creates trust in the</w:t>
            </w:r>
            <w:r w:rsidR="00990ACE">
              <w:rPr>
                <w:rFonts w:ascii="Times New Roman" w:hAnsi="Times New Roman"/>
                <w:sz w:val="24"/>
                <w:szCs w:val="24"/>
              </w:rPr>
              <w:t> </w:t>
            </w:r>
            <w:r w:rsidRPr="00AE6F9F">
              <w:rPr>
                <w:rFonts w:ascii="Times New Roman" w:hAnsi="Times New Roman"/>
                <w:sz w:val="24"/>
                <w:szCs w:val="24"/>
              </w:rPr>
              <w:t>EU</w:t>
            </w:r>
            <w:r w:rsidR="00990ACE">
              <w:rPr>
                <w:rFonts w:ascii="Times New Roman" w:hAnsi="Times New Roman"/>
                <w:sz w:val="24"/>
                <w:szCs w:val="24"/>
              </w:rPr>
              <w:t> </w:t>
            </w:r>
            <w:r w:rsidRPr="00AE6F9F">
              <w:rPr>
                <w:rFonts w:ascii="Times New Roman" w:hAnsi="Times New Roman"/>
                <w:sz w:val="24"/>
                <w:szCs w:val="24"/>
              </w:rPr>
              <w:t>ETS, ensuring that operators meet their obligation to surrender sufficient allowances.</w:t>
            </w:r>
          </w:p>
          <w:p w14:paraId="40A386EA" w14:textId="7689A3CC" w:rsidR="0054763B" w:rsidRPr="00AE6F9F" w:rsidRDefault="0054763B" w:rsidP="00AE6F9F">
            <w:pPr>
              <w:widowControl w:val="0"/>
              <w:spacing w:before="120" w:after="120"/>
              <w:jc w:val="both"/>
              <w:rPr>
                <w:rFonts w:ascii="Times New Roman" w:hAnsi="Times New Roman"/>
                <w:sz w:val="24"/>
                <w:szCs w:val="24"/>
              </w:rPr>
            </w:pPr>
            <w:r w:rsidRPr="00AE6F9F">
              <w:rPr>
                <w:rFonts w:ascii="Times New Roman" w:hAnsi="Times New Roman"/>
                <w:sz w:val="24"/>
                <w:szCs w:val="24"/>
              </w:rPr>
              <w:t>The EU ETS MRV system is also designed to be cost-effective. The system already includes a range of possibilities for simplified approaches, such as a simplified monitoring plan for installations with low emissions, while maintaining the integrity of the system. Moreover, as part of the 2026 EU ETS review, the Commission also evaluate</w:t>
            </w:r>
            <w:r w:rsidR="001E6CA6" w:rsidRPr="00AE6F9F">
              <w:rPr>
                <w:rFonts w:ascii="Times New Roman" w:hAnsi="Times New Roman"/>
                <w:sz w:val="24"/>
                <w:szCs w:val="24"/>
              </w:rPr>
              <w:t>d</w:t>
            </w:r>
            <w:r w:rsidRPr="00AE6F9F">
              <w:rPr>
                <w:rFonts w:ascii="Times New Roman" w:hAnsi="Times New Roman"/>
                <w:sz w:val="24"/>
                <w:szCs w:val="24"/>
              </w:rPr>
              <w:t xml:space="preserve"> the implementation of the ETS Directive, including the effectiveness and efficiency of the MRV system.</w:t>
            </w:r>
            <w:r w:rsidR="00F41911" w:rsidRPr="00AE6F9F">
              <w:rPr>
                <w:rFonts w:ascii="Times New Roman" w:hAnsi="Times New Roman"/>
                <w:sz w:val="24"/>
                <w:szCs w:val="24"/>
              </w:rPr>
              <w:t xml:space="preserve"> The ETS review, presented on 17 July </w:t>
            </w:r>
            <w:r w:rsidR="00990ACE">
              <w:rPr>
                <w:rFonts w:ascii="Times New Roman" w:hAnsi="Times New Roman"/>
                <w:sz w:val="24"/>
                <w:szCs w:val="24"/>
              </w:rPr>
              <w:t>2026</w:t>
            </w:r>
            <w:r w:rsidR="001A3E33">
              <w:rPr>
                <w:rFonts w:ascii="Times New Roman" w:hAnsi="Times New Roman"/>
                <w:sz w:val="24"/>
                <w:szCs w:val="24"/>
              </w:rPr>
              <w:t>,</w:t>
            </w:r>
            <w:r w:rsidR="00990ACE">
              <w:rPr>
                <w:rFonts w:ascii="Times New Roman" w:hAnsi="Times New Roman"/>
                <w:sz w:val="24"/>
                <w:szCs w:val="24"/>
              </w:rPr>
              <w:t xml:space="preserve"> </w:t>
            </w:r>
            <w:r w:rsidR="00F41911" w:rsidRPr="00AE6F9F">
              <w:rPr>
                <w:rFonts w:ascii="Times New Roman" w:hAnsi="Times New Roman"/>
                <w:sz w:val="24"/>
                <w:szCs w:val="24"/>
              </w:rPr>
              <w:t>introduced targeted simplifications to make the system even more effective and reduce administrative burden. This for instance includes simpler</w:t>
            </w:r>
            <w:r w:rsidR="003A5946" w:rsidRPr="00AE6F9F">
              <w:rPr>
                <w:rFonts w:ascii="Times New Roman" w:hAnsi="Times New Roman"/>
                <w:sz w:val="24"/>
                <w:szCs w:val="24"/>
              </w:rPr>
              <w:t xml:space="preserve"> </w:t>
            </w:r>
            <w:hyperlink r:id="rId11" w:history="1">
              <w:r w:rsidR="00F41911" w:rsidRPr="00AE6F9F">
                <w:rPr>
                  <w:rFonts w:ascii="Times New Roman" w:hAnsi="Times New Roman"/>
                  <w:sz w:val="24"/>
                  <w:szCs w:val="24"/>
                </w:rPr>
                <w:t>monitoring, reporting and verification</w:t>
              </w:r>
            </w:hyperlink>
            <w:r w:rsidR="003A5946" w:rsidRPr="00AE6F9F">
              <w:rPr>
                <w:rFonts w:ascii="Times New Roman" w:hAnsi="Times New Roman"/>
                <w:sz w:val="24"/>
                <w:szCs w:val="24"/>
              </w:rPr>
              <w:t xml:space="preserve"> </w:t>
            </w:r>
            <w:r w:rsidR="00F41911" w:rsidRPr="00AE6F9F">
              <w:rPr>
                <w:rFonts w:ascii="Times New Roman" w:hAnsi="Times New Roman"/>
                <w:sz w:val="24"/>
                <w:szCs w:val="24"/>
              </w:rPr>
              <w:t>for the maritime sector</w:t>
            </w:r>
            <w:r w:rsidR="003A5946" w:rsidRPr="00AE6F9F">
              <w:rPr>
                <w:rStyle w:val="FootnoteReference"/>
                <w:rFonts w:ascii="Times New Roman" w:hAnsi="Times New Roman"/>
                <w:szCs w:val="24"/>
              </w:rPr>
              <w:footnoteReference w:id="10"/>
            </w:r>
            <w:r w:rsidR="00F41911" w:rsidRPr="00AE6F9F">
              <w:rPr>
                <w:rFonts w:ascii="Times New Roman" w:hAnsi="Times New Roman"/>
                <w:sz w:val="24"/>
                <w:szCs w:val="24"/>
              </w:rPr>
              <w:t>.</w:t>
            </w:r>
            <w:r w:rsidRPr="00AE6F9F">
              <w:rPr>
                <w:rFonts w:ascii="Times New Roman" w:hAnsi="Times New Roman"/>
                <w:sz w:val="24"/>
                <w:szCs w:val="24"/>
              </w:rPr>
              <w:t xml:space="preserve"> </w:t>
            </w:r>
            <w:r w:rsidR="00F41911" w:rsidRPr="00AE6F9F">
              <w:rPr>
                <w:rFonts w:ascii="Times New Roman" w:hAnsi="Times New Roman"/>
                <w:sz w:val="24"/>
                <w:szCs w:val="24"/>
              </w:rPr>
              <w:t>Further</w:t>
            </w:r>
            <w:r w:rsidRPr="00AE6F9F">
              <w:rPr>
                <w:rFonts w:ascii="Times New Roman" w:hAnsi="Times New Roman"/>
                <w:sz w:val="24"/>
                <w:szCs w:val="24"/>
              </w:rPr>
              <w:t xml:space="preserve"> concrete examples of </w:t>
            </w:r>
            <w:r w:rsidR="00DB643D" w:rsidRPr="00AE6F9F">
              <w:rPr>
                <w:rFonts w:ascii="Times New Roman" w:hAnsi="Times New Roman"/>
                <w:sz w:val="24"/>
                <w:szCs w:val="24"/>
              </w:rPr>
              <w:t>ʻ</w:t>
            </w:r>
            <w:r w:rsidRPr="00AE6F9F">
              <w:rPr>
                <w:rFonts w:ascii="Times New Roman" w:hAnsi="Times New Roman"/>
                <w:sz w:val="24"/>
                <w:szCs w:val="24"/>
              </w:rPr>
              <w:t>excessive</w:t>
            </w:r>
            <w:r w:rsidR="00DB643D" w:rsidRPr="00AE6F9F">
              <w:rPr>
                <w:rFonts w:ascii="Times New Roman" w:hAnsi="Times New Roman"/>
                <w:sz w:val="24"/>
                <w:szCs w:val="24"/>
              </w:rPr>
              <w:t>’</w:t>
            </w:r>
            <w:r w:rsidRPr="00AE6F9F">
              <w:rPr>
                <w:rFonts w:ascii="Times New Roman" w:hAnsi="Times New Roman"/>
                <w:sz w:val="24"/>
                <w:szCs w:val="24"/>
              </w:rPr>
              <w:t xml:space="preserve"> administrative burden that could be reduced are</w:t>
            </w:r>
            <w:r w:rsidR="00F41911" w:rsidRPr="00AE6F9F">
              <w:rPr>
                <w:rFonts w:ascii="Times New Roman" w:hAnsi="Times New Roman"/>
                <w:sz w:val="24"/>
                <w:szCs w:val="24"/>
              </w:rPr>
              <w:t xml:space="preserve"> nevertheless</w:t>
            </w:r>
            <w:r w:rsidRPr="00AE6F9F">
              <w:rPr>
                <w:rFonts w:ascii="Times New Roman" w:hAnsi="Times New Roman"/>
                <w:sz w:val="24"/>
                <w:szCs w:val="24"/>
              </w:rPr>
              <w:t xml:space="preserve"> welcome.</w:t>
            </w:r>
          </w:p>
        </w:tc>
      </w:tr>
      <w:tr w:rsidR="00414EF0" w:rsidRPr="004F6117" w14:paraId="24E147B5" w14:textId="77777777" w:rsidTr="00407F57">
        <w:trPr>
          <w:trHeight w:val="3001"/>
          <w:jc w:val="center"/>
        </w:trPr>
        <w:tc>
          <w:tcPr>
            <w:tcW w:w="10156" w:type="dxa"/>
          </w:tcPr>
          <w:p w14:paraId="11C9745D" w14:textId="5A047E86" w:rsidR="000D4490" w:rsidRPr="00AE6F9F" w:rsidRDefault="54723F08" w:rsidP="00AE6F9F">
            <w:pPr>
              <w:widowControl w:val="0"/>
              <w:spacing w:before="120" w:after="120"/>
              <w:jc w:val="both"/>
              <w:rPr>
                <w:rFonts w:ascii="Times New Roman" w:eastAsia="Times New Roman" w:hAnsi="Times New Roman"/>
                <w:color w:val="000000"/>
                <w:sz w:val="24"/>
                <w:szCs w:val="24"/>
              </w:rPr>
            </w:pPr>
            <w:r w:rsidRPr="00AE6F9F">
              <w:rPr>
                <w:rFonts w:ascii="Times New Roman" w:eastAsia="Times New Roman" w:hAnsi="Times New Roman"/>
                <w:color w:val="000000"/>
                <w:sz w:val="24"/>
                <w:szCs w:val="24"/>
              </w:rPr>
              <w:t>All sectors of the EU economy, including maritime transport, need to contribute to the EU climate neutrality goal by 2050. The EU ETS extension to maritime transport as of January 2024</w:t>
            </w:r>
            <w:r w:rsidRPr="00AE6F9F">
              <w:rPr>
                <w:rFonts w:ascii="Times New Roman" w:eastAsia="Times New Roman" w:hAnsi="Times New Roman"/>
                <w:color w:val="000000"/>
                <w:sz w:val="24"/>
                <w:szCs w:val="24"/>
                <w:vertAlign w:val="superscript"/>
              </w:rPr>
              <w:t>6</w:t>
            </w:r>
            <w:r w:rsidRPr="00AE6F9F">
              <w:rPr>
                <w:rFonts w:ascii="Times New Roman" w:eastAsia="Times New Roman" w:hAnsi="Times New Roman"/>
                <w:color w:val="000000"/>
                <w:sz w:val="24"/>
                <w:szCs w:val="24"/>
              </w:rPr>
              <w:t xml:space="preserve"> is a key policy in the decarbonisation of the maritime sector.</w:t>
            </w:r>
          </w:p>
          <w:p w14:paraId="4FC56DF4" w14:textId="7EE4F972" w:rsidR="00847E63" w:rsidRPr="00AE6F9F" w:rsidRDefault="54723F08" w:rsidP="00AE6F9F">
            <w:pPr>
              <w:widowControl w:val="0"/>
              <w:spacing w:before="120" w:after="120"/>
              <w:jc w:val="both"/>
              <w:rPr>
                <w:rFonts w:ascii="Times New Roman" w:eastAsia="Times New Roman" w:hAnsi="Times New Roman"/>
                <w:color w:val="000000"/>
                <w:sz w:val="24"/>
                <w:szCs w:val="24"/>
              </w:rPr>
            </w:pPr>
            <w:r w:rsidRPr="00AE6F9F">
              <w:rPr>
                <w:rFonts w:ascii="Times New Roman" w:eastAsia="Times New Roman" w:hAnsi="Times New Roman"/>
                <w:color w:val="000000"/>
                <w:sz w:val="24"/>
                <w:szCs w:val="24"/>
              </w:rPr>
              <w:t xml:space="preserve">The EESC states in </w:t>
            </w:r>
            <w:r w:rsidRPr="00AE6F9F">
              <w:rPr>
                <w:rFonts w:ascii="Times New Roman" w:eastAsia="Times New Roman" w:hAnsi="Times New Roman"/>
                <w:color w:val="000000"/>
                <w:sz w:val="24"/>
                <w:szCs w:val="24"/>
                <w:u w:val="single"/>
              </w:rPr>
              <w:t>point 1.8</w:t>
            </w:r>
            <w:r w:rsidRPr="00AE6F9F">
              <w:rPr>
                <w:rFonts w:ascii="Times New Roman" w:eastAsia="Times New Roman" w:hAnsi="Times New Roman"/>
                <w:color w:val="000000"/>
                <w:sz w:val="24"/>
                <w:szCs w:val="24"/>
              </w:rPr>
              <w:t xml:space="preserve"> that the inclusion of the maritime transport in the ETS framework introduced further challenges. Nonetheless, the Commission observes that the roll-out of the ETS extension to maritime</w:t>
            </w:r>
            <w:r w:rsidR="009303A1" w:rsidRPr="00AE6F9F">
              <w:rPr>
                <w:rFonts w:ascii="Times New Roman" w:eastAsia="Times New Roman" w:hAnsi="Times New Roman"/>
                <w:color w:val="000000"/>
                <w:sz w:val="24"/>
                <w:szCs w:val="24"/>
              </w:rPr>
              <w:t xml:space="preserve"> transport</w:t>
            </w:r>
            <w:r w:rsidRPr="00AE6F9F">
              <w:rPr>
                <w:rFonts w:ascii="Times New Roman" w:eastAsia="Times New Roman" w:hAnsi="Times New Roman"/>
                <w:color w:val="000000"/>
                <w:sz w:val="24"/>
                <w:szCs w:val="24"/>
              </w:rPr>
              <w:t xml:space="preserve"> has advanced fast and well, </w:t>
            </w:r>
            <w:r w:rsidR="00D31CBE" w:rsidRPr="00AE6F9F">
              <w:rPr>
                <w:rFonts w:ascii="Times New Roman" w:eastAsia="Times New Roman" w:hAnsi="Times New Roman"/>
                <w:color w:val="000000"/>
                <w:sz w:val="24"/>
                <w:szCs w:val="24"/>
              </w:rPr>
              <w:t>building on the long-standing experience in the monitoring, reporting and verification of GHG emissions from ships, as introduced in 2018. S</w:t>
            </w:r>
            <w:r w:rsidRPr="00AE6F9F">
              <w:rPr>
                <w:rFonts w:ascii="Times New Roman" w:eastAsia="Times New Roman" w:hAnsi="Times New Roman"/>
                <w:color w:val="000000"/>
                <w:sz w:val="24"/>
                <w:szCs w:val="24"/>
              </w:rPr>
              <w:t>hipping companies, M</w:t>
            </w:r>
            <w:r w:rsidR="00DB643D" w:rsidRPr="00AE6F9F">
              <w:rPr>
                <w:rFonts w:ascii="Times New Roman" w:eastAsia="Times New Roman" w:hAnsi="Times New Roman"/>
                <w:color w:val="000000"/>
                <w:sz w:val="24"/>
                <w:szCs w:val="24"/>
              </w:rPr>
              <w:t xml:space="preserve">ember </w:t>
            </w:r>
            <w:r w:rsidRPr="00AE6F9F">
              <w:rPr>
                <w:rFonts w:ascii="Times New Roman" w:eastAsia="Times New Roman" w:hAnsi="Times New Roman"/>
                <w:color w:val="000000"/>
                <w:sz w:val="24"/>
                <w:szCs w:val="24"/>
              </w:rPr>
              <w:t>S</w:t>
            </w:r>
            <w:r w:rsidR="00DB643D" w:rsidRPr="00AE6F9F">
              <w:rPr>
                <w:rFonts w:ascii="Times New Roman" w:eastAsia="Times New Roman" w:hAnsi="Times New Roman"/>
                <w:color w:val="000000"/>
                <w:sz w:val="24"/>
                <w:szCs w:val="24"/>
              </w:rPr>
              <w:t>tates</w:t>
            </w:r>
            <w:r w:rsidR="009303A1" w:rsidRPr="00AE6F9F">
              <w:rPr>
                <w:rFonts w:ascii="Times New Roman" w:eastAsia="Times New Roman" w:hAnsi="Times New Roman"/>
                <w:color w:val="000000"/>
                <w:sz w:val="24"/>
                <w:szCs w:val="24"/>
              </w:rPr>
              <w:t>,</w:t>
            </w:r>
            <w:r w:rsidRPr="00AE6F9F">
              <w:rPr>
                <w:rFonts w:ascii="Times New Roman" w:eastAsia="Times New Roman" w:hAnsi="Times New Roman"/>
                <w:color w:val="000000"/>
                <w:sz w:val="24"/>
                <w:szCs w:val="24"/>
              </w:rPr>
              <w:t xml:space="preserve"> and the Commission t</w:t>
            </w:r>
            <w:r w:rsidR="00D31CBE" w:rsidRPr="00AE6F9F">
              <w:rPr>
                <w:rFonts w:ascii="Times New Roman" w:eastAsia="Times New Roman" w:hAnsi="Times New Roman"/>
                <w:color w:val="000000"/>
                <w:sz w:val="24"/>
                <w:szCs w:val="24"/>
              </w:rPr>
              <w:t>ook</w:t>
            </w:r>
            <w:r w:rsidRPr="00AE6F9F">
              <w:rPr>
                <w:rFonts w:ascii="Times New Roman" w:eastAsia="Times New Roman" w:hAnsi="Times New Roman"/>
                <w:color w:val="000000"/>
                <w:sz w:val="24"/>
                <w:szCs w:val="24"/>
              </w:rPr>
              <w:t xml:space="preserve"> all necessary actions to ensure a</w:t>
            </w:r>
            <w:r w:rsidR="00990ACE">
              <w:rPr>
                <w:rFonts w:ascii="Times New Roman" w:eastAsia="Times New Roman" w:hAnsi="Times New Roman"/>
                <w:color w:val="000000"/>
                <w:sz w:val="24"/>
                <w:szCs w:val="24"/>
              </w:rPr>
              <w:t> </w:t>
            </w:r>
            <w:r w:rsidRPr="00AE6F9F">
              <w:rPr>
                <w:rFonts w:ascii="Times New Roman" w:eastAsia="Times New Roman" w:hAnsi="Times New Roman"/>
                <w:color w:val="000000"/>
                <w:sz w:val="24"/>
                <w:szCs w:val="24"/>
              </w:rPr>
              <w:t xml:space="preserve">smooth start of the system. </w:t>
            </w:r>
            <w:r w:rsidR="00D31CBE" w:rsidRPr="00AE6F9F">
              <w:rPr>
                <w:rFonts w:ascii="Times New Roman" w:eastAsia="Times New Roman" w:hAnsi="Times New Roman"/>
                <w:color w:val="000000"/>
                <w:sz w:val="24"/>
                <w:szCs w:val="24"/>
              </w:rPr>
              <w:t>Compliance with the first surrendering</w:t>
            </w:r>
            <w:r w:rsidR="00C96125" w:rsidRPr="00AE6F9F">
              <w:rPr>
                <w:rFonts w:ascii="Times New Roman" w:eastAsia="Times New Roman" w:hAnsi="Times New Roman"/>
                <w:color w:val="000000"/>
                <w:sz w:val="24"/>
                <w:szCs w:val="24"/>
              </w:rPr>
              <w:t xml:space="preserve"> obligation</w:t>
            </w:r>
            <w:r w:rsidR="00D31CBE" w:rsidRPr="00AE6F9F">
              <w:rPr>
                <w:rFonts w:ascii="Times New Roman" w:eastAsia="Times New Roman" w:hAnsi="Times New Roman"/>
                <w:color w:val="000000"/>
                <w:sz w:val="24"/>
                <w:szCs w:val="24"/>
              </w:rPr>
              <w:t xml:space="preserve"> </w:t>
            </w:r>
            <w:r w:rsidR="00C96125" w:rsidRPr="00AE6F9F">
              <w:rPr>
                <w:rFonts w:ascii="Times New Roman" w:eastAsia="Times New Roman" w:hAnsi="Times New Roman"/>
                <w:color w:val="000000"/>
                <w:sz w:val="24"/>
                <w:szCs w:val="24"/>
              </w:rPr>
              <w:t xml:space="preserve">by 30 September 2025 </w:t>
            </w:r>
            <w:r w:rsidR="00D31CBE" w:rsidRPr="00AE6F9F">
              <w:rPr>
                <w:rFonts w:ascii="Times New Roman" w:eastAsia="Times New Roman" w:hAnsi="Times New Roman"/>
                <w:color w:val="000000"/>
                <w:sz w:val="24"/>
                <w:szCs w:val="24"/>
              </w:rPr>
              <w:t>was high, with shipping companies surrendering allowances for more than 99% of their relevant surrendering requirements.</w:t>
            </w:r>
          </w:p>
          <w:p w14:paraId="6422E3C1" w14:textId="3B029310" w:rsidR="00847E63" w:rsidRPr="00AE6F9F" w:rsidRDefault="54723F08" w:rsidP="00AE6F9F">
            <w:pPr>
              <w:widowControl w:val="0"/>
              <w:spacing w:before="120" w:after="120"/>
              <w:jc w:val="both"/>
              <w:rPr>
                <w:rFonts w:ascii="Times New Roman" w:eastAsia="Times New Roman" w:hAnsi="Times New Roman"/>
                <w:color w:val="000000"/>
                <w:sz w:val="24"/>
                <w:szCs w:val="24"/>
                <w:lang w:val="en-IE"/>
              </w:rPr>
            </w:pPr>
            <w:r w:rsidRPr="00AE6F9F">
              <w:rPr>
                <w:rFonts w:ascii="Times New Roman" w:eastAsia="Times New Roman" w:hAnsi="Times New Roman"/>
                <w:color w:val="000000"/>
                <w:sz w:val="24"/>
                <w:szCs w:val="24"/>
              </w:rPr>
              <w:t>The Commission is well informed about the concerns related to the risk of evasion, particularly on trans</w:t>
            </w:r>
            <w:r w:rsidR="009303A1" w:rsidRPr="00AE6F9F">
              <w:rPr>
                <w:rFonts w:ascii="Times New Roman" w:eastAsia="Times New Roman" w:hAnsi="Times New Roman"/>
                <w:color w:val="000000"/>
                <w:sz w:val="24"/>
                <w:szCs w:val="24"/>
              </w:rPr>
              <w:t>-s</w:t>
            </w:r>
            <w:r w:rsidRPr="00AE6F9F">
              <w:rPr>
                <w:rFonts w:ascii="Times New Roman" w:eastAsia="Times New Roman" w:hAnsi="Times New Roman"/>
                <w:color w:val="000000"/>
                <w:sz w:val="24"/>
                <w:szCs w:val="24"/>
              </w:rPr>
              <w:t xml:space="preserve">hipment activities, as highlighted in </w:t>
            </w:r>
            <w:r w:rsidRPr="00AE6F9F">
              <w:rPr>
                <w:rFonts w:ascii="Times New Roman" w:eastAsia="Times New Roman" w:hAnsi="Times New Roman"/>
                <w:color w:val="000000"/>
                <w:sz w:val="24"/>
                <w:szCs w:val="24"/>
                <w:u w:val="single"/>
              </w:rPr>
              <w:t>point 1.8</w:t>
            </w:r>
            <w:r w:rsidRPr="00AE6F9F">
              <w:rPr>
                <w:rFonts w:ascii="Times New Roman" w:eastAsia="Times New Roman" w:hAnsi="Times New Roman"/>
                <w:i/>
                <w:iCs/>
                <w:color w:val="000000"/>
                <w:sz w:val="24"/>
                <w:szCs w:val="24"/>
              </w:rPr>
              <w:t xml:space="preserve">, </w:t>
            </w:r>
            <w:r w:rsidRPr="00AE6F9F">
              <w:rPr>
                <w:rFonts w:ascii="Times New Roman" w:eastAsia="Times New Roman" w:hAnsi="Times New Roman"/>
                <w:color w:val="000000"/>
                <w:sz w:val="24"/>
                <w:szCs w:val="24"/>
              </w:rPr>
              <w:t>and acknowledges the strategic nature of ports, which are a vital source of connectivity, critical gateways for international trade, important hubs of economic activity, and central logistics and distribution nodes allowing access to essential resources and commodities</w:t>
            </w:r>
            <w:r w:rsidRPr="00AE6F9F">
              <w:rPr>
                <w:rFonts w:ascii="Times New Roman" w:eastAsia="Times New Roman" w:hAnsi="Times New Roman"/>
                <w:i/>
                <w:iCs/>
                <w:color w:val="000000"/>
                <w:sz w:val="24"/>
                <w:szCs w:val="24"/>
              </w:rPr>
              <w:t xml:space="preserve">. </w:t>
            </w:r>
            <w:r w:rsidRPr="00AE6F9F">
              <w:rPr>
                <w:rFonts w:ascii="Times New Roman" w:eastAsia="Times New Roman" w:hAnsi="Times New Roman"/>
                <w:color w:val="000000"/>
                <w:sz w:val="24"/>
                <w:szCs w:val="24"/>
              </w:rPr>
              <w:t xml:space="preserve">In line with the requirement stemming from the ETS Directive, </w:t>
            </w:r>
            <w:r w:rsidRPr="00AE6F9F">
              <w:rPr>
                <w:rFonts w:ascii="Times New Roman" w:eastAsia="Times New Roman" w:hAnsi="Times New Roman"/>
                <w:color w:val="000000"/>
                <w:sz w:val="24"/>
                <w:szCs w:val="24"/>
                <w:lang w:val="en-US"/>
              </w:rPr>
              <w:t xml:space="preserve">the Commission published </w:t>
            </w:r>
            <w:r w:rsidRPr="00AE6F9F">
              <w:rPr>
                <w:rFonts w:ascii="Times New Roman" w:eastAsia="Times New Roman" w:hAnsi="Times New Roman"/>
                <w:color w:val="000000"/>
                <w:sz w:val="24"/>
                <w:szCs w:val="24"/>
              </w:rPr>
              <w:t>on 18 March 2025</w:t>
            </w:r>
            <w:r w:rsidRPr="00AE6F9F">
              <w:rPr>
                <w:rFonts w:ascii="Times New Roman" w:eastAsia="Times New Roman" w:hAnsi="Times New Roman"/>
                <w:color w:val="000000"/>
                <w:sz w:val="24"/>
                <w:szCs w:val="24"/>
                <w:lang w:val="en-US"/>
              </w:rPr>
              <w:t xml:space="preserve"> its first report on the monitoring of the ETS extension to maritime transport</w:t>
            </w:r>
            <w:r w:rsidR="002C6245" w:rsidRPr="00AE6F9F">
              <w:rPr>
                <w:rStyle w:val="FootnoteReference"/>
                <w:rFonts w:ascii="Times New Roman" w:eastAsia="Times New Roman" w:hAnsi="Times New Roman"/>
                <w:color w:val="000000"/>
                <w:szCs w:val="24"/>
                <w:lang w:val="en-US"/>
              </w:rPr>
              <w:footnoteReference w:id="11"/>
            </w:r>
            <w:r w:rsidRPr="00AE6F9F">
              <w:rPr>
                <w:rFonts w:ascii="Times New Roman" w:hAnsi="Times New Roman"/>
                <w:color w:val="000000"/>
                <w:sz w:val="24"/>
                <w:szCs w:val="24"/>
                <w:lang w:val="en-US"/>
              </w:rPr>
              <w:t xml:space="preserve"> </w:t>
            </w:r>
            <w:r w:rsidRPr="00AE6F9F">
              <w:rPr>
                <w:rFonts w:ascii="Times New Roman" w:eastAsia="Times New Roman" w:hAnsi="Times New Roman"/>
                <w:color w:val="000000"/>
                <w:sz w:val="24"/>
                <w:szCs w:val="24"/>
                <w:lang w:val="en-US"/>
              </w:rPr>
              <w:t>and its supporting study</w:t>
            </w:r>
            <w:r w:rsidR="00F57279" w:rsidRPr="00AE6F9F">
              <w:rPr>
                <w:rStyle w:val="FootnoteReference"/>
                <w:rFonts w:ascii="Times New Roman" w:eastAsia="Times New Roman" w:hAnsi="Times New Roman"/>
                <w:color w:val="000000"/>
                <w:szCs w:val="24"/>
                <w:lang w:val="en-US"/>
              </w:rPr>
              <w:footnoteReference w:id="12"/>
            </w:r>
            <w:r w:rsidRPr="00AE6F9F">
              <w:rPr>
                <w:rFonts w:ascii="Times New Roman" w:eastAsia="Times New Roman" w:hAnsi="Times New Roman"/>
                <w:color w:val="000000"/>
                <w:sz w:val="24"/>
                <w:szCs w:val="24"/>
                <w:lang w:val="en-IE"/>
              </w:rPr>
              <w:t xml:space="preserve">. The report looks specifically into </w:t>
            </w:r>
            <w:r w:rsidRPr="00AE6F9F">
              <w:rPr>
                <w:rFonts w:ascii="Times New Roman" w:eastAsia="Times New Roman" w:hAnsi="Times New Roman"/>
                <w:color w:val="000000"/>
                <w:sz w:val="24"/>
                <w:szCs w:val="24"/>
              </w:rPr>
              <w:t>the potential risk of evasion and circumvention and highlights their possible negative impacts (</w:t>
            </w:r>
            <w:r w:rsidRPr="00407F57">
              <w:rPr>
                <w:rFonts w:ascii="Times New Roman" w:eastAsia="Times New Roman" w:hAnsi="Times New Roman"/>
                <w:color w:val="000000"/>
                <w:sz w:val="24"/>
                <w:szCs w:val="24"/>
                <w:u w:val="single"/>
              </w:rPr>
              <w:t>point 1.10</w:t>
            </w:r>
            <w:r w:rsidRPr="00AE6F9F">
              <w:rPr>
                <w:rFonts w:ascii="Times New Roman" w:eastAsia="Times New Roman" w:hAnsi="Times New Roman"/>
                <w:color w:val="000000"/>
                <w:sz w:val="24"/>
                <w:szCs w:val="24"/>
              </w:rPr>
              <w:t>).</w:t>
            </w:r>
            <w:r w:rsidR="00F41911" w:rsidRPr="00AE6F9F">
              <w:rPr>
                <w:rFonts w:ascii="Times New Roman" w:eastAsia="Times New Roman" w:hAnsi="Times New Roman"/>
                <w:color w:val="000000"/>
                <w:sz w:val="24"/>
                <w:szCs w:val="24"/>
              </w:rPr>
              <w:t xml:space="preserve"> </w:t>
            </w:r>
            <w:r w:rsidR="00847E63" w:rsidRPr="00AE6F9F">
              <w:rPr>
                <w:rFonts w:ascii="Times New Roman" w:eastAsia="Times New Roman" w:hAnsi="Times New Roman"/>
                <w:color w:val="000000"/>
                <w:sz w:val="24"/>
                <w:szCs w:val="24"/>
              </w:rPr>
              <w:t>More recently</w:t>
            </w:r>
            <w:r w:rsidR="00F41911" w:rsidRPr="00AE6F9F">
              <w:rPr>
                <w:rFonts w:ascii="Times New Roman" w:eastAsia="Times New Roman" w:hAnsi="Times New Roman"/>
                <w:color w:val="000000"/>
                <w:sz w:val="24"/>
                <w:szCs w:val="24"/>
              </w:rPr>
              <w:t>, the ETS review, presented on 17 July</w:t>
            </w:r>
            <w:r w:rsidR="00990ACE">
              <w:rPr>
                <w:rFonts w:ascii="Times New Roman" w:eastAsia="Times New Roman" w:hAnsi="Times New Roman"/>
                <w:color w:val="000000"/>
                <w:sz w:val="24"/>
                <w:szCs w:val="24"/>
              </w:rPr>
              <w:t xml:space="preserve"> 2026</w:t>
            </w:r>
            <w:r w:rsidR="00F41911" w:rsidRPr="00AE6F9F">
              <w:rPr>
                <w:rFonts w:ascii="Times New Roman" w:eastAsia="Times New Roman" w:hAnsi="Times New Roman"/>
                <w:color w:val="000000"/>
                <w:sz w:val="24"/>
                <w:szCs w:val="24"/>
              </w:rPr>
              <w:t xml:space="preserve">, has proposed </w:t>
            </w:r>
            <w:r w:rsidR="00847E63" w:rsidRPr="00AE6F9F">
              <w:rPr>
                <w:rFonts w:ascii="Times New Roman" w:eastAsia="Times New Roman" w:hAnsi="Times New Roman"/>
                <w:color w:val="000000"/>
                <w:sz w:val="24"/>
                <w:szCs w:val="24"/>
              </w:rPr>
              <w:t>additional safeguards</w:t>
            </w:r>
            <w:r w:rsidR="00F41911" w:rsidRPr="00AE6F9F">
              <w:rPr>
                <w:rFonts w:ascii="Times New Roman" w:eastAsia="Times New Roman" w:hAnsi="Times New Roman"/>
                <w:color w:val="000000"/>
                <w:sz w:val="24"/>
                <w:szCs w:val="24"/>
              </w:rPr>
              <w:t xml:space="preserve"> to reduce the risk of evasion</w:t>
            </w:r>
            <w:r w:rsidR="00847E63" w:rsidRPr="00AE6F9F">
              <w:rPr>
                <w:rFonts w:ascii="Times New Roman" w:eastAsia="Times New Roman" w:hAnsi="Times New Roman"/>
                <w:color w:val="000000"/>
                <w:sz w:val="24"/>
                <w:szCs w:val="24"/>
              </w:rPr>
              <w:t xml:space="preserve"> </w:t>
            </w:r>
            <w:r w:rsidR="00847E63" w:rsidRPr="00AE6F9F">
              <w:rPr>
                <w:rFonts w:ascii="Times New Roman" w:eastAsia="Times New Roman" w:hAnsi="Times New Roman"/>
                <w:color w:val="000000"/>
                <w:sz w:val="24"/>
                <w:szCs w:val="24"/>
              </w:rPr>
              <w:lastRenderedPageBreak/>
              <w:t xml:space="preserve">and circumvention. </w:t>
            </w:r>
            <w:r w:rsidR="00847E63" w:rsidRPr="00AE6F9F">
              <w:rPr>
                <w:rFonts w:ascii="Times New Roman" w:eastAsia="Times New Roman" w:hAnsi="Times New Roman"/>
                <w:color w:val="000000"/>
                <w:sz w:val="24"/>
                <w:szCs w:val="24"/>
                <w:lang w:val="en-IE"/>
              </w:rPr>
              <w:t>The Commission has</w:t>
            </w:r>
            <w:r w:rsidR="00DA369C">
              <w:rPr>
                <w:rFonts w:ascii="Times New Roman" w:eastAsia="Times New Roman" w:hAnsi="Times New Roman"/>
                <w:color w:val="000000"/>
                <w:sz w:val="24"/>
                <w:szCs w:val="24"/>
              </w:rPr>
              <w:t xml:space="preserve"> </w:t>
            </w:r>
            <w:r w:rsidR="00847E63" w:rsidRPr="00AE6F9F">
              <w:rPr>
                <w:rFonts w:ascii="Times New Roman" w:eastAsia="Times New Roman" w:hAnsi="Times New Roman"/>
                <w:color w:val="000000"/>
                <w:sz w:val="24"/>
                <w:szCs w:val="24"/>
                <w:lang w:val="en-IE"/>
              </w:rPr>
              <w:t>notably</w:t>
            </w:r>
            <w:r w:rsidR="00DA369C">
              <w:rPr>
                <w:rFonts w:ascii="Times New Roman" w:eastAsia="Times New Roman" w:hAnsi="Times New Roman"/>
                <w:color w:val="000000"/>
                <w:sz w:val="24"/>
                <w:szCs w:val="24"/>
              </w:rPr>
              <w:t xml:space="preserve"> </w:t>
            </w:r>
            <w:r w:rsidR="00847E63" w:rsidRPr="00AE6F9F">
              <w:rPr>
                <w:rFonts w:ascii="Times New Roman" w:eastAsia="Times New Roman" w:hAnsi="Times New Roman"/>
                <w:color w:val="000000"/>
                <w:sz w:val="24"/>
                <w:szCs w:val="24"/>
                <w:lang w:val="en-IE"/>
              </w:rPr>
              <w:t>proposed</w:t>
            </w:r>
            <w:r w:rsidR="00DA369C">
              <w:rPr>
                <w:rFonts w:ascii="Times New Roman" w:eastAsia="Times New Roman" w:hAnsi="Times New Roman"/>
                <w:color w:val="000000"/>
                <w:sz w:val="24"/>
                <w:szCs w:val="24"/>
              </w:rPr>
              <w:t xml:space="preserve"> </w:t>
            </w:r>
            <w:r w:rsidR="00847E63" w:rsidRPr="00AE6F9F">
              <w:rPr>
                <w:rFonts w:ascii="Times New Roman" w:eastAsia="Times New Roman" w:hAnsi="Times New Roman"/>
                <w:color w:val="000000"/>
                <w:sz w:val="24"/>
                <w:szCs w:val="24"/>
                <w:lang w:val="en-IE"/>
              </w:rPr>
              <w:t>to strengthen the</w:t>
            </w:r>
            <w:r w:rsidR="00DA369C">
              <w:rPr>
                <w:rFonts w:ascii="Times New Roman" w:eastAsia="Times New Roman" w:hAnsi="Times New Roman"/>
                <w:color w:val="000000"/>
                <w:sz w:val="24"/>
                <w:szCs w:val="24"/>
              </w:rPr>
              <w:t xml:space="preserve"> </w:t>
            </w:r>
            <w:r w:rsidR="00847E63" w:rsidRPr="00AE6F9F">
              <w:rPr>
                <w:rFonts w:ascii="Times New Roman" w:eastAsia="Times New Roman" w:hAnsi="Times New Roman"/>
                <w:color w:val="000000"/>
                <w:sz w:val="24"/>
                <w:szCs w:val="24"/>
                <w:lang w:val="en-IE"/>
              </w:rPr>
              <w:t>current</w:t>
            </w:r>
            <w:r w:rsidR="00DA369C">
              <w:rPr>
                <w:rFonts w:ascii="Times New Roman" w:eastAsia="Times New Roman" w:hAnsi="Times New Roman"/>
                <w:color w:val="000000"/>
                <w:sz w:val="24"/>
                <w:szCs w:val="24"/>
              </w:rPr>
              <w:t xml:space="preserve"> </w:t>
            </w:r>
            <w:r w:rsidR="00847E63" w:rsidRPr="00AE6F9F">
              <w:rPr>
                <w:rFonts w:ascii="Times New Roman" w:eastAsia="Times New Roman" w:hAnsi="Times New Roman"/>
                <w:color w:val="000000"/>
                <w:sz w:val="24"/>
                <w:szCs w:val="24"/>
                <w:lang w:val="en-IE"/>
              </w:rPr>
              <w:t>framework</w:t>
            </w:r>
            <w:r w:rsidR="00DA369C">
              <w:rPr>
                <w:rFonts w:ascii="Times New Roman" w:eastAsia="Times New Roman" w:hAnsi="Times New Roman"/>
                <w:color w:val="000000"/>
                <w:sz w:val="24"/>
                <w:szCs w:val="24"/>
              </w:rPr>
              <w:t xml:space="preserve"> </w:t>
            </w:r>
            <w:r w:rsidR="00847E63" w:rsidRPr="00AE6F9F">
              <w:rPr>
                <w:rFonts w:ascii="Times New Roman" w:eastAsia="Times New Roman" w:hAnsi="Times New Roman"/>
                <w:color w:val="000000"/>
                <w:sz w:val="24"/>
                <w:szCs w:val="24"/>
                <w:lang w:val="en-IE"/>
              </w:rPr>
              <w:t>by</w:t>
            </w:r>
            <w:r w:rsidR="00DA369C">
              <w:rPr>
                <w:rFonts w:ascii="Times New Roman" w:eastAsia="Times New Roman" w:hAnsi="Times New Roman"/>
                <w:color w:val="000000"/>
                <w:sz w:val="24"/>
                <w:szCs w:val="24"/>
              </w:rPr>
              <w:t xml:space="preserve"> </w:t>
            </w:r>
            <w:r w:rsidR="00847E63" w:rsidRPr="00AE6F9F">
              <w:rPr>
                <w:rFonts w:ascii="Times New Roman" w:eastAsia="Times New Roman" w:hAnsi="Times New Roman"/>
                <w:color w:val="000000"/>
                <w:sz w:val="24"/>
                <w:szCs w:val="24"/>
                <w:lang w:val="en-IE"/>
              </w:rPr>
              <w:t>revising</w:t>
            </w:r>
            <w:r w:rsidR="00DA369C">
              <w:rPr>
                <w:rFonts w:ascii="Times New Roman" w:eastAsia="Times New Roman" w:hAnsi="Times New Roman"/>
                <w:color w:val="000000"/>
                <w:sz w:val="24"/>
                <w:szCs w:val="24"/>
              </w:rPr>
              <w:t xml:space="preserve"> </w:t>
            </w:r>
            <w:r w:rsidR="00847E63" w:rsidRPr="00AE6F9F">
              <w:rPr>
                <w:rFonts w:ascii="Times New Roman" w:eastAsia="Times New Roman" w:hAnsi="Times New Roman"/>
                <w:color w:val="000000"/>
                <w:sz w:val="24"/>
                <w:szCs w:val="24"/>
                <w:lang w:val="en-IE"/>
              </w:rPr>
              <w:t>the criteria</w:t>
            </w:r>
            <w:r w:rsidR="00990ACE">
              <w:rPr>
                <w:rFonts w:ascii="Times New Roman" w:eastAsia="Times New Roman" w:hAnsi="Times New Roman"/>
                <w:color w:val="000000"/>
                <w:sz w:val="24"/>
                <w:szCs w:val="24"/>
                <w:lang w:val="en-IE"/>
              </w:rPr>
              <w:t xml:space="preserve"> </w:t>
            </w:r>
            <w:r w:rsidR="00847E63" w:rsidRPr="00AE6F9F">
              <w:rPr>
                <w:rFonts w:ascii="Times New Roman" w:eastAsia="Times New Roman" w:hAnsi="Times New Roman"/>
                <w:color w:val="000000"/>
                <w:sz w:val="24"/>
                <w:szCs w:val="24"/>
                <w:lang w:val="en-IE"/>
              </w:rPr>
              <w:t>used</w:t>
            </w:r>
            <w:r w:rsidR="00DA369C">
              <w:rPr>
                <w:rFonts w:ascii="Times New Roman" w:eastAsia="Times New Roman" w:hAnsi="Times New Roman"/>
                <w:color w:val="000000"/>
                <w:sz w:val="24"/>
                <w:szCs w:val="24"/>
              </w:rPr>
              <w:t xml:space="preserve"> </w:t>
            </w:r>
            <w:r w:rsidR="00847E63" w:rsidRPr="00AE6F9F">
              <w:rPr>
                <w:rFonts w:ascii="Times New Roman" w:eastAsia="Times New Roman" w:hAnsi="Times New Roman"/>
                <w:color w:val="000000"/>
                <w:sz w:val="24"/>
                <w:szCs w:val="24"/>
                <w:lang w:val="en-IE"/>
              </w:rPr>
              <w:t>to</w:t>
            </w:r>
            <w:r w:rsidR="00DA369C">
              <w:rPr>
                <w:rFonts w:ascii="Times New Roman" w:eastAsia="Times New Roman" w:hAnsi="Times New Roman"/>
                <w:color w:val="000000"/>
                <w:sz w:val="24"/>
                <w:szCs w:val="24"/>
              </w:rPr>
              <w:t xml:space="preserve"> </w:t>
            </w:r>
            <w:r w:rsidR="00847E63" w:rsidRPr="00AE6F9F">
              <w:rPr>
                <w:rFonts w:ascii="Times New Roman" w:eastAsia="Times New Roman" w:hAnsi="Times New Roman"/>
                <w:color w:val="000000"/>
                <w:sz w:val="24"/>
                <w:szCs w:val="24"/>
                <w:lang w:val="en-IE"/>
              </w:rPr>
              <w:t>identify</w:t>
            </w:r>
            <w:r w:rsidR="00DA369C">
              <w:rPr>
                <w:rFonts w:ascii="Times New Roman" w:eastAsia="Times New Roman" w:hAnsi="Times New Roman"/>
                <w:color w:val="000000"/>
                <w:sz w:val="24"/>
                <w:szCs w:val="24"/>
              </w:rPr>
              <w:t xml:space="preserve"> </w:t>
            </w:r>
            <w:r w:rsidR="00847E63" w:rsidRPr="00AE6F9F">
              <w:rPr>
                <w:rFonts w:ascii="Times New Roman" w:eastAsia="Times New Roman" w:hAnsi="Times New Roman"/>
                <w:color w:val="000000"/>
                <w:sz w:val="24"/>
                <w:szCs w:val="24"/>
              </w:rPr>
              <w:t>‘</w:t>
            </w:r>
            <w:r w:rsidR="00847E63" w:rsidRPr="00AE6F9F">
              <w:rPr>
                <w:rFonts w:ascii="Times New Roman" w:eastAsia="Times New Roman" w:hAnsi="Times New Roman"/>
                <w:color w:val="000000"/>
                <w:sz w:val="24"/>
                <w:szCs w:val="24"/>
                <w:lang w:val="en-IE"/>
              </w:rPr>
              <w:t>neighbouring container transhipment</w:t>
            </w:r>
            <w:r w:rsidR="00DA369C">
              <w:rPr>
                <w:rFonts w:ascii="Times New Roman" w:eastAsia="Times New Roman" w:hAnsi="Times New Roman"/>
                <w:color w:val="000000"/>
                <w:sz w:val="24"/>
                <w:szCs w:val="24"/>
              </w:rPr>
              <w:t xml:space="preserve"> </w:t>
            </w:r>
            <w:proofErr w:type="gramStart"/>
            <w:r w:rsidR="00847E63" w:rsidRPr="00AE6F9F">
              <w:rPr>
                <w:rFonts w:ascii="Times New Roman" w:eastAsia="Times New Roman" w:hAnsi="Times New Roman"/>
                <w:color w:val="000000"/>
                <w:sz w:val="24"/>
                <w:szCs w:val="24"/>
                <w:lang w:val="en-IE"/>
              </w:rPr>
              <w:t>ports</w:t>
            </w:r>
            <w:r w:rsidR="00847E63" w:rsidRPr="00AE6F9F">
              <w:rPr>
                <w:rFonts w:ascii="Times New Roman" w:eastAsia="Times New Roman" w:hAnsi="Times New Roman"/>
                <w:color w:val="000000"/>
                <w:sz w:val="24"/>
                <w:szCs w:val="24"/>
              </w:rPr>
              <w:t>’</w:t>
            </w:r>
            <w:proofErr w:type="gramEnd"/>
            <w:r w:rsidR="00847E63" w:rsidRPr="00AE6F9F">
              <w:rPr>
                <w:rFonts w:ascii="Times New Roman" w:eastAsia="Times New Roman" w:hAnsi="Times New Roman"/>
                <w:color w:val="000000"/>
                <w:sz w:val="24"/>
                <w:szCs w:val="24"/>
                <w:lang w:val="en-IE"/>
              </w:rPr>
              <w:t>. In addition, the</w:t>
            </w:r>
            <w:r w:rsidR="00990ACE">
              <w:rPr>
                <w:rFonts w:ascii="Times New Roman" w:eastAsia="Times New Roman" w:hAnsi="Times New Roman"/>
                <w:color w:val="000000"/>
                <w:sz w:val="24"/>
                <w:szCs w:val="24"/>
                <w:lang w:val="en-IE"/>
              </w:rPr>
              <w:t> </w:t>
            </w:r>
            <w:r w:rsidR="00847E63" w:rsidRPr="00AE6F9F">
              <w:rPr>
                <w:rFonts w:ascii="Times New Roman" w:eastAsia="Times New Roman" w:hAnsi="Times New Roman"/>
                <w:color w:val="000000"/>
                <w:sz w:val="24"/>
                <w:szCs w:val="24"/>
                <w:lang w:val="en-IE"/>
              </w:rPr>
              <w:t>Commission has proposed a</w:t>
            </w:r>
            <w:r w:rsidR="00DA369C">
              <w:rPr>
                <w:rFonts w:ascii="Times New Roman" w:eastAsia="Times New Roman" w:hAnsi="Times New Roman"/>
                <w:color w:val="000000"/>
                <w:sz w:val="24"/>
                <w:szCs w:val="24"/>
              </w:rPr>
              <w:t xml:space="preserve"> </w:t>
            </w:r>
            <w:r w:rsidR="00847E63" w:rsidRPr="00AE6F9F">
              <w:rPr>
                <w:rFonts w:ascii="Times New Roman" w:eastAsia="Times New Roman" w:hAnsi="Times New Roman"/>
                <w:color w:val="000000"/>
                <w:sz w:val="24"/>
                <w:szCs w:val="24"/>
                <w:lang w:val="en-IE"/>
              </w:rPr>
              <w:t>new</w:t>
            </w:r>
            <w:r w:rsidR="00DA369C">
              <w:rPr>
                <w:rFonts w:ascii="Times New Roman" w:eastAsia="Times New Roman" w:hAnsi="Times New Roman"/>
                <w:color w:val="000000"/>
                <w:sz w:val="24"/>
                <w:szCs w:val="24"/>
              </w:rPr>
              <w:t xml:space="preserve"> </w:t>
            </w:r>
            <w:r w:rsidR="00847E63" w:rsidRPr="00AE6F9F">
              <w:rPr>
                <w:rFonts w:ascii="Times New Roman" w:eastAsia="Times New Roman" w:hAnsi="Times New Roman"/>
                <w:color w:val="000000"/>
                <w:sz w:val="24"/>
                <w:szCs w:val="24"/>
                <w:lang w:val="en-IE"/>
              </w:rPr>
              <w:t>complementary</w:t>
            </w:r>
            <w:r w:rsidR="00DA369C">
              <w:rPr>
                <w:rFonts w:ascii="Times New Roman" w:eastAsia="Times New Roman" w:hAnsi="Times New Roman"/>
                <w:color w:val="000000"/>
                <w:sz w:val="24"/>
                <w:szCs w:val="24"/>
              </w:rPr>
              <w:t xml:space="preserve"> </w:t>
            </w:r>
            <w:r w:rsidR="00847E63" w:rsidRPr="00AE6F9F">
              <w:rPr>
                <w:rFonts w:ascii="Times New Roman" w:eastAsia="Times New Roman" w:hAnsi="Times New Roman"/>
                <w:color w:val="000000"/>
                <w:sz w:val="24"/>
                <w:szCs w:val="24"/>
                <w:lang w:val="en-IE"/>
              </w:rPr>
              <w:t>measure</w:t>
            </w:r>
            <w:r w:rsidR="00DA369C">
              <w:rPr>
                <w:rFonts w:ascii="Times New Roman" w:eastAsia="Times New Roman" w:hAnsi="Times New Roman"/>
                <w:color w:val="000000"/>
                <w:sz w:val="24"/>
                <w:szCs w:val="24"/>
              </w:rPr>
              <w:t xml:space="preserve"> </w:t>
            </w:r>
            <w:r w:rsidR="00847E63" w:rsidRPr="00AE6F9F">
              <w:rPr>
                <w:rFonts w:ascii="Times New Roman" w:eastAsia="Times New Roman" w:hAnsi="Times New Roman"/>
                <w:color w:val="000000"/>
                <w:sz w:val="24"/>
                <w:szCs w:val="24"/>
                <w:lang w:val="en-IE"/>
              </w:rPr>
              <w:t>in the form of a</w:t>
            </w:r>
            <w:r w:rsidR="00DA369C">
              <w:rPr>
                <w:rFonts w:ascii="Times New Roman" w:eastAsia="Times New Roman" w:hAnsi="Times New Roman"/>
                <w:color w:val="000000"/>
                <w:sz w:val="24"/>
                <w:szCs w:val="24"/>
              </w:rPr>
              <w:t xml:space="preserve"> </w:t>
            </w:r>
            <w:r w:rsidR="00847E63" w:rsidRPr="00AE6F9F">
              <w:rPr>
                <w:rFonts w:ascii="Times New Roman" w:eastAsia="Times New Roman" w:hAnsi="Times New Roman"/>
                <w:color w:val="000000"/>
                <w:sz w:val="24"/>
                <w:szCs w:val="24"/>
                <w:lang w:val="en-IE"/>
              </w:rPr>
              <w:t>proportionate</w:t>
            </w:r>
            <w:r w:rsidR="00DA369C">
              <w:rPr>
                <w:rFonts w:ascii="Times New Roman" w:eastAsia="Times New Roman" w:hAnsi="Times New Roman"/>
                <w:color w:val="000000"/>
                <w:sz w:val="24"/>
                <w:szCs w:val="24"/>
              </w:rPr>
              <w:t xml:space="preserve"> </w:t>
            </w:r>
            <w:r w:rsidR="00847E63" w:rsidRPr="00AE6F9F">
              <w:rPr>
                <w:rFonts w:ascii="Times New Roman" w:eastAsia="Times New Roman" w:hAnsi="Times New Roman"/>
                <w:color w:val="000000"/>
                <w:sz w:val="24"/>
                <w:szCs w:val="24"/>
                <w:lang w:val="en-IE"/>
              </w:rPr>
              <w:t>derogation</w:t>
            </w:r>
            <w:r w:rsidR="00DA369C">
              <w:rPr>
                <w:rFonts w:ascii="Times New Roman" w:eastAsia="Times New Roman" w:hAnsi="Times New Roman"/>
                <w:color w:val="000000"/>
                <w:sz w:val="24"/>
                <w:szCs w:val="24"/>
              </w:rPr>
              <w:t xml:space="preserve"> </w:t>
            </w:r>
            <w:r w:rsidR="00847E63" w:rsidRPr="00AE6F9F">
              <w:rPr>
                <w:rFonts w:ascii="Times New Roman" w:eastAsia="Times New Roman" w:hAnsi="Times New Roman"/>
                <w:color w:val="000000"/>
                <w:sz w:val="24"/>
                <w:szCs w:val="24"/>
                <w:lang w:val="en-IE"/>
              </w:rPr>
              <w:t>targeted to</w:t>
            </w:r>
            <w:r w:rsidR="00DA369C">
              <w:rPr>
                <w:rFonts w:ascii="Times New Roman" w:eastAsia="Times New Roman" w:hAnsi="Times New Roman"/>
                <w:color w:val="000000"/>
                <w:sz w:val="24"/>
                <w:szCs w:val="24"/>
              </w:rPr>
              <w:t xml:space="preserve"> </w:t>
            </w:r>
            <w:r w:rsidR="00847E63" w:rsidRPr="00AE6F9F">
              <w:rPr>
                <w:rFonts w:ascii="Times New Roman" w:eastAsia="Times New Roman" w:hAnsi="Times New Roman"/>
                <w:color w:val="000000"/>
                <w:sz w:val="24"/>
                <w:szCs w:val="24"/>
                <w:lang w:val="en-IE"/>
              </w:rPr>
              <w:t>large container ship, which</w:t>
            </w:r>
            <w:r w:rsidR="00DA369C">
              <w:rPr>
                <w:rFonts w:ascii="Times New Roman" w:eastAsia="Times New Roman" w:hAnsi="Times New Roman"/>
                <w:color w:val="000000"/>
                <w:sz w:val="24"/>
                <w:szCs w:val="24"/>
              </w:rPr>
              <w:t xml:space="preserve"> </w:t>
            </w:r>
            <w:r w:rsidR="00847E63" w:rsidRPr="00AE6F9F">
              <w:rPr>
                <w:rFonts w:ascii="Times New Roman" w:eastAsia="Times New Roman" w:hAnsi="Times New Roman"/>
                <w:color w:val="000000"/>
                <w:sz w:val="24"/>
                <w:szCs w:val="24"/>
                <w:lang w:val="en-IE"/>
              </w:rPr>
              <w:t>use</w:t>
            </w:r>
            <w:r w:rsidR="00DA369C">
              <w:rPr>
                <w:rFonts w:ascii="Times New Roman" w:eastAsia="Times New Roman" w:hAnsi="Times New Roman"/>
                <w:color w:val="000000"/>
                <w:sz w:val="24"/>
                <w:szCs w:val="24"/>
              </w:rPr>
              <w:t xml:space="preserve"> </w:t>
            </w:r>
            <w:r w:rsidR="00847E63" w:rsidRPr="00AE6F9F">
              <w:rPr>
                <w:rFonts w:ascii="Times New Roman" w:eastAsia="Times New Roman" w:hAnsi="Times New Roman"/>
                <w:color w:val="000000"/>
                <w:sz w:val="24"/>
                <w:szCs w:val="24"/>
                <w:lang w:val="en-IE"/>
              </w:rPr>
              <w:t>transhipment</w:t>
            </w:r>
            <w:r w:rsidR="00DA369C">
              <w:rPr>
                <w:rFonts w:ascii="Times New Roman" w:eastAsia="Times New Roman" w:hAnsi="Times New Roman"/>
                <w:color w:val="000000"/>
                <w:sz w:val="24"/>
                <w:szCs w:val="24"/>
              </w:rPr>
              <w:t xml:space="preserve"> </w:t>
            </w:r>
            <w:r w:rsidR="00847E63" w:rsidRPr="00AE6F9F">
              <w:rPr>
                <w:rFonts w:ascii="Times New Roman" w:eastAsia="Times New Roman" w:hAnsi="Times New Roman"/>
                <w:color w:val="000000"/>
                <w:sz w:val="24"/>
                <w:szCs w:val="24"/>
                <w:lang w:val="en-IE"/>
              </w:rPr>
              <w:t>capacity at</w:t>
            </w:r>
            <w:r w:rsidR="00DA369C">
              <w:rPr>
                <w:rFonts w:ascii="Times New Roman" w:eastAsia="Times New Roman" w:hAnsi="Times New Roman"/>
                <w:color w:val="000000"/>
                <w:sz w:val="24"/>
                <w:szCs w:val="24"/>
              </w:rPr>
              <w:t xml:space="preserve"> </w:t>
            </w:r>
            <w:r w:rsidR="00847E63" w:rsidRPr="00AE6F9F">
              <w:rPr>
                <w:rFonts w:ascii="Times New Roman" w:eastAsia="Times New Roman" w:hAnsi="Times New Roman"/>
                <w:color w:val="000000"/>
                <w:sz w:val="24"/>
                <w:szCs w:val="24"/>
                <w:lang w:val="en-IE"/>
              </w:rPr>
              <w:t>EU ports for</w:t>
            </w:r>
            <w:r w:rsidR="00DA369C">
              <w:rPr>
                <w:rFonts w:ascii="Times New Roman" w:eastAsia="Times New Roman" w:hAnsi="Times New Roman"/>
                <w:color w:val="000000"/>
                <w:sz w:val="24"/>
                <w:szCs w:val="24"/>
              </w:rPr>
              <w:t xml:space="preserve"> </w:t>
            </w:r>
            <w:r w:rsidR="00847E63" w:rsidRPr="00AE6F9F">
              <w:rPr>
                <w:rFonts w:ascii="Times New Roman" w:eastAsia="Times New Roman" w:hAnsi="Times New Roman"/>
                <w:color w:val="000000"/>
                <w:sz w:val="24"/>
                <w:szCs w:val="24"/>
                <w:lang w:val="en-IE"/>
              </w:rPr>
              <w:t>moving containers between two non-EU countries.</w:t>
            </w:r>
          </w:p>
          <w:p w14:paraId="55117432" w14:textId="3F792EE2" w:rsidR="000D4490" w:rsidRPr="00AE6F9F" w:rsidRDefault="54723F08" w:rsidP="00AE6F9F">
            <w:pPr>
              <w:widowControl w:val="0"/>
              <w:spacing w:before="120" w:after="120"/>
              <w:jc w:val="both"/>
              <w:rPr>
                <w:rFonts w:ascii="Times New Roman" w:eastAsia="Times New Roman" w:hAnsi="Times New Roman"/>
                <w:color w:val="000000"/>
                <w:sz w:val="24"/>
                <w:szCs w:val="24"/>
              </w:rPr>
            </w:pPr>
            <w:r w:rsidRPr="00AE6F9F">
              <w:rPr>
                <w:rFonts w:ascii="Times New Roman" w:eastAsia="Times New Roman" w:hAnsi="Times New Roman"/>
                <w:color w:val="000000"/>
                <w:sz w:val="24"/>
                <w:szCs w:val="24"/>
              </w:rPr>
              <w:t>It should also be noted that</w:t>
            </w:r>
            <w:r w:rsidR="00E6471B" w:rsidRPr="00AE6F9F">
              <w:rPr>
                <w:rFonts w:ascii="Times New Roman" w:eastAsia="Times New Roman" w:hAnsi="Times New Roman"/>
                <w:color w:val="000000"/>
                <w:sz w:val="24"/>
                <w:szCs w:val="24"/>
              </w:rPr>
              <w:t xml:space="preserve"> under the current framework,</w:t>
            </w:r>
            <w:r w:rsidRPr="00AE6F9F">
              <w:rPr>
                <w:rFonts w:ascii="Times New Roman" w:eastAsia="Times New Roman" w:hAnsi="Times New Roman"/>
                <w:color w:val="000000"/>
                <w:sz w:val="24"/>
                <w:szCs w:val="24"/>
              </w:rPr>
              <w:t xml:space="preserve"> M</w:t>
            </w:r>
            <w:r w:rsidR="009303A1" w:rsidRPr="00AE6F9F">
              <w:rPr>
                <w:rFonts w:ascii="Times New Roman" w:eastAsia="Times New Roman" w:hAnsi="Times New Roman"/>
                <w:color w:val="000000"/>
                <w:sz w:val="24"/>
                <w:szCs w:val="24"/>
              </w:rPr>
              <w:t xml:space="preserve">ember </w:t>
            </w:r>
            <w:r w:rsidRPr="00AE6F9F">
              <w:rPr>
                <w:rFonts w:ascii="Times New Roman" w:eastAsia="Times New Roman" w:hAnsi="Times New Roman"/>
                <w:color w:val="000000"/>
                <w:sz w:val="24"/>
                <w:szCs w:val="24"/>
              </w:rPr>
              <w:t>S</w:t>
            </w:r>
            <w:r w:rsidR="009303A1" w:rsidRPr="00AE6F9F">
              <w:rPr>
                <w:rFonts w:ascii="Times New Roman" w:eastAsia="Times New Roman" w:hAnsi="Times New Roman"/>
                <w:color w:val="000000"/>
                <w:sz w:val="24"/>
                <w:szCs w:val="24"/>
              </w:rPr>
              <w:t>tates</w:t>
            </w:r>
            <w:r w:rsidRPr="00AE6F9F">
              <w:rPr>
                <w:rFonts w:ascii="Times New Roman" w:eastAsia="Times New Roman" w:hAnsi="Times New Roman"/>
                <w:color w:val="000000"/>
                <w:sz w:val="24"/>
                <w:szCs w:val="24"/>
              </w:rPr>
              <w:t xml:space="preserve"> are required to spend all their EU ETS revenues in support of the green transition, and that the ETS Directive already foresees the</w:t>
            </w:r>
            <w:r w:rsidR="00990ACE">
              <w:rPr>
                <w:rFonts w:ascii="Times New Roman" w:eastAsia="Times New Roman" w:hAnsi="Times New Roman"/>
                <w:color w:val="000000"/>
                <w:sz w:val="24"/>
                <w:szCs w:val="24"/>
              </w:rPr>
              <w:t> </w:t>
            </w:r>
            <w:r w:rsidRPr="00AE6F9F">
              <w:rPr>
                <w:rFonts w:ascii="Times New Roman" w:eastAsia="Times New Roman" w:hAnsi="Times New Roman"/>
                <w:color w:val="000000"/>
                <w:sz w:val="24"/>
                <w:szCs w:val="24"/>
              </w:rPr>
              <w:t>possibility for M</w:t>
            </w:r>
            <w:r w:rsidR="000B274D" w:rsidRPr="00AE6F9F">
              <w:rPr>
                <w:rFonts w:ascii="Times New Roman" w:eastAsia="Times New Roman" w:hAnsi="Times New Roman"/>
                <w:color w:val="000000"/>
                <w:sz w:val="24"/>
                <w:szCs w:val="24"/>
              </w:rPr>
              <w:t xml:space="preserve">ember </w:t>
            </w:r>
            <w:r w:rsidRPr="00AE6F9F">
              <w:rPr>
                <w:rFonts w:ascii="Times New Roman" w:eastAsia="Times New Roman" w:hAnsi="Times New Roman"/>
                <w:color w:val="000000"/>
                <w:sz w:val="24"/>
                <w:szCs w:val="24"/>
              </w:rPr>
              <w:t>S</w:t>
            </w:r>
            <w:r w:rsidR="000B274D" w:rsidRPr="00AE6F9F">
              <w:rPr>
                <w:rFonts w:ascii="Times New Roman" w:eastAsia="Times New Roman" w:hAnsi="Times New Roman"/>
                <w:color w:val="000000"/>
                <w:sz w:val="24"/>
                <w:szCs w:val="24"/>
              </w:rPr>
              <w:t>tates</w:t>
            </w:r>
            <w:r w:rsidRPr="00AE6F9F">
              <w:rPr>
                <w:rFonts w:ascii="Times New Roman" w:eastAsia="Times New Roman" w:hAnsi="Times New Roman"/>
                <w:color w:val="000000"/>
                <w:sz w:val="24"/>
                <w:szCs w:val="24"/>
              </w:rPr>
              <w:t xml:space="preserve"> to </w:t>
            </w:r>
            <w:r w:rsidRPr="00AE6F9F">
              <w:rPr>
                <w:rFonts w:ascii="Times New Roman" w:eastAsia="Times New Roman" w:hAnsi="Times New Roman"/>
                <w:color w:val="000000"/>
                <w:sz w:val="24"/>
                <w:szCs w:val="24"/>
                <w:lang w:val="en-IE"/>
              </w:rPr>
              <w:t xml:space="preserve">support measures to decarbonise the maritime sector, including through investments </w:t>
            </w:r>
            <w:r w:rsidRPr="00AE6F9F">
              <w:rPr>
                <w:rFonts w:ascii="Times New Roman" w:eastAsia="Times New Roman" w:hAnsi="Times New Roman"/>
                <w:color w:val="000000"/>
                <w:sz w:val="24"/>
                <w:szCs w:val="24"/>
              </w:rPr>
              <w:t>in</w:t>
            </w:r>
            <w:r w:rsidRPr="00AE6F9F">
              <w:rPr>
                <w:rFonts w:ascii="Times New Roman" w:eastAsia="Times New Roman" w:hAnsi="Times New Roman"/>
                <w:color w:val="000000"/>
                <w:sz w:val="24"/>
                <w:szCs w:val="24"/>
                <w:lang w:val="en-IE"/>
              </w:rPr>
              <w:t xml:space="preserve"> ports. </w:t>
            </w:r>
            <w:r w:rsidR="00E6471B" w:rsidRPr="00AE6F9F">
              <w:rPr>
                <w:rFonts w:ascii="Times New Roman" w:eastAsia="Times New Roman" w:hAnsi="Times New Roman"/>
                <w:color w:val="000000"/>
                <w:sz w:val="24"/>
                <w:szCs w:val="24"/>
                <w:lang w:val="en-IE"/>
              </w:rPr>
              <w:t xml:space="preserve">The ETS review proposal from the Commission </w:t>
            </w:r>
            <w:r w:rsidR="00E66615" w:rsidRPr="00AE6F9F">
              <w:rPr>
                <w:rFonts w:ascii="Times New Roman" w:eastAsia="Times New Roman" w:hAnsi="Times New Roman"/>
                <w:color w:val="000000"/>
                <w:sz w:val="24"/>
                <w:szCs w:val="24"/>
                <w:lang w:val="en-IE"/>
              </w:rPr>
              <w:t xml:space="preserve">takes a step </w:t>
            </w:r>
            <w:r w:rsidR="00E6471B" w:rsidRPr="00AE6F9F">
              <w:rPr>
                <w:rFonts w:ascii="Times New Roman" w:eastAsia="Times New Roman" w:hAnsi="Times New Roman"/>
                <w:color w:val="000000"/>
                <w:sz w:val="24"/>
                <w:szCs w:val="24"/>
                <w:lang w:val="en-IE"/>
              </w:rPr>
              <w:t xml:space="preserve">further by </w:t>
            </w:r>
            <w:r w:rsidR="00E66615" w:rsidRPr="00AE6F9F">
              <w:rPr>
                <w:rFonts w:ascii="Times New Roman" w:eastAsia="Times New Roman" w:hAnsi="Times New Roman"/>
                <w:color w:val="000000"/>
                <w:sz w:val="24"/>
                <w:szCs w:val="24"/>
                <w:lang w:val="en-IE"/>
              </w:rPr>
              <w:t xml:space="preserve">requiring </w:t>
            </w:r>
            <w:r w:rsidR="00E66615" w:rsidRPr="00AE6F9F">
              <w:rPr>
                <w:rFonts w:ascii="Times New Roman" w:eastAsia="Times New Roman" w:hAnsi="Times New Roman"/>
                <w:color w:val="000000"/>
                <w:sz w:val="24"/>
                <w:szCs w:val="24"/>
              </w:rPr>
              <w:t>Member States to spend</w:t>
            </w:r>
            <w:r w:rsidR="00DA369C">
              <w:rPr>
                <w:rFonts w:ascii="Times New Roman" w:eastAsia="Times New Roman" w:hAnsi="Times New Roman"/>
                <w:color w:val="000000"/>
                <w:sz w:val="24"/>
                <w:szCs w:val="24"/>
              </w:rPr>
              <w:t xml:space="preserve"> </w:t>
            </w:r>
            <w:r w:rsidR="00E66615" w:rsidRPr="00AE6F9F">
              <w:rPr>
                <w:rFonts w:ascii="Times New Roman" w:eastAsia="Times New Roman" w:hAnsi="Times New Roman"/>
                <w:color w:val="000000"/>
                <w:sz w:val="24"/>
                <w:szCs w:val="24"/>
              </w:rPr>
              <w:t>50% of their national ETS revenues</w:t>
            </w:r>
            <w:r w:rsidR="00DA369C">
              <w:rPr>
                <w:rFonts w:ascii="Times New Roman" w:eastAsia="Times New Roman" w:hAnsi="Times New Roman"/>
                <w:color w:val="000000"/>
                <w:sz w:val="24"/>
                <w:szCs w:val="24"/>
              </w:rPr>
              <w:t xml:space="preserve"> </w:t>
            </w:r>
            <w:r w:rsidR="00E66615" w:rsidRPr="00AE6F9F">
              <w:rPr>
                <w:rFonts w:ascii="Times New Roman" w:eastAsia="Times New Roman" w:hAnsi="Times New Roman"/>
                <w:color w:val="000000"/>
                <w:sz w:val="24"/>
                <w:szCs w:val="24"/>
              </w:rPr>
              <w:t>on investments to decarbonise ETS sectors, including in relation to maritime transport.</w:t>
            </w:r>
            <w:r w:rsidR="00E6471B" w:rsidRPr="00AE6F9F">
              <w:rPr>
                <w:rFonts w:ascii="Times New Roman" w:eastAsia="Times New Roman" w:hAnsi="Times New Roman"/>
                <w:color w:val="000000"/>
                <w:sz w:val="24"/>
                <w:szCs w:val="24"/>
                <w:lang w:val="en-IE"/>
              </w:rPr>
              <w:t xml:space="preserve"> </w:t>
            </w:r>
            <w:r w:rsidRPr="00AE6F9F">
              <w:rPr>
                <w:rFonts w:ascii="Times New Roman" w:eastAsia="Times New Roman" w:hAnsi="Times New Roman"/>
                <w:color w:val="000000"/>
                <w:sz w:val="24"/>
                <w:szCs w:val="24"/>
              </w:rPr>
              <w:t>The Commission will continue its monitoring activities, actively seeking the support and collaboration of M</w:t>
            </w:r>
            <w:r w:rsidR="000B274D" w:rsidRPr="00AE6F9F">
              <w:rPr>
                <w:rFonts w:ascii="Times New Roman" w:eastAsia="Times New Roman" w:hAnsi="Times New Roman"/>
                <w:color w:val="000000"/>
                <w:sz w:val="24"/>
                <w:szCs w:val="24"/>
              </w:rPr>
              <w:t xml:space="preserve">ember </w:t>
            </w:r>
            <w:r w:rsidRPr="00AE6F9F">
              <w:rPr>
                <w:rFonts w:ascii="Times New Roman" w:eastAsia="Times New Roman" w:hAnsi="Times New Roman"/>
                <w:color w:val="000000"/>
                <w:sz w:val="24"/>
                <w:szCs w:val="24"/>
              </w:rPr>
              <w:t>S</w:t>
            </w:r>
            <w:r w:rsidR="000B274D" w:rsidRPr="00AE6F9F">
              <w:rPr>
                <w:rFonts w:ascii="Times New Roman" w:eastAsia="Times New Roman" w:hAnsi="Times New Roman"/>
                <w:color w:val="000000"/>
                <w:sz w:val="24"/>
                <w:szCs w:val="24"/>
              </w:rPr>
              <w:t>tates</w:t>
            </w:r>
            <w:r w:rsidRPr="00AE6F9F">
              <w:rPr>
                <w:rFonts w:ascii="Times New Roman" w:eastAsia="Times New Roman" w:hAnsi="Times New Roman"/>
                <w:color w:val="000000"/>
                <w:sz w:val="24"/>
                <w:szCs w:val="24"/>
              </w:rPr>
              <w:t>, ports, agencies</w:t>
            </w:r>
            <w:r w:rsidR="00B61AE3" w:rsidRPr="00AE6F9F">
              <w:rPr>
                <w:rFonts w:ascii="Times New Roman" w:eastAsia="Times New Roman" w:hAnsi="Times New Roman"/>
                <w:color w:val="000000"/>
                <w:sz w:val="24"/>
                <w:szCs w:val="24"/>
              </w:rPr>
              <w:t>,</w:t>
            </w:r>
            <w:r w:rsidRPr="00AE6F9F">
              <w:rPr>
                <w:rFonts w:ascii="Times New Roman" w:eastAsia="Times New Roman" w:hAnsi="Times New Roman"/>
                <w:color w:val="000000"/>
                <w:sz w:val="24"/>
                <w:szCs w:val="24"/>
              </w:rPr>
              <w:t xml:space="preserve"> and other relevant stakeholders to swiftly identify new trends, patterns and emerging issues.</w:t>
            </w:r>
          </w:p>
          <w:p w14:paraId="662F514D" w14:textId="7F50BB7E" w:rsidR="000D4490" w:rsidRPr="00AE6F9F" w:rsidRDefault="54723F08" w:rsidP="00AE6F9F">
            <w:pPr>
              <w:widowControl w:val="0"/>
              <w:spacing w:before="120" w:after="120"/>
              <w:jc w:val="both"/>
              <w:rPr>
                <w:rFonts w:ascii="Times New Roman" w:eastAsia="Times New Roman" w:hAnsi="Times New Roman"/>
                <w:color w:val="000000"/>
                <w:sz w:val="24"/>
                <w:szCs w:val="24"/>
              </w:rPr>
            </w:pPr>
            <w:r w:rsidRPr="00AE6F9F">
              <w:rPr>
                <w:rFonts w:ascii="Times New Roman" w:eastAsia="Times New Roman" w:hAnsi="Times New Roman"/>
                <w:color w:val="000000"/>
                <w:sz w:val="24"/>
                <w:szCs w:val="24"/>
              </w:rPr>
              <w:t xml:space="preserve">In relation to </w:t>
            </w:r>
            <w:r w:rsidRPr="00AE6F9F">
              <w:rPr>
                <w:rFonts w:ascii="Times New Roman" w:eastAsia="Times New Roman" w:hAnsi="Times New Roman"/>
                <w:color w:val="000000"/>
                <w:sz w:val="24"/>
                <w:szCs w:val="24"/>
                <w:u w:val="single"/>
              </w:rPr>
              <w:t>point 1.10</w:t>
            </w:r>
            <w:r w:rsidRPr="00AE6F9F">
              <w:rPr>
                <w:rFonts w:ascii="Times New Roman" w:eastAsia="Times New Roman" w:hAnsi="Times New Roman"/>
                <w:i/>
                <w:iCs/>
                <w:color w:val="000000"/>
                <w:sz w:val="24"/>
                <w:szCs w:val="24"/>
              </w:rPr>
              <w:t xml:space="preserve">, </w:t>
            </w:r>
            <w:r w:rsidRPr="00AE6F9F">
              <w:rPr>
                <w:rFonts w:ascii="Times New Roman" w:eastAsia="Times New Roman" w:hAnsi="Times New Roman"/>
                <w:color w:val="000000"/>
                <w:sz w:val="24"/>
                <w:szCs w:val="24"/>
              </w:rPr>
              <w:t>the Commission thoroughly assessed the impact of the ETS extension to maritime transport on production and employment in its 2021 Impact Assessment</w:t>
            </w:r>
            <w:r w:rsidRPr="00AE6F9F">
              <w:rPr>
                <w:rFonts w:ascii="Times New Roman" w:eastAsia="Times New Roman" w:hAnsi="Times New Roman"/>
                <w:color w:val="000000"/>
                <w:sz w:val="24"/>
                <w:szCs w:val="24"/>
                <w:vertAlign w:val="superscript"/>
              </w:rPr>
              <w:t>9</w:t>
            </w:r>
            <w:r w:rsidRPr="00AE6F9F">
              <w:rPr>
                <w:rFonts w:ascii="Times New Roman" w:eastAsia="Times New Roman" w:hAnsi="Times New Roman"/>
                <w:color w:val="000000"/>
                <w:sz w:val="24"/>
                <w:szCs w:val="24"/>
              </w:rPr>
              <w:t xml:space="preserve">. Regarding costs, the analysis showed that the estimated impact on commodity prices relevant to European trade was expected to be relatively small (less than one percent price increase by 2030), with a very low effect on demand. Moreover, while shipping costs are indeed estimated to have risen by 3.7% in 2024 and will likely rise more in the subsequent years, </w:t>
            </w:r>
            <w:r w:rsidR="00814DE7" w:rsidRPr="00AE6F9F">
              <w:rPr>
                <w:rFonts w:ascii="Times New Roman" w:eastAsia="Times New Roman" w:hAnsi="Times New Roman"/>
                <w:color w:val="000000"/>
                <w:sz w:val="24"/>
                <w:szCs w:val="24"/>
              </w:rPr>
              <w:t xml:space="preserve">it should be noted that </w:t>
            </w:r>
            <w:r w:rsidRPr="00AE6F9F">
              <w:rPr>
                <w:rFonts w:ascii="Times New Roman" w:eastAsia="Times New Roman" w:hAnsi="Times New Roman"/>
                <w:color w:val="000000"/>
                <w:sz w:val="24"/>
                <w:szCs w:val="24"/>
              </w:rPr>
              <w:t>this will only happen if no energy efficiency or emission reduction measures are taken by operators and/or ship owners</w:t>
            </w:r>
            <w:r w:rsidRPr="00AE6F9F">
              <w:rPr>
                <w:rFonts w:ascii="Times New Roman" w:eastAsia="Times New Roman" w:hAnsi="Times New Roman"/>
                <w:i/>
                <w:iCs/>
                <w:color w:val="000000"/>
                <w:sz w:val="24"/>
                <w:szCs w:val="24"/>
              </w:rPr>
              <w:t xml:space="preserve">. </w:t>
            </w:r>
            <w:r w:rsidRPr="00AE6F9F">
              <w:rPr>
                <w:rFonts w:ascii="Times New Roman" w:eastAsia="Times New Roman" w:hAnsi="Times New Roman"/>
                <w:color w:val="000000"/>
                <w:sz w:val="24"/>
                <w:szCs w:val="24"/>
              </w:rPr>
              <w:t>Lastly, it should be recalled again that that the bulk of revenues generated by the ETS flow back to M</w:t>
            </w:r>
            <w:r w:rsidR="000B274D" w:rsidRPr="00AE6F9F">
              <w:rPr>
                <w:rFonts w:ascii="Times New Roman" w:eastAsia="Times New Roman" w:hAnsi="Times New Roman"/>
                <w:color w:val="000000"/>
                <w:sz w:val="24"/>
                <w:szCs w:val="24"/>
              </w:rPr>
              <w:t xml:space="preserve">ember </w:t>
            </w:r>
            <w:r w:rsidRPr="00AE6F9F">
              <w:rPr>
                <w:rFonts w:ascii="Times New Roman" w:eastAsia="Times New Roman" w:hAnsi="Times New Roman"/>
                <w:color w:val="000000"/>
                <w:sz w:val="24"/>
                <w:szCs w:val="24"/>
              </w:rPr>
              <w:t>S</w:t>
            </w:r>
            <w:r w:rsidR="000B274D" w:rsidRPr="00AE6F9F">
              <w:rPr>
                <w:rFonts w:ascii="Times New Roman" w:eastAsia="Times New Roman" w:hAnsi="Times New Roman"/>
                <w:color w:val="000000"/>
                <w:sz w:val="24"/>
                <w:szCs w:val="24"/>
              </w:rPr>
              <w:t>tates</w:t>
            </w:r>
            <w:r w:rsidRPr="00AE6F9F">
              <w:rPr>
                <w:rFonts w:ascii="Times New Roman" w:eastAsia="Times New Roman" w:hAnsi="Times New Roman"/>
                <w:color w:val="000000"/>
                <w:sz w:val="24"/>
                <w:szCs w:val="24"/>
              </w:rPr>
              <w:t xml:space="preserve"> to support the green transition.</w:t>
            </w:r>
          </w:p>
          <w:p w14:paraId="7ACBCD1B" w14:textId="0BC18D75" w:rsidR="000D4490" w:rsidRPr="00AE6F9F" w:rsidRDefault="54723F08" w:rsidP="00AE6F9F">
            <w:pPr>
              <w:widowControl w:val="0"/>
              <w:spacing w:before="120" w:after="120"/>
              <w:jc w:val="both"/>
              <w:rPr>
                <w:rFonts w:ascii="Times New Roman" w:eastAsia="Times New Roman" w:hAnsi="Times New Roman"/>
                <w:color w:val="000000"/>
                <w:sz w:val="24"/>
                <w:szCs w:val="24"/>
              </w:rPr>
            </w:pPr>
            <w:r w:rsidRPr="00AE6F9F">
              <w:rPr>
                <w:rFonts w:ascii="Times New Roman" w:eastAsia="Times New Roman" w:hAnsi="Times New Roman"/>
                <w:color w:val="000000"/>
                <w:sz w:val="24"/>
                <w:szCs w:val="24"/>
              </w:rPr>
              <w:t xml:space="preserve">In relation to </w:t>
            </w:r>
            <w:r w:rsidRPr="00AE6F9F">
              <w:rPr>
                <w:rFonts w:ascii="Times New Roman" w:eastAsia="Times New Roman" w:hAnsi="Times New Roman"/>
                <w:color w:val="000000"/>
                <w:sz w:val="24"/>
                <w:szCs w:val="24"/>
                <w:u w:val="single"/>
              </w:rPr>
              <w:t>point 1.11</w:t>
            </w:r>
            <w:r w:rsidRPr="00AE6F9F">
              <w:rPr>
                <w:rFonts w:ascii="Times New Roman" w:eastAsia="Times New Roman" w:hAnsi="Times New Roman"/>
                <w:i/>
                <w:iCs/>
                <w:color w:val="000000"/>
                <w:sz w:val="24"/>
                <w:szCs w:val="24"/>
              </w:rPr>
              <w:t xml:space="preserve">, </w:t>
            </w:r>
            <w:r w:rsidRPr="00AE6F9F">
              <w:rPr>
                <w:rFonts w:ascii="Times New Roman" w:eastAsia="Times New Roman" w:hAnsi="Times New Roman"/>
                <w:color w:val="000000"/>
                <w:sz w:val="24"/>
                <w:szCs w:val="24"/>
              </w:rPr>
              <w:t>on the effect of the ETS extension to maritime transport on economies of islands and M</w:t>
            </w:r>
            <w:r w:rsidR="000B274D" w:rsidRPr="00AE6F9F">
              <w:rPr>
                <w:rFonts w:ascii="Times New Roman" w:eastAsia="Times New Roman" w:hAnsi="Times New Roman"/>
                <w:color w:val="000000"/>
                <w:sz w:val="24"/>
                <w:szCs w:val="24"/>
              </w:rPr>
              <w:t xml:space="preserve">ember </w:t>
            </w:r>
            <w:r w:rsidRPr="00AE6F9F">
              <w:rPr>
                <w:rFonts w:ascii="Times New Roman" w:eastAsia="Times New Roman" w:hAnsi="Times New Roman"/>
                <w:color w:val="000000"/>
                <w:sz w:val="24"/>
                <w:szCs w:val="24"/>
              </w:rPr>
              <w:t>S</w:t>
            </w:r>
            <w:r w:rsidR="000B274D" w:rsidRPr="00AE6F9F">
              <w:rPr>
                <w:rFonts w:ascii="Times New Roman" w:eastAsia="Times New Roman" w:hAnsi="Times New Roman"/>
                <w:color w:val="000000"/>
                <w:sz w:val="24"/>
                <w:szCs w:val="24"/>
              </w:rPr>
              <w:t>tates</w:t>
            </w:r>
            <w:r w:rsidRPr="00AE6F9F">
              <w:rPr>
                <w:rFonts w:ascii="Times New Roman" w:eastAsia="Times New Roman" w:hAnsi="Times New Roman"/>
                <w:color w:val="000000"/>
                <w:sz w:val="24"/>
                <w:szCs w:val="24"/>
              </w:rPr>
              <w:t xml:space="preserve"> </w:t>
            </w:r>
            <w:r w:rsidR="001E7698" w:rsidRPr="00AE6F9F">
              <w:rPr>
                <w:rFonts w:ascii="Times New Roman" w:eastAsia="Times New Roman" w:hAnsi="Times New Roman"/>
                <w:color w:val="000000"/>
                <w:sz w:val="24"/>
                <w:szCs w:val="24"/>
              </w:rPr>
              <w:t>with a str</w:t>
            </w:r>
            <w:r w:rsidR="00185765" w:rsidRPr="00AE6F9F">
              <w:rPr>
                <w:rFonts w:ascii="Times New Roman" w:eastAsia="Times New Roman" w:hAnsi="Times New Roman"/>
                <w:color w:val="000000"/>
                <w:sz w:val="24"/>
                <w:szCs w:val="24"/>
              </w:rPr>
              <w:t>ong dependence</w:t>
            </w:r>
            <w:r w:rsidRPr="00AE6F9F">
              <w:rPr>
                <w:rFonts w:ascii="Times New Roman" w:eastAsia="Times New Roman" w:hAnsi="Times New Roman"/>
                <w:color w:val="000000"/>
                <w:sz w:val="24"/>
                <w:szCs w:val="24"/>
              </w:rPr>
              <w:t xml:space="preserve"> on shipping and maritime activities, the</w:t>
            </w:r>
            <w:r w:rsidR="00990ACE">
              <w:rPr>
                <w:rFonts w:ascii="Times New Roman" w:eastAsia="Times New Roman" w:hAnsi="Times New Roman"/>
                <w:color w:val="000000"/>
                <w:sz w:val="24"/>
                <w:szCs w:val="24"/>
              </w:rPr>
              <w:t> </w:t>
            </w:r>
            <w:r w:rsidRPr="00AE6F9F">
              <w:rPr>
                <w:rFonts w:ascii="Times New Roman" w:eastAsia="Times New Roman" w:hAnsi="Times New Roman"/>
                <w:color w:val="000000"/>
                <w:sz w:val="24"/>
                <w:szCs w:val="24"/>
              </w:rPr>
              <w:t>Commission would like to recall that M</w:t>
            </w:r>
            <w:r w:rsidR="000B274D" w:rsidRPr="00AE6F9F">
              <w:rPr>
                <w:rFonts w:ascii="Times New Roman" w:eastAsia="Times New Roman" w:hAnsi="Times New Roman"/>
                <w:color w:val="000000"/>
                <w:sz w:val="24"/>
                <w:szCs w:val="24"/>
              </w:rPr>
              <w:t xml:space="preserve">ember </w:t>
            </w:r>
            <w:r w:rsidRPr="00AE6F9F">
              <w:rPr>
                <w:rFonts w:ascii="Times New Roman" w:eastAsia="Times New Roman" w:hAnsi="Times New Roman"/>
                <w:color w:val="000000"/>
                <w:sz w:val="24"/>
                <w:szCs w:val="24"/>
              </w:rPr>
              <w:t>S</w:t>
            </w:r>
            <w:r w:rsidR="000B274D" w:rsidRPr="00AE6F9F">
              <w:rPr>
                <w:rFonts w:ascii="Times New Roman" w:eastAsia="Times New Roman" w:hAnsi="Times New Roman"/>
                <w:color w:val="000000"/>
                <w:sz w:val="24"/>
                <w:szCs w:val="24"/>
              </w:rPr>
              <w:t>tates</w:t>
            </w:r>
            <w:r w:rsidRPr="00AE6F9F">
              <w:rPr>
                <w:rFonts w:ascii="Times New Roman" w:eastAsia="Times New Roman" w:hAnsi="Times New Roman"/>
                <w:color w:val="000000"/>
                <w:sz w:val="24"/>
                <w:szCs w:val="24"/>
              </w:rPr>
              <w:t xml:space="preserve"> with a high ratio of shipping companies compared to their population, such as Malta and Cyprus, receive additional ETS allowances under the</w:t>
            </w:r>
            <w:r w:rsidR="00990ACE">
              <w:rPr>
                <w:rFonts w:ascii="Times New Roman" w:eastAsia="Times New Roman" w:hAnsi="Times New Roman"/>
                <w:color w:val="000000"/>
                <w:sz w:val="24"/>
                <w:szCs w:val="24"/>
              </w:rPr>
              <w:t> </w:t>
            </w:r>
            <w:r w:rsidRPr="00AE6F9F">
              <w:rPr>
                <w:rFonts w:ascii="Times New Roman" w:eastAsia="Times New Roman" w:hAnsi="Times New Roman"/>
                <w:color w:val="000000"/>
                <w:sz w:val="24"/>
                <w:szCs w:val="24"/>
              </w:rPr>
              <w:t>current framework. Furthermore, it is possible for M</w:t>
            </w:r>
            <w:r w:rsidR="000B274D" w:rsidRPr="00AE6F9F">
              <w:rPr>
                <w:rFonts w:ascii="Times New Roman" w:eastAsia="Times New Roman" w:hAnsi="Times New Roman"/>
                <w:color w:val="000000"/>
                <w:sz w:val="24"/>
                <w:szCs w:val="24"/>
              </w:rPr>
              <w:t xml:space="preserve">ember </w:t>
            </w:r>
            <w:r w:rsidRPr="00AE6F9F">
              <w:rPr>
                <w:rFonts w:ascii="Times New Roman" w:eastAsia="Times New Roman" w:hAnsi="Times New Roman"/>
                <w:color w:val="000000"/>
                <w:sz w:val="24"/>
                <w:szCs w:val="24"/>
              </w:rPr>
              <w:t>S</w:t>
            </w:r>
            <w:r w:rsidR="000B274D" w:rsidRPr="00AE6F9F">
              <w:rPr>
                <w:rFonts w:ascii="Times New Roman" w:eastAsia="Times New Roman" w:hAnsi="Times New Roman"/>
                <w:color w:val="000000"/>
                <w:sz w:val="24"/>
                <w:szCs w:val="24"/>
              </w:rPr>
              <w:t>tates</w:t>
            </w:r>
            <w:r w:rsidRPr="00AE6F9F">
              <w:rPr>
                <w:rFonts w:ascii="Times New Roman" w:eastAsia="Times New Roman" w:hAnsi="Times New Roman"/>
                <w:color w:val="000000"/>
                <w:sz w:val="24"/>
                <w:szCs w:val="24"/>
              </w:rPr>
              <w:t xml:space="preserve"> to request a temporary derogation for certain maritime transport activities for islands with a population of fewer than 200.000 permanent residents.</w:t>
            </w:r>
          </w:p>
          <w:p w14:paraId="4E942877" w14:textId="1B5C6B77" w:rsidR="000D4490" w:rsidRPr="00AE6F9F" w:rsidRDefault="54723F08" w:rsidP="00AE6F9F">
            <w:pPr>
              <w:widowControl w:val="0"/>
              <w:spacing w:before="120" w:after="120"/>
              <w:jc w:val="both"/>
              <w:rPr>
                <w:rFonts w:ascii="Times New Roman" w:eastAsia="Times New Roman" w:hAnsi="Times New Roman"/>
                <w:color w:val="000000"/>
                <w:sz w:val="24"/>
                <w:szCs w:val="24"/>
              </w:rPr>
            </w:pPr>
            <w:r w:rsidRPr="00AE6F9F">
              <w:rPr>
                <w:rFonts w:ascii="Times New Roman" w:eastAsia="Times New Roman" w:hAnsi="Times New Roman"/>
                <w:color w:val="000000"/>
                <w:sz w:val="24"/>
                <w:szCs w:val="24"/>
              </w:rPr>
              <w:t xml:space="preserve">In relation to </w:t>
            </w:r>
            <w:r w:rsidRPr="00AE6F9F">
              <w:rPr>
                <w:rFonts w:ascii="Times New Roman" w:eastAsia="Times New Roman" w:hAnsi="Times New Roman"/>
                <w:color w:val="000000"/>
                <w:sz w:val="24"/>
                <w:szCs w:val="24"/>
                <w:u w:val="single"/>
              </w:rPr>
              <w:t>point 1.6</w:t>
            </w:r>
            <w:r w:rsidRPr="00AE6F9F">
              <w:rPr>
                <w:rFonts w:ascii="Times New Roman" w:eastAsia="Times New Roman" w:hAnsi="Times New Roman"/>
                <w:color w:val="000000"/>
                <w:sz w:val="24"/>
                <w:szCs w:val="24"/>
              </w:rPr>
              <w:t>, the Commission will continue supporting the development of an ambitious legal framework at</w:t>
            </w:r>
            <w:r w:rsidR="00B61AE3" w:rsidRPr="00AE6F9F">
              <w:rPr>
                <w:rFonts w:ascii="Times New Roman" w:eastAsia="Times New Roman" w:hAnsi="Times New Roman"/>
                <w:color w:val="000000"/>
                <w:sz w:val="24"/>
                <w:szCs w:val="24"/>
              </w:rPr>
              <w:t xml:space="preserve"> the</w:t>
            </w:r>
            <w:r w:rsidRPr="00AE6F9F">
              <w:rPr>
                <w:rFonts w:ascii="Times New Roman" w:eastAsia="Times New Roman" w:hAnsi="Times New Roman"/>
                <w:color w:val="000000"/>
                <w:sz w:val="24"/>
                <w:szCs w:val="24"/>
              </w:rPr>
              <w:t xml:space="preserve"> </w:t>
            </w:r>
            <w:r w:rsidR="000B274D" w:rsidRPr="00AE6F9F">
              <w:rPr>
                <w:rFonts w:ascii="Times New Roman" w:eastAsia="Times New Roman" w:hAnsi="Times New Roman"/>
                <w:color w:val="000000"/>
                <w:sz w:val="24"/>
                <w:szCs w:val="24"/>
              </w:rPr>
              <w:t>International Maritime Organization</w:t>
            </w:r>
            <w:r w:rsidR="00B61AE3" w:rsidRPr="00AE6F9F">
              <w:rPr>
                <w:rFonts w:ascii="Times New Roman" w:eastAsia="Times New Roman" w:hAnsi="Times New Roman"/>
                <w:color w:val="000000"/>
                <w:sz w:val="24"/>
                <w:szCs w:val="24"/>
              </w:rPr>
              <w:t xml:space="preserve"> </w:t>
            </w:r>
            <w:r w:rsidR="000B274D" w:rsidRPr="00AE6F9F">
              <w:rPr>
                <w:rFonts w:ascii="Times New Roman" w:eastAsia="Times New Roman" w:hAnsi="Times New Roman"/>
                <w:color w:val="000000"/>
                <w:sz w:val="24"/>
                <w:szCs w:val="24"/>
              </w:rPr>
              <w:t>(</w:t>
            </w:r>
            <w:r w:rsidRPr="00AE6F9F">
              <w:rPr>
                <w:rFonts w:ascii="Times New Roman" w:eastAsia="Times New Roman" w:hAnsi="Times New Roman"/>
                <w:color w:val="000000"/>
                <w:sz w:val="24"/>
                <w:szCs w:val="24"/>
              </w:rPr>
              <w:t>IMO</w:t>
            </w:r>
            <w:r w:rsidR="000B274D" w:rsidRPr="00AE6F9F">
              <w:rPr>
                <w:rFonts w:ascii="Times New Roman" w:eastAsia="Times New Roman" w:hAnsi="Times New Roman"/>
                <w:color w:val="000000"/>
                <w:sz w:val="24"/>
                <w:szCs w:val="24"/>
              </w:rPr>
              <w:t>)</w:t>
            </w:r>
            <w:r w:rsidRPr="00AE6F9F">
              <w:rPr>
                <w:rFonts w:ascii="Times New Roman" w:eastAsia="Times New Roman" w:hAnsi="Times New Roman"/>
                <w:color w:val="000000"/>
                <w:sz w:val="24"/>
                <w:szCs w:val="24"/>
              </w:rPr>
              <w:t xml:space="preserve"> to reduce the climate impact of the</w:t>
            </w:r>
            <w:r w:rsidR="00990ACE">
              <w:rPr>
                <w:rFonts w:ascii="Times New Roman" w:eastAsia="Times New Roman" w:hAnsi="Times New Roman"/>
                <w:color w:val="000000"/>
                <w:sz w:val="24"/>
                <w:szCs w:val="24"/>
              </w:rPr>
              <w:t> </w:t>
            </w:r>
            <w:r w:rsidRPr="00AE6F9F">
              <w:rPr>
                <w:rFonts w:ascii="Times New Roman" w:eastAsia="Times New Roman" w:hAnsi="Times New Roman"/>
                <w:color w:val="000000"/>
                <w:sz w:val="24"/>
                <w:szCs w:val="24"/>
              </w:rPr>
              <w:t>whole sector and welcomes the support of the EESC in this regard.</w:t>
            </w:r>
          </w:p>
        </w:tc>
      </w:tr>
      <w:tr w:rsidR="002C74F6" w:rsidRPr="001E6CA6" w14:paraId="4225BC44" w14:textId="77777777" w:rsidTr="00407F57">
        <w:trPr>
          <w:trHeight w:val="812"/>
          <w:jc w:val="center"/>
        </w:trPr>
        <w:tc>
          <w:tcPr>
            <w:tcW w:w="10156" w:type="dxa"/>
          </w:tcPr>
          <w:p w14:paraId="51D3813A" w14:textId="43938348" w:rsidR="002C74F6" w:rsidRPr="00AE6F9F" w:rsidRDefault="4AA26F29" w:rsidP="00AE6F9F">
            <w:pPr>
              <w:pStyle w:val="pf0"/>
              <w:widowControl w:val="0"/>
              <w:spacing w:before="120" w:beforeAutospacing="0" w:after="120" w:afterAutospacing="0"/>
              <w:jc w:val="both"/>
            </w:pPr>
            <w:r w:rsidRPr="00AE6F9F">
              <w:lastRenderedPageBreak/>
              <w:t xml:space="preserve">In </w:t>
            </w:r>
            <w:r w:rsidRPr="00AE6F9F">
              <w:rPr>
                <w:u w:val="single"/>
              </w:rPr>
              <w:t>point 1.7</w:t>
            </w:r>
            <w:r w:rsidRPr="00AE6F9F">
              <w:t xml:space="preserve">, the EESC expresses support for the recently tabled simplifications of the Carbon Border Adjustment Mechanism (CBAM) and urges the Commission to carry out ex post impact assessments to monitor the concrete impact on businesses and jobs. Moreover, in </w:t>
            </w:r>
            <w:r w:rsidRPr="00AE6F9F">
              <w:rPr>
                <w:u w:val="single"/>
              </w:rPr>
              <w:t>point 4.11</w:t>
            </w:r>
            <w:r w:rsidRPr="00AE6F9F">
              <w:t>, the EESC expresses the</w:t>
            </w:r>
            <w:r w:rsidR="00990ACE">
              <w:t> </w:t>
            </w:r>
            <w:r w:rsidRPr="00AE6F9F">
              <w:t>need for a CBAM export solution.</w:t>
            </w:r>
          </w:p>
          <w:p w14:paraId="56317B87" w14:textId="2664D2C1" w:rsidR="002C74F6" w:rsidRPr="00AE6F9F" w:rsidRDefault="4AA26F29" w:rsidP="00AE6F9F">
            <w:pPr>
              <w:pStyle w:val="pf0"/>
              <w:widowControl w:val="0"/>
              <w:spacing w:before="120" w:beforeAutospacing="0" w:after="120" w:afterAutospacing="0"/>
              <w:jc w:val="both"/>
            </w:pPr>
            <w:r w:rsidRPr="00AE6F9F">
              <w:t>The Commission welcomes the EESC</w:t>
            </w:r>
            <w:r w:rsidR="00F41911" w:rsidRPr="00AE6F9F">
              <w:t>’</w:t>
            </w:r>
            <w:r w:rsidRPr="00AE6F9F">
              <w:t xml:space="preserve">s support for the </w:t>
            </w:r>
            <w:r w:rsidR="0010280D" w:rsidRPr="00AE6F9F">
              <w:t xml:space="preserve">adopted </w:t>
            </w:r>
            <w:r w:rsidRPr="00AE6F9F">
              <w:t xml:space="preserve">simplifications to the CBAM </w:t>
            </w:r>
            <w:r w:rsidR="00990ACE">
              <w:lastRenderedPageBreak/>
              <w:t>R</w:t>
            </w:r>
            <w:r w:rsidRPr="00AE6F9F">
              <w:t>egulation to reduce</w:t>
            </w:r>
            <w:r w:rsidR="00DD5AF7" w:rsidRPr="00AE6F9F">
              <w:t xml:space="preserve"> the</w:t>
            </w:r>
            <w:r w:rsidRPr="00AE6F9F">
              <w:t xml:space="preserve"> administrative burden for business, while maintaining the</w:t>
            </w:r>
            <w:r w:rsidR="00B5386A" w:rsidRPr="00AE6F9F">
              <w:t xml:space="preserve"> CBAM objectives</w:t>
            </w:r>
            <w:r w:rsidRPr="00AE6F9F">
              <w:t xml:space="preserve">. </w:t>
            </w:r>
            <w:r w:rsidR="00B5386A" w:rsidRPr="00AE6F9F">
              <w:t xml:space="preserve">The CBAM Regulation amendment </w:t>
            </w:r>
            <w:r w:rsidR="0010280D" w:rsidRPr="00AE6F9F">
              <w:t>entered into force on 20 October 2025</w:t>
            </w:r>
            <w:r w:rsidR="0010280D" w:rsidRPr="00AE6F9F">
              <w:rPr>
                <w:rStyle w:val="FootnoteReference"/>
              </w:rPr>
              <w:footnoteReference w:id="13"/>
            </w:r>
            <w:r w:rsidRPr="00AE6F9F">
              <w:t>. As mentioned above, the</w:t>
            </w:r>
            <w:r w:rsidR="00990ACE">
              <w:t> </w:t>
            </w:r>
            <w:r w:rsidRPr="00AE6F9F">
              <w:t xml:space="preserve">2026 ETS review </w:t>
            </w:r>
            <w:r w:rsidR="001E6CA6" w:rsidRPr="00AE6F9F">
              <w:t xml:space="preserve">also </w:t>
            </w:r>
            <w:r w:rsidRPr="00AE6F9F">
              <w:t>include</w:t>
            </w:r>
            <w:r w:rsidR="001E6CA6" w:rsidRPr="00AE6F9F">
              <w:t>d</w:t>
            </w:r>
            <w:r w:rsidRPr="00AE6F9F">
              <w:t xml:space="preserve"> an evaluation of the ETS implementation and possible </w:t>
            </w:r>
            <w:r w:rsidR="01333928" w:rsidRPr="00AE6F9F">
              <w:t>options</w:t>
            </w:r>
            <w:r w:rsidR="001E6CA6" w:rsidRPr="00AE6F9F">
              <w:t xml:space="preserve"> for</w:t>
            </w:r>
            <w:r w:rsidR="01333928" w:rsidRPr="00AE6F9F">
              <w:t xml:space="preserve"> </w:t>
            </w:r>
            <w:r w:rsidRPr="00AE6F9F">
              <w:t>simplification.</w:t>
            </w:r>
          </w:p>
          <w:p w14:paraId="76901D81" w14:textId="6ABB6441" w:rsidR="002C74F6" w:rsidRPr="00AE6F9F" w:rsidRDefault="0010280D" w:rsidP="00AE6F9F">
            <w:pPr>
              <w:pStyle w:val="pf0"/>
              <w:widowControl w:val="0"/>
              <w:spacing w:before="120" w:beforeAutospacing="0" w:after="120" w:afterAutospacing="0"/>
              <w:jc w:val="both"/>
            </w:pPr>
            <w:r w:rsidRPr="00AE6F9F">
              <w:t>On 16 December</w:t>
            </w:r>
            <w:r w:rsidR="00F23280" w:rsidRPr="00AE6F9F">
              <w:t xml:space="preserve"> </w:t>
            </w:r>
            <w:r w:rsidR="000B274D" w:rsidRPr="00AE6F9F">
              <w:t>2025</w:t>
            </w:r>
            <w:r w:rsidR="6D61C079" w:rsidRPr="00AE6F9F">
              <w:t xml:space="preserve">, the Commission </w:t>
            </w:r>
            <w:r w:rsidRPr="00AE6F9F">
              <w:t>published the Report from the Commission to the European Parliament and the Council on the application of the Regulation on the Carbon Border Adjustment Mechanism</w:t>
            </w:r>
            <w:r w:rsidRPr="00AE6F9F">
              <w:rPr>
                <w:rStyle w:val="FootnoteReference"/>
              </w:rPr>
              <w:footnoteReference w:id="14"/>
            </w:r>
            <w:r w:rsidRPr="00AE6F9F">
              <w:t xml:space="preserve"> in which a </w:t>
            </w:r>
            <w:r w:rsidR="6D61C079" w:rsidRPr="00AE6F9F">
              <w:t>broad review of CBAM</w:t>
            </w:r>
            <w:r w:rsidRPr="00AE6F9F">
              <w:t xml:space="preserve"> was conducted</w:t>
            </w:r>
            <w:r w:rsidR="6D61C079" w:rsidRPr="00AE6F9F">
              <w:t>, including an assessment of possible extensions of the mechanism, such as to indirect emissions for all sectors, and to other sectors at risk of carbon leakage. As announced in the Steel and Metals Action Plan on 19 March 2025, the Commission</w:t>
            </w:r>
            <w:r w:rsidRPr="00AE6F9F">
              <w:t xml:space="preserve"> has</w:t>
            </w:r>
            <w:r w:rsidR="6D61C079" w:rsidRPr="00AE6F9F">
              <w:t xml:space="preserve">, </w:t>
            </w:r>
            <w:r w:rsidRPr="00AE6F9F">
              <w:t>on 17</w:t>
            </w:r>
            <w:r w:rsidR="00DA369C">
              <w:t> </w:t>
            </w:r>
            <w:r w:rsidRPr="00AE6F9F">
              <w:t xml:space="preserve">December </w:t>
            </w:r>
            <w:r w:rsidR="000B274D" w:rsidRPr="00AE6F9F">
              <w:t>2025</w:t>
            </w:r>
            <w:r w:rsidR="6D61C079" w:rsidRPr="00AE6F9F">
              <w:t xml:space="preserve">, also </w:t>
            </w:r>
            <w:r w:rsidRPr="00AE6F9F">
              <w:t>proposed an amendment to the CBAM Regulation to strengthen the</w:t>
            </w:r>
            <w:r w:rsidR="00990ACE">
              <w:t> </w:t>
            </w:r>
            <w:r w:rsidRPr="00AE6F9F">
              <w:t>effectiveness of CBAM</w:t>
            </w:r>
            <w:r w:rsidR="00B5386A" w:rsidRPr="00AE6F9F">
              <w:t xml:space="preserve"> by</w:t>
            </w:r>
            <w:r w:rsidRPr="00AE6F9F">
              <w:t xml:space="preserve"> </w:t>
            </w:r>
            <w:r w:rsidRPr="00AE6F9F">
              <w:rPr>
                <w:lang w:val="en-GB"/>
              </w:rPr>
              <w:t>includ</w:t>
            </w:r>
            <w:r w:rsidR="00B5386A" w:rsidRPr="00AE6F9F">
              <w:rPr>
                <w:lang w:val="en-GB"/>
              </w:rPr>
              <w:t>ing</w:t>
            </w:r>
            <w:r w:rsidRPr="00AE6F9F">
              <w:rPr>
                <w:lang w:val="en-GB"/>
              </w:rPr>
              <w:t xml:space="preserve"> specific steel and aluminium-intensive downstream products. The Commission is also proposing measures to close loopholes to prevent circumvention</w:t>
            </w:r>
            <w:r w:rsidRPr="00AE6F9F">
              <w:rPr>
                <w:rStyle w:val="FootnoteReference"/>
                <w:lang w:val="en-GB"/>
              </w:rPr>
              <w:footnoteReference w:id="15"/>
            </w:r>
            <w:r w:rsidRPr="00AE6F9F">
              <w:rPr>
                <w:lang w:val="en-GB"/>
              </w:rPr>
              <w:t>.</w:t>
            </w:r>
          </w:p>
          <w:p w14:paraId="72642422" w14:textId="6D897C39" w:rsidR="001E6CA6" w:rsidRPr="00AE6F9F" w:rsidRDefault="63650D80" w:rsidP="00AE6F9F">
            <w:pPr>
              <w:widowControl w:val="0"/>
              <w:spacing w:before="120" w:after="120"/>
              <w:jc w:val="both"/>
              <w:rPr>
                <w:rFonts w:ascii="Times New Roman" w:eastAsia="Times New Roman" w:hAnsi="Times New Roman"/>
                <w:color w:val="000000"/>
                <w:sz w:val="24"/>
                <w:szCs w:val="24"/>
                <w:lang w:val="en-IE"/>
              </w:rPr>
            </w:pPr>
            <w:r w:rsidRPr="00AE6F9F">
              <w:rPr>
                <w:rFonts w:ascii="Times New Roman" w:eastAsia="Times New Roman" w:hAnsi="Times New Roman"/>
                <w:color w:val="000000"/>
                <w:sz w:val="24"/>
                <w:szCs w:val="24"/>
                <w:lang w:val="en-IE"/>
              </w:rPr>
              <w:t xml:space="preserve">As also announced in the Steel and Metals Action </w:t>
            </w:r>
            <w:proofErr w:type="gramStart"/>
            <w:r w:rsidRPr="00AE6F9F">
              <w:rPr>
                <w:rFonts w:ascii="Times New Roman" w:eastAsia="Times New Roman" w:hAnsi="Times New Roman"/>
                <w:color w:val="000000"/>
                <w:sz w:val="24"/>
                <w:szCs w:val="24"/>
                <w:lang w:val="en-IE"/>
              </w:rPr>
              <w:t>Plan,</w:t>
            </w:r>
            <w:r w:rsidR="7C445291" w:rsidRPr="00AE6F9F">
              <w:rPr>
                <w:rFonts w:ascii="Times New Roman" w:eastAsia="Times New Roman" w:hAnsi="Times New Roman"/>
                <w:color w:val="000000"/>
                <w:sz w:val="24"/>
                <w:szCs w:val="24"/>
                <w:lang w:val="en-IE"/>
              </w:rPr>
              <w:t xml:space="preserve"> </w:t>
            </w:r>
            <w:r w:rsidRPr="00AE6F9F">
              <w:rPr>
                <w:rFonts w:ascii="Times New Roman" w:eastAsia="Times New Roman" w:hAnsi="Times New Roman"/>
                <w:color w:val="000000"/>
                <w:sz w:val="24"/>
                <w:szCs w:val="24"/>
                <w:lang w:val="en-IE"/>
              </w:rPr>
              <w:t>and</w:t>
            </w:r>
            <w:proofErr w:type="gramEnd"/>
            <w:r w:rsidRPr="00AE6F9F">
              <w:rPr>
                <w:rFonts w:ascii="Times New Roman" w:eastAsia="Times New Roman" w:hAnsi="Times New Roman"/>
                <w:color w:val="000000"/>
                <w:sz w:val="24"/>
                <w:szCs w:val="24"/>
                <w:lang w:val="en-IE"/>
              </w:rPr>
              <w:t xml:space="preserve"> further elaborated in the Communication on </w:t>
            </w:r>
            <w:r w:rsidR="2456B343" w:rsidRPr="00AE6F9F">
              <w:rPr>
                <w:rFonts w:ascii="Times New Roman" w:eastAsia="Times New Roman" w:hAnsi="Times New Roman"/>
                <w:color w:val="000000"/>
                <w:sz w:val="24"/>
                <w:szCs w:val="24"/>
                <w:lang w:val="en-IE"/>
              </w:rPr>
              <w:t xml:space="preserve">Delivering on </w:t>
            </w:r>
            <w:r w:rsidRPr="00AE6F9F">
              <w:rPr>
                <w:rFonts w:ascii="Times New Roman" w:eastAsia="Times New Roman" w:hAnsi="Times New Roman"/>
                <w:color w:val="000000"/>
                <w:sz w:val="24"/>
                <w:szCs w:val="24"/>
                <w:lang w:val="en-IE"/>
              </w:rPr>
              <w:t>the Clean and Industrial Deal</w:t>
            </w:r>
            <w:r w:rsidR="00293B2B" w:rsidRPr="00AE6F9F">
              <w:rPr>
                <w:rFonts w:ascii="Times New Roman" w:eastAsia="Times New Roman" w:hAnsi="Times New Roman"/>
                <w:color w:val="000000"/>
                <w:sz w:val="24"/>
                <w:szCs w:val="24"/>
                <w:lang w:val="en-IE"/>
              </w:rPr>
              <w:t> </w:t>
            </w:r>
            <w:r w:rsidR="2456B343" w:rsidRPr="00AE6F9F">
              <w:rPr>
                <w:rFonts w:ascii="Times New Roman" w:eastAsia="Times New Roman" w:hAnsi="Times New Roman"/>
                <w:color w:val="000000"/>
                <w:sz w:val="24"/>
                <w:szCs w:val="24"/>
                <w:lang w:val="en-IE"/>
              </w:rPr>
              <w:t xml:space="preserve">I </w:t>
            </w:r>
            <w:r w:rsidRPr="00AE6F9F">
              <w:rPr>
                <w:rFonts w:ascii="Times New Roman" w:eastAsia="Times New Roman" w:hAnsi="Times New Roman"/>
                <w:color w:val="000000"/>
                <w:sz w:val="24"/>
                <w:szCs w:val="24"/>
                <w:lang w:val="en-IE"/>
              </w:rPr>
              <w:t>of 2 July 2025, the Commission has</w:t>
            </w:r>
            <w:r w:rsidR="0010280D" w:rsidRPr="00AE6F9F">
              <w:rPr>
                <w:rFonts w:ascii="Times New Roman" w:eastAsia="Times New Roman" w:hAnsi="Times New Roman"/>
                <w:color w:val="000000"/>
                <w:sz w:val="24"/>
                <w:szCs w:val="24"/>
                <w:lang w:val="en-IE"/>
              </w:rPr>
              <w:t>, on 17 December 2025,</w:t>
            </w:r>
            <w:r w:rsidRPr="00AE6F9F">
              <w:rPr>
                <w:rFonts w:ascii="Times New Roman" w:eastAsia="Times New Roman" w:hAnsi="Times New Roman"/>
                <w:color w:val="000000"/>
                <w:sz w:val="24"/>
                <w:szCs w:val="24"/>
                <w:lang w:val="en-IE"/>
              </w:rPr>
              <w:t xml:space="preserve"> </w:t>
            </w:r>
            <w:r w:rsidR="0010280D" w:rsidRPr="00AE6F9F">
              <w:rPr>
                <w:rFonts w:ascii="Times New Roman" w:eastAsia="Times New Roman" w:hAnsi="Times New Roman"/>
                <w:color w:val="000000"/>
                <w:sz w:val="24"/>
                <w:szCs w:val="24"/>
                <w:lang w:val="en-IE"/>
              </w:rPr>
              <w:t>launched a fund to temporarily support EU producers of CBAM goods and mitigate carbon leakage risks. This addresses the competitiveness loss in third-country markets where EU goods might be supplanted by cheaper, more emission-intensive alternatives, potentially increasing global emissions.</w:t>
            </w:r>
            <w:r w:rsidR="007733AE" w:rsidRPr="00AE6F9F">
              <w:rPr>
                <w:rFonts w:ascii="Times New Roman" w:eastAsia="Times New Roman" w:hAnsi="Times New Roman"/>
                <w:color w:val="000000"/>
                <w:sz w:val="24"/>
                <w:szCs w:val="24"/>
                <w:lang w:val="en-IE"/>
              </w:rPr>
              <w:t xml:space="preserve"> </w:t>
            </w:r>
            <w:r w:rsidR="0010280D" w:rsidRPr="00AE6F9F">
              <w:rPr>
                <w:rFonts w:ascii="Times New Roman" w:eastAsia="Times New Roman" w:hAnsi="Times New Roman"/>
                <w:color w:val="000000"/>
                <w:sz w:val="24"/>
                <w:szCs w:val="24"/>
                <w:lang w:val="en-IE"/>
              </w:rPr>
              <w:t>The fund will reimburse a portion of the EU-ETS carbon costs for goods still facing carbon leakage risks, with support contingent upon demonstrated decarbonisation efforts.</w:t>
            </w:r>
            <w:r w:rsidR="007733AE" w:rsidRPr="00AE6F9F">
              <w:rPr>
                <w:rFonts w:ascii="Times New Roman" w:eastAsia="Times New Roman" w:hAnsi="Times New Roman"/>
                <w:color w:val="000000"/>
                <w:sz w:val="24"/>
                <w:szCs w:val="24"/>
                <w:lang w:val="en-IE"/>
              </w:rPr>
              <w:t xml:space="preserve"> </w:t>
            </w:r>
            <w:r w:rsidR="0010280D" w:rsidRPr="00AE6F9F">
              <w:rPr>
                <w:rFonts w:ascii="Times New Roman" w:eastAsia="Times New Roman" w:hAnsi="Times New Roman"/>
                <w:color w:val="000000"/>
                <w:sz w:val="24"/>
                <w:szCs w:val="24"/>
                <w:lang w:val="en-IE"/>
              </w:rPr>
              <w:t xml:space="preserve">Financing will come from </w:t>
            </w:r>
            <w:r w:rsidR="001E6CA6" w:rsidRPr="00AE6F9F">
              <w:rPr>
                <w:rFonts w:ascii="Times New Roman" w:eastAsia="Times New Roman" w:hAnsi="Times New Roman"/>
                <w:color w:val="000000"/>
                <w:sz w:val="24"/>
                <w:szCs w:val="24"/>
                <w:lang w:val="en-IE"/>
              </w:rPr>
              <w:t>M</w:t>
            </w:r>
            <w:r w:rsidR="0010280D" w:rsidRPr="00AE6F9F">
              <w:rPr>
                <w:rFonts w:ascii="Times New Roman" w:eastAsia="Times New Roman" w:hAnsi="Times New Roman"/>
                <w:color w:val="000000"/>
                <w:sz w:val="24"/>
                <w:szCs w:val="24"/>
                <w:lang w:val="en-IE"/>
              </w:rPr>
              <w:t xml:space="preserve">ember </w:t>
            </w:r>
            <w:r w:rsidR="001E6CA6" w:rsidRPr="00AE6F9F">
              <w:rPr>
                <w:rFonts w:ascii="Times New Roman" w:eastAsia="Times New Roman" w:hAnsi="Times New Roman"/>
                <w:color w:val="000000"/>
                <w:sz w:val="24"/>
                <w:szCs w:val="24"/>
                <w:lang w:val="en-IE"/>
              </w:rPr>
              <w:t>S</w:t>
            </w:r>
            <w:r w:rsidR="0010280D" w:rsidRPr="00AE6F9F">
              <w:rPr>
                <w:rFonts w:ascii="Times New Roman" w:eastAsia="Times New Roman" w:hAnsi="Times New Roman"/>
                <w:color w:val="000000"/>
                <w:sz w:val="24"/>
                <w:szCs w:val="24"/>
                <w:lang w:val="en-IE"/>
              </w:rPr>
              <w:t>tate contributions, constituting 25% of revenues from CBAM certificate sales in 2026 and 2027, while the remaining 75% will be an EU Own Resource</w:t>
            </w:r>
            <w:r w:rsidR="007733AE" w:rsidRPr="00AE6F9F">
              <w:rPr>
                <w:rStyle w:val="FootnoteReference"/>
                <w:rFonts w:ascii="Times New Roman" w:eastAsia="Times New Roman" w:hAnsi="Times New Roman"/>
                <w:color w:val="000000"/>
                <w:szCs w:val="24"/>
                <w:lang w:val="en-IE"/>
              </w:rPr>
              <w:footnoteReference w:id="16"/>
            </w:r>
            <w:r w:rsidR="0010280D" w:rsidRPr="00AE6F9F">
              <w:rPr>
                <w:rFonts w:ascii="Times New Roman" w:eastAsia="Times New Roman" w:hAnsi="Times New Roman"/>
                <w:color w:val="000000"/>
                <w:sz w:val="24"/>
                <w:szCs w:val="24"/>
                <w:lang w:val="en-IE"/>
              </w:rPr>
              <w:t>.</w:t>
            </w:r>
            <w:r w:rsidR="00F41911" w:rsidRPr="00AE6F9F">
              <w:rPr>
                <w:rFonts w:ascii="Times New Roman" w:eastAsia="Times New Roman" w:hAnsi="Times New Roman"/>
                <w:color w:val="000000"/>
                <w:sz w:val="24"/>
                <w:szCs w:val="24"/>
                <w:lang w:val="en-IE"/>
              </w:rPr>
              <w:t xml:space="preserve"> The ETS review proposal provides a different, permanent solution from 2028 onwards. From 2028 onward, 15% of the free allocation reduced in CBAM sectors will be returned to the industry and the phase-out date for free allocation for these sectors will be extended to the end of 2037.</w:t>
            </w:r>
          </w:p>
          <w:p w14:paraId="3808BC1F" w14:textId="529223C8" w:rsidR="004508B0" w:rsidRPr="00AE6F9F" w:rsidRDefault="004508B0" w:rsidP="00AE6F9F">
            <w:pPr>
              <w:widowControl w:val="0"/>
              <w:spacing w:before="120" w:after="120"/>
              <w:jc w:val="both"/>
              <w:rPr>
                <w:rFonts w:ascii="Times New Roman" w:eastAsia="Times New Roman" w:hAnsi="Times New Roman"/>
                <w:color w:val="000000"/>
                <w:sz w:val="24"/>
                <w:szCs w:val="24"/>
                <w:lang w:val="en-IE"/>
              </w:rPr>
            </w:pPr>
            <w:r w:rsidRPr="00AE6F9F">
              <w:rPr>
                <w:rFonts w:ascii="Times New Roman" w:eastAsia="Times New Roman" w:hAnsi="Times New Roman"/>
                <w:color w:val="000000"/>
                <w:sz w:val="24"/>
                <w:szCs w:val="24"/>
                <w:lang w:val="en-IE"/>
              </w:rPr>
              <w:t>The next CBAM review report is due before 1 January 2028.</w:t>
            </w:r>
          </w:p>
        </w:tc>
      </w:tr>
    </w:tbl>
    <w:p w14:paraId="16490600" w14:textId="77777777" w:rsidR="00576BC9" w:rsidRPr="002773A8" w:rsidRDefault="00576BC9" w:rsidP="00576BC9">
      <w:pPr>
        <w:widowControl w:val="0"/>
        <w:spacing w:after="0"/>
        <w:ind w:left="-425" w:right="-709" w:hanging="284"/>
        <w:jc w:val="both"/>
        <w:rPr>
          <w:rFonts w:ascii="Times New Roman" w:eastAsia="Times New Roman" w:hAnsi="Times New Roman"/>
          <w:color w:val="333333"/>
          <w:sz w:val="10"/>
          <w:szCs w:val="10"/>
          <w:lang w:val="en-IE"/>
        </w:rPr>
      </w:pPr>
    </w:p>
    <w:sectPr w:rsidR="00576BC9" w:rsidRPr="002773A8">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8A983" w14:textId="77777777" w:rsidR="00A30598" w:rsidRDefault="00A30598" w:rsidP="00FF63EA">
      <w:pPr>
        <w:spacing w:after="0" w:line="240" w:lineRule="auto"/>
      </w:pPr>
      <w:r>
        <w:separator/>
      </w:r>
    </w:p>
  </w:endnote>
  <w:endnote w:type="continuationSeparator" w:id="0">
    <w:p w14:paraId="4D4CFB57" w14:textId="77777777" w:rsidR="00A30598" w:rsidRDefault="00A30598" w:rsidP="00FF63EA">
      <w:pPr>
        <w:spacing w:after="0" w:line="240" w:lineRule="auto"/>
      </w:pPr>
      <w:r>
        <w:continuationSeparator/>
      </w:r>
    </w:p>
  </w:endnote>
  <w:endnote w:type="continuationNotice" w:id="1">
    <w:p w14:paraId="191F5842" w14:textId="77777777" w:rsidR="00A30598" w:rsidRDefault="00A305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BE82" w14:textId="77777777" w:rsidR="00212030" w:rsidRDefault="002120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EF49B" w14:textId="77777777" w:rsidR="00212030" w:rsidRPr="00293B2B" w:rsidRDefault="00212030" w:rsidP="00293B2B">
    <w:pPr>
      <w:pStyle w:val="Footer"/>
      <w:spacing w:after="0" w:line="240" w:lineRule="auto"/>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0115B" w14:textId="77777777" w:rsidR="00212030" w:rsidRDefault="002120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2A44F" w14:textId="77777777" w:rsidR="00A30598" w:rsidRDefault="00A30598" w:rsidP="00FF63EA">
      <w:pPr>
        <w:spacing w:after="0" w:line="240" w:lineRule="auto"/>
      </w:pPr>
      <w:r>
        <w:separator/>
      </w:r>
    </w:p>
  </w:footnote>
  <w:footnote w:type="continuationSeparator" w:id="0">
    <w:p w14:paraId="581934D7" w14:textId="77777777" w:rsidR="00A30598" w:rsidRDefault="00A30598" w:rsidP="00FF63EA">
      <w:pPr>
        <w:spacing w:after="0" w:line="240" w:lineRule="auto"/>
      </w:pPr>
      <w:r>
        <w:continuationSeparator/>
      </w:r>
    </w:p>
  </w:footnote>
  <w:footnote w:type="continuationNotice" w:id="1">
    <w:p w14:paraId="3D63E0AC" w14:textId="77777777" w:rsidR="00A30598" w:rsidRDefault="00A30598">
      <w:pPr>
        <w:spacing w:after="0" w:line="240" w:lineRule="auto"/>
      </w:pPr>
    </w:p>
  </w:footnote>
  <w:footnote w:id="2">
    <w:p w14:paraId="555165D8" w14:textId="735E6855" w:rsidR="00374415" w:rsidRPr="00407F57" w:rsidRDefault="00374415" w:rsidP="00407F57">
      <w:pPr>
        <w:pStyle w:val="FootnoteText"/>
        <w:spacing w:after="0" w:line="240" w:lineRule="auto"/>
        <w:ind w:left="-142" w:right="-426" w:hanging="284"/>
        <w:jc w:val="both"/>
        <w:rPr>
          <w:rFonts w:ascii="Times New Roman" w:hAnsi="Times New Roman"/>
        </w:rPr>
      </w:pPr>
      <w:r w:rsidRPr="00407F57">
        <w:rPr>
          <w:rStyle w:val="FootnoteReference"/>
          <w:rFonts w:ascii="Times New Roman" w:hAnsi="Times New Roman"/>
          <w:sz w:val="20"/>
        </w:rPr>
        <w:footnoteRef/>
      </w:r>
      <w:r w:rsidRPr="00407F57">
        <w:rPr>
          <w:rFonts w:ascii="Times New Roman" w:hAnsi="Times New Roman"/>
        </w:rPr>
        <w:t xml:space="preserve"> </w:t>
      </w:r>
      <w:r w:rsidR="002773A8" w:rsidRPr="00407F57">
        <w:rPr>
          <w:rFonts w:ascii="Times New Roman" w:hAnsi="Times New Roman"/>
        </w:rPr>
        <w:tab/>
      </w:r>
      <w:hyperlink r:id="rId1" w:history="1">
        <w:r w:rsidRPr="002773A8">
          <w:rPr>
            <w:rStyle w:val="Hyperlink"/>
            <w:rFonts w:ascii="Times New Roman" w:hAnsi="Times New Roman"/>
          </w:rPr>
          <w:t>EU emissions trading system | EUR-Lex</w:t>
        </w:r>
      </w:hyperlink>
      <w:r w:rsidRPr="002773A8">
        <w:rPr>
          <w:rFonts w:ascii="Times New Roman" w:hAnsi="Times New Roman"/>
        </w:rPr>
        <w:t>.</w:t>
      </w:r>
    </w:p>
  </w:footnote>
  <w:footnote w:id="3">
    <w:p w14:paraId="1FE3172A" w14:textId="145871C4" w:rsidR="73CD4CF3" w:rsidRPr="002773A8" w:rsidRDefault="73CD4CF3" w:rsidP="00407F57">
      <w:pPr>
        <w:pStyle w:val="FootnoteText"/>
        <w:widowControl w:val="0"/>
        <w:spacing w:after="0" w:line="240" w:lineRule="auto"/>
        <w:ind w:left="-142" w:right="-426" w:hanging="284"/>
        <w:jc w:val="both"/>
        <w:rPr>
          <w:rFonts w:ascii="Times New Roman" w:hAnsi="Times New Roman"/>
        </w:rPr>
      </w:pPr>
      <w:r w:rsidRPr="002773A8">
        <w:rPr>
          <w:rStyle w:val="FootnoteReference"/>
          <w:rFonts w:ascii="Times New Roman" w:hAnsi="Times New Roman"/>
          <w:sz w:val="20"/>
        </w:rPr>
        <w:footnoteRef/>
      </w:r>
      <w:r w:rsidR="3B80891A" w:rsidRPr="002773A8">
        <w:rPr>
          <w:rFonts w:ascii="Times New Roman" w:hAnsi="Times New Roman"/>
        </w:rPr>
        <w:t xml:space="preserve"> </w:t>
      </w:r>
      <w:r w:rsidR="00245054" w:rsidRPr="002773A8">
        <w:rPr>
          <w:rFonts w:ascii="Times New Roman" w:hAnsi="Times New Roman"/>
        </w:rPr>
        <w:tab/>
      </w:r>
      <w:proofErr w:type="gramStart"/>
      <w:r w:rsidR="3B80891A" w:rsidRPr="002773A8">
        <w:rPr>
          <w:rFonts w:ascii="Times New Roman" w:eastAsia="Times New Roman" w:hAnsi="Times New Roman"/>
        </w:rPr>
        <w:t>SWD</w:t>
      </w:r>
      <w:r w:rsidR="002773A8" w:rsidRPr="002773A8">
        <w:rPr>
          <w:rFonts w:ascii="Times New Roman" w:eastAsia="Times New Roman" w:hAnsi="Times New Roman"/>
        </w:rPr>
        <w:t>(</w:t>
      </w:r>
      <w:proofErr w:type="gramEnd"/>
      <w:r w:rsidR="3B80891A" w:rsidRPr="002773A8">
        <w:rPr>
          <w:rFonts w:ascii="Times New Roman" w:eastAsia="Times New Roman" w:hAnsi="Times New Roman"/>
        </w:rPr>
        <w:t>2024</w:t>
      </w:r>
      <w:r w:rsidR="002773A8" w:rsidRPr="002773A8">
        <w:rPr>
          <w:rFonts w:ascii="Times New Roman" w:eastAsia="Times New Roman" w:hAnsi="Times New Roman"/>
        </w:rPr>
        <w:t xml:space="preserve">) </w:t>
      </w:r>
      <w:r w:rsidR="3B80891A" w:rsidRPr="002773A8">
        <w:rPr>
          <w:rFonts w:ascii="Times New Roman" w:eastAsia="Times New Roman" w:hAnsi="Times New Roman"/>
        </w:rPr>
        <w:t xml:space="preserve">63 final </w:t>
      </w:r>
      <w:r w:rsidR="00245054" w:rsidRPr="002773A8">
        <w:rPr>
          <w:rFonts w:ascii="Times New Roman" w:eastAsia="Times New Roman" w:hAnsi="Times New Roman"/>
        </w:rPr>
        <w:t>(</w:t>
      </w:r>
      <w:hyperlink r:id="rId2" w:history="1">
        <w:r w:rsidR="00245054" w:rsidRPr="002773A8">
          <w:rPr>
            <w:rStyle w:val="Hyperlink"/>
            <w:rFonts w:ascii="Times New Roman" w:hAnsi="Times New Roman"/>
          </w:rPr>
          <w:t>https://eur-lex.europa.eu/legal-content/EN/TXT/?uri=CELEX%3A52024SC0063</w:t>
        </w:r>
      </w:hyperlink>
      <w:r w:rsidR="00245054" w:rsidRPr="002773A8">
        <w:rPr>
          <w:rFonts w:ascii="Times New Roman" w:eastAsia="Times New Roman" w:hAnsi="Times New Roman"/>
        </w:rPr>
        <w:t>).</w:t>
      </w:r>
    </w:p>
  </w:footnote>
  <w:footnote w:id="4">
    <w:p w14:paraId="0EE6ECDB" w14:textId="20111DF5" w:rsidR="00DA18E2" w:rsidRPr="002773A8" w:rsidRDefault="00DA18E2" w:rsidP="00407F57">
      <w:pPr>
        <w:pStyle w:val="FootnoteText"/>
        <w:widowControl w:val="0"/>
        <w:spacing w:after="0" w:line="240" w:lineRule="auto"/>
        <w:ind w:left="-142" w:right="-426" w:hanging="284"/>
        <w:jc w:val="both"/>
        <w:rPr>
          <w:rFonts w:ascii="Times New Roman" w:hAnsi="Times New Roman"/>
          <w:lang w:val="fr-BE"/>
        </w:rPr>
      </w:pPr>
      <w:r w:rsidRPr="002773A8">
        <w:rPr>
          <w:rStyle w:val="FootnoteReference"/>
          <w:rFonts w:ascii="Times New Roman" w:hAnsi="Times New Roman"/>
          <w:sz w:val="20"/>
        </w:rPr>
        <w:footnoteRef/>
      </w:r>
      <w:r w:rsidR="002D7FAB" w:rsidRPr="00407F57">
        <w:rPr>
          <w:rFonts w:ascii="Times New Roman" w:hAnsi="Times New Roman"/>
          <w:lang w:val="fr-BE"/>
        </w:rPr>
        <w:t xml:space="preserve"> </w:t>
      </w:r>
      <w:r w:rsidR="002773A8" w:rsidRPr="00407F57">
        <w:rPr>
          <w:rFonts w:ascii="Times New Roman" w:hAnsi="Times New Roman"/>
          <w:lang w:val="fr-BE"/>
        </w:rPr>
        <w:tab/>
      </w:r>
      <w:proofErr w:type="gramStart"/>
      <w:r w:rsidR="002773A8" w:rsidRPr="00407F57">
        <w:rPr>
          <w:rFonts w:ascii="Times New Roman" w:hAnsi="Times New Roman"/>
          <w:lang w:val="fr-BE"/>
        </w:rPr>
        <w:t>SWD(</w:t>
      </w:r>
      <w:proofErr w:type="gramEnd"/>
      <w:r w:rsidR="002773A8" w:rsidRPr="00407F57">
        <w:rPr>
          <w:rFonts w:ascii="Times New Roman" w:hAnsi="Times New Roman"/>
          <w:lang w:val="fr-BE"/>
        </w:rPr>
        <w:t>2020) 176 final (</w:t>
      </w:r>
      <w:r w:rsidR="00961EDB">
        <w:fldChar w:fldCharType="begin"/>
      </w:r>
      <w:r w:rsidR="00961EDB" w:rsidRPr="00A20B43">
        <w:rPr>
          <w:lang w:val="fr-BE"/>
        </w:rPr>
        <w:instrText>HYPERLINK "https://eur-lex.europa.eu/legal-content/EN/TXT/?uri=CELEX:52020SC0176"</w:instrText>
      </w:r>
      <w:r w:rsidR="00961EDB">
        <w:fldChar w:fldCharType="separate"/>
      </w:r>
      <w:r w:rsidR="00961EDB" w:rsidRPr="002773A8">
        <w:rPr>
          <w:rStyle w:val="Hyperlink"/>
          <w:rFonts w:ascii="Times New Roman" w:hAnsi="Times New Roman"/>
          <w:lang w:val="fr-BE"/>
        </w:rPr>
        <w:t>EUR-Lex - 52020SC0176 - EN - EUR-Lex</w:t>
      </w:r>
      <w:r w:rsidR="00961EDB">
        <w:fldChar w:fldCharType="end"/>
      </w:r>
      <w:r w:rsidR="002773A8" w:rsidRPr="00407F57">
        <w:rPr>
          <w:rFonts w:ascii="Times New Roman" w:hAnsi="Times New Roman"/>
          <w:lang w:val="fr-BE"/>
        </w:rPr>
        <w:t>)</w:t>
      </w:r>
      <w:r w:rsidR="00245054" w:rsidRPr="002773A8">
        <w:rPr>
          <w:rFonts w:ascii="Times New Roman" w:hAnsi="Times New Roman"/>
          <w:lang w:val="fr-BE"/>
        </w:rPr>
        <w:t>.</w:t>
      </w:r>
    </w:p>
  </w:footnote>
  <w:footnote w:id="5">
    <w:p w14:paraId="734F0216" w14:textId="48285F01" w:rsidR="00DA18E2" w:rsidRPr="002773A8" w:rsidRDefault="00DA18E2" w:rsidP="00407F57">
      <w:pPr>
        <w:pStyle w:val="FootnoteText"/>
        <w:widowControl w:val="0"/>
        <w:spacing w:after="0" w:line="240" w:lineRule="auto"/>
        <w:ind w:left="-142" w:right="-426" w:hanging="284"/>
        <w:jc w:val="both"/>
        <w:rPr>
          <w:rFonts w:ascii="Times New Roman" w:hAnsi="Times New Roman"/>
          <w:lang w:val="fr-BE"/>
        </w:rPr>
      </w:pPr>
      <w:r w:rsidRPr="002773A8">
        <w:rPr>
          <w:rStyle w:val="FootnoteReference"/>
          <w:rFonts w:ascii="Times New Roman" w:hAnsi="Times New Roman"/>
          <w:sz w:val="20"/>
        </w:rPr>
        <w:footnoteRef/>
      </w:r>
      <w:r w:rsidRPr="002773A8">
        <w:rPr>
          <w:rFonts w:ascii="Times New Roman" w:hAnsi="Times New Roman"/>
          <w:lang w:val="fr-BE"/>
        </w:rPr>
        <w:t xml:space="preserve"> </w:t>
      </w:r>
      <w:r w:rsidR="00245054" w:rsidRPr="002773A8">
        <w:rPr>
          <w:rFonts w:ascii="Times New Roman" w:hAnsi="Times New Roman"/>
          <w:lang w:val="fr-BE"/>
        </w:rPr>
        <w:tab/>
      </w:r>
      <w:proofErr w:type="gramStart"/>
      <w:r w:rsidR="00961EDB" w:rsidRPr="002773A8">
        <w:rPr>
          <w:rFonts w:ascii="Times New Roman" w:hAnsi="Times New Roman"/>
          <w:lang w:val="fr-BE"/>
        </w:rPr>
        <w:t>SWD</w:t>
      </w:r>
      <w:r w:rsidR="002773A8" w:rsidRPr="002773A8">
        <w:rPr>
          <w:rFonts w:ascii="Times New Roman" w:hAnsi="Times New Roman"/>
          <w:lang w:val="fr-BE"/>
        </w:rPr>
        <w:t>(</w:t>
      </w:r>
      <w:proofErr w:type="gramEnd"/>
      <w:r w:rsidR="00961EDB" w:rsidRPr="002773A8">
        <w:rPr>
          <w:rFonts w:ascii="Times New Roman" w:hAnsi="Times New Roman"/>
          <w:lang w:val="fr-BE"/>
        </w:rPr>
        <w:t>2021</w:t>
      </w:r>
      <w:r w:rsidR="002773A8" w:rsidRPr="002773A8">
        <w:rPr>
          <w:rFonts w:ascii="Times New Roman" w:hAnsi="Times New Roman"/>
          <w:lang w:val="fr-BE"/>
        </w:rPr>
        <w:t xml:space="preserve">) </w:t>
      </w:r>
      <w:r w:rsidR="00961EDB" w:rsidRPr="002773A8">
        <w:rPr>
          <w:rFonts w:ascii="Times New Roman" w:hAnsi="Times New Roman"/>
          <w:lang w:val="fr-BE"/>
        </w:rPr>
        <w:t xml:space="preserve">601 final </w:t>
      </w:r>
      <w:r w:rsidR="00245054" w:rsidRPr="002773A8">
        <w:rPr>
          <w:rFonts w:ascii="Times New Roman" w:hAnsi="Times New Roman"/>
          <w:lang w:val="fr-BE"/>
        </w:rPr>
        <w:t>(</w:t>
      </w:r>
      <w:r w:rsidR="00961EDB">
        <w:fldChar w:fldCharType="begin"/>
      </w:r>
      <w:r w:rsidR="00961EDB" w:rsidRPr="00A20B43">
        <w:rPr>
          <w:lang w:val="fr-BE"/>
        </w:rPr>
        <w:instrText>HYPERLINK "https://eur-lex.europa.eu/legal-content/EN/TXT/?uri=celex:52021SC0601"</w:instrText>
      </w:r>
      <w:r w:rsidR="00961EDB">
        <w:fldChar w:fldCharType="separate"/>
      </w:r>
      <w:r w:rsidR="00961EDB" w:rsidRPr="002773A8">
        <w:rPr>
          <w:rStyle w:val="Hyperlink"/>
          <w:rFonts w:ascii="Times New Roman" w:hAnsi="Times New Roman"/>
          <w:lang w:val="fr-BE"/>
        </w:rPr>
        <w:t>EUR-Lex - 52021SC0601 - EN - EUR-Lex</w:t>
      </w:r>
      <w:r w:rsidR="00961EDB">
        <w:fldChar w:fldCharType="end"/>
      </w:r>
      <w:r w:rsidR="00245054" w:rsidRPr="002773A8">
        <w:rPr>
          <w:rFonts w:ascii="Times New Roman" w:hAnsi="Times New Roman"/>
          <w:lang w:val="fr-BE"/>
        </w:rPr>
        <w:t>).</w:t>
      </w:r>
    </w:p>
  </w:footnote>
  <w:footnote w:id="6">
    <w:p w14:paraId="2D7A210C" w14:textId="4FD19556" w:rsidR="73CD4CF3" w:rsidRPr="002773A8" w:rsidRDefault="73CD4CF3" w:rsidP="00407F57">
      <w:pPr>
        <w:pStyle w:val="FootnoteText"/>
        <w:widowControl w:val="0"/>
        <w:spacing w:after="0" w:line="240" w:lineRule="auto"/>
        <w:ind w:left="-142" w:right="-426" w:hanging="284"/>
        <w:rPr>
          <w:rFonts w:ascii="Times New Roman" w:hAnsi="Times New Roman"/>
          <w:lang w:val="pt-PT"/>
        </w:rPr>
      </w:pPr>
      <w:r w:rsidRPr="002773A8">
        <w:rPr>
          <w:rStyle w:val="FootnoteReference"/>
          <w:rFonts w:ascii="Times New Roman" w:hAnsi="Times New Roman"/>
          <w:sz w:val="20"/>
        </w:rPr>
        <w:footnoteRef/>
      </w:r>
      <w:r w:rsidR="217B1109" w:rsidRPr="002773A8">
        <w:rPr>
          <w:rFonts w:ascii="Times New Roman" w:hAnsi="Times New Roman"/>
          <w:lang w:val="pt-PT"/>
        </w:rPr>
        <w:t xml:space="preserve"> </w:t>
      </w:r>
      <w:r w:rsidR="00245054" w:rsidRPr="002773A8">
        <w:rPr>
          <w:rFonts w:ascii="Times New Roman" w:hAnsi="Times New Roman"/>
          <w:lang w:val="pt-PT"/>
        </w:rPr>
        <w:tab/>
      </w:r>
      <w:proofErr w:type="gramStart"/>
      <w:r w:rsidR="217B1109" w:rsidRPr="002773A8">
        <w:rPr>
          <w:rFonts w:ascii="Times New Roman" w:hAnsi="Times New Roman"/>
          <w:lang w:val="pt-PT"/>
        </w:rPr>
        <w:t>COM(</w:t>
      </w:r>
      <w:proofErr w:type="gramEnd"/>
      <w:r w:rsidR="217B1109" w:rsidRPr="002773A8">
        <w:rPr>
          <w:rFonts w:ascii="Times New Roman" w:hAnsi="Times New Roman"/>
          <w:lang w:val="pt-PT"/>
        </w:rPr>
        <w:t xml:space="preserve">2025) 85 final </w:t>
      </w:r>
      <w:r w:rsidR="00245054" w:rsidRPr="002773A8">
        <w:rPr>
          <w:rFonts w:ascii="Times New Roman" w:hAnsi="Times New Roman"/>
          <w:lang w:val="pt-PT"/>
        </w:rPr>
        <w:t>(</w:t>
      </w:r>
      <w:r w:rsidR="00245054">
        <w:fldChar w:fldCharType="begin"/>
      </w:r>
      <w:r w:rsidR="00245054" w:rsidRPr="00A20B43">
        <w:rPr>
          <w:lang w:val="pt-PT"/>
        </w:rPr>
        <w:instrText>HYPERLINK "https://eur-lex.europa.eu/legal-content/EN/TXT/PDF/?uri=CELEX:52025DC0085"</w:instrText>
      </w:r>
      <w:r w:rsidR="00245054">
        <w:fldChar w:fldCharType="separate"/>
      </w:r>
      <w:r w:rsidR="00245054" w:rsidRPr="002773A8">
        <w:rPr>
          <w:rStyle w:val="Hyperlink"/>
          <w:rFonts w:ascii="Times New Roman" w:hAnsi="Times New Roman"/>
          <w:lang w:val="pt-PT"/>
        </w:rPr>
        <w:t>https://eur-lex.europa.eu/legal-content/EN/TXT/PDF/?uri=CELEX:52025DC0085</w:t>
      </w:r>
      <w:r w:rsidR="00245054">
        <w:fldChar w:fldCharType="end"/>
      </w:r>
      <w:r w:rsidR="00245054" w:rsidRPr="002773A8">
        <w:rPr>
          <w:rFonts w:ascii="Times New Roman" w:hAnsi="Times New Roman"/>
          <w:lang w:val="pt-PT"/>
        </w:rPr>
        <w:t>)</w:t>
      </w:r>
      <w:r w:rsidR="217B1109" w:rsidRPr="002773A8">
        <w:rPr>
          <w:rFonts w:ascii="Times New Roman" w:hAnsi="Times New Roman"/>
          <w:lang w:val="pt-PT"/>
        </w:rPr>
        <w:t>;</w:t>
      </w:r>
      <w:r w:rsidR="00245054" w:rsidRPr="002773A8">
        <w:rPr>
          <w:rFonts w:ascii="Times New Roman" w:hAnsi="Times New Roman"/>
          <w:lang w:val="pt-PT"/>
        </w:rPr>
        <w:br/>
      </w:r>
      <w:proofErr w:type="gramStart"/>
      <w:r w:rsidR="217B1109" w:rsidRPr="002773A8">
        <w:rPr>
          <w:rFonts w:ascii="Times New Roman" w:hAnsi="Times New Roman"/>
          <w:lang w:val="pt-PT"/>
        </w:rPr>
        <w:t>COM(</w:t>
      </w:r>
      <w:proofErr w:type="gramEnd"/>
      <w:r w:rsidR="217B1109" w:rsidRPr="002773A8">
        <w:rPr>
          <w:rFonts w:ascii="Times New Roman" w:hAnsi="Times New Roman"/>
          <w:lang w:val="pt-PT"/>
        </w:rPr>
        <w:t xml:space="preserve">2025) 378 final </w:t>
      </w:r>
      <w:r w:rsidR="00245054" w:rsidRPr="002773A8">
        <w:rPr>
          <w:rFonts w:ascii="Times New Roman" w:hAnsi="Times New Roman"/>
          <w:lang w:val="pt-PT"/>
        </w:rPr>
        <w:t>(</w:t>
      </w:r>
      <w:hyperlink r:id="rId3" w:history="1">
        <w:r w:rsidR="00245054" w:rsidRPr="002773A8">
          <w:rPr>
            <w:rStyle w:val="Hyperlink"/>
            <w:rFonts w:ascii="Times New Roman" w:hAnsi="Times New Roman"/>
            <w:lang w:val="pt-PT"/>
          </w:rPr>
          <w:t>https://commission.europa.eu/document/download/ae2ea9ea-d037-4920-bbf6-a4183b747e34_en?filename=COM_2025_378_1_EN_ACT_part1_v5.pdf</w:t>
        </w:r>
      </w:hyperlink>
      <w:r w:rsidR="00245054" w:rsidRPr="002773A8">
        <w:rPr>
          <w:rFonts w:ascii="Times New Roman" w:hAnsi="Times New Roman"/>
          <w:lang w:val="pt-PT"/>
        </w:rPr>
        <w:t>).</w:t>
      </w:r>
    </w:p>
  </w:footnote>
  <w:footnote w:id="7">
    <w:p w14:paraId="429C94B6" w14:textId="0552B3B0" w:rsidR="217B1109" w:rsidRPr="002773A8" w:rsidRDefault="217B1109" w:rsidP="00407F57">
      <w:pPr>
        <w:pStyle w:val="FootnoteText"/>
        <w:widowControl w:val="0"/>
        <w:shd w:val="clear" w:color="auto" w:fill="FFFFFF"/>
        <w:spacing w:after="0" w:line="240" w:lineRule="auto"/>
        <w:ind w:left="-142" w:right="-426" w:hanging="284"/>
        <w:jc w:val="both"/>
        <w:rPr>
          <w:rFonts w:ascii="Times New Roman" w:hAnsi="Times New Roman"/>
          <w:lang w:val="fr-BE"/>
        </w:rPr>
      </w:pPr>
      <w:r w:rsidRPr="002773A8">
        <w:rPr>
          <w:rStyle w:val="FootnoteReference"/>
          <w:rFonts w:ascii="Times New Roman" w:hAnsi="Times New Roman"/>
          <w:sz w:val="20"/>
        </w:rPr>
        <w:footnoteRef/>
      </w:r>
      <w:r w:rsidRPr="002773A8">
        <w:rPr>
          <w:rFonts w:ascii="Times New Roman" w:hAnsi="Times New Roman"/>
          <w:lang w:val="fr-BE"/>
        </w:rPr>
        <w:t xml:space="preserve"> </w:t>
      </w:r>
      <w:r w:rsidR="00D25293" w:rsidRPr="002773A8">
        <w:rPr>
          <w:rFonts w:ascii="Times New Roman" w:hAnsi="Times New Roman"/>
          <w:lang w:val="fr-BE"/>
        </w:rPr>
        <w:tab/>
      </w:r>
      <w:proofErr w:type="gramStart"/>
      <w:r w:rsidRPr="002773A8">
        <w:rPr>
          <w:rFonts w:ascii="Times New Roman" w:eastAsia="Roboto" w:hAnsi="Times New Roman"/>
          <w:color w:val="333333"/>
          <w:lang w:val="fr-BE"/>
        </w:rPr>
        <w:t>COM</w:t>
      </w:r>
      <w:r w:rsidR="00D25293" w:rsidRPr="002773A8">
        <w:rPr>
          <w:rFonts w:ascii="Times New Roman" w:eastAsia="Roboto" w:hAnsi="Times New Roman"/>
          <w:color w:val="333333"/>
          <w:lang w:val="fr-BE"/>
        </w:rPr>
        <w:t>(</w:t>
      </w:r>
      <w:proofErr w:type="gramEnd"/>
      <w:r w:rsidRPr="002773A8">
        <w:rPr>
          <w:rFonts w:ascii="Times New Roman" w:eastAsia="Roboto" w:hAnsi="Times New Roman"/>
          <w:color w:val="333333"/>
          <w:lang w:val="fr-BE"/>
        </w:rPr>
        <w:t>2023</w:t>
      </w:r>
      <w:r w:rsidR="00D25293" w:rsidRPr="002773A8">
        <w:rPr>
          <w:rFonts w:ascii="Times New Roman" w:eastAsia="Roboto" w:hAnsi="Times New Roman"/>
          <w:color w:val="333333"/>
          <w:lang w:val="fr-BE"/>
        </w:rPr>
        <w:t>)</w:t>
      </w:r>
      <w:r w:rsidR="00E95B9C">
        <w:rPr>
          <w:rFonts w:ascii="Times New Roman" w:eastAsia="Roboto" w:hAnsi="Times New Roman"/>
          <w:color w:val="333333"/>
          <w:lang w:val="fr-BE"/>
        </w:rPr>
        <w:t xml:space="preserve"> </w:t>
      </w:r>
      <w:r w:rsidRPr="002773A8">
        <w:rPr>
          <w:rFonts w:ascii="Times New Roman" w:eastAsia="Roboto" w:hAnsi="Times New Roman"/>
          <w:color w:val="333333"/>
          <w:lang w:val="fr-BE"/>
        </w:rPr>
        <w:t>62 final</w:t>
      </w:r>
      <w:r w:rsidR="00D25293" w:rsidRPr="002773A8">
        <w:rPr>
          <w:rFonts w:ascii="Times New Roman" w:eastAsia="Roboto" w:hAnsi="Times New Roman"/>
          <w:color w:val="333333"/>
          <w:lang w:val="fr-BE"/>
        </w:rPr>
        <w:t xml:space="preserve"> (</w:t>
      </w:r>
      <w:r w:rsidR="00DB643D">
        <w:fldChar w:fldCharType="begin"/>
      </w:r>
      <w:r w:rsidR="00DB643D" w:rsidRPr="00A20B43">
        <w:rPr>
          <w:lang w:val="fr-BE"/>
        </w:rPr>
        <w:instrText>HYPERLINK "https://eur-lex.europa.eu/legal-content/EN/TXT/?uri=CELEX:52023DC0062"</w:instrText>
      </w:r>
      <w:r w:rsidR="00DB643D">
        <w:fldChar w:fldCharType="separate"/>
      </w:r>
      <w:r w:rsidR="00DB643D" w:rsidRPr="002773A8">
        <w:rPr>
          <w:rStyle w:val="Hyperlink"/>
          <w:rFonts w:ascii="Times New Roman" w:eastAsia="Roboto" w:hAnsi="Times New Roman"/>
          <w:lang w:val="fr-BE"/>
        </w:rPr>
        <w:t>EUR-Lex - 52023DC0062 - EN - EUR-Lex</w:t>
      </w:r>
      <w:r w:rsidR="00DB643D">
        <w:fldChar w:fldCharType="end"/>
      </w:r>
      <w:r w:rsidR="00DB643D" w:rsidRPr="002773A8">
        <w:rPr>
          <w:rFonts w:ascii="Times New Roman" w:eastAsia="Roboto" w:hAnsi="Times New Roman"/>
          <w:color w:val="333333"/>
          <w:lang w:val="fr-BE"/>
        </w:rPr>
        <w:t>).</w:t>
      </w:r>
    </w:p>
  </w:footnote>
  <w:footnote w:id="8">
    <w:p w14:paraId="69FC9D2D" w14:textId="08DE6BA6" w:rsidR="00567BEF" w:rsidRPr="002773A8" w:rsidRDefault="00567BEF" w:rsidP="00407F57">
      <w:pPr>
        <w:pStyle w:val="FootnoteText"/>
        <w:widowControl w:val="0"/>
        <w:spacing w:after="0" w:line="240" w:lineRule="auto"/>
        <w:ind w:left="-142" w:right="-426" w:hanging="284"/>
        <w:jc w:val="both"/>
        <w:rPr>
          <w:rFonts w:ascii="Times New Roman" w:hAnsi="Times New Roman"/>
          <w:lang w:val="pt-PT"/>
        </w:rPr>
      </w:pPr>
      <w:r w:rsidRPr="002773A8">
        <w:rPr>
          <w:rStyle w:val="FootnoteReference"/>
          <w:rFonts w:ascii="Times New Roman" w:hAnsi="Times New Roman"/>
          <w:sz w:val="20"/>
        </w:rPr>
        <w:footnoteRef/>
      </w:r>
      <w:r w:rsidR="3B80891A" w:rsidRPr="002773A8">
        <w:rPr>
          <w:rFonts w:ascii="Times New Roman" w:hAnsi="Times New Roman"/>
          <w:lang w:val="pt-PT"/>
        </w:rPr>
        <w:t xml:space="preserve"> </w:t>
      </w:r>
      <w:r w:rsidR="00D25293" w:rsidRPr="002773A8">
        <w:rPr>
          <w:rFonts w:ascii="Times New Roman" w:hAnsi="Times New Roman"/>
          <w:lang w:val="pt-PT"/>
        </w:rPr>
        <w:tab/>
      </w:r>
      <w:proofErr w:type="gramStart"/>
      <w:r w:rsidR="3B80891A" w:rsidRPr="002773A8">
        <w:rPr>
          <w:rFonts w:ascii="Times New Roman" w:hAnsi="Times New Roman"/>
          <w:lang w:val="pt-PT"/>
        </w:rPr>
        <w:t>COM</w:t>
      </w:r>
      <w:r w:rsidR="00DB643D" w:rsidRPr="002773A8">
        <w:rPr>
          <w:rFonts w:ascii="Times New Roman" w:hAnsi="Times New Roman"/>
          <w:lang w:val="pt-PT"/>
        </w:rPr>
        <w:t>(</w:t>
      </w:r>
      <w:proofErr w:type="gramEnd"/>
      <w:r w:rsidR="3B80891A" w:rsidRPr="002773A8">
        <w:rPr>
          <w:rFonts w:ascii="Times New Roman" w:hAnsi="Times New Roman"/>
          <w:lang w:val="pt-PT"/>
        </w:rPr>
        <w:t>2023</w:t>
      </w:r>
      <w:r w:rsidR="00DB643D" w:rsidRPr="002773A8">
        <w:rPr>
          <w:rFonts w:ascii="Times New Roman" w:hAnsi="Times New Roman"/>
          <w:lang w:val="pt-PT"/>
        </w:rPr>
        <w:t xml:space="preserve">) </w:t>
      </w:r>
      <w:r w:rsidR="3B80891A" w:rsidRPr="002773A8">
        <w:rPr>
          <w:rFonts w:ascii="Times New Roman" w:hAnsi="Times New Roman"/>
          <w:lang w:val="pt-PT"/>
        </w:rPr>
        <w:t xml:space="preserve">161 final </w:t>
      </w:r>
      <w:r w:rsidR="00DB643D" w:rsidRPr="002773A8">
        <w:rPr>
          <w:rFonts w:ascii="Times New Roman" w:hAnsi="Times New Roman"/>
          <w:lang w:val="pt-PT"/>
        </w:rPr>
        <w:t>(</w:t>
      </w:r>
      <w:r w:rsidR="00DB643D">
        <w:fldChar w:fldCharType="begin"/>
      </w:r>
      <w:r w:rsidR="00DB643D" w:rsidRPr="00A20B43">
        <w:rPr>
          <w:lang w:val="pt-PT"/>
        </w:rPr>
        <w:instrText>HYPERLINK "https://eur-lex.europa.eu/legal-content/EN/TXT/PDF/?uri=CELEX:52023PC0161"</w:instrText>
      </w:r>
      <w:r w:rsidR="00DB643D">
        <w:fldChar w:fldCharType="separate"/>
      </w:r>
      <w:r w:rsidR="00DB643D" w:rsidRPr="002773A8">
        <w:rPr>
          <w:rStyle w:val="Hyperlink"/>
          <w:rFonts w:ascii="Times New Roman" w:hAnsi="Times New Roman"/>
          <w:lang w:val="pt-PT"/>
        </w:rPr>
        <w:t>https://eur-lex.europa.eu/legal-content/EN/TXT/PDF/?uri=CELEX:52023PC0161</w:t>
      </w:r>
      <w:r w:rsidR="00DB643D">
        <w:fldChar w:fldCharType="end"/>
      </w:r>
      <w:r w:rsidR="00DB643D" w:rsidRPr="002773A8">
        <w:rPr>
          <w:rFonts w:ascii="Times New Roman" w:hAnsi="Times New Roman"/>
          <w:lang w:val="pt-PT"/>
        </w:rPr>
        <w:t>).</w:t>
      </w:r>
    </w:p>
  </w:footnote>
  <w:footnote w:id="9">
    <w:p w14:paraId="1B26AD7A" w14:textId="57D47780" w:rsidR="00567BEF" w:rsidRPr="002773A8" w:rsidRDefault="00567BEF" w:rsidP="00407F57">
      <w:pPr>
        <w:pStyle w:val="FootnoteText"/>
        <w:widowControl w:val="0"/>
        <w:spacing w:after="0" w:line="240" w:lineRule="auto"/>
        <w:ind w:left="-142" w:right="-426" w:hanging="284"/>
        <w:jc w:val="both"/>
        <w:rPr>
          <w:rFonts w:ascii="Times New Roman" w:hAnsi="Times New Roman"/>
        </w:rPr>
      </w:pPr>
      <w:r w:rsidRPr="002773A8">
        <w:rPr>
          <w:rStyle w:val="FootnoteReference"/>
          <w:rFonts w:ascii="Times New Roman" w:hAnsi="Times New Roman"/>
          <w:sz w:val="20"/>
        </w:rPr>
        <w:footnoteRef/>
      </w:r>
      <w:r w:rsidR="3B80891A" w:rsidRPr="002773A8">
        <w:rPr>
          <w:rFonts w:ascii="Times New Roman" w:hAnsi="Times New Roman"/>
        </w:rPr>
        <w:t xml:space="preserve"> </w:t>
      </w:r>
      <w:r w:rsidR="00D25293" w:rsidRPr="002773A8">
        <w:rPr>
          <w:rFonts w:ascii="Times New Roman" w:hAnsi="Times New Roman"/>
        </w:rPr>
        <w:tab/>
      </w:r>
      <w:r w:rsidR="3B80891A" w:rsidRPr="002773A8">
        <w:rPr>
          <w:rFonts w:ascii="Times New Roman" w:hAnsi="Times New Roman"/>
        </w:rPr>
        <w:t xml:space="preserve">PE/78/2023/REV/1 </w:t>
      </w:r>
      <w:r w:rsidR="00DB643D" w:rsidRPr="002773A8">
        <w:rPr>
          <w:rFonts w:ascii="Times New Roman" w:hAnsi="Times New Roman"/>
        </w:rPr>
        <w:t>(</w:t>
      </w:r>
      <w:hyperlink r:id="rId4" w:history="1">
        <w:r w:rsidR="00DB643D" w:rsidRPr="002773A8">
          <w:rPr>
            <w:rStyle w:val="Hyperlink"/>
            <w:rFonts w:ascii="Times New Roman" w:hAnsi="Times New Roman"/>
          </w:rPr>
          <w:t>https://eur-lex.europa.eu/legal-content/EN/TXT/PDF/?uri=OJ:L_202401252</w:t>
        </w:r>
      </w:hyperlink>
      <w:r w:rsidR="00DB643D" w:rsidRPr="002773A8">
        <w:rPr>
          <w:rFonts w:ascii="Times New Roman" w:hAnsi="Times New Roman"/>
        </w:rPr>
        <w:t>).</w:t>
      </w:r>
    </w:p>
  </w:footnote>
  <w:footnote w:id="10">
    <w:p w14:paraId="3492156E" w14:textId="365AD444" w:rsidR="003A5946" w:rsidRPr="00407F57" w:rsidRDefault="003A5946" w:rsidP="00407F57">
      <w:pPr>
        <w:pStyle w:val="FootnoteText"/>
        <w:spacing w:after="0" w:line="240" w:lineRule="auto"/>
        <w:ind w:left="-142" w:right="-426" w:hanging="284"/>
        <w:jc w:val="both"/>
        <w:rPr>
          <w:rFonts w:ascii="Times New Roman" w:hAnsi="Times New Roman"/>
          <w:lang w:val="pt-PT"/>
        </w:rPr>
      </w:pPr>
      <w:r w:rsidRPr="00407F57">
        <w:rPr>
          <w:rStyle w:val="FootnoteReference"/>
          <w:rFonts w:ascii="Times New Roman" w:hAnsi="Times New Roman"/>
          <w:sz w:val="20"/>
        </w:rPr>
        <w:footnoteRef/>
      </w:r>
      <w:r w:rsidRPr="00407F57">
        <w:rPr>
          <w:rFonts w:ascii="Times New Roman" w:hAnsi="Times New Roman"/>
          <w:lang w:val="pt-PT"/>
        </w:rPr>
        <w:t xml:space="preserve"> </w:t>
      </w:r>
      <w:r w:rsidRPr="00407F57">
        <w:rPr>
          <w:rFonts w:ascii="Times New Roman" w:hAnsi="Times New Roman"/>
          <w:lang w:val="pt-PT"/>
        </w:rPr>
        <w:tab/>
      </w:r>
      <w:proofErr w:type="gramStart"/>
      <w:r w:rsidR="002773A8" w:rsidRPr="00407F57">
        <w:rPr>
          <w:rFonts w:ascii="Times New Roman" w:hAnsi="Times New Roman"/>
          <w:lang w:val="pt-PT"/>
        </w:rPr>
        <w:t>COM</w:t>
      </w:r>
      <w:r w:rsidR="002773A8" w:rsidRPr="002773A8">
        <w:rPr>
          <w:rFonts w:ascii="Times New Roman" w:hAnsi="Times New Roman"/>
          <w:lang w:val="pt-PT"/>
        </w:rPr>
        <w:t>(</w:t>
      </w:r>
      <w:proofErr w:type="gramEnd"/>
      <w:r w:rsidR="002773A8" w:rsidRPr="00407F57">
        <w:rPr>
          <w:rFonts w:ascii="Times New Roman" w:hAnsi="Times New Roman"/>
          <w:lang w:val="pt-PT"/>
        </w:rPr>
        <w:t>2026</w:t>
      </w:r>
      <w:r w:rsidR="002773A8" w:rsidRPr="002773A8">
        <w:rPr>
          <w:rFonts w:ascii="Times New Roman" w:hAnsi="Times New Roman"/>
          <w:lang w:val="pt-PT"/>
        </w:rPr>
        <w:t xml:space="preserve">) </w:t>
      </w:r>
      <w:r w:rsidR="002773A8" w:rsidRPr="00407F57">
        <w:rPr>
          <w:rFonts w:ascii="Times New Roman" w:hAnsi="Times New Roman"/>
          <w:lang w:val="pt-PT"/>
        </w:rPr>
        <w:t>620 final (</w:t>
      </w:r>
      <w:r w:rsidR="002773A8">
        <w:fldChar w:fldCharType="begin"/>
      </w:r>
      <w:r w:rsidR="002773A8" w:rsidRPr="00A20B43">
        <w:rPr>
          <w:lang w:val="pt-PT"/>
        </w:rPr>
        <w:instrText>HYPERLINK "https://climate.ec.europa.eu/document/download/2a0f3e9c-5562-4253-8327-dc7bea886ed8_en"</w:instrText>
      </w:r>
      <w:r w:rsidR="002773A8">
        <w:fldChar w:fldCharType="separate"/>
      </w:r>
      <w:r w:rsidR="002773A8" w:rsidRPr="00407F57">
        <w:rPr>
          <w:rStyle w:val="Hyperlink"/>
          <w:rFonts w:ascii="Times New Roman" w:hAnsi="Times New Roman"/>
          <w:lang w:val="pt-PT"/>
        </w:rPr>
        <w:t>https://climate.ec.europa.eu/document/download/2a0f3e9c-5562-4253-8327-dc7bea886ed8_en</w:t>
      </w:r>
      <w:r w:rsidR="002773A8">
        <w:fldChar w:fldCharType="end"/>
      </w:r>
      <w:r w:rsidR="002773A8" w:rsidRPr="00407F57">
        <w:rPr>
          <w:rFonts w:ascii="Times New Roman" w:hAnsi="Times New Roman"/>
          <w:lang w:val="pt-PT"/>
        </w:rPr>
        <w:t>)</w:t>
      </w:r>
      <w:r w:rsidRPr="00407F57">
        <w:rPr>
          <w:rFonts w:ascii="Times New Roman" w:hAnsi="Times New Roman"/>
          <w:lang w:val="pt-PT"/>
        </w:rPr>
        <w:t>.</w:t>
      </w:r>
    </w:p>
  </w:footnote>
  <w:footnote w:id="11">
    <w:p w14:paraId="4B8AFE9E" w14:textId="18C3FB24" w:rsidR="002C6245" w:rsidRPr="00407F57" w:rsidRDefault="002C6245" w:rsidP="00407F57">
      <w:pPr>
        <w:pStyle w:val="FootnoteText"/>
        <w:spacing w:after="0" w:line="240" w:lineRule="auto"/>
        <w:ind w:left="-142" w:right="-426" w:hanging="284"/>
        <w:rPr>
          <w:rFonts w:ascii="Times New Roman" w:hAnsi="Times New Roman"/>
          <w:lang w:val="pt-PT"/>
        </w:rPr>
      </w:pPr>
      <w:r w:rsidRPr="00407F57">
        <w:rPr>
          <w:rStyle w:val="FootnoteReference"/>
          <w:rFonts w:ascii="Times New Roman" w:hAnsi="Times New Roman"/>
          <w:sz w:val="20"/>
        </w:rPr>
        <w:footnoteRef/>
      </w:r>
      <w:r w:rsidRPr="00407F57">
        <w:rPr>
          <w:rFonts w:ascii="Times New Roman" w:hAnsi="Times New Roman"/>
          <w:lang w:val="pt-PT"/>
        </w:rPr>
        <w:t xml:space="preserve"> </w:t>
      </w:r>
      <w:r w:rsidR="000352D0" w:rsidRPr="00407F57">
        <w:rPr>
          <w:rFonts w:ascii="Times New Roman" w:hAnsi="Times New Roman"/>
          <w:lang w:val="pt-PT"/>
        </w:rPr>
        <w:tab/>
      </w:r>
      <w:proofErr w:type="gramStart"/>
      <w:r w:rsidR="002773A8" w:rsidRPr="00407F57">
        <w:rPr>
          <w:rFonts w:ascii="Times New Roman" w:hAnsi="Times New Roman"/>
          <w:lang w:val="pt-PT"/>
        </w:rPr>
        <w:t>COM</w:t>
      </w:r>
      <w:r w:rsidR="002773A8" w:rsidRPr="002773A8">
        <w:rPr>
          <w:rFonts w:ascii="Times New Roman" w:hAnsi="Times New Roman"/>
          <w:lang w:val="pt-PT"/>
        </w:rPr>
        <w:t>(</w:t>
      </w:r>
      <w:proofErr w:type="gramEnd"/>
      <w:r w:rsidR="002773A8" w:rsidRPr="00407F57">
        <w:rPr>
          <w:rFonts w:ascii="Times New Roman" w:hAnsi="Times New Roman"/>
          <w:lang w:val="pt-PT"/>
        </w:rPr>
        <w:t>2025</w:t>
      </w:r>
      <w:r w:rsidR="002773A8" w:rsidRPr="002773A8">
        <w:rPr>
          <w:rFonts w:ascii="Times New Roman" w:hAnsi="Times New Roman"/>
          <w:lang w:val="pt-PT"/>
        </w:rPr>
        <w:t xml:space="preserve">) </w:t>
      </w:r>
      <w:r w:rsidR="002773A8" w:rsidRPr="00407F57">
        <w:rPr>
          <w:rFonts w:ascii="Times New Roman" w:hAnsi="Times New Roman"/>
          <w:lang w:val="pt-PT"/>
        </w:rPr>
        <w:t>110 final (</w:t>
      </w:r>
      <w:r w:rsidR="002773A8">
        <w:fldChar w:fldCharType="begin"/>
      </w:r>
      <w:r w:rsidR="002773A8" w:rsidRPr="00A20B43">
        <w:rPr>
          <w:lang w:val="pt-PT"/>
        </w:rPr>
        <w:instrText>HYPERLINK "https://eur-lex.europa.eu/legal-content/EN/TXT/?qid=1788416761099&amp;uri=CELEX%3A52025DC0110"</w:instrText>
      </w:r>
      <w:r w:rsidR="002773A8">
        <w:fldChar w:fldCharType="separate"/>
      </w:r>
      <w:r w:rsidR="002773A8" w:rsidRPr="00407F57">
        <w:rPr>
          <w:rStyle w:val="Hyperlink"/>
          <w:rFonts w:ascii="Times New Roman" w:hAnsi="Times New Roman"/>
          <w:lang w:val="pt-PT"/>
        </w:rPr>
        <w:t>https://eur-lex.europa.eu/legal-content/EN/TXT/?qid=1788416761099&amp;uri=CELEX%3A52025DC0110</w:t>
      </w:r>
      <w:r w:rsidR="002773A8">
        <w:fldChar w:fldCharType="end"/>
      </w:r>
      <w:r w:rsidR="002773A8" w:rsidRPr="00407F57">
        <w:rPr>
          <w:rFonts w:ascii="Times New Roman" w:hAnsi="Times New Roman"/>
          <w:lang w:val="pt-PT"/>
        </w:rPr>
        <w:t>).</w:t>
      </w:r>
    </w:p>
  </w:footnote>
  <w:footnote w:id="12">
    <w:p w14:paraId="6F8F933E" w14:textId="5ECFA3D8" w:rsidR="00F57279" w:rsidRPr="00407F57" w:rsidRDefault="00F57279" w:rsidP="00407F57">
      <w:pPr>
        <w:pStyle w:val="FootnoteText"/>
        <w:spacing w:after="0" w:line="240" w:lineRule="auto"/>
        <w:ind w:left="-142" w:right="-426" w:hanging="284"/>
        <w:jc w:val="both"/>
        <w:rPr>
          <w:rFonts w:ascii="Times New Roman" w:hAnsi="Times New Roman"/>
          <w:lang w:val="pt-PT"/>
        </w:rPr>
      </w:pPr>
      <w:r w:rsidRPr="00407F57">
        <w:rPr>
          <w:rStyle w:val="FootnoteReference"/>
          <w:rFonts w:ascii="Times New Roman" w:hAnsi="Times New Roman"/>
          <w:sz w:val="20"/>
        </w:rPr>
        <w:footnoteRef/>
      </w:r>
      <w:r w:rsidRPr="00407F57">
        <w:rPr>
          <w:rFonts w:ascii="Times New Roman" w:hAnsi="Times New Roman"/>
          <w:lang w:val="pt-PT"/>
        </w:rPr>
        <w:t xml:space="preserve"> </w:t>
      </w:r>
      <w:r w:rsidRPr="00407F57">
        <w:rPr>
          <w:rFonts w:ascii="Times New Roman" w:hAnsi="Times New Roman"/>
          <w:lang w:val="pt-PT"/>
        </w:rPr>
        <w:tab/>
      </w:r>
      <w:r>
        <w:fldChar w:fldCharType="begin"/>
      </w:r>
      <w:r w:rsidRPr="00A20B43">
        <w:rPr>
          <w:lang w:val="pt-PT"/>
        </w:rPr>
        <w:instrText>HYPERLINK "https://climate.ec.europa.eu/document/download/2fe45945-e1ec-4b84-b78b-bd2a50d03478_en?filename=Report%20on%20monitoring%20the%20impacts%20of%20the%20EU%20ETS%20extension%20to%20maritime%20transport.pdf"</w:instrText>
      </w:r>
      <w:r>
        <w:fldChar w:fldCharType="separate"/>
      </w:r>
      <w:r w:rsidRPr="00407F57">
        <w:rPr>
          <w:rStyle w:val="Hyperlink"/>
          <w:rFonts w:ascii="Times New Roman" w:hAnsi="Times New Roman"/>
          <w:lang w:val="pt-PT"/>
        </w:rPr>
        <w:t>https://climate.ec.europa.eu/document/download/2fe45945-e1ec-4b84-b78b-bd2a50d03478_en?filename=Report%20on%20monitoring%20the%20impacts%20of%20the%20EU%20ETS%20extension%20to%20maritime%20transport.pdf</w:t>
      </w:r>
      <w:r>
        <w:fldChar w:fldCharType="end"/>
      </w:r>
      <w:r w:rsidR="002773A8" w:rsidRPr="00407F57">
        <w:rPr>
          <w:rFonts w:ascii="Times New Roman" w:hAnsi="Times New Roman"/>
          <w:lang w:val="pt-PT"/>
        </w:rPr>
        <w:t>.</w:t>
      </w:r>
    </w:p>
  </w:footnote>
  <w:footnote w:id="13">
    <w:p w14:paraId="1F8E4685" w14:textId="0215DC61" w:rsidR="0010280D" w:rsidRPr="00407F57" w:rsidRDefault="0010280D" w:rsidP="00407F57">
      <w:pPr>
        <w:pStyle w:val="FootnoteText"/>
        <w:spacing w:after="0" w:line="240" w:lineRule="auto"/>
        <w:ind w:left="-142" w:right="-426" w:hanging="284"/>
        <w:jc w:val="both"/>
        <w:rPr>
          <w:rFonts w:ascii="Times New Roman" w:hAnsi="Times New Roman"/>
        </w:rPr>
      </w:pPr>
      <w:r w:rsidRPr="00407F57">
        <w:rPr>
          <w:rStyle w:val="FootnoteReference"/>
          <w:rFonts w:ascii="Times New Roman" w:hAnsi="Times New Roman"/>
          <w:sz w:val="20"/>
        </w:rPr>
        <w:footnoteRef/>
      </w:r>
      <w:r w:rsidRPr="00407F57">
        <w:rPr>
          <w:rFonts w:ascii="Times New Roman" w:hAnsi="Times New Roman"/>
        </w:rPr>
        <w:t xml:space="preserve"> </w:t>
      </w:r>
      <w:r w:rsidR="002773A8" w:rsidRPr="00407F57">
        <w:rPr>
          <w:rFonts w:ascii="Times New Roman" w:hAnsi="Times New Roman"/>
        </w:rPr>
        <w:tab/>
      </w:r>
      <w:hyperlink r:id="rId5" w:history="1">
        <w:r w:rsidRPr="002773A8">
          <w:rPr>
            <w:rStyle w:val="Hyperlink"/>
            <w:rFonts w:ascii="Times New Roman" w:hAnsi="Times New Roman"/>
          </w:rPr>
          <w:t>Officially published: Simplifications for the Carbon Border Adjustment Mechanism (CBAM) - Taxation and Customs Union</w:t>
        </w:r>
      </w:hyperlink>
      <w:r w:rsidR="002773A8" w:rsidRPr="00407F57">
        <w:rPr>
          <w:rFonts w:ascii="Times New Roman" w:hAnsi="Times New Roman"/>
        </w:rPr>
        <w:t>.</w:t>
      </w:r>
    </w:p>
  </w:footnote>
  <w:footnote w:id="14">
    <w:p w14:paraId="5B43C68A" w14:textId="72857CA0" w:rsidR="0010280D" w:rsidRPr="00407F57" w:rsidRDefault="0010280D" w:rsidP="00407F57">
      <w:pPr>
        <w:pStyle w:val="FootnoteText"/>
        <w:spacing w:after="0" w:line="240" w:lineRule="auto"/>
        <w:ind w:left="-142" w:right="-426" w:hanging="284"/>
        <w:rPr>
          <w:rFonts w:ascii="Times New Roman" w:hAnsi="Times New Roman"/>
          <w:lang w:val="pt-PT"/>
        </w:rPr>
      </w:pPr>
      <w:r w:rsidRPr="00407F57">
        <w:rPr>
          <w:rStyle w:val="FootnoteReference"/>
          <w:rFonts w:ascii="Times New Roman" w:hAnsi="Times New Roman"/>
          <w:sz w:val="20"/>
        </w:rPr>
        <w:footnoteRef/>
      </w:r>
      <w:r w:rsidRPr="00407F57">
        <w:rPr>
          <w:rFonts w:ascii="Times New Roman" w:hAnsi="Times New Roman"/>
          <w:lang w:val="pt-PT"/>
        </w:rPr>
        <w:t xml:space="preserve"> </w:t>
      </w:r>
      <w:r w:rsidR="002773A8" w:rsidRPr="00407F57">
        <w:rPr>
          <w:rFonts w:ascii="Times New Roman" w:hAnsi="Times New Roman"/>
          <w:lang w:val="pt-PT"/>
        </w:rPr>
        <w:tab/>
      </w:r>
      <w:proofErr w:type="gramStart"/>
      <w:r w:rsidR="002773A8" w:rsidRPr="00407F57">
        <w:rPr>
          <w:rFonts w:ascii="Times New Roman" w:hAnsi="Times New Roman"/>
          <w:lang w:val="pt-PT"/>
        </w:rPr>
        <w:t>COM</w:t>
      </w:r>
      <w:r w:rsidR="002773A8">
        <w:rPr>
          <w:rFonts w:ascii="Times New Roman" w:hAnsi="Times New Roman"/>
          <w:lang w:val="pt-PT"/>
        </w:rPr>
        <w:t>(</w:t>
      </w:r>
      <w:proofErr w:type="gramEnd"/>
      <w:r w:rsidR="002773A8" w:rsidRPr="00407F57">
        <w:rPr>
          <w:rFonts w:ascii="Times New Roman" w:hAnsi="Times New Roman"/>
          <w:lang w:val="pt-PT"/>
        </w:rPr>
        <w:t>2025</w:t>
      </w:r>
      <w:r w:rsidR="002773A8">
        <w:rPr>
          <w:rFonts w:ascii="Times New Roman" w:hAnsi="Times New Roman"/>
          <w:lang w:val="pt-PT"/>
        </w:rPr>
        <w:t xml:space="preserve">) </w:t>
      </w:r>
      <w:r w:rsidR="002773A8" w:rsidRPr="00407F57">
        <w:rPr>
          <w:rFonts w:ascii="Times New Roman" w:hAnsi="Times New Roman"/>
          <w:lang w:val="pt-PT"/>
        </w:rPr>
        <w:t>783 final (</w:t>
      </w:r>
      <w:r w:rsidR="002773A8">
        <w:fldChar w:fldCharType="begin"/>
      </w:r>
      <w:r w:rsidR="002773A8" w:rsidRPr="00A20B43">
        <w:rPr>
          <w:lang w:val="pt-PT"/>
        </w:rPr>
        <w:instrText>HYPERLINK "https://eur-lex.europa.eu/legal-content/EN/TXT/PDF/?uri=CELEX:52025DC0783&amp;qid=1770395159068"</w:instrText>
      </w:r>
      <w:r w:rsidR="002773A8">
        <w:fldChar w:fldCharType="separate"/>
      </w:r>
      <w:r w:rsidR="002773A8" w:rsidRPr="00407F57">
        <w:rPr>
          <w:rStyle w:val="Hyperlink"/>
          <w:rFonts w:ascii="Times New Roman" w:hAnsi="Times New Roman"/>
          <w:lang w:val="pt-PT"/>
        </w:rPr>
        <w:t>https://eur-lex.europa.eu/legal-content/EN/TXT/PDF/?uri=CELEX:52025DC0783&amp;qid=1770395159068</w:t>
      </w:r>
      <w:r w:rsidR="002773A8">
        <w:fldChar w:fldCharType="end"/>
      </w:r>
      <w:r w:rsidR="002773A8" w:rsidRPr="00407F57">
        <w:rPr>
          <w:rFonts w:ascii="Times New Roman" w:hAnsi="Times New Roman"/>
          <w:lang w:val="pt-PT"/>
        </w:rPr>
        <w:t>).</w:t>
      </w:r>
    </w:p>
  </w:footnote>
  <w:footnote w:id="15">
    <w:p w14:paraId="5B47E2F0" w14:textId="53B4E599" w:rsidR="0010280D" w:rsidRPr="002773A8" w:rsidRDefault="0010280D" w:rsidP="00407F57">
      <w:pPr>
        <w:pStyle w:val="FootnoteText"/>
        <w:spacing w:after="0" w:line="240" w:lineRule="auto"/>
        <w:ind w:left="-142" w:right="-426" w:hanging="284"/>
        <w:jc w:val="both"/>
        <w:rPr>
          <w:rFonts w:ascii="Times New Roman" w:hAnsi="Times New Roman"/>
        </w:rPr>
      </w:pPr>
      <w:r w:rsidRPr="00407F57">
        <w:rPr>
          <w:rStyle w:val="FootnoteReference"/>
          <w:rFonts w:ascii="Times New Roman" w:hAnsi="Times New Roman"/>
          <w:sz w:val="20"/>
        </w:rPr>
        <w:footnoteRef/>
      </w:r>
      <w:r w:rsidRPr="002773A8">
        <w:rPr>
          <w:rFonts w:ascii="Times New Roman" w:hAnsi="Times New Roman"/>
        </w:rPr>
        <w:t xml:space="preserve"> </w:t>
      </w:r>
      <w:r w:rsidR="002773A8" w:rsidRPr="002773A8">
        <w:rPr>
          <w:rFonts w:ascii="Times New Roman" w:hAnsi="Times New Roman"/>
        </w:rPr>
        <w:tab/>
      </w:r>
      <w:hyperlink r:id="rId6" w:history="1">
        <w:r w:rsidRPr="002773A8">
          <w:rPr>
            <w:rStyle w:val="Hyperlink"/>
            <w:rFonts w:ascii="Times New Roman" w:hAnsi="Times New Roman"/>
          </w:rPr>
          <w:t>Commission strengthens the Carbon Border Adjustment Mechanism</w:t>
        </w:r>
      </w:hyperlink>
      <w:r w:rsidR="002773A8" w:rsidRPr="00407F57">
        <w:rPr>
          <w:rFonts w:ascii="Times New Roman" w:hAnsi="Times New Roman"/>
        </w:rPr>
        <w:t>.</w:t>
      </w:r>
    </w:p>
  </w:footnote>
  <w:footnote w:id="16">
    <w:p w14:paraId="100D8130" w14:textId="114987E5" w:rsidR="007733AE" w:rsidRPr="00407F57" w:rsidRDefault="007733AE" w:rsidP="00407F57">
      <w:pPr>
        <w:pStyle w:val="FootnoteText"/>
        <w:spacing w:after="0" w:line="240" w:lineRule="auto"/>
        <w:ind w:left="-142" w:right="-426" w:hanging="284"/>
        <w:jc w:val="both"/>
        <w:rPr>
          <w:rFonts w:ascii="Times New Roman" w:hAnsi="Times New Roman"/>
        </w:rPr>
      </w:pPr>
      <w:r w:rsidRPr="00407F57">
        <w:rPr>
          <w:rStyle w:val="FootnoteReference"/>
          <w:rFonts w:ascii="Times New Roman" w:hAnsi="Times New Roman"/>
          <w:sz w:val="20"/>
        </w:rPr>
        <w:footnoteRef/>
      </w:r>
      <w:r w:rsidRPr="002773A8">
        <w:rPr>
          <w:rFonts w:ascii="Times New Roman" w:hAnsi="Times New Roman"/>
        </w:rPr>
        <w:t xml:space="preserve"> </w:t>
      </w:r>
      <w:r w:rsidR="002773A8" w:rsidRPr="002773A8">
        <w:rPr>
          <w:rFonts w:ascii="Times New Roman" w:hAnsi="Times New Roman"/>
        </w:rPr>
        <w:tab/>
      </w:r>
      <w:hyperlink r:id="rId7" w:history="1">
        <w:r w:rsidRPr="002773A8">
          <w:rPr>
            <w:rStyle w:val="Hyperlink"/>
            <w:rFonts w:ascii="Times New Roman" w:hAnsi="Times New Roman"/>
          </w:rPr>
          <w:t>Questions and Answers on the Carbon Border Adjustment Mechanism (CBAM)</w:t>
        </w:r>
      </w:hyperlink>
      <w:r w:rsidR="002773A8" w:rsidRPr="00407F57">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E4C73" w14:textId="77777777" w:rsidR="00212030" w:rsidRDefault="002120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8D5D9" w14:textId="77777777" w:rsidR="005D4F4C" w:rsidRDefault="005D4F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57EC5" w14:textId="77777777" w:rsidR="00212030" w:rsidRDefault="002120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FD4C888"/>
    <w:lvl w:ilvl="0">
      <w:start w:val="1"/>
      <w:numFmt w:val="decimal"/>
      <w:pStyle w:val="Heading1"/>
      <w:lvlText w:val="%1."/>
      <w:lvlJc w:val="left"/>
      <w:pPr>
        <w:ind w:left="0" w:firstLine="0"/>
      </w:pPr>
      <w:rPr>
        <w:rFonts w:hint="default"/>
        <w:b w:val="0"/>
      </w:rPr>
    </w:lvl>
    <w:lvl w:ilvl="1">
      <w:start w:val="3"/>
      <w:numFmt w:val="decimal"/>
      <w:pStyle w:val="Heading2"/>
      <w:lvlText w:val="%1.%2"/>
      <w:lvlJc w:val="left"/>
      <w:pPr>
        <w:ind w:left="0" w:firstLine="0"/>
      </w:pPr>
      <w:rPr>
        <w:rFonts w:hint="default"/>
        <w:b w:val="0"/>
        <w:bCs/>
      </w:rPr>
    </w:lvl>
    <w:lvl w:ilvl="2">
      <w:start w:val="1"/>
      <w:numFmt w:val="decimal"/>
      <w:pStyle w:val="Heading3"/>
      <w:lvlText w:val="%1.%2.%3"/>
      <w:lvlJc w:val="left"/>
      <w:pPr>
        <w:ind w:left="850" w:firstLine="0"/>
      </w:pPr>
      <w:rPr>
        <w:rFonts w:hint="default"/>
      </w:rPr>
    </w:lvl>
    <w:lvl w:ilvl="3">
      <w:start w:val="1"/>
      <w:numFmt w:val="decimal"/>
      <w:pStyle w:val="Heading4"/>
      <w:lvlText w:val="%1.%2.%3.%4"/>
      <w:lvlJc w:val="left"/>
      <w:pPr>
        <w:ind w:left="0" w:firstLine="0"/>
      </w:pPr>
      <w:rPr>
        <w:rFonts w:hint="default"/>
      </w:rPr>
    </w:lvl>
    <w:lvl w:ilvl="4">
      <w:start w:val="1"/>
      <w:numFmt w:val="decimal"/>
      <w:pStyle w:val="Heading5"/>
      <w:lvlText w:val="%1.%2.%3.%4.%5"/>
      <w:lvlJc w:val="left"/>
      <w:pPr>
        <w:ind w:left="0" w:firstLine="0"/>
      </w:pPr>
      <w:rPr>
        <w:rFonts w:hint="default"/>
      </w:rPr>
    </w:lvl>
    <w:lvl w:ilvl="5">
      <w:start w:val="1"/>
      <w:numFmt w:val="decimal"/>
      <w:pStyle w:val="Heading6"/>
      <w:lvlText w:val="%1.%2.%3.%4.%5.%6"/>
      <w:lvlJc w:val="left"/>
      <w:pPr>
        <w:ind w:left="0" w:firstLine="0"/>
      </w:pPr>
      <w:rPr>
        <w:rFonts w:hint="default"/>
      </w:rPr>
    </w:lvl>
    <w:lvl w:ilvl="6">
      <w:start w:val="1"/>
      <w:numFmt w:val="decimal"/>
      <w:pStyle w:val="Heading7"/>
      <w:lvlText w:val="%1.%2.%3.%4.%5.%6.%7"/>
      <w:lvlJc w:val="left"/>
      <w:pPr>
        <w:ind w:left="0" w:firstLine="0"/>
      </w:pPr>
      <w:rPr>
        <w:rFonts w:hint="default"/>
      </w:rPr>
    </w:lvl>
    <w:lvl w:ilvl="7">
      <w:start w:val="1"/>
      <w:numFmt w:val="decimal"/>
      <w:pStyle w:val="Heading8"/>
      <w:lvlText w:val="%1.%2.%3.%4.%5.%6.%7.%8"/>
      <w:lvlJc w:val="left"/>
      <w:pPr>
        <w:ind w:left="0" w:firstLine="0"/>
      </w:pPr>
      <w:rPr>
        <w:rFonts w:hint="default"/>
      </w:rPr>
    </w:lvl>
    <w:lvl w:ilvl="8">
      <w:start w:val="1"/>
      <w:numFmt w:val="decimal"/>
      <w:pStyle w:val="Heading9"/>
      <w:lvlText w:val="%1.%2.%3.%4.%5.%6.%7.%8.%9"/>
      <w:lvlJc w:val="left"/>
      <w:pPr>
        <w:ind w:left="0" w:firstLine="0"/>
      </w:pPr>
      <w:rPr>
        <w:rFonts w:hint="default"/>
      </w:rPr>
    </w:lvl>
  </w:abstractNum>
  <w:abstractNum w:abstractNumId="1" w15:restartNumberingAfterBreak="0">
    <w:nsid w:val="17C6486A"/>
    <w:multiLevelType w:val="multilevel"/>
    <w:tmpl w:val="99305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24667A"/>
    <w:multiLevelType w:val="multilevel"/>
    <w:tmpl w:val="38464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46F64FD"/>
    <w:multiLevelType w:val="hybridMultilevel"/>
    <w:tmpl w:val="10B2C694"/>
    <w:lvl w:ilvl="0" w:tplc="F30470BE">
      <w:start w:val="1"/>
      <w:numFmt w:val="bullet"/>
      <w:lvlText w:val=""/>
      <w:lvlJc w:val="left"/>
      <w:pPr>
        <w:ind w:left="360" w:hanging="360"/>
      </w:pPr>
      <w:rPr>
        <w:rFonts w:ascii="Symbol" w:hAnsi="Symbol" w:hint="default"/>
      </w:rPr>
    </w:lvl>
    <w:lvl w:ilvl="1" w:tplc="9378F284">
      <w:start w:val="1"/>
      <w:numFmt w:val="bullet"/>
      <w:lvlText w:val="o"/>
      <w:lvlJc w:val="left"/>
      <w:pPr>
        <w:ind w:left="1080" w:hanging="360"/>
      </w:pPr>
      <w:rPr>
        <w:rFonts w:ascii="Courier New" w:hAnsi="Courier New" w:hint="default"/>
      </w:rPr>
    </w:lvl>
    <w:lvl w:ilvl="2" w:tplc="7BA01118">
      <w:start w:val="1"/>
      <w:numFmt w:val="bullet"/>
      <w:lvlText w:val=""/>
      <w:lvlJc w:val="left"/>
      <w:pPr>
        <w:ind w:left="1800" w:hanging="360"/>
      </w:pPr>
      <w:rPr>
        <w:rFonts w:ascii="Wingdings" w:hAnsi="Wingdings" w:hint="default"/>
      </w:rPr>
    </w:lvl>
    <w:lvl w:ilvl="3" w:tplc="1BB8C748">
      <w:start w:val="1"/>
      <w:numFmt w:val="bullet"/>
      <w:lvlText w:val=""/>
      <w:lvlJc w:val="left"/>
      <w:pPr>
        <w:ind w:left="2520" w:hanging="360"/>
      </w:pPr>
      <w:rPr>
        <w:rFonts w:ascii="Symbol" w:hAnsi="Symbol" w:hint="default"/>
      </w:rPr>
    </w:lvl>
    <w:lvl w:ilvl="4" w:tplc="CC72D2FE">
      <w:start w:val="1"/>
      <w:numFmt w:val="bullet"/>
      <w:lvlText w:val="o"/>
      <w:lvlJc w:val="left"/>
      <w:pPr>
        <w:ind w:left="3240" w:hanging="360"/>
      </w:pPr>
      <w:rPr>
        <w:rFonts w:ascii="Courier New" w:hAnsi="Courier New" w:hint="default"/>
      </w:rPr>
    </w:lvl>
    <w:lvl w:ilvl="5" w:tplc="F126CE86">
      <w:start w:val="1"/>
      <w:numFmt w:val="bullet"/>
      <w:lvlText w:val=""/>
      <w:lvlJc w:val="left"/>
      <w:pPr>
        <w:ind w:left="3960" w:hanging="360"/>
      </w:pPr>
      <w:rPr>
        <w:rFonts w:ascii="Wingdings" w:hAnsi="Wingdings" w:hint="default"/>
      </w:rPr>
    </w:lvl>
    <w:lvl w:ilvl="6" w:tplc="990E3212">
      <w:start w:val="1"/>
      <w:numFmt w:val="bullet"/>
      <w:lvlText w:val=""/>
      <w:lvlJc w:val="left"/>
      <w:pPr>
        <w:ind w:left="4680" w:hanging="360"/>
      </w:pPr>
      <w:rPr>
        <w:rFonts w:ascii="Symbol" w:hAnsi="Symbol" w:hint="default"/>
      </w:rPr>
    </w:lvl>
    <w:lvl w:ilvl="7" w:tplc="457E80D4">
      <w:start w:val="1"/>
      <w:numFmt w:val="bullet"/>
      <w:lvlText w:val="o"/>
      <w:lvlJc w:val="left"/>
      <w:pPr>
        <w:ind w:left="5400" w:hanging="360"/>
      </w:pPr>
      <w:rPr>
        <w:rFonts w:ascii="Courier New" w:hAnsi="Courier New" w:hint="default"/>
      </w:rPr>
    </w:lvl>
    <w:lvl w:ilvl="8" w:tplc="E50827EC">
      <w:start w:val="1"/>
      <w:numFmt w:val="bullet"/>
      <w:lvlText w:val=""/>
      <w:lvlJc w:val="left"/>
      <w:pPr>
        <w:ind w:left="6120" w:hanging="360"/>
      </w:pPr>
      <w:rPr>
        <w:rFonts w:ascii="Wingdings" w:hAnsi="Wingdings" w:hint="default"/>
      </w:rPr>
    </w:lvl>
  </w:abstractNum>
  <w:abstractNum w:abstractNumId="4" w15:restartNumberingAfterBreak="0">
    <w:nsid w:val="26F7B437"/>
    <w:multiLevelType w:val="hybridMultilevel"/>
    <w:tmpl w:val="5F66678C"/>
    <w:lvl w:ilvl="0" w:tplc="D5128BAE">
      <w:start w:val="1"/>
      <w:numFmt w:val="bullet"/>
      <w:lvlText w:val="·"/>
      <w:lvlJc w:val="left"/>
      <w:pPr>
        <w:ind w:left="720" w:hanging="360"/>
      </w:pPr>
      <w:rPr>
        <w:rFonts w:ascii="Symbol" w:hAnsi="Symbol" w:hint="default"/>
      </w:rPr>
    </w:lvl>
    <w:lvl w:ilvl="1" w:tplc="266692CE">
      <w:start w:val="1"/>
      <w:numFmt w:val="bullet"/>
      <w:lvlText w:val="o"/>
      <w:lvlJc w:val="left"/>
      <w:pPr>
        <w:ind w:left="1440" w:hanging="360"/>
      </w:pPr>
      <w:rPr>
        <w:rFonts w:ascii="Courier New" w:hAnsi="Courier New" w:hint="default"/>
      </w:rPr>
    </w:lvl>
    <w:lvl w:ilvl="2" w:tplc="59325A20">
      <w:start w:val="1"/>
      <w:numFmt w:val="bullet"/>
      <w:lvlText w:val=""/>
      <w:lvlJc w:val="left"/>
      <w:pPr>
        <w:ind w:left="2160" w:hanging="360"/>
      </w:pPr>
      <w:rPr>
        <w:rFonts w:ascii="Wingdings" w:hAnsi="Wingdings" w:hint="default"/>
      </w:rPr>
    </w:lvl>
    <w:lvl w:ilvl="3" w:tplc="E7425D74">
      <w:start w:val="1"/>
      <w:numFmt w:val="bullet"/>
      <w:lvlText w:val=""/>
      <w:lvlJc w:val="left"/>
      <w:pPr>
        <w:ind w:left="2880" w:hanging="360"/>
      </w:pPr>
      <w:rPr>
        <w:rFonts w:ascii="Symbol" w:hAnsi="Symbol" w:hint="default"/>
      </w:rPr>
    </w:lvl>
    <w:lvl w:ilvl="4" w:tplc="C7A0E2DC">
      <w:start w:val="1"/>
      <w:numFmt w:val="bullet"/>
      <w:lvlText w:val="o"/>
      <w:lvlJc w:val="left"/>
      <w:pPr>
        <w:ind w:left="3600" w:hanging="360"/>
      </w:pPr>
      <w:rPr>
        <w:rFonts w:ascii="Courier New" w:hAnsi="Courier New" w:hint="default"/>
      </w:rPr>
    </w:lvl>
    <w:lvl w:ilvl="5" w:tplc="9D66D40E">
      <w:start w:val="1"/>
      <w:numFmt w:val="bullet"/>
      <w:lvlText w:val=""/>
      <w:lvlJc w:val="left"/>
      <w:pPr>
        <w:ind w:left="4320" w:hanging="360"/>
      </w:pPr>
      <w:rPr>
        <w:rFonts w:ascii="Wingdings" w:hAnsi="Wingdings" w:hint="default"/>
      </w:rPr>
    </w:lvl>
    <w:lvl w:ilvl="6" w:tplc="9E48BCDE">
      <w:start w:val="1"/>
      <w:numFmt w:val="bullet"/>
      <w:lvlText w:val=""/>
      <w:lvlJc w:val="left"/>
      <w:pPr>
        <w:ind w:left="5040" w:hanging="360"/>
      </w:pPr>
      <w:rPr>
        <w:rFonts w:ascii="Symbol" w:hAnsi="Symbol" w:hint="default"/>
      </w:rPr>
    </w:lvl>
    <w:lvl w:ilvl="7" w:tplc="285E237C">
      <w:start w:val="1"/>
      <w:numFmt w:val="bullet"/>
      <w:lvlText w:val="o"/>
      <w:lvlJc w:val="left"/>
      <w:pPr>
        <w:ind w:left="5760" w:hanging="360"/>
      </w:pPr>
      <w:rPr>
        <w:rFonts w:ascii="Courier New" w:hAnsi="Courier New" w:hint="default"/>
      </w:rPr>
    </w:lvl>
    <w:lvl w:ilvl="8" w:tplc="8D30F29E">
      <w:start w:val="1"/>
      <w:numFmt w:val="bullet"/>
      <w:lvlText w:val=""/>
      <w:lvlJc w:val="left"/>
      <w:pPr>
        <w:ind w:left="6480" w:hanging="360"/>
      </w:pPr>
      <w:rPr>
        <w:rFonts w:ascii="Wingdings" w:hAnsi="Wingdings" w:hint="default"/>
      </w:rPr>
    </w:lvl>
  </w:abstractNum>
  <w:abstractNum w:abstractNumId="5" w15:restartNumberingAfterBreak="0">
    <w:nsid w:val="2E651DFB"/>
    <w:multiLevelType w:val="multilevel"/>
    <w:tmpl w:val="E1066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854591D"/>
    <w:multiLevelType w:val="multilevel"/>
    <w:tmpl w:val="F154B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B046C09"/>
    <w:multiLevelType w:val="hybridMultilevel"/>
    <w:tmpl w:val="14BA748A"/>
    <w:lvl w:ilvl="0" w:tplc="6E7AD58C">
      <w:start w:val="1"/>
      <w:numFmt w:val="bullet"/>
      <w:lvlText w:val=""/>
      <w:lvlJc w:val="left"/>
      <w:pPr>
        <w:ind w:left="360" w:hanging="360"/>
      </w:pPr>
      <w:rPr>
        <w:rFonts w:ascii="Symbol" w:hAnsi="Symbol" w:hint="default"/>
      </w:rPr>
    </w:lvl>
    <w:lvl w:ilvl="1" w:tplc="F4B8DB98">
      <w:start w:val="1"/>
      <w:numFmt w:val="bullet"/>
      <w:lvlText w:val="o"/>
      <w:lvlJc w:val="left"/>
      <w:pPr>
        <w:ind w:left="1080" w:hanging="360"/>
      </w:pPr>
      <w:rPr>
        <w:rFonts w:ascii="Courier New" w:hAnsi="Courier New" w:hint="default"/>
      </w:rPr>
    </w:lvl>
    <w:lvl w:ilvl="2" w:tplc="048CE8FE">
      <w:start w:val="1"/>
      <w:numFmt w:val="bullet"/>
      <w:lvlText w:val=""/>
      <w:lvlJc w:val="left"/>
      <w:pPr>
        <w:ind w:left="1800" w:hanging="360"/>
      </w:pPr>
      <w:rPr>
        <w:rFonts w:ascii="Wingdings" w:hAnsi="Wingdings" w:hint="default"/>
      </w:rPr>
    </w:lvl>
    <w:lvl w:ilvl="3" w:tplc="00BEC7E4">
      <w:start w:val="1"/>
      <w:numFmt w:val="bullet"/>
      <w:lvlText w:val=""/>
      <w:lvlJc w:val="left"/>
      <w:pPr>
        <w:ind w:left="2520" w:hanging="360"/>
      </w:pPr>
      <w:rPr>
        <w:rFonts w:ascii="Symbol" w:hAnsi="Symbol" w:hint="default"/>
      </w:rPr>
    </w:lvl>
    <w:lvl w:ilvl="4" w:tplc="061A7DA6">
      <w:start w:val="1"/>
      <w:numFmt w:val="bullet"/>
      <w:lvlText w:val="o"/>
      <w:lvlJc w:val="left"/>
      <w:pPr>
        <w:ind w:left="3240" w:hanging="360"/>
      </w:pPr>
      <w:rPr>
        <w:rFonts w:ascii="Courier New" w:hAnsi="Courier New" w:hint="default"/>
      </w:rPr>
    </w:lvl>
    <w:lvl w:ilvl="5" w:tplc="DA3CBEA4">
      <w:start w:val="1"/>
      <w:numFmt w:val="bullet"/>
      <w:lvlText w:val=""/>
      <w:lvlJc w:val="left"/>
      <w:pPr>
        <w:ind w:left="3960" w:hanging="360"/>
      </w:pPr>
      <w:rPr>
        <w:rFonts w:ascii="Wingdings" w:hAnsi="Wingdings" w:hint="default"/>
      </w:rPr>
    </w:lvl>
    <w:lvl w:ilvl="6" w:tplc="28A81D76">
      <w:start w:val="1"/>
      <w:numFmt w:val="bullet"/>
      <w:lvlText w:val=""/>
      <w:lvlJc w:val="left"/>
      <w:pPr>
        <w:ind w:left="4680" w:hanging="360"/>
      </w:pPr>
      <w:rPr>
        <w:rFonts w:ascii="Symbol" w:hAnsi="Symbol" w:hint="default"/>
      </w:rPr>
    </w:lvl>
    <w:lvl w:ilvl="7" w:tplc="9D88DE56">
      <w:start w:val="1"/>
      <w:numFmt w:val="bullet"/>
      <w:lvlText w:val="o"/>
      <w:lvlJc w:val="left"/>
      <w:pPr>
        <w:ind w:left="5400" w:hanging="360"/>
      </w:pPr>
      <w:rPr>
        <w:rFonts w:ascii="Courier New" w:hAnsi="Courier New" w:hint="default"/>
      </w:rPr>
    </w:lvl>
    <w:lvl w:ilvl="8" w:tplc="3B0A7F20">
      <w:start w:val="1"/>
      <w:numFmt w:val="bullet"/>
      <w:lvlText w:val=""/>
      <w:lvlJc w:val="left"/>
      <w:pPr>
        <w:ind w:left="6120" w:hanging="360"/>
      </w:pPr>
      <w:rPr>
        <w:rFonts w:ascii="Wingdings" w:hAnsi="Wingdings" w:hint="default"/>
      </w:rPr>
    </w:lvl>
  </w:abstractNum>
  <w:abstractNum w:abstractNumId="8" w15:restartNumberingAfterBreak="0">
    <w:nsid w:val="60E906FD"/>
    <w:multiLevelType w:val="hybridMultilevel"/>
    <w:tmpl w:val="494EAC1C"/>
    <w:lvl w:ilvl="0" w:tplc="616CC954">
      <w:start w:val="1"/>
      <w:numFmt w:val="bullet"/>
      <w:pStyle w:val="Briefinglist1"/>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9" w15:restartNumberingAfterBreak="0">
    <w:nsid w:val="6FD7BA67"/>
    <w:multiLevelType w:val="hybridMultilevel"/>
    <w:tmpl w:val="FFFFFFFF"/>
    <w:lvl w:ilvl="0" w:tplc="FFFFFFFF">
      <w:start w:val="1"/>
      <w:numFmt w:val="bullet"/>
      <w:lvlText w:val=""/>
      <w:lvlJc w:val="left"/>
      <w:pPr>
        <w:ind w:left="720" w:hanging="360"/>
      </w:pPr>
      <w:rPr>
        <w:rFonts w:ascii="Symbol" w:hAnsi="Symbol" w:hint="default"/>
      </w:rPr>
    </w:lvl>
    <w:lvl w:ilvl="1" w:tplc="F39A1E50">
      <w:start w:val="1"/>
      <w:numFmt w:val="bullet"/>
      <w:lvlText w:val="o"/>
      <w:lvlJc w:val="left"/>
      <w:pPr>
        <w:ind w:left="1440" w:hanging="360"/>
      </w:pPr>
      <w:rPr>
        <w:rFonts w:ascii="Courier New" w:hAnsi="Courier New" w:hint="default"/>
      </w:rPr>
    </w:lvl>
    <w:lvl w:ilvl="2" w:tplc="65783522">
      <w:start w:val="1"/>
      <w:numFmt w:val="bullet"/>
      <w:lvlText w:val=""/>
      <w:lvlJc w:val="left"/>
      <w:pPr>
        <w:ind w:left="2160" w:hanging="360"/>
      </w:pPr>
      <w:rPr>
        <w:rFonts w:ascii="Wingdings" w:hAnsi="Wingdings" w:hint="default"/>
      </w:rPr>
    </w:lvl>
    <w:lvl w:ilvl="3" w:tplc="B2E6B69E">
      <w:start w:val="1"/>
      <w:numFmt w:val="bullet"/>
      <w:lvlText w:val=""/>
      <w:lvlJc w:val="left"/>
      <w:pPr>
        <w:ind w:left="2880" w:hanging="360"/>
      </w:pPr>
      <w:rPr>
        <w:rFonts w:ascii="Symbol" w:hAnsi="Symbol" w:hint="default"/>
      </w:rPr>
    </w:lvl>
    <w:lvl w:ilvl="4" w:tplc="45761B40">
      <w:start w:val="1"/>
      <w:numFmt w:val="bullet"/>
      <w:lvlText w:val="o"/>
      <w:lvlJc w:val="left"/>
      <w:pPr>
        <w:ind w:left="3600" w:hanging="360"/>
      </w:pPr>
      <w:rPr>
        <w:rFonts w:ascii="Courier New" w:hAnsi="Courier New" w:hint="default"/>
      </w:rPr>
    </w:lvl>
    <w:lvl w:ilvl="5" w:tplc="B680DEA6">
      <w:start w:val="1"/>
      <w:numFmt w:val="bullet"/>
      <w:lvlText w:val=""/>
      <w:lvlJc w:val="left"/>
      <w:pPr>
        <w:ind w:left="4320" w:hanging="360"/>
      </w:pPr>
      <w:rPr>
        <w:rFonts w:ascii="Wingdings" w:hAnsi="Wingdings" w:hint="default"/>
      </w:rPr>
    </w:lvl>
    <w:lvl w:ilvl="6" w:tplc="26B8DD7A">
      <w:start w:val="1"/>
      <w:numFmt w:val="bullet"/>
      <w:lvlText w:val=""/>
      <w:lvlJc w:val="left"/>
      <w:pPr>
        <w:ind w:left="5040" w:hanging="360"/>
      </w:pPr>
      <w:rPr>
        <w:rFonts w:ascii="Symbol" w:hAnsi="Symbol" w:hint="default"/>
      </w:rPr>
    </w:lvl>
    <w:lvl w:ilvl="7" w:tplc="221E2502">
      <w:start w:val="1"/>
      <w:numFmt w:val="bullet"/>
      <w:lvlText w:val="o"/>
      <w:lvlJc w:val="left"/>
      <w:pPr>
        <w:ind w:left="5760" w:hanging="360"/>
      </w:pPr>
      <w:rPr>
        <w:rFonts w:ascii="Courier New" w:hAnsi="Courier New" w:hint="default"/>
      </w:rPr>
    </w:lvl>
    <w:lvl w:ilvl="8" w:tplc="26BEBD76">
      <w:start w:val="1"/>
      <w:numFmt w:val="bullet"/>
      <w:lvlText w:val=""/>
      <w:lvlJc w:val="left"/>
      <w:pPr>
        <w:ind w:left="6480" w:hanging="360"/>
      </w:pPr>
      <w:rPr>
        <w:rFonts w:ascii="Wingdings" w:hAnsi="Wingdings" w:hint="default"/>
      </w:rPr>
    </w:lvl>
  </w:abstractNum>
  <w:abstractNum w:abstractNumId="10" w15:restartNumberingAfterBreak="0">
    <w:nsid w:val="7C34A1AB"/>
    <w:multiLevelType w:val="hybridMultilevel"/>
    <w:tmpl w:val="A432ACD0"/>
    <w:lvl w:ilvl="0" w:tplc="4336F2DE">
      <w:start w:val="1"/>
      <w:numFmt w:val="bullet"/>
      <w:lvlText w:val=""/>
      <w:lvlJc w:val="left"/>
      <w:pPr>
        <w:ind w:left="720" w:hanging="360"/>
      </w:pPr>
      <w:rPr>
        <w:rFonts w:ascii="Symbol" w:hAnsi="Symbol" w:hint="default"/>
      </w:rPr>
    </w:lvl>
    <w:lvl w:ilvl="1" w:tplc="C414CFF2">
      <w:start w:val="1"/>
      <w:numFmt w:val="bullet"/>
      <w:lvlText w:val="o"/>
      <w:lvlJc w:val="left"/>
      <w:pPr>
        <w:ind w:left="1440" w:hanging="360"/>
      </w:pPr>
      <w:rPr>
        <w:rFonts w:ascii="Courier New" w:hAnsi="Courier New" w:hint="default"/>
      </w:rPr>
    </w:lvl>
    <w:lvl w:ilvl="2" w:tplc="1382BDD0">
      <w:start w:val="1"/>
      <w:numFmt w:val="bullet"/>
      <w:lvlText w:val=""/>
      <w:lvlJc w:val="left"/>
      <w:pPr>
        <w:ind w:left="2160" w:hanging="360"/>
      </w:pPr>
      <w:rPr>
        <w:rFonts w:ascii="Wingdings" w:hAnsi="Wingdings" w:hint="default"/>
      </w:rPr>
    </w:lvl>
    <w:lvl w:ilvl="3" w:tplc="827E9272">
      <w:start w:val="1"/>
      <w:numFmt w:val="bullet"/>
      <w:lvlText w:val=""/>
      <w:lvlJc w:val="left"/>
      <w:pPr>
        <w:ind w:left="2880" w:hanging="360"/>
      </w:pPr>
      <w:rPr>
        <w:rFonts w:ascii="Symbol" w:hAnsi="Symbol" w:hint="default"/>
      </w:rPr>
    </w:lvl>
    <w:lvl w:ilvl="4" w:tplc="8CAE739A">
      <w:start w:val="1"/>
      <w:numFmt w:val="bullet"/>
      <w:lvlText w:val="o"/>
      <w:lvlJc w:val="left"/>
      <w:pPr>
        <w:ind w:left="3600" w:hanging="360"/>
      </w:pPr>
      <w:rPr>
        <w:rFonts w:ascii="Courier New" w:hAnsi="Courier New" w:hint="default"/>
      </w:rPr>
    </w:lvl>
    <w:lvl w:ilvl="5" w:tplc="6EECDA88">
      <w:start w:val="1"/>
      <w:numFmt w:val="bullet"/>
      <w:lvlText w:val=""/>
      <w:lvlJc w:val="left"/>
      <w:pPr>
        <w:ind w:left="4320" w:hanging="360"/>
      </w:pPr>
      <w:rPr>
        <w:rFonts w:ascii="Wingdings" w:hAnsi="Wingdings" w:hint="default"/>
      </w:rPr>
    </w:lvl>
    <w:lvl w:ilvl="6" w:tplc="453C6D16">
      <w:start w:val="1"/>
      <w:numFmt w:val="bullet"/>
      <w:lvlText w:val=""/>
      <w:lvlJc w:val="left"/>
      <w:pPr>
        <w:ind w:left="5040" w:hanging="360"/>
      </w:pPr>
      <w:rPr>
        <w:rFonts w:ascii="Symbol" w:hAnsi="Symbol" w:hint="default"/>
      </w:rPr>
    </w:lvl>
    <w:lvl w:ilvl="7" w:tplc="7AB86332">
      <w:start w:val="1"/>
      <w:numFmt w:val="bullet"/>
      <w:lvlText w:val="o"/>
      <w:lvlJc w:val="left"/>
      <w:pPr>
        <w:ind w:left="5760" w:hanging="360"/>
      </w:pPr>
      <w:rPr>
        <w:rFonts w:ascii="Courier New" w:hAnsi="Courier New" w:hint="default"/>
      </w:rPr>
    </w:lvl>
    <w:lvl w:ilvl="8" w:tplc="CC3CCBE6">
      <w:start w:val="1"/>
      <w:numFmt w:val="bullet"/>
      <w:lvlText w:val=""/>
      <w:lvlJc w:val="left"/>
      <w:pPr>
        <w:ind w:left="6480" w:hanging="360"/>
      </w:pPr>
      <w:rPr>
        <w:rFonts w:ascii="Wingdings" w:hAnsi="Wingdings" w:hint="default"/>
      </w:rPr>
    </w:lvl>
  </w:abstractNum>
  <w:num w:numId="1" w16cid:durableId="464933175">
    <w:abstractNumId w:val="4"/>
  </w:num>
  <w:num w:numId="2" w16cid:durableId="2079859295">
    <w:abstractNumId w:val="0"/>
  </w:num>
  <w:num w:numId="3" w16cid:durableId="1024551948">
    <w:abstractNumId w:val="0"/>
    <w:lvlOverride w:ilvl="0">
      <w:startOverride w:val="2"/>
    </w:lvlOverride>
    <w:lvlOverride w:ilvl="1">
      <w:startOverride w:val="3"/>
    </w:lvlOverride>
  </w:num>
  <w:num w:numId="4" w16cid:durableId="696665777">
    <w:abstractNumId w:val="0"/>
    <w:lvlOverride w:ilvl="0">
      <w:startOverride w:val="3"/>
    </w:lvlOverride>
    <w:lvlOverride w:ilvl="1">
      <w:startOverride w:val="14"/>
    </w:lvlOverride>
  </w:num>
  <w:num w:numId="5" w16cid:durableId="1881630698">
    <w:abstractNumId w:val="0"/>
    <w:lvlOverride w:ilvl="0">
      <w:startOverride w:val="4"/>
    </w:lvlOverride>
    <w:lvlOverride w:ilvl="1">
      <w:startOverride w:val="1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26903089">
    <w:abstractNumId w:val="0"/>
    <w:lvlOverride w:ilvl="0">
      <w:startOverride w:val="4"/>
    </w:lvlOverride>
    <w:lvlOverride w:ilvl="1">
      <w:startOverride w:val="11"/>
    </w:lvlOverride>
  </w:num>
  <w:num w:numId="7" w16cid:durableId="1529180384">
    <w:abstractNumId w:val="0"/>
    <w:lvlOverride w:ilvl="0">
      <w:startOverride w:val="4"/>
    </w:lvlOverride>
    <w:lvlOverride w:ilvl="1">
      <w:startOverride w:val="16"/>
    </w:lvlOverride>
  </w:num>
  <w:num w:numId="8" w16cid:durableId="957103171">
    <w:abstractNumId w:val="9"/>
  </w:num>
  <w:num w:numId="9" w16cid:durableId="236475449">
    <w:abstractNumId w:val="8"/>
  </w:num>
  <w:num w:numId="10" w16cid:durableId="1493066254">
    <w:abstractNumId w:val="7"/>
  </w:num>
  <w:num w:numId="11" w16cid:durableId="2027554395">
    <w:abstractNumId w:val="3"/>
  </w:num>
  <w:num w:numId="12" w16cid:durableId="709450853">
    <w:abstractNumId w:val="1"/>
  </w:num>
  <w:num w:numId="13" w16cid:durableId="1854373600">
    <w:abstractNumId w:val="6"/>
  </w:num>
  <w:num w:numId="14" w16cid:durableId="1591038039">
    <w:abstractNumId w:val="5"/>
  </w:num>
  <w:num w:numId="15" w16cid:durableId="1141194794">
    <w:abstractNumId w:val="10"/>
  </w:num>
  <w:num w:numId="16" w16cid:durableId="18764986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NotTrackMoves/>
  <w:defaultTabStop w:val="720"/>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LW_DocType" w:val="NORMAL"/>
  </w:docVars>
  <w:rsids>
    <w:rsidRoot w:val="00077C4F"/>
    <w:rsid w:val="0000224D"/>
    <w:rsid w:val="0000362C"/>
    <w:rsid w:val="00006A80"/>
    <w:rsid w:val="00010543"/>
    <w:rsid w:val="00012A37"/>
    <w:rsid w:val="00013F56"/>
    <w:rsid w:val="00020BE9"/>
    <w:rsid w:val="00021378"/>
    <w:rsid w:val="0002146C"/>
    <w:rsid w:val="00022206"/>
    <w:rsid w:val="00023B8F"/>
    <w:rsid w:val="00024342"/>
    <w:rsid w:val="0002588E"/>
    <w:rsid w:val="00031FCC"/>
    <w:rsid w:val="000323A9"/>
    <w:rsid w:val="000352D0"/>
    <w:rsid w:val="000360D1"/>
    <w:rsid w:val="000364E8"/>
    <w:rsid w:val="000370DF"/>
    <w:rsid w:val="000372CF"/>
    <w:rsid w:val="00041C8A"/>
    <w:rsid w:val="00043786"/>
    <w:rsid w:val="000460BA"/>
    <w:rsid w:val="000462BE"/>
    <w:rsid w:val="00046B15"/>
    <w:rsid w:val="00050DC7"/>
    <w:rsid w:val="00056324"/>
    <w:rsid w:val="000565CC"/>
    <w:rsid w:val="00064C23"/>
    <w:rsid w:val="0007138D"/>
    <w:rsid w:val="00071AE8"/>
    <w:rsid w:val="00073DEE"/>
    <w:rsid w:val="00076109"/>
    <w:rsid w:val="00076829"/>
    <w:rsid w:val="00077C4F"/>
    <w:rsid w:val="000809C8"/>
    <w:rsid w:val="00080DCD"/>
    <w:rsid w:val="00083927"/>
    <w:rsid w:val="000864B8"/>
    <w:rsid w:val="00086E05"/>
    <w:rsid w:val="0008777F"/>
    <w:rsid w:val="0009321E"/>
    <w:rsid w:val="000A06ED"/>
    <w:rsid w:val="000B274D"/>
    <w:rsid w:val="000B4E26"/>
    <w:rsid w:val="000B6ABF"/>
    <w:rsid w:val="000B6B0F"/>
    <w:rsid w:val="000B7D92"/>
    <w:rsid w:val="000C0751"/>
    <w:rsid w:val="000C3BCF"/>
    <w:rsid w:val="000C73B4"/>
    <w:rsid w:val="000D0E81"/>
    <w:rsid w:val="000D343B"/>
    <w:rsid w:val="000D3D48"/>
    <w:rsid w:val="000D4490"/>
    <w:rsid w:val="000D5FBE"/>
    <w:rsid w:val="000E35B9"/>
    <w:rsid w:val="000E39B9"/>
    <w:rsid w:val="000E4635"/>
    <w:rsid w:val="000E61D7"/>
    <w:rsid w:val="000F038A"/>
    <w:rsid w:val="000F17BD"/>
    <w:rsid w:val="000F5FD8"/>
    <w:rsid w:val="00100D07"/>
    <w:rsid w:val="00102608"/>
    <w:rsid w:val="0010280D"/>
    <w:rsid w:val="00111019"/>
    <w:rsid w:val="0011117A"/>
    <w:rsid w:val="00112036"/>
    <w:rsid w:val="00115355"/>
    <w:rsid w:val="0011581F"/>
    <w:rsid w:val="001167C0"/>
    <w:rsid w:val="00121A39"/>
    <w:rsid w:val="00125811"/>
    <w:rsid w:val="00126992"/>
    <w:rsid w:val="00135C2A"/>
    <w:rsid w:val="00136CD7"/>
    <w:rsid w:val="00140EC4"/>
    <w:rsid w:val="00142864"/>
    <w:rsid w:val="001434F0"/>
    <w:rsid w:val="00144C82"/>
    <w:rsid w:val="001450A3"/>
    <w:rsid w:val="00146DC4"/>
    <w:rsid w:val="00167249"/>
    <w:rsid w:val="0016757B"/>
    <w:rsid w:val="0016787B"/>
    <w:rsid w:val="00171BBA"/>
    <w:rsid w:val="001760BB"/>
    <w:rsid w:val="00180F2B"/>
    <w:rsid w:val="001816D9"/>
    <w:rsid w:val="001819E6"/>
    <w:rsid w:val="001822B0"/>
    <w:rsid w:val="00185765"/>
    <w:rsid w:val="0018590C"/>
    <w:rsid w:val="00186E4A"/>
    <w:rsid w:val="00190E55"/>
    <w:rsid w:val="001929E8"/>
    <w:rsid w:val="00194B60"/>
    <w:rsid w:val="001A2957"/>
    <w:rsid w:val="001A3E33"/>
    <w:rsid w:val="001A4C7E"/>
    <w:rsid w:val="001B0E0B"/>
    <w:rsid w:val="001B4457"/>
    <w:rsid w:val="001B49CF"/>
    <w:rsid w:val="001B4D30"/>
    <w:rsid w:val="001C35C5"/>
    <w:rsid w:val="001C4138"/>
    <w:rsid w:val="001D04E2"/>
    <w:rsid w:val="001D1A6D"/>
    <w:rsid w:val="001D3738"/>
    <w:rsid w:val="001D37E3"/>
    <w:rsid w:val="001D46CA"/>
    <w:rsid w:val="001D768E"/>
    <w:rsid w:val="001E6CA6"/>
    <w:rsid w:val="001E7698"/>
    <w:rsid w:val="001F2EC6"/>
    <w:rsid w:val="001F5B61"/>
    <w:rsid w:val="001F65D0"/>
    <w:rsid w:val="001F6FD5"/>
    <w:rsid w:val="00207492"/>
    <w:rsid w:val="00212030"/>
    <w:rsid w:val="002122C2"/>
    <w:rsid w:val="00212CFF"/>
    <w:rsid w:val="00215025"/>
    <w:rsid w:val="00217E59"/>
    <w:rsid w:val="0022275D"/>
    <w:rsid w:val="00224C91"/>
    <w:rsid w:val="002262B9"/>
    <w:rsid w:val="0023077C"/>
    <w:rsid w:val="00235463"/>
    <w:rsid w:val="00236368"/>
    <w:rsid w:val="00245054"/>
    <w:rsid w:val="00245055"/>
    <w:rsid w:val="00247DF9"/>
    <w:rsid w:val="0025357A"/>
    <w:rsid w:val="00253C3A"/>
    <w:rsid w:val="00254035"/>
    <w:rsid w:val="00256469"/>
    <w:rsid w:val="002579DB"/>
    <w:rsid w:val="00261A13"/>
    <w:rsid w:val="00265F2C"/>
    <w:rsid w:val="00266F18"/>
    <w:rsid w:val="0026742A"/>
    <w:rsid w:val="00270095"/>
    <w:rsid w:val="00274DF4"/>
    <w:rsid w:val="002773A8"/>
    <w:rsid w:val="002811EF"/>
    <w:rsid w:val="002815CC"/>
    <w:rsid w:val="00286691"/>
    <w:rsid w:val="0029126A"/>
    <w:rsid w:val="00293681"/>
    <w:rsid w:val="00293B2B"/>
    <w:rsid w:val="002A4436"/>
    <w:rsid w:val="002A6AC4"/>
    <w:rsid w:val="002A7506"/>
    <w:rsid w:val="002B0DE5"/>
    <w:rsid w:val="002B1408"/>
    <w:rsid w:val="002B3856"/>
    <w:rsid w:val="002C19EA"/>
    <w:rsid w:val="002C1B09"/>
    <w:rsid w:val="002C46FC"/>
    <w:rsid w:val="002C514C"/>
    <w:rsid w:val="002C537A"/>
    <w:rsid w:val="002C6245"/>
    <w:rsid w:val="002C74F6"/>
    <w:rsid w:val="002D3CA2"/>
    <w:rsid w:val="002D4DED"/>
    <w:rsid w:val="002D550E"/>
    <w:rsid w:val="002D5FBC"/>
    <w:rsid w:val="002D7A02"/>
    <w:rsid w:val="002D7FAB"/>
    <w:rsid w:val="002E32BD"/>
    <w:rsid w:val="002E7ADE"/>
    <w:rsid w:val="002F03FA"/>
    <w:rsid w:val="002F1186"/>
    <w:rsid w:val="002F1584"/>
    <w:rsid w:val="002F1DC8"/>
    <w:rsid w:val="002F3223"/>
    <w:rsid w:val="002F79C1"/>
    <w:rsid w:val="003004D2"/>
    <w:rsid w:val="00304E5E"/>
    <w:rsid w:val="003059AA"/>
    <w:rsid w:val="00305C05"/>
    <w:rsid w:val="0030712F"/>
    <w:rsid w:val="00314778"/>
    <w:rsid w:val="00317AFD"/>
    <w:rsid w:val="0032532E"/>
    <w:rsid w:val="00325901"/>
    <w:rsid w:val="00330936"/>
    <w:rsid w:val="003326EE"/>
    <w:rsid w:val="00332B16"/>
    <w:rsid w:val="00333942"/>
    <w:rsid w:val="003349A3"/>
    <w:rsid w:val="00334B09"/>
    <w:rsid w:val="003430D7"/>
    <w:rsid w:val="003432C2"/>
    <w:rsid w:val="0034489B"/>
    <w:rsid w:val="00347360"/>
    <w:rsid w:val="003502A6"/>
    <w:rsid w:val="003662B9"/>
    <w:rsid w:val="00367F83"/>
    <w:rsid w:val="00374415"/>
    <w:rsid w:val="00377967"/>
    <w:rsid w:val="003801E8"/>
    <w:rsid w:val="003803E8"/>
    <w:rsid w:val="00382347"/>
    <w:rsid w:val="00382B6E"/>
    <w:rsid w:val="00384FBF"/>
    <w:rsid w:val="00386143"/>
    <w:rsid w:val="00390A21"/>
    <w:rsid w:val="00390A96"/>
    <w:rsid w:val="00394B72"/>
    <w:rsid w:val="0039523E"/>
    <w:rsid w:val="00397F95"/>
    <w:rsid w:val="003A4795"/>
    <w:rsid w:val="003A577E"/>
    <w:rsid w:val="003A5946"/>
    <w:rsid w:val="003B14D4"/>
    <w:rsid w:val="003B1AD7"/>
    <w:rsid w:val="003B24BA"/>
    <w:rsid w:val="003B4198"/>
    <w:rsid w:val="003B445B"/>
    <w:rsid w:val="003B461E"/>
    <w:rsid w:val="003B58DC"/>
    <w:rsid w:val="003B6263"/>
    <w:rsid w:val="003C2DD1"/>
    <w:rsid w:val="003D48D0"/>
    <w:rsid w:val="003D4E31"/>
    <w:rsid w:val="003F314E"/>
    <w:rsid w:val="003F3194"/>
    <w:rsid w:val="003F686E"/>
    <w:rsid w:val="00401D20"/>
    <w:rsid w:val="00403572"/>
    <w:rsid w:val="004040E4"/>
    <w:rsid w:val="00407F57"/>
    <w:rsid w:val="00414EF0"/>
    <w:rsid w:val="00421438"/>
    <w:rsid w:val="00422668"/>
    <w:rsid w:val="0042336B"/>
    <w:rsid w:val="004239C8"/>
    <w:rsid w:val="00423B7E"/>
    <w:rsid w:val="00424565"/>
    <w:rsid w:val="0042512E"/>
    <w:rsid w:val="00432098"/>
    <w:rsid w:val="00442552"/>
    <w:rsid w:val="00443338"/>
    <w:rsid w:val="00443386"/>
    <w:rsid w:val="00445EE4"/>
    <w:rsid w:val="004501C9"/>
    <w:rsid w:val="004508B0"/>
    <w:rsid w:val="00455A1C"/>
    <w:rsid w:val="00455F7F"/>
    <w:rsid w:val="004675B5"/>
    <w:rsid w:val="004750E8"/>
    <w:rsid w:val="004770D6"/>
    <w:rsid w:val="00477A96"/>
    <w:rsid w:val="0048268D"/>
    <w:rsid w:val="0049016C"/>
    <w:rsid w:val="00490658"/>
    <w:rsid w:val="00491D33"/>
    <w:rsid w:val="0049246C"/>
    <w:rsid w:val="0049588B"/>
    <w:rsid w:val="004A5CFE"/>
    <w:rsid w:val="004A626F"/>
    <w:rsid w:val="004A73C3"/>
    <w:rsid w:val="004B6CAF"/>
    <w:rsid w:val="004D2718"/>
    <w:rsid w:val="004D34DD"/>
    <w:rsid w:val="004D5678"/>
    <w:rsid w:val="004D56B4"/>
    <w:rsid w:val="004D5AF9"/>
    <w:rsid w:val="004E2AD4"/>
    <w:rsid w:val="004E686F"/>
    <w:rsid w:val="004EB736"/>
    <w:rsid w:val="004F0289"/>
    <w:rsid w:val="004F6117"/>
    <w:rsid w:val="004F63F1"/>
    <w:rsid w:val="004F63F9"/>
    <w:rsid w:val="004F651E"/>
    <w:rsid w:val="00500175"/>
    <w:rsid w:val="00505263"/>
    <w:rsid w:val="0050683E"/>
    <w:rsid w:val="00516C98"/>
    <w:rsid w:val="005173E4"/>
    <w:rsid w:val="005234F8"/>
    <w:rsid w:val="00524FDC"/>
    <w:rsid w:val="005252A6"/>
    <w:rsid w:val="0052596B"/>
    <w:rsid w:val="00530579"/>
    <w:rsid w:val="005308D5"/>
    <w:rsid w:val="005312C9"/>
    <w:rsid w:val="0053232C"/>
    <w:rsid w:val="005328AE"/>
    <w:rsid w:val="00533F8D"/>
    <w:rsid w:val="00543B9E"/>
    <w:rsid w:val="00547580"/>
    <w:rsid w:val="0054763B"/>
    <w:rsid w:val="00553676"/>
    <w:rsid w:val="005545FB"/>
    <w:rsid w:val="00554D8D"/>
    <w:rsid w:val="005565CE"/>
    <w:rsid w:val="00557102"/>
    <w:rsid w:val="00561587"/>
    <w:rsid w:val="00561668"/>
    <w:rsid w:val="00565FD2"/>
    <w:rsid w:val="00566832"/>
    <w:rsid w:val="00567BEF"/>
    <w:rsid w:val="005700C7"/>
    <w:rsid w:val="00573835"/>
    <w:rsid w:val="0057517E"/>
    <w:rsid w:val="00576BC9"/>
    <w:rsid w:val="00581306"/>
    <w:rsid w:val="0058250B"/>
    <w:rsid w:val="005903DA"/>
    <w:rsid w:val="005909DD"/>
    <w:rsid w:val="00591933"/>
    <w:rsid w:val="005922B9"/>
    <w:rsid w:val="005949F1"/>
    <w:rsid w:val="0059597B"/>
    <w:rsid w:val="005A3455"/>
    <w:rsid w:val="005A5095"/>
    <w:rsid w:val="005A5A56"/>
    <w:rsid w:val="005B172D"/>
    <w:rsid w:val="005B4BA3"/>
    <w:rsid w:val="005B4C33"/>
    <w:rsid w:val="005B571A"/>
    <w:rsid w:val="005C0180"/>
    <w:rsid w:val="005C3105"/>
    <w:rsid w:val="005D0F49"/>
    <w:rsid w:val="005D2B28"/>
    <w:rsid w:val="005D356B"/>
    <w:rsid w:val="005D4F4C"/>
    <w:rsid w:val="005E03DD"/>
    <w:rsid w:val="005E174A"/>
    <w:rsid w:val="005E2C43"/>
    <w:rsid w:val="005E7F2A"/>
    <w:rsid w:val="005F4B7A"/>
    <w:rsid w:val="005F635E"/>
    <w:rsid w:val="00600894"/>
    <w:rsid w:val="00604B28"/>
    <w:rsid w:val="0060674C"/>
    <w:rsid w:val="0060A41D"/>
    <w:rsid w:val="00613F7B"/>
    <w:rsid w:val="00616653"/>
    <w:rsid w:val="006176B5"/>
    <w:rsid w:val="00622264"/>
    <w:rsid w:val="0062231F"/>
    <w:rsid w:val="006232B6"/>
    <w:rsid w:val="00623A69"/>
    <w:rsid w:val="00624990"/>
    <w:rsid w:val="006259C0"/>
    <w:rsid w:val="00630D9A"/>
    <w:rsid w:val="00631456"/>
    <w:rsid w:val="00631946"/>
    <w:rsid w:val="00633E25"/>
    <w:rsid w:val="00640218"/>
    <w:rsid w:val="0064240D"/>
    <w:rsid w:val="00645CCA"/>
    <w:rsid w:val="00651A76"/>
    <w:rsid w:val="0065625A"/>
    <w:rsid w:val="00660685"/>
    <w:rsid w:val="00660920"/>
    <w:rsid w:val="00664665"/>
    <w:rsid w:val="006664BB"/>
    <w:rsid w:val="0066670C"/>
    <w:rsid w:val="006668C0"/>
    <w:rsid w:val="006705F0"/>
    <w:rsid w:val="00670A75"/>
    <w:rsid w:val="00673050"/>
    <w:rsid w:val="00673356"/>
    <w:rsid w:val="00674D3C"/>
    <w:rsid w:val="00675628"/>
    <w:rsid w:val="006824E6"/>
    <w:rsid w:val="00684522"/>
    <w:rsid w:val="00685E88"/>
    <w:rsid w:val="0069123B"/>
    <w:rsid w:val="006927AE"/>
    <w:rsid w:val="00692C2F"/>
    <w:rsid w:val="00693188"/>
    <w:rsid w:val="00694872"/>
    <w:rsid w:val="00694A2F"/>
    <w:rsid w:val="00695797"/>
    <w:rsid w:val="0069593E"/>
    <w:rsid w:val="00696708"/>
    <w:rsid w:val="00696A5E"/>
    <w:rsid w:val="00697956"/>
    <w:rsid w:val="006A2BBF"/>
    <w:rsid w:val="006A3397"/>
    <w:rsid w:val="006A398D"/>
    <w:rsid w:val="006A4E31"/>
    <w:rsid w:val="006A5006"/>
    <w:rsid w:val="006A67E3"/>
    <w:rsid w:val="006B0BA0"/>
    <w:rsid w:val="006B1E26"/>
    <w:rsid w:val="006B2171"/>
    <w:rsid w:val="006B26F5"/>
    <w:rsid w:val="006B3B69"/>
    <w:rsid w:val="006B64DC"/>
    <w:rsid w:val="006C0D6D"/>
    <w:rsid w:val="006C19CE"/>
    <w:rsid w:val="006D5BB4"/>
    <w:rsid w:val="006D5D42"/>
    <w:rsid w:val="006E0B37"/>
    <w:rsid w:val="006E3211"/>
    <w:rsid w:val="006E45BF"/>
    <w:rsid w:val="006E50A8"/>
    <w:rsid w:val="006E50B8"/>
    <w:rsid w:val="006E6C6C"/>
    <w:rsid w:val="007007F7"/>
    <w:rsid w:val="00704101"/>
    <w:rsid w:val="007103CB"/>
    <w:rsid w:val="00713B9C"/>
    <w:rsid w:val="00716CA0"/>
    <w:rsid w:val="00720D17"/>
    <w:rsid w:val="00722D32"/>
    <w:rsid w:val="0072466F"/>
    <w:rsid w:val="00726392"/>
    <w:rsid w:val="00727A03"/>
    <w:rsid w:val="0073022F"/>
    <w:rsid w:val="00734613"/>
    <w:rsid w:val="007351B9"/>
    <w:rsid w:val="0073744C"/>
    <w:rsid w:val="007411D9"/>
    <w:rsid w:val="00743F89"/>
    <w:rsid w:val="00745A94"/>
    <w:rsid w:val="00747C02"/>
    <w:rsid w:val="00747D45"/>
    <w:rsid w:val="00750796"/>
    <w:rsid w:val="00751910"/>
    <w:rsid w:val="00751E3A"/>
    <w:rsid w:val="00751E60"/>
    <w:rsid w:val="0075381A"/>
    <w:rsid w:val="007547B5"/>
    <w:rsid w:val="00760395"/>
    <w:rsid w:val="007603D6"/>
    <w:rsid w:val="007620F7"/>
    <w:rsid w:val="00762571"/>
    <w:rsid w:val="00771114"/>
    <w:rsid w:val="007733AE"/>
    <w:rsid w:val="0077358B"/>
    <w:rsid w:val="0077738A"/>
    <w:rsid w:val="00787DAD"/>
    <w:rsid w:val="007908E1"/>
    <w:rsid w:val="00792AFA"/>
    <w:rsid w:val="00795A9E"/>
    <w:rsid w:val="0079642A"/>
    <w:rsid w:val="0079673D"/>
    <w:rsid w:val="007A3F53"/>
    <w:rsid w:val="007A52D3"/>
    <w:rsid w:val="007A606D"/>
    <w:rsid w:val="007B243E"/>
    <w:rsid w:val="007B50B5"/>
    <w:rsid w:val="007B78B0"/>
    <w:rsid w:val="007BA6BD"/>
    <w:rsid w:val="007C0514"/>
    <w:rsid w:val="007C2214"/>
    <w:rsid w:val="007C7843"/>
    <w:rsid w:val="007D0857"/>
    <w:rsid w:val="007E0757"/>
    <w:rsid w:val="007E3071"/>
    <w:rsid w:val="007E32E0"/>
    <w:rsid w:val="007E58DB"/>
    <w:rsid w:val="007E7D8E"/>
    <w:rsid w:val="007F05E6"/>
    <w:rsid w:val="007F0826"/>
    <w:rsid w:val="007F198B"/>
    <w:rsid w:val="00807B48"/>
    <w:rsid w:val="008135CA"/>
    <w:rsid w:val="00813C28"/>
    <w:rsid w:val="00814DE7"/>
    <w:rsid w:val="008153A1"/>
    <w:rsid w:val="00815625"/>
    <w:rsid w:val="0081584F"/>
    <w:rsid w:val="00816F57"/>
    <w:rsid w:val="00820EC2"/>
    <w:rsid w:val="00824FF1"/>
    <w:rsid w:val="00826108"/>
    <w:rsid w:val="00830D4C"/>
    <w:rsid w:val="00832560"/>
    <w:rsid w:val="00833CFB"/>
    <w:rsid w:val="00835F10"/>
    <w:rsid w:val="008417FE"/>
    <w:rsid w:val="008437B0"/>
    <w:rsid w:val="00843822"/>
    <w:rsid w:val="00844F19"/>
    <w:rsid w:val="00847E63"/>
    <w:rsid w:val="00850D06"/>
    <w:rsid w:val="008522B9"/>
    <w:rsid w:val="00853C96"/>
    <w:rsid w:val="00854D7C"/>
    <w:rsid w:val="00863E19"/>
    <w:rsid w:val="0086719C"/>
    <w:rsid w:val="00867775"/>
    <w:rsid w:val="008703BF"/>
    <w:rsid w:val="00870E46"/>
    <w:rsid w:val="00872C0B"/>
    <w:rsid w:val="00874388"/>
    <w:rsid w:val="00880CAA"/>
    <w:rsid w:val="008813E3"/>
    <w:rsid w:val="00883161"/>
    <w:rsid w:val="00884136"/>
    <w:rsid w:val="0089137F"/>
    <w:rsid w:val="008925CE"/>
    <w:rsid w:val="008A1913"/>
    <w:rsid w:val="008A55F7"/>
    <w:rsid w:val="008B0CD7"/>
    <w:rsid w:val="008B7A36"/>
    <w:rsid w:val="008C2383"/>
    <w:rsid w:val="008C4D41"/>
    <w:rsid w:val="008C52CB"/>
    <w:rsid w:val="008C6157"/>
    <w:rsid w:val="008D0995"/>
    <w:rsid w:val="008D1B8E"/>
    <w:rsid w:val="008D67F0"/>
    <w:rsid w:val="008E0B7E"/>
    <w:rsid w:val="008E7171"/>
    <w:rsid w:val="008E7FEF"/>
    <w:rsid w:val="009016D7"/>
    <w:rsid w:val="009052A2"/>
    <w:rsid w:val="00907E2D"/>
    <w:rsid w:val="00921C3E"/>
    <w:rsid w:val="009303A1"/>
    <w:rsid w:val="009369C8"/>
    <w:rsid w:val="00941FFB"/>
    <w:rsid w:val="00947373"/>
    <w:rsid w:val="00947C8C"/>
    <w:rsid w:val="00947FFA"/>
    <w:rsid w:val="00952E60"/>
    <w:rsid w:val="00954A9A"/>
    <w:rsid w:val="00961EDB"/>
    <w:rsid w:val="00961FF9"/>
    <w:rsid w:val="00962615"/>
    <w:rsid w:val="00963F62"/>
    <w:rsid w:val="00964274"/>
    <w:rsid w:val="00966273"/>
    <w:rsid w:val="00967858"/>
    <w:rsid w:val="009700DF"/>
    <w:rsid w:val="00973700"/>
    <w:rsid w:val="00981F45"/>
    <w:rsid w:val="009827AE"/>
    <w:rsid w:val="009830B5"/>
    <w:rsid w:val="00983255"/>
    <w:rsid w:val="0098513A"/>
    <w:rsid w:val="00986263"/>
    <w:rsid w:val="00990ACE"/>
    <w:rsid w:val="00992F7E"/>
    <w:rsid w:val="00994D12"/>
    <w:rsid w:val="00994F2D"/>
    <w:rsid w:val="00997EF1"/>
    <w:rsid w:val="009A65DF"/>
    <w:rsid w:val="009B1254"/>
    <w:rsid w:val="009B128B"/>
    <w:rsid w:val="009B2EB0"/>
    <w:rsid w:val="009B4403"/>
    <w:rsid w:val="009B79B2"/>
    <w:rsid w:val="009C0CED"/>
    <w:rsid w:val="009C496B"/>
    <w:rsid w:val="009C523A"/>
    <w:rsid w:val="009C7798"/>
    <w:rsid w:val="009D141C"/>
    <w:rsid w:val="009D2CA1"/>
    <w:rsid w:val="009D38E2"/>
    <w:rsid w:val="009D4131"/>
    <w:rsid w:val="009D77BF"/>
    <w:rsid w:val="009D7E29"/>
    <w:rsid w:val="009E3FF6"/>
    <w:rsid w:val="009E4DBF"/>
    <w:rsid w:val="009E697E"/>
    <w:rsid w:val="009F3A78"/>
    <w:rsid w:val="009F5601"/>
    <w:rsid w:val="009F6242"/>
    <w:rsid w:val="00A0240A"/>
    <w:rsid w:val="00A02C31"/>
    <w:rsid w:val="00A04B18"/>
    <w:rsid w:val="00A04CD5"/>
    <w:rsid w:val="00A129D4"/>
    <w:rsid w:val="00A16139"/>
    <w:rsid w:val="00A16F07"/>
    <w:rsid w:val="00A17F8E"/>
    <w:rsid w:val="00A20B43"/>
    <w:rsid w:val="00A21029"/>
    <w:rsid w:val="00A245A9"/>
    <w:rsid w:val="00A30598"/>
    <w:rsid w:val="00A374FC"/>
    <w:rsid w:val="00A4226F"/>
    <w:rsid w:val="00A460BA"/>
    <w:rsid w:val="00A465B7"/>
    <w:rsid w:val="00A4731C"/>
    <w:rsid w:val="00A62C7B"/>
    <w:rsid w:val="00A639DD"/>
    <w:rsid w:val="00A666A9"/>
    <w:rsid w:val="00A6777A"/>
    <w:rsid w:val="00A67D8A"/>
    <w:rsid w:val="00A704B6"/>
    <w:rsid w:val="00A748AD"/>
    <w:rsid w:val="00A7709A"/>
    <w:rsid w:val="00A80471"/>
    <w:rsid w:val="00A80BDC"/>
    <w:rsid w:val="00A90CDC"/>
    <w:rsid w:val="00A92CB8"/>
    <w:rsid w:val="00A95E56"/>
    <w:rsid w:val="00AA070B"/>
    <w:rsid w:val="00AA09F4"/>
    <w:rsid w:val="00AA129D"/>
    <w:rsid w:val="00AA4328"/>
    <w:rsid w:val="00AA4AAA"/>
    <w:rsid w:val="00AA76F4"/>
    <w:rsid w:val="00AA77CB"/>
    <w:rsid w:val="00AB14AD"/>
    <w:rsid w:val="00AB20F0"/>
    <w:rsid w:val="00AB2A28"/>
    <w:rsid w:val="00AB355A"/>
    <w:rsid w:val="00AB7330"/>
    <w:rsid w:val="00AC01C2"/>
    <w:rsid w:val="00AC08A0"/>
    <w:rsid w:val="00AC4442"/>
    <w:rsid w:val="00AC49C8"/>
    <w:rsid w:val="00AD1D6A"/>
    <w:rsid w:val="00AD24F5"/>
    <w:rsid w:val="00AD40DD"/>
    <w:rsid w:val="00AD4A41"/>
    <w:rsid w:val="00AD76AB"/>
    <w:rsid w:val="00AE1842"/>
    <w:rsid w:val="00AE23A7"/>
    <w:rsid w:val="00AE3C7C"/>
    <w:rsid w:val="00AE40DF"/>
    <w:rsid w:val="00AE665F"/>
    <w:rsid w:val="00AE6F9F"/>
    <w:rsid w:val="00AE7C6E"/>
    <w:rsid w:val="00AF2815"/>
    <w:rsid w:val="00AF6A8B"/>
    <w:rsid w:val="00AF74C9"/>
    <w:rsid w:val="00B063F0"/>
    <w:rsid w:val="00B100AD"/>
    <w:rsid w:val="00B16581"/>
    <w:rsid w:val="00B1676A"/>
    <w:rsid w:val="00B177C4"/>
    <w:rsid w:val="00B21208"/>
    <w:rsid w:val="00B224D0"/>
    <w:rsid w:val="00B264E1"/>
    <w:rsid w:val="00B30205"/>
    <w:rsid w:val="00B30C30"/>
    <w:rsid w:val="00B30DED"/>
    <w:rsid w:val="00B31306"/>
    <w:rsid w:val="00B31596"/>
    <w:rsid w:val="00B31A34"/>
    <w:rsid w:val="00B3220A"/>
    <w:rsid w:val="00B42814"/>
    <w:rsid w:val="00B431F2"/>
    <w:rsid w:val="00B4552B"/>
    <w:rsid w:val="00B4785A"/>
    <w:rsid w:val="00B51C37"/>
    <w:rsid w:val="00B5386A"/>
    <w:rsid w:val="00B53AEF"/>
    <w:rsid w:val="00B57860"/>
    <w:rsid w:val="00B61AE3"/>
    <w:rsid w:val="00B6223F"/>
    <w:rsid w:val="00B70E2E"/>
    <w:rsid w:val="00B71895"/>
    <w:rsid w:val="00B7388A"/>
    <w:rsid w:val="00B74B63"/>
    <w:rsid w:val="00B76748"/>
    <w:rsid w:val="00B83936"/>
    <w:rsid w:val="00B84374"/>
    <w:rsid w:val="00B90E30"/>
    <w:rsid w:val="00B9438D"/>
    <w:rsid w:val="00B954EB"/>
    <w:rsid w:val="00B96AED"/>
    <w:rsid w:val="00B97554"/>
    <w:rsid w:val="00BA2F03"/>
    <w:rsid w:val="00BA5E99"/>
    <w:rsid w:val="00BA7FA7"/>
    <w:rsid w:val="00BB4C53"/>
    <w:rsid w:val="00BB51AC"/>
    <w:rsid w:val="00BB59B7"/>
    <w:rsid w:val="00BB6BAC"/>
    <w:rsid w:val="00BC0410"/>
    <w:rsid w:val="00BC604F"/>
    <w:rsid w:val="00BD00A0"/>
    <w:rsid w:val="00BD08F6"/>
    <w:rsid w:val="00BD6EB7"/>
    <w:rsid w:val="00BE2A1C"/>
    <w:rsid w:val="00BE4291"/>
    <w:rsid w:val="00BE7D41"/>
    <w:rsid w:val="00BF053F"/>
    <w:rsid w:val="00BF186C"/>
    <w:rsid w:val="00C0120F"/>
    <w:rsid w:val="00C02270"/>
    <w:rsid w:val="00C0507B"/>
    <w:rsid w:val="00C10554"/>
    <w:rsid w:val="00C10671"/>
    <w:rsid w:val="00C1486D"/>
    <w:rsid w:val="00C151D6"/>
    <w:rsid w:val="00C26CBB"/>
    <w:rsid w:val="00C3097A"/>
    <w:rsid w:val="00C30B6C"/>
    <w:rsid w:val="00C44B8E"/>
    <w:rsid w:val="00C511FF"/>
    <w:rsid w:val="00C52849"/>
    <w:rsid w:val="00C54D27"/>
    <w:rsid w:val="00C607F2"/>
    <w:rsid w:val="00C66BA3"/>
    <w:rsid w:val="00C71E10"/>
    <w:rsid w:val="00C7265E"/>
    <w:rsid w:val="00C76B00"/>
    <w:rsid w:val="00C76EEB"/>
    <w:rsid w:val="00C809A5"/>
    <w:rsid w:val="00C90551"/>
    <w:rsid w:val="00C920DA"/>
    <w:rsid w:val="00C924A3"/>
    <w:rsid w:val="00C937CA"/>
    <w:rsid w:val="00C96125"/>
    <w:rsid w:val="00CA161E"/>
    <w:rsid w:val="00CA1EEE"/>
    <w:rsid w:val="00CA51F7"/>
    <w:rsid w:val="00CB0A01"/>
    <w:rsid w:val="00CB3727"/>
    <w:rsid w:val="00CB37A4"/>
    <w:rsid w:val="00CB440D"/>
    <w:rsid w:val="00CB4943"/>
    <w:rsid w:val="00CB500E"/>
    <w:rsid w:val="00CC3E93"/>
    <w:rsid w:val="00CC5E1D"/>
    <w:rsid w:val="00CC6517"/>
    <w:rsid w:val="00CD2432"/>
    <w:rsid w:val="00CD7540"/>
    <w:rsid w:val="00CE1AB1"/>
    <w:rsid w:val="00CE5007"/>
    <w:rsid w:val="00CF1642"/>
    <w:rsid w:val="00CF33BC"/>
    <w:rsid w:val="00CF403E"/>
    <w:rsid w:val="00CF4B66"/>
    <w:rsid w:val="00CF6F44"/>
    <w:rsid w:val="00D00939"/>
    <w:rsid w:val="00D01F5A"/>
    <w:rsid w:val="00D04F37"/>
    <w:rsid w:val="00D07274"/>
    <w:rsid w:val="00D12942"/>
    <w:rsid w:val="00D1716E"/>
    <w:rsid w:val="00D212BE"/>
    <w:rsid w:val="00D237D9"/>
    <w:rsid w:val="00D25293"/>
    <w:rsid w:val="00D314B7"/>
    <w:rsid w:val="00D31CBE"/>
    <w:rsid w:val="00D37E06"/>
    <w:rsid w:val="00D40297"/>
    <w:rsid w:val="00D42CA0"/>
    <w:rsid w:val="00D465D8"/>
    <w:rsid w:val="00D53230"/>
    <w:rsid w:val="00D5419D"/>
    <w:rsid w:val="00D54C42"/>
    <w:rsid w:val="00D54C7A"/>
    <w:rsid w:val="00D54E3D"/>
    <w:rsid w:val="00D62311"/>
    <w:rsid w:val="00D64E05"/>
    <w:rsid w:val="00D70618"/>
    <w:rsid w:val="00D81F21"/>
    <w:rsid w:val="00D84F75"/>
    <w:rsid w:val="00D901EA"/>
    <w:rsid w:val="00D92FD3"/>
    <w:rsid w:val="00D930BA"/>
    <w:rsid w:val="00D9546D"/>
    <w:rsid w:val="00D96D7E"/>
    <w:rsid w:val="00D97F1A"/>
    <w:rsid w:val="00DA0FB3"/>
    <w:rsid w:val="00DA18E2"/>
    <w:rsid w:val="00DA369C"/>
    <w:rsid w:val="00DA3B6E"/>
    <w:rsid w:val="00DA4665"/>
    <w:rsid w:val="00DA6A59"/>
    <w:rsid w:val="00DB0691"/>
    <w:rsid w:val="00DB128F"/>
    <w:rsid w:val="00DB1FAE"/>
    <w:rsid w:val="00DB4E2E"/>
    <w:rsid w:val="00DB643D"/>
    <w:rsid w:val="00DB6935"/>
    <w:rsid w:val="00DB7581"/>
    <w:rsid w:val="00DB75F3"/>
    <w:rsid w:val="00DC70C1"/>
    <w:rsid w:val="00DD1A9A"/>
    <w:rsid w:val="00DD5AF7"/>
    <w:rsid w:val="00DD5CCC"/>
    <w:rsid w:val="00DD70FF"/>
    <w:rsid w:val="00DE089B"/>
    <w:rsid w:val="00DE50F2"/>
    <w:rsid w:val="00DE55BA"/>
    <w:rsid w:val="00DF19EF"/>
    <w:rsid w:val="00DF57B6"/>
    <w:rsid w:val="00DF591F"/>
    <w:rsid w:val="00DF6722"/>
    <w:rsid w:val="00DF7E18"/>
    <w:rsid w:val="00E03559"/>
    <w:rsid w:val="00E03AD3"/>
    <w:rsid w:val="00E14042"/>
    <w:rsid w:val="00E151B1"/>
    <w:rsid w:val="00E219C3"/>
    <w:rsid w:val="00E272D3"/>
    <w:rsid w:val="00E31D20"/>
    <w:rsid w:val="00E327D5"/>
    <w:rsid w:val="00E3360C"/>
    <w:rsid w:val="00E409F1"/>
    <w:rsid w:val="00E42480"/>
    <w:rsid w:val="00E44804"/>
    <w:rsid w:val="00E466B1"/>
    <w:rsid w:val="00E50231"/>
    <w:rsid w:val="00E51B58"/>
    <w:rsid w:val="00E56B8D"/>
    <w:rsid w:val="00E61220"/>
    <w:rsid w:val="00E64112"/>
    <w:rsid w:val="00E6471B"/>
    <w:rsid w:val="00E6495E"/>
    <w:rsid w:val="00E649E0"/>
    <w:rsid w:val="00E66615"/>
    <w:rsid w:val="00E7000F"/>
    <w:rsid w:val="00E73050"/>
    <w:rsid w:val="00E73C11"/>
    <w:rsid w:val="00E76B73"/>
    <w:rsid w:val="00E77F1A"/>
    <w:rsid w:val="00E80A4E"/>
    <w:rsid w:val="00E82704"/>
    <w:rsid w:val="00E83C12"/>
    <w:rsid w:val="00E849B9"/>
    <w:rsid w:val="00E84C09"/>
    <w:rsid w:val="00E904C8"/>
    <w:rsid w:val="00E95B9C"/>
    <w:rsid w:val="00E97A9E"/>
    <w:rsid w:val="00EA0102"/>
    <w:rsid w:val="00EA1604"/>
    <w:rsid w:val="00EA1BBF"/>
    <w:rsid w:val="00EA3D51"/>
    <w:rsid w:val="00EB0128"/>
    <w:rsid w:val="00EB29A9"/>
    <w:rsid w:val="00EB5DC0"/>
    <w:rsid w:val="00EB77D2"/>
    <w:rsid w:val="00EC2149"/>
    <w:rsid w:val="00ED5034"/>
    <w:rsid w:val="00ED5680"/>
    <w:rsid w:val="00ED5C62"/>
    <w:rsid w:val="00ED6CB5"/>
    <w:rsid w:val="00ED74FC"/>
    <w:rsid w:val="00EE5203"/>
    <w:rsid w:val="00EE5FD7"/>
    <w:rsid w:val="00EF0E46"/>
    <w:rsid w:val="00F02857"/>
    <w:rsid w:val="00F05C4B"/>
    <w:rsid w:val="00F05C64"/>
    <w:rsid w:val="00F061D3"/>
    <w:rsid w:val="00F067C5"/>
    <w:rsid w:val="00F07152"/>
    <w:rsid w:val="00F11158"/>
    <w:rsid w:val="00F142A6"/>
    <w:rsid w:val="00F1587E"/>
    <w:rsid w:val="00F20081"/>
    <w:rsid w:val="00F206C2"/>
    <w:rsid w:val="00F23280"/>
    <w:rsid w:val="00F2499E"/>
    <w:rsid w:val="00F249BC"/>
    <w:rsid w:val="00F256D0"/>
    <w:rsid w:val="00F316C8"/>
    <w:rsid w:val="00F33D57"/>
    <w:rsid w:val="00F35164"/>
    <w:rsid w:val="00F37A94"/>
    <w:rsid w:val="00F41911"/>
    <w:rsid w:val="00F43023"/>
    <w:rsid w:val="00F430BD"/>
    <w:rsid w:val="00F4325A"/>
    <w:rsid w:val="00F43F98"/>
    <w:rsid w:val="00F5143E"/>
    <w:rsid w:val="00F51A72"/>
    <w:rsid w:val="00F548F5"/>
    <w:rsid w:val="00F56781"/>
    <w:rsid w:val="00F56B97"/>
    <w:rsid w:val="00F57279"/>
    <w:rsid w:val="00F632DE"/>
    <w:rsid w:val="00F632F8"/>
    <w:rsid w:val="00F67000"/>
    <w:rsid w:val="00F678F8"/>
    <w:rsid w:val="00F735E4"/>
    <w:rsid w:val="00F759D7"/>
    <w:rsid w:val="00F75D90"/>
    <w:rsid w:val="00F7630E"/>
    <w:rsid w:val="00F7703C"/>
    <w:rsid w:val="00F82F55"/>
    <w:rsid w:val="00F84D45"/>
    <w:rsid w:val="00F87D4D"/>
    <w:rsid w:val="00F9023B"/>
    <w:rsid w:val="00F94B0D"/>
    <w:rsid w:val="00FA0311"/>
    <w:rsid w:val="00FA0930"/>
    <w:rsid w:val="00FA424D"/>
    <w:rsid w:val="00FA6844"/>
    <w:rsid w:val="00FB09DD"/>
    <w:rsid w:val="00FB3624"/>
    <w:rsid w:val="00FB7834"/>
    <w:rsid w:val="00FC4E5A"/>
    <w:rsid w:val="00FC4F9E"/>
    <w:rsid w:val="00FD4B6A"/>
    <w:rsid w:val="00FE16DF"/>
    <w:rsid w:val="00FE6A1B"/>
    <w:rsid w:val="00FE7DF4"/>
    <w:rsid w:val="00FF03A8"/>
    <w:rsid w:val="00FF1B14"/>
    <w:rsid w:val="00FF34D5"/>
    <w:rsid w:val="00FF4ADD"/>
    <w:rsid w:val="00FF63EA"/>
    <w:rsid w:val="00FF79F8"/>
    <w:rsid w:val="01333928"/>
    <w:rsid w:val="014E1D69"/>
    <w:rsid w:val="0161504B"/>
    <w:rsid w:val="01926E29"/>
    <w:rsid w:val="01FF1243"/>
    <w:rsid w:val="01FF72BA"/>
    <w:rsid w:val="022A18FC"/>
    <w:rsid w:val="023ECAD9"/>
    <w:rsid w:val="024E6120"/>
    <w:rsid w:val="02B38896"/>
    <w:rsid w:val="02C129AC"/>
    <w:rsid w:val="02D76264"/>
    <w:rsid w:val="031937E9"/>
    <w:rsid w:val="03278003"/>
    <w:rsid w:val="0369C663"/>
    <w:rsid w:val="0381DE4A"/>
    <w:rsid w:val="03D29FFD"/>
    <w:rsid w:val="040C5EC6"/>
    <w:rsid w:val="0424D94A"/>
    <w:rsid w:val="0430DD40"/>
    <w:rsid w:val="049AC2C5"/>
    <w:rsid w:val="050FF99B"/>
    <w:rsid w:val="05367885"/>
    <w:rsid w:val="056B6F9F"/>
    <w:rsid w:val="05ABA1CC"/>
    <w:rsid w:val="06961040"/>
    <w:rsid w:val="06EB8214"/>
    <w:rsid w:val="0707AE3F"/>
    <w:rsid w:val="074EC6ED"/>
    <w:rsid w:val="075CF9E0"/>
    <w:rsid w:val="07E9C963"/>
    <w:rsid w:val="0873BBE6"/>
    <w:rsid w:val="0915C0F0"/>
    <w:rsid w:val="096CE547"/>
    <w:rsid w:val="09F2A121"/>
    <w:rsid w:val="0A624176"/>
    <w:rsid w:val="0AA59638"/>
    <w:rsid w:val="0AC352F3"/>
    <w:rsid w:val="0ACC747A"/>
    <w:rsid w:val="0B00B6D2"/>
    <w:rsid w:val="0B192C2F"/>
    <w:rsid w:val="0BA112EF"/>
    <w:rsid w:val="0C436B8C"/>
    <w:rsid w:val="0C4B0CA6"/>
    <w:rsid w:val="0C540CA7"/>
    <w:rsid w:val="0C7F7F43"/>
    <w:rsid w:val="0C81AC80"/>
    <w:rsid w:val="0C9A4037"/>
    <w:rsid w:val="0CD8A444"/>
    <w:rsid w:val="0D24ABAF"/>
    <w:rsid w:val="0D473721"/>
    <w:rsid w:val="0D87FCD5"/>
    <w:rsid w:val="0DC1467D"/>
    <w:rsid w:val="0DE84A90"/>
    <w:rsid w:val="0E17D261"/>
    <w:rsid w:val="0E1DD625"/>
    <w:rsid w:val="0E23CC9E"/>
    <w:rsid w:val="0E5100E4"/>
    <w:rsid w:val="0E6B1F3D"/>
    <w:rsid w:val="0ED1AEEC"/>
    <w:rsid w:val="0F15AAAE"/>
    <w:rsid w:val="0F3D0729"/>
    <w:rsid w:val="0F423431"/>
    <w:rsid w:val="0F63971F"/>
    <w:rsid w:val="0FAC2AC4"/>
    <w:rsid w:val="102527E7"/>
    <w:rsid w:val="10485E55"/>
    <w:rsid w:val="104B8584"/>
    <w:rsid w:val="105FF062"/>
    <w:rsid w:val="106C1D3E"/>
    <w:rsid w:val="10886BBB"/>
    <w:rsid w:val="1093AB8C"/>
    <w:rsid w:val="1111EE41"/>
    <w:rsid w:val="11320276"/>
    <w:rsid w:val="113E7DFB"/>
    <w:rsid w:val="119B0C23"/>
    <w:rsid w:val="11BBDAE3"/>
    <w:rsid w:val="11BD05AE"/>
    <w:rsid w:val="12070EEB"/>
    <w:rsid w:val="137281B7"/>
    <w:rsid w:val="1379EEE3"/>
    <w:rsid w:val="1397C186"/>
    <w:rsid w:val="139CC426"/>
    <w:rsid w:val="13E91C68"/>
    <w:rsid w:val="141778DB"/>
    <w:rsid w:val="141B2A4B"/>
    <w:rsid w:val="142B53C5"/>
    <w:rsid w:val="146BCE4B"/>
    <w:rsid w:val="148283E4"/>
    <w:rsid w:val="1485A2F3"/>
    <w:rsid w:val="153366B5"/>
    <w:rsid w:val="1554206C"/>
    <w:rsid w:val="162D3D43"/>
    <w:rsid w:val="1689A46F"/>
    <w:rsid w:val="16945E32"/>
    <w:rsid w:val="16A1EF96"/>
    <w:rsid w:val="16D326AC"/>
    <w:rsid w:val="16E9BBD1"/>
    <w:rsid w:val="16F85BED"/>
    <w:rsid w:val="17AB875C"/>
    <w:rsid w:val="183A1598"/>
    <w:rsid w:val="1850C6BA"/>
    <w:rsid w:val="185E90F4"/>
    <w:rsid w:val="186DC942"/>
    <w:rsid w:val="1872298A"/>
    <w:rsid w:val="187A79BE"/>
    <w:rsid w:val="18BD8869"/>
    <w:rsid w:val="1993EC13"/>
    <w:rsid w:val="19AAEF47"/>
    <w:rsid w:val="19B0B03A"/>
    <w:rsid w:val="19B26C49"/>
    <w:rsid w:val="1A48471B"/>
    <w:rsid w:val="1AE0B706"/>
    <w:rsid w:val="1B053F63"/>
    <w:rsid w:val="1B0A810E"/>
    <w:rsid w:val="1B44C2B6"/>
    <w:rsid w:val="1B59F990"/>
    <w:rsid w:val="1B7B26F3"/>
    <w:rsid w:val="1B86C217"/>
    <w:rsid w:val="1BA2726A"/>
    <w:rsid w:val="1BD09D93"/>
    <w:rsid w:val="1C08DA41"/>
    <w:rsid w:val="1C2F4DAE"/>
    <w:rsid w:val="1C364AD3"/>
    <w:rsid w:val="1C76FF83"/>
    <w:rsid w:val="1C94E178"/>
    <w:rsid w:val="1CD653D2"/>
    <w:rsid w:val="1D0B7260"/>
    <w:rsid w:val="1D49324E"/>
    <w:rsid w:val="1D64F938"/>
    <w:rsid w:val="1DBDB011"/>
    <w:rsid w:val="1DDE83D8"/>
    <w:rsid w:val="1DEBB27B"/>
    <w:rsid w:val="1F07AEB8"/>
    <w:rsid w:val="1F68FF91"/>
    <w:rsid w:val="1FD51B1D"/>
    <w:rsid w:val="20482A00"/>
    <w:rsid w:val="2052A1C5"/>
    <w:rsid w:val="2063F3F4"/>
    <w:rsid w:val="20917DC1"/>
    <w:rsid w:val="20C3B99D"/>
    <w:rsid w:val="20F29F4F"/>
    <w:rsid w:val="217B1109"/>
    <w:rsid w:val="21C96087"/>
    <w:rsid w:val="21D71A48"/>
    <w:rsid w:val="21FE13C1"/>
    <w:rsid w:val="220ED0E6"/>
    <w:rsid w:val="222459E7"/>
    <w:rsid w:val="2244AFE1"/>
    <w:rsid w:val="231B4F4A"/>
    <w:rsid w:val="23864F09"/>
    <w:rsid w:val="23BDFA42"/>
    <w:rsid w:val="23C5CA87"/>
    <w:rsid w:val="23F899B0"/>
    <w:rsid w:val="24020FA1"/>
    <w:rsid w:val="2418A4D8"/>
    <w:rsid w:val="24208340"/>
    <w:rsid w:val="2456B343"/>
    <w:rsid w:val="245883A1"/>
    <w:rsid w:val="2481B0A9"/>
    <w:rsid w:val="24E46171"/>
    <w:rsid w:val="2504DC0C"/>
    <w:rsid w:val="2540B299"/>
    <w:rsid w:val="25838165"/>
    <w:rsid w:val="2625D1B2"/>
    <w:rsid w:val="26ACE74C"/>
    <w:rsid w:val="26D182A0"/>
    <w:rsid w:val="26E38B0F"/>
    <w:rsid w:val="2775A777"/>
    <w:rsid w:val="27F9AA63"/>
    <w:rsid w:val="280B669B"/>
    <w:rsid w:val="28346BBB"/>
    <w:rsid w:val="2840E1B5"/>
    <w:rsid w:val="28DA649C"/>
    <w:rsid w:val="29522AE1"/>
    <w:rsid w:val="2990C4B9"/>
    <w:rsid w:val="2A4C469C"/>
    <w:rsid w:val="2A75C214"/>
    <w:rsid w:val="2A7EE245"/>
    <w:rsid w:val="2A97BD9C"/>
    <w:rsid w:val="2AA46E5E"/>
    <w:rsid w:val="2AE8B46C"/>
    <w:rsid w:val="2BF95AA9"/>
    <w:rsid w:val="2C48655D"/>
    <w:rsid w:val="2C55B7AF"/>
    <w:rsid w:val="2C80F38D"/>
    <w:rsid w:val="2C8FCDA7"/>
    <w:rsid w:val="2CD3ACC0"/>
    <w:rsid w:val="2D9422AC"/>
    <w:rsid w:val="2E538EC7"/>
    <w:rsid w:val="2E7576F7"/>
    <w:rsid w:val="2E95F98C"/>
    <w:rsid w:val="2F042707"/>
    <w:rsid w:val="2F859F74"/>
    <w:rsid w:val="2FA95D56"/>
    <w:rsid w:val="2FF44D0F"/>
    <w:rsid w:val="300B7597"/>
    <w:rsid w:val="30182041"/>
    <w:rsid w:val="308EF82D"/>
    <w:rsid w:val="30B7B36F"/>
    <w:rsid w:val="30CEF06C"/>
    <w:rsid w:val="3109FE9C"/>
    <w:rsid w:val="317A0E2D"/>
    <w:rsid w:val="31CE970B"/>
    <w:rsid w:val="31E03CC9"/>
    <w:rsid w:val="31FD39D8"/>
    <w:rsid w:val="320A3821"/>
    <w:rsid w:val="320C864F"/>
    <w:rsid w:val="32632EDE"/>
    <w:rsid w:val="32A8BD47"/>
    <w:rsid w:val="333AC24C"/>
    <w:rsid w:val="33762960"/>
    <w:rsid w:val="33B8BE12"/>
    <w:rsid w:val="33D61172"/>
    <w:rsid w:val="33F4A6F7"/>
    <w:rsid w:val="343AE4DF"/>
    <w:rsid w:val="3451B23D"/>
    <w:rsid w:val="3484EBE4"/>
    <w:rsid w:val="349FE7A7"/>
    <w:rsid w:val="34D6959D"/>
    <w:rsid w:val="34E4A1B3"/>
    <w:rsid w:val="34F3E6E1"/>
    <w:rsid w:val="353A097F"/>
    <w:rsid w:val="353F01B3"/>
    <w:rsid w:val="356CFC76"/>
    <w:rsid w:val="358B0912"/>
    <w:rsid w:val="367B835E"/>
    <w:rsid w:val="367E2F00"/>
    <w:rsid w:val="369BD51E"/>
    <w:rsid w:val="36A26EAE"/>
    <w:rsid w:val="36D19E19"/>
    <w:rsid w:val="37445384"/>
    <w:rsid w:val="375E7F04"/>
    <w:rsid w:val="3822CA58"/>
    <w:rsid w:val="3859ECAF"/>
    <w:rsid w:val="38833688"/>
    <w:rsid w:val="388E32A3"/>
    <w:rsid w:val="389E28FD"/>
    <w:rsid w:val="39201872"/>
    <w:rsid w:val="3922F77E"/>
    <w:rsid w:val="39C4D7A7"/>
    <w:rsid w:val="39FFF736"/>
    <w:rsid w:val="3AF37FED"/>
    <w:rsid w:val="3AF391EC"/>
    <w:rsid w:val="3B24A351"/>
    <w:rsid w:val="3B758677"/>
    <w:rsid w:val="3B7DB844"/>
    <w:rsid w:val="3B7F3BA3"/>
    <w:rsid w:val="3B80891A"/>
    <w:rsid w:val="3B8F9C1B"/>
    <w:rsid w:val="3C47E6B6"/>
    <w:rsid w:val="3C58B28A"/>
    <w:rsid w:val="3C759C2B"/>
    <w:rsid w:val="3CDBB407"/>
    <w:rsid w:val="3D2CC4FA"/>
    <w:rsid w:val="3D53EB4A"/>
    <w:rsid w:val="3D716D2A"/>
    <w:rsid w:val="3D9B92EC"/>
    <w:rsid w:val="3DBEF786"/>
    <w:rsid w:val="3E86E937"/>
    <w:rsid w:val="3EED37FD"/>
    <w:rsid w:val="3F2B34F7"/>
    <w:rsid w:val="3F76C9C4"/>
    <w:rsid w:val="3F8F1F26"/>
    <w:rsid w:val="4012C3A0"/>
    <w:rsid w:val="407BD0D1"/>
    <w:rsid w:val="407D0A7D"/>
    <w:rsid w:val="4099C47D"/>
    <w:rsid w:val="40E71415"/>
    <w:rsid w:val="40ECBD6A"/>
    <w:rsid w:val="41150B83"/>
    <w:rsid w:val="411DFE81"/>
    <w:rsid w:val="413C35A5"/>
    <w:rsid w:val="418D52F7"/>
    <w:rsid w:val="41954110"/>
    <w:rsid w:val="41B793C0"/>
    <w:rsid w:val="42655280"/>
    <w:rsid w:val="427FBA3D"/>
    <w:rsid w:val="42B92893"/>
    <w:rsid w:val="4370E335"/>
    <w:rsid w:val="43A1C04E"/>
    <w:rsid w:val="43A4434A"/>
    <w:rsid w:val="447F1905"/>
    <w:rsid w:val="44C4B9F5"/>
    <w:rsid w:val="452E788E"/>
    <w:rsid w:val="4545962A"/>
    <w:rsid w:val="454B2BD4"/>
    <w:rsid w:val="45F2A9A3"/>
    <w:rsid w:val="45FACC5B"/>
    <w:rsid w:val="45FD6BB3"/>
    <w:rsid w:val="463A389C"/>
    <w:rsid w:val="46410E1E"/>
    <w:rsid w:val="4647AFAC"/>
    <w:rsid w:val="4673F8BE"/>
    <w:rsid w:val="4689E7E1"/>
    <w:rsid w:val="46C124D5"/>
    <w:rsid w:val="47417004"/>
    <w:rsid w:val="474F0852"/>
    <w:rsid w:val="474F7E4C"/>
    <w:rsid w:val="478B481C"/>
    <w:rsid w:val="479242EB"/>
    <w:rsid w:val="47D121F0"/>
    <w:rsid w:val="47DDFA3B"/>
    <w:rsid w:val="47E49F00"/>
    <w:rsid w:val="4843DC3E"/>
    <w:rsid w:val="4859C1B2"/>
    <w:rsid w:val="4918EA43"/>
    <w:rsid w:val="4A215C7F"/>
    <w:rsid w:val="4AA26F29"/>
    <w:rsid w:val="4ACD852E"/>
    <w:rsid w:val="4AD13DFC"/>
    <w:rsid w:val="4AEF9314"/>
    <w:rsid w:val="4BA9E8A7"/>
    <w:rsid w:val="4C1EA695"/>
    <w:rsid w:val="4C3E31AC"/>
    <w:rsid w:val="4C4DE33F"/>
    <w:rsid w:val="4C646EB1"/>
    <w:rsid w:val="4C80125D"/>
    <w:rsid w:val="4CB1415D"/>
    <w:rsid w:val="4D125511"/>
    <w:rsid w:val="4DEB4A5A"/>
    <w:rsid w:val="4E085050"/>
    <w:rsid w:val="4E56799F"/>
    <w:rsid w:val="4E62654F"/>
    <w:rsid w:val="4EFE5DD1"/>
    <w:rsid w:val="4EFE6531"/>
    <w:rsid w:val="4FA76F51"/>
    <w:rsid w:val="4FCBC4C9"/>
    <w:rsid w:val="4FF1BC2E"/>
    <w:rsid w:val="5015E943"/>
    <w:rsid w:val="501BC4F2"/>
    <w:rsid w:val="5036FCBC"/>
    <w:rsid w:val="5046A94F"/>
    <w:rsid w:val="50BC5482"/>
    <w:rsid w:val="510D89C9"/>
    <w:rsid w:val="513524BD"/>
    <w:rsid w:val="516DEC81"/>
    <w:rsid w:val="517891C3"/>
    <w:rsid w:val="5183AFC3"/>
    <w:rsid w:val="5198AD9E"/>
    <w:rsid w:val="51B79207"/>
    <w:rsid w:val="51BA3164"/>
    <w:rsid w:val="51E44017"/>
    <w:rsid w:val="51F4F4CA"/>
    <w:rsid w:val="527031FA"/>
    <w:rsid w:val="52BEBE30"/>
    <w:rsid w:val="52F9E25A"/>
    <w:rsid w:val="5316D36B"/>
    <w:rsid w:val="53E2717F"/>
    <w:rsid w:val="544DE097"/>
    <w:rsid w:val="54723F08"/>
    <w:rsid w:val="54D0A60C"/>
    <w:rsid w:val="55004109"/>
    <w:rsid w:val="5512D337"/>
    <w:rsid w:val="55175F34"/>
    <w:rsid w:val="5521ED57"/>
    <w:rsid w:val="558C4348"/>
    <w:rsid w:val="561386C2"/>
    <w:rsid w:val="56440DAC"/>
    <w:rsid w:val="56902EFB"/>
    <w:rsid w:val="573268BF"/>
    <w:rsid w:val="5759E5B7"/>
    <w:rsid w:val="57A2E91C"/>
    <w:rsid w:val="588E403C"/>
    <w:rsid w:val="589F01EA"/>
    <w:rsid w:val="58C4366C"/>
    <w:rsid w:val="58EA023E"/>
    <w:rsid w:val="59561B87"/>
    <w:rsid w:val="59DD9625"/>
    <w:rsid w:val="5A2BF240"/>
    <w:rsid w:val="5A2FE222"/>
    <w:rsid w:val="5B1BAFEB"/>
    <w:rsid w:val="5B4C9858"/>
    <w:rsid w:val="5BC6DD11"/>
    <w:rsid w:val="5BE06A28"/>
    <w:rsid w:val="5BF71B39"/>
    <w:rsid w:val="5BF888A0"/>
    <w:rsid w:val="5C1D587E"/>
    <w:rsid w:val="5C5C6526"/>
    <w:rsid w:val="5CADD441"/>
    <w:rsid w:val="5CCEF41A"/>
    <w:rsid w:val="5CD51A70"/>
    <w:rsid w:val="5CD632AA"/>
    <w:rsid w:val="5CE90A30"/>
    <w:rsid w:val="5CF3AAE1"/>
    <w:rsid w:val="5D02439C"/>
    <w:rsid w:val="5DD305DD"/>
    <w:rsid w:val="5DF718F0"/>
    <w:rsid w:val="5E0821E9"/>
    <w:rsid w:val="5E5C2191"/>
    <w:rsid w:val="5E5DB3A4"/>
    <w:rsid w:val="5EBAFB61"/>
    <w:rsid w:val="5F148B0B"/>
    <w:rsid w:val="5F1C6B3B"/>
    <w:rsid w:val="5F392217"/>
    <w:rsid w:val="5F5E985C"/>
    <w:rsid w:val="5F6896C5"/>
    <w:rsid w:val="6014BC9D"/>
    <w:rsid w:val="6022270B"/>
    <w:rsid w:val="603EBC70"/>
    <w:rsid w:val="606B808E"/>
    <w:rsid w:val="60BC74A1"/>
    <w:rsid w:val="60BCAD3C"/>
    <w:rsid w:val="6135BEFC"/>
    <w:rsid w:val="619CC82C"/>
    <w:rsid w:val="61BEC526"/>
    <w:rsid w:val="6206BCF4"/>
    <w:rsid w:val="62166547"/>
    <w:rsid w:val="62173180"/>
    <w:rsid w:val="62210B63"/>
    <w:rsid w:val="627DA9B1"/>
    <w:rsid w:val="62F1CF58"/>
    <w:rsid w:val="63650D80"/>
    <w:rsid w:val="639D6E03"/>
    <w:rsid w:val="63BB6D96"/>
    <w:rsid w:val="63BF2F95"/>
    <w:rsid w:val="63D52E09"/>
    <w:rsid w:val="63EEB907"/>
    <w:rsid w:val="640E32C2"/>
    <w:rsid w:val="642BA549"/>
    <w:rsid w:val="644F1787"/>
    <w:rsid w:val="647957F1"/>
    <w:rsid w:val="649A66FB"/>
    <w:rsid w:val="649CE8E9"/>
    <w:rsid w:val="64A6C3F3"/>
    <w:rsid w:val="64F20272"/>
    <w:rsid w:val="655ED7EE"/>
    <w:rsid w:val="659525B6"/>
    <w:rsid w:val="6598A708"/>
    <w:rsid w:val="65A82DC1"/>
    <w:rsid w:val="66055C17"/>
    <w:rsid w:val="661C9338"/>
    <w:rsid w:val="66E724A8"/>
    <w:rsid w:val="66EE6E15"/>
    <w:rsid w:val="66EF8696"/>
    <w:rsid w:val="66F05E86"/>
    <w:rsid w:val="66F3F083"/>
    <w:rsid w:val="6834A8AD"/>
    <w:rsid w:val="68371DC8"/>
    <w:rsid w:val="688AD8F3"/>
    <w:rsid w:val="688C1FAF"/>
    <w:rsid w:val="68B446AA"/>
    <w:rsid w:val="69526F4D"/>
    <w:rsid w:val="69FBB6D5"/>
    <w:rsid w:val="6A0B9AEC"/>
    <w:rsid w:val="6A1C48D3"/>
    <w:rsid w:val="6A24C3BF"/>
    <w:rsid w:val="6A252CC3"/>
    <w:rsid w:val="6A2FEAFB"/>
    <w:rsid w:val="6A8114EE"/>
    <w:rsid w:val="6AA376F5"/>
    <w:rsid w:val="6B5F39E1"/>
    <w:rsid w:val="6B8F4354"/>
    <w:rsid w:val="6BD6A27C"/>
    <w:rsid w:val="6BE28D31"/>
    <w:rsid w:val="6C5CFB2B"/>
    <w:rsid w:val="6C755B79"/>
    <w:rsid w:val="6CA805B7"/>
    <w:rsid w:val="6D0AFFEA"/>
    <w:rsid w:val="6D17F37B"/>
    <w:rsid w:val="6D20370C"/>
    <w:rsid w:val="6D25DC61"/>
    <w:rsid w:val="6D35D74F"/>
    <w:rsid w:val="6D61C079"/>
    <w:rsid w:val="6D7EF94E"/>
    <w:rsid w:val="6D7F2747"/>
    <w:rsid w:val="6DA497BB"/>
    <w:rsid w:val="6DD9406E"/>
    <w:rsid w:val="6E0DC0DA"/>
    <w:rsid w:val="6E4CFBBE"/>
    <w:rsid w:val="6E6237F8"/>
    <w:rsid w:val="6E65DB56"/>
    <w:rsid w:val="6E7EC999"/>
    <w:rsid w:val="6EABA447"/>
    <w:rsid w:val="6EAF6E02"/>
    <w:rsid w:val="6ECB2F0E"/>
    <w:rsid w:val="6EE04A5C"/>
    <w:rsid w:val="6F0CD13E"/>
    <w:rsid w:val="6F226009"/>
    <w:rsid w:val="6F3B74AE"/>
    <w:rsid w:val="6F8BD224"/>
    <w:rsid w:val="6F939509"/>
    <w:rsid w:val="6FF0B309"/>
    <w:rsid w:val="701892DD"/>
    <w:rsid w:val="70919993"/>
    <w:rsid w:val="7097ED03"/>
    <w:rsid w:val="7133980D"/>
    <w:rsid w:val="71715FB6"/>
    <w:rsid w:val="71C34EC3"/>
    <w:rsid w:val="72D9CF90"/>
    <w:rsid w:val="730FEC1B"/>
    <w:rsid w:val="731273AC"/>
    <w:rsid w:val="73351AE1"/>
    <w:rsid w:val="7354EE0B"/>
    <w:rsid w:val="735FC59A"/>
    <w:rsid w:val="73CD4CF3"/>
    <w:rsid w:val="74015312"/>
    <w:rsid w:val="7425F9D8"/>
    <w:rsid w:val="7451AD33"/>
    <w:rsid w:val="7465A1CF"/>
    <w:rsid w:val="74827C71"/>
    <w:rsid w:val="74BF405E"/>
    <w:rsid w:val="74E09EFE"/>
    <w:rsid w:val="75A1C5F0"/>
    <w:rsid w:val="75BBE2FE"/>
    <w:rsid w:val="768F4150"/>
    <w:rsid w:val="7695D2DC"/>
    <w:rsid w:val="76EA3BB3"/>
    <w:rsid w:val="771D235B"/>
    <w:rsid w:val="772F52E6"/>
    <w:rsid w:val="773B0CE0"/>
    <w:rsid w:val="779290CE"/>
    <w:rsid w:val="77ACE203"/>
    <w:rsid w:val="785A22E8"/>
    <w:rsid w:val="78D686AD"/>
    <w:rsid w:val="78F9E889"/>
    <w:rsid w:val="79074A63"/>
    <w:rsid w:val="792907A4"/>
    <w:rsid w:val="79604C69"/>
    <w:rsid w:val="79BADA3F"/>
    <w:rsid w:val="79FD5276"/>
    <w:rsid w:val="7A64882E"/>
    <w:rsid w:val="7A87E0A2"/>
    <w:rsid w:val="7AA45824"/>
    <w:rsid w:val="7B91F6F9"/>
    <w:rsid w:val="7B9D0927"/>
    <w:rsid w:val="7BA97CE5"/>
    <w:rsid w:val="7BDF1C49"/>
    <w:rsid w:val="7BF6375D"/>
    <w:rsid w:val="7C445291"/>
    <w:rsid w:val="7C478059"/>
    <w:rsid w:val="7C675702"/>
    <w:rsid w:val="7C81F5E9"/>
    <w:rsid w:val="7D46A9F3"/>
    <w:rsid w:val="7D4BA93D"/>
    <w:rsid w:val="7D5D2D87"/>
    <w:rsid w:val="7D8E0038"/>
    <w:rsid w:val="7DB1AD9C"/>
    <w:rsid w:val="7E0743B4"/>
    <w:rsid w:val="7EB18352"/>
    <w:rsid w:val="7F5B60CA"/>
    <w:rsid w:val="7F5EB716"/>
    <w:rsid w:val="7F8E7DE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BEE9"/>
  <w15:chartTrackingRefBased/>
  <w15:docId w15:val="{A8A6B604-E41E-48B7-818D-AF314E148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GB" w:eastAsia="en-US"/>
    </w:rPr>
  </w:style>
  <w:style w:type="paragraph" w:styleId="Heading1">
    <w:name w:val="heading 1"/>
    <w:basedOn w:val="Normal"/>
    <w:next w:val="Normal"/>
    <w:link w:val="Heading1Char"/>
    <w:qFormat/>
    <w:rsid w:val="009E697E"/>
    <w:pPr>
      <w:numPr>
        <w:numId w:val="2"/>
      </w:numPr>
      <w:spacing w:after="0" w:line="288" w:lineRule="auto"/>
      <w:jc w:val="both"/>
      <w:outlineLvl w:val="0"/>
    </w:pPr>
    <w:rPr>
      <w:rFonts w:ascii="Times New Roman" w:eastAsia="Times New Roman" w:hAnsi="Times New Roman"/>
      <w:kern w:val="28"/>
    </w:rPr>
  </w:style>
  <w:style w:type="paragraph" w:styleId="Heading2">
    <w:name w:val="heading 2"/>
    <w:basedOn w:val="Normal"/>
    <w:next w:val="Normal"/>
    <w:link w:val="Heading2Char"/>
    <w:qFormat/>
    <w:rsid w:val="009E697E"/>
    <w:pPr>
      <w:numPr>
        <w:ilvl w:val="1"/>
        <w:numId w:val="2"/>
      </w:numPr>
      <w:spacing w:after="0" w:line="288" w:lineRule="auto"/>
      <w:jc w:val="both"/>
      <w:outlineLvl w:val="1"/>
    </w:pPr>
    <w:rPr>
      <w:rFonts w:ascii="Times New Roman" w:eastAsia="Times New Roman" w:hAnsi="Times New Roman"/>
    </w:rPr>
  </w:style>
  <w:style w:type="paragraph" w:styleId="Heading3">
    <w:name w:val="heading 3"/>
    <w:basedOn w:val="Normal"/>
    <w:next w:val="Normal"/>
    <w:link w:val="Heading3Char"/>
    <w:qFormat/>
    <w:rsid w:val="009E697E"/>
    <w:pPr>
      <w:numPr>
        <w:ilvl w:val="2"/>
        <w:numId w:val="2"/>
      </w:numPr>
      <w:spacing w:after="0" w:line="288" w:lineRule="auto"/>
      <w:jc w:val="both"/>
      <w:outlineLvl w:val="2"/>
    </w:pPr>
    <w:rPr>
      <w:rFonts w:ascii="Times New Roman" w:eastAsia="Times New Roman" w:hAnsi="Times New Roman"/>
    </w:rPr>
  </w:style>
  <w:style w:type="paragraph" w:styleId="Heading4">
    <w:name w:val="heading 4"/>
    <w:basedOn w:val="Normal"/>
    <w:next w:val="Normal"/>
    <w:link w:val="Heading4Char"/>
    <w:qFormat/>
    <w:rsid w:val="009E697E"/>
    <w:pPr>
      <w:numPr>
        <w:ilvl w:val="3"/>
        <w:numId w:val="2"/>
      </w:numPr>
      <w:spacing w:after="0" w:line="288" w:lineRule="auto"/>
      <w:jc w:val="both"/>
      <w:outlineLvl w:val="3"/>
    </w:pPr>
    <w:rPr>
      <w:rFonts w:ascii="Times New Roman" w:eastAsia="Times New Roman" w:hAnsi="Times New Roman"/>
    </w:rPr>
  </w:style>
  <w:style w:type="paragraph" w:styleId="Heading5">
    <w:name w:val="heading 5"/>
    <w:basedOn w:val="Normal"/>
    <w:next w:val="Normal"/>
    <w:link w:val="Heading5Char"/>
    <w:qFormat/>
    <w:rsid w:val="009E697E"/>
    <w:pPr>
      <w:numPr>
        <w:ilvl w:val="4"/>
        <w:numId w:val="2"/>
      </w:numPr>
      <w:spacing w:after="0" w:line="288" w:lineRule="auto"/>
      <w:jc w:val="both"/>
      <w:outlineLvl w:val="4"/>
    </w:pPr>
    <w:rPr>
      <w:rFonts w:ascii="Times New Roman" w:eastAsia="Times New Roman" w:hAnsi="Times New Roman"/>
    </w:rPr>
  </w:style>
  <w:style w:type="paragraph" w:styleId="Heading6">
    <w:name w:val="heading 6"/>
    <w:basedOn w:val="Normal"/>
    <w:next w:val="Normal"/>
    <w:link w:val="Heading6Char"/>
    <w:qFormat/>
    <w:rsid w:val="009E697E"/>
    <w:pPr>
      <w:numPr>
        <w:ilvl w:val="5"/>
        <w:numId w:val="2"/>
      </w:numPr>
      <w:spacing w:after="0" w:line="288" w:lineRule="auto"/>
      <w:jc w:val="both"/>
      <w:outlineLvl w:val="5"/>
    </w:pPr>
    <w:rPr>
      <w:rFonts w:ascii="Times New Roman" w:eastAsia="Times New Roman" w:hAnsi="Times New Roman"/>
    </w:rPr>
  </w:style>
  <w:style w:type="paragraph" w:styleId="Heading7">
    <w:name w:val="heading 7"/>
    <w:basedOn w:val="Normal"/>
    <w:next w:val="Normal"/>
    <w:link w:val="Heading7Char"/>
    <w:qFormat/>
    <w:rsid w:val="009E697E"/>
    <w:pPr>
      <w:numPr>
        <w:ilvl w:val="6"/>
        <w:numId w:val="2"/>
      </w:numPr>
      <w:spacing w:after="0" w:line="288" w:lineRule="auto"/>
      <w:jc w:val="both"/>
      <w:outlineLvl w:val="6"/>
    </w:pPr>
    <w:rPr>
      <w:rFonts w:ascii="Times New Roman" w:eastAsia="Times New Roman" w:hAnsi="Times New Roman"/>
    </w:rPr>
  </w:style>
  <w:style w:type="paragraph" w:styleId="Heading8">
    <w:name w:val="heading 8"/>
    <w:basedOn w:val="Normal"/>
    <w:next w:val="Normal"/>
    <w:link w:val="Heading8Char"/>
    <w:qFormat/>
    <w:rsid w:val="009E697E"/>
    <w:pPr>
      <w:numPr>
        <w:ilvl w:val="7"/>
        <w:numId w:val="2"/>
      </w:numPr>
      <w:spacing w:after="0" w:line="288" w:lineRule="auto"/>
      <w:jc w:val="both"/>
      <w:outlineLvl w:val="7"/>
    </w:pPr>
    <w:rPr>
      <w:rFonts w:ascii="Times New Roman" w:eastAsia="Times New Roman" w:hAnsi="Times New Roman"/>
    </w:rPr>
  </w:style>
  <w:style w:type="paragraph" w:styleId="Heading9">
    <w:name w:val="heading 9"/>
    <w:basedOn w:val="Normal"/>
    <w:next w:val="Normal"/>
    <w:link w:val="Heading9Char"/>
    <w:qFormat/>
    <w:rsid w:val="009E697E"/>
    <w:pPr>
      <w:numPr>
        <w:ilvl w:val="8"/>
        <w:numId w:val="2"/>
      </w:numPr>
      <w:spacing w:after="0" w:line="288" w:lineRule="auto"/>
      <w:jc w:val="both"/>
      <w:outlineLvl w:val="8"/>
    </w:pPr>
    <w:rPr>
      <w:rFonts w:ascii="Times New Roman" w:eastAsia="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0864B8"/>
    <w:rPr>
      <w:sz w:val="22"/>
      <w:szCs w:val="22"/>
      <w:lang w:val="en-GB" w:eastAsia="en-US"/>
    </w:rPr>
  </w:style>
  <w:style w:type="paragraph" w:styleId="Header">
    <w:name w:val="header"/>
    <w:basedOn w:val="Normal"/>
    <w:link w:val="HeaderChar"/>
    <w:uiPriority w:val="99"/>
    <w:unhideWhenUsed/>
    <w:rsid w:val="008D1B8E"/>
    <w:pPr>
      <w:tabs>
        <w:tab w:val="center" w:pos="4513"/>
        <w:tab w:val="right" w:pos="9026"/>
      </w:tabs>
    </w:pPr>
  </w:style>
  <w:style w:type="character" w:customStyle="1" w:styleId="HeaderChar">
    <w:name w:val="Header Char"/>
    <w:link w:val="Header"/>
    <w:uiPriority w:val="99"/>
    <w:rsid w:val="008D1B8E"/>
    <w:rPr>
      <w:sz w:val="22"/>
      <w:szCs w:val="22"/>
      <w:lang w:val="en-GB" w:eastAsia="en-US"/>
    </w:rPr>
  </w:style>
  <w:style w:type="paragraph" w:styleId="Footer">
    <w:name w:val="footer"/>
    <w:basedOn w:val="Normal"/>
    <w:link w:val="FooterChar"/>
    <w:uiPriority w:val="99"/>
    <w:unhideWhenUsed/>
    <w:rsid w:val="008D1B8E"/>
    <w:pPr>
      <w:tabs>
        <w:tab w:val="center" w:pos="4513"/>
        <w:tab w:val="right" w:pos="9026"/>
      </w:tabs>
    </w:pPr>
  </w:style>
  <w:style w:type="character" w:customStyle="1" w:styleId="FooterChar">
    <w:name w:val="Footer Char"/>
    <w:link w:val="Footer"/>
    <w:uiPriority w:val="99"/>
    <w:rsid w:val="008D1B8E"/>
    <w:rPr>
      <w:sz w:val="22"/>
      <w:szCs w:val="22"/>
      <w:lang w:val="en-GB" w:eastAsia="en-US"/>
    </w:rPr>
  </w:style>
  <w:style w:type="character" w:customStyle="1" w:styleId="Heading1Char">
    <w:name w:val="Heading 1 Char"/>
    <w:link w:val="Heading1"/>
    <w:rsid w:val="009E697E"/>
    <w:rPr>
      <w:rFonts w:ascii="Times New Roman" w:eastAsia="Times New Roman" w:hAnsi="Times New Roman"/>
      <w:kern w:val="28"/>
      <w:sz w:val="22"/>
      <w:szCs w:val="22"/>
      <w:lang w:val="en-GB" w:eastAsia="en-US"/>
    </w:rPr>
  </w:style>
  <w:style w:type="character" w:customStyle="1" w:styleId="Heading2Char">
    <w:name w:val="Heading 2 Char"/>
    <w:link w:val="Heading2"/>
    <w:rsid w:val="009E697E"/>
    <w:rPr>
      <w:rFonts w:ascii="Times New Roman" w:eastAsia="Times New Roman" w:hAnsi="Times New Roman"/>
      <w:sz w:val="22"/>
      <w:szCs w:val="22"/>
      <w:lang w:val="en-GB" w:eastAsia="en-US"/>
    </w:rPr>
  </w:style>
  <w:style w:type="character" w:customStyle="1" w:styleId="Heading3Char">
    <w:name w:val="Heading 3 Char"/>
    <w:link w:val="Heading3"/>
    <w:rsid w:val="009E697E"/>
    <w:rPr>
      <w:rFonts w:ascii="Times New Roman" w:eastAsia="Times New Roman" w:hAnsi="Times New Roman"/>
      <w:sz w:val="22"/>
      <w:szCs w:val="22"/>
      <w:lang w:val="en-GB" w:eastAsia="en-US"/>
    </w:rPr>
  </w:style>
  <w:style w:type="character" w:customStyle="1" w:styleId="Heading4Char">
    <w:name w:val="Heading 4 Char"/>
    <w:link w:val="Heading4"/>
    <w:rsid w:val="009E697E"/>
    <w:rPr>
      <w:rFonts w:ascii="Times New Roman" w:eastAsia="Times New Roman" w:hAnsi="Times New Roman"/>
      <w:sz w:val="22"/>
      <w:szCs w:val="22"/>
      <w:lang w:val="en-GB" w:eastAsia="en-US"/>
    </w:rPr>
  </w:style>
  <w:style w:type="character" w:customStyle="1" w:styleId="Heading5Char">
    <w:name w:val="Heading 5 Char"/>
    <w:link w:val="Heading5"/>
    <w:rsid w:val="009E697E"/>
    <w:rPr>
      <w:rFonts w:ascii="Times New Roman" w:eastAsia="Times New Roman" w:hAnsi="Times New Roman"/>
      <w:sz w:val="22"/>
      <w:szCs w:val="22"/>
      <w:lang w:val="en-GB" w:eastAsia="en-US"/>
    </w:rPr>
  </w:style>
  <w:style w:type="character" w:customStyle="1" w:styleId="Heading6Char">
    <w:name w:val="Heading 6 Char"/>
    <w:link w:val="Heading6"/>
    <w:rsid w:val="009E697E"/>
    <w:rPr>
      <w:rFonts w:ascii="Times New Roman" w:eastAsia="Times New Roman" w:hAnsi="Times New Roman"/>
      <w:sz w:val="22"/>
      <w:szCs w:val="22"/>
      <w:lang w:val="en-GB" w:eastAsia="en-US"/>
    </w:rPr>
  </w:style>
  <w:style w:type="character" w:customStyle="1" w:styleId="Heading7Char">
    <w:name w:val="Heading 7 Char"/>
    <w:link w:val="Heading7"/>
    <w:rsid w:val="009E697E"/>
    <w:rPr>
      <w:rFonts w:ascii="Times New Roman" w:eastAsia="Times New Roman" w:hAnsi="Times New Roman"/>
      <w:sz w:val="22"/>
      <w:szCs w:val="22"/>
      <w:lang w:val="en-GB" w:eastAsia="en-US"/>
    </w:rPr>
  </w:style>
  <w:style w:type="character" w:customStyle="1" w:styleId="Heading8Char">
    <w:name w:val="Heading 8 Char"/>
    <w:link w:val="Heading8"/>
    <w:rsid w:val="009E697E"/>
    <w:rPr>
      <w:rFonts w:ascii="Times New Roman" w:eastAsia="Times New Roman" w:hAnsi="Times New Roman"/>
      <w:sz w:val="22"/>
      <w:szCs w:val="22"/>
      <w:lang w:val="en-GB" w:eastAsia="en-US"/>
    </w:rPr>
  </w:style>
  <w:style w:type="character" w:customStyle="1" w:styleId="Heading9Char">
    <w:name w:val="Heading 9 Char"/>
    <w:link w:val="Heading9"/>
    <w:rsid w:val="009E697E"/>
    <w:rPr>
      <w:rFonts w:ascii="Times New Roman" w:eastAsia="Times New Roman" w:hAnsi="Times New Roman"/>
      <w:sz w:val="22"/>
      <w:szCs w:val="22"/>
      <w:lang w:val="en-GB" w:eastAsia="en-US"/>
    </w:rPr>
  </w:style>
  <w:style w:type="character" w:styleId="Hyperlink">
    <w:name w:val="Hyperlink"/>
    <w:uiPriority w:val="99"/>
    <w:rsid w:val="009E697E"/>
    <w:rPr>
      <w:color w:val="0000FF"/>
      <w:u w:val="single"/>
    </w:rPr>
  </w:style>
  <w:style w:type="paragraph" w:customStyle="1" w:styleId="pf0">
    <w:name w:val="pf0"/>
    <w:basedOn w:val="Normal"/>
    <w:uiPriority w:val="1"/>
    <w:rsid w:val="009E697E"/>
    <w:pPr>
      <w:spacing w:beforeAutospacing="1" w:afterAutospacing="1"/>
    </w:pPr>
    <w:rPr>
      <w:rFonts w:ascii="Times New Roman" w:eastAsia="Times New Roman" w:hAnsi="Times New Roman"/>
      <w:sz w:val="24"/>
      <w:szCs w:val="24"/>
      <w:lang w:val="en-IE" w:eastAsia="en-IE"/>
    </w:rPr>
  </w:style>
  <w:style w:type="character" w:customStyle="1" w:styleId="cf01">
    <w:name w:val="cf01"/>
    <w:uiPriority w:val="1"/>
    <w:rsid w:val="009E697E"/>
    <w:rPr>
      <w:rFonts w:ascii="Segoe UI" w:eastAsia="Calibri" w:hAnsi="Segoe UI" w:cs="Segoe UI"/>
      <w:sz w:val="18"/>
      <w:szCs w:val="18"/>
    </w:rPr>
  </w:style>
  <w:style w:type="paragraph" w:styleId="FootnoteText">
    <w:name w:val="footnote text"/>
    <w:basedOn w:val="Normal"/>
    <w:link w:val="FootnoteTextChar"/>
    <w:unhideWhenUsed/>
    <w:qFormat/>
    <w:rsid w:val="009E697E"/>
    <w:rPr>
      <w:sz w:val="20"/>
      <w:szCs w:val="20"/>
    </w:rPr>
  </w:style>
  <w:style w:type="character" w:customStyle="1" w:styleId="FootnoteTextChar">
    <w:name w:val="Footnote Text Char"/>
    <w:link w:val="FootnoteText"/>
    <w:qFormat/>
    <w:rsid w:val="009E697E"/>
    <w:rPr>
      <w:lang w:val="en-GB" w:eastAsia="en-US"/>
    </w:rPr>
  </w:style>
  <w:style w:type="character" w:styleId="FootnoteReference">
    <w:name w:val="footnote reference"/>
    <w:unhideWhenUsed/>
    <w:qFormat/>
    <w:rsid w:val="009E697E"/>
    <w:rPr>
      <w:sz w:val="24"/>
      <w:vertAlign w:val="superscript"/>
    </w:rPr>
  </w:style>
  <w:style w:type="paragraph" w:styleId="ListParagraph">
    <w:name w:val="List Paragraph"/>
    <w:basedOn w:val="Normal"/>
    <w:uiPriority w:val="34"/>
    <w:qFormat/>
    <w:rsid w:val="009E697E"/>
    <w:pPr>
      <w:ind w:left="720"/>
    </w:pPr>
  </w:style>
  <w:style w:type="character" w:styleId="CommentReference">
    <w:name w:val="annotation reference"/>
    <w:semiHidden/>
    <w:unhideWhenUsed/>
    <w:rsid w:val="009E697E"/>
    <w:rPr>
      <w:sz w:val="16"/>
      <w:szCs w:val="16"/>
    </w:rPr>
  </w:style>
  <w:style w:type="paragraph" w:styleId="CommentText">
    <w:name w:val="annotation text"/>
    <w:basedOn w:val="Normal"/>
    <w:link w:val="CommentTextChar"/>
    <w:unhideWhenUsed/>
    <w:rsid w:val="009E697E"/>
    <w:pPr>
      <w:spacing w:after="0" w:line="240" w:lineRule="auto"/>
      <w:jc w:val="both"/>
    </w:pPr>
    <w:rPr>
      <w:rFonts w:ascii="Times New Roman" w:eastAsia="Times New Roman" w:hAnsi="Times New Roman"/>
      <w:sz w:val="20"/>
      <w:szCs w:val="20"/>
    </w:rPr>
  </w:style>
  <w:style w:type="character" w:customStyle="1" w:styleId="CommentTextChar">
    <w:name w:val="Comment Text Char"/>
    <w:link w:val="CommentText"/>
    <w:rsid w:val="009E697E"/>
    <w:rPr>
      <w:rFonts w:ascii="Times New Roman" w:eastAsia="Times New Roman" w:hAnsi="Times New Roman"/>
      <w:lang w:val="en-GB" w:eastAsia="en-US"/>
    </w:rPr>
  </w:style>
  <w:style w:type="character" w:customStyle="1" w:styleId="cf21">
    <w:name w:val="cf21"/>
    <w:uiPriority w:val="1"/>
    <w:rsid w:val="009E697E"/>
    <w:rPr>
      <w:rFonts w:ascii="Segoe UI" w:eastAsia="Calibri" w:hAnsi="Segoe UI" w:cs="Segoe UI"/>
      <w:sz w:val="18"/>
      <w:szCs w:val="18"/>
    </w:rPr>
  </w:style>
  <w:style w:type="character" w:customStyle="1" w:styleId="cf31">
    <w:name w:val="cf31"/>
    <w:uiPriority w:val="1"/>
    <w:rsid w:val="009E697E"/>
    <w:rPr>
      <w:rFonts w:ascii="Segoe UI" w:eastAsia="Calibri" w:hAnsi="Segoe UI" w:cs="Segoe UI"/>
      <w:sz w:val="18"/>
      <w:szCs w:val="18"/>
      <w:vertAlign w:val="subscript"/>
    </w:rPr>
  </w:style>
  <w:style w:type="paragraph" w:styleId="CommentSubject">
    <w:name w:val="annotation subject"/>
    <w:basedOn w:val="CommentText"/>
    <w:next w:val="CommentText"/>
    <w:link w:val="CommentSubjectChar"/>
    <w:uiPriority w:val="99"/>
    <w:semiHidden/>
    <w:unhideWhenUsed/>
    <w:rsid w:val="00FA6844"/>
    <w:pPr>
      <w:spacing w:after="200" w:line="276" w:lineRule="auto"/>
      <w:jc w:val="left"/>
    </w:pPr>
    <w:rPr>
      <w:rFonts w:ascii="Calibri" w:eastAsia="Calibri" w:hAnsi="Calibri"/>
      <w:b/>
      <w:bCs/>
    </w:rPr>
  </w:style>
  <w:style w:type="character" w:customStyle="1" w:styleId="CommentSubjectChar">
    <w:name w:val="Comment Subject Char"/>
    <w:link w:val="CommentSubject"/>
    <w:uiPriority w:val="99"/>
    <w:semiHidden/>
    <w:rsid w:val="00FA6844"/>
    <w:rPr>
      <w:rFonts w:ascii="Times New Roman" w:eastAsia="Times New Roman" w:hAnsi="Times New Roman"/>
      <w:b/>
      <w:bCs/>
      <w:lang w:val="en-GB" w:eastAsia="en-US"/>
    </w:rPr>
  </w:style>
  <w:style w:type="paragraph" w:styleId="NormalWeb">
    <w:name w:val="Normal (Web)"/>
    <w:basedOn w:val="Normal"/>
    <w:uiPriority w:val="99"/>
    <w:unhideWhenUsed/>
    <w:rsid w:val="00F759D7"/>
    <w:pPr>
      <w:spacing w:before="100" w:beforeAutospacing="1" w:after="100" w:afterAutospacing="1" w:line="240" w:lineRule="auto"/>
    </w:pPr>
    <w:rPr>
      <w:rFonts w:ascii="Times New Roman" w:eastAsia="Times New Roman" w:hAnsi="Times New Roman"/>
      <w:sz w:val="24"/>
      <w:szCs w:val="24"/>
      <w:lang w:val="en-IE" w:eastAsia="en-IE"/>
    </w:rPr>
  </w:style>
  <w:style w:type="character" w:styleId="UnresolvedMention">
    <w:name w:val="Unresolved Mention"/>
    <w:uiPriority w:val="99"/>
    <w:semiHidden/>
    <w:unhideWhenUsed/>
    <w:rsid w:val="005E7F2A"/>
    <w:rPr>
      <w:color w:val="605E5C"/>
      <w:shd w:val="clear" w:color="auto" w:fill="E1DFDD"/>
    </w:rPr>
  </w:style>
  <w:style w:type="character" w:styleId="FollowedHyperlink">
    <w:name w:val="FollowedHyperlink"/>
    <w:uiPriority w:val="99"/>
    <w:semiHidden/>
    <w:unhideWhenUsed/>
    <w:rsid w:val="00477A96"/>
    <w:rPr>
      <w:color w:val="954F72"/>
      <w:u w:val="single"/>
    </w:rPr>
  </w:style>
  <w:style w:type="paragraph" w:customStyle="1" w:styleId="Briefinglist1">
    <w:name w:val="Briefing list 1"/>
    <w:basedOn w:val="Normal"/>
    <w:link w:val="Briefinglist1Char"/>
    <w:autoRedefine/>
    <w:qFormat/>
    <w:rsid w:val="00524FDC"/>
    <w:pPr>
      <w:keepLines/>
      <w:numPr>
        <w:numId w:val="9"/>
      </w:numPr>
      <w:spacing w:after="120" w:line="240" w:lineRule="auto"/>
      <w:ind w:left="284"/>
      <w:jc w:val="both"/>
    </w:pPr>
    <w:rPr>
      <w:rFonts w:eastAsia="Yu Gothic Light" w:cs="Calibri"/>
    </w:rPr>
  </w:style>
  <w:style w:type="character" w:customStyle="1" w:styleId="Briefinglist1Char">
    <w:name w:val="Briefing list 1 Char"/>
    <w:link w:val="Briefinglist1"/>
    <w:qFormat/>
    <w:rsid w:val="00524FDC"/>
    <w:rPr>
      <w:rFonts w:eastAsia="Yu Gothic Light" w:cs="Calibri"/>
      <w:sz w:val="22"/>
      <w:szCs w:val="22"/>
      <w:lang w:val="en-GB" w:eastAsia="en-US"/>
    </w:rPr>
  </w:style>
  <w:style w:type="character" w:styleId="Mention">
    <w:name w:val="Mention"/>
    <w:uiPriority w:val="99"/>
    <w:unhideWhenUsed/>
    <w:rsid w:val="00F56B97"/>
    <w:rPr>
      <w:color w:val="2B579A"/>
      <w:shd w:val="clear" w:color="auto" w:fill="E1DFDD"/>
    </w:rPr>
  </w:style>
  <w:style w:type="paragraph" w:styleId="EndnoteText">
    <w:name w:val="endnote text"/>
    <w:basedOn w:val="Normal"/>
    <w:link w:val="EndnoteTextChar"/>
    <w:uiPriority w:val="99"/>
    <w:semiHidden/>
    <w:unhideWhenUsed/>
    <w:rsid w:val="00BB6BAC"/>
    <w:rPr>
      <w:sz w:val="20"/>
      <w:szCs w:val="20"/>
    </w:rPr>
  </w:style>
  <w:style w:type="character" w:customStyle="1" w:styleId="EndnoteTextChar">
    <w:name w:val="Endnote Text Char"/>
    <w:link w:val="EndnoteText"/>
    <w:uiPriority w:val="99"/>
    <w:semiHidden/>
    <w:rsid w:val="00BB6BAC"/>
    <w:rPr>
      <w:lang w:val="en-GB" w:eastAsia="en-US"/>
    </w:rPr>
  </w:style>
  <w:style w:type="character" w:styleId="EndnoteReference">
    <w:name w:val="endnote reference"/>
    <w:uiPriority w:val="99"/>
    <w:semiHidden/>
    <w:unhideWhenUsed/>
    <w:rsid w:val="00BB6BAC"/>
    <w:rPr>
      <w:vertAlign w:val="superscript"/>
    </w:rPr>
  </w:style>
  <w:style w:type="character" w:customStyle="1" w:styleId="superscript">
    <w:name w:val="superscript"/>
    <w:basedOn w:val="DefaultParagraphFont"/>
    <w:rsid w:val="002579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890852">
      <w:bodyDiv w:val="1"/>
      <w:marLeft w:val="0"/>
      <w:marRight w:val="0"/>
      <w:marTop w:val="0"/>
      <w:marBottom w:val="0"/>
      <w:divBdr>
        <w:top w:val="none" w:sz="0" w:space="0" w:color="auto"/>
        <w:left w:val="none" w:sz="0" w:space="0" w:color="auto"/>
        <w:bottom w:val="none" w:sz="0" w:space="0" w:color="auto"/>
        <w:right w:val="none" w:sz="0" w:space="0" w:color="auto"/>
      </w:divBdr>
    </w:div>
    <w:div w:id="460921228">
      <w:bodyDiv w:val="1"/>
      <w:marLeft w:val="0"/>
      <w:marRight w:val="0"/>
      <w:marTop w:val="0"/>
      <w:marBottom w:val="0"/>
      <w:divBdr>
        <w:top w:val="none" w:sz="0" w:space="0" w:color="auto"/>
        <w:left w:val="none" w:sz="0" w:space="0" w:color="auto"/>
        <w:bottom w:val="none" w:sz="0" w:space="0" w:color="auto"/>
        <w:right w:val="none" w:sz="0" w:space="0" w:color="auto"/>
      </w:divBdr>
    </w:div>
    <w:div w:id="559101550">
      <w:bodyDiv w:val="1"/>
      <w:marLeft w:val="0"/>
      <w:marRight w:val="0"/>
      <w:marTop w:val="0"/>
      <w:marBottom w:val="0"/>
      <w:divBdr>
        <w:top w:val="none" w:sz="0" w:space="0" w:color="auto"/>
        <w:left w:val="none" w:sz="0" w:space="0" w:color="auto"/>
        <w:bottom w:val="none" w:sz="0" w:space="0" w:color="auto"/>
        <w:right w:val="none" w:sz="0" w:space="0" w:color="auto"/>
      </w:divBdr>
    </w:div>
    <w:div w:id="570040969">
      <w:bodyDiv w:val="1"/>
      <w:marLeft w:val="0"/>
      <w:marRight w:val="0"/>
      <w:marTop w:val="0"/>
      <w:marBottom w:val="0"/>
      <w:divBdr>
        <w:top w:val="none" w:sz="0" w:space="0" w:color="auto"/>
        <w:left w:val="none" w:sz="0" w:space="0" w:color="auto"/>
        <w:bottom w:val="none" w:sz="0" w:space="0" w:color="auto"/>
        <w:right w:val="none" w:sz="0" w:space="0" w:color="auto"/>
      </w:divBdr>
    </w:div>
    <w:div w:id="754478701">
      <w:bodyDiv w:val="1"/>
      <w:marLeft w:val="0"/>
      <w:marRight w:val="0"/>
      <w:marTop w:val="0"/>
      <w:marBottom w:val="0"/>
      <w:divBdr>
        <w:top w:val="none" w:sz="0" w:space="0" w:color="auto"/>
        <w:left w:val="none" w:sz="0" w:space="0" w:color="auto"/>
        <w:bottom w:val="none" w:sz="0" w:space="0" w:color="auto"/>
        <w:right w:val="none" w:sz="0" w:space="0" w:color="auto"/>
      </w:divBdr>
    </w:div>
    <w:div w:id="824666885">
      <w:bodyDiv w:val="1"/>
      <w:marLeft w:val="0"/>
      <w:marRight w:val="0"/>
      <w:marTop w:val="0"/>
      <w:marBottom w:val="0"/>
      <w:divBdr>
        <w:top w:val="none" w:sz="0" w:space="0" w:color="auto"/>
        <w:left w:val="none" w:sz="0" w:space="0" w:color="auto"/>
        <w:bottom w:val="none" w:sz="0" w:space="0" w:color="auto"/>
        <w:right w:val="none" w:sz="0" w:space="0" w:color="auto"/>
      </w:divBdr>
    </w:div>
    <w:div w:id="867452152">
      <w:bodyDiv w:val="1"/>
      <w:marLeft w:val="0"/>
      <w:marRight w:val="0"/>
      <w:marTop w:val="0"/>
      <w:marBottom w:val="0"/>
      <w:divBdr>
        <w:top w:val="none" w:sz="0" w:space="0" w:color="auto"/>
        <w:left w:val="none" w:sz="0" w:space="0" w:color="auto"/>
        <w:bottom w:val="none" w:sz="0" w:space="0" w:color="auto"/>
        <w:right w:val="none" w:sz="0" w:space="0" w:color="auto"/>
      </w:divBdr>
    </w:div>
    <w:div w:id="1122532199">
      <w:bodyDiv w:val="1"/>
      <w:marLeft w:val="0"/>
      <w:marRight w:val="0"/>
      <w:marTop w:val="0"/>
      <w:marBottom w:val="0"/>
      <w:divBdr>
        <w:top w:val="none" w:sz="0" w:space="0" w:color="auto"/>
        <w:left w:val="none" w:sz="0" w:space="0" w:color="auto"/>
        <w:bottom w:val="none" w:sz="0" w:space="0" w:color="auto"/>
        <w:right w:val="none" w:sz="0" w:space="0" w:color="auto"/>
      </w:divBdr>
    </w:div>
    <w:div w:id="1178613404">
      <w:bodyDiv w:val="1"/>
      <w:marLeft w:val="0"/>
      <w:marRight w:val="0"/>
      <w:marTop w:val="0"/>
      <w:marBottom w:val="0"/>
      <w:divBdr>
        <w:top w:val="none" w:sz="0" w:space="0" w:color="auto"/>
        <w:left w:val="none" w:sz="0" w:space="0" w:color="auto"/>
        <w:bottom w:val="none" w:sz="0" w:space="0" w:color="auto"/>
        <w:right w:val="none" w:sz="0" w:space="0" w:color="auto"/>
      </w:divBdr>
    </w:div>
    <w:div w:id="1273365482">
      <w:bodyDiv w:val="1"/>
      <w:marLeft w:val="0"/>
      <w:marRight w:val="0"/>
      <w:marTop w:val="0"/>
      <w:marBottom w:val="0"/>
      <w:divBdr>
        <w:top w:val="none" w:sz="0" w:space="0" w:color="auto"/>
        <w:left w:val="none" w:sz="0" w:space="0" w:color="auto"/>
        <w:bottom w:val="none" w:sz="0" w:space="0" w:color="auto"/>
        <w:right w:val="none" w:sz="0" w:space="0" w:color="auto"/>
      </w:divBdr>
    </w:div>
    <w:div w:id="1571887855">
      <w:bodyDiv w:val="1"/>
      <w:marLeft w:val="0"/>
      <w:marRight w:val="0"/>
      <w:marTop w:val="0"/>
      <w:marBottom w:val="0"/>
      <w:divBdr>
        <w:top w:val="none" w:sz="0" w:space="0" w:color="auto"/>
        <w:left w:val="none" w:sz="0" w:space="0" w:color="auto"/>
        <w:bottom w:val="none" w:sz="0" w:space="0" w:color="auto"/>
        <w:right w:val="none" w:sz="0" w:space="0" w:color="auto"/>
      </w:divBdr>
    </w:div>
    <w:div w:id="1602252011">
      <w:bodyDiv w:val="1"/>
      <w:marLeft w:val="0"/>
      <w:marRight w:val="0"/>
      <w:marTop w:val="0"/>
      <w:marBottom w:val="0"/>
      <w:divBdr>
        <w:top w:val="none" w:sz="0" w:space="0" w:color="auto"/>
        <w:left w:val="none" w:sz="0" w:space="0" w:color="auto"/>
        <w:bottom w:val="none" w:sz="0" w:space="0" w:color="auto"/>
        <w:right w:val="none" w:sz="0" w:space="0" w:color="auto"/>
      </w:divBdr>
    </w:div>
    <w:div w:id="1618872352">
      <w:bodyDiv w:val="1"/>
      <w:marLeft w:val="0"/>
      <w:marRight w:val="0"/>
      <w:marTop w:val="0"/>
      <w:marBottom w:val="0"/>
      <w:divBdr>
        <w:top w:val="none" w:sz="0" w:space="0" w:color="auto"/>
        <w:left w:val="none" w:sz="0" w:space="0" w:color="auto"/>
        <w:bottom w:val="none" w:sz="0" w:space="0" w:color="auto"/>
        <w:right w:val="none" w:sz="0" w:space="0" w:color="auto"/>
      </w:divBdr>
    </w:div>
    <w:div w:id="1655135251">
      <w:bodyDiv w:val="1"/>
      <w:marLeft w:val="0"/>
      <w:marRight w:val="0"/>
      <w:marTop w:val="0"/>
      <w:marBottom w:val="0"/>
      <w:divBdr>
        <w:top w:val="none" w:sz="0" w:space="0" w:color="auto"/>
        <w:left w:val="none" w:sz="0" w:space="0" w:color="auto"/>
        <w:bottom w:val="none" w:sz="0" w:space="0" w:color="auto"/>
        <w:right w:val="none" w:sz="0" w:space="0" w:color="auto"/>
      </w:divBdr>
    </w:div>
    <w:div w:id="1687366615">
      <w:bodyDiv w:val="1"/>
      <w:marLeft w:val="0"/>
      <w:marRight w:val="0"/>
      <w:marTop w:val="0"/>
      <w:marBottom w:val="0"/>
      <w:divBdr>
        <w:top w:val="none" w:sz="0" w:space="0" w:color="auto"/>
        <w:left w:val="none" w:sz="0" w:space="0" w:color="auto"/>
        <w:bottom w:val="none" w:sz="0" w:space="0" w:color="auto"/>
        <w:right w:val="none" w:sz="0" w:space="0" w:color="auto"/>
      </w:divBdr>
    </w:div>
    <w:div w:id="1737584005">
      <w:bodyDiv w:val="1"/>
      <w:marLeft w:val="0"/>
      <w:marRight w:val="0"/>
      <w:marTop w:val="0"/>
      <w:marBottom w:val="0"/>
      <w:divBdr>
        <w:top w:val="none" w:sz="0" w:space="0" w:color="auto"/>
        <w:left w:val="none" w:sz="0" w:space="0" w:color="auto"/>
        <w:bottom w:val="none" w:sz="0" w:space="0" w:color="auto"/>
        <w:right w:val="none" w:sz="0" w:space="0" w:color="auto"/>
      </w:divBdr>
    </w:div>
    <w:div w:id="1745566857">
      <w:bodyDiv w:val="1"/>
      <w:marLeft w:val="0"/>
      <w:marRight w:val="0"/>
      <w:marTop w:val="0"/>
      <w:marBottom w:val="0"/>
      <w:divBdr>
        <w:top w:val="none" w:sz="0" w:space="0" w:color="auto"/>
        <w:left w:val="none" w:sz="0" w:space="0" w:color="auto"/>
        <w:bottom w:val="none" w:sz="0" w:space="0" w:color="auto"/>
        <w:right w:val="none" w:sz="0" w:space="0" w:color="auto"/>
      </w:divBdr>
    </w:div>
    <w:div w:id="1921139249">
      <w:bodyDiv w:val="1"/>
      <w:marLeft w:val="0"/>
      <w:marRight w:val="0"/>
      <w:marTop w:val="0"/>
      <w:marBottom w:val="0"/>
      <w:divBdr>
        <w:top w:val="none" w:sz="0" w:space="0" w:color="auto"/>
        <w:left w:val="none" w:sz="0" w:space="0" w:color="auto"/>
        <w:bottom w:val="none" w:sz="0" w:space="0" w:color="auto"/>
        <w:right w:val="none" w:sz="0" w:space="0" w:color="auto"/>
      </w:divBdr>
    </w:div>
    <w:div w:id="1962304096">
      <w:bodyDiv w:val="1"/>
      <w:marLeft w:val="0"/>
      <w:marRight w:val="0"/>
      <w:marTop w:val="0"/>
      <w:marBottom w:val="0"/>
      <w:divBdr>
        <w:top w:val="none" w:sz="0" w:space="0" w:color="auto"/>
        <w:left w:val="none" w:sz="0" w:space="0" w:color="auto"/>
        <w:bottom w:val="none" w:sz="0" w:space="0" w:color="auto"/>
        <w:right w:val="none" w:sz="0" w:space="0" w:color="auto"/>
      </w:divBdr>
    </w:div>
    <w:div w:id="2023044869">
      <w:bodyDiv w:val="1"/>
      <w:marLeft w:val="0"/>
      <w:marRight w:val="0"/>
      <w:marTop w:val="0"/>
      <w:marBottom w:val="0"/>
      <w:divBdr>
        <w:top w:val="none" w:sz="0" w:space="0" w:color="auto"/>
        <w:left w:val="none" w:sz="0" w:space="0" w:color="auto"/>
        <w:bottom w:val="none" w:sz="0" w:space="0" w:color="auto"/>
        <w:right w:val="none" w:sz="0" w:space="0" w:color="auto"/>
      </w:divBdr>
    </w:div>
    <w:div w:id="2110348730">
      <w:bodyDiv w:val="1"/>
      <w:marLeft w:val="0"/>
      <w:marRight w:val="0"/>
      <w:marTop w:val="0"/>
      <w:marBottom w:val="0"/>
      <w:divBdr>
        <w:top w:val="none" w:sz="0" w:space="0" w:color="auto"/>
        <w:left w:val="none" w:sz="0" w:space="0" w:color="auto"/>
        <w:bottom w:val="none" w:sz="0" w:space="0" w:color="auto"/>
        <w:right w:val="none" w:sz="0" w:space="0" w:color="auto"/>
      </w:divBdr>
    </w:div>
    <w:div w:id="2116442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limate.ec.europa.eu/document/download/2a0f3e9c-5562-4253-8327-dc7bea886ed8_en"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commission.europa.eu/document/download/ae2ea9ea-d037-4920-bbf6-a4183b747e34_en?filename=COM_2025_378_1_EN_ACT_part1_v5.pdf" TargetMode="External"/><Relationship Id="rId7" Type="http://schemas.openxmlformats.org/officeDocument/2006/relationships/hyperlink" Target="https://ec.europa.eu/commission/presscorner/detail/en/qanda_25_3089" TargetMode="External"/><Relationship Id="rId2" Type="http://schemas.openxmlformats.org/officeDocument/2006/relationships/hyperlink" Target="https://eur-lex.europa.eu/legal-content/EN/TXT/?uri=CELEX%3A52024SC0063" TargetMode="External"/><Relationship Id="rId1" Type="http://schemas.openxmlformats.org/officeDocument/2006/relationships/hyperlink" Target="https://eur-lex.europa.eu/EN/legal-content/summary/eu-emissions-trading-system.html" TargetMode="External"/><Relationship Id="rId6" Type="http://schemas.openxmlformats.org/officeDocument/2006/relationships/hyperlink" Target="https://ec.europa.eu/commission/presscorner/detail/en/ip_25_3088" TargetMode="External"/><Relationship Id="rId5" Type="http://schemas.openxmlformats.org/officeDocument/2006/relationships/hyperlink" Target="https://taxation-customs.ec.europa.eu/news/officially-published-simplifications-carbon-border-adjustment-mechanism-cbam-2025-10-20_en" TargetMode="External"/><Relationship Id="rId4" Type="http://schemas.openxmlformats.org/officeDocument/2006/relationships/hyperlink" Target="https://eur-lex.europa.eu/legal-content/EN/TXT/PDF/?uri=OJ:L_202401252" TargetMode="External"/></Relationships>
</file>

<file path=word/documenttasks/documenttasks1.xml><?xml version="1.0" encoding="utf-8"?>
<t:Tasks xmlns:t="http://schemas.microsoft.com/office/tasks/2019/documenttasks" xmlns:oel="http://schemas.microsoft.com/office/2019/extlst">
  <t:Task id="{A31A6B1F-41A5-4906-92F0-84CAEB4B6305}">
    <t:Anchor>
      <t:Comment id="1511069827"/>
    </t:Anchor>
    <t:History>
      <t:Event id="{C84D2A4D-1BF6-4298-AF84-D3C8614CB3F3}" time="2025-07-25T13:51:45.72Z">
        <t:Attribution userId="S::Claire.GAVARD@ec.europa.eu::d6ba79c2-0494-458a-b613-2871720f15e9" userProvider="AD" userName="GAVARD Claire (CLIMA)"/>
        <t:Anchor>
          <t:Comment id="1511069827"/>
        </t:Anchor>
        <t:Create/>
      </t:Event>
      <t:Event id="{7B1FEE9E-DC45-4855-8D43-7807907434AC}" time="2025-07-25T13:51:45.72Z">
        <t:Attribution userId="S::Claire.GAVARD@ec.europa.eu::d6ba79c2-0494-458a-b613-2871720f15e9" userProvider="AD" userName="GAVARD Claire (CLIMA)"/>
        <t:Anchor>
          <t:Comment id="1511069827"/>
        </t:Anchor>
        <t:Assign userId="S::Bert.VAN-LOON@ec.europa.eu::2900c31c-833a-45f3-b773-111ba4349729" userProvider="AD" userName="VAN LOON Bert (CLIMA)"/>
      </t:Event>
      <t:Event id="{A75D57F7-6FEA-444F-9393-E24C660E7840}" time="2025-07-25T13:51:45.72Z">
        <t:Attribution userId="S::Claire.GAVARD@ec.europa.eu::d6ba79c2-0494-458a-b613-2871720f15e9" userProvider="AD" userName="GAVARD Claire (CLIMA)"/>
        <t:Anchor>
          <t:Comment id="1511069827"/>
        </t:Anchor>
        <t:SetTitle title="@VAN LOON Bert (CLIMA) : is the replacement of «we» by «the European Commission» ok for you?"/>
      </t:Event>
    </t:History>
  </t:Task>
  <t:Task id="{7EC21893-F2EF-4599-B019-31163D3C17E6}">
    <t:Anchor>
      <t:Comment id="1240143112"/>
    </t:Anchor>
    <t:History>
      <t:Event id="{495E7209-954C-4393-9745-50AEAD6B4FE7}" time="2025-07-25T13:40:31.284Z">
        <t:Attribution userId="S::Claire.GAVARD@ec.europa.eu::d6ba79c2-0494-458a-b613-2871720f15e9" userProvider="AD" userName="GAVARD Claire (CLIMA)"/>
        <t:Anchor>
          <t:Comment id="1240143112"/>
        </t:Anchor>
        <t:Create/>
      </t:Event>
      <t:Event id="{D269EA44-2A93-48BD-9192-EAA198D5B56B}" time="2025-07-25T13:40:31.284Z">
        <t:Attribution userId="S::Claire.GAVARD@ec.europa.eu::d6ba79c2-0494-458a-b613-2871720f15e9" userProvider="AD" userName="GAVARD Claire (CLIMA)"/>
        <t:Anchor>
          <t:Comment id="1240143112"/>
        </t:Anchor>
        <t:Assign userId="S::Bert.VAN-LOON@ec.europa.eu::2900c31c-833a-45f3-b773-111ba4349729" userProvider="AD" userName="VAN LOON Bert (CLIMA)"/>
      </t:Event>
      <t:Event id="{288B09BF-35C3-4A83-AE2E-490FA5B56AA0}" time="2025-07-25T13:40:31.284Z">
        <t:Attribution userId="S::Claire.GAVARD@ec.europa.eu::d6ba79c2-0494-458a-b613-2871720f15e9" userProvider="AD" userName="GAVARD Claire (CLIMA)"/>
        <t:Anchor>
          <t:Comment id="1240143112"/>
        </t:Anchor>
        <t:SetTitle title="@VAN LOON Bert (CLIMA) : the guidelines for replying to an EESC opinion requires to avoid using “we”. Is my rephrasing as “The Union….” ok for you?"/>
      </t:Event>
    </t:History>
  </t:Task>
  <t:Task id="{5CB64263-1440-4F55-915C-78B390BE9D3B}">
    <t:Anchor>
      <t:Comment id="971702880"/>
    </t:Anchor>
    <t:History>
      <t:Event id="{7000A8C1-CA93-4E99-949A-FF0C0D2C7725}" time="2025-07-25T13:56:26.938Z">
        <t:Attribution userId="S::Claire.GAVARD@ec.europa.eu::d6ba79c2-0494-458a-b613-2871720f15e9" userProvider="AD" userName="GAVARD Claire (CLIMA)"/>
        <t:Anchor>
          <t:Comment id="971702880"/>
        </t:Anchor>
        <t:Create/>
      </t:Event>
      <t:Event id="{0D92D61B-DC2C-4D69-9483-6E4032AAC573}" time="2025-07-25T13:56:26.938Z">
        <t:Attribution userId="S::Claire.GAVARD@ec.europa.eu::d6ba79c2-0494-458a-b613-2871720f15e9" userProvider="AD" userName="GAVARD Claire (CLIMA)"/>
        <t:Anchor>
          <t:Comment id="971702880"/>
        </t:Anchor>
        <t:Assign userId="S::Bert.VAN-LOON@ec.europa.eu::2900c31c-833a-45f3-b773-111ba4349729" userProvider="AD" userName="VAN LOON Bert (CLIMA)"/>
      </t:Event>
      <t:Event id="{53047017-92DC-4780-B671-44FBE028D09B}" time="2025-07-25T13:56:26.938Z">
        <t:Attribution userId="S::Claire.GAVARD@ec.europa.eu::d6ba79c2-0494-458a-b613-2871720f15e9" userProvider="AD" userName="GAVARD Claire (CLIMA)"/>
        <t:Anchor>
          <t:Comment id="971702880"/>
        </t:Anchor>
        <t:SetTitle title="@VAN LOON Bert (CLIMA) : ok to keep this (from earlier LTT)? I am thinking it is good to remind the EESC of the initiatives that have been taken."/>
      </t:Event>
    </t:History>
  </t:Task>
  <t:Task id="{9B6D1A70-1E00-46F1-8534-0C18E237E466}">
    <t:Anchor>
      <t:Comment id="332710609"/>
    </t:Anchor>
    <t:History>
      <t:Event id="{DDEFB267-7FC9-4DB6-9A69-B413948D6C87}" time="2025-07-28T16:01:40.464Z">
        <t:Attribution userId="S::claire.gavard@ec.europa.eu::d6ba79c2-0494-458a-b613-2871720f15e9" userProvider="AD" userName="GAVARD Claire (CLIMA)"/>
        <t:Anchor>
          <t:Comment id="37628077"/>
        </t:Anchor>
        <t:Create/>
      </t:Event>
      <t:Event id="{BC5980F1-7AFA-4AAD-856F-AF0AC0B52C94}" time="2025-07-28T16:01:40.464Z">
        <t:Attribution userId="S::claire.gavard@ec.europa.eu::d6ba79c2-0494-458a-b613-2871720f15e9" userProvider="AD" userName="GAVARD Claire (CLIMA)"/>
        <t:Anchor>
          <t:Comment id="37628077"/>
        </t:Anchor>
        <t:Assign userId="S::Clement.SERRE@ec.europa.eu::8c91a2a3-0391-45f6-9613-a08b77a9fda1" userProvider="AD" userName="SERRE Clement (CLIMA)"/>
      </t:Event>
      <t:Event id="{D7C042FE-FAD4-4E6C-905D-21186B085EB6}" time="2025-07-28T16:01:40.464Z">
        <t:Attribution userId="S::claire.gavard@ec.europa.eu::d6ba79c2-0494-458a-b613-2871720f15e9" userProvider="AD" userName="GAVARD Claire (CLIMA)"/>
        <t:Anchor>
          <t:Comment id="37628077"/>
        </t:Anchor>
        <t:SetTitle title="@SERRE Clement (CLIMA) : I checked the figures in Table 32 and 16 of the 2040 impact assessment in (resource.html, part 1). It seems to me that €480 billion is not far from the estimates we have (€1505 billion in 2031-2040 represents 5.8% of GDP; …"/>
      </t:Event>
    </t:History>
  </t:Task>
  <t:Task id="{31E18E93-8FA2-4DD0-945B-FF5CEE076D2C}">
    <t:Anchor>
      <t:Comment id="1026950968"/>
    </t:Anchor>
    <t:History>
      <t:Event id="{35855DDB-38AA-4A29-A3E8-121FCF5A89A3}" time="2025-07-25T14:03:26.696Z">
        <t:Attribution userId="S::Claire.GAVARD@ec.europa.eu::d6ba79c2-0494-458a-b613-2871720f15e9" userProvider="AD" userName="GAVARD Claire (CLIMA)"/>
        <t:Anchor>
          <t:Comment id="1026950968"/>
        </t:Anchor>
        <t:Create/>
      </t:Event>
      <t:Event id="{8A564091-AB3C-4996-981F-20AD187CAF56}" time="2025-07-25T14:03:26.696Z">
        <t:Attribution userId="S::Claire.GAVARD@ec.europa.eu::d6ba79c2-0494-458a-b613-2871720f15e9" userProvider="AD" userName="GAVARD Claire (CLIMA)"/>
        <t:Anchor>
          <t:Comment id="1026950968"/>
        </t:Anchor>
        <t:Assign userId="S::Akshay.PATKI@ec.europa.eu::aa5d8921-6eb4-4de0-a4b1-84d1a4d66d3b" userProvider="AD" userName="PATKI Akshay (CLIMA)"/>
      </t:Event>
      <t:Event id="{D0D75CE5-FAA5-4379-900E-B9AD9A630FD4}" time="2025-07-25T14:03:26.696Z">
        <t:Attribution userId="S::Claire.GAVARD@ec.europa.eu::d6ba79c2-0494-458a-b613-2871720f15e9" userProvider="AD" userName="GAVARD Claire (CLIMA)"/>
        <t:Anchor>
          <t:Comment id="1026950968"/>
        </t:Anchor>
        <t:SetTitle title="@PATKI Akshay (CLIMA) : suggestion for B1 (if useful to you; but I assume you have already thought of it)"/>
      </t:Event>
      <t:Event id="{73286EA2-D24D-4BDD-A368-BDFB36570802}" time="2025-07-29T16:10:34.181Z">
        <t:Attribution userId="S::akshay.patki@ec.europa.eu::aa5d8921-6eb4-4de0-a4b1-84d1a4d66d3b" userProvider="AD" userName="PATKI Akshay (CLIMA)"/>
        <t:Progress percentComplete="100"/>
      </t:Event>
    </t:History>
  </t:Task>
  <t:Task id="{3363B8CE-BE22-4398-BBF1-964431FB688D}">
    <t:Anchor>
      <t:Comment id="2132864487"/>
    </t:Anchor>
    <t:History>
      <t:Event id="{07FCE14A-D109-4D92-9830-AD1C30F62756}" time="2025-07-28T15:41:15.759Z">
        <t:Attribution userId="S::claire.gavard@ec.europa.eu::d6ba79c2-0494-458a-b613-2871720f15e9" userProvider="AD" userName="GAVARD Claire (CLIMA)"/>
        <t:Anchor>
          <t:Comment id="190972643"/>
        </t:Anchor>
        <t:Create/>
      </t:Event>
      <t:Event id="{F8702A35-51C8-4033-887A-B278BE6ACC8F}" time="2025-07-28T15:41:15.759Z">
        <t:Attribution userId="S::claire.gavard@ec.europa.eu::d6ba79c2-0494-458a-b613-2871720f15e9" userProvider="AD" userName="GAVARD Claire (CLIMA)"/>
        <t:Anchor>
          <t:Comment id="190972643"/>
        </t:Anchor>
        <t:Assign userId="S::Bert.VAN-LOON@ec.europa.eu::2900c31c-833a-45f3-b773-111ba4349729" userProvider="AD" userName="VAN LOON Bert (CLIMA)"/>
      </t:Event>
      <t:Event id="{3590DBD8-4DAA-4F88-96A3-1E3F26E49DC4}" time="2025-07-28T15:41:15.759Z">
        <t:Attribution userId="S::claire.gavard@ec.europa.eu::d6ba79c2-0494-458a-b613-2871720f15e9" userProvider="AD" userName="GAVARD Claire (CLIMA)"/>
        <t:Anchor>
          <t:Comment id="190972643"/>
        </t:Anchor>
        <t:SetTitle title="@VAN LOON Bert (CLIMA) : dear Bert, this sentence comes from earlier LTTs on the Clean Industrial Deal. Do you know which other initiatives were meant by &quot;other initiatives&quot;? I am thinking of the Affordable Energy Action Plan, but is already mentioned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9782AF6692CB4E8097BF428225D135" ma:contentTypeVersion="17" ma:contentTypeDescription="Create a new document." ma:contentTypeScope="" ma:versionID="59ff5651a4f3a1a5cb8238938fd32999">
  <xsd:schema xmlns:xsd="http://www.w3.org/2001/XMLSchema" xmlns:xs="http://www.w3.org/2001/XMLSchema" xmlns:p="http://schemas.microsoft.com/office/2006/metadata/properties" xmlns:ns2="5843c966-cb45-4885-93fc-2ce78a94204b" xmlns:ns3="ac131f03-315b-4cd8-8e3a-6189969fd4f0" targetNamespace="http://schemas.microsoft.com/office/2006/metadata/properties" ma:root="true" ma:fieldsID="f35b6c5cbc38fcaa39852b720d769a3f" ns2:_="" ns3:_="">
    <xsd:import namespace="5843c966-cb45-4885-93fc-2ce78a94204b"/>
    <xsd:import namespace="ac131f03-315b-4cd8-8e3a-6189969fd4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43c966-cb45-4885-93fc-2ce78a9420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131f03-315b-4cd8-8e3a-6189969fd4f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9a683dc-7c89-45b8-ab9d-480aec8b90de}" ma:internalName="TaxCatchAll" ma:showField="CatchAllData" ma:web="ac131f03-315b-4cd8-8e3a-6189969fd4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843c966-cb45-4885-93fc-2ce78a94204b">
      <Terms xmlns="http://schemas.microsoft.com/office/infopath/2007/PartnerControls"/>
    </lcf76f155ced4ddcb4097134ff3c332f>
    <TaxCatchAll xmlns="ac131f03-315b-4cd8-8e3a-6189969fd4f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1B989E-C63C-48E7-B549-5971CEAFD1E6}">
  <ds:schemaRefs>
    <ds:schemaRef ds:uri="http://schemas.microsoft.com/sharepoint/v3/contenttype/forms"/>
  </ds:schemaRefs>
</ds:datastoreItem>
</file>

<file path=customXml/itemProps2.xml><?xml version="1.0" encoding="utf-8"?>
<ds:datastoreItem xmlns:ds="http://schemas.openxmlformats.org/officeDocument/2006/customXml" ds:itemID="{88AC1C51-CA98-4FB9-94F9-834A9AD180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43c966-cb45-4885-93fc-2ce78a94204b"/>
    <ds:schemaRef ds:uri="ac131f03-315b-4cd8-8e3a-6189969fd4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6FC54C-6D3D-481D-A462-C7884E4BA188}">
  <ds:schemaRefs>
    <ds:schemaRef ds:uri="http://schemas.microsoft.com/office/2006/metadata/properties"/>
    <ds:schemaRef ds:uri="http://schemas.microsoft.com/office/infopath/2007/PartnerControls"/>
    <ds:schemaRef ds:uri="5843c966-cb45-4885-93fc-2ce78a94204b"/>
    <ds:schemaRef ds:uri="ac131f03-315b-4cd8-8e3a-6189969fd4f0"/>
  </ds:schemaRefs>
</ds:datastoreItem>
</file>

<file path=customXml/itemProps4.xml><?xml version="1.0" encoding="utf-8"?>
<ds:datastoreItem xmlns:ds="http://schemas.openxmlformats.org/officeDocument/2006/customXml" ds:itemID="{E64815D1-758A-4A96-9AEA-CB2B1716B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2770</Words>
  <Characters>15433</Characters>
  <Application>Microsoft Office Word</Application>
  <DocSecurity>0</DocSecurity>
  <Lines>208</Lines>
  <Paragraphs>45</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PUIA Manuela Morena (SG)</dc:creator>
  <cp:keywords/>
  <cp:lastModifiedBy>ROSSI Simona (SG)</cp:lastModifiedBy>
  <cp:revision>2</cp:revision>
  <cp:lastPrinted>2013-03-03T03:02:00Z</cp:lastPrinted>
  <dcterms:created xsi:type="dcterms:W3CDTF">2026-10-05T08:54:00Z</dcterms:created>
  <dcterms:modified xsi:type="dcterms:W3CDTF">2026-10-05T08:54:00Z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2023-04-12T12:31:59Z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633b4ac4-9ed9-4135-981c-e588276a87bc</vt:lpwstr>
  </property>
  <property fmtid="{D5CDD505-2E9C-101B-9397-08002B2CF9AE}" pid="8" name="MSIP_Label_6bd9ddd1-4d20-43f6-abfa-fc3c07406f94_ContentBits">
    <vt:lpwstr>0</vt:lpwstr>
  </property>
  <property fmtid="{D5CDD505-2E9C-101B-9397-08002B2CF9AE}" pid="9" name="ContentTypeId">
    <vt:lpwstr>0x0101008B9D831894C8B1499FBAEF2F1AA460BE003253F1546890064BAC12A2CD1C71CFAE</vt:lpwstr>
  </property>
  <property fmtid="{D5CDD505-2E9C-101B-9397-08002B2CF9AE}" pid="10" name="MediaServiceImageTags">
    <vt:lpwstr/>
  </property>
</Properties>
</file>