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32A0" w14:textId="77777777" w:rsidR="00077C4F" w:rsidRPr="0085710B" w:rsidRDefault="00077C4F" w:rsidP="00554137">
      <w:pPr>
        <w:spacing w:after="0" w:line="240" w:lineRule="auto"/>
        <w:ind w:left="-709"/>
        <w:rPr>
          <w:rFonts w:ascii="Times New Roman" w:hAnsi="Times New Roman"/>
          <w:bCs/>
          <w:sz w:val="4"/>
          <w:szCs w:val="4"/>
        </w:rPr>
      </w:pPr>
    </w:p>
    <w:tbl>
      <w:tblPr>
        <w:tblW w:w="10243"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243"/>
      </w:tblGrid>
      <w:tr w:rsidR="001C4138" w:rsidRPr="0085710B" w14:paraId="7E6372DC" w14:textId="77777777" w:rsidTr="5449F5D9">
        <w:trPr>
          <w:jc w:val="center"/>
        </w:trPr>
        <w:tc>
          <w:tcPr>
            <w:tcW w:w="10243" w:type="dxa"/>
          </w:tcPr>
          <w:p w14:paraId="3A4EDC3A" w14:textId="54EDFADB" w:rsidR="001C4138" w:rsidRPr="0085710B" w:rsidRDefault="15121559" w:rsidP="003600AA">
            <w:pPr>
              <w:spacing w:before="120" w:after="120"/>
              <w:rPr>
                <w:rFonts w:ascii="Times New Roman" w:hAnsi="Times New Roman"/>
                <w:b/>
                <w:bCs/>
                <w:sz w:val="24"/>
                <w:szCs w:val="24"/>
              </w:rPr>
            </w:pPr>
            <w:r w:rsidRPr="4D88EEE0">
              <w:rPr>
                <w:rFonts w:ascii="Times New Roman" w:hAnsi="Times New Roman"/>
                <w:b/>
                <w:bCs/>
                <w:sz w:val="24"/>
                <w:szCs w:val="24"/>
              </w:rPr>
              <w:t>Supplementary pensions package: PEPP and IORP</w:t>
            </w:r>
            <w:r w:rsidR="003600AA">
              <w:rPr>
                <w:rFonts w:ascii="Times New Roman" w:hAnsi="Times New Roman"/>
                <w:b/>
                <w:bCs/>
                <w:sz w:val="24"/>
                <w:szCs w:val="24"/>
              </w:rPr>
              <w:br/>
            </w:r>
            <w:r w:rsidR="00CA11FC" w:rsidRPr="4D88EEE0">
              <w:rPr>
                <w:rFonts w:ascii="Times New Roman" w:hAnsi="Times New Roman"/>
                <w:b/>
                <w:bCs/>
                <w:sz w:val="24"/>
                <w:szCs w:val="24"/>
              </w:rPr>
              <w:t>(</w:t>
            </w:r>
            <w:r w:rsidR="00215BC6" w:rsidRPr="4D88EEE0">
              <w:rPr>
                <w:rFonts w:ascii="Times New Roman" w:hAnsi="Times New Roman"/>
                <w:b/>
                <w:bCs/>
                <w:sz w:val="24"/>
                <w:szCs w:val="24"/>
              </w:rPr>
              <w:t>mandatory</w:t>
            </w:r>
            <w:r w:rsidR="00554137" w:rsidRPr="4D88EEE0">
              <w:rPr>
                <w:rFonts w:ascii="Times New Roman" w:hAnsi="Times New Roman"/>
                <w:b/>
                <w:bCs/>
                <w:sz w:val="24"/>
                <w:szCs w:val="24"/>
              </w:rPr>
              <w:t xml:space="preserve"> opinion</w:t>
            </w:r>
            <w:r w:rsidR="00CA11FC" w:rsidRPr="4D88EEE0">
              <w:rPr>
                <w:rFonts w:ascii="Times New Roman" w:hAnsi="Times New Roman"/>
                <w:b/>
                <w:bCs/>
                <w:sz w:val="24"/>
                <w:szCs w:val="24"/>
              </w:rPr>
              <w:t>)</w:t>
            </w:r>
            <w:r w:rsidR="00CA11FC">
              <w:br/>
            </w:r>
            <w:proofErr w:type="gramStart"/>
            <w:r w:rsidR="40AFF032" w:rsidRPr="4D88EEE0">
              <w:rPr>
                <w:rFonts w:ascii="Times New Roman" w:hAnsi="Times New Roman"/>
                <w:b/>
                <w:bCs/>
                <w:sz w:val="24"/>
                <w:szCs w:val="24"/>
                <w:lang w:val="en-GB"/>
              </w:rPr>
              <w:t>COM(</w:t>
            </w:r>
            <w:proofErr w:type="gramEnd"/>
            <w:r w:rsidR="40AFF032" w:rsidRPr="4D88EEE0">
              <w:rPr>
                <w:rFonts w:ascii="Times New Roman" w:hAnsi="Times New Roman"/>
                <w:b/>
                <w:bCs/>
                <w:sz w:val="24"/>
                <w:szCs w:val="24"/>
                <w:lang w:val="en-GB"/>
              </w:rPr>
              <w:t>2025) 839</w:t>
            </w:r>
            <w:r w:rsidR="003600AA">
              <w:rPr>
                <w:rFonts w:ascii="Times New Roman" w:hAnsi="Times New Roman"/>
                <w:b/>
                <w:bCs/>
                <w:sz w:val="24"/>
                <w:szCs w:val="24"/>
                <w:lang w:val="en-GB"/>
              </w:rPr>
              <w:br/>
            </w:r>
            <w:proofErr w:type="gramStart"/>
            <w:r w:rsidR="40AFF032" w:rsidRPr="4D88EEE0">
              <w:rPr>
                <w:rFonts w:ascii="Times New Roman" w:hAnsi="Times New Roman"/>
                <w:b/>
                <w:bCs/>
                <w:sz w:val="24"/>
                <w:szCs w:val="24"/>
                <w:lang w:val="en-GB"/>
              </w:rPr>
              <w:t>COM(</w:t>
            </w:r>
            <w:proofErr w:type="gramEnd"/>
            <w:r w:rsidR="40AFF032" w:rsidRPr="4D88EEE0">
              <w:rPr>
                <w:rFonts w:ascii="Times New Roman" w:hAnsi="Times New Roman"/>
                <w:b/>
                <w:bCs/>
                <w:sz w:val="24"/>
                <w:szCs w:val="24"/>
                <w:lang w:val="en-GB"/>
              </w:rPr>
              <w:t>2025) 840</w:t>
            </w:r>
            <w:r w:rsidR="003600AA">
              <w:rPr>
                <w:rFonts w:ascii="Times New Roman" w:hAnsi="Times New Roman"/>
                <w:b/>
                <w:bCs/>
                <w:sz w:val="24"/>
                <w:szCs w:val="24"/>
                <w:lang w:val="en-GB"/>
              </w:rPr>
              <w:br/>
            </w:r>
            <w:proofErr w:type="gramStart"/>
            <w:r w:rsidR="40AFF032" w:rsidRPr="4D88EEE0">
              <w:rPr>
                <w:rFonts w:ascii="Times New Roman" w:hAnsi="Times New Roman"/>
                <w:b/>
                <w:bCs/>
                <w:sz w:val="24"/>
                <w:szCs w:val="24"/>
                <w:lang w:val="en-GB"/>
              </w:rPr>
              <w:t>COM(</w:t>
            </w:r>
            <w:proofErr w:type="gramEnd"/>
            <w:r w:rsidR="40AFF032" w:rsidRPr="4D88EEE0">
              <w:rPr>
                <w:rFonts w:ascii="Times New Roman" w:hAnsi="Times New Roman"/>
                <w:b/>
                <w:bCs/>
                <w:sz w:val="24"/>
                <w:szCs w:val="24"/>
                <w:lang w:val="en-GB"/>
              </w:rPr>
              <w:t>2025) 842</w:t>
            </w:r>
            <w:r w:rsidR="00CA11FC">
              <w:br/>
            </w:r>
            <w:r w:rsidR="001C4138" w:rsidRPr="4D88EEE0">
              <w:rPr>
                <w:rFonts w:ascii="Times New Roman" w:hAnsi="Times New Roman"/>
                <w:b/>
                <w:bCs/>
                <w:sz w:val="24"/>
                <w:szCs w:val="24"/>
              </w:rPr>
              <w:t>EESC-</w:t>
            </w:r>
            <w:r w:rsidR="00CA11FC" w:rsidRPr="4D88EEE0">
              <w:rPr>
                <w:rFonts w:ascii="Times New Roman" w:hAnsi="Times New Roman"/>
                <w:b/>
                <w:bCs/>
                <w:sz w:val="24"/>
                <w:szCs w:val="24"/>
              </w:rPr>
              <w:t>2025</w:t>
            </w:r>
            <w:r w:rsidR="003600AA">
              <w:rPr>
                <w:rFonts w:ascii="Times New Roman" w:hAnsi="Times New Roman"/>
                <w:b/>
                <w:bCs/>
                <w:sz w:val="24"/>
                <w:szCs w:val="24"/>
              </w:rPr>
              <w:t>-</w:t>
            </w:r>
            <w:r w:rsidR="00215BC6" w:rsidRPr="4D88EEE0">
              <w:rPr>
                <w:rFonts w:ascii="Times New Roman" w:hAnsi="Times New Roman"/>
                <w:b/>
                <w:bCs/>
                <w:sz w:val="24"/>
                <w:szCs w:val="24"/>
              </w:rPr>
              <w:t>042</w:t>
            </w:r>
            <w:r w:rsidR="669BAB23" w:rsidRPr="4D88EEE0">
              <w:rPr>
                <w:rFonts w:ascii="Times New Roman" w:hAnsi="Times New Roman"/>
                <w:b/>
                <w:bCs/>
                <w:sz w:val="24"/>
                <w:szCs w:val="24"/>
              </w:rPr>
              <w:t>04</w:t>
            </w:r>
            <w:r w:rsidR="00CA11FC" w:rsidRPr="4D88EEE0">
              <w:rPr>
                <w:rFonts w:ascii="Times New Roman" w:hAnsi="Times New Roman"/>
                <w:b/>
                <w:bCs/>
                <w:sz w:val="24"/>
                <w:szCs w:val="24"/>
              </w:rPr>
              <w:t xml:space="preserve"> </w:t>
            </w:r>
            <w:r w:rsidR="003600AA">
              <w:rPr>
                <w:rFonts w:ascii="Times New Roman" w:hAnsi="Times New Roman"/>
                <w:b/>
                <w:bCs/>
                <w:sz w:val="24"/>
                <w:szCs w:val="24"/>
              </w:rPr>
              <w:t xml:space="preserve">- </w:t>
            </w:r>
            <w:r w:rsidR="00DD7FC5" w:rsidRPr="4D88EEE0">
              <w:rPr>
                <w:rFonts w:ascii="Times New Roman" w:hAnsi="Times New Roman"/>
                <w:b/>
                <w:bCs/>
                <w:sz w:val="24"/>
                <w:szCs w:val="24"/>
              </w:rPr>
              <w:t>ECO</w:t>
            </w:r>
            <w:r w:rsidR="001C4138" w:rsidRPr="4D88EEE0">
              <w:rPr>
                <w:rFonts w:ascii="Times New Roman" w:hAnsi="Times New Roman"/>
                <w:b/>
                <w:bCs/>
                <w:sz w:val="24"/>
                <w:szCs w:val="24"/>
              </w:rPr>
              <w:t>/</w:t>
            </w:r>
            <w:r w:rsidR="00B00A2E" w:rsidRPr="4D88EEE0">
              <w:rPr>
                <w:rFonts w:ascii="Times New Roman" w:hAnsi="Times New Roman"/>
                <w:b/>
                <w:bCs/>
                <w:sz w:val="24"/>
                <w:szCs w:val="24"/>
              </w:rPr>
              <w:t>69</w:t>
            </w:r>
            <w:r w:rsidR="3D3B693A" w:rsidRPr="4D88EEE0">
              <w:rPr>
                <w:rFonts w:ascii="Times New Roman" w:hAnsi="Times New Roman"/>
                <w:b/>
                <w:bCs/>
                <w:sz w:val="24"/>
                <w:szCs w:val="24"/>
              </w:rPr>
              <w:t>5</w:t>
            </w:r>
            <w:r w:rsidR="00CA11FC">
              <w:br/>
            </w:r>
            <w:r w:rsidR="00F472DC" w:rsidRPr="4D88EEE0">
              <w:rPr>
                <w:rFonts w:ascii="Times New Roman" w:hAnsi="Times New Roman"/>
                <w:b/>
                <w:bCs/>
                <w:sz w:val="24"/>
                <w:szCs w:val="24"/>
              </w:rPr>
              <w:t>60</w:t>
            </w:r>
            <w:r w:rsidR="5980D3C3" w:rsidRPr="4D88EEE0">
              <w:rPr>
                <w:rFonts w:ascii="Times New Roman" w:hAnsi="Times New Roman"/>
                <w:b/>
                <w:bCs/>
                <w:sz w:val="24"/>
                <w:szCs w:val="24"/>
              </w:rPr>
              <w:t>5</w:t>
            </w:r>
            <w:r w:rsidR="00F472DC" w:rsidRPr="4D88EEE0">
              <w:rPr>
                <w:rFonts w:ascii="Times New Roman" w:hAnsi="Times New Roman"/>
                <w:b/>
                <w:bCs/>
                <w:sz w:val="24"/>
                <w:szCs w:val="24"/>
                <w:vertAlign w:val="superscript"/>
              </w:rPr>
              <w:t>th</w:t>
            </w:r>
            <w:r w:rsidR="00F472DC" w:rsidRPr="4D88EEE0">
              <w:rPr>
                <w:rFonts w:ascii="Times New Roman" w:hAnsi="Times New Roman"/>
                <w:b/>
                <w:bCs/>
                <w:sz w:val="24"/>
                <w:szCs w:val="24"/>
              </w:rPr>
              <w:t xml:space="preserve"> </w:t>
            </w:r>
            <w:r w:rsidR="001C4138" w:rsidRPr="4D88EEE0">
              <w:rPr>
                <w:rFonts w:ascii="Times New Roman" w:hAnsi="Times New Roman"/>
                <w:b/>
                <w:bCs/>
                <w:sz w:val="24"/>
                <w:szCs w:val="24"/>
              </w:rPr>
              <w:t xml:space="preserve">Plenary Session – </w:t>
            </w:r>
            <w:r w:rsidR="3682FC3F" w:rsidRPr="4D88EEE0">
              <w:rPr>
                <w:rFonts w:ascii="Times New Roman" w:hAnsi="Times New Roman"/>
                <w:b/>
                <w:bCs/>
                <w:sz w:val="24"/>
                <w:szCs w:val="24"/>
              </w:rPr>
              <w:t xml:space="preserve">April </w:t>
            </w:r>
            <w:r w:rsidR="00F472DC" w:rsidRPr="4D88EEE0">
              <w:rPr>
                <w:rFonts w:ascii="Times New Roman" w:hAnsi="Times New Roman"/>
                <w:b/>
                <w:bCs/>
                <w:sz w:val="24"/>
                <w:szCs w:val="24"/>
              </w:rPr>
              <w:t>2026</w:t>
            </w:r>
            <w:r w:rsidR="00CA11FC">
              <w:br/>
            </w:r>
            <w:r w:rsidR="001C4138" w:rsidRPr="4D88EEE0">
              <w:rPr>
                <w:rFonts w:ascii="Times New Roman" w:hAnsi="Times New Roman"/>
                <w:b/>
                <w:bCs/>
                <w:sz w:val="24"/>
                <w:szCs w:val="24"/>
              </w:rPr>
              <w:t xml:space="preserve">Rapporteur: </w:t>
            </w:r>
            <w:r w:rsidR="604F4716" w:rsidRPr="4D88EEE0">
              <w:rPr>
                <w:rFonts w:ascii="Times New Roman" w:hAnsi="Times New Roman"/>
                <w:b/>
                <w:bCs/>
                <w:sz w:val="24"/>
                <w:szCs w:val="24"/>
              </w:rPr>
              <w:t xml:space="preserve">Maria del Carmen </w:t>
            </w:r>
            <w:r w:rsidR="6F7A03C3" w:rsidRPr="4D88EEE0">
              <w:rPr>
                <w:rFonts w:ascii="Times New Roman" w:hAnsi="Times New Roman"/>
                <w:b/>
                <w:bCs/>
                <w:sz w:val="24"/>
                <w:szCs w:val="24"/>
              </w:rPr>
              <w:t>BARRERA CHAMORRO</w:t>
            </w:r>
            <w:r w:rsidR="00215BC6" w:rsidRPr="4D88EEE0">
              <w:rPr>
                <w:rFonts w:ascii="Times New Roman" w:hAnsi="Times New Roman"/>
                <w:b/>
                <w:bCs/>
                <w:sz w:val="24"/>
                <w:szCs w:val="24"/>
              </w:rPr>
              <w:t xml:space="preserve"> </w:t>
            </w:r>
            <w:r w:rsidR="00CA11FC" w:rsidRPr="4D88EEE0">
              <w:rPr>
                <w:rFonts w:ascii="Times New Roman" w:hAnsi="Times New Roman"/>
                <w:b/>
                <w:bCs/>
                <w:sz w:val="24"/>
                <w:szCs w:val="24"/>
              </w:rPr>
              <w:t>(ES</w:t>
            </w:r>
            <w:r w:rsidR="001C4138" w:rsidRPr="4D88EEE0">
              <w:rPr>
                <w:rFonts w:ascii="Times New Roman" w:hAnsi="Times New Roman"/>
                <w:b/>
                <w:bCs/>
                <w:sz w:val="24"/>
                <w:szCs w:val="24"/>
              </w:rPr>
              <w:t xml:space="preserve"> -</w:t>
            </w:r>
            <w:r w:rsidR="00215BC6" w:rsidRPr="4D88EEE0">
              <w:rPr>
                <w:rFonts w:ascii="Times New Roman" w:hAnsi="Times New Roman"/>
                <w:b/>
                <w:bCs/>
                <w:sz w:val="24"/>
                <w:szCs w:val="24"/>
              </w:rPr>
              <w:t>I</w:t>
            </w:r>
            <w:r w:rsidR="791F5749" w:rsidRPr="4D88EEE0">
              <w:rPr>
                <w:rFonts w:ascii="Times New Roman" w:hAnsi="Times New Roman"/>
                <w:b/>
                <w:bCs/>
                <w:sz w:val="24"/>
                <w:szCs w:val="24"/>
              </w:rPr>
              <w:t>I</w:t>
            </w:r>
            <w:r w:rsidR="00CA11FC" w:rsidRPr="4D88EEE0">
              <w:rPr>
                <w:rFonts w:ascii="Times New Roman" w:hAnsi="Times New Roman"/>
                <w:b/>
                <w:bCs/>
                <w:sz w:val="24"/>
                <w:szCs w:val="24"/>
              </w:rPr>
              <w:t>)</w:t>
            </w:r>
            <w:r w:rsidR="00CA11FC">
              <w:br/>
            </w:r>
            <w:r w:rsidR="001C4138" w:rsidRPr="4D88EEE0">
              <w:rPr>
                <w:rFonts w:ascii="Times New Roman" w:hAnsi="Times New Roman"/>
                <w:b/>
                <w:bCs/>
                <w:sz w:val="24"/>
                <w:szCs w:val="24"/>
              </w:rPr>
              <w:t xml:space="preserve">DG </w:t>
            </w:r>
            <w:r w:rsidR="00F472DC" w:rsidRPr="4D88EEE0">
              <w:rPr>
                <w:rFonts w:ascii="Times New Roman" w:hAnsi="Times New Roman"/>
                <w:b/>
                <w:bCs/>
                <w:sz w:val="24"/>
                <w:szCs w:val="24"/>
              </w:rPr>
              <w:t>FISMA</w:t>
            </w:r>
            <w:r w:rsidR="001C4138" w:rsidRPr="4D88EEE0">
              <w:rPr>
                <w:rFonts w:ascii="Times New Roman" w:hAnsi="Times New Roman"/>
                <w:b/>
                <w:bCs/>
                <w:sz w:val="24"/>
                <w:szCs w:val="24"/>
              </w:rPr>
              <w:t xml:space="preserve"> – Commissioner</w:t>
            </w:r>
            <w:r w:rsidR="00F472DC" w:rsidRPr="4D88EEE0">
              <w:rPr>
                <w:rFonts w:ascii="Times New Roman" w:hAnsi="Times New Roman"/>
                <w:b/>
                <w:bCs/>
                <w:sz w:val="24"/>
                <w:szCs w:val="24"/>
              </w:rPr>
              <w:t xml:space="preserve"> ALBUQUERQUE</w:t>
            </w:r>
          </w:p>
        </w:tc>
      </w:tr>
      <w:tr w:rsidR="00734613" w:rsidRPr="0085710B" w14:paraId="1937071F" w14:textId="77777777" w:rsidTr="5449F5D9">
        <w:trPr>
          <w:jc w:val="center"/>
        </w:trPr>
        <w:tc>
          <w:tcPr>
            <w:tcW w:w="10243" w:type="dxa"/>
          </w:tcPr>
          <w:p w14:paraId="1E50B4DB" w14:textId="6210B328" w:rsidR="00734613" w:rsidRPr="0085710B" w:rsidRDefault="004F6117" w:rsidP="004F6117">
            <w:pPr>
              <w:spacing w:before="120" w:after="120"/>
              <w:jc w:val="center"/>
              <w:rPr>
                <w:rFonts w:ascii="Times New Roman" w:hAnsi="Times New Roman"/>
                <w:b/>
                <w:sz w:val="24"/>
                <w:szCs w:val="24"/>
              </w:rPr>
            </w:pPr>
            <w:r w:rsidRPr="0085710B">
              <w:rPr>
                <w:rFonts w:ascii="Times New Roman" w:hAnsi="Times New Roman"/>
                <w:b/>
                <w:sz w:val="24"/>
                <w:szCs w:val="24"/>
              </w:rPr>
              <w:t xml:space="preserve">European Commission position on points </w:t>
            </w:r>
            <w:r w:rsidRPr="0085710B">
              <w:rPr>
                <w:rFonts w:ascii="Times New Roman" w:hAnsi="Times New Roman"/>
                <w:b/>
                <w:sz w:val="24"/>
                <w:szCs w:val="24"/>
              </w:rPr>
              <w:br/>
              <w:t xml:space="preserve">of the European Economic and Social Committee </w:t>
            </w:r>
            <w:r w:rsidR="00554137" w:rsidRPr="0085710B">
              <w:rPr>
                <w:rFonts w:ascii="Times New Roman" w:hAnsi="Times New Roman"/>
                <w:b/>
                <w:sz w:val="24"/>
                <w:szCs w:val="24"/>
              </w:rPr>
              <w:t xml:space="preserve">(EESC) </w:t>
            </w:r>
            <w:r w:rsidRPr="0085710B">
              <w:rPr>
                <w:rFonts w:ascii="Times New Roman" w:hAnsi="Times New Roman"/>
                <w:b/>
                <w:sz w:val="24"/>
                <w:szCs w:val="24"/>
              </w:rPr>
              <w:t>opinion</w:t>
            </w:r>
            <w:r w:rsidR="00E83C12" w:rsidRPr="0085710B">
              <w:rPr>
                <w:rFonts w:ascii="Times New Roman" w:hAnsi="Times New Roman"/>
                <w:b/>
                <w:sz w:val="24"/>
                <w:szCs w:val="24"/>
              </w:rPr>
              <w:t xml:space="preserve"> considered as essential</w:t>
            </w:r>
          </w:p>
        </w:tc>
      </w:tr>
      <w:tr w:rsidR="00734613" w:rsidRPr="0085710B" w14:paraId="673DDC1B" w14:textId="77777777" w:rsidTr="5449F5D9">
        <w:trPr>
          <w:jc w:val="center"/>
        </w:trPr>
        <w:tc>
          <w:tcPr>
            <w:tcW w:w="10243" w:type="dxa"/>
          </w:tcPr>
          <w:p w14:paraId="0F404D88" w14:textId="5CB7E182" w:rsidR="6EE727D2" w:rsidRPr="003600AA" w:rsidRDefault="6EE727D2" w:rsidP="002E3DE5">
            <w:pPr>
              <w:tabs>
                <w:tab w:val="center" w:pos="5013"/>
              </w:tabs>
              <w:spacing w:before="120" w:after="120"/>
              <w:jc w:val="both"/>
              <w:rPr>
                <w:rFonts w:ascii="Times New Roman" w:eastAsia="Times New Roman" w:hAnsi="Times New Roman"/>
                <w:color w:val="000000"/>
                <w:sz w:val="24"/>
                <w:szCs w:val="24"/>
                <w:u w:val="single"/>
              </w:rPr>
            </w:pPr>
            <w:r w:rsidRPr="003600AA">
              <w:rPr>
                <w:rFonts w:ascii="Times New Roman" w:eastAsia="Times New Roman" w:hAnsi="Times New Roman"/>
                <w:color w:val="000000"/>
                <w:sz w:val="24"/>
                <w:szCs w:val="24"/>
                <w:u w:val="single"/>
              </w:rPr>
              <w:t>Point 1.1</w:t>
            </w:r>
          </w:p>
          <w:p w14:paraId="5B73E5F6" w14:textId="5AB2F1A7" w:rsidR="6EE727D2" w:rsidRPr="003600AA" w:rsidRDefault="36F66087" w:rsidP="000A4D38">
            <w:pPr>
              <w:spacing w:before="120" w:after="120"/>
              <w:jc w:val="both"/>
              <w:rPr>
                <w:rFonts w:ascii="Times New Roman" w:eastAsia="Times New Roman" w:hAnsi="Times New Roman"/>
                <w:color w:val="000000"/>
                <w:sz w:val="24"/>
                <w:szCs w:val="24"/>
              </w:rPr>
            </w:pPr>
            <w:r w:rsidRPr="003600AA">
              <w:rPr>
                <w:rFonts w:ascii="Times New Roman" w:eastAsia="Times New Roman" w:hAnsi="Times New Roman"/>
                <w:color w:val="000000" w:themeColor="text1"/>
                <w:sz w:val="24"/>
                <w:szCs w:val="24"/>
              </w:rPr>
              <w:t xml:space="preserve">The Commission welcomes the </w:t>
            </w:r>
            <w:r w:rsidR="004023DA">
              <w:rPr>
                <w:rFonts w:ascii="Times New Roman" w:eastAsia="Times New Roman" w:hAnsi="Times New Roman"/>
                <w:color w:val="000000" w:themeColor="text1"/>
                <w:sz w:val="24"/>
                <w:szCs w:val="24"/>
              </w:rPr>
              <w:t>Committee</w:t>
            </w:r>
            <w:r w:rsidRPr="003600AA">
              <w:rPr>
                <w:rFonts w:ascii="Times New Roman" w:eastAsia="Times New Roman" w:hAnsi="Times New Roman"/>
                <w:color w:val="000000" w:themeColor="text1"/>
                <w:sz w:val="24"/>
                <w:szCs w:val="24"/>
              </w:rPr>
              <w:t>’s Opinion</w:t>
            </w:r>
            <w:r w:rsidR="005F05EB" w:rsidRPr="003600AA">
              <w:rPr>
                <w:rStyle w:val="FootnoteReference"/>
                <w:rFonts w:ascii="Times New Roman" w:eastAsia="Times New Roman" w:hAnsi="Times New Roman"/>
                <w:color w:val="000000" w:themeColor="text1"/>
                <w:sz w:val="24"/>
                <w:szCs w:val="24"/>
              </w:rPr>
              <w:footnoteReference w:id="1"/>
            </w:r>
            <w:r w:rsidRPr="003600AA">
              <w:rPr>
                <w:rFonts w:ascii="Times New Roman" w:eastAsia="Times New Roman" w:hAnsi="Times New Roman"/>
                <w:color w:val="000000" w:themeColor="text1"/>
                <w:sz w:val="24"/>
                <w:szCs w:val="24"/>
              </w:rPr>
              <w:t xml:space="preserve"> and reaffirms that ensuring retirement with dignity and adequate income remains a fundamental priority of the European social agenda. </w:t>
            </w:r>
            <w:r w:rsidR="3B47322E" w:rsidRPr="003600AA">
              <w:rPr>
                <w:rFonts w:ascii="Times New Roman" w:eastAsia="Times New Roman" w:hAnsi="Times New Roman"/>
                <w:color w:val="000000" w:themeColor="text1"/>
                <w:sz w:val="24"/>
                <w:szCs w:val="24"/>
              </w:rPr>
              <w:t>T</w:t>
            </w:r>
            <w:r w:rsidRPr="003600AA">
              <w:rPr>
                <w:rFonts w:ascii="Times New Roman" w:eastAsia="Times New Roman" w:hAnsi="Times New Roman"/>
                <w:color w:val="000000" w:themeColor="text1"/>
                <w:sz w:val="24"/>
                <w:szCs w:val="24"/>
              </w:rPr>
              <w:t xml:space="preserve">he Commission wishes to </w:t>
            </w:r>
            <w:r w:rsidR="3B47322E" w:rsidRPr="003600AA">
              <w:rPr>
                <w:rFonts w:ascii="Times New Roman" w:eastAsia="Times New Roman" w:hAnsi="Times New Roman"/>
                <w:color w:val="000000" w:themeColor="text1"/>
                <w:sz w:val="24"/>
                <w:szCs w:val="24"/>
              </w:rPr>
              <w:t xml:space="preserve">reiterate </w:t>
            </w:r>
            <w:r w:rsidRPr="003600AA">
              <w:rPr>
                <w:rFonts w:ascii="Times New Roman" w:eastAsia="Times New Roman" w:hAnsi="Times New Roman"/>
                <w:color w:val="000000" w:themeColor="text1"/>
                <w:sz w:val="24"/>
                <w:szCs w:val="24"/>
              </w:rPr>
              <w:t>that it has no intention to interfere in the design or management of national pension systems, particularly public schemes, which remain strictly</w:t>
            </w:r>
            <w:r w:rsidR="00D34DD3">
              <w:rPr>
                <w:rFonts w:ascii="Times New Roman" w:eastAsia="Times New Roman" w:hAnsi="Times New Roman"/>
                <w:color w:val="000000" w:themeColor="text1"/>
                <w:sz w:val="24"/>
                <w:szCs w:val="24"/>
              </w:rPr>
              <w:t xml:space="preserve"> in</w:t>
            </w:r>
            <w:r w:rsidRPr="003600AA">
              <w:rPr>
                <w:rFonts w:ascii="Times New Roman" w:eastAsia="Times New Roman" w:hAnsi="Times New Roman"/>
                <w:color w:val="000000" w:themeColor="text1"/>
                <w:sz w:val="24"/>
                <w:szCs w:val="24"/>
              </w:rPr>
              <w:t xml:space="preserve"> the remit of Member States. The proposed legislative package</w:t>
            </w:r>
            <w:r w:rsidR="00A8253D" w:rsidRPr="003600AA">
              <w:rPr>
                <w:rStyle w:val="FootnoteReference"/>
                <w:rFonts w:ascii="Times New Roman" w:eastAsia="Times New Roman" w:hAnsi="Times New Roman"/>
                <w:color w:val="000000" w:themeColor="text1"/>
                <w:sz w:val="24"/>
                <w:szCs w:val="24"/>
              </w:rPr>
              <w:footnoteReference w:id="2"/>
            </w:r>
            <w:r w:rsidRPr="003600AA">
              <w:rPr>
                <w:rFonts w:ascii="Times New Roman" w:eastAsia="Times New Roman" w:hAnsi="Times New Roman"/>
                <w:color w:val="000000" w:themeColor="text1"/>
                <w:sz w:val="24"/>
                <w:szCs w:val="24"/>
              </w:rPr>
              <w:t xml:space="preserve"> focuses solely on improving the supplementary </w:t>
            </w:r>
            <w:r w:rsidR="35829EED" w:rsidRPr="003600AA">
              <w:rPr>
                <w:rFonts w:ascii="Times New Roman" w:eastAsia="Times New Roman" w:hAnsi="Times New Roman"/>
                <w:color w:val="000000" w:themeColor="text1"/>
                <w:sz w:val="24"/>
                <w:szCs w:val="24"/>
              </w:rPr>
              <w:t>pensions</w:t>
            </w:r>
            <w:r w:rsidRPr="003600AA">
              <w:rPr>
                <w:rFonts w:ascii="Times New Roman" w:eastAsia="Times New Roman" w:hAnsi="Times New Roman"/>
                <w:color w:val="000000" w:themeColor="text1"/>
                <w:sz w:val="24"/>
                <w:szCs w:val="24"/>
              </w:rPr>
              <w:t xml:space="preserve"> to provide </w:t>
            </w:r>
            <w:r w:rsidR="00D604A2">
              <w:rPr>
                <w:rFonts w:ascii="Times New Roman" w:eastAsia="Times New Roman" w:hAnsi="Times New Roman"/>
                <w:color w:val="000000" w:themeColor="text1"/>
                <w:sz w:val="24"/>
                <w:szCs w:val="24"/>
              </w:rPr>
              <w:br/>
            </w:r>
            <w:r w:rsidRPr="003600AA">
              <w:rPr>
                <w:rFonts w:ascii="Times New Roman" w:eastAsia="Times New Roman" w:hAnsi="Times New Roman"/>
                <w:color w:val="000000" w:themeColor="text1"/>
                <w:sz w:val="24"/>
                <w:szCs w:val="24"/>
              </w:rPr>
              <w:t>a value-adding component to the retirement mix, helping to address demographic pressures without undermining the primary role or adequacy of public pension provisions.</w:t>
            </w:r>
          </w:p>
          <w:p w14:paraId="4B4ECD73" w14:textId="70521332" w:rsidR="6EE727D2" w:rsidRPr="003600AA" w:rsidRDefault="6EE727D2" w:rsidP="003600AA">
            <w:pPr>
              <w:spacing w:before="120" w:after="120"/>
              <w:jc w:val="both"/>
              <w:rPr>
                <w:rFonts w:ascii="Times New Roman" w:eastAsia="Times New Roman" w:hAnsi="Times New Roman"/>
                <w:color w:val="000000"/>
                <w:sz w:val="24"/>
                <w:szCs w:val="24"/>
                <w:u w:val="single"/>
              </w:rPr>
            </w:pPr>
            <w:r w:rsidRPr="003600AA">
              <w:rPr>
                <w:rFonts w:ascii="Times New Roman" w:eastAsia="Times New Roman" w:hAnsi="Times New Roman"/>
                <w:color w:val="000000"/>
                <w:sz w:val="24"/>
                <w:szCs w:val="24"/>
                <w:u w:val="single"/>
              </w:rPr>
              <w:t>Point 1.2</w:t>
            </w:r>
          </w:p>
          <w:p w14:paraId="0AE525A1" w14:textId="29DB0F9C" w:rsidR="6EE727D2" w:rsidRDefault="3B47322E" w:rsidP="003600AA">
            <w:pPr>
              <w:spacing w:before="120" w:after="120"/>
              <w:jc w:val="both"/>
              <w:rPr>
                <w:rFonts w:ascii="Times New Roman" w:eastAsia="Times New Roman" w:hAnsi="Times New Roman"/>
                <w:color w:val="000000" w:themeColor="text1"/>
                <w:sz w:val="24"/>
                <w:szCs w:val="24"/>
              </w:rPr>
            </w:pPr>
            <w:r w:rsidRPr="003600AA">
              <w:rPr>
                <w:rFonts w:ascii="Times New Roman" w:eastAsia="Times New Roman" w:hAnsi="Times New Roman"/>
                <w:color w:val="000000" w:themeColor="text1"/>
                <w:sz w:val="24"/>
                <w:szCs w:val="24"/>
              </w:rPr>
              <w:t>The</w:t>
            </w:r>
            <w:r w:rsidR="36F66087" w:rsidRPr="003600AA">
              <w:rPr>
                <w:rFonts w:ascii="Times New Roman" w:eastAsia="Times New Roman" w:hAnsi="Times New Roman"/>
                <w:color w:val="000000" w:themeColor="text1"/>
                <w:sz w:val="24"/>
                <w:szCs w:val="24"/>
              </w:rPr>
              <w:t xml:space="preserve"> Commission acknowledges the importance of maintaining public pension systems alongside improvements to supplementary schemes. It fully supports the role of social partners and collective bargaining in the design of pension plans, remaining committed to the diversity of national systems and the freedom of social partners to negotiate</w:t>
            </w:r>
            <w:r w:rsidRPr="003600AA">
              <w:rPr>
                <w:rFonts w:ascii="Times New Roman" w:eastAsia="Times New Roman" w:hAnsi="Times New Roman"/>
                <w:color w:val="000000" w:themeColor="text1"/>
                <w:sz w:val="24"/>
                <w:szCs w:val="24"/>
              </w:rPr>
              <w:t xml:space="preserve"> pension </w:t>
            </w:r>
            <w:r w:rsidR="7BD9D500" w:rsidRPr="003600AA">
              <w:rPr>
                <w:rFonts w:ascii="Times New Roman" w:eastAsia="Times New Roman" w:hAnsi="Times New Roman"/>
                <w:color w:val="000000" w:themeColor="text1"/>
                <w:sz w:val="24"/>
                <w:szCs w:val="24"/>
              </w:rPr>
              <w:t>arrangements</w:t>
            </w:r>
            <w:r w:rsidR="000A4D38">
              <w:rPr>
                <w:rFonts w:ascii="Times New Roman" w:eastAsia="Times New Roman" w:hAnsi="Times New Roman"/>
                <w:color w:val="000000" w:themeColor="text1"/>
                <w:sz w:val="24"/>
                <w:szCs w:val="24"/>
              </w:rPr>
              <w:t>.</w:t>
            </w:r>
            <w:r w:rsidR="36F66087" w:rsidRPr="003600AA">
              <w:rPr>
                <w:rFonts w:ascii="Times New Roman" w:eastAsia="Times New Roman" w:hAnsi="Times New Roman"/>
                <w:color w:val="000000" w:themeColor="text1"/>
                <w:sz w:val="24"/>
                <w:szCs w:val="24"/>
              </w:rPr>
              <w:t xml:space="preserve"> Consequently, the proposed measures aim to foster social dialogue and participatory governance without infringing upon the established autonomy of Member States or their representative organisations.</w:t>
            </w:r>
          </w:p>
          <w:p w14:paraId="24268835" w14:textId="2E0BAEAF" w:rsidR="57BC3D6B" w:rsidRPr="003600AA" w:rsidRDefault="57BC3D6B"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1.3</w:t>
            </w:r>
          </w:p>
          <w:p w14:paraId="62C8AF19" w14:textId="65751456" w:rsidR="57BC3D6B" w:rsidRPr="003600AA" w:rsidRDefault="57BC3D6B" w:rsidP="003600AA">
            <w:pPr>
              <w:jc w:val="both"/>
              <w:rPr>
                <w:rFonts w:ascii="Times New Roman" w:eastAsia="Times New Roman" w:hAnsi="Times New Roman"/>
                <w:sz w:val="24"/>
                <w:szCs w:val="24"/>
              </w:rPr>
            </w:pPr>
            <w:r w:rsidRPr="003600AA">
              <w:rPr>
                <w:rFonts w:ascii="Times New Roman" w:eastAsia="Times New Roman" w:hAnsi="Times New Roman"/>
                <w:sz w:val="24"/>
                <w:szCs w:val="24"/>
              </w:rPr>
              <w:t>The Commission acknowledges the recommendation that reforms of the IORP</w:t>
            </w:r>
            <w:r w:rsidR="000E0561" w:rsidRPr="003600AA">
              <w:rPr>
                <w:rFonts w:ascii="Times New Roman" w:eastAsia="Times New Roman" w:hAnsi="Times New Roman"/>
                <w:sz w:val="24"/>
                <w:szCs w:val="24"/>
              </w:rPr>
              <w:t xml:space="preserve"> II</w:t>
            </w:r>
            <w:r w:rsidRPr="003600AA">
              <w:rPr>
                <w:rFonts w:ascii="Times New Roman" w:eastAsia="Times New Roman" w:hAnsi="Times New Roman"/>
                <w:sz w:val="24"/>
                <w:szCs w:val="24"/>
              </w:rPr>
              <w:t xml:space="preserve"> Directive</w:t>
            </w:r>
            <w:r w:rsidR="00A54D40" w:rsidRPr="003600AA">
              <w:rPr>
                <w:rStyle w:val="FootnoteReference"/>
                <w:rFonts w:ascii="Times New Roman" w:eastAsia="Times New Roman" w:hAnsi="Times New Roman"/>
                <w:sz w:val="24"/>
                <w:szCs w:val="24"/>
              </w:rPr>
              <w:footnoteReference w:id="3"/>
            </w:r>
            <w:r w:rsidRPr="003600AA">
              <w:rPr>
                <w:rFonts w:ascii="Times New Roman" w:eastAsia="Times New Roman" w:hAnsi="Times New Roman"/>
                <w:sz w:val="24"/>
                <w:szCs w:val="24"/>
              </w:rPr>
              <w:t xml:space="preserve"> and the PEPP Regulation</w:t>
            </w:r>
            <w:r w:rsidR="00E82ADF" w:rsidRPr="003600AA">
              <w:rPr>
                <w:rStyle w:val="FootnoteReference"/>
                <w:rFonts w:ascii="Times New Roman" w:eastAsia="Times New Roman" w:hAnsi="Times New Roman"/>
                <w:sz w:val="24"/>
                <w:szCs w:val="24"/>
              </w:rPr>
              <w:footnoteReference w:id="4"/>
            </w:r>
            <w:r w:rsidRPr="003600AA">
              <w:rPr>
                <w:rFonts w:ascii="Times New Roman" w:eastAsia="Times New Roman" w:hAnsi="Times New Roman"/>
                <w:sz w:val="24"/>
                <w:szCs w:val="24"/>
              </w:rPr>
              <w:t xml:space="preserve"> should respect national competences and existing pension models, while maintaining flexibility to reflect the diversity of national systems.</w:t>
            </w:r>
          </w:p>
          <w:p w14:paraId="321ED8EA" w14:textId="53CA99FF" w:rsidR="57BC3D6B" w:rsidRPr="003600AA" w:rsidRDefault="57BC3D6B" w:rsidP="003600AA">
            <w:pPr>
              <w:jc w:val="both"/>
              <w:rPr>
                <w:rFonts w:ascii="Times New Roman" w:eastAsia="Times New Roman" w:hAnsi="Times New Roman"/>
                <w:sz w:val="24"/>
                <w:szCs w:val="24"/>
              </w:rPr>
            </w:pPr>
            <w:r w:rsidRPr="003600AA">
              <w:rPr>
                <w:rFonts w:ascii="Times New Roman" w:eastAsia="Times New Roman" w:hAnsi="Times New Roman"/>
                <w:sz w:val="24"/>
                <w:szCs w:val="24"/>
              </w:rPr>
              <w:lastRenderedPageBreak/>
              <w:t xml:space="preserve">The Commission </w:t>
            </w:r>
            <w:r w:rsidR="000A4D38">
              <w:rPr>
                <w:rFonts w:ascii="Times New Roman" w:eastAsia="Times New Roman" w:hAnsi="Times New Roman"/>
                <w:sz w:val="24"/>
                <w:szCs w:val="24"/>
              </w:rPr>
              <w:t xml:space="preserve">would like to </w:t>
            </w:r>
            <w:r w:rsidRPr="003600AA">
              <w:rPr>
                <w:rFonts w:ascii="Times New Roman" w:eastAsia="Times New Roman" w:hAnsi="Times New Roman"/>
                <w:sz w:val="24"/>
                <w:szCs w:val="24"/>
              </w:rPr>
              <w:t>highlight that the proposed review of the IORP II Directive does not change its minimum-harmonisation nature. The framework remains flexible enough to accommodate national specificities and continues to allow Member States to further tailor the requirements set out in the Directive, without affecting national social and labour laws or the role of social partners in managing occupational pension schemes.</w:t>
            </w:r>
          </w:p>
          <w:p w14:paraId="04D37D21" w14:textId="1E82AAB9" w:rsidR="00B74A20" w:rsidRPr="003600AA" w:rsidRDefault="09FB53B3" w:rsidP="003600AA">
            <w:pPr>
              <w:jc w:val="both"/>
              <w:rPr>
                <w:rFonts w:ascii="Times New Roman" w:eastAsia="Times New Roman" w:hAnsi="Times New Roman"/>
                <w:sz w:val="24"/>
                <w:szCs w:val="24"/>
              </w:rPr>
            </w:pPr>
            <w:r w:rsidRPr="003600AA">
              <w:rPr>
                <w:rFonts w:ascii="Times New Roman" w:eastAsia="Times New Roman" w:hAnsi="Times New Roman"/>
                <w:sz w:val="24"/>
                <w:szCs w:val="24"/>
              </w:rPr>
              <w:t>Similarly, the PEPP Regulation does not in any way affect Member States’ prerogative to organise their pension systems or the role of social partners across Member States.</w:t>
            </w:r>
          </w:p>
          <w:p w14:paraId="7E01B639" w14:textId="3B435E62" w:rsidR="57BC3D6B" w:rsidRPr="003600AA" w:rsidRDefault="57BC3D6B"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1.4</w:t>
            </w:r>
          </w:p>
          <w:p w14:paraId="326A6BF6" w14:textId="3B79A910" w:rsidR="57BC3D6B" w:rsidRPr="003600AA" w:rsidRDefault="08EF7F66" w:rsidP="003600AA">
            <w:pPr>
              <w:spacing w:before="240" w:after="24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recognises the importance of reducing fragmentation, enhancing comparability and transparency, and maintaining the trust of scheme members. At the same time, it reiterates that the proposal was not intended to alter the minimum harmonisation nature of the Directive. </w:t>
            </w:r>
            <w:r w:rsidR="6ECB687E" w:rsidRPr="003600AA">
              <w:rPr>
                <w:rFonts w:ascii="Times New Roman" w:eastAsia="Times New Roman" w:hAnsi="Times New Roman"/>
                <w:sz w:val="24"/>
                <w:szCs w:val="24"/>
              </w:rPr>
              <w:t xml:space="preserve">The proposed </w:t>
            </w:r>
            <w:r w:rsidR="584896A4" w:rsidRPr="003600AA">
              <w:rPr>
                <w:rFonts w:ascii="Times New Roman" w:eastAsia="Times New Roman" w:hAnsi="Times New Roman"/>
                <w:sz w:val="24"/>
                <w:szCs w:val="24"/>
              </w:rPr>
              <w:t xml:space="preserve">amendments </w:t>
            </w:r>
            <w:r w:rsidR="7982B273" w:rsidRPr="003600AA">
              <w:rPr>
                <w:rFonts w:ascii="Times New Roman" w:eastAsia="Times New Roman" w:hAnsi="Times New Roman"/>
                <w:sz w:val="24"/>
                <w:szCs w:val="24"/>
              </w:rPr>
              <w:t xml:space="preserve">have been designed </w:t>
            </w:r>
            <w:r w:rsidR="3FDF5588" w:rsidRPr="003600AA">
              <w:rPr>
                <w:rFonts w:ascii="Times New Roman" w:eastAsia="Times New Roman" w:hAnsi="Times New Roman"/>
                <w:sz w:val="24"/>
                <w:szCs w:val="24"/>
              </w:rPr>
              <w:t>not to</w:t>
            </w:r>
            <w:r w:rsidRPr="003600AA">
              <w:rPr>
                <w:rFonts w:ascii="Times New Roman" w:eastAsia="Times New Roman" w:hAnsi="Times New Roman"/>
                <w:sz w:val="24"/>
                <w:szCs w:val="24"/>
              </w:rPr>
              <w:t xml:space="preserve"> </w:t>
            </w:r>
            <w:r w:rsidR="009E2318" w:rsidRPr="003600AA">
              <w:rPr>
                <w:rFonts w:ascii="Times New Roman" w:eastAsia="Times New Roman" w:hAnsi="Times New Roman"/>
                <w:sz w:val="24"/>
                <w:szCs w:val="24"/>
              </w:rPr>
              <w:t>interfere</w:t>
            </w:r>
            <w:r w:rsidRPr="003600AA">
              <w:rPr>
                <w:rFonts w:ascii="Times New Roman" w:eastAsia="Times New Roman" w:hAnsi="Times New Roman"/>
                <w:sz w:val="24"/>
                <w:szCs w:val="24"/>
              </w:rPr>
              <w:t xml:space="preserve"> with well-functioning national systems </w:t>
            </w:r>
            <w:r w:rsidR="39FCFAD0" w:rsidRPr="003600AA">
              <w:rPr>
                <w:rFonts w:ascii="Times New Roman" w:eastAsia="Times New Roman" w:hAnsi="Times New Roman"/>
                <w:sz w:val="24"/>
                <w:szCs w:val="24"/>
              </w:rPr>
              <w:t>or increase</w:t>
            </w:r>
            <w:r w:rsidRPr="003600AA">
              <w:rPr>
                <w:rFonts w:ascii="Times New Roman" w:eastAsia="Times New Roman" w:hAnsi="Times New Roman"/>
                <w:sz w:val="24"/>
                <w:szCs w:val="24"/>
              </w:rPr>
              <w:t xml:space="preserve"> regulatory burdens and costs for IORPs and members. The proposal </w:t>
            </w:r>
            <w:r w:rsidR="08542E2E" w:rsidRPr="003600AA">
              <w:rPr>
                <w:rFonts w:ascii="Times New Roman" w:eastAsia="Times New Roman" w:hAnsi="Times New Roman"/>
                <w:sz w:val="24"/>
                <w:szCs w:val="24"/>
              </w:rPr>
              <w:t xml:space="preserve">in fact </w:t>
            </w:r>
            <w:r w:rsidRPr="003600AA">
              <w:rPr>
                <w:rFonts w:ascii="Times New Roman" w:eastAsia="Times New Roman" w:hAnsi="Times New Roman"/>
                <w:sz w:val="24"/>
                <w:szCs w:val="24"/>
              </w:rPr>
              <w:t>seeks to strike a balance between sufficient transparency,</w:t>
            </w:r>
            <w:r w:rsidR="59A41FB8" w:rsidRPr="003600AA">
              <w:rPr>
                <w:rFonts w:ascii="Times New Roman" w:eastAsia="Times New Roman" w:hAnsi="Times New Roman"/>
                <w:sz w:val="24"/>
                <w:szCs w:val="24"/>
              </w:rPr>
              <w:t xml:space="preserve"> </w:t>
            </w:r>
            <w:r w:rsidRPr="003600AA">
              <w:rPr>
                <w:rFonts w:ascii="Times New Roman" w:eastAsia="Times New Roman" w:hAnsi="Times New Roman"/>
                <w:sz w:val="24"/>
                <w:szCs w:val="24"/>
              </w:rPr>
              <w:t>strong member protection and effective supervision, while avoiding the introduction of unnecessarily burdensome requirements.</w:t>
            </w:r>
          </w:p>
          <w:p w14:paraId="7843E512" w14:textId="406A6595" w:rsidR="57BC3D6B" w:rsidRPr="003600AA" w:rsidRDefault="007911FB" w:rsidP="003600AA">
            <w:pPr>
              <w:spacing w:before="240" w:after="240"/>
              <w:jc w:val="both"/>
              <w:rPr>
                <w:rFonts w:ascii="Times New Roman" w:eastAsia="Times New Roman" w:hAnsi="Times New Roman"/>
                <w:sz w:val="24"/>
                <w:szCs w:val="24"/>
              </w:rPr>
            </w:pPr>
            <w:r>
              <w:rPr>
                <w:rFonts w:ascii="Times New Roman" w:eastAsia="Times New Roman" w:hAnsi="Times New Roman"/>
                <w:sz w:val="24"/>
                <w:szCs w:val="24"/>
              </w:rPr>
              <w:t>C</w:t>
            </w:r>
            <w:r w:rsidR="57BC3D6B" w:rsidRPr="003600AA">
              <w:rPr>
                <w:rFonts w:ascii="Times New Roman" w:eastAsia="Times New Roman" w:hAnsi="Times New Roman"/>
                <w:sz w:val="24"/>
                <w:szCs w:val="24"/>
              </w:rPr>
              <w:t>oncerning the recommendation to assess periods of underfunding, including distinctions between cyclical and structural factors, Member States already have broad discretion to regulate this issue at national level. In addition, Article 14(2)(b)</w:t>
            </w:r>
            <w:r w:rsidR="005A2DAA" w:rsidRPr="003600AA">
              <w:rPr>
                <w:rStyle w:val="FootnoteReference"/>
                <w:rFonts w:ascii="Times New Roman" w:eastAsia="Times New Roman" w:hAnsi="Times New Roman"/>
                <w:sz w:val="24"/>
                <w:szCs w:val="24"/>
              </w:rPr>
              <w:footnoteReference w:id="5"/>
            </w:r>
            <w:r w:rsidR="57BC3D6B" w:rsidRPr="003600AA">
              <w:rPr>
                <w:rFonts w:ascii="Times New Roman" w:eastAsia="Times New Roman" w:hAnsi="Times New Roman"/>
                <w:sz w:val="24"/>
                <w:szCs w:val="24"/>
              </w:rPr>
              <w:t xml:space="preserve"> already provides that recovery plans should </w:t>
            </w:r>
            <w:r w:rsidR="007C26A1">
              <w:rPr>
                <w:rFonts w:ascii="Times New Roman" w:eastAsia="Times New Roman" w:hAnsi="Times New Roman"/>
                <w:sz w:val="24"/>
                <w:szCs w:val="24"/>
              </w:rPr>
              <w:t>consider</w:t>
            </w:r>
            <w:r w:rsidR="57BC3D6B" w:rsidRPr="003600AA">
              <w:rPr>
                <w:rFonts w:ascii="Times New Roman" w:eastAsia="Times New Roman" w:hAnsi="Times New Roman"/>
                <w:sz w:val="24"/>
                <w:szCs w:val="24"/>
              </w:rPr>
              <w:t xml:space="preserve"> the specific situation of the IORP, including its asset/liability structure, risk profile, liquidity plan and membership profile.</w:t>
            </w:r>
          </w:p>
          <w:p w14:paraId="18EE22E6" w14:textId="43450A77" w:rsidR="57BC3D6B" w:rsidRPr="003600AA" w:rsidRDefault="57BC3D6B"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1.5</w:t>
            </w:r>
          </w:p>
          <w:p w14:paraId="366DF9C3" w14:textId="63E3B0C8" w:rsidR="57BC3D6B" w:rsidRPr="003600AA" w:rsidRDefault="57BC3D6B" w:rsidP="003600AA">
            <w:pPr>
              <w:spacing w:before="120" w:after="120"/>
              <w:jc w:val="both"/>
              <w:rPr>
                <w:rFonts w:ascii="Times New Roman" w:eastAsia="Times New Roman" w:hAnsi="Times New Roman"/>
                <w:sz w:val="24"/>
                <w:szCs w:val="24"/>
              </w:rPr>
            </w:pPr>
            <w:r w:rsidRPr="5449F5D9">
              <w:rPr>
                <w:rFonts w:ascii="Times New Roman" w:eastAsia="Times New Roman" w:hAnsi="Times New Roman"/>
                <w:sz w:val="24"/>
                <w:szCs w:val="24"/>
              </w:rPr>
              <w:t xml:space="preserve">The Commission </w:t>
            </w:r>
            <w:r w:rsidR="000A4D38" w:rsidRPr="5449F5D9">
              <w:rPr>
                <w:rFonts w:ascii="Times New Roman" w:eastAsia="Times New Roman" w:hAnsi="Times New Roman"/>
                <w:sz w:val="24"/>
                <w:szCs w:val="24"/>
              </w:rPr>
              <w:t xml:space="preserve">takes </w:t>
            </w:r>
            <w:r w:rsidR="00FE3AC7" w:rsidRPr="5449F5D9">
              <w:rPr>
                <w:rFonts w:ascii="Times New Roman" w:eastAsia="Times New Roman" w:hAnsi="Times New Roman"/>
                <w:sz w:val="24"/>
                <w:szCs w:val="24"/>
              </w:rPr>
              <w:t>note</w:t>
            </w:r>
            <w:r w:rsidR="000A4D38" w:rsidRPr="5449F5D9">
              <w:rPr>
                <w:rFonts w:ascii="Times New Roman" w:eastAsia="Times New Roman" w:hAnsi="Times New Roman"/>
                <w:sz w:val="24"/>
                <w:szCs w:val="24"/>
              </w:rPr>
              <w:t xml:space="preserve"> of the</w:t>
            </w:r>
            <w:r w:rsidR="00FE3AC7" w:rsidRPr="5449F5D9">
              <w:rPr>
                <w:rFonts w:ascii="Times New Roman" w:eastAsia="Times New Roman" w:hAnsi="Times New Roman"/>
                <w:sz w:val="24"/>
                <w:szCs w:val="24"/>
              </w:rPr>
              <w:t xml:space="preserve"> </w:t>
            </w:r>
            <w:r w:rsidRPr="5449F5D9">
              <w:rPr>
                <w:rFonts w:ascii="Times New Roman" w:eastAsia="Times New Roman" w:hAnsi="Times New Roman"/>
                <w:sz w:val="24"/>
                <w:szCs w:val="24"/>
              </w:rPr>
              <w:t xml:space="preserve">recommendations to further amend the PEPP Regulation by requiring </w:t>
            </w:r>
            <w:r w:rsidR="0007030A" w:rsidRPr="5449F5D9">
              <w:rPr>
                <w:rFonts w:ascii="Times New Roman" w:eastAsia="Times New Roman" w:hAnsi="Times New Roman"/>
                <w:sz w:val="24"/>
                <w:szCs w:val="24"/>
              </w:rPr>
              <w:t xml:space="preserve">that </w:t>
            </w:r>
            <w:r w:rsidRPr="5449F5D9">
              <w:rPr>
                <w:rFonts w:ascii="Times New Roman" w:eastAsia="Times New Roman" w:hAnsi="Times New Roman"/>
                <w:sz w:val="24"/>
                <w:szCs w:val="24"/>
              </w:rPr>
              <w:t>provision of PEPPs</w:t>
            </w:r>
            <w:r w:rsidR="002D0C1B" w:rsidRPr="5449F5D9">
              <w:rPr>
                <w:rFonts w:ascii="Times New Roman" w:eastAsia="Times New Roman" w:hAnsi="Times New Roman"/>
                <w:sz w:val="24"/>
                <w:szCs w:val="24"/>
              </w:rPr>
              <w:t xml:space="preserve"> is</w:t>
            </w:r>
            <w:r w:rsidRPr="5449F5D9">
              <w:rPr>
                <w:rFonts w:ascii="Times New Roman" w:eastAsia="Times New Roman" w:hAnsi="Times New Roman"/>
                <w:sz w:val="24"/>
                <w:szCs w:val="24"/>
              </w:rPr>
              <w:t xml:space="preserve"> </w:t>
            </w:r>
            <w:r w:rsidR="005173C8" w:rsidRPr="5449F5D9">
              <w:rPr>
                <w:rFonts w:ascii="Times New Roman" w:eastAsia="Times New Roman" w:hAnsi="Times New Roman"/>
                <w:sz w:val="24"/>
                <w:szCs w:val="24"/>
              </w:rPr>
              <w:t>based on</w:t>
            </w:r>
            <w:r w:rsidRPr="5449F5D9">
              <w:rPr>
                <w:rFonts w:ascii="Times New Roman" w:eastAsia="Times New Roman" w:hAnsi="Times New Roman"/>
                <w:sz w:val="24"/>
                <w:szCs w:val="24"/>
              </w:rPr>
              <w:t xml:space="preserve"> advice, providing savers with clear information and cost simulations, strengthening </w:t>
            </w:r>
            <w:r w:rsidR="29EB456D" w:rsidRPr="5449F5D9">
              <w:rPr>
                <w:rFonts w:ascii="Times New Roman" w:eastAsia="Times New Roman" w:hAnsi="Times New Roman"/>
                <w:sz w:val="24"/>
                <w:szCs w:val="24"/>
              </w:rPr>
              <w:t xml:space="preserve">the </w:t>
            </w:r>
            <w:r w:rsidRPr="5449F5D9">
              <w:rPr>
                <w:rFonts w:ascii="Times New Roman" w:eastAsia="Times New Roman" w:hAnsi="Times New Roman"/>
                <w:sz w:val="24"/>
                <w:szCs w:val="24"/>
              </w:rPr>
              <w:t>European Insurance and Occupational Pensions Authority’s powers to address risks to savers, and increasing the minimum threshold for cross-border PEPP transfers.</w:t>
            </w:r>
          </w:p>
          <w:p w14:paraId="67F0935D" w14:textId="1D8687A7" w:rsidR="57BC3D6B" w:rsidRPr="003600AA" w:rsidRDefault="1F353275" w:rsidP="003600AA">
            <w:pPr>
              <w:spacing w:before="120" w:after="120"/>
              <w:jc w:val="both"/>
              <w:rPr>
                <w:rFonts w:ascii="Times New Roman" w:eastAsia="Times New Roman" w:hAnsi="Times New Roman"/>
                <w:sz w:val="24"/>
                <w:szCs w:val="24"/>
              </w:rPr>
            </w:pPr>
            <w:r w:rsidRPr="5449F5D9">
              <w:rPr>
                <w:rFonts w:ascii="Times New Roman" w:eastAsia="Times New Roman" w:hAnsi="Times New Roman"/>
                <w:sz w:val="24"/>
                <w:szCs w:val="24"/>
              </w:rPr>
              <w:t xml:space="preserve">Nonetheless, the Commission </w:t>
            </w:r>
            <w:r w:rsidR="000A4D38" w:rsidRPr="5449F5D9">
              <w:rPr>
                <w:rFonts w:ascii="Times New Roman" w:eastAsia="Times New Roman" w:hAnsi="Times New Roman"/>
                <w:sz w:val="24"/>
                <w:szCs w:val="24"/>
              </w:rPr>
              <w:t xml:space="preserve">would like to </w:t>
            </w:r>
            <w:r w:rsidRPr="5449F5D9">
              <w:rPr>
                <w:rFonts w:ascii="Times New Roman" w:eastAsia="Times New Roman" w:hAnsi="Times New Roman"/>
                <w:sz w:val="24"/>
                <w:szCs w:val="24"/>
              </w:rPr>
              <w:t xml:space="preserve">stress that mandatory advice already applies to tailored PEPPs, while this requirement was deliberately removed for the basic PEPP in view of its simple and inherently suitable design. The basic PEPP is conceived as a per se suitable product for savers, notably due to its mandatory life-cycle strategy, the requirement to invest at least 95% of assets </w:t>
            </w:r>
            <w:r w:rsidR="763682A2" w:rsidRPr="5449F5D9">
              <w:rPr>
                <w:rFonts w:ascii="Times New Roman" w:eastAsia="Times New Roman" w:hAnsi="Times New Roman"/>
                <w:sz w:val="24"/>
                <w:szCs w:val="24"/>
              </w:rPr>
              <w:t xml:space="preserve">other than cash </w:t>
            </w:r>
            <w:r w:rsidRPr="5449F5D9">
              <w:rPr>
                <w:rFonts w:ascii="Times New Roman" w:eastAsia="Times New Roman" w:hAnsi="Times New Roman"/>
                <w:sz w:val="24"/>
                <w:szCs w:val="24"/>
              </w:rPr>
              <w:t>in simple financial instruments, and the strong value-for-money framework ensuring cost-effectiveness.</w:t>
            </w:r>
            <w:r w:rsidR="2E6723A1" w:rsidRPr="5449F5D9">
              <w:rPr>
                <w:rFonts w:ascii="Times New Roman" w:eastAsia="Times New Roman" w:hAnsi="Times New Roman"/>
                <w:sz w:val="24"/>
                <w:szCs w:val="24"/>
              </w:rPr>
              <w:t xml:space="preserve"> Therefore, </w:t>
            </w:r>
            <w:r w:rsidR="1D59C819" w:rsidRPr="5449F5D9">
              <w:rPr>
                <w:rFonts w:ascii="Times New Roman" w:eastAsia="Times New Roman" w:hAnsi="Times New Roman"/>
                <w:sz w:val="24"/>
                <w:szCs w:val="24"/>
              </w:rPr>
              <w:t xml:space="preserve">a mandatory advice for the basic PEPP would be </w:t>
            </w:r>
            <w:r w:rsidR="54143880" w:rsidRPr="5449F5D9">
              <w:rPr>
                <w:rFonts w:ascii="Times New Roman" w:eastAsia="Times New Roman" w:hAnsi="Times New Roman"/>
                <w:sz w:val="24"/>
                <w:szCs w:val="24"/>
              </w:rPr>
              <w:t>unwarranted</w:t>
            </w:r>
            <w:r w:rsidR="0B177FFB" w:rsidRPr="5449F5D9">
              <w:rPr>
                <w:rFonts w:ascii="Times New Roman" w:eastAsia="Times New Roman" w:hAnsi="Times New Roman"/>
                <w:sz w:val="24"/>
                <w:szCs w:val="24"/>
              </w:rPr>
              <w:t xml:space="preserve"> </w:t>
            </w:r>
            <w:r w:rsidR="1D59C819" w:rsidRPr="5449F5D9">
              <w:rPr>
                <w:rFonts w:ascii="Times New Roman" w:eastAsia="Times New Roman" w:hAnsi="Times New Roman"/>
                <w:sz w:val="24"/>
                <w:szCs w:val="24"/>
              </w:rPr>
              <w:t>and would introduce additional costs that would undermine</w:t>
            </w:r>
            <w:r w:rsidR="75C24534" w:rsidRPr="5449F5D9">
              <w:rPr>
                <w:rFonts w:ascii="Times New Roman" w:eastAsia="Times New Roman" w:hAnsi="Times New Roman"/>
                <w:sz w:val="24"/>
                <w:szCs w:val="24"/>
              </w:rPr>
              <w:t xml:space="preserve"> the objective</w:t>
            </w:r>
            <w:r w:rsidR="7E77900E" w:rsidRPr="5449F5D9">
              <w:rPr>
                <w:rFonts w:ascii="Times New Roman" w:eastAsia="Times New Roman" w:hAnsi="Times New Roman"/>
                <w:sz w:val="24"/>
                <w:szCs w:val="24"/>
              </w:rPr>
              <w:t xml:space="preserve"> of cost effective</w:t>
            </w:r>
            <w:r w:rsidR="6401A1B2" w:rsidRPr="5449F5D9">
              <w:rPr>
                <w:rFonts w:ascii="Times New Roman" w:eastAsia="Times New Roman" w:hAnsi="Times New Roman"/>
                <w:sz w:val="24"/>
                <w:szCs w:val="24"/>
              </w:rPr>
              <w:t>ne</w:t>
            </w:r>
            <w:r w:rsidR="7E77900E" w:rsidRPr="5449F5D9">
              <w:rPr>
                <w:rFonts w:ascii="Times New Roman" w:eastAsia="Times New Roman" w:hAnsi="Times New Roman"/>
                <w:sz w:val="24"/>
                <w:szCs w:val="24"/>
              </w:rPr>
              <w:t>ss.</w:t>
            </w:r>
            <w:r w:rsidR="009E2318" w:rsidRPr="5449F5D9">
              <w:rPr>
                <w:rFonts w:ascii="Times New Roman" w:eastAsia="Times New Roman" w:hAnsi="Times New Roman"/>
                <w:sz w:val="24"/>
                <w:szCs w:val="24"/>
              </w:rPr>
              <w:t xml:space="preserve"> </w:t>
            </w:r>
            <w:r w:rsidR="08EF7F66" w:rsidRPr="5449F5D9">
              <w:rPr>
                <w:rFonts w:ascii="Times New Roman" w:eastAsia="Times New Roman" w:hAnsi="Times New Roman"/>
                <w:sz w:val="24"/>
                <w:szCs w:val="24"/>
              </w:rPr>
              <w:t xml:space="preserve">In addition, pre-contractual information under the KID has been further strengthened, alongside the role of </w:t>
            </w:r>
            <w:r w:rsidR="4966E79A" w:rsidRPr="5449F5D9">
              <w:rPr>
                <w:rFonts w:ascii="Times New Roman" w:eastAsia="Times New Roman" w:hAnsi="Times New Roman"/>
                <w:sz w:val="24"/>
                <w:szCs w:val="24"/>
              </w:rPr>
              <w:t xml:space="preserve">the </w:t>
            </w:r>
            <w:r w:rsidR="08EF7F66" w:rsidRPr="5449F5D9">
              <w:rPr>
                <w:rFonts w:ascii="Times New Roman" w:eastAsia="Times New Roman" w:hAnsi="Times New Roman"/>
                <w:sz w:val="24"/>
                <w:szCs w:val="24"/>
              </w:rPr>
              <w:t xml:space="preserve">European Insurance and Occupational Pensions Authority (EIOPA) to establish and coordinate collaboration platforms </w:t>
            </w:r>
            <w:r w:rsidR="08EF7F66" w:rsidRPr="5449F5D9">
              <w:rPr>
                <w:rFonts w:ascii="Times New Roman" w:eastAsia="Times New Roman" w:hAnsi="Times New Roman"/>
                <w:sz w:val="24"/>
                <w:szCs w:val="24"/>
              </w:rPr>
              <w:lastRenderedPageBreak/>
              <w:t>bringing together the relevant competent authorities to facilitate information exchange, promote supervisory convergence, and, where appropriate, assist in resolving disagreements between authorities. Finally, the Commission notices that no specific thresholds for cross border transfers are envisaged under the PEPP Regulation.</w:t>
            </w:r>
          </w:p>
          <w:p w14:paraId="4995EB96" w14:textId="438DC0E0" w:rsidR="007001E7" w:rsidRPr="003600AA" w:rsidRDefault="7382811F"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u w:val="single"/>
              </w:rPr>
              <w:t>Point 1.</w:t>
            </w:r>
            <w:r w:rsidR="35C0378D" w:rsidRPr="003600AA">
              <w:rPr>
                <w:rFonts w:ascii="Times New Roman" w:eastAsia="Times New Roman" w:hAnsi="Times New Roman"/>
                <w:sz w:val="24"/>
                <w:szCs w:val="24"/>
                <w:u w:val="single"/>
              </w:rPr>
              <w:t>6</w:t>
            </w:r>
          </w:p>
          <w:p w14:paraId="661BBCCA" w14:textId="2160D637" w:rsidR="472B8804" w:rsidRPr="003600AA" w:rsidRDefault="472B8804" w:rsidP="003600AA">
            <w:pPr>
              <w:spacing w:before="240" w:after="240"/>
              <w:jc w:val="both"/>
              <w:rPr>
                <w:rFonts w:ascii="Times New Roman" w:eastAsia="Times New Roman" w:hAnsi="Times New Roman"/>
                <w:sz w:val="24"/>
                <w:szCs w:val="24"/>
              </w:rPr>
            </w:pPr>
            <w:r w:rsidRPr="003600AA">
              <w:rPr>
                <w:rFonts w:ascii="Times New Roman" w:eastAsia="Times New Roman" w:hAnsi="Times New Roman"/>
                <w:sz w:val="24"/>
                <w:szCs w:val="24"/>
              </w:rPr>
              <w:t>The Commission recognises the importance of requiring Member States to consider measures to improve gender balance and gradually reduce gender gaps in private pension systems, in cooperation with social partners through social dialogue.</w:t>
            </w:r>
          </w:p>
          <w:p w14:paraId="24712CC4" w14:textId="24171FED" w:rsidR="4379F2BB" w:rsidRPr="003600AA" w:rsidRDefault="4379F2BB"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1.8</w:t>
            </w:r>
          </w:p>
          <w:p w14:paraId="6199BD9E" w14:textId="368BBA24" w:rsidR="4379F2BB" w:rsidRPr="003600AA" w:rsidRDefault="4379F2BB"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takes note of the recommendation that PEPPs should remain strictly individual and that group purchasing should not be allowed, as well as </w:t>
            </w:r>
            <w:r w:rsidR="008B5AAE">
              <w:rPr>
                <w:rFonts w:ascii="Times New Roman" w:eastAsia="Times New Roman" w:hAnsi="Times New Roman"/>
                <w:sz w:val="24"/>
                <w:szCs w:val="24"/>
              </w:rPr>
              <w:t xml:space="preserve">the Committee’s </w:t>
            </w:r>
            <w:r w:rsidRPr="003600AA">
              <w:rPr>
                <w:rFonts w:ascii="Times New Roman" w:eastAsia="Times New Roman" w:hAnsi="Times New Roman"/>
                <w:sz w:val="24"/>
                <w:szCs w:val="24"/>
              </w:rPr>
              <w:t>concerns that workplace PEPPs could conflict with collectively negotiated schemes. It also notes the importance of preserving the role of IORPs, which manage collective pension assets within frameworks based on social dialogue and collective bargaining.</w:t>
            </w:r>
          </w:p>
          <w:p w14:paraId="32AFF971" w14:textId="43BD146B" w:rsidR="4379F2BB" w:rsidRPr="003600AA" w:rsidRDefault="4379F2BB"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In this regard, the Commission stresses that the PEPP remains a voluntary personal pension product governed by an EU Regulation and that its legal nature is unchanged. The proposal only clarifies an existing implicit requirement that Member States should not prohibit employer contributions where this is in line with national social and labour law. The personal contract between</w:t>
            </w:r>
            <w:r w:rsidR="008B5AAE">
              <w:rPr>
                <w:rFonts w:ascii="Times New Roman" w:eastAsia="Times New Roman" w:hAnsi="Times New Roman"/>
                <w:sz w:val="24"/>
                <w:szCs w:val="24"/>
              </w:rPr>
              <w:t xml:space="preserve"> the</w:t>
            </w:r>
            <w:r w:rsidRPr="003600AA">
              <w:rPr>
                <w:rFonts w:ascii="Times New Roman" w:eastAsia="Times New Roman" w:hAnsi="Times New Roman"/>
                <w:sz w:val="24"/>
                <w:szCs w:val="24"/>
              </w:rPr>
              <w:t xml:space="preserve"> individual PEPP saver and the PEPP provider remains unchanged, and employer contributions do not affect the product’s classification. Furthermore, workplace use, including in auto-enrolment </w:t>
            </w:r>
            <w:proofErr w:type="gramStart"/>
            <w:r w:rsidRPr="003600AA">
              <w:rPr>
                <w:rFonts w:ascii="Times New Roman" w:eastAsia="Times New Roman" w:hAnsi="Times New Roman"/>
                <w:sz w:val="24"/>
                <w:szCs w:val="24"/>
              </w:rPr>
              <w:t>w</w:t>
            </w:r>
            <w:r w:rsidR="0075627B">
              <w:rPr>
                <w:rFonts w:ascii="Times New Roman" w:eastAsia="Times New Roman" w:hAnsi="Times New Roman"/>
                <w:sz w:val="24"/>
                <w:szCs w:val="24"/>
              </w:rPr>
              <w:t>h</w:t>
            </w:r>
            <w:r w:rsidRPr="003600AA">
              <w:rPr>
                <w:rFonts w:ascii="Times New Roman" w:eastAsia="Times New Roman" w:hAnsi="Times New Roman"/>
                <w:sz w:val="24"/>
                <w:szCs w:val="24"/>
              </w:rPr>
              <w:t>ere</w:t>
            </w:r>
            <w:proofErr w:type="gramEnd"/>
            <w:r w:rsidRPr="003600AA">
              <w:rPr>
                <w:rFonts w:ascii="Times New Roman" w:eastAsia="Times New Roman" w:hAnsi="Times New Roman"/>
                <w:sz w:val="24"/>
                <w:szCs w:val="24"/>
              </w:rPr>
              <w:t xml:space="preserve"> permitted under national law, does not turn the PEPP into an occupational scheme but simply allows use of a personal pension product where appropriate. National social and labour law and the autonomy of social partners remain fully respected.</w:t>
            </w:r>
          </w:p>
          <w:p w14:paraId="7378B4EF" w14:textId="26308896" w:rsidR="0049246C" w:rsidRPr="003600AA" w:rsidRDefault="1B609ABF"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1.9</w:t>
            </w:r>
          </w:p>
          <w:p w14:paraId="408EB84D" w14:textId="1B06D23A" w:rsidR="3D4BB5E6" w:rsidRPr="003600AA" w:rsidRDefault="0FC9115B">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w:t>
            </w:r>
            <w:r w:rsidR="79511DAA" w:rsidRPr="003600AA">
              <w:rPr>
                <w:rFonts w:ascii="Times New Roman" w:eastAsia="Times New Roman" w:hAnsi="Times New Roman"/>
                <w:sz w:val="24"/>
                <w:szCs w:val="24"/>
              </w:rPr>
              <w:t xml:space="preserve">notes the Committee’s </w:t>
            </w:r>
            <w:r w:rsidRPr="003600AA">
              <w:rPr>
                <w:rFonts w:ascii="Times New Roman" w:eastAsia="Times New Roman" w:hAnsi="Times New Roman"/>
                <w:sz w:val="24"/>
                <w:szCs w:val="24"/>
              </w:rPr>
              <w:t xml:space="preserve">concern </w:t>
            </w:r>
            <w:r w:rsidR="108A25A6" w:rsidRPr="5449F5D9">
              <w:rPr>
                <w:rFonts w:ascii="Times New Roman" w:eastAsia="Times New Roman" w:hAnsi="Times New Roman"/>
                <w:sz w:val="24"/>
                <w:szCs w:val="24"/>
              </w:rPr>
              <w:t xml:space="preserve">with </w:t>
            </w:r>
            <w:r w:rsidRPr="5449F5D9">
              <w:rPr>
                <w:rFonts w:ascii="Times New Roman" w:eastAsia="Times New Roman" w:hAnsi="Times New Roman"/>
                <w:sz w:val="24"/>
                <w:szCs w:val="24"/>
              </w:rPr>
              <w:t xml:space="preserve">the proposed wording regarding </w:t>
            </w:r>
            <w:r w:rsidR="003B3A1C" w:rsidRPr="5449F5D9">
              <w:rPr>
                <w:rFonts w:ascii="Times New Roman" w:eastAsia="Times New Roman" w:hAnsi="Times New Roman"/>
                <w:sz w:val="24"/>
                <w:szCs w:val="24"/>
              </w:rPr>
              <w:t xml:space="preserve">Article </w:t>
            </w:r>
            <w:r w:rsidRPr="5449F5D9">
              <w:rPr>
                <w:rFonts w:ascii="Times New Roman" w:eastAsia="Times New Roman" w:hAnsi="Times New Roman"/>
                <w:sz w:val="24"/>
                <w:szCs w:val="24"/>
              </w:rPr>
              <w:t>19</w:t>
            </w:r>
            <w:r w:rsidRPr="5449F5D9">
              <w:rPr>
                <w:rStyle w:val="FootnoteReference"/>
                <w:rFonts w:ascii="Times New Roman" w:eastAsia="Times New Roman" w:hAnsi="Times New Roman"/>
                <w:sz w:val="24"/>
                <w:szCs w:val="24"/>
              </w:rPr>
              <w:footnoteReference w:id="6"/>
            </w:r>
            <w:r w:rsidRPr="5449F5D9">
              <w:rPr>
                <w:rFonts w:ascii="Times New Roman" w:eastAsia="Times New Roman" w:hAnsi="Times New Roman"/>
                <w:sz w:val="24"/>
                <w:szCs w:val="24"/>
              </w:rPr>
              <w:t xml:space="preserve">. </w:t>
            </w:r>
            <w:r w:rsidR="00160471" w:rsidRPr="5449F5D9">
              <w:rPr>
                <w:rFonts w:ascii="Times New Roman" w:eastAsia="Times New Roman" w:hAnsi="Times New Roman"/>
                <w:sz w:val="24"/>
                <w:szCs w:val="24"/>
              </w:rPr>
              <w:t>T</w:t>
            </w:r>
            <w:r w:rsidRPr="5449F5D9">
              <w:rPr>
                <w:rFonts w:ascii="Times New Roman" w:eastAsia="Times New Roman" w:hAnsi="Times New Roman"/>
                <w:sz w:val="24"/>
                <w:szCs w:val="24"/>
              </w:rPr>
              <w:t>he Commission would like to emphasise that the prudent person principle is a cornerstone of efforts to deliver adequate and sustainable pensions. It enables IORPs and PEPPs to build diversified portfolios delivering the real returns needed for pension adequacy, while balancing returns with security and liquidity through a high fiduciary standard.</w:t>
            </w:r>
          </w:p>
          <w:p w14:paraId="5AB7C161" w14:textId="48CA0E63" w:rsidR="560909D8" w:rsidRPr="003600AA" w:rsidRDefault="560909D8" w:rsidP="003600AA">
            <w:pPr>
              <w:spacing w:before="120" w:after="120"/>
              <w:jc w:val="both"/>
              <w:rPr>
                <w:rFonts w:ascii="Times New Roman" w:eastAsia="Times New Roman" w:hAnsi="Times New Roman"/>
                <w:color w:val="000000"/>
                <w:sz w:val="24"/>
                <w:szCs w:val="24"/>
                <w:u w:val="single"/>
              </w:rPr>
            </w:pPr>
            <w:r w:rsidRPr="003600AA">
              <w:rPr>
                <w:rFonts w:ascii="Times New Roman" w:eastAsia="Times New Roman" w:hAnsi="Times New Roman"/>
                <w:color w:val="000000"/>
                <w:sz w:val="24"/>
                <w:szCs w:val="24"/>
                <w:u w:val="single"/>
              </w:rPr>
              <w:t>Point 1.10</w:t>
            </w:r>
          </w:p>
          <w:p w14:paraId="4B8FA5CD" w14:textId="6FBBB12A" w:rsidR="00FC48D7" w:rsidRPr="003600AA" w:rsidRDefault="0A015EC9" w:rsidP="003600AA">
            <w:pPr>
              <w:spacing w:before="120" w:after="120"/>
              <w:jc w:val="both"/>
              <w:rPr>
                <w:rFonts w:ascii="Times New Roman" w:eastAsia="Times New Roman" w:hAnsi="Times New Roman"/>
                <w:color w:val="000000" w:themeColor="text1"/>
                <w:sz w:val="24"/>
                <w:szCs w:val="24"/>
              </w:rPr>
            </w:pPr>
            <w:r w:rsidRPr="003600AA">
              <w:rPr>
                <w:rFonts w:ascii="Times New Roman" w:eastAsia="Times New Roman" w:hAnsi="Times New Roman"/>
                <w:color w:val="000000" w:themeColor="text1"/>
                <w:sz w:val="24"/>
                <w:szCs w:val="24"/>
              </w:rPr>
              <w:t>The Commission emphasises that the Recommendation</w:t>
            </w:r>
            <w:r w:rsidR="003B3A1C" w:rsidRPr="003600AA">
              <w:rPr>
                <w:rStyle w:val="FootnoteReference"/>
                <w:rFonts w:ascii="Times New Roman" w:eastAsia="Times New Roman" w:hAnsi="Times New Roman"/>
                <w:color w:val="000000" w:themeColor="text1"/>
                <w:sz w:val="24"/>
                <w:szCs w:val="24"/>
              </w:rPr>
              <w:footnoteReference w:id="7"/>
            </w:r>
            <w:r w:rsidRPr="003600AA">
              <w:rPr>
                <w:rFonts w:ascii="Times New Roman" w:eastAsia="Times New Roman" w:hAnsi="Times New Roman"/>
                <w:color w:val="000000" w:themeColor="text1"/>
                <w:sz w:val="24"/>
                <w:szCs w:val="24"/>
              </w:rPr>
              <w:t xml:space="preserve"> is designed to allow Member States to implement such mechanisms in a manner adapted to their specific national contexts. As explicitly stated in Article 10 of the Recommendation, these efforts must be carried out while respecting the role and autonomy of social partners.</w:t>
            </w:r>
          </w:p>
          <w:p w14:paraId="4DD18E87" w14:textId="57E12278" w:rsidR="560909D8" w:rsidRPr="003600AA" w:rsidRDefault="560909D8" w:rsidP="003600AA">
            <w:pPr>
              <w:spacing w:before="120" w:after="120"/>
              <w:jc w:val="both"/>
              <w:rPr>
                <w:rFonts w:ascii="Times New Roman" w:eastAsia="Times New Roman" w:hAnsi="Times New Roman"/>
                <w:color w:val="000000"/>
                <w:sz w:val="24"/>
                <w:szCs w:val="24"/>
                <w:u w:val="single"/>
              </w:rPr>
            </w:pPr>
            <w:r w:rsidRPr="003600AA">
              <w:rPr>
                <w:rFonts w:ascii="Times New Roman" w:eastAsia="Times New Roman" w:hAnsi="Times New Roman"/>
                <w:color w:val="000000"/>
                <w:sz w:val="24"/>
                <w:szCs w:val="24"/>
                <w:u w:val="single"/>
              </w:rPr>
              <w:t>Point 1.11</w:t>
            </w:r>
          </w:p>
          <w:p w14:paraId="506350D5" w14:textId="4CB70A67" w:rsidR="560909D8" w:rsidRPr="003600AA" w:rsidRDefault="6566AAFD" w:rsidP="003600AA">
            <w:pPr>
              <w:spacing w:before="120" w:after="120"/>
              <w:jc w:val="both"/>
              <w:rPr>
                <w:rFonts w:ascii="Times New Roman" w:eastAsia="Times New Roman" w:hAnsi="Times New Roman"/>
                <w:color w:val="000000"/>
                <w:sz w:val="24"/>
                <w:szCs w:val="24"/>
              </w:rPr>
            </w:pPr>
            <w:r w:rsidRPr="003600AA">
              <w:rPr>
                <w:rFonts w:ascii="Times New Roman" w:eastAsia="Times New Roman" w:hAnsi="Times New Roman"/>
                <w:color w:val="000000" w:themeColor="text1"/>
                <w:sz w:val="24"/>
                <w:szCs w:val="24"/>
              </w:rPr>
              <w:lastRenderedPageBreak/>
              <w:t>The Commission takes note of the proposal to establish a specific monitoring committee</w:t>
            </w:r>
            <w:r w:rsidR="008B5AAE">
              <w:rPr>
                <w:rFonts w:ascii="Times New Roman" w:eastAsia="Times New Roman" w:hAnsi="Times New Roman"/>
                <w:color w:val="000000" w:themeColor="text1"/>
                <w:sz w:val="24"/>
                <w:szCs w:val="24"/>
              </w:rPr>
              <w:t>. H</w:t>
            </w:r>
            <w:r w:rsidRPr="003600AA">
              <w:rPr>
                <w:rFonts w:ascii="Times New Roman" w:eastAsia="Times New Roman" w:hAnsi="Times New Roman"/>
                <w:color w:val="000000" w:themeColor="text1"/>
                <w:sz w:val="24"/>
                <w:szCs w:val="24"/>
              </w:rPr>
              <w:t xml:space="preserve">owever, it considers that the existing institutional framework already ensures rigorous and transparent oversight of pension systems and their social impact. The </w:t>
            </w:r>
            <w:r w:rsidR="0F0962CB" w:rsidRPr="003600AA">
              <w:rPr>
                <w:rFonts w:ascii="Times New Roman" w:eastAsia="Times New Roman" w:hAnsi="Times New Roman"/>
                <w:color w:val="000000" w:themeColor="text1"/>
                <w:sz w:val="24"/>
                <w:szCs w:val="24"/>
              </w:rPr>
              <w:t xml:space="preserve">recurrent </w:t>
            </w:r>
            <w:r w:rsidRPr="003600AA">
              <w:rPr>
                <w:rFonts w:ascii="Times New Roman" w:eastAsia="Times New Roman" w:hAnsi="Times New Roman"/>
                <w:color w:val="000000" w:themeColor="text1"/>
                <w:sz w:val="24"/>
                <w:szCs w:val="24"/>
              </w:rPr>
              <w:t>Pension Adequacy Report</w:t>
            </w:r>
            <w:r w:rsidR="0F0962CB" w:rsidRPr="003600AA">
              <w:rPr>
                <w:rFonts w:ascii="Times New Roman" w:eastAsia="Times New Roman" w:hAnsi="Times New Roman"/>
                <w:color w:val="000000" w:themeColor="text1"/>
                <w:sz w:val="24"/>
                <w:szCs w:val="24"/>
              </w:rPr>
              <w:t>s</w:t>
            </w:r>
            <w:r w:rsidRPr="003600AA">
              <w:rPr>
                <w:rFonts w:ascii="Times New Roman" w:eastAsia="Times New Roman" w:hAnsi="Times New Roman"/>
                <w:color w:val="000000" w:themeColor="text1"/>
                <w:sz w:val="24"/>
                <w:szCs w:val="24"/>
              </w:rPr>
              <w:t xml:space="preserve">, the upcoming Report on Adequate Social Protection in Old Age and the </w:t>
            </w:r>
            <w:r w:rsidR="0F0962CB" w:rsidRPr="003600AA">
              <w:rPr>
                <w:rFonts w:ascii="Times New Roman" w:eastAsia="Times New Roman" w:hAnsi="Times New Roman"/>
                <w:color w:val="000000" w:themeColor="text1"/>
                <w:sz w:val="24"/>
                <w:szCs w:val="24"/>
              </w:rPr>
              <w:t xml:space="preserve">recurrent </w:t>
            </w:r>
            <w:r w:rsidRPr="003600AA">
              <w:rPr>
                <w:rFonts w:ascii="Times New Roman" w:eastAsia="Times New Roman" w:hAnsi="Times New Roman"/>
                <w:color w:val="000000" w:themeColor="text1"/>
                <w:sz w:val="24"/>
                <w:szCs w:val="24"/>
              </w:rPr>
              <w:t>Ageing Report</w:t>
            </w:r>
            <w:r w:rsidR="0F0962CB" w:rsidRPr="003600AA">
              <w:rPr>
                <w:rFonts w:ascii="Times New Roman" w:eastAsia="Times New Roman" w:hAnsi="Times New Roman"/>
                <w:color w:val="000000" w:themeColor="text1"/>
                <w:sz w:val="24"/>
                <w:szCs w:val="24"/>
              </w:rPr>
              <w:t>s</w:t>
            </w:r>
            <w:r w:rsidRPr="003600AA">
              <w:rPr>
                <w:rFonts w:ascii="Times New Roman" w:eastAsia="Times New Roman" w:hAnsi="Times New Roman"/>
                <w:color w:val="000000" w:themeColor="text1"/>
                <w:sz w:val="24"/>
                <w:szCs w:val="24"/>
              </w:rPr>
              <w:t>, developed in close cooperation with Member States through the Social Protection Committee and the Economic Policy Committee, provide comprehensive data and impact assessments on income levels, poverty prevention, and the long-term sustainability of all pension pillars.</w:t>
            </w:r>
            <w:r w:rsidRPr="002E3DE5">
              <w:rPr>
                <w:rFonts w:ascii="Times New Roman" w:hAnsi="Times New Roman"/>
                <w:color w:val="000000" w:themeColor="text1"/>
                <w:sz w:val="24"/>
                <w:szCs w:val="24"/>
              </w:rPr>
              <w:t xml:space="preserve"> </w:t>
            </w:r>
            <w:r w:rsidRPr="003600AA">
              <w:rPr>
                <w:rFonts w:ascii="Times New Roman" w:eastAsia="Times New Roman" w:hAnsi="Times New Roman"/>
                <w:color w:val="000000" w:themeColor="text1"/>
                <w:sz w:val="24"/>
                <w:szCs w:val="24"/>
              </w:rPr>
              <w:t>Furthermore, the Social Protection Committee carries out regular monitoring and analysis of pension adequacy, including poverty prevention, through the pension adequacy benchmarking framework and thematic reporting. Finally, the European Semester serves as the established vehicle for monitoring national reforms and coordinating social and economic policies at the EU-level.</w:t>
            </w:r>
            <w:r w:rsidR="734BFC52" w:rsidRPr="003600AA">
              <w:rPr>
                <w:rFonts w:ascii="Times New Roman" w:eastAsia="Times New Roman" w:hAnsi="Times New Roman"/>
                <w:color w:val="000000" w:themeColor="text1"/>
                <w:sz w:val="24"/>
                <w:szCs w:val="24"/>
              </w:rPr>
              <w:t xml:space="preserve"> In this context, as outlined in the SIU </w:t>
            </w:r>
            <w:r w:rsidR="009A1CE5" w:rsidRPr="003600AA">
              <w:rPr>
                <w:rFonts w:ascii="Times New Roman" w:eastAsia="Times New Roman" w:hAnsi="Times New Roman"/>
                <w:color w:val="000000" w:themeColor="text1"/>
                <w:sz w:val="24"/>
                <w:szCs w:val="24"/>
              </w:rPr>
              <w:t>Strategy</w:t>
            </w:r>
            <w:r w:rsidR="734BFC52" w:rsidRPr="003600AA">
              <w:rPr>
                <w:rFonts w:ascii="Times New Roman" w:eastAsia="Times New Roman" w:hAnsi="Times New Roman"/>
                <w:color w:val="000000" w:themeColor="text1"/>
                <w:sz w:val="24"/>
                <w:szCs w:val="24"/>
              </w:rPr>
              <w:t>, the European Semester framework will also be actively employed to assess the broader socio-economic impacts of the SIU initiatives and their announced measures, including the evolution and adequacy of supplementary pension systems across the Member States.</w:t>
            </w:r>
          </w:p>
          <w:p w14:paraId="13008DED" w14:textId="168B9670" w:rsidR="560909D8" w:rsidRPr="003600AA" w:rsidRDefault="560909D8" w:rsidP="003600AA">
            <w:pPr>
              <w:spacing w:before="120" w:after="120"/>
              <w:jc w:val="both"/>
              <w:rPr>
                <w:rFonts w:ascii="Times New Roman" w:eastAsia="Times New Roman" w:hAnsi="Times New Roman"/>
                <w:color w:val="000000"/>
                <w:sz w:val="24"/>
                <w:szCs w:val="24"/>
                <w:u w:val="single"/>
              </w:rPr>
            </w:pPr>
            <w:r w:rsidRPr="003600AA">
              <w:rPr>
                <w:rFonts w:ascii="Times New Roman" w:eastAsia="Times New Roman" w:hAnsi="Times New Roman"/>
                <w:color w:val="000000"/>
                <w:sz w:val="24"/>
                <w:szCs w:val="24"/>
                <w:u w:val="single"/>
              </w:rPr>
              <w:t>Point 1.12</w:t>
            </w:r>
          </w:p>
          <w:p w14:paraId="711EAC75" w14:textId="3E7D1062" w:rsidR="560909D8" w:rsidRPr="003600AA" w:rsidRDefault="560909D8" w:rsidP="003600AA">
            <w:pPr>
              <w:spacing w:before="120" w:after="120"/>
              <w:jc w:val="both"/>
              <w:rPr>
                <w:rFonts w:ascii="Times New Roman" w:eastAsia="Times New Roman" w:hAnsi="Times New Roman"/>
                <w:color w:val="000000"/>
                <w:sz w:val="24"/>
                <w:szCs w:val="24"/>
              </w:rPr>
            </w:pPr>
            <w:r w:rsidRPr="003600AA">
              <w:rPr>
                <w:rFonts w:ascii="Times New Roman" w:eastAsia="Times New Roman" w:hAnsi="Times New Roman"/>
                <w:color w:val="000000"/>
                <w:sz w:val="24"/>
                <w:szCs w:val="24"/>
              </w:rPr>
              <w:t>The Commission shares the EESC’s view on the importance of monitoring the social impact of supplementary schemes and notes that the primary role of pension dashboards is to systematically monitor the long-term adequacy and sustainability of multi-pillar systems. These dashboards are designed to track pension gaps and inequality risks over time, providing policymakers with the necessary data to respond to any identified segregation effects. By evaluating the entire pension landscape, the Commission aims to ensure that the growth of supplementary pensions contributes to poverty reduction and overall income adequacy without compromising social cohesion.</w:t>
            </w:r>
          </w:p>
          <w:p w14:paraId="7E59D180" w14:textId="04BDDE70" w:rsidR="560909D8" w:rsidRPr="003600AA" w:rsidRDefault="45C5E1FD" w:rsidP="003600AA">
            <w:pPr>
              <w:spacing w:before="120" w:after="120"/>
              <w:jc w:val="both"/>
              <w:rPr>
                <w:rFonts w:ascii="Times New Roman" w:eastAsia="Times New Roman" w:hAnsi="Times New Roman"/>
                <w:color w:val="000000"/>
                <w:sz w:val="24"/>
                <w:szCs w:val="24"/>
                <w:u w:val="single"/>
              </w:rPr>
            </w:pPr>
            <w:r w:rsidRPr="003600AA">
              <w:rPr>
                <w:rFonts w:ascii="Times New Roman" w:eastAsia="Times New Roman" w:hAnsi="Times New Roman"/>
                <w:color w:val="000000" w:themeColor="text1"/>
                <w:sz w:val="24"/>
                <w:szCs w:val="24"/>
                <w:u w:val="single"/>
              </w:rPr>
              <w:t>Point 1.13</w:t>
            </w:r>
          </w:p>
          <w:p w14:paraId="6B448328" w14:textId="2516F2FA" w:rsidR="560909D8" w:rsidRPr="003600AA" w:rsidRDefault="6566AAFD" w:rsidP="003600AA">
            <w:pPr>
              <w:spacing w:before="120" w:after="120"/>
              <w:jc w:val="both"/>
              <w:rPr>
                <w:rFonts w:ascii="Times New Roman" w:eastAsia="Times New Roman" w:hAnsi="Times New Roman"/>
                <w:color w:val="881798"/>
                <w:sz w:val="24"/>
                <w:szCs w:val="24"/>
              </w:rPr>
            </w:pPr>
            <w:r w:rsidRPr="003600AA">
              <w:rPr>
                <w:rFonts w:ascii="Times New Roman" w:eastAsia="Times New Roman" w:hAnsi="Times New Roman"/>
                <w:color w:val="000000" w:themeColor="text1"/>
                <w:sz w:val="24"/>
                <w:szCs w:val="24"/>
              </w:rPr>
              <w:t xml:space="preserve">The Commission </w:t>
            </w:r>
            <w:r w:rsidR="2B085D07" w:rsidRPr="003600AA">
              <w:rPr>
                <w:rFonts w:ascii="Times New Roman" w:eastAsia="Times New Roman" w:hAnsi="Times New Roman"/>
                <w:color w:val="000000" w:themeColor="text1"/>
                <w:sz w:val="24"/>
                <w:szCs w:val="24"/>
              </w:rPr>
              <w:t xml:space="preserve">intends to </w:t>
            </w:r>
            <w:r w:rsidRPr="003600AA">
              <w:rPr>
                <w:rFonts w:ascii="Times New Roman" w:eastAsia="Times New Roman" w:hAnsi="Times New Roman"/>
                <w:color w:val="000000" w:themeColor="text1"/>
                <w:sz w:val="24"/>
                <w:szCs w:val="24"/>
              </w:rPr>
              <w:t xml:space="preserve">present the Fair Labour Mobility package in the third quarter of </w:t>
            </w:r>
            <w:r w:rsidR="008B5AAE">
              <w:rPr>
                <w:rFonts w:ascii="Times New Roman" w:eastAsia="Times New Roman" w:hAnsi="Times New Roman"/>
                <w:color w:val="000000" w:themeColor="text1"/>
                <w:sz w:val="24"/>
                <w:szCs w:val="24"/>
              </w:rPr>
              <w:t>2026</w:t>
            </w:r>
            <w:r w:rsidRPr="003600AA">
              <w:rPr>
                <w:rFonts w:ascii="Times New Roman" w:eastAsia="Times New Roman" w:hAnsi="Times New Roman"/>
                <w:color w:val="000000" w:themeColor="text1"/>
                <w:sz w:val="24"/>
                <w:szCs w:val="24"/>
              </w:rPr>
              <w:t xml:space="preserve"> to modernise, simplify and digitalise rules and processes in labour mobility and social security coordination. As part of the package, the Commission </w:t>
            </w:r>
            <w:r w:rsidR="2B085D07" w:rsidRPr="003600AA">
              <w:rPr>
                <w:rFonts w:ascii="Times New Roman" w:eastAsia="Times New Roman" w:hAnsi="Times New Roman"/>
                <w:color w:val="000000" w:themeColor="text1"/>
                <w:sz w:val="24"/>
                <w:szCs w:val="24"/>
              </w:rPr>
              <w:t xml:space="preserve">intends to </w:t>
            </w:r>
            <w:r w:rsidRPr="003600AA">
              <w:rPr>
                <w:rFonts w:ascii="Times New Roman" w:eastAsia="Times New Roman" w:hAnsi="Times New Roman"/>
                <w:color w:val="000000" w:themeColor="text1"/>
                <w:sz w:val="24"/>
                <w:szCs w:val="24"/>
              </w:rPr>
              <w:t xml:space="preserve">present a proposal for a European Social Security Pass </w:t>
            </w:r>
            <w:r w:rsidR="7B96C467" w:rsidRPr="003600AA">
              <w:rPr>
                <w:rFonts w:ascii="Times New Roman" w:eastAsia="Times New Roman" w:hAnsi="Times New Roman"/>
                <w:color w:val="000000" w:themeColor="text1"/>
                <w:sz w:val="24"/>
                <w:szCs w:val="24"/>
              </w:rPr>
              <w:t>which aims to</w:t>
            </w:r>
            <w:r w:rsidR="2B085D07" w:rsidRPr="003600AA">
              <w:rPr>
                <w:rFonts w:ascii="Times New Roman" w:eastAsia="Times New Roman" w:hAnsi="Times New Roman"/>
                <w:color w:val="000000" w:themeColor="text1"/>
                <w:sz w:val="24"/>
                <w:szCs w:val="24"/>
              </w:rPr>
              <w:t xml:space="preserve"> digitalis</w:t>
            </w:r>
            <w:r w:rsidR="5FC96BA5" w:rsidRPr="003600AA">
              <w:rPr>
                <w:rFonts w:ascii="Times New Roman" w:eastAsia="Times New Roman" w:hAnsi="Times New Roman"/>
                <w:color w:val="000000" w:themeColor="text1"/>
                <w:sz w:val="24"/>
                <w:szCs w:val="24"/>
              </w:rPr>
              <w:t>e</w:t>
            </w:r>
            <w:r w:rsidRPr="003600AA">
              <w:rPr>
                <w:rFonts w:ascii="Times New Roman" w:eastAsia="Times New Roman" w:hAnsi="Times New Roman"/>
                <w:color w:val="000000" w:themeColor="text1"/>
                <w:sz w:val="24"/>
                <w:szCs w:val="24"/>
              </w:rPr>
              <w:t xml:space="preserve"> portable documents </w:t>
            </w:r>
            <w:proofErr w:type="gramStart"/>
            <w:r w:rsidRPr="003600AA">
              <w:rPr>
                <w:rFonts w:ascii="Times New Roman" w:eastAsia="Times New Roman" w:hAnsi="Times New Roman"/>
                <w:color w:val="000000" w:themeColor="text1"/>
                <w:sz w:val="24"/>
                <w:szCs w:val="24"/>
              </w:rPr>
              <w:t>in the area of</w:t>
            </w:r>
            <w:proofErr w:type="gramEnd"/>
            <w:r w:rsidRPr="003600AA">
              <w:rPr>
                <w:rFonts w:ascii="Times New Roman" w:eastAsia="Times New Roman" w:hAnsi="Times New Roman"/>
                <w:color w:val="000000" w:themeColor="text1"/>
                <w:sz w:val="24"/>
                <w:szCs w:val="24"/>
              </w:rPr>
              <w:t xml:space="preserve"> social security, ensuring their instant verification to facilitate the interaction between mobile workers, businesses and public authorities as regards social security rights and entitlements.</w:t>
            </w:r>
          </w:p>
          <w:p w14:paraId="7A5E612A" w14:textId="03DC356E" w:rsidR="560909D8" w:rsidRPr="003600AA" w:rsidRDefault="45C5E1FD" w:rsidP="003600AA">
            <w:pPr>
              <w:spacing w:before="120" w:after="120"/>
              <w:jc w:val="both"/>
              <w:rPr>
                <w:rFonts w:ascii="Times New Roman" w:eastAsia="Times New Roman" w:hAnsi="Times New Roman"/>
                <w:color w:val="000000"/>
                <w:sz w:val="24"/>
                <w:szCs w:val="24"/>
                <w:u w:val="single"/>
              </w:rPr>
            </w:pPr>
            <w:r w:rsidRPr="003600AA">
              <w:rPr>
                <w:rFonts w:ascii="Times New Roman" w:eastAsia="Times New Roman" w:hAnsi="Times New Roman"/>
                <w:color w:val="000000" w:themeColor="text1"/>
                <w:sz w:val="24"/>
                <w:szCs w:val="24"/>
                <w:u w:val="single"/>
              </w:rPr>
              <w:t>Point 1.14</w:t>
            </w:r>
          </w:p>
          <w:p w14:paraId="2D0A85C5" w14:textId="72B65E23" w:rsidR="560909D8" w:rsidRPr="003600AA" w:rsidRDefault="6566AAFD" w:rsidP="003600AA">
            <w:pPr>
              <w:spacing w:before="120" w:after="120"/>
              <w:jc w:val="both"/>
              <w:rPr>
                <w:rFonts w:ascii="Times New Roman" w:eastAsia="Times New Roman" w:hAnsi="Times New Roman"/>
                <w:color w:val="000000" w:themeColor="text1"/>
                <w:sz w:val="24"/>
                <w:szCs w:val="24"/>
              </w:rPr>
            </w:pPr>
            <w:r w:rsidRPr="003600AA">
              <w:rPr>
                <w:rFonts w:ascii="Times New Roman" w:eastAsia="Times New Roman" w:hAnsi="Times New Roman"/>
                <w:color w:val="000000" w:themeColor="text1"/>
                <w:sz w:val="24"/>
                <w:szCs w:val="24"/>
              </w:rPr>
              <w:t xml:space="preserve">The Commission agrees that raising awareness of pension prospects and providing continuous financial education are vital for informed decision-making. The Recommendation specifically promotes the development of national pension tracking systems to provide citizens with a clear, user-friendly overview of their pension entitlements and projected future benefits from both public and supplementary schemes. These tracking tools, as advocated by the Commission, can facilitate easy access to the guidance and data necessary for individuals to navigate all stages of retirement planning, including the decumulation phase. Furthermore, the Commission supports the roll-out of the European Tracking Service for pensions, which will support mobile workers by facilitating access to information </w:t>
            </w:r>
            <w:r w:rsidRPr="003600AA">
              <w:rPr>
                <w:rFonts w:ascii="Times New Roman" w:eastAsia="Times New Roman" w:hAnsi="Times New Roman"/>
                <w:color w:val="000000" w:themeColor="text1"/>
                <w:sz w:val="24"/>
                <w:szCs w:val="24"/>
              </w:rPr>
              <w:lastRenderedPageBreak/>
              <w:t>on pension rights held in different Member States through a single cross-border platform.</w:t>
            </w:r>
            <w:r w:rsidR="7865E197" w:rsidRPr="003600AA">
              <w:rPr>
                <w:rFonts w:ascii="Times New Roman" w:eastAsia="Times New Roman" w:hAnsi="Times New Roman"/>
                <w:color w:val="000000" w:themeColor="text1"/>
                <w:sz w:val="24"/>
                <w:szCs w:val="24"/>
              </w:rPr>
              <w:t xml:space="preserve"> This objective is fully aligned with the Commission’s Financial Literacy Strategy</w:t>
            </w:r>
            <w:r w:rsidR="00B1756C" w:rsidRPr="003600AA">
              <w:rPr>
                <w:rStyle w:val="FootnoteReference"/>
                <w:rFonts w:ascii="Times New Roman" w:eastAsia="Times New Roman" w:hAnsi="Times New Roman"/>
                <w:color w:val="000000" w:themeColor="text1"/>
                <w:sz w:val="24"/>
                <w:szCs w:val="24"/>
              </w:rPr>
              <w:footnoteReference w:id="8"/>
            </w:r>
            <w:r w:rsidR="7865E197" w:rsidRPr="003600AA">
              <w:rPr>
                <w:rFonts w:ascii="Times New Roman" w:eastAsia="Times New Roman" w:hAnsi="Times New Roman"/>
                <w:color w:val="000000" w:themeColor="text1"/>
                <w:sz w:val="24"/>
                <w:szCs w:val="24"/>
              </w:rPr>
              <w:t>, which aims to empower individuals with the necessary skills and knowledge to manage long-term savings.</w:t>
            </w:r>
          </w:p>
          <w:p w14:paraId="5061BBA4" w14:textId="1034A443" w:rsidR="560D5195" w:rsidRPr="003600AA" w:rsidRDefault="560D5195" w:rsidP="003600AA">
            <w:pPr>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2.1</w:t>
            </w:r>
          </w:p>
          <w:p w14:paraId="414E5449" w14:textId="7C742753" w:rsidR="560D5195" w:rsidRPr="003600AA" w:rsidRDefault="0247051F" w:rsidP="003600AA">
            <w:pPr>
              <w:jc w:val="both"/>
              <w:rPr>
                <w:rFonts w:ascii="Times New Roman" w:eastAsia="Times New Roman" w:hAnsi="Times New Roman"/>
                <w:color w:val="008080"/>
                <w:sz w:val="24"/>
                <w:szCs w:val="24"/>
                <w:u w:val="single"/>
                <w:lang w:val="en-GB"/>
              </w:rPr>
            </w:pPr>
            <w:r w:rsidRPr="003600AA">
              <w:rPr>
                <w:rFonts w:ascii="Times New Roman" w:eastAsia="Times New Roman" w:hAnsi="Times New Roman"/>
                <w:sz w:val="24"/>
                <w:szCs w:val="24"/>
              </w:rPr>
              <w:t>Regarding the comment about lack of an impact assessment</w:t>
            </w:r>
            <w:r w:rsidR="00227DD8">
              <w:rPr>
                <w:rFonts w:ascii="Times New Roman" w:eastAsia="Times New Roman" w:hAnsi="Times New Roman"/>
                <w:sz w:val="24"/>
                <w:szCs w:val="24"/>
              </w:rPr>
              <w:t xml:space="preserve"> of the </w:t>
            </w:r>
            <w:r w:rsidR="00227DD8" w:rsidRPr="00227DD8">
              <w:rPr>
                <w:rFonts w:ascii="Times New Roman" w:eastAsia="Times New Roman" w:hAnsi="Times New Roman"/>
                <w:sz w:val="24"/>
                <w:szCs w:val="24"/>
              </w:rPr>
              <w:t>EU's Supplementary Pensions Package</w:t>
            </w:r>
            <w:r w:rsidRPr="003600AA">
              <w:rPr>
                <w:rFonts w:ascii="Times New Roman" w:eastAsia="Times New Roman" w:hAnsi="Times New Roman"/>
                <w:sz w:val="24"/>
                <w:szCs w:val="24"/>
              </w:rPr>
              <w:t xml:space="preserve">, the Commission underlines that the publication of the </w:t>
            </w:r>
            <w:r w:rsidR="00227DD8">
              <w:rPr>
                <w:rFonts w:ascii="Times New Roman" w:eastAsia="Times New Roman" w:hAnsi="Times New Roman"/>
                <w:sz w:val="24"/>
                <w:szCs w:val="24"/>
              </w:rPr>
              <w:t>p</w:t>
            </w:r>
            <w:r w:rsidRPr="003600AA">
              <w:rPr>
                <w:rFonts w:ascii="Times New Roman" w:eastAsia="Times New Roman" w:hAnsi="Times New Roman"/>
                <w:sz w:val="24"/>
                <w:szCs w:val="24"/>
              </w:rPr>
              <w:t>ackage was accompanied by a Staff Working Documen</w:t>
            </w:r>
            <w:r w:rsidR="670ADFC7" w:rsidRPr="003600AA">
              <w:rPr>
                <w:rFonts w:ascii="Times New Roman" w:eastAsia="Times New Roman" w:hAnsi="Times New Roman"/>
                <w:sz w:val="24"/>
                <w:szCs w:val="24"/>
              </w:rPr>
              <w:t>t</w:t>
            </w:r>
            <w:r w:rsidR="009E1BCA" w:rsidRPr="003600AA">
              <w:rPr>
                <w:rStyle w:val="FootnoteReference"/>
                <w:rFonts w:ascii="Times New Roman" w:eastAsia="Times New Roman" w:hAnsi="Times New Roman"/>
                <w:sz w:val="24"/>
                <w:szCs w:val="24"/>
              </w:rPr>
              <w:footnoteReference w:id="9"/>
            </w:r>
            <w:r w:rsidRPr="003600AA">
              <w:rPr>
                <w:rFonts w:ascii="Times New Roman" w:eastAsia="Times New Roman" w:hAnsi="Times New Roman"/>
                <w:sz w:val="24"/>
                <w:szCs w:val="24"/>
              </w:rPr>
              <w:t>. This document provides a comprehensive, evidence-based and in-depth analysis of the underlying problems that the package, including the two legislative proposals, seeks to address, as well as a detailed overview of the different policy options assessed by the Commission</w:t>
            </w:r>
            <w:r w:rsidRPr="003600AA">
              <w:rPr>
                <w:rFonts w:ascii="Times New Roman" w:eastAsia="Times New Roman" w:hAnsi="Times New Roman"/>
                <w:i/>
                <w:iCs/>
                <w:sz w:val="24"/>
                <w:szCs w:val="24"/>
              </w:rPr>
              <w:t>.</w:t>
            </w:r>
            <w:r w:rsidR="63ABD539" w:rsidRPr="003600AA">
              <w:rPr>
                <w:rFonts w:ascii="Times New Roman" w:eastAsia="Times New Roman" w:hAnsi="Times New Roman"/>
                <w:sz w:val="24"/>
                <w:szCs w:val="24"/>
              </w:rPr>
              <w:t xml:space="preserve"> The </w:t>
            </w:r>
            <w:r w:rsidR="513D786A" w:rsidRPr="003600AA">
              <w:rPr>
                <w:rFonts w:ascii="Times New Roman" w:eastAsia="Times New Roman" w:hAnsi="Times New Roman"/>
                <w:sz w:val="24"/>
                <w:szCs w:val="24"/>
              </w:rPr>
              <w:t xml:space="preserve">assessment </w:t>
            </w:r>
            <w:r w:rsidR="63ABD539" w:rsidRPr="003600AA">
              <w:rPr>
                <w:rFonts w:ascii="Times New Roman" w:eastAsia="Times New Roman" w:hAnsi="Times New Roman"/>
                <w:sz w:val="24"/>
                <w:szCs w:val="24"/>
              </w:rPr>
              <w:t xml:space="preserve">and </w:t>
            </w:r>
            <w:r w:rsidR="36301011" w:rsidRPr="003600AA">
              <w:rPr>
                <w:rFonts w:ascii="Times New Roman" w:eastAsia="Times New Roman" w:hAnsi="Times New Roman"/>
                <w:sz w:val="24"/>
                <w:szCs w:val="24"/>
              </w:rPr>
              <w:t xml:space="preserve">conclusions </w:t>
            </w:r>
            <w:r w:rsidR="63ABD539" w:rsidRPr="003600AA">
              <w:rPr>
                <w:rFonts w:ascii="Times New Roman" w:eastAsia="Times New Roman" w:hAnsi="Times New Roman"/>
                <w:sz w:val="24"/>
                <w:szCs w:val="24"/>
              </w:rPr>
              <w:t>wer</w:t>
            </w:r>
            <w:r w:rsidR="0945D71B" w:rsidRPr="003600AA">
              <w:rPr>
                <w:rFonts w:ascii="Times New Roman" w:eastAsia="Times New Roman" w:hAnsi="Times New Roman"/>
                <w:sz w:val="24"/>
                <w:szCs w:val="24"/>
              </w:rPr>
              <w:t>e</w:t>
            </w:r>
            <w:r w:rsidR="0945D71B" w:rsidRPr="003600AA">
              <w:rPr>
                <w:rFonts w:ascii="Times New Roman" w:eastAsia="Times New Roman" w:hAnsi="Times New Roman"/>
                <w:color w:val="008080"/>
                <w:sz w:val="24"/>
                <w:szCs w:val="24"/>
                <w:lang w:val="en-GB"/>
              </w:rPr>
              <w:t xml:space="preserve"> </w:t>
            </w:r>
            <w:r w:rsidR="0945D71B" w:rsidRPr="003600AA">
              <w:rPr>
                <w:rFonts w:ascii="Times New Roman" w:eastAsia="Times New Roman" w:hAnsi="Times New Roman"/>
                <w:sz w:val="24"/>
                <w:szCs w:val="24"/>
                <w:lang w:val="en-GB"/>
              </w:rPr>
              <w:t xml:space="preserve">based on </w:t>
            </w:r>
            <w:r w:rsidR="00227DD8">
              <w:rPr>
                <w:rFonts w:ascii="Times New Roman" w:eastAsia="Times New Roman" w:hAnsi="Times New Roman"/>
                <w:sz w:val="24"/>
                <w:szCs w:val="24"/>
                <w:lang w:val="en-GB"/>
              </w:rPr>
              <w:t xml:space="preserve">an </w:t>
            </w:r>
            <w:r w:rsidR="0945D71B" w:rsidRPr="003600AA">
              <w:rPr>
                <w:rFonts w:ascii="Times New Roman" w:eastAsia="Times New Roman" w:hAnsi="Times New Roman"/>
                <w:sz w:val="24"/>
                <w:szCs w:val="24"/>
                <w:lang w:val="en-GB"/>
              </w:rPr>
              <w:t>extensive and robust analysis, evidence and expert recommendations, including from EIOPA</w:t>
            </w:r>
            <w:r w:rsidR="3FE2A161" w:rsidRPr="003600AA">
              <w:rPr>
                <w:rStyle w:val="FootnoteReference"/>
                <w:rFonts w:ascii="Times New Roman" w:eastAsia="Times New Roman" w:hAnsi="Times New Roman"/>
                <w:sz w:val="24"/>
                <w:szCs w:val="24"/>
                <w:lang w:val="en-GB"/>
              </w:rPr>
              <w:footnoteReference w:id="10"/>
            </w:r>
            <w:r w:rsidR="0945D71B" w:rsidRPr="003600AA">
              <w:rPr>
                <w:rFonts w:ascii="Times New Roman" w:eastAsia="Times New Roman" w:hAnsi="Times New Roman"/>
                <w:sz w:val="24"/>
                <w:szCs w:val="24"/>
                <w:lang w:val="en-GB"/>
              </w:rPr>
              <w:t>, the European Court of Auditors</w:t>
            </w:r>
            <w:r w:rsidR="3FE2A161" w:rsidRPr="003600AA">
              <w:rPr>
                <w:rStyle w:val="FootnoteReference"/>
                <w:rFonts w:ascii="Times New Roman" w:eastAsia="Times New Roman" w:hAnsi="Times New Roman"/>
                <w:sz w:val="24"/>
                <w:szCs w:val="24"/>
                <w:lang w:val="en-GB"/>
              </w:rPr>
              <w:footnoteReference w:id="11"/>
            </w:r>
            <w:r w:rsidR="4136D3A9" w:rsidRPr="003600AA">
              <w:rPr>
                <w:rFonts w:ascii="Times New Roman" w:eastAsia="Times New Roman" w:hAnsi="Times New Roman"/>
                <w:sz w:val="24"/>
                <w:szCs w:val="24"/>
                <w:lang w:val="en-GB"/>
              </w:rPr>
              <w:t>,</w:t>
            </w:r>
            <w:r w:rsidR="0945D71B" w:rsidRPr="003600AA">
              <w:rPr>
                <w:rFonts w:ascii="Times New Roman" w:eastAsia="Times New Roman" w:hAnsi="Times New Roman"/>
                <w:sz w:val="24"/>
                <w:szCs w:val="24"/>
                <w:lang w:val="en-GB"/>
              </w:rPr>
              <w:t xml:space="preserve"> and the Letta</w:t>
            </w:r>
            <w:r w:rsidR="00044BDE" w:rsidRPr="003600AA">
              <w:rPr>
                <w:rStyle w:val="FootnoteReference"/>
                <w:rFonts w:ascii="Times New Roman" w:eastAsia="Times New Roman" w:hAnsi="Times New Roman"/>
                <w:sz w:val="24"/>
                <w:szCs w:val="24"/>
                <w:lang w:val="en-GB"/>
              </w:rPr>
              <w:footnoteReference w:id="12"/>
            </w:r>
            <w:r w:rsidR="0945D71B" w:rsidRPr="003600AA">
              <w:rPr>
                <w:rFonts w:ascii="Times New Roman" w:eastAsia="Times New Roman" w:hAnsi="Times New Roman"/>
                <w:sz w:val="24"/>
                <w:szCs w:val="24"/>
                <w:lang w:val="en-GB"/>
              </w:rPr>
              <w:t xml:space="preserve"> and Draghi</w:t>
            </w:r>
            <w:r w:rsidR="000D7729" w:rsidRPr="003600AA">
              <w:rPr>
                <w:rStyle w:val="FootnoteReference"/>
                <w:rFonts w:ascii="Times New Roman" w:eastAsia="Times New Roman" w:hAnsi="Times New Roman"/>
                <w:sz w:val="24"/>
                <w:szCs w:val="24"/>
                <w:lang w:val="en-GB"/>
              </w:rPr>
              <w:footnoteReference w:id="13"/>
            </w:r>
            <w:r w:rsidR="0945D71B" w:rsidRPr="003600AA">
              <w:rPr>
                <w:rFonts w:ascii="Times New Roman" w:eastAsia="Times New Roman" w:hAnsi="Times New Roman"/>
                <w:sz w:val="24"/>
                <w:szCs w:val="24"/>
                <w:lang w:val="en-GB"/>
              </w:rPr>
              <w:t xml:space="preserve"> reports</w:t>
            </w:r>
            <w:r w:rsidR="3A0CA05A" w:rsidRPr="003600AA">
              <w:rPr>
                <w:rFonts w:ascii="Times New Roman" w:eastAsia="Times New Roman" w:hAnsi="Times New Roman"/>
                <w:sz w:val="24"/>
                <w:szCs w:val="24"/>
                <w:lang w:val="en-GB"/>
              </w:rPr>
              <w:t>.</w:t>
            </w:r>
          </w:p>
          <w:p w14:paraId="1C379134" w14:textId="4E8E64FF" w:rsidR="560D5195" w:rsidRPr="003600AA" w:rsidRDefault="560D5195"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u w:val="single"/>
              </w:rPr>
              <w:t>Point 2.2</w:t>
            </w:r>
          </w:p>
          <w:p w14:paraId="6A2D795B" w14:textId="0E889E02" w:rsidR="560D5195" w:rsidRPr="003600AA" w:rsidRDefault="126793C9"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 understands that automatic enrolment is a delicate issue and that the decision on whether to allow such arrangements should rest with the Member States. It is important to underscore that the provisions in Article 47(4) and (5)</w:t>
            </w:r>
            <w:r w:rsidR="00610A67" w:rsidRPr="003600AA">
              <w:rPr>
                <w:rStyle w:val="FootnoteReference"/>
                <w:rFonts w:ascii="Times New Roman" w:eastAsia="Times New Roman" w:hAnsi="Times New Roman"/>
                <w:sz w:val="24"/>
                <w:szCs w:val="24"/>
              </w:rPr>
              <w:footnoteReference w:id="14"/>
            </w:r>
            <w:r w:rsidRPr="003600AA">
              <w:rPr>
                <w:rFonts w:ascii="Times New Roman" w:eastAsia="Times New Roman" w:hAnsi="Times New Roman"/>
                <w:sz w:val="24"/>
                <w:szCs w:val="24"/>
              </w:rPr>
              <w:t xml:space="preserve"> of the proposed Regulation are meticulously formulated as a Member State option, so as not to impinge on the Member States’ prerogative to decide </w:t>
            </w:r>
            <w:proofErr w:type="gramStart"/>
            <w:r w:rsidRPr="003600AA">
              <w:rPr>
                <w:rFonts w:ascii="Times New Roman" w:eastAsia="Times New Roman" w:hAnsi="Times New Roman"/>
                <w:sz w:val="24"/>
                <w:szCs w:val="24"/>
              </w:rPr>
              <w:t>whether</w:t>
            </w:r>
            <w:r w:rsidR="6C3B75A1" w:rsidRPr="5449F5D9">
              <w:rPr>
                <w:rFonts w:ascii="Times New Roman" w:eastAsia="Times New Roman" w:hAnsi="Times New Roman"/>
                <w:sz w:val="24"/>
                <w:szCs w:val="24"/>
              </w:rPr>
              <w:t xml:space="preserve"> or not</w:t>
            </w:r>
            <w:proofErr w:type="gramEnd"/>
            <w:r w:rsidRPr="5449F5D9">
              <w:rPr>
                <w:rFonts w:ascii="Times New Roman" w:eastAsia="Times New Roman" w:hAnsi="Times New Roman"/>
                <w:sz w:val="24"/>
                <w:szCs w:val="24"/>
              </w:rPr>
              <w:t xml:space="preserve"> to allow such arrangements. The option is also without prejudice to national social and labour law on the organisation of national pension systems and the autonomy of social partners. The Commission does therefore </w:t>
            </w:r>
            <w:r w:rsidR="004571EC" w:rsidRPr="5449F5D9">
              <w:rPr>
                <w:rFonts w:ascii="Times New Roman" w:eastAsia="Times New Roman" w:hAnsi="Times New Roman"/>
                <w:sz w:val="24"/>
                <w:szCs w:val="24"/>
              </w:rPr>
              <w:t xml:space="preserve">not </w:t>
            </w:r>
            <w:r w:rsidRPr="5449F5D9">
              <w:rPr>
                <w:rFonts w:ascii="Times New Roman" w:eastAsia="Times New Roman" w:hAnsi="Times New Roman"/>
                <w:sz w:val="24"/>
                <w:szCs w:val="24"/>
              </w:rPr>
              <w:t xml:space="preserve">consider that it </w:t>
            </w:r>
            <w:r w:rsidRPr="5449F5D9">
              <w:rPr>
                <w:rFonts w:ascii="Times New Roman" w:eastAsia="Times New Roman" w:hAnsi="Times New Roman"/>
                <w:i/>
                <w:iCs/>
                <w:sz w:val="24"/>
                <w:szCs w:val="24"/>
              </w:rPr>
              <w:t>opens the door to auto-enrolments for all supplementary pension systems</w:t>
            </w:r>
            <w:r w:rsidRPr="5449F5D9">
              <w:rPr>
                <w:rFonts w:ascii="Times New Roman" w:eastAsia="Times New Roman" w:hAnsi="Times New Roman"/>
                <w:sz w:val="24"/>
                <w:szCs w:val="24"/>
              </w:rPr>
              <w:t>”</w:t>
            </w:r>
            <w:r w:rsidR="00227DD8" w:rsidRPr="5449F5D9">
              <w:rPr>
                <w:rFonts w:ascii="Times New Roman" w:eastAsia="Times New Roman" w:hAnsi="Times New Roman"/>
                <w:sz w:val="24"/>
                <w:szCs w:val="24"/>
              </w:rPr>
              <w:t>’</w:t>
            </w:r>
            <w:r w:rsidRPr="5449F5D9">
              <w:rPr>
                <w:rFonts w:ascii="Times New Roman" w:eastAsia="Times New Roman" w:hAnsi="Times New Roman"/>
                <w:sz w:val="24"/>
                <w:szCs w:val="24"/>
              </w:rPr>
              <w:t>, as auto-enrolment in supplementary pension arrangements is and remains a Member State decision.</w:t>
            </w:r>
          </w:p>
          <w:p w14:paraId="4D686DB1" w14:textId="47C56F7D" w:rsidR="7FE9CF84" w:rsidRPr="003600AA" w:rsidRDefault="7FE9CF84"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2.3</w:t>
            </w:r>
          </w:p>
          <w:p w14:paraId="56F5A2C4" w14:textId="060ADB4E" w:rsidR="0BA58000" w:rsidRPr="003600AA" w:rsidRDefault="4927DEA8"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color w:val="000000" w:themeColor="text1"/>
                <w:sz w:val="24"/>
                <w:szCs w:val="24"/>
              </w:rPr>
              <w:t>The Commission acknowledges that the transition to default supplementary pension participation would represent a significant shift in many Member States</w:t>
            </w:r>
            <w:r w:rsidR="2499AFC0" w:rsidRPr="003600AA">
              <w:rPr>
                <w:rFonts w:ascii="Times New Roman" w:eastAsia="Times New Roman" w:hAnsi="Times New Roman"/>
                <w:color w:val="000000" w:themeColor="text1"/>
                <w:sz w:val="24"/>
                <w:szCs w:val="24"/>
              </w:rPr>
              <w:t xml:space="preserve"> </w:t>
            </w:r>
            <w:r w:rsidRPr="003600AA">
              <w:rPr>
                <w:rFonts w:ascii="Times New Roman" w:eastAsia="Times New Roman" w:hAnsi="Times New Roman"/>
                <w:color w:val="000000" w:themeColor="text1"/>
                <w:sz w:val="24"/>
                <w:szCs w:val="24"/>
              </w:rPr>
              <w:t xml:space="preserve">but notes that the Recommendation is designed to be fully adaptable to the </w:t>
            </w:r>
            <w:r w:rsidR="003F0A82">
              <w:rPr>
                <w:rFonts w:ascii="Times New Roman" w:eastAsia="Times New Roman" w:hAnsi="Times New Roman"/>
                <w:color w:val="000000" w:themeColor="text1"/>
                <w:sz w:val="24"/>
                <w:szCs w:val="24"/>
              </w:rPr>
              <w:t xml:space="preserve">national </w:t>
            </w:r>
            <w:r w:rsidRPr="003600AA">
              <w:rPr>
                <w:rFonts w:ascii="Times New Roman" w:eastAsia="Times New Roman" w:hAnsi="Times New Roman"/>
                <w:color w:val="000000" w:themeColor="text1"/>
                <w:sz w:val="24"/>
                <w:szCs w:val="24"/>
              </w:rPr>
              <w:t xml:space="preserve">specificities. Member States where social partners play a central role in governance can continue to maintain that role, ensuring that automatic enrolment complements rather than replaces existing structures. Indeed, such systems often establish a baseline for coverage that can </w:t>
            </w:r>
            <w:r w:rsidRPr="003600AA">
              <w:rPr>
                <w:rFonts w:ascii="Times New Roman" w:eastAsia="Times New Roman" w:hAnsi="Times New Roman"/>
                <w:color w:val="000000" w:themeColor="text1"/>
                <w:sz w:val="24"/>
                <w:szCs w:val="24"/>
              </w:rPr>
              <w:lastRenderedPageBreak/>
              <w:t>strengthen the position of social partners during collective bargaining and negotiations.</w:t>
            </w:r>
          </w:p>
          <w:p w14:paraId="1C23171F" w14:textId="08235D1D" w:rsidR="7389F77A" w:rsidRPr="003600AA" w:rsidRDefault="7389F77A"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2.5</w:t>
            </w:r>
          </w:p>
          <w:p w14:paraId="4D5162F2" w14:textId="2B35FE63" w:rsidR="00FC48D7" w:rsidRPr="003600AA" w:rsidRDefault="13C49CC1"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 agrees that the powers of supervisory authorities must be clearly defined to avoid overlaps and duplications, and that the supervisory authority of the Home Member State must retain primary competence. Paragraph 1 of Article 65a</w:t>
            </w:r>
            <w:r w:rsidR="00EC25C2" w:rsidRPr="003600AA">
              <w:rPr>
                <w:rStyle w:val="FootnoteReference"/>
                <w:rFonts w:ascii="Times New Roman" w:eastAsia="Times New Roman" w:hAnsi="Times New Roman"/>
                <w:sz w:val="24"/>
                <w:szCs w:val="24"/>
              </w:rPr>
              <w:footnoteReference w:id="15"/>
            </w:r>
            <w:r w:rsidRPr="003600AA">
              <w:rPr>
                <w:rFonts w:ascii="Times New Roman" w:eastAsia="Times New Roman" w:hAnsi="Times New Roman"/>
                <w:sz w:val="24"/>
                <w:szCs w:val="24"/>
              </w:rPr>
              <w:t xml:space="preserve"> of the proposed Regulation provides that EIOPA only performs a facilitation and coordination role with respect to the cross-border provision of PEPPs, including, where justified, through the set-up of collaboration platforms for information exchange and enhanced collaboration between the relevant competent authorities. Paragraph 3 of the same article clearly states that this role is without prejudice to the role and powers assigned to the Home and Host supervisory authorities under the Regulation. It therefore does not step in the place of competent national authorities</w:t>
            </w:r>
            <w:r w:rsidR="2AD6C544" w:rsidRPr="003600AA">
              <w:rPr>
                <w:rFonts w:ascii="Times New Roman" w:eastAsia="Times New Roman" w:hAnsi="Times New Roman"/>
                <w:sz w:val="24"/>
                <w:szCs w:val="24"/>
              </w:rPr>
              <w:t>,</w:t>
            </w:r>
            <w:r w:rsidRPr="003600AA">
              <w:rPr>
                <w:rFonts w:ascii="Times New Roman" w:eastAsia="Times New Roman" w:hAnsi="Times New Roman"/>
                <w:sz w:val="24"/>
                <w:szCs w:val="24"/>
              </w:rPr>
              <w:t xml:space="preserve"> nor does it impinge on their role and mandate.</w:t>
            </w:r>
          </w:p>
          <w:p w14:paraId="0BC08C53" w14:textId="4FB7D96E" w:rsidR="373015A7" w:rsidRPr="003600AA" w:rsidRDefault="373015A7"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2.6</w:t>
            </w:r>
          </w:p>
          <w:p w14:paraId="0A6C4C33" w14:textId="3ABAD28B" w:rsidR="373015A7" w:rsidRPr="003600AA" w:rsidRDefault="4ABD1C93" w:rsidP="003600AA">
            <w:pPr>
              <w:spacing w:before="240" w:after="240"/>
              <w:jc w:val="both"/>
              <w:rPr>
                <w:rFonts w:ascii="Times New Roman" w:eastAsia="Times New Roman" w:hAnsi="Times New Roman"/>
                <w:sz w:val="24"/>
                <w:szCs w:val="24"/>
              </w:rPr>
            </w:pPr>
            <w:r w:rsidRPr="003600AA">
              <w:rPr>
                <w:rFonts w:ascii="Times New Roman" w:eastAsia="Times New Roman" w:hAnsi="Times New Roman"/>
                <w:sz w:val="24"/>
                <w:szCs w:val="24"/>
              </w:rPr>
              <w:t>The Commission takes note of the concerns raised regarding the proposed 25% participation threshold for approving cross-border transfers, which is considered too low</w:t>
            </w:r>
            <w:r w:rsidR="00227DD8">
              <w:rPr>
                <w:rFonts w:ascii="Times New Roman" w:eastAsia="Times New Roman" w:hAnsi="Times New Roman"/>
                <w:sz w:val="24"/>
                <w:szCs w:val="24"/>
              </w:rPr>
              <w:t xml:space="preserve"> by the Committee</w:t>
            </w:r>
            <w:r w:rsidRPr="003600AA">
              <w:rPr>
                <w:rFonts w:ascii="Times New Roman" w:eastAsia="Times New Roman" w:hAnsi="Times New Roman"/>
                <w:sz w:val="24"/>
                <w:szCs w:val="24"/>
              </w:rPr>
              <w:t xml:space="preserve">. Nonetheless, the Commission considers that the proposed text strikes an appropriate balance between ensuring sufficient representation of members and beneficiaries and facilitating cross-border transfers, particularly </w:t>
            </w:r>
            <w:r w:rsidR="00C97222" w:rsidRPr="003600AA">
              <w:rPr>
                <w:rFonts w:ascii="Times New Roman" w:eastAsia="Times New Roman" w:hAnsi="Times New Roman"/>
                <w:sz w:val="24"/>
                <w:szCs w:val="24"/>
              </w:rPr>
              <w:t>considering</w:t>
            </w:r>
            <w:r w:rsidRPr="003600AA">
              <w:rPr>
                <w:rFonts w:ascii="Times New Roman" w:eastAsia="Times New Roman" w:hAnsi="Times New Roman"/>
                <w:sz w:val="24"/>
                <w:szCs w:val="24"/>
              </w:rPr>
              <w:t xml:space="preserve"> the documented difficulties in garnering enhanced majorities or participations as pointed out by EIOPA and the European Court of Auditors. </w:t>
            </w:r>
            <w:r w:rsidR="00AE5F36" w:rsidRPr="003600AA">
              <w:rPr>
                <w:rFonts w:ascii="Times New Roman" w:eastAsia="Times New Roman" w:hAnsi="Times New Roman"/>
                <w:sz w:val="24"/>
                <w:szCs w:val="24"/>
              </w:rPr>
              <w:t>Both</w:t>
            </w:r>
            <w:r w:rsidRPr="003600AA">
              <w:rPr>
                <w:rFonts w:ascii="Times New Roman" w:eastAsia="Times New Roman" w:hAnsi="Times New Roman"/>
                <w:sz w:val="24"/>
                <w:szCs w:val="24"/>
              </w:rPr>
              <w:t xml:space="preserve"> the 25% participation threshold and the simple majority requirement for approving transfers were suggested by EIOPA in its 2023 </w:t>
            </w:r>
            <w:r w:rsidR="5E97EA65" w:rsidRPr="003600AA">
              <w:rPr>
                <w:rFonts w:ascii="Times New Roman" w:eastAsia="Times New Roman" w:hAnsi="Times New Roman"/>
                <w:sz w:val="24"/>
                <w:szCs w:val="24"/>
              </w:rPr>
              <w:t>technical</w:t>
            </w:r>
            <w:r w:rsidRPr="003600AA">
              <w:rPr>
                <w:rFonts w:ascii="Times New Roman" w:eastAsia="Times New Roman" w:hAnsi="Times New Roman"/>
                <w:sz w:val="24"/>
                <w:szCs w:val="24"/>
              </w:rPr>
              <w:t xml:space="preserve"> advice</w:t>
            </w:r>
            <w:r w:rsidR="373015A7" w:rsidRPr="003600AA">
              <w:rPr>
                <w:rStyle w:val="FootnoteReference"/>
                <w:rFonts w:ascii="Times New Roman" w:eastAsia="Times New Roman" w:hAnsi="Times New Roman"/>
                <w:sz w:val="24"/>
                <w:szCs w:val="24"/>
              </w:rPr>
              <w:footnoteReference w:id="16"/>
            </w:r>
            <w:r w:rsidRPr="003600AA">
              <w:rPr>
                <w:rFonts w:ascii="Times New Roman" w:eastAsia="Times New Roman" w:hAnsi="Times New Roman"/>
                <w:sz w:val="24"/>
                <w:szCs w:val="24"/>
              </w:rPr>
              <w:t xml:space="preserve"> and are assessed as sufficient to ensure adequate representation of members and beneficiaries, without unduly hindering cross-border consolidation and the scaling-up of the sector.</w:t>
            </w:r>
          </w:p>
          <w:p w14:paraId="02581471" w14:textId="5B1D3E21" w:rsidR="373015A7" w:rsidRPr="003600AA" w:rsidRDefault="373015A7"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2.7</w:t>
            </w:r>
          </w:p>
          <w:p w14:paraId="0ADD4703" w14:textId="77749926" w:rsidR="373015A7" w:rsidRPr="003600AA" w:rsidRDefault="4ABD1C93" w:rsidP="003600AA">
            <w:pPr>
              <w:spacing w:after="160"/>
              <w:jc w:val="both"/>
              <w:rPr>
                <w:rFonts w:ascii="Times New Roman" w:eastAsia="Times New Roman" w:hAnsi="Times New Roman"/>
                <w:sz w:val="24"/>
                <w:szCs w:val="24"/>
              </w:rPr>
            </w:pPr>
            <w:r w:rsidRPr="003600AA">
              <w:rPr>
                <w:rFonts w:ascii="Times New Roman" w:eastAsia="Times New Roman" w:hAnsi="Times New Roman"/>
                <w:sz w:val="24"/>
                <w:szCs w:val="24"/>
              </w:rPr>
              <w:t>The Commission shares the EESC’s concerns regarding protracted underfunding of IORPs and acknowledges the need for a balanced approach that protects members and beneficiaries while avoiding abrupt reductions in pension promises. The relevant provision in Article 14</w:t>
            </w:r>
            <w:r w:rsidR="00EC25C2" w:rsidRPr="003600AA">
              <w:rPr>
                <w:rStyle w:val="FootnoteReference"/>
                <w:rFonts w:ascii="Times New Roman" w:eastAsia="Times New Roman" w:hAnsi="Times New Roman"/>
                <w:sz w:val="24"/>
                <w:szCs w:val="24"/>
              </w:rPr>
              <w:footnoteReference w:id="17"/>
            </w:r>
            <w:r w:rsidRPr="003600AA">
              <w:rPr>
                <w:rFonts w:ascii="Times New Roman" w:eastAsia="Times New Roman" w:hAnsi="Times New Roman"/>
                <w:sz w:val="24"/>
                <w:szCs w:val="24"/>
              </w:rPr>
              <w:t xml:space="preserve"> establishes a maximum period of ten years for temporary underfunding, though Member States remain free to set shorter periods in national law. This reflects existing practices in some Member States, where varying approaches – including non-use of this option – have led to inconsistencies in member protection. </w:t>
            </w:r>
          </w:p>
          <w:p w14:paraId="187DC7D7" w14:textId="0BE56AC8" w:rsidR="373015A7" w:rsidRPr="003600AA" w:rsidRDefault="373015A7"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2.8</w:t>
            </w:r>
          </w:p>
          <w:p w14:paraId="4A7A892A" w14:textId="2C2BF0B2" w:rsidR="373015A7" w:rsidRPr="003600AA" w:rsidRDefault="08BC06FB" w:rsidP="003600AA">
            <w:pPr>
              <w:spacing w:before="240" w:after="240"/>
              <w:jc w:val="both"/>
              <w:rPr>
                <w:rFonts w:ascii="Times New Roman" w:eastAsia="Times New Roman" w:hAnsi="Times New Roman"/>
                <w:sz w:val="24"/>
                <w:szCs w:val="24"/>
              </w:rPr>
            </w:pPr>
            <w:r w:rsidRPr="6E3B6084">
              <w:rPr>
                <w:rFonts w:ascii="Times New Roman" w:eastAsia="Times New Roman" w:hAnsi="Times New Roman"/>
                <w:sz w:val="24"/>
                <w:szCs w:val="24"/>
              </w:rPr>
              <w:t xml:space="preserve">The Commission recognises the need to reinforce the clarity of the rules concerning sustainability preferences to foster trust and avoid greenwashing. Nonetheless, the Commission notes that it remains unclear through which legal instrument the </w:t>
            </w:r>
            <w:r w:rsidR="7C8B8F8B" w:rsidRPr="6E3B6084">
              <w:rPr>
                <w:rFonts w:ascii="Times New Roman" w:eastAsia="Times New Roman" w:hAnsi="Times New Roman"/>
                <w:sz w:val="24"/>
                <w:szCs w:val="24"/>
              </w:rPr>
              <w:t>“</w:t>
            </w:r>
            <w:r w:rsidRPr="002E3DE5">
              <w:rPr>
                <w:rFonts w:ascii="Times New Roman" w:eastAsia="Times New Roman" w:hAnsi="Times New Roman"/>
                <w:i/>
                <w:iCs/>
                <w:sz w:val="24"/>
                <w:szCs w:val="24"/>
              </w:rPr>
              <w:t xml:space="preserve">standards </w:t>
            </w:r>
            <w:r w:rsidR="7BC50847" w:rsidRPr="002E3DE5">
              <w:rPr>
                <w:rFonts w:ascii="Times New Roman" w:eastAsia="Times New Roman" w:hAnsi="Times New Roman"/>
                <w:i/>
                <w:iCs/>
                <w:sz w:val="24"/>
                <w:szCs w:val="24"/>
              </w:rPr>
              <w:t>established by the Commission</w:t>
            </w:r>
            <w:r w:rsidR="7BC50847" w:rsidRPr="6E3B6084">
              <w:rPr>
                <w:rFonts w:ascii="Times New Roman" w:eastAsia="Times New Roman" w:hAnsi="Times New Roman"/>
                <w:sz w:val="24"/>
                <w:szCs w:val="24"/>
              </w:rPr>
              <w:t>”</w:t>
            </w:r>
            <w:r w:rsidR="7A793EC2" w:rsidRPr="6E3B6084">
              <w:rPr>
                <w:rFonts w:ascii="Times New Roman" w:eastAsia="Times New Roman" w:hAnsi="Times New Roman"/>
                <w:sz w:val="24"/>
                <w:szCs w:val="24"/>
              </w:rPr>
              <w:t>, as proposed by</w:t>
            </w:r>
            <w:r w:rsidR="7BC50847" w:rsidRPr="6E3B6084">
              <w:rPr>
                <w:rFonts w:ascii="Times New Roman" w:eastAsia="Times New Roman" w:hAnsi="Times New Roman"/>
                <w:sz w:val="24"/>
                <w:szCs w:val="24"/>
              </w:rPr>
              <w:t xml:space="preserve"> the EESC in amendment 16 </w:t>
            </w:r>
            <w:r w:rsidRPr="6E3B6084">
              <w:rPr>
                <w:rFonts w:ascii="Times New Roman" w:eastAsia="Times New Roman" w:hAnsi="Times New Roman"/>
                <w:sz w:val="24"/>
                <w:szCs w:val="24"/>
              </w:rPr>
              <w:t xml:space="preserve">would be established. Furthermore, it is important to recall that, in line with the prudent person principle, investment decisions remain the sole responsibility of the IORP. In this respect, the legislation should preserve a sufficient degree of flexibility </w:t>
            </w:r>
            <w:r w:rsidR="00E5290E" w:rsidRPr="6E3B6084">
              <w:rPr>
                <w:rFonts w:ascii="Times New Roman" w:eastAsia="Times New Roman" w:hAnsi="Times New Roman"/>
                <w:sz w:val="24"/>
                <w:szCs w:val="24"/>
              </w:rPr>
              <w:t>regarding</w:t>
            </w:r>
            <w:r w:rsidRPr="6E3B6084">
              <w:rPr>
                <w:rFonts w:ascii="Times New Roman" w:eastAsia="Times New Roman" w:hAnsi="Times New Roman"/>
                <w:sz w:val="24"/>
                <w:szCs w:val="24"/>
              </w:rPr>
              <w:t xml:space="preserve"> strategic asset </w:t>
            </w:r>
            <w:r w:rsidRPr="6E3B6084">
              <w:rPr>
                <w:rFonts w:ascii="Times New Roman" w:eastAsia="Times New Roman" w:hAnsi="Times New Roman"/>
                <w:sz w:val="24"/>
                <w:szCs w:val="24"/>
              </w:rPr>
              <w:lastRenderedPageBreak/>
              <w:t>allocation.</w:t>
            </w:r>
          </w:p>
          <w:p w14:paraId="548E1491" w14:textId="7B3E389E" w:rsidR="373015A7" w:rsidRPr="003600AA" w:rsidRDefault="373015A7"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2.9</w:t>
            </w:r>
          </w:p>
          <w:p w14:paraId="297455EF" w14:textId="02CED747" w:rsidR="373015A7" w:rsidRPr="003600AA" w:rsidRDefault="4E45E62C"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fully shares the </w:t>
            </w:r>
            <w:r w:rsidR="008E2F17">
              <w:rPr>
                <w:rFonts w:ascii="Times New Roman" w:eastAsia="Times New Roman" w:hAnsi="Times New Roman"/>
                <w:sz w:val="24"/>
                <w:szCs w:val="24"/>
              </w:rPr>
              <w:t>Committee’s point</w:t>
            </w:r>
            <w:r w:rsidR="008E2F17" w:rsidRPr="003600AA">
              <w:rPr>
                <w:rFonts w:ascii="Times New Roman" w:eastAsia="Times New Roman" w:hAnsi="Times New Roman"/>
                <w:sz w:val="24"/>
                <w:szCs w:val="24"/>
              </w:rPr>
              <w:t xml:space="preserve"> </w:t>
            </w:r>
            <w:r w:rsidRPr="003600AA">
              <w:rPr>
                <w:rFonts w:ascii="Times New Roman" w:eastAsia="Times New Roman" w:hAnsi="Times New Roman"/>
                <w:sz w:val="24"/>
                <w:szCs w:val="24"/>
              </w:rPr>
              <w:t xml:space="preserve">that members and beneficiaries should receive clear, </w:t>
            </w:r>
            <w:r w:rsidR="00CA0BEF" w:rsidRPr="003600AA">
              <w:rPr>
                <w:rFonts w:ascii="Times New Roman" w:eastAsia="Times New Roman" w:hAnsi="Times New Roman"/>
                <w:sz w:val="24"/>
                <w:szCs w:val="24"/>
              </w:rPr>
              <w:t>comprehensi</w:t>
            </w:r>
            <w:r w:rsidR="00CA0BEF">
              <w:rPr>
                <w:rFonts w:ascii="Times New Roman" w:eastAsia="Times New Roman" w:hAnsi="Times New Roman"/>
                <w:sz w:val="24"/>
                <w:szCs w:val="24"/>
              </w:rPr>
              <w:t>ve</w:t>
            </w:r>
            <w:r w:rsidR="00CA0BEF" w:rsidRPr="003600AA">
              <w:rPr>
                <w:rFonts w:ascii="Times New Roman" w:eastAsia="Times New Roman" w:hAnsi="Times New Roman"/>
                <w:sz w:val="24"/>
                <w:szCs w:val="24"/>
              </w:rPr>
              <w:t xml:space="preserve"> </w:t>
            </w:r>
            <w:r w:rsidRPr="003600AA">
              <w:rPr>
                <w:rFonts w:ascii="Times New Roman" w:eastAsia="Times New Roman" w:hAnsi="Times New Roman"/>
                <w:sz w:val="24"/>
                <w:szCs w:val="24"/>
              </w:rPr>
              <w:t xml:space="preserve">and accessible information, particularly </w:t>
            </w:r>
            <w:r w:rsidR="00E5290E" w:rsidRPr="003600AA">
              <w:rPr>
                <w:rFonts w:ascii="Times New Roman" w:eastAsia="Times New Roman" w:hAnsi="Times New Roman"/>
                <w:sz w:val="24"/>
                <w:szCs w:val="24"/>
              </w:rPr>
              <w:t>considering</w:t>
            </w:r>
            <w:r w:rsidRPr="003600AA">
              <w:rPr>
                <w:rFonts w:ascii="Times New Roman" w:eastAsia="Times New Roman" w:hAnsi="Times New Roman"/>
                <w:sz w:val="24"/>
                <w:szCs w:val="24"/>
              </w:rPr>
              <w:t xml:space="preserve"> the varying levels of financial literacy among European citizens. In this regard, the Commission would like to underline that </w:t>
            </w:r>
            <w:r w:rsidR="2BE4F70F" w:rsidRPr="003600AA">
              <w:rPr>
                <w:rFonts w:ascii="Times New Roman" w:eastAsia="Times New Roman" w:hAnsi="Times New Roman"/>
                <w:sz w:val="24"/>
                <w:szCs w:val="24"/>
              </w:rPr>
              <w:t xml:space="preserve">its </w:t>
            </w:r>
            <w:r w:rsidRPr="003600AA">
              <w:rPr>
                <w:rFonts w:ascii="Times New Roman" w:eastAsia="Times New Roman" w:hAnsi="Times New Roman"/>
                <w:sz w:val="24"/>
                <w:szCs w:val="24"/>
              </w:rPr>
              <w:t>proposal contains several amendments aimed at enhancing disclosure requirements and ensuring that members and beneficiaries receive all relevant information in a standardised and harmonised manner across the Union.</w:t>
            </w:r>
          </w:p>
          <w:p w14:paraId="45290743" w14:textId="6595C869" w:rsidR="373015A7" w:rsidRPr="003600AA" w:rsidRDefault="373015A7"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2.10</w:t>
            </w:r>
          </w:p>
          <w:p w14:paraId="41630658" w14:textId="7EA98766" w:rsidR="00B74A20" w:rsidRPr="003600AA" w:rsidRDefault="4ABD1C93" w:rsidP="00B74A20">
            <w:pPr>
              <w:spacing w:before="240" w:after="24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w:t>
            </w:r>
            <w:r w:rsidR="71C23765" w:rsidRPr="003600AA">
              <w:rPr>
                <w:rFonts w:ascii="Times New Roman" w:eastAsia="Times New Roman" w:hAnsi="Times New Roman"/>
                <w:sz w:val="24"/>
                <w:szCs w:val="24"/>
              </w:rPr>
              <w:t xml:space="preserve">notes </w:t>
            </w:r>
            <w:r w:rsidRPr="003600AA">
              <w:rPr>
                <w:rFonts w:ascii="Times New Roman" w:eastAsia="Times New Roman" w:hAnsi="Times New Roman"/>
                <w:sz w:val="24"/>
                <w:szCs w:val="24"/>
              </w:rPr>
              <w:t xml:space="preserve">the concerns raised regarding the </w:t>
            </w:r>
            <w:proofErr w:type="gramStart"/>
            <w:r w:rsidRPr="003600AA">
              <w:rPr>
                <w:rFonts w:ascii="Times New Roman" w:eastAsia="Times New Roman" w:hAnsi="Times New Roman"/>
                <w:sz w:val="24"/>
                <w:szCs w:val="24"/>
              </w:rPr>
              <w:t>sometimes wide</w:t>
            </w:r>
            <w:proofErr w:type="gramEnd"/>
            <w:r w:rsidRPr="003600AA">
              <w:rPr>
                <w:rFonts w:ascii="Times New Roman" w:eastAsia="Times New Roman" w:hAnsi="Times New Roman"/>
                <w:sz w:val="24"/>
                <w:szCs w:val="24"/>
              </w:rPr>
              <w:t xml:space="preserve"> range of existing decumulation options. In this regard, the Commission underlines that the proposal for a Directive reinforces the information that must be provided to members at the pre-retirement stage (Article 42</w:t>
            </w:r>
            <w:r w:rsidR="00EC25C2" w:rsidRPr="003600AA">
              <w:rPr>
                <w:rStyle w:val="FootnoteReference"/>
                <w:rFonts w:ascii="Times New Roman" w:eastAsia="Times New Roman" w:hAnsi="Times New Roman"/>
                <w:sz w:val="24"/>
                <w:szCs w:val="24"/>
              </w:rPr>
              <w:footnoteReference w:id="18"/>
            </w:r>
            <w:r w:rsidRPr="003600AA">
              <w:rPr>
                <w:rFonts w:ascii="Times New Roman" w:eastAsia="Times New Roman" w:hAnsi="Times New Roman"/>
                <w:sz w:val="24"/>
                <w:szCs w:val="24"/>
              </w:rPr>
              <w:t>) and also introduces a requirement for the provision of a concise explanatory package detailing the features, implications and risks of different payout options.</w:t>
            </w:r>
          </w:p>
          <w:p w14:paraId="006B9D49" w14:textId="6B609003" w:rsidR="373015A7" w:rsidRPr="003600AA" w:rsidRDefault="373015A7"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2.11</w:t>
            </w:r>
          </w:p>
          <w:p w14:paraId="40AF63AC" w14:textId="542567C7" w:rsidR="373015A7" w:rsidRPr="003600AA" w:rsidRDefault="682AA390"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w:t>
            </w:r>
            <w:r w:rsidR="5C67B3C2" w:rsidRPr="003600AA">
              <w:rPr>
                <w:rFonts w:ascii="Times New Roman" w:eastAsia="Times New Roman" w:hAnsi="Times New Roman"/>
                <w:sz w:val="24"/>
                <w:szCs w:val="24"/>
              </w:rPr>
              <w:t xml:space="preserve">notes </w:t>
            </w:r>
            <w:r w:rsidRPr="003600AA">
              <w:rPr>
                <w:rFonts w:ascii="Times New Roman" w:eastAsia="Times New Roman" w:hAnsi="Times New Roman"/>
                <w:sz w:val="24"/>
                <w:szCs w:val="24"/>
              </w:rPr>
              <w:t>the concerns expressed regarding the proposed amendments to</w:t>
            </w:r>
            <w:r w:rsidR="7BE4C8DE" w:rsidRPr="003600AA">
              <w:rPr>
                <w:rFonts w:ascii="Times New Roman" w:eastAsia="Times New Roman" w:hAnsi="Times New Roman"/>
                <w:sz w:val="24"/>
                <w:szCs w:val="24"/>
              </w:rPr>
              <w:t xml:space="preserve"> the IORP II</w:t>
            </w:r>
            <w:r w:rsidRPr="003600AA">
              <w:rPr>
                <w:rFonts w:ascii="Times New Roman" w:eastAsia="Times New Roman" w:hAnsi="Times New Roman"/>
                <w:sz w:val="24"/>
                <w:szCs w:val="24"/>
              </w:rPr>
              <w:t xml:space="preserve"> Directive aimed at enhancing transparency and comparability, in particular the reservations relating to increased legislative harmonisation and standardisation. However, the Commission would like to underline that the proposed amendments do not fundamentally alter the nature of the Directive, which remains a minimum harmonisation framework. At the same time, a certain degree of harmonisation is necessary </w:t>
            </w:r>
            <w:r w:rsidR="0048704B" w:rsidRPr="003600AA">
              <w:rPr>
                <w:rFonts w:ascii="Times New Roman" w:eastAsia="Times New Roman" w:hAnsi="Times New Roman"/>
                <w:sz w:val="24"/>
                <w:szCs w:val="24"/>
              </w:rPr>
              <w:t>considering</w:t>
            </w:r>
            <w:r w:rsidRPr="003600AA">
              <w:rPr>
                <w:rFonts w:ascii="Times New Roman" w:eastAsia="Times New Roman" w:hAnsi="Times New Roman"/>
                <w:sz w:val="24"/>
                <w:szCs w:val="24"/>
              </w:rPr>
              <w:t xml:space="preserve"> the differing requirements across Member States, </w:t>
            </w:r>
            <w:proofErr w:type="gramStart"/>
            <w:r w:rsidRPr="003600AA">
              <w:rPr>
                <w:rFonts w:ascii="Times New Roman" w:eastAsia="Times New Roman" w:hAnsi="Times New Roman"/>
                <w:sz w:val="24"/>
                <w:szCs w:val="24"/>
              </w:rPr>
              <w:t>in order to</w:t>
            </w:r>
            <w:proofErr w:type="gramEnd"/>
            <w:r w:rsidRPr="003600AA">
              <w:rPr>
                <w:rFonts w:ascii="Times New Roman" w:eastAsia="Times New Roman" w:hAnsi="Times New Roman"/>
                <w:sz w:val="24"/>
                <w:szCs w:val="24"/>
              </w:rPr>
              <w:t xml:space="preserve"> ensure that members and beneficiaries throughout the Union receive adequate, sufficient and comparable information. Finally, the Commission considers that the proposal strikes an appropriate balance between strengthening transparency requirements and avoiding excessive compliance burdens for IORPs.</w:t>
            </w:r>
          </w:p>
          <w:p w14:paraId="30B6DE94" w14:textId="57DBA3D0" w:rsidR="373015A7" w:rsidRPr="003600AA" w:rsidRDefault="373015A7"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2.12</w:t>
            </w:r>
          </w:p>
          <w:p w14:paraId="65E6B01B" w14:textId="1A259084" w:rsidR="373015A7" w:rsidRPr="003600AA" w:rsidRDefault="4ABD1C93" w:rsidP="003600AA">
            <w:pPr>
              <w:spacing w:after="160"/>
              <w:jc w:val="both"/>
              <w:rPr>
                <w:rFonts w:ascii="Times New Roman" w:eastAsia="Times New Roman" w:hAnsi="Times New Roman"/>
                <w:sz w:val="24"/>
                <w:szCs w:val="24"/>
              </w:rPr>
            </w:pPr>
            <w:r w:rsidRPr="003600AA">
              <w:rPr>
                <w:rFonts w:ascii="Times New Roman" w:eastAsia="Times New Roman" w:hAnsi="Times New Roman"/>
                <w:sz w:val="24"/>
                <w:szCs w:val="24"/>
              </w:rPr>
              <w:t>The Commission takes note of the EESC’s considerations and wishes to draw attention to Article 25</w:t>
            </w:r>
            <w:r w:rsidR="00EC25C2" w:rsidRPr="003600AA">
              <w:rPr>
                <w:rStyle w:val="FootnoteReference"/>
                <w:rFonts w:ascii="Times New Roman" w:eastAsia="Times New Roman" w:hAnsi="Times New Roman"/>
                <w:sz w:val="24"/>
                <w:szCs w:val="24"/>
              </w:rPr>
              <w:footnoteReference w:id="19"/>
            </w:r>
            <w:r w:rsidRPr="003600AA">
              <w:rPr>
                <w:rFonts w:ascii="Times New Roman" w:eastAsia="Times New Roman" w:hAnsi="Times New Roman"/>
                <w:sz w:val="24"/>
                <w:szCs w:val="24"/>
              </w:rPr>
              <w:t xml:space="preserve"> of the proposed Regulation that lays down the requirement for a value-for-money assessment within the product oversight and governance process. This Article provides that competent authorities shall evaluate PEPPs </w:t>
            </w:r>
            <w:r w:rsidR="0088283D">
              <w:rPr>
                <w:rFonts w:ascii="Times New Roman" w:eastAsia="Times New Roman" w:hAnsi="Times New Roman"/>
                <w:sz w:val="24"/>
                <w:szCs w:val="24"/>
              </w:rPr>
              <w:t>‘</w:t>
            </w:r>
            <w:r w:rsidRPr="5449F5D9">
              <w:rPr>
                <w:rFonts w:ascii="Times New Roman" w:eastAsia="Times New Roman" w:hAnsi="Times New Roman"/>
                <w:i/>
                <w:iCs/>
                <w:sz w:val="24"/>
                <w:szCs w:val="24"/>
              </w:rPr>
              <w:t>against relevant supervisory benchmarks used for the value for money assessment</w:t>
            </w:r>
            <w:r w:rsidR="0088283D">
              <w:rPr>
                <w:rFonts w:ascii="Times New Roman" w:eastAsia="Times New Roman" w:hAnsi="Times New Roman"/>
                <w:sz w:val="24"/>
                <w:szCs w:val="24"/>
              </w:rPr>
              <w:t>’</w:t>
            </w:r>
            <w:r w:rsidRPr="003600AA">
              <w:rPr>
                <w:rFonts w:ascii="Times New Roman" w:eastAsia="Times New Roman" w:hAnsi="Times New Roman"/>
                <w:sz w:val="24"/>
                <w:szCs w:val="24"/>
              </w:rPr>
              <w:t>.</w:t>
            </w:r>
            <w:r w:rsidRPr="5449F5D9">
              <w:rPr>
                <w:rFonts w:ascii="Times New Roman" w:eastAsia="Times New Roman" w:hAnsi="Times New Roman"/>
                <w:sz w:val="24"/>
                <w:szCs w:val="24"/>
              </w:rPr>
              <w:t xml:space="preserve"> It moreover provides that Article 25 of the Insurance Distribution Directive (IDD)</w:t>
            </w:r>
            <w:r w:rsidR="00421F5D" w:rsidRPr="003600AA">
              <w:rPr>
                <w:rStyle w:val="FootnoteReference"/>
                <w:rFonts w:ascii="Times New Roman" w:eastAsia="Times New Roman" w:hAnsi="Times New Roman"/>
                <w:sz w:val="24"/>
                <w:szCs w:val="24"/>
              </w:rPr>
              <w:footnoteReference w:id="20"/>
            </w:r>
            <w:r w:rsidRPr="003600AA">
              <w:rPr>
                <w:rFonts w:ascii="Times New Roman" w:eastAsia="Times New Roman" w:hAnsi="Times New Roman"/>
                <w:sz w:val="24"/>
                <w:szCs w:val="24"/>
              </w:rPr>
              <w:t>, as revised in the context of the Retail Investment Strategy (RIS</w:t>
            </w:r>
            <w:r w:rsidR="00D473FD">
              <w:rPr>
                <w:rFonts w:ascii="Times New Roman" w:eastAsia="Times New Roman" w:hAnsi="Times New Roman"/>
                <w:sz w:val="24"/>
                <w:szCs w:val="24"/>
              </w:rPr>
              <w:t xml:space="preserve">) </w:t>
            </w:r>
            <w:r w:rsidRPr="5449F5D9">
              <w:rPr>
                <w:rFonts w:ascii="Times New Roman" w:eastAsia="Times New Roman" w:hAnsi="Times New Roman"/>
                <w:sz w:val="24"/>
                <w:szCs w:val="24"/>
              </w:rPr>
              <w:t>shall apply mutatis mutandis</w:t>
            </w:r>
            <w:r w:rsidRPr="003600AA">
              <w:rPr>
                <w:rFonts w:ascii="Times New Roman" w:eastAsia="Times New Roman" w:hAnsi="Times New Roman"/>
                <w:sz w:val="24"/>
                <w:szCs w:val="24"/>
              </w:rPr>
              <w:t>.</w:t>
            </w:r>
          </w:p>
          <w:p w14:paraId="7BAA340B" w14:textId="657B90CD" w:rsidR="373015A7" w:rsidRPr="003600AA" w:rsidRDefault="4ABD1C93">
            <w:pPr>
              <w:spacing w:after="16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On the suggestion concerning the demonstration of </w:t>
            </w:r>
            <w:r w:rsidR="00CA2EF1">
              <w:rPr>
                <w:rFonts w:ascii="Times New Roman" w:eastAsia="Times New Roman" w:hAnsi="Times New Roman"/>
                <w:sz w:val="24"/>
                <w:szCs w:val="24"/>
              </w:rPr>
              <w:t>‘</w:t>
            </w:r>
            <w:r w:rsidRPr="003600AA">
              <w:rPr>
                <w:rFonts w:ascii="Times New Roman" w:eastAsia="Times New Roman" w:hAnsi="Times New Roman"/>
                <w:sz w:val="24"/>
                <w:szCs w:val="24"/>
              </w:rPr>
              <w:t>significant concerns</w:t>
            </w:r>
            <w:r w:rsidR="00CA2EF1">
              <w:rPr>
                <w:rFonts w:ascii="Times New Roman" w:eastAsia="Times New Roman" w:hAnsi="Times New Roman"/>
                <w:sz w:val="24"/>
                <w:szCs w:val="24"/>
              </w:rPr>
              <w:t>’</w:t>
            </w:r>
            <w:r w:rsidRPr="003600AA">
              <w:rPr>
                <w:rFonts w:ascii="Times New Roman" w:eastAsia="Times New Roman" w:hAnsi="Times New Roman"/>
                <w:sz w:val="24"/>
                <w:szCs w:val="24"/>
              </w:rPr>
              <w:t>, the Commission would like to clarify that Article 63</w:t>
            </w:r>
            <w:r w:rsidR="00EC25C2" w:rsidRPr="003600AA">
              <w:rPr>
                <w:rStyle w:val="FootnoteReference"/>
                <w:rFonts w:ascii="Times New Roman" w:eastAsia="Times New Roman" w:hAnsi="Times New Roman"/>
                <w:sz w:val="24"/>
                <w:szCs w:val="24"/>
              </w:rPr>
              <w:footnoteReference w:id="21"/>
            </w:r>
            <w:r w:rsidRPr="003600AA">
              <w:rPr>
                <w:rFonts w:ascii="Times New Roman" w:eastAsia="Times New Roman" w:hAnsi="Times New Roman"/>
                <w:sz w:val="24"/>
                <w:szCs w:val="24"/>
              </w:rPr>
              <w:t xml:space="preserve"> of the proposal for a Regulation provides that competent authorities may </w:t>
            </w:r>
            <w:r w:rsidRPr="003600AA">
              <w:rPr>
                <w:rFonts w:ascii="Times New Roman" w:eastAsia="Times New Roman" w:hAnsi="Times New Roman"/>
                <w:sz w:val="24"/>
                <w:szCs w:val="24"/>
              </w:rPr>
              <w:lastRenderedPageBreak/>
              <w:t>exercise product intervention powers under point (a) where there are reasonable grounds to believe that (</w:t>
            </w:r>
            <w:proofErr w:type="spellStart"/>
            <w:r w:rsidRPr="003600AA">
              <w:rPr>
                <w:rFonts w:ascii="Times New Roman" w:eastAsia="Times New Roman" w:hAnsi="Times New Roman"/>
                <w:sz w:val="24"/>
                <w:szCs w:val="24"/>
              </w:rPr>
              <w:t>i</w:t>
            </w:r>
            <w:proofErr w:type="spellEnd"/>
            <w:r w:rsidRPr="003600AA">
              <w:rPr>
                <w:rFonts w:ascii="Times New Roman" w:eastAsia="Times New Roman" w:hAnsi="Times New Roman"/>
                <w:sz w:val="24"/>
                <w:szCs w:val="24"/>
              </w:rPr>
              <w:t>) the PEPP gives rise to significant or reiterated saver’s protection concerns or (ii) consistently fails to offer value for money or (iii) poses a risk to the orderly functioning and integrity of financial markets or the stability of whole or part of the financial system within at least one Member State. The Commission does not consider appropriate to add −</w:t>
            </w:r>
            <w:r w:rsidR="008E2F17">
              <w:rPr>
                <w:rFonts w:ascii="Times New Roman" w:eastAsia="Times New Roman" w:hAnsi="Times New Roman"/>
                <w:sz w:val="24"/>
                <w:szCs w:val="24"/>
              </w:rPr>
              <w:t xml:space="preserve"> </w:t>
            </w:r>
            <w:r w:rsidRPr="003600AA">
              <w:rPr>
                <w:rFonts w:ascii="Times New Roman" w:eastAsia="Times New Roman" w:hAnsi="Times New Roman"/>
                <w:sz w:val="24"/>
                <w:szCs w:val="24"/>
              </w:rPr>
              <w:t xml:space="preserve">as suggested by the EESC – a statement that </w:t>
            </w:r>
            <w:r w:rsidR="00772928">
              <w:rPr>
                <w:rFonts w:ascii="Times New Roman" w:eastAsia="Times New Roman" w:hAnsi="Times New Roman"/>
                <w:sz w:val="24"/>
                <w:szCs w:val="24"/>
              </w:rPr>
              <w:t>‘</w:t>
            </w:r>
            <w:r w:rsidRPr="5449F5D9">
              <w:rPr>
                <w:rFonts w:ascii="Times New Roman" w:eastAsia="Times New Roman" w:hAnsi="Times New Roman"/>
                <w:i/>
                <w:iCs/>
                <w:sz w:val="24"/>
                <w:szCs w:val="24"/>
              </w:rPr>
              <w:t>significant concerns shall be demonstrated by non-compliance with the common indicators of quality-price and saver protection</w:t>
            </w:r>
            <w:r w:rsidR="00772928">
              <w:rPr>
                <w:rFonts w:ascii="Times New Roman" w:eastAsia="Times New Roman" w:hAnsi="Times New Roman"/>
                <w:sz w:val="24"/>
                <w:szCs w:val="24"/>
              </w:rPr>
              <w:t>’</w:t>
            </w:r>
            <w:r w:rsidRPr="003600AA">
              <w:rPr>
                <w:rFonts w:ascii="Times New Roman" w:eastAsia="Times New Roman" w:hAnsi="Times New Roman"/>
                <w:sz w:val="24"/>
                <w:szCs w:val="24"/>
              </w:rPr>
              <w:t>,</w:t>
            </w:r>
            <w:r w:rsidRPr="5449F5D9">
              <w:rPr>
                <w:rFonts w:ascii="Times New Roman" w:eastAsia="Times New Roman" w:hAnsi="Times New Roman"/>
                <w:sz w:val="24"/>
                <w:szCs w:val="24"/>
              </w:rPr>
              <w:t xml:space="preserve"> as this may reduce the </w:t>
            </w:r>
            <w:r w:rsidRPr="003600AA">
              <w:rPr>
                <w:rFonts w:ascii="Times New Roman" w:eastAsia="Times New Roman" w:hAnsi="Times New Roman"/>
                <w:sz w:val="24"/>
                <w:szCs w:val="24"/>
              </w:rPr>
              <w:t xml:space="preserve">margin of appreciation that </w:t>
            </w:r>
            <w:r w:rsidR="07E08E89" w:rsidRPr="5449F5D9">
              <w:rPr>
                <w:rFonts w:ascii="Times New Roman" w:eastAsia="Times New Roman" w:hAnsi="Times New Roman"/>
                <w:sz w:val="24"/>
                <w:szCs w:val="24"/>
              </w:rPr>
              <w:t>competent authoritie</w:t>
            </w:r>
            <w:r w:rsidRPr="5449F5D9">
              <w:rPr>
                <w:rFonts w:ascii="Times New Roman" w:eastAsia="Times New Roman" w:hAnsi="Times New Roman"/>
                <w:sz w:val="24"/>
                <w:szCs w:val="24"/>
              </w:rPr>
              <w:t>s should possess to be in a position to react to different threats the nature of which cannot be anticipated in advance and take appropriate supervisory action under point (</w:t>
            </w:r>
            <w:proofErr w:type="spellStart"/>
            <w:r w:rsidRPr="5449F5D9">
              <w:rPr>
                <w:rFonts w:ascii="Times New Roman" w:eastAsia="Times New Roman" w:hAnsi="Times New Roman"/>
                <w:sz w:val="24"/>
                <w:szCs w:val="24"/>
              </w:rPr>
              <w:t>i</w:t>
            </w:r>
            <w:proofErr w:type="spellEnd"/>
            <w:r w:rsidRPr="5449F5D9">
              <w:rPr>
                <w:rFonts w:ascii="Times New Roman" w:eastAsia="Times New Roman" w:hAnsi="Times New Roman"/>
                <w:sz w:val="24"/>
                <w:szCs w:val="24"/>
              </w:rPr>
              <w:t>) above.</w:t>
            </w:r>
          </w:p>
          <w:p w14:paraId="6F73E24D" w14:textId="506F023B" w:rsidR="373015A7" w:rsidRPr="003600AA" w:rsidRDefault="00DD31F1" w:rsidP="003600AA">
            <w:pPr>
              <w:spacing w:after="160"/>
              <w:jc w:val="both"/>
              <w:rPr>
                <w:rFonts w:ascii="Times New Roman" w:eastAsia="Times New Roman" w:hAnsi="Times New Roman"/>
                <w:sz w:val="24"/>
                <w:szCs w:val="24"/>
              </w:rPr>
            </w:pPr>
            <w:r>
              <w:rPr>
                <w:rFonts w:ascii="Times New Roman" w:eastAsia="Times New Roman" w:hAnsi="Times New Roman"/>
                <w:sz w:val="24"/>
                <w:szCs w:val="24"/>
              </w:rPr>
              <w:t>The Commission would also like to</w:t>
            </w:r>
            <w:r w:rsidR="373015A7" w:rsidRPr="003600AA">
              <w:rPr>
                <w:rFonts w:ascii="Times New Roman" w:eastAsia="Times New Roman" w:hAnsi="Times New Roman"/>
                <w:sz w:val="24"/>
                <w:szCs w:val="24"/>
              </w:rPr>
              <w:t xml:space="preserve"> recall that Article 63 requires any measures adopted by a competent authority to be notified in advance to all relevant competent authorities and EIOPA together with relevant details and evidence and published on its website. It is therefore considered that transparency is sufficiently ensured</w:t>
            </w:r>
            <w:r>
              <w:rPr>
                <w:rFonts w:ascii="Times New Roman" w:eastAsia="Times New Roman" w:hAnsi="Times New Roman"/>
                <w:sz w:val="24"/>
                <w:szCs w:val="24"/>
              </w:rPr>
              <w:t>. T</w:t>
            </w:r>
            <w:r w:rsidR="373015A7" w:rsidRPr="003600AA">
              <w:rPr>
                <w:rFonts w:ascii="Times New Roman" w:eastAsia="Times New Roman" w:hAnsi="Times New Roman"/>
                <w:sz w:val="24"/>
                <w:szCs w:val="24"/>
              </w:rPr>
              <w:t xml:space="preserve">aking also into account the regulatory simplification objectives, additional publication </w:t>
            </w:r>
            <w:r w:rsidR="00772928">
              <w:rPr>
                <w:rFonts w:ascii="Times New Roman" w:eastAsia="Times New Roman" w:hAnsi="Times New Roman"/>
                <w:sz w:val="24"/>
                <w:szCs w:val="24"/>
              </w:rPr>
              <w:t>‘</w:t>
            </w:r>
            <w:r w:rsidR="373015A7" w:rsidRPr="003600AA">
              <w:rPr>
                <w:rFonts w:ascii="Times New Roman" w:eastAsia="Times New Roman" w:hAnsi="Times New Roman"/>
                <w:i/>
                <w:iCs/>
                <w:sz w:val="24"/>
                <w:szCs w:val="24"/>
              </w:rPr>
              <w:t>in a European repository</w:t>
            </w:r>
            <w:r w:rsidR="00772928">
              <w:rPr>
                <w:rFonts w:ascii="Times New Roman" w:eastAsia="Times New Roman" w:hAnsi="Times New Roman"/>
                <w:sz w:val="24"/>
                <w:szCs w:val="24"/>
              </w:rPr>
              <w:t>’</w:t>
            </w:r>
            <w:r w:rsidR="373015A7" w:rsidRPr="003600AA">
              <w:rPr>
                <w:rFonts w:ascii="Times New Roman" w:eastAsia="Times New Roman" w:hAnsi="Times New Roman"/>
                <w:sz w:val="24"/>
                <w:szCs w:val="24"/>
              </w:rPr>
              <w:t xml:space="preserve"> is considered unnecessary.</w:t>
            </w:r>
          </w:p>
          <w:p w14:paraId="5A4061DB" w14:textId="202837AF" w:rsidR="373015A7" w:rsidRPr="003600AA" w:rsidRDefault="373015A7"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2.13</w:t>
            </w:r>
          </w:p>
          <w:p w14:paraId="33040812" w14:textId="4DB571A4" w:rsidR="373015A7" w:rsidRPr="003600AA" w:rsidRDefault="373015A7"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 shares the objective of improving financial education and ensuring that savers have appropriate means available to enable them to understand the product, its key features, costs and expected outcomes. The Commission notes that the proposal for a Regulation already improves the information provided to savers and prospective savers through the Key Information Document and the Pension Benefit Statement, particularly on costs aspects and the compound effect of all costs on the saver’s expected final capital. Concerning decumulation, the proposed new rules require the provision of a concise explanatory guide to PEPP savers prior to the start of the decumulation stage to help them better understand the implications of different pay-out options, reinforced by the requirement for providers to offer personal retirement planning including a personal recommendation to the PEPP saver on his or her optimal form of out-payment.</w:t>
            </w:r>
          </w:p>
          <w:p w14:paraId="00CA93E4" w14:textId="41ECF53D" w:rsidR="373015A7" w:rsidRPr="003600AA" w:rsidRDefault="373015A7"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u w:val="single"/>
              </w:rPr>
              <w:t>Point 2.14</w:t>
            </w:r>
          </w:p>
          <w:p w14:paraId="630497D5" w14:textId="44D5831C" w:rsidR="373015A7" w:rsidRPr="002E3DE5" w:rsidRDefault="37A72228" w:rsidP="003600AA">
            <w:pPr>
              <w:spacing w:before="120" w:after="120"/>
              <w:jc w:val="both"/>
              <w:rPr>
                <w:rFonts w:ascii="Times New Roman" w:eastAsia="Aptos" w:hAnsi="Times New Roman"/>
                <w:sz w:val="24"/>
                <w:szCs w:val="24"/>
              </w:rPr>
            </w:pPr>
            <w:r w:rsidRPr="003600AA">
              <w:rPr>
                <w:rFonts w:ascii="Times New Roman" w:eastAsia="Times New Roman" w:hAnsi="Times New Roman"/>
                <w:sz w:val="24"/>
                <w:szCs w:val="24"/>
              </w:rPr>
              <w:t>It is noted that the proposal for a Regulation replaces the prudent person rule with the prudent person principle to promote greater investment flexibility</w:t>
            </w:r>
            <w:r w:rsidR="00DD31F1">
              <w:rPr>
                <w:rFonts w:ascii="Times New Roman" w:eastAsia="Times New Roman" w:hAnsi="Times New Roman"/>
                <w:sz w:val="24"/>
                <w:szCs w:val="24"/>
              </w:rPr>
              <w:t>,</w:t>
            </w:r>
            <w:r w:rsidRPr="003600AA">
              <w:rPr>
                <w:rFonts w:ascii="Times New Roman" w:eastAsia="Times New Roman" w:hAnsi="Times New Roman"/>
                <w:sz w:val="24"/>
                <w:szCs w:val="24"/>
              </w:rPr>
              <w:t xml:space="preserve"> while maintaining a high standard of protection for savers. The proposal does not amend the requirement that PEPP providers </w:t>
            </w:r>
            <w:proofErr w:type="gramStart"/>
            <w:r w:rsidRPr="003600AA">
              <w:rPr>
                <w:rFonts w:ascii="Times New Roman" w:eastAsia="Times New Roman" w:hAnsi="Times New Roman"/>
                <w:sz w:val="24"/>
                <w:szCs w:val="24"/>
              </w:rPr>
              <w:t>take into account</w:t>
            </w:r>
            <w:proofErr w:type="gramEnd"/>
            <w:r w:rsidRPr="003600AA">
              <w:rPr>
                <w:rFonts w:ascii="Times New Roman" w:eastAsia="Times New Roman" w:hAnsi="Times New Roman"/>
                <w:sz w:val="24"/>
                <w:szCs w:val="24"/>
              </w:rPr>
              <w:t xml:space="preserve"> risks related to and the potential long</w:t>
            </w:r>
            <w:r w:rsidR="72C2BD2F" w:rsidRPr="003600AA">
              <w:rPr>
                <w:rFonts w:ascii="Times New Roman" w:eastAsia="Times New Roman" w:hAnsi="Times New Roman"/>
                <w:sz w:val="24"/>
                <w:szCs w:val="24"/>
              </w:rPr>
              <w:t>-</w:t>
            </w:r>
            <w:r w:rsidRPr="003600AA">
              <w:rPr>
                <w:rFonts w:ascii="Times New Roman" w:eastAsia="Times New Roman" w:hAnsi="Times New Roman"/>
                <w:sz w:val="24"/>
                <w:szCs w:val="24"/>
              </w:rPr>
              <w:t>term impact of investment decisions on ESG factors</w:t>
            </w:r>
            <w:r w:rsidRPr="002E3DE5">
              <w:rPr>
                <w:rFonts w:ascii="Times New Roman" w:eastAsia="Aptos" w:hAnsi="Times New Roman"/>
                <w:sz w:val="24"/>
                <w:szCs w:val="24"/>
              </w:rPr>
              <w:t>.</w:t>
            </w:r>
          </w:p>
          <w:p w14:paraId="6B7D56A3" w14:textId="12CF0D42" w:rsidR="373015A7" w:rsidRPr="003600AA" w:rsidRDefault="373015A7"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2.15</w:t>
            </w:r>
          </w:p>
          <w:p w14:paraId="164A50CD" w14:textId="2C3C5493" w:rsidR="373015A7" w:rsidRPr="003600AA" w:rsidRDefault="373015A7" w:rsidP="003600AA">
            <w:pPr>
              <w:spacing w:before="240" w:after="24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w:t>
            </w:r>
            <w:r w:rsidR="004815F1" w:rsidRPr="003600AA">
              <w:rPr>
                <w:rFonts w:ascii="Times New Roman" w:eastAsia="Times New Roman" w:hAnsi="Times New Roman"/>
                <w:sz w:val="24"/>
                <w:szCs w:val="24"/>
              </w:rPr>
              <w:t xml:space="preserve">notes </w:t>
            </w:r>
            <w:r w:rsidRPr="003600AA">
              <w:rPr>
                <w:rFonts w:ascii="Times New Roman" w:eastAsia="Times New Roman" w:hAnsi="Times New Roman"/>
                <w:sz w:val="24"/>
                <w:szCs w:val="24"/>
              </w:rPr>
              <w:t>the proposed amendment concerning pension tracking systems. It recalls that the proposed text already provides for a standardised approach to the transmission and presentation of information, with a view to facilitating consistency, interoperability and the aggregation of pension data across systems.</w:t>
            </w:r>
          </w:p>
          <w:p w14:paraId="5B1ACF0A" w14:textId="72669266" w:rsidR="1E6BB7C2" w:rsidRPr="003600AA" w:rsidRDefault="1E6BB7C2"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2.20</w:t>
            </w:r>
          </w:p>
          <w:p w14:paraId="03161E52" w14:textId="11ED01DD" w:rsidR="1E6BB7C2" w:rsidRPr="003600AA" w:rsidRDefault="00E57AD2" w:rsidP="003600AA">
            <w:pPr>
              <w:spacing w:before="120" w:after="120"/>
              <w:jc w:val="both"/>
              <w:rPr>
                <w:rFonts w:ascii="Times New Roman" w:eastAsia="Times New Roman" w:hAnsi="Times New Roman"/>
                <w:sz w:val="24"/>
                <w:szCs w:val="24"/>
              </w:rPr>
            </w:pPr>
            <w:r>
              <w:rPr>
                <w:rFonts w:ascii="Times New Roman" w:eastAsia="Times New Roman" w:hAnsi="Times New Roman"/>
                <w:sz w:val="24"/>
                <w:szCs w:val="24"/>
              </w:rPr>
              <w:t>L</w:t>
            </w:r>
            <w:r w:rsidR="1E6BB7C2" w:rsidRPr="003600AA">
              <w:rPr>
                <w:rFonts w:ascii="Times New Roman" w:eastAsia="Times New Roman" w:hAnsi="Times New Roman"/>
                <w:sz w:val="24"/>
                <w:szCs w:val="24"/>
              </w:rPr>
              <w:t xml:space="preserve">ong-term pension investments are vital for financing strategic priorities, including the environmental and digital transitions. By broadening the investment mix to include risk capital – appropriately </w:t>
            </w:r>
            <w:r w:rsidR="1E6BB7C2" w:rsidRPr="003600AA">
              <w:rPr>
                <w:rFonts w:ascii="Times New Roman" w:eastAsia="Times New Roman" w:hAnsi="Times New Roman"/>
                <w:sz w:val="24"/>
                <w:szCs w:val="24"/>
              </w:rPr>
              <w:lastRenderedPageBreak/>
              <w:t>mitigated through diversification – pension operators can improve outcomes for beneficiaries; however, the Commission aligns with the EESC that transparent governance and clear communication remain the necessary foundations for fostering public trust in these systems.</w:t>
            </w:r>
          </w:p>
          <w:p w14:paraId="56A710C1" w14:textId="63192A0D" w:rsidR="1E6BB7C2" w:rsidRPr="003600AA" w:rsidRDefault="1E6BB7C2"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2.21</w:t>
            </w:r>
          </w:p>
          <w:p w14:paraId="26EDB5F1" w14:textId="6FFB3AA8" w:rsidR="1E6BB7C2" w:rsidRPr="003600AA" w:rsidRDefault="1E6BB7C2"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 acknowledges the distinct characteristics of collective and individual pension plans, noting that their suitability varies depending on the specific needs of different population groups. It recognises that collective plans, rooted in the workplace, are traditionally shaped by collective bargaining and social dialogue, whereas individual plans provide a private, complementary option for personal retirement planning.</w:t>
            </w:r>
          </w:p>
          <w:p w14:paraId="5DB27EF0" w14:textId="576F177A" w:rsidR="1E6BB7C2" w:rsidRPr="003600AA" w:rsidRDefault="1E6BB7C2"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2.22</w:t>
            </w:r>
          </w:p>
          <w:p w14:paraId="698B5842" w14:textId="2134E80C" w:rsidR="1E6BB7C2" w:rsidRPr="003600AA" w:rsidRDefault="1E6BB7C2"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In this context, the Commission highlights that well-developed collective schemes in several Member States demonstrate significant advantages, particularly regarding lower administrative costs and economies of scale compared to individual products. These existing efficiencies are a vital component of the European pension landscape that the supplementary pensions package seeks to support and build upon.</w:t>
            </w:r>
          </w:p>
          <w:p w14:paraId="32173A71" w14:textId="5BE48C98" w:rsidR="1E6BB7C2" w:rsidRPr="003600AA" w:rsidRDefault="1E6BB7C2"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u w:val="single"/>
              </w:rPr>
              <w:t>Point 2.23</w:t>
            </w:r>
          </w:p>
          <w:p w14:paraId="11A8092B" w14:textId="4EEEC101" w:rsidR="1E6BB7C2" w:rsidRPr="003600AA" w:rsidRDefault="257553B8" w:rsidP="6E3B6084">
            <w:pPr>
              <w:spacing w:before="120" w:after="120"/>
              <w:jc w:val="both"/>
              <w:rPr>
                <w:rFonts w:ascii="Times New Roman" w:eastAsia="Times New Roman" w:hAnsi="Times New Roman"/>
                <w:sz w:val="24"/>
                <w:szCs w:val="24"/>
              </w:rPr>
            </w:pPr>
            <w:r w:rsidRPr="6E3B6084">
              <w:rPr>
                <w:rFonts w:ascii="Times New Roman" w:eastAsia="Times New Roman" w:hAnsi="Times New Roman"/>
                <w:sz w:val="24"/>
                <w:szCs w:val="24"/>
              </w:rPr>
              <w:t xml:space="preserve">The </w:t>
            </w:r>
            <w:r w:rsidR="3A6BA55A" w:rsidRPr="6E3B6084">
              <w:rPr>
                <w:rFonts w:ascii="Times New Roman" w:eastAsia="Times New Roman" w:hAnsi="Times New Roman"/>
                <w:sz w:val="24"/>
                <w:szCs w:val="24"/>
              </w:rPr>
              <w:t xml:space="preserve">Commission </w:t>
            </w:r>
            <w:r w:rsidRPr="6E3B6084">
              <w:rPr>
                <w:rFonts w:ascii="Times New Roman" w:eastAsia="Times New Roman" w:hAnsi="Times New Roman"/>
                <w:sz w:val="24"/>
                <w:szCs w:val="24"/>
              </w:rPr>
              <w:t>Recommendation</w:t>
            </w:r>
            <w:r w:rsidR="0E68E606" w:rsidRPr="6E3B6084">
              <w:rPr>
                <w:rFonts w:ascii="Times New Roman" w:eastAsia="Times New Roman" w:hAnsi="Times New Roman"/>
                <w:sz w:val="24"/>
                <w:szCs w:val="24"/>
              </w:rPr>
              <w:t xml:space="preserve"> on Pension tracking systems, pension dashboards and auto-enrolment</w:t>
            </w:r>
            <w:r w:rsidRPr="6E3B6084">
              <w:rPr>
                <w:rFonts w:ascii="Times New Roman" w:eastAsia="Times New Roman" w:hAnsi="Times New Roman"/>
                <w:sz w:val="24"/>
                <w:szCs w:val="24"/>
              </w:rPr>
              <w:t xml:space="preserve"> is designed to be implemented in a way that ensures new supplementary options complement rather than undermine the integrity of established occupational systems. By respecting the autonomy of social partners and existing collective agreements, the Commission aims to provide Member States with a flexible framework that supports workers' rights while expanding the available retirement savings instruments.</w:t>
            </w:r>
          </w:p>
          <w:p w14:paraId="1935ADE4" w14:textId="69F284EC" w:rsidR="19D86FCA" w:rsidRPr="003600AA" w:rsidRDefault="19D86FCA"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2.24</w:t>
            </w:r>
          </w:p>
          <w:p w14:paraId="344E29AB" w14:textId="4E139D8A" w:rsidR="19D86FCA" w:rsidRPr="003600AA" w:rsidRDefault="5E72880A"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agrees that product standards must ensure suitability, cost-efficiency, and solid long-term returns. However, the Commission underlines that the IORP II Directive operates on a principles-based framework rather than strict product-design standardisation. The proposal promotes more investment freedom and confirms that social partners and trustees managing the schemes are best placed to define their investment strategy and set their own limits – rather than having investments unduly constrained by statutory limits. The proposed enhanced investment freedom allows schemes to seek solid long-term returns that are tailored precisely to the specific risk tolerance and demographic profile of their members. Suitability is effectively safeguarded through the high fiduciary standards embedded in the </w:t>
            </w:r>
            <w:r w:rsidR="00D018EA">
              <w:rPr>
                <w:rFonts w:ascii="Times New Roman" w:eastAsia="Times New Roman" w:hAnsi="Times New Roman"/>
                <w:sz w:val="24"/>
                <w:szCs w:val="24"/>
              </w:rPr>
              <w:t>‘</w:t>
            </w:r>
            <w:r w:rsidRPr="003600AA">
              <w:rPr>
                <w:rFonts w:ascii="Times New Roman" w:eastAsia="Times New Roman" w:hAnsi="Times New Roman"/>
                <w:sz w:val="24"/>
                <w:szCs w:val="24"/>
              </w:rPr>
              <w:t>prudent person</w:t>
            </w:r>
            <w:r w:rsidR="00D018EA">
              <w:rPr>
                <w:rFonts w:ascii="Times New Roman" w:eastAsia="Times New Roman" w:hAnsi="Times New Roman"/>
                <w:sz w:val="24"/>
                <w:szCs w:val="24"/>
              </w:rPr>
              <w:t>’</w:t>
            </w:r>
            <w:r w:rsidRPr="003600AA">
              <w:rPr>
                <w:rFonts w:ascii="Times New Roman" w:eastAsia="Times New Roman" w:hAnsi="Times New Roman"/>
                <w:sz w:val="24"/>
                <w:szCs w:val="24"/>
              </w:rPr>
              <w:t xml:space="preserve"> rule under Article 19</w:t>
            </w:r>
            <w:r w:rsidR="006F4917" w:rsidRPr="003600AA">
              <w:rPr>
                <w:rStyle w:val="FootnoteReference"/>
                <w:rFonts w:ascii="Times New Roman" w:eastAsia="Times New Roman" w:hAnsi="Times New Roman"/>
                <w:sz w:val="24"/>
                <w:szCs w:val="24"/>
              </w:rPr>
              <w:footnoteReference w:id="22"/>
            </w:r>
            <w:r w:rsidRPr="003600AA">
              <w:rPr>
                <w:rFonts w:ascii="Times New Roman" w:eastAsia="Times New Roman" w:hAnsi="Times New Roman"/>
                <w:sz w:val="24"/>
                <w:szCs w:val="24"/>
              </w:rPr>
              <w:t>, alongside reinforced governance and transparency requirements.</w:t>
            </w:r>
          </w:p>
          <w:p w14:paraId="59B6FEA4" w14:textId="17E24C8B" w:rsidR="19D86FCA" w:rsidRPr="003600AA" w:rsidRDefault="19D86FCA"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2.25</w:t>
            </w:r>
          </w:p>
          <w:p w14:paraId="00D3E831" w14:textId="705E0F48" w:rsidR="19D86FCA" w:rsidRDefault="5260B883" w:rsidP="003600AA">
            <w:pPr>
              <w:spacing w:before="240" w:after="24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recognises the value of public sector involvement in supplementary pensions. However, </w:t>
            </w:r>
            <w:r w:rsidR="7BBADFC0" w:rsidRPr="003600AA">
              <w:rPr>
                <w:rFonts w:ascii="Times New Roman" w:eastAsia="Times New Roman" w:hAnsi="Times New Roman"/>
                <w:sz w:val="24"/>
                <w:szCs w:val="24"/>
              </w:rPr>
              <w:t xml:space="preserve">such a role for the public sector </w:t>
            </w:r>
            <w:r w:rsidR="71A59CFD" w:rsidRPr="003600AA">
              <w:rPr>
                <w:rFonts w:ascii="Times New Roman" w:eastAsia="Times New Roman" w:hAnsi="Times New Roman"/>
                <w:sz w:val="24"/>
                <w:szCs w:val="24"/>
              </w:rPr>
              <w:t>would be a</w:t>
            </w:r>
            <w:r w:rsidRPr="003600AA">
              <w:rPr>
                <w:rFonts w:ascii="Times New Roman" w:eastAsia="Times New Roman" w:hAnsi="Times New Roman"/>
                <w:sz w:val="24"/>
                <w:szCs w:val="24"/>
              </w:rPr>
              <w:t xml:space="preserve"> matter </w:t>
            </w:r>
            <w:r w:rsidR="09711DEB" w:rsidRPr="003600AA">
              <w:rPr>
                <w:rFonts w:ascii="Times New Roman" w:eastAsia="Times New Roman" w:hAnsi="Times New Roman"/>
                <w:sz w:val="24"/>
                <w:szCs w:val="24"/>
              </w:rPr>
              <w:t xml:space="preserve">that falls within </w:t>
            </w:r>
            <w:r w:rsidRPr="003600AA">
              <w:rPr>
                <w:rFonts w:ascii="Times New Roman" w:eastAsia="Times New Roman" w:hAnsi="Times New Roman"/>
                <w:sz w:val="24"/>
                <w:szCs w:val="24"/>
              </w:rPr>
              <w:t>Member States</w:t>
            </w:r>
            <w:r w:rsidR="5DDD686C" w:rsidRPr="003600AA">
              <w:rPr>
                <w:rFonts w:ascii="Times New Roman" w:eastAsia="Times New Roman" w:hAnsi="Times New Roman"/>
                <w:sz w:val="24"/>
                <w:szCs w:val="24"/>
              </w:rPr>
              <w:t>’ competence</w:t>
            </w:r>
            <w:r w:rsidRPr="003600AA">
              <w:rPr>
                <w:rFonts w:ascii="Times New Roman" w:eastAsia="Times New Roman" w:hAnsi="Times New Roman"/>
                <w:sz w:val="24"/>
                <w:szCs w:val="24"/>
              </w:rPr>
              <w:t xml:space="preserve">. The </w:t>
            </w:r>
            <w:r w:rsidR="00D018EA">
              <w:rPr>
                <w:rFonts w:ascii="Times New Roman" w:eastAsia="Times New Roman" w:hAnsi="Times New Roman"/>
                <w:sz w:val="24"/>
                <w:szCs w:val="24"/>
              </w:rPr>
              <w:t>D</w:t>
            </w:r>
            <w:r w:rsidRPr="003600AA">
              <w:rPr>
                <w:rFonts w:ascii="Times New Roman" w:eastAsia="Times New Roman" w:hAnsi="Times New Roman"/>
                <w:sz w:val="24"/>
                <w:szCs w:val="24"/>
              </w:rPr>
              <w:t xml:space="preserve">irective does not provide a mandate for the Commission to define default providers </w:t>
            </w:r>
            <w:r w:rsidRPr="003600AA">
              <w:rPr>
                <w:rFonts w:ascii="Times New Roman" w:eastAsia="Times New Roman" w:hAnsi="Times New Roman"/>
                <w:sz w:val="24"/>
                <w:szCs w:val="24"/>
              </w:rPr>
              <w:lastRenderedPageBreak/>
              <w:t>or product design choices, which fall within national competence.</w:t>
            </w:r>
          </w:p>
          <w:p w14:paraId="67970EB7" w14:textId="60A7BDAB" w:rsidR="0049246C" w:rsidRPr="003600AA" w:rsidRDefault="3C5E2DFD"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u w:val="single"/>
              </w:rPr>
              <w:t>Point 2.26</w:t>
            </w:r>
          </w:p>
          <w:p w14:paraId="3BD69138" w14:textId="5EC18F36" w:rsidR="003B35DA" w:rsidRPr="003600AA" w:rsidRDefault="7D8EF285"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 acknowledges that past financial crises have underscored the importance of maintaining public confidence in supplementary pensions. However, it is essential to underline that occupational pensions are long-term products. Attempting to rebuild trust through mandatory capital guarantees could be detrimental to savers over a long investment horizon.</w:t>
            </w:r>
          </w:p>
          <w:p w14:paraId="06248380" w14:textId="56152AB0" w:rsidR="003B35DA" w:rsidRPr="003600AA" w:rsidRDefault="7D8EF285"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Evidence suggests that many heavily guaranteed products struggle to outperform inflation and generate higher costs. Indirectly forcing funds to invest in low-yield, ultra-safe assets to secure nominal guarantees erodes the real purchasing power of retirement savings over time. The proposal addresses long-term stability – not by introducing rigid and costly guarantees but by strengthening risk-management frameworks and fostering diversified asset allocation under the </w:t>
            </w:r>
            <w:r w:rsidR="00D018EA">
              <w:rPr>
                <w:rFonts w:ascii="Times New Roman" w:eastAsia="Times New Roman" w:hAnsi="Times New Roman"/>
                <w:sz w:val="24"/>
                <w:szCs w:val="24"/>
              </w:rPr>
              <w:t>‘</w:t>
            </w:r>
            <w:r w:rsidRPr="003600AA">
              <w:rPr>
                <w:rFonts w:ascii="Times New Roman" w:eastAsia="Times New Roman" w:hAnsi="Times New Roman"/>
                <w:sz w:val="24"/>
                <w:szCs w:val="24"/>
              </w:rPr>
              <w:t>prudent person</w:t>
            </w:r>
            <w:r w:rsidR="00D018EA">
              <w:rPr>
                <w:rFonts w:ascii="Times New Roman" w:eastAsia="Times New Roman" w:hAnsi="Times New Roman"/>
                <w:sz w:val="24"/>
                <w:szCs w:val="24"/>
              </w:rPr>
              <w:t>’</w:t>
            </w:r>
            <w:r w:rsidRPr="003600AA">
              <w:rPr>
                <w:rFonts w:ascii="Times New Roman" w:eastAsia="Times New Roman" w:hAnsi="Times New Roman"/>
                <w:sz w:val="24"/>
                <w:szCs w:val="24"/>
              </w:rPr>
              <w:t xml:space="preserve"> principle. This approach ensures that pension funds can withstand cyclical market shocks while delivering the real returns necessary to ensure pension adequacy.</w:t>
            </w:r>
          </w:p>
          <w:p w14:paraId="55EC415F" w14:textId="1E243ADD" w:rsidR="003B35DA" w:rsidRPr="003600AA" w:rsidRDefault="6C65D782"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2.27</w:t>
            </w:r>
          </w:p>
          <w:p w14:paraId="30081AE4" w14:textId="4E347430" w:rsidR="003B35DA" w:rsidRPr="003600AA" w:rsidRDefault="6C65D782"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 emphasises that the promotion of supplementary pensions is intended to broaden the retirement income mix and is not a policy design aimed at reducing public pension replacement rates. Rather than shifting responsibility away from the state, the package aims to provide additional security, ensuring that occupational and personal pensions act as a value-adding complement to – rather than a replacement for – a sustainable public pension foundation.</w:t>
            </w:r>
          </w:p>
          <w:p w14:paraId="5A4CF8B6" w14:textId="6EF2FFC8" w:rsidR="003B35DA" w:rsidRPr="003600AA" w:rsidRDefault="6C65D782"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2.28</w:t>
            </w:r>
          </w:p>
          <w:p w14:paraId="44605F3C" w14:textId="1D0C0B17" w:rsidR="003B35DA" w:rsidRPr="003600AA" w:rsidRDefault="6C65D782"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 is aware of the cost-of-living pressures facing young people and disadvantaged groups, which is why the Recommendation focuses on making supplementary schemes broad and inclusive. The ability for individuals to complement statutory pensions reflects an effort to provide them with better tools and choices; however, the Commission remains committed to the principle that public systems will continue to provide a reliable safety net for those with limited capacity to save.</w:t>
            </w:r>
          </w:p>
          <w:p w14:paraId="447FFCB8" w14:textId="72123251" w:rsidR="003B35DA" w:rsidRPr="003600AA" w:rsidRDefault="6C65D782"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2.29</w:t>
            </w:r>
          </w:p>
          <w:p w14:paraId="03AD574E" w14:textId="79B99E8B" w:rsidR="003B35DA" w:rsidRPr="003600AA" w:rsidRDefault="6C65D782"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 maintains that the Recommendation is designed to facilitate coordination while respecting the diverse starting points of Member States. By providing a flexible framework rather than a one-size-fits-all mandate, the Commission seeks to foster voluntary cooperation that allows each national system to evolve at its own pace and in line with its specific socio-economic requirements.</w:t>
            </w:r>
          </w:p>
          <w:p w14:paraId="4513689A" w14:textId="3F2139C6" w:rsidR="003B35DA" w:rsidRPr="003600AA" w:rsidRDefault="6C65D782"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2.30</w:t>
            </w:r>
          </w:p>
          <w:p w14:paraId="7163485A" w14:textId="0A91C708" w:rsidR="003B35DA" w:rsidRDefault="757947F1"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notes that successful automatic enrolment systems operate effectively within several Member States, including those with specific constitutional protections for property rights. Other Member States are currently considering implementing auto-enrolment frameworks. These systems are specifically designed to respect individual freedoms and the right to property by ensuring that participation remains voluntary through clear, accessible opt-out mechanisms. The Recommendation therefore offers a set of best practices for such models, which Member States can tailor to ensure full </w:t>
            </w:r>
            <w:r w:rsidRPr="003600AA">
              <w:rPr>
                <w:rFonts w:ascii="Times New Roman" w:eastAsia="Times New Roman" w:hAnsi="Times New Roman"/>
                <w:sz w:val="24"/>
                <w:szCs w:val="24"/>
              </w:rPr>
              <w:lastRenderedPageBreak/>
              <w:t>compatibility with their own legal and fundamental rights frameworks.</w:t>
            </w:r>
          </w:p>
          <w:p w14:paraId="3D6AF311" w14:textId="78B22D94" w:rsidR="003B35DA" w:rsidRPr="003600AA" w:rsidRDefault="6C65D782"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2.31</w:t>
            </w:r>
          </w:p>
          <w:p w14:paraId="62D101F5" w14:textId="3A78FDC2" w:rsidR="003B35DA" w:rsidRDefault="6C65D782"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 recognises that the European social contract is best served when social partners are involved in the development of occupational pensions. To this end, the proposal reaffirms the autonomy of social partners, supporting an approach where automatic enrolment can be developed through social dialogue and collective bargaining to help maintain the legitimacy and long-term sustainability of the system.</w:t>
            </w:r>
          </w:p>
          <w:p w14:paraId="1D6AEBCE" w14:textId="577FE580" w:rsidR="003B35DA" w:rsidRPr="003600AA" w:rsidRDefault="6C65D782"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2.32</w:t>
            </w:r>
          </w:p>
          <w:p w14:paraId="75A2EABF" w14:textId="05138DB0" w:rsidR="003B35DA" w:rsidRPr="003600AA" w:rsidRDefault="6C65D782"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 notes the suggestion for specific monitoring duties</w:t>
            </w:r>
            <w:r w:rsidR="001E30EF">
              <w:rPr>
                <w:rFonts w:ascii="Times New Roman" w:eastAsia="Times New Roman" w:hAnsi="Times New Roman"/>
                <w:sz w:val="24"/>
                <w:szCs w:val="24"/>
              </w:rPr>
              <w:t>. H</w:t>
            </w:r>
            <w:r w:rsidRPr="003600AA">
              <w:rPr>
                <w:rFonts w:ascii="Times New Roman" w:eastAsia="Times New Roman" w:hAnsi="Times New Roman"/>
                <w:sz w:val="24"/>
                <w:szCs w:val="24"/>
              </w:rPr>
              <w:t>owever, it considers that the existing reporting obligations under the IORP II Directive and the PEPP Regulation, combined with the regular assessments in the Report on Adequate Social Protection in Old Age and the pension adequacy benchmarking framework, provide a robust basis for evaluation. These frameworks already require regulators and operators to supply the granular data necessary to assess the effectiveness and reach of supplementary schemes.</w:t>
            </w:r>
          </w:p>
          <w:p w14:paraId="1A06DB2E" w14:textId="26376DEA" w:rsidR="003B35DA" w:rsidRPr="003600AA" w:rsidRDefault="6C65D782"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2.33</w:t>
            </w:r>
          </w:p>
          <w:p w14:paraId="3F06B841" w14:textId="77777777" w:rsidR="001329E0" w:rsidRDefault="6103E46C" w:rsidP="003600AA">
            <w:pPr>
              <w:spacing w:before="120" w:after="120"/>
              <w:jc w:val="both"/>
              <w:rPr>
                <w:rFonts w:ascii="Times New Roman" w:eastAsia="Times New Roman" w:hAnsi="Times New Roman"/>
                <w:sz w:val="24"/>
                <w:szCs w:val="24"/>
              </w:rPr>
            </w:pPr>
            <w:r w:rsidRPr="5449F5D9">
              <w:rPr>
                <w:rFonts w:ascii="Times New Roman" w:eastAsia="Times New Roman" w:hAnsi="Times New Roman"/>
                <w:sz w:val="24"/>
                <w:szCs w:val="24"/>
              </w:rPr>
              <w:t>Improving confidence in pension systems is a key objective of the current package. The Commission believes that the development of pension tracking systems and national dashboards, as outlined in the Recommendation, will enhance transparency and comparability across Member States.</w:t>
            </w:r>
          </w:p>
          <w:p w14:paraId="3F4DBECC" w14:textId="429FE3DB" w:rsidR="003B35DA" w:rsidRPr="003600AA" w:rsidRDefault="6C65D782"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2.34</w:t>
            </w:r>
          </w:p>
          <w:p w14:paraId="20DABBC9" w14:textId="5BE4AD1B" w:rsidR="003B35DA" w:rsidRPr="003600AA" w:rsidRDefault="18C22D87"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 recognises the benefits of pension models based on social dialogue and collective bargaining.</w:t>
            </w:r>
            <w:r w:rsidRPr="002E3DE5">
              <w:rPr>
                <w:rFonts w:ascii="Times New Roman" w:hAnsi="Times New Roman"/>
                <w:sz w:val="24"/>
                <w:szCs w:val="24"/>
              </w:rPr>
              <w:t xml:space="preserve"> </w:t>
            </w:r>
            <w:r w:rsidRPr="003600AA">
              <w:rPr>
                <w:rFonts w:ascii="Times New Roman" w:eastAsia="Times New Roman" w:hAnsi="Times New Roman"/>
                <w:sz w:val="24"/>
                <w:szCs w:val="24"/>
              </w:rPr>
              <w:t>The supplementary pensions package is therefore designed to support these models by providing a flexible framework that respects the autonomy of social partners and encourages the channelling of capital into sustainable, growth-oriented investments.</w:t>
            </w:r>
          </w:p>
          <w:p w14:paraId="2E73A302" w14:textId="524B51EF" w:rsidR="003B35DA" w:rsidRPr="003600AA" w:rsidRDefault="2BF7261F"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2.35</w:t>
            </w:r>
          </w:p>
          <w:p w14:paraId="36812519" w14:textId="50927E5A" w:rsidR="003B35DA" w:rsidRDefault="3EBC6609"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 would like to underline that the 2025 Special Report</w:t>
            </w:r>
            <w:r w:rsidR="00463707" w:rsidRPr="003600AA">
              <w:rPr>
                <w:rStyle w:val="FootnoteReference"/>
                <w:rFonts w:ascii="Times New Roman" w:eastAsia="Times New Roman" w:hAnsi="Times New Roman"/>
                <w:sz w:val="24"/>
                <w:szCs w:val="24"/>
              </w:rPr>
              <w:footnoteReference w:id="23"/>
            </w:r>
            <w:r w:rsidRPr="003600AA">
              <w:rPr>
                <w:rFonts w:ascii="Times New Roman" w:eastAsia="Times New Roman" w:hAnsi="Times New Roman"/>
                <w:sz w:val="24"/>
                <w:szCs w:val="24"/>
              </w:rPr>
              <w:t xml:space="preserve"> of the European Court of Auditors on supplementary pensions in the EU does indeed flag a low uptake of EIOPA’s initiatives by national competent authorities. Putting this in context, the Court found that these initiatives were particularly limited in number and did not involve tools that are most impactful, such as guidelines that consist of a </w:t>
            </w:r>
            <w:r w:rsidR="001E30EF">
              <w:rPr>
                <w:rFonts w:ascii="Times New Roman" w:eastAsia="Times New Roman" w:hAnsi="Times New Roman"/>
                <w:sz w:val="24"/>
                <w:szCs w:val="24"/>
              </w:rPr>
              <w:t>‘</w:t>
            </w:r>
            <w:r w:rsidRPr="003600AA">
              <w:rPr>
                <w:rFonts w:ascii="Times New Roman" w:eastAsia="Times New Roman" w:hAnsi="Times New Roman"/>
                <w:sz w:val="24"/>
                <w:szCs w:val="24"/>
              </w:rPr>
              <w:t>comply or explain</w:t>
            </w:r>
            <w:r w:rsidR="001E30EF">
              <w:rPr>
                <w:rFonts w:ascii="Times New Roman" w:eastAsia="Times New Roman" w:hAnsi="Times New Roman"/>
                <w:sz w:val="24"/>
                <w:szCs w:val="24"/>
              </w:rPr>
              <w:t>’</w:t>
            </w:r>
            <w:r w:rsidRPr="003600AA">
              <w:rPr>
                <w:rFonts w:ascii="Times New Roman" w:eastAsia="Times New Roman" w:hAnsi="Times New Roman"/>
                <w:sz w:val="24"/>
                <w:szCs w:val="24"/>
              </w:rPr>
              <w:t xml:space="preserve"> feature. </w:t>
            </w:r>
            <w:r w:rsidR="78EC1D17" w:rsidRPr="003600AA">
              <w:rPr>
                <w:rFonts w:ascii="Times New Roman" w:eastAsia="Times New Roman" w:hAnsi="Times New Roman"/>
                <w:sz w:val="24"/>
                <w:szCs w:val="24"/>
              </w:rPr>
              <w:t xml:space="preserve">The Court </w:t>
            </w:r>
            <w:r w:rsidRPr="003600AA">
              <w:rPr>
                <w:rFonts w:ascii="Times New Roman" w:eastAsia="Times New Roman" w:hAnsi="Times New Roman"/>
                <w:sz w:val="24"/>
                <w:szCs w:val="24"/>
              </w:rPr>
              <w:t xml:space="preserve">therefore recommended </w:t>
            </w:r>
            <w:r w:rsidR="6B5E6047" w:rsidRPr="003600AA">
              <w:rPr>
                <w:rFonts w:ascii="Times New Roman" w:eastAsia="Times New Roman" w:hAnsi="Times New Roman"/>
                <w:sz w:val="24"/>
                <w:szCs w:val="24"/>
              </w:rPr>
              <w:t xml:space="preserve">in its Report </w:t>
            </w:r>
            <w:r w:rsidRPr="003600AA">
              <w:rPr>
                <w:rFonts w:ascii="Times New Roman" w:eastAsia="Times New Roman" w:hAnsi="Times New Roman"/>
                <w:sz w:val="24"/>
                <w:szCs w:val="24"/>
              </w:rPr>
              <w:t>that EIOPA should prioritise use of instruments that have the greatest impact on supervisory convergence, with a target implementation date of 2027.</w:t>
            </w:r>
          </w:p>
          <w:p w14:paraId="247E8100" w14:textId="6F346889" w:rsidR="003B35DA" w:rsidRPr="003600AA" w:rsidRDefault="46B8AD0F"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2.36</w:t>
            </w:r>
          </w:p>
          <w:p w14:paraId="0EE6AD19" w14:textId="77777777" w:rsidR="006D73AC" w:rsidRDefault="22C2A3D7"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maintains that supplementary pensions are designed to be a value-adding component of a diversified retirement strategy. The proposed recommendations include suggestions for inclusive </w:t>
            </w:r>
            <w:r w:rsidRPr="003600AA">
              <w:rPr>
                <w:rFonts w:ascii="Times New Roman" w:eastAsia="Times New Roman" w:hAnsi="Times New Roman"/>
                <w:sz w:val="24"/>
                <w:szCs w:val="24"/>
              </w:rPr>
              <w:lastRenderedPageBreak/>
              <w:t>design and strong governance to ensure that these systems complement public provisions. The objective is to provide additional pathways for income security that are accessible to a broad range of savers, regardless of their income level or saving capacity.</w:t>
            </w:r>
          </w:p>
          <w:p w14:paraId="333264F8" w14:textId="718ED0A1" w:rsidR="003B35DA" w:rsidRPr="003600AA" w:rsidRDefault="46B8AD0F"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u w:val="single"/>
              </w:rPr>
              <w:t>Point 2.37</w:t>
            </w:r>
          </w:p>
          <w:p w14:paraId="120A300F" w14:textId="74B6D14F" w:rsidR="003B35DA" w:rsidRPr="003600AA" w:rsidRDefault="2BAA3B04"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 acknowledges the importance of ensuring that supplementary schemes reach all segments of the workforce, particularly those in non-standard or precarious employment. While headline poverty rates are often driven by complex socio-economic factors, the Commission maintains that well-designed automatic enrolment can be a powerful tool for reducing poverty in retirement. By lowering barriers to entry and establishing a consistent savings habit, auto-enrolment can help ensure that low-income and intermittent workers accumulate necessary assets over time. The Commission’s framework is intended to support Member States in implementing these systems as a value-adding complement to the public floor, ensuring that the expansion of the supplementary pillar contributes to long-term social adequacy and the prevention of pensioner poverty.</w:t>
            </w:r>
          </w:p>
          <w:p w14:paraId="3A070494" w14:textId="774B412B" w:rsidR="003B35DA" w:rsidRPr="003600AA" w:rsidRDefault="46B8AD0F"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2.39</w:t>
            </w:r>
          </w:p>
          <w:p w14:paraId="46405452" w14:textId="52EE48BB" w:rsidR="003B35DA" w:rsidRPr="003600AA" w:rsidRDefault="5CA6CF7D"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Commission’s EU Financial Literacy Strategy</w:t>
            </w:r>
            <w:r w:rsidR="00A238C6" w:rsidRPr="003600AA">
              <w:rPr>
                <w:rStyle w:val="FootnoteReference"/>
                <w:rFonts w:ascii="Times New Roman" w:eastAsia="Times New Roman" w:hAnsi="Times New Roman"/>
                <w:sz w:val="24"/>
                <w:szCs w:val="24"/>
              </w:rPr>
              <w:footnoteReference w:id="24"/>
            </w:r>
            <w:r w:rsidRPr="003600AA">
              <w:rPr>
                <w:rFonts w:ascii="Times New Roman" w:eastAsia="Times New Roman" w:hAnsi="Times New Roman"/>
                <w:sz w:val="24"/>
                <w:szCs w:val="24"/>
              </w:rPr>
              <w:t>, adopted in September 2025, explicitly identifies retirement planning as a key area for empowering citizens. By fostering a deeper understanding of pension systems and the benefits of long-term saving, the Commission aims to help individuals make informed decisions that ensure their financial wellbeing and preparedness for retirement.</w:t>
            </w:r>
          </w:p>
          <w:p w14:paraId="5BC4B34C" w14:textId="562BE7B2" w:rsidR="003B35DA" w:rsidRPr="003600AA" w:rsidRDefault="116145E4"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1</w:t>
            </w:r>
          </w:p>
          <w:p w14:paraId="219B0716" w14:textId="40F038B5" w:rsidR="003B35DA" w:rsidRDefault="116145E4" w:rsidP="003600AA">
            <w:pPr>
              <w:spacing w:before="120" w:after="16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w:t>
            </w:r>
            <w:r w:rsidR="006A163A" w:rsidRPr="003600AA">
              <w:rPr>
                <w:rFonts w:ascii="Times New Roman" w:eastAsia="Times New Roman" w:hAnsi="Times New Roman"/>
                <w:sz w:val="24"/>
                <w:szCs w:val="24"/>
              </w:rPr>
              <w:t>notes</w:t>
            </w:r>
            <w:r w:rsidRPr="003600AA">
              <w:rPr>
                <w:rFonts w:ascii="Times New Roman" w:eastAsia="Times New Roman" w:hAnsi="Times New Roman"/>
                <w:sz w:val="24"/>
                <w:szCs w:val="24"/>
              </w:rPr>
              <w:t xml:space="preserve"> the rationale behind the EESC’s suggestion to </w:t>
            </w:r>
            <w:proofErr w:type="gramStart"/>
            <w:r w:rsidRPr="003600AA">
              <w:rPr>
                <w:rFonts w:ascii="Times New Roman" w:eastAsia="Times New Roman" w:hAnsi="Times New Roman"/>
                <w:sz w:val="24"/>
                <w:szCs w:val="24"/>
              </w:rPr>
              <w:t>make reference</w:t>
            </w:r>
            <w:proofErr w:type="gramEnd"/>
            <w:r w:rsidRPr="003600AA">
              <w:rPr>
                <w:rFonts w:ascii="Times New Roman" w:eastAsia="Times New Roman" w:hAnsi="Times New Roman"/>
                <w:sz w:val="24"/>
                <w:szCs w:val="24"/>
              </w:rPr>
              <w:t xml:space="preserve"> in the recitals to labour market policies more holistically</w:t>
            </w:r>
            <w:r w:rsidR="72484911" w:rsidRPr="003600AA">
              <w:rPr>
                <w:rFonts w:ascii="Times New Roman" w:eastAsia="Times New Roman" w:hAnsi="Times New Roman"/>
                <w:sz w:val="24"/>
                <w:szCs w:val="24"/>
              </w:rPr>
              <w:t xml:space="preserve"> </w:t>
            </w:r>
            <w:r w:rsidRPr="003600AA">
              <w:rPr>
                <w:rFonts w:ascii="Times New Roman" w:eastAsia="Times New Roman" w:hAnsi="Times New Roman"/>
                <w:sz w:val="24"/>
                <w:szCs w:val="24"/>
              </w:rPr>
              <w:t xml:space="preserve">that can strengthen the public pension system. </w:t>
            </w:r>
            <w:r w:rsidR="006A163A" w:rsidRPr="003600AA">
              <w:rPr>
                <w:rFonts w:ascii="Times New Roman" w:eastAsia="Times New Roman" w:hAnsi="Times New Roman"/>
                <w:sz w:val="24"/>
                <w:szCs w:val="24"/>
              </w:rPr>
              <w:t>However, this would not be aligned with</w:t>
            </w:r>
            <w:r w:rsidRPr="003600AA">
              <w:rPr>
                <w:rFonts w:ascii="Times New Roman" w:eastAsia="Times New Roman" w:hAnsi="Times New Roman"/>
                <w:sz w:val="24"/>
                <w:szCs w:val="24"/>
              </w:rPr>
              <w:t xml:space="preserve"> the specific object and scope of the IORP II Directive and the need to ensure that the proposal does not interfere with Member States’ prerogatives with respect to the design of their national pension systems and labour markets.</w:t>
            </w:r>
          </w:p>
          <w:p w14:paraId="3EDCFC7C" w14:textId="0CE39668" w:rsidR="003B35DA" w:rsidRPr="003600AA" w:rsidRDefault="116145E4"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3</w:t>
            </w:r>
          </w:p>
          <w:p w14:paraId="78D3AD29" w14:textId="7B20FE9C" w:rsidR="003B35DA" w:rsidRPr="003600AA" w:rsidRDefault="210757FB"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 takes note of the EESC’s suggestions for amendments to the proposal for a Regulation</w:t>
            </w:r>
            <w:r w:rsidR="116145E4" w:rsidRPr="003600AA">
              <w:rPr>
                <w:rStyle w:val="FootnoteReference"/>
                <w:rFonts w:ascii="Times New Roman" w:eastAsia="Times New Roman" w:hAnsi="Times New Roman"/>
                <w:sz w:val="24"/>
                <w:szCs w:val="24"/>
              </w:rPr>
              <w:footnoteReference w:id="25"/>
            </w:r>
            <w:r w:rsidRPr="003600AA">
              <w:rPr>
                <w:rFonts w:ascii="Times New Roman" w:eastAsia="Times New Roman" w:hAnsi="Times New Roman"/>
                <w:sz w:val="24"/>
                <w:szCs w:val="24"/>
              </w:rPr>
              <w:t xml:space="preserve"> to remove references to PEPPs in a workplace context. However, the</w:t>
            </w:r>
            <w:r w:rsidR="045994B8" w:rsidRPr="5449F5D9">
              <w:rPr>
                <w:rFonts w:ascii="Times New Roman" w:eastAsia="Times New Roman" w:hAnsi="Times New Roman"/>
                <w:sz w:val="24"/>
                <w:szCs w:val="24"/>
              </w:rPr>
              <w:t xml:space="preserve"> Commission recalls that the proposal preserves</w:t>
            </w:r>
            <w:r w:rsidRPr="5449F5D9">
              <w:rPr>
                <w:rFonts w:ascii="Times New Roman" w:eastAsia="Times New Roman" w:hAnsi="Times New Roman"/>
                <w:sz w:val="24"/>
                <w:szCs w:val="24"/>
              </w:rPr>
              <w:t xml:space="preserve"> the purely voluntary nature of the </w:t>
            </w:r>
            <w:r w:rsidR="2D5DDE4A" w:rsidRPr="5449F5D9">
              <w:rPr>
                <w:rFonts w:ascii="Times New Roman" w:eastAsia="Times New Roman" w:hAnsi="Times New Roman"/>
                <w:sz w:val="24"/>
                <w:szCs w:val="24"/>
              </w:rPr>
              <w:t>PEPP,</w:t>
            </w:r>
            <w:r w:rsidRPr="5449F5D9">
              <w:rPr>
                <w:rFonts w:ascii="Times New Roman" w:eastAsia="Times New Roman" w:hAnsi="Times New Roman"/>
                <w:sz w:val="24"/>
                <w:szCs w:val="24"/>
              </w:rPr>
              <w:t xml:space="preserve"> which is and remains a personal pension product, distinct from occupational retirement schemes, irrespective of its possible use in a workplace context.</w:t>
            </w:r>
          </w:p>
          <w:p w14:paraId="1E175120" w14:textId="367996F3" w:rsidR="003B35DA" w:rsidRPr="003600AA" w:rsidRDefault="116145E4"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4</w:t>
            </w:r>
          </w:p>
          <w:p w14:paraId="67C98ABD" w14:textId="6228CBFA" w:rsidR="4708F633" w:rsidRPr="003600AA" w:rsidRDefault="5BF181CA"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 notes the EESC’s suggestion for deleting a large part of paragraph 6 of Article 19 of the proposed Directive</w:t>
            </w:r>
            <w:r w:rsidR="4708F633" w:rsidRPr="003600AA">
              <w:rPr>
                <w:rStyle w:val="FootnoteReference"/>
                <w:rFonts w:ascii="Times New Roman" w:eastAsia="Times New Roman" w:hAnsi="Times New Roman"/>
                <w:sz w:val="24"/>
                <w:szCs w:val="24"/>
              </w:rPr>
              <w:footnoteReference w:id="26"/>
            </w:r>
            <w:r w:rsidRPr="003600AA">
              <w:rPr>
                <w:rFonts w:ascii="Times New Roman" w:eastAsia="Times New Roman" w:hAnsi="Times New Roman"/>
                <w:sz w:val="24"/>
                <w:szCs w:val="24"/>
              </w:rPr>
              <w:t>, which places some limits on the investment restrictions that national authorities may impose on IORPs</w:t>
            </w:r>
            <w:r w:rsidR="12CAA5E0" w:rsidRPr="003600AA">
              <w:rPr>
                <w:rFonts w:ascii="Times New Roman" w:eastAsia="Times New Roman" w:hAnsi="Times New Roman"/>
                <w:sz w:val="24"/>
                <w:szCs w:val="24"/>
              </w:rPr>
              <w:t>.</w:t>
            </w:r>
            <w:r w:rsidR="1F92BCB3" w:rsidRPr="003600AA">
              <w:rPr>
                <w:rFonts w:ascii="Times New Roman" w:eastAsia="Times New Roman" w:hAnsi="Times New Roman"/>
                <w:sz w:val="24"/>
                <w:szCs w:val="24"/>
              </w:rPr>
              <w:t xml:space="preserve"> However, the Commission </w:t>
            </w:r>
            <w:r w:rsidR="00DE61B1">
              <w:rPr>
                <w:rFonts w:ascii="Times New Roman" w:eastAsia="Times New Roman" w:hAnsi="Times New Roman"/>
                <w:sz w:val="24"/>
                <w:szCs w:val="24"/>
              </w:rPr>
              <w:t xml:space="preserve">would like to point out the importance of the </w:t>
            </w:r>
            <w:r w:rsidRPr="003600AA">
              <w:rPr>
                <w:rFonts w:ascii="Times New Roman" w:eastAsia="Times New Roman" w:hAnsi="Times New Roman"/>
                <w:sz w:val="24"/>
                <w:szCs w:val="24"/>
              </w:rPr>
              <w:t xml:space="preserve">prudent person principle and the need to ensure that IORPs are able to appropriately diversify their </w:t>
            </w:r>
            <w:r w:rsidRPr="003600AA">
              <w:rPr>
                <w:rFonts w:ascii="Times New Roman" w:eastAsia="Times New Roman" w:hAnsi="Times New Roman"/>
                <w:sz w:val="24"/>
                <w:szCs w:val="24"/>
              </w:rPr>
              <w:lastRenderedPageBreak/>
              <w:t xml:space="preserve">portfolio, do effective duration matching between assets and liabilities, and have adequate investment freedom to be able to generate adequate long-term real returns in line with their long investment horizon. The Commission would also like to point out that the </w:t>
            </w:r>
            <w:proofErr w:type="gramStart"/>
            <w:r w:rsidRPr="003600AA">
              <w:rPr>
                <w:rFonts w:ascii="Times New Roman" w:eastAsia="Times New Roman" w:hAnsi="Times New Roman"/>
                <w:sz w:val="24"/>
                <w:szCs w:val="24"/>
              </w:rPr>
              <w:t>aforementioned limits</w:t>
            </w:r>
            <w:proofErr w:type="gramEnd"/>
            <w:r w:rsidRPr="003600AA">
              <w:rPr>
                <w:rFonts w:ascii="Times New Roman" w:eastAsia="Times New Roman" w:hAnsi="Times New Roman"/>
                <w:sz w:val="24"/>
                <w:szCs w:val="24"/>
              </w:rPr>
              <w:t xml:space="preserve"> on investment restrictions, such as the right of IORPs to invest up to 70% of assets in listed securities and up to 30% of assets in other currencies, are in the existing IORP II Directive.</w:t>
            </w:r>
          </w:p>
          <w:p w14:paraId="09835384" w14:textId="19465EF6" w:rsidR="003B35DA" w:rsidRPr="003600AA" w:rsidRDefault="116145E4"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5</w:t>
            </w:r>
          </w:p>
          <w:p w14:paraId="7CC2CF7D" w14:textId="769E5F09" w:rsidR="003B35DA" w:rsidRPr="003600AA" w:rsidRDefault="116145E4">
            <w:pPr>
              <w:spacing w:before="120" w:after="120"/>
              <w:jc w:val="both"/>
              <w:rPr>
                <w:rFonts w:ascii="Times New Roman" w:eastAsia="Times New Roman" w:hAnsi="Times New Roman"/>
                <w:sz w:val="24"/>
                <w:szCs w:val="24"/>
              </w:rPr>
            </w:pPr>
            <w:r w:rsidRPr="5449F5D9">
              <w:rPr>
                <w:rFonts w:ascii="Times New Roman" w:eastAsia="Times New Roman" w:hAnsi="Times New Roman"/>
                <w:sz w:val="24"/>
                <w:szCs w:val="24"/>
              </w:rPr>
              <w:t xml:space="preserve">The Commission recognises the importance of ensuring the sustainability of public pensions. However, it reiterates that measures aiming to reinforce the sustainability of public pensions fall withing the remit of Member States and </w:t>
            </w:r>
            <w:r w:rsidR="33C71955" w:rsidRPr="5449F5D9">
              <w:rPr>
                <w:rFonts w:ascii="Times New Roman" w:eastAsia="Times New Roman" w:hAnsi="Times New Roman"/>
                <w:sz w:val="24"/>
                <w:szCs w:val="24"/>
              </w:rPr>
              <w:t xml:space="preserve">do not fall within </w:t>
            </w:r>
            <w:r w:rsidRPr="5449F5D9">
              <w:rPr>
                <w:rFonts w:ascii="Times New Roman" w:eastAsia="Times New Roman" w:hAnsi="Times New Roman"/>
                <w:sz w:val="24"/>
                <w:szCs w:val="24"/>
              </w:rPr>
              <w:t xml:space="preserve">the object and scope of the PEPP Regulation, as explained under point 1.1 and 2.27. </w:t>
            </w:r>
          </w:p>
          <w:p w14:paraId="40E6DA32" w14:textId="4972DD41" w:rsidR="003B35DA" w:rsidRPr="003600AA" w:rsidRDefault="116145E4"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6</w:t>
            </w:r>
          </w:p>
          <w:p w14:paraId="1E094557" w14:textId="3BD49844" w:rsidR="003B35DA" w:rsidRDefault="20306F26">
            <w:pPr>
              <w:spacing w:before="120" w:after="120"/>
              <w:jc w:val="both"/>
              <w:rPr>
                <w:rFonts w:ascii="Times New Roman" w:eastAsia="Times New Roman" w:hAnsi="Times New Roman"/>
                <w:sz w:val="24"/>
                <w:szCs w:val="24"/>
              </w:rPr>
            </w:pPr>
            <w:r w:rsidRPr="5449F5D9">
              <w:rPr>
                <w:rFonts w:ascii="Times New Roman" w:eastAsia="Times New Roman" w:hAnsi="Times New Roman"/>
                <w:sz w:val="24"/>
                <w:szCs w:val="24"/>
              </w:rPr>
              <w:t xml:space="preserve">Regarding the amendment </w:t>
            </w:r>
            <w:r w:rsidR="77008DBB" w:rsidRPr="5449F5D9">
              <w:rPr>
                <w:rFonts w:ascii="Times New Roman" w:eastAsia="Times New Roman" w:hAnsi="Times New Roman"/>
                <w:sz w:val="24"/>
                <w:szCs w:val="24"/>
              </w:rPr>
              <w:t xml:space="preserve">concerning the creation of a monitoring committee, as explained under point 1.11, it is considered that the existing institutional framework already ensures extensive and transparent oversight of pension systems and their social impact. Setting up additional monitoring mechanisms would, in </w:t>
            </w:r>
            <w:r w:rsidR="51FB26B0" w:rsidRPr="5449F5D9">
              <w:rPr>
                <w:rFonts w:ascii="Times New Roman" w:eastAsia="Times New Roman" w:hAnsi="Times New Roman"/>
                <w:sz w:val="24"/>
                <w:szCs w:val="24"/>
              </w:rPr>
              <w:t xml:space="preserve">the Commission’s </w:t>
            </w:r>
            <w:r w:rsidR="77008DBB" w:rsidRPr="5449F5D9">
              <w:rPr>
                <w:rFonts w:ascii="Times New Roman" w:eastAsia="Times New Roman" w:hAnsi="Times New Roman"/>
                <w:sz w:val="24"/>
                <w:szCs w:val="24"/>
              </w:rPr>
              <w:t xml:space="preserve">opinion, not bring material </w:t>
            </w:r>
            <w:proofErr w:type="gramStart"/>
            <w:r w:rsidR="77008DBB" w:rsidRPr="5449F5D9">
              <w:rPr>
                <w:rFonts w:ascii="Times New Roman" w:eastAsia="Times New Roman" w:hAnsi="Times New Roman"/>
                <w:sz w:val="24"/>
                <w:szCs w:val="24"/>
              </w:rPr>
              <w:t>added-value</w:t>
            </w:r>
            <w:proofErr w:type="gramEnd"/>
            <w:r w:rsidR="77008DBB" w:rsidRPr="5449F5D9">
              <w:rPr>
                <w:rFonts w:ascii="Times New Roman" w:eastAsia="Times New Roman" w:hAnsi="Times New Roman"/>
                <w:sz w:val="24"/>
                <w:szCs w:val="24"/>
              </w:rPr>
              <w:t>, while it would require resources to establish and operate.</w:t>
            </w:r>
          </w:p>
          <w:p w14:paraId="28CF421B" w14:textId="2C6A2A0F" w:rsidR="003B35DA" w:rsidRPr="003600AA" w:rsidRDefault="116145E4"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7</w:t>
            </w:r>
          </w:p>
          <w:p w14:paraId="3B393397" w14:textId="65E22A43" w:rsidR="003B35DA" w:rsidRPr="003600AA" w:rsidRDefault="3BBFB78A"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Regarding</w:t>
            </w:r>
            <w:r w:rsidR="21D70D89" w:rsidRPr="003600AA">
              <w:rPr>
                <w:rFonts w:ascii="Times New Roman" w:eastAsia="Times New Roman" w:hAnsi="Times New Roman"/>
                <w:sz w:val="24"/>
                <w:szCs w:val="24"/>
              </w:rPr>
              <w:t xml:space="preserve"> the EESC’s proposed amendment to Article 63(1) of the PEPP Regulation with respect to the way of demonstrating </w:t>
            </w:r>
            <w:r w:rsidR="00772928">
              <w:rPr>
                <w:rFonts w:ascii="Times New Roman" w:eastAsia="Times New Roman" w:hAnsi="Times New Roman"/>
                <w:sz w:val="24"/>
                <w:szCs w:val="24"/>
              </w:rPr>
              <w:t>‘</w:t>
            </w:r>
            <w:r w:rsidR="21D70D89" w:rsidRPr="003600AA">
              <w:rPr>
                <w:rFonts w:ascii="Times New Roman" w:eastAsia="Times New Roman" w:hAnsi="Times New Roman"/>
                <w:sz w:val="24"/>
                <w:szCs w:val="24"/>
              </w:rPr>
              <w:t>significant protection concerns</w:t>
            </w:r>
            <w:r w:rsidR="00772928">
              <w:rPr>
                <w:rFonts w:ascii="Times New Roman" w:eastAsia="Times New Roman" w:hAnsi="Times New Roman"/>
                <w:sz w:val="24"/>
                <w:szCs w:val="24"/>
              </w:rPr>
              <w:t>’</w:t>
            </w:r>
            <w:r w:rsidR="001E30EF">
              <w:rPr>
                <w:rFonts w:ascii="Times New Roman" w:eastAsia="Times New Roman" w:hAnsi="Times New Roman"/>
                <w:sz w:val="24"/>
                <w:szCs w:val="24"/>
              </w:rPr>
              <w:t>, a</w:t>
            </w:r>
            <w:r w:rsidR="21D70D89" w:rsidRPr="003600AA">
              <w:rPr>
                <w:rFonts w:ascii="Times New Roman" w:eastAsia="Times New Roman" w:hAnsi="Times New Roman"/>
                <w:sz w:val="24"/>
                <w:szCs w:val="24"/>
              </w:rPr>
              <w:t xml:space="preserve">s explained under point 2.12, the Commission considers important to maintain the high-level wording of the grounds on which product intervention powers can be exercised, in order to ensure that national authorities have </w:t>
            </w:r>
            <w:r w:rsidR="00741BF3">
              <w:rPr>
                <w:rFonts w:ascii="Times New Roman" w:eastAsia="Times New Roman" w:hAnsi="Times New Roman"/>
                <w:sz w:val="24"/>
                <w:szCs w:val="24"/>
              </w:rPr>
              <w:t>sufficient</w:t>
            </w:r>
            <w:r w:rsidR="00741BF3" w:rsidRPr="003600AA">
              <w:rPr>
                <w:rFonts w:ascii="Times New Roman" w:eastAsia="Times New Roman" w:hAnsi="Times New Roman"/>
                <w:sz w:val="24"/>
                <w:szCs w:val="24"/>
              </w:rPr>
              <w:t xml:space="preserve"> </w:t>
            </w:r>
            <w:r w:rsidR="21D70D89" w:rsidRPr="003600AA">
              <w:rPr>
                <w:rFonts w:ascii="Times New Roman" w:eastAsia="Times New Roman" w:hAnsi="Times New Roman"/>
                <w:sz w:val="24"/>
                <w:szCs w:val="24"/>
              </w:rPr>
              <w:t xml:space="preserve">discretion </w:t>
            </w:r>
            <w:r w:rsidR="003B11BA">
              <w:rPr>
                <w:rFonts w:ascii="Times New Roman" w:eastAsia="Times New Roman" w:hAnsi="Times New Roman"/>
                <w:sz w:val="24"/>
                <w:szCs w:val="24"/>
              </w:rPr>
              <w:t>to</w:t>
            </w:r>
            <w:r w:rsidR="21D70D89" w:rsidRPr="003600AA">
              <w:rPr>
                <w:rFonts w:ascii="Times New Roman" w:eastAsia="Times New Roman" w:hAnsi="Times New Roman"/>
                <w:sz w:val="24"/>
                <w:szCs w:val="24"/>
              </w:rPr>
              <w:t xml:space="preserve"> capture a variety of threats the nature of which cannot be anticipated in advance. The suggested amendment seems to link the notion of “significant protection concerns” to value-for-money considerations (which is a distinct ground), and this could restrict its breadth of application.</w:t>
            </w:r>
          </w:p>
          <w:p w14:paraId="2429445B" w14:textId="19D9BAA5" w:rsidR="003B35DA" w:rsidRPr="003600AA" w:rsidRDefault="116145E4"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8</w:t>
            </w:r>
          </w:p>
          <w:p w14:paraId="1800654E" w14:textId="35CB1EB7" w:rsidR="00FC48D7" w:rsidRPr="003600AA" w:rsidRDefault="210757FB" w:rsidP="003600AA">
            <w:pPr>
              <w:spacing w:before="120" w:after="120"/>
              <w:jc w:val="both"/>
              <w:rPr>
                <w:rFonts w:ascii="Times New Roman" w:eastAsia="Times New Roman" w:hAnsi="Times New Roman"/>
                <w:sz w:val="24"/>
                <w:szCs w:val="24"/>
              </w:rPr>
            </w:pPr>
            <w:r w:rsidRPr="5449F5D9">
              <w:rPr>
                <w:rFonts w:ascii="Times New Roman" w:eastAsia="Times New Roman" w:hAnsi="Times New Roman"/>
                <w:sz w:val="24"/>
                <w:szCs w:val="24"/>
              </w:rPr>
              <w:t>The Commission has taken note of the EESC’s proposed amendment to the proposal for a Regulation, which seeks to provide in Article 25</w:t>
            </w:r>
            <w:r w:rsidRPr="5449F5D9">
              <w:rPr>
                <w:rStyle w:val="FootnoteReference"/>
                <w:rFonts w:ascii="Times New Roman" w:eastAsia="Times New Roman" w:hAnsi="Times New Roman"/>
                <w:sz w:val="24"/>
                <w:szCs w:val="24"/>
              </w:rPr>
              <w:footnoteReference w:id="27"/>
            </w:r>
            <w:r w:rsidRPr="5449F5D9">
              <w:rPr>
                <w:rFonts w:ascii="Times New Roman" w:eastAsia="Times New Roman" w:hAnsi="Times New Roman"/>
                <w:sz w:val="24"/>
                <w:szCs w:val="24"/>
              </w:rPr>
              <w:t xml:space="preserve"> that the value-for-money assessment should be based on common indicators defined by EIOPA and national authorities. </w:t>
            </w:r>
            <w:r w:rsidR="001E30EF" w:rsidRPr="5449F5D9">
              <w:rPr>
                <w:rFonts w:ascii="Times New Roman" w:eastAsia="Times New Roman" w:hAnsi="Times New Roman"/>
                <w:sz w:val="24"/>
                <w:szCs w:val="24"/>
              </w:rPr>
              <w:t xml:space="preserve">In reply to </w:t>
            </w:r>
            <w:r w:rsidRPr="5449F5D9">
              <w:rPr>
                <w:rFonts w:ascii="Times New Roman" w:eastAsia="Times New Roman" w:hAnsi="Times New Roman"/>
                <w:sz w:val="24"/>
                <w:szCs w:val="24"/>
              </w:rPr>
              <w:t xml:space="preserve">point 2.12, </w:t>
            </w:r>
            <w:r w:rsidR="001E30EF" w:rsidRPr="5449F5D9">
              <w:rPr>
                <w:rFonts w:ascii="Times New Roman" w:eastAsia="Times New Roman" w:hAnsi="Times New Roman"/>
                <w:sz w:val="24"/>
                <w:szCs w:val="24"/>
              </w:rPr>
              <w:t>the Commission</w:t>
            </w:r>
            <w:r w:rsidRPr="5449F5D9">
              <w:rPr>
                <w:rFonts w:ascii="Times New Roman" w:eastAsia="Times New Roman" w:hAnsi="Times New Roman"/>
                <w:sz w:val="24"/>
                <w:szCs w:val="24"/>
              </w:rPr>
              <w:t xml:space="preserve"> explained in detail the provisions governing the assessment of </w:t>
            </w:r>
            <w:proofErr w:type="spellStart"/>
            <w:r w:rsidRPr="5449F5D9">
              <w:rPr>
                <w:rFonts w:ascii="Times New Roman" w:eastAsia="Times New Roman" w:hAnsi="Times New Roman"/>
                <w:sz w:val="24"/>
                <w:szCs w:val="24"/>
              </w:rPr>
              <w:t>PEPPs’</w:t>
            </w:r>
            <w:proofErr w:type="spellEnd"/>
            <w:r w:rsidRPr="5449F5D9">
              <w:rPr>
                <w:rFonts w:ascii="Times New Roman" w:eastAsia="Times New Roman" w:hAnsi="Times New Roman"/>
                <w:sz w:val="24"/>
                <w:szCs w:val="24"/>
              </w:rPr>
              <w:t xml:space="preserve"> value-for-</w:t>
            </w:r>
            <w:proofErr w:type="gramStart"/>
            <w:r w:rsidRPr="5449F5D9">
              <w:rPr>
                <w:rFonts w:ascii="Times New Roman" w:eastAsia="Times New Roman" w:hAnsi="Times New Roman"/>
                <w:sz w:val="24"/>
                <w:szCs w:val="24"/>
              </w:rPr>
              <w:t>money .</w:t>
            </w:r>
            <w:proofErr w:type="gramEnd"/>
            <w:r w:rsidRPr="5449F5D9">
              <w:rPr>
                <w:rFonts w:ascii="Times New Roman" w:eastAsia="Times New Roman" w:hAnsi="Times New Roman"/>
                <w:sz w:val="24"/>
                <w:szCs w:val="24"/>
              </w:rPr>
              <w:t xml:space="preserve"> The Commission considers that the suggested amendment is already reflected in the proposed Regulation.</w:t>
            </w:r>
          </w:p>
          <w:p w14:paraId="6DDB6138" w14:textId="072AAE10" w:rsidR="003B35DA" w:rsidRPr="003600AA" w:rsidRDefault="116145E4"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9</w:t>
            </w:r>
          </w:p>
          <w:p w14:paraId="25D5369D" w14:textId="307C4A12" w:rsidR="003B35DA" w:rsidRDefault="116145E4"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w:t>
            </w:r>
            <w:r w:rsidR="00C22701" w:rsidRPr="003600AA">
              <w:rPr>
                <w:rFonts w:ascii="Times New Roman" w:eastAsia="Times New Roman" w:hAnsi="Times New Roman"/>
                <w:sz w:val="24"/>
                <w:szCs w:val="24"/>
              </w:rPr>
              <w:t xml:space="preserve">notes </w:t>
            </w:r>
            <w:r w:rsidRPr="003600AA">
              <w:rPr>
                <w:rFonts w:ascii="Times New Roman" w:eastAsia="Times New Roman" w:hAnsi="Times New Roman"/>
                <w:sz w:val="24"/>
                <w:szCs w:val="24"/>
              </w:rPr>
              <w:t>the concerns of the EESC concerning consumer protection and the need to assist consumers to understand the nature, features, costs and expected outcomes of the PEPP. As explained in detail under point 2.12, the proposal for a Regulation introduces significant improvements to information disclosures that complement other protection rules such as the requirement to ascertaining demands and needs and the provision of a personal recommendation regarding payout options.</w:t>
            </w:r>
          </w:p>
          <w:p w14:paraId="125CC5DE" w14:textId="513F18A8" w:rsidR="003B35DA" w:rsidRPr="003600AA" w:rsidRDefault="53FE4D26"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lastRenderedPageBreak/>
              <w:t>Point 3 – amendment 10</w:t>
            </w:r>
          </w:p>
          <w:p w14:paraId="5F0FEA25" w14:textId="65379AD1" w:rsidR="003B35DA" w:rsidRPr="003600AA" w:rsidRDefault="3A6D2FDB"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has considered the EESC’s proposed text providing for the integration of ESG factors in PEPP’s investment decisions under Article 41 of the PEPP Regulation. It </w:t>
            </w:r>
            <w:r w:rsidR="0CDBFAE7" w:rsidRPr="003600AA">
              <w:rPr>
                <w:rFonts w:ascii="Times New Roman" w:eastAsia="Times New Roman" w:hAnsi="Times New Roman"/>
                <w:sz w:val="24"/>
                <w:szCs w:val="24"/>
              </w:rPr>
              <w:t xml:space="preserve">does not however </w:t>
            </w:r>
            <w:r w:rsidRPr="003600AA">
              <w:rPr>
                <w:rFonts w:ascii="Times New Roman" w:eastAsia="Times New Roman" w:hAnsi="Times New Roman"/>
                <w:sz w:val="24"/>
                <w:szCs w:val="24"/>
              </w:rPr>
              <w:t xml:space="preserve">consider </w:t>
            </w:r>
            <w:r w:rsidR="20AABAB3" w:rsidRPr="003600AA">
              <w:rPr>
                <w:rFonts w:ascii="Times New Roman" w:eastAsia="Times New Roman" w:hAnsi="Times New Roman"/>
                <w:sz w:val="24"/>
                <w:szCs w:val="24"/>
              </w:rPr>
              <w:t>such text appropriate</w:t>
            </w:r>
            <w:r w:rsidRPr="003600AA">
              <w:rPr>
                <w:rFonts w:ascii="Times New Roman" w:eastAsia="Times New Roman" w:hAnsi="Times New Roman"/>
                <w:sz w:val="24"/>
                <w:szCs w:val="24"/>
              </w:rPr>
              <w:t>, for the reasons explained under point 2.14</w:t>
            </w:r>
            <w:r w:rsidR="5023A74A" w:rsidRPr="003600AA">
              <w:rPr>
                <w:rFonts w:ascii="Times New Roman" w:eastAsia="Times New Roman" w:hAnsi="Times New Roman"/>
                <w:sz w:val="24"/>
                <w:szCs w:val="24"/>
              </w:rPr>
              <w:t>.</w:t>
            </w:r>
          </w:p>
          <w:p w14:paraId="03DD364F" w14:textId="387DC712" w:rsidR="003B35DA" w:rsidRPr="003600AA" w:rsidRDefault="53FE4D26"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11</w:t>
            </w:r>
          </w:p>
          <w:p w14:paraId="4D01FB56" w14:textId="40F77EE4" w:rsidR="003B35DA" w:rsidRPr="003600AA" w:rsidRDefault="6D1FF775"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w:t>
            </w:r>
            <w:r w:rsidR="42E5D8D7" w:rsidRPr="003600AA">
              <w:rPr>
                <w:rFonts w:ascii="Times New Roman" w:eastAsia="Times New Roman" w:hAnsi="Times New Roman"/>
                <w:sz w:val="24"/>
                <w:szCs w:val="24"/>
              </w:rPr>
              <w:t xml:space="preserve">notes </w:t>
            </w:r>
            <w:r w:rsidRPr="003600AA">
              <w:rPr>
                <w:rFonts w:ascii="Times New Roman" w:eastAsia="Times New Roman" w:hAnsi="Times New Roman"/>
                <w:sz w:val="24"/>
                <w:szCs w:val="24"/>
              </w:rPr>
              <w:t>the proposed amendment to the proposed Article 51a of the PEPP Regulation</w:t>
            </w:r>
            <w:r w:rsidR="53FE4D26" w:rsidRPr="003600AA">
              <w:rPr>
                <w:rStyle w:val="FootnoteReference"/>
                <w:rFonts w:ascii="Times New Roman" w:eastAsia="Times New Roman" w:hAnsi="Times New Roman"/>
                <w:sz w:val="24"/>
                <w:szCs w:val="24"/>
              </w:rPr>
              <w:footnoteReference w:id="28"/>
            </w:r>
            <w:r w:rsidRPr="003600AA">
              <w:rPr>
                <w:rFonts w:ascii="Times New Roman" w:eastAsia="Times New Roman" w:hAnsi="Times New Roman"/>
                <w:sz w:val="24"/>
                <w:szCs w:val="24"/>
              </w:rPr>
              <w:t xml:space="preserve"> concerning pension tracking systems. It is recalled that paragraph 6 of Article 51a provides that the format and structure of the information to be transmitted to pension tracking systems must be consistent with the format and structure prescribed by the PEPP Delegated Regulation with respect to the Pension Benefit Statement. This is expected to ensure a standardised format that facilitates the aggregation of pension data. </w:t>
            </w:r>
            <w:proofErr w:type="gramStart"/>
            <w:r w:rsidRPr="003600AA">
              <w:rPr>
                <w:rFonts w:ascii="Times New Roman" w:eastAsia="Times New Roman" w:hAnsi="Times New Roman"/>
                <w:sz w:val="24"/>
                <w:szCs w:val="24"/>
              </w:rPr>
              <w:t>In light of</w:t>
            </w:r>
            <w:proofErr w:type="gramEnd"/>
            <w:r w:rsidRPr="003600AA">
              <w:rPr>
                <w:rFonts w:ascii="Times New Roman" w:eastAsia="Times New Roman" w:hAnsi="Times New Roman"/>
                <w:sz w:val="24"/>
                <w:szCs w:val="24"/>
              </w:rPr>
              <w:t xml:space="preserve"> this facilitation and streamlining, the Commission does not consider it necessary to provide for </w:t>
            </w:r>
            <w:r w:rsidR="001E30EF">
              <w:rPr>
                <w:rFonts w:ascii="Times New Roman" w:eastAsia="Times New Roman" w:hAnsi="Times New Roman"/>
                <w:sz w:val="24"/>
                <w:szCs w:val="24"/>
              </w:rPr>
              <w:t>‘</w:t>
            </w:r>
            <w:r w:rsidRPr="003600AA">
              <w:rPr>
                <w:rFonts w:ascii="Times New Roman" w:eastAsia="Times New Roman" w:hAnsi="Times New Roman"/>
                <w:sz w:val="24"/>
                <w:szCs w:val="24"/>
              </w:rPr>
              <w:t>phased implementation profiles and adaptation proportionate to the size of the provider</w:t>
            </w:r>
            <w:r w:rsidR="001E30EF">
              <w:rPr>
                <w:rFonts w:ascii="Times New Roman" w:eastAsia="Times New Roman" w:hAnsi="Times New Roman"/>
                <w:sz w:val="24"/>
                <w:szCs w:val="24"/>
              </w:rPr>
              <w:t>’</w:t>
            </w:r>
            <w:r w:rsidRPr="003600AA">
              <w:rPr>
                <w:rFonts w:ascii="Times New Roman" w:eastAsia="Times New Roman" w:hAnsi="Times New Roman"/>
                <w:sz w:val="24"/>
                <w:szCs w:val="24"/>
              </w:rPr>
              <w:t xml:space="preserve">. </w:t>
            </w:r>
          </w:p>
          <w:p w14:paraId="4FD086B5" w14:textId="13DA27EE" w:rsidR="003B35DA" w:rsidRPr="003600AA" w:rsidRDefault="7589F6FA"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12</w:t>
            </w:r>
          </w:p>
          <w:p w14:paraId="0E26897B" w14:textId="3119C015" w:rsidR="003B35DA" w:rsidRPr="003600AA" w:rsidRDefault="102E5349"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The Commission shares the view that the powers of national competent authorities and EIOPA should be clearly delineated to avoid overlaps and uncertainty. It has carefully reviewed the proposed amendment in Article 65a of the PEPP Regulation</w:t>
            </w:r>
            <w:r w:rsidR="7589F6FA" w:rsidRPr="003600AA">
              <w:rPr>
                <w:rStyle w:val="FootnoteReference"/>
                <w:rFonts w:ascii="Times New Roman" w:eastAsia="Times New Roman" w:hAnsi="Times New Roman"/>
                <w:sz w:val="24"/>
                <w:szCs w:val="24"/>
              </w:rPr>
              <w:footnoteReference w:id="29"/>
            </w:r>
            <w:r w:rsidRPr="003600AA">
              <w:rPr>
                <w:rFonts w:ascii="Times New Roman" w:eastAsia="Times New Roman" w:hAnsi="Times New Roman"/>
                <w:sz w:val="24"/>
                <w:szCs w:val="24"/>
              </w:rPr>
              <w:t xml:space="preserve">, which introduces a provision stating that the national competent authority of the Home Member State retains primary competence and EIOPA shall only intervene in </w:t>
            </w:r>
            <w:r w:rsidR="00772928">
              <w:rPr>
                <w:rFonts w:ascii="Times New Roman" w:eastAsia="Times New Roman" w:hAnsi="Times New Roman"/>
                <w:sz w:val="24"/>
                <w:szCs w:val="24"/>
              </w:rPr>
              <w:t>‘</w:t>
            </w:r>
            <w:r w:rsidRPr="003600AA">
              <w:rPr>
                <w:rFonts w:ascii="Times New Roman" w:eastAsia="Times New Roman" w:hAnsi="Times New Roman"/>
                <w:sz w:val="24"/>
                <w:szCs w:val="24"/>
              </w:rPr>
              <w:t xml:space="preserve">defined cross-border </w:t>
            </w:r>
            <w:proofErr w:type="gramStart"/>
            <w:r w:rsidRPr="003600AA">
              <w:rPr>
                <w:rFonts w:ascii="Times New Roman" w:eastAsia="Times New Roman" w:hAnsi="Times New Roman"/>
                <w:sz w:val="24"/>
                <w:szCs w:val="24"/>
              </w:rPr>
              <w:t>situations</w:t>
            </w:r>
            <w:r w:rsidR="00772928">
              <w:rPr>
                <w:rFonts w:ascii="Times New Roman" w:eastAsia="Times New Roman" w:hAnsi="Times New Roman"/>
                <w:sz w:val="24"/>
                <w:szCs w:val="24"/>
              </w:rPr>
              <w:t>’</w:t>
            </w:r>
            <w:proofErr w:type="gramEnd"/>
            <w:r w:rsidRPr="003600AA">
              <w:rPr>
                <w:rFonts w:ascii="Times New Roman" w:eastAsia="Times New Roman" w:hAnsi="Times New Roman"/>
                <w:sz w:val="24"/>
                <w:szCs w:val="24"/>
              </w:rPr>
              <w:t>. Under point 2.5, the Commission recalled that Article 65a clearly provides that EIOPA’s role is without prejudice to the role and powers assigned to the Home and Host supervisory authorities under the Regulation, and that EIOPA only performs a facilitation and coordination role with respect to the cross-border provision of PEPPs. Therefore, the Commission does not consider pertinent the addition of the proposed text, particularly since it could also create uncertainty concerning when EIOPA may or may not have such a facilitation and coordination role.</w:t>
            </w:r>
          </w:p>
          <w:p w14:paraId="02985888" w14:textId="333A95D3" w:rsidR="003B35DA" w:rsidRPr="003600AA" w:rsidRDefault="567E3C6D"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13</w:t>
            </w:r>
          </w:p>
          <w:p w14:paraId="21A45121" w14:textId="2B326670" w:rsidR="003B35DA" w:rsidRPr="003600AA" w:rsidRDefault="7E41013A"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w:t>
            </w:r>
            <w:r w:rsidR="42E5D8D7" w:rsidRPr="003600AA">
              <w:rPr>
                <w:rFonts w:ascii="Times New Roman" w:eastAsia="Times New Roman" w:hAnsi="Times New Roman"/>
                <w:sz w:val="24"/>
                <w:szCs w:val="24"/>
              </w:rPr>
              <w:t xml:space="preserve">notes </w:t>
            </w:r>
            <w:r w:rsidRPr="003600AA">
              <w:rPr>
                <w:rFonts w:ascii="Times New Roman" w:eastAsia="Times New Roman" w:hAnsi="Times New Roman"/>
                <w:sz w:val="24"/>
                <w:szCs w:val="24"/>
              </w:rPr>
              <w:t>the EESC’s proposed amendment on cross-border transfers of IORPs with which it suggests requiring a qualified majority of two thirds and a participation threshold of at least 50%. As explained under point 2.6, the Commission’s proposal reflects findings by EIOPA and the European Court of Auditors, which indicate that high majorities and high participation thresholds have significantly hindered the ability to secure the necessary support for approving transfers.</w:t>
            </w:r>
          </w:p>
          <w:p w14:paraId="30EFF57E" w14:textId="38426682" w:rsidR="003B35DA" w:rsidRPr="003600AA" w:rsidRDefault="47F388AC"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14</w:t>
            </w:r>
          </w:p>
          <w:p w14:paraId="05F97773" w14:textId="1871E0D7" w:rsidR="003B35DA" w:rsidRPr="003600AA" w:rsidRDefault="47F388AC"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has examined the EESC’s proposed amendment, which maintains the maximum underfunding period at 10 years and adds that competent authorities should assess the optimal duration while distinguishing between temporary and structural factors. It has also considered the suggestion of requiring providers to </w:t>
            </w:r>
            <w:r w:rsidR="00C970C4">
              <w:rPr>
                <w:rFonts w:ascii="Times New Roman" w:eastAsia="Times New Roman" w:hAnsi="Times New Roman"/>
                <w:sz w:val="24"/>
                <w:szCs w:val="24"/>
              </w:rPr>
              <w:t>‘</w:t>
            </w:r>
            <w:r w:rsidRPr="003600AA">
              <w:rPr>
                <w:rFonts w:ascii="Times New Roman" w:eastAsia="Times New Roman" w:hAnsi="Times New Roman"/>
                <w:i/>
                <w:iCs/>
                <w:sz w:val="24"/>
                <w:szCs w:val="24"/>
              </w:rPr>
              <w:t xml:space="preserve">submit annual reports and correction plans supervised by the competent authority with early warning mechanisms and automatic compensations for affected </w:t>
            </w:r>
            <w:proofErr w:type="gramStart"/>
            <w:r w:rsidRPr="003600AA">
              <w:rPr>
                <w:rFonts w:ascii="Times New Roman" w:eastAsia="Times New Roman" w:hAnsi="Times New Roman"/>
                <w:i/>
                <w:iCs/>
                <w:sz w:val="24"/>
                <w:szCs w:val="24"/>
              </w:rPr>
              <w:t>members</w:t>
            </w:r>
            <w:r w:rsidR="00C970C4">
              <w:rPr>
                <w:rFonts w:ascii="Times New Roman" w:eastAsia="Times New Roman" w:hAnsi="Times New Roman"/>
                <w:sz w:val="24"/>
                <w:szCs w:val="24"/>
              </w:rPr>
              <w:t>’</w:t>
            </w:r>
            <w:proofErr w:type="gramEnd"/>
            <w:r w:rsidRPr="003600AA">
              <w:rPr>
                <w:rFonts w:ascii="Times New Roman" w:eastAsia="Times New Roman" w:hAnsi="Times New Roman"/>
                <w:sz w:val="24"/>
                <w:szCs w:val="24"/>
              </w:rPr>
              <w:t xml:space="preserve">. </w:t>
            </w:r>
            <w:r w:rsidRPr="003600AA">
              <w:rPr>
                <w:rFonts w:ascii="Times New Roman" w:eastAsia="Times New Roman" w:hAnsi="Times New Roman"/>
                <w:sz w:val="24"/>
                <w:szCs w:val="24"/>
              </w:rPr>
              <w:lastRenderedPageBreak/>
              <w:t xml:space="preserve">However, the Commission does not consider that the proposed amendments </w:t>
            </w:r>
            <w:r w:rsidR="002B0CA2">
              <w:rPr>
                <w:rFonts w:ascii="Times New Roman" w:eastAsia="Times New Roman" w:hAnsi="Times New Roman"/>
                <w:sz w:val="24"/>
                <w:szCs w:val="24"/>
              </w:rPr>
              <w:t>would be appropriate</w:t>
            </w:r>
            <w:r w:rsidRPr="003600AA">
              <w:rPr>
                <w:rFonts w:ascii="Times New Roman" w:eastAsia="Times New Roman" w:hAnsi="Times New Roman"/>
                <w:sz w:val="24"/>
                <w:szCs w:val="24"/>
              </w:rPr>
              <w:t>, for the reasons set out under point 2.7.</w:t>
            </w:r>
          </w:p>
          <w:p w14:paraId="6C531D2C" w14:textId="66634B29" w:rsidR="003B35DA" w:rsidRPr="003600AA" w:rsidRDefault="615BC52D"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15</w:t>
            </w:r>
          </w:p>
          <w:p w14:paraId="0CBBB7D0" w14:textId="71B3C133" w:rsidR="003B35DA" w:rsidRDefault="14A9D50F"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takes note of the EESC’s proposed amendment </w:t>
            </w:r>
            <w:r w:rsidR="4A47D90C" w:rsidRPr="6E3B6084">
              <w:rPr>
                <w:rFonts w:ascii="Times New Roman" w:eastAsia="Times New Roman" w:hAnsi="Times New Roman"/>
                <w:sz w:val="24"/>
                <w:szCs w:val="24"/>
              </w:rPr>
              <w:t xml:space="preserve">for </w:t>
            </w:r>
            <w:r w:rsidRPr="003600AA">
              <w:rPr>
                <w:rFonts w:ascii="Times New Roman" w:eastAsia="Times New Roman" w:hAnsi="Times New Roman"/>
                <w:sz w:val="24"/>
                <w:szCs w:val="24"/>
              </w:rPr>
              <w:t>Article 17</w:t>
            </w:r>
            <w:r w:rsidR="615BC52D" w:rsidRPr="003600AA">
              <w:rPr>
                <w:rStyle w:val="FootnoteReference"/>
                <w:rFonts w:ascii="Times New Roman" w:eastAsia="Times New Roman" w:hAnsi="Times New Roman"/>
                <w:sz w:val="24"/>
                <w:szCs w:val="24"/>
              </w:rPr>
              <w:footnoteReference w:id="30"/>
            </w:r>
            <w:r w:rsidRPr="003600AA">
              <w:rPr>
                <w:rFonts w:ascii="Times New Roman" w:eastAsia="Times New Roman" w:hAnsi="Times New Roman"/>
                <w:sz w:val="24"/>
                <w:szCs w:val="24"/>
              </w:rPr>
              <w:t xml:space="preserve"> on the required Solvency margin. Under Article 17, the required solvency margin for a particular IORP is calculated based on that IORP’s pension liabilities and its capital at risk. Certain technical parameters stem from Council Directive</w:t>
            </w:r>
            <w:r w:rsidRPr="003600AA" w:rsidDel="00772928">
              <w:rPr>
                <w:rFonts w:ascii="Times New Roman" w:eastAsia="Times New Roman" w:hAnsi="Times New Roman"/>
                <w:sz w:val="24"/>
                <w:szCs w:val="24"/>
              </w:rPr>
              <w:t xml:space="preserve"> 79/267/EEC </w:t>
            </w:r>
            <w:r w:rsidRPr="003600AA">
              <w:rPr>
                <w:rFonts w:ascii="Times New Roman" w:eastAsia="Times New Roman" w:hAnsi="Times New Roman"/>
                <w:sz w:val="24"/>
                <w:szCs w:val="24"/>
              </w:rPr>
              <w:t xml:space="preserve">– the first Life Insurance Directive – and have remained unchanged since their introduction. It is therefore appropriate to provide for the possibility of their adjustment through delegated acts, should this be considered necessary to ensure that they remain appropriate </w:t>
            </w:r>
            <w:proofErr w:type="gramStart"/>
            <w:r w:rsidRPr="003600AA">
              <w:rPr>
                <w:rFonts w:ascii="Times New Roman" w:eastAsia="Times New Roman" w:hAnsi="Times New Roman"/>
                <w:sz w:val="24"/>
                <w:szCs w:val="24"/>
              </w:rPr>
              <w:t>in light of</w:t>
            </w:r>
            <w:proofErr w:type="gramEnd"/>
            <w:r w:rsidRPr="003600AA">
              <w:rPr>
                <w:rFonts w:ascii="Times New Roman" w:eastAsia="Times New Roman" w:hAnsi="Times New Roman"/>
                <w:sz w:val="24"/>
                <w:szCs w:val="24"/>
              </w:rPr>
              <w:t xml:space="preserve"> market developments and supervisory practices. The Commission would underpin any</w:t>
            </w:r>
            <w:r w:rsidR="0FBDCE69" w:rsidRPr="003600AA">
              <w:rPr>
                <w:rFonts w:ascii="Times New Roman" w:eastAsia="Times New Roman" w:hAnsi="Times New Roman"/>
                <w:sz w:val="24"/>
                <w:szCs w:val="24"/>
              </w:rPr>
              <w:t xml:space="preserve"> </w:t>
            </w:r>
            <w:r w:rsidRPr="003600AA">
              <w:rPr>
                <w:rFonts w:ascii="Times New Roman" w:eastAsia="Times New Roman" w:hAnsi="Times New Roman"/>
                <w:sz w:val="24"/>
                <w:szCs w:val="24"/>
              </w:rPr>
              <w:t xml:space="preserve">suggestion for revised numbers and percentages on collected data, evidence, and views of stakeholders to ensure a well calibrated, robust framework. On the EESC’s suggestion for a recurring five-year review of the numbers and percentages, the Commission does not consider such a requirement justified, as these elements are not comparable to </w:t>
            </w:r>
            <w:r w:rsidR="4A47D90C" w:rsidRPr="6E3B6084">
              <w:rPr>
                <w:rFonts w:ascii="Times New Roman" w:eastAsia="Times New Roman" w:hAnsi="Times New Roman"/>
                <w:sz w:val="24"/>
                <w:szCs w:val="24"/>
              </w:rPr>
              <w:t xml:space="preserve">for instance </w:t>
            </w:r>
            <w:r w:rsidRPr="003600AA">
              <w:rPr>
                <w:rFonts w:ascii="Times New Roman" w:eastAsia="Times New Roman" w:hAnsi="Times New Roman"/>
                <w:sz w:val="24"/>
                <w:szCs w:val="24"/>
              </w:rPr>
              <w:t>inflation-sensitive figures.</w:t>
            </w:r>
          </w:p>
          <w:p w14:paraId="61B41343" w14:textId="0A475E1B" w:rsidR="003B35DA" w:rsidRPr="003600AA" w:rsidRDefault="103435DC"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16</w:t>
            </w:r>
          </w:p>
          <w:p w14:paraId="35A91975" w14:textId="02C79553" w:rsidR="004D56ED" w:rsidRPr="003600AA" w:rsidRDefault="103435DC"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shares the goal of ensuring appropriate transparency and avoiding </w:t>
            </w:r>
            <w:bookmarkStart w:id="0" w:name="_Int_vM5oGa6j"/>
            <w:proofErr w:type="gramStart"/>
            <w:r w:rsidRPr="003600AA">
              <w:rPr>
                <w:rFonts w:ascii="Times New Roman" w:eastAsia="Times New Roman" w:hAnsi="Times New Roman"/>
                <w:sz w:val="24"/>
                <w:szCs w:val="24"/>
              </w:rPr>
              <w:t>greenwashing, and</w:t>
            </w:r>
            <w:bookmarkEnd w:id="0"/>
            <w:proofErr w:type="gramEnd"/>
            <w:r w:rsidRPr="003600AA">
              <w:rPr>
                <w:rFonts w:ascii="Times New Roman" w:eastAsia="Times New Roman" w:hAnsi="Times New Roman"/>
                <w:sz w:val="24"/>
                <w:szCs w:val="24"/>
              </w:rPr>
              <w:t xml:space="preserve"> has carefully considered the proposed EESC’s amendment in Article 19 of IORP concerning members’ sustainability preferences. However, as explained under point 2.8, the Commission does not consider it appropriate to intervene in the investment strategies and asset allocation decisions of IORPs, as proposed by the EESC</w:t>
            </w:r>
            <w:r w:rsidR="00FC48D7" w:rsidRPr="003600AA">
              <w:rPr>
                <w:rFonts w:ascii="Times New Roman" w:eastAsia="Times New Roman" w:hAnsi="Times New Roman"/>
                <w:sz w:val="24"/>
                <w:szCs w:val="24"/>
              </w:rPr>
              <w:t>.</w:t>
            </w:r>
          </w:p>
          <w:p w14:paraId="43B606B7" w14:textId="6EF1EF19" w:rsidR="003B35DA" w:rsidRPr="003600AA" w:rsidRDefault="1303A316"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17</w:t>
            </w:r>
          </w:p>
          <w:p w14:paraId="4B420298" w14:textId="0958EB28" w:rsidR="003B35DA" w:rsidRPr="003600AA" w:rsidRDefault="12036F4D"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appreciates the provision of the proposed amendments to Article 38 concerning disclosures to IORP members and beneficiaries. As explained in point 2.9, the Commission proposal already introduces several improvements concerning the information provided, including through a standardised Pension Benefit Statement which should be layered and follow principles of good design (such as </w:t>
            </w:r>
            <w:proofErr w:type="gramStart"/>
            <w:r w:rsidRPr="003600AA">
              <w:rPr>
                <w:rFonts w:ascii="Times New Roman" w:eastAsia="Times New Roman" w:hAnsi="Times New Roman"/>
                <w:sz w:val="24"/>
                <w:szCs w:val="24"/>
              </w:rPr>
              <w:t>taking into account</w:t>
            </w:r>
            <w:proofErr w:type="gramEnd"/>
            <w:r w:rsidRPr="003600AA">
              <w:rPr>
                <w:rFonts w:ascii="Times New Roman" w:eastAsia="Times New Roman" w:hAnsi="Times New Roman"/>
                <w:sz w:val="24"/>
                <w:szCs w:val="24"/>
              </w:rPr>
              <w:t xml:space="preserve"> behavioural aspects).</w:t>
            </w:r>
          </w:p>
          <w:p w14:paraId="5D6BE9CB" w14:textId="1AEC80C1" w:rsidR="003B35DA" w:rsidRPr="003600AA" w:rsidRDefault="2568FA38"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19</w:t>
            </w:r>
          </w:p>
          <w:p w14:paraId="73771BAF" w14:textId="7E143252" w:rsidR="003B35DA" w:rsidRPr="003600AA" w:rsidRDefault="2568FA38"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w:t>
            </w:r>
            <w:r w:rsidR="00C22701" w:rsidRPr="003600AA">
              <w:rPr>
                <w:rFonts w:ascii="Times New Roman" w:eastAsia="Times New Roman" w:hAnsi="Times New Roman"/>
                <w:sz w:val="24"/>
                <w:szCs w:val="24"/>
              </w:rPr>
              <w:t xml:space="preserve">notes </w:t>
            </w:r>
            <w:r w:rsidRPr="003600AA">
              <w:rPr>
                <w:rFonts w:ascii="Times New Roman" w:eastAsia="Times New Roman" w:hAnsi="Times New Roman"/>
                <w:sz w:val="24"/>
                <w:szCs w:val="24"/>
              </w:rPr>
              <w:t xml:space="preserve">the proposed amendments to Article 37 concerning disclosures to IORP members and beneficiaries. As explained under point 2.9, the Commission proposal already enhances the information provided under the </w:t>
            </w:r>
            <w:proofErr w:type="gramStart"/>
            <w:r w:rsidRPr="003600AA">
              <w:rPr>
                <w:rFonts w:ascii="Times New Roman" w:eastAsia="Times New Roman" w:hAnsi="Times New Roman"/>
                <w:sz w:val="24"/>
                <w:szCs w:val="24"/>
              </w:rPr>
              <w:t>aforementioned article</w:t>
            </w:r>
            <w:proofErr w:type="gramEnd"/>
            <w:r w:rsidRPr="003600AA">
              <w:rPr>
                <w:rFonts w:ascii="Times New Roman" w:eastAsia="Times New Roman" w:hAnsi="Times New Roman"/>
                <w:sz w:val="24"/>
                <w:szCs w:val="24"/>
              </w:rPr>
              <w:t>. Given the minimum harmonisation approach of the Directive, the aim of burden minimisation, and the need to avoid information overload, the Commission considers that the proposed amendment is not pertinent.</w:t>
            </w:r>
          </w:p>
          <w:p w14:paraId="4FBA83FC" w14:textId="67DB6C32" w:rsidR="003B35DA" w:rsidRPr="003600AA" w:rsidRDefault="0BFFDEFB" w:rsidP="003600AA">
            <w:pPr>
              <w:spacing w:before="120" w:after="120"/>
              <w:jc w:val="both"/>
              <w:rPr>
                <w:rFonts w:ascii="Times New Roman" w:eastAsia="Times New Roman" w:hAnsi="Times New Roman"/>
                <w:sz w:val="24"/>
                <w:szCs w:val="24"/>
                <w:u w:val="single"/>
              </w:rPr>
            </w:pPr>
            <w:r w:rsidRPr="003600AA">
              <w:rPr>
                <w:rFonts w:ascii="Times New Roman" w:eastAsia="Times New Roman" w:hAnsi="Times New Roman"/>
                <w:sz w:val="24"/>
                <w:szCs w:val="24"/>
                <w:u w:val="single"/>
              </w:rPr>
              <w:t>Point 3 – amendment 20</w:t>
            </w:r>
          </w:p>
          <w:p w14:paraId="30D14481" w14:textId="66F8ACAC" w:rsidR="003B35DA" w:rsidRPr="003600AA" w:rsidRDefault="25747789" w:rsidP="003600AA">
            <w:pPr>
              <w:spacing w:before="120" w:after="120"/>
              <w:jc w:val="both"/>
              <w:rPr>
                <w:rFonts w:ascii="Times New Roman" w:eastAsia="Times New Roman" w:hAnsi="Times New Roman"/>
                <w:sz w:val="24"/>
                <w:szCs w:val="24"/>
              </w:rPr>
            </w:pPr>
            <w:r w:rsidRPr="003600AA">
              <w:rPr>
                <w:rFonts w:ascii="Times New Roman" w:eastAsia="Times New Roman" w:hAnsi="Times New Roman"/>
                <w:sz w:val="24"/>
                <w:szCs w:val="24"/>
              </w:rPr>
              <w:t xml:space="preserve">The Commission notes the concern about </w:t>
            </w:r>
            <w:r w:rsidRPr="5449F5D9">
              <w:rPr>
                <w:rFonts w:ascii="Times New Roman" w:eastAsia="Times New Roman" w:hAnsi="Times New Roman"/>
                <w:sz w:val="24"/>
                <w:szCs w:val="24"/>
              </w:rPr>
              <w:t xml:space="preserve">possible overlap in disclosures with respect to the distribution </w:t>
            </w:r>
            <w:r w:rsidRPr="5449F5D9">
              <w:rPr>
                <w:rFonts w:ascii="Times New Roman" w:eastAsia="Times New Roman" w:hAnsi="Times New Roman"/>
                <w:sz w:val="24"/>
                <w:szCs w:val="24"/>
              </w:rPr>
              <w:lastRenderedPageBreak/>
              <w:t>of occupational pension arrangements by insurance distributors subject to the Insurance Distribution Directive (IDD)</w:t>
            </w:r>
            <w:r w:rsidR="3DC5B876" w:rsidRPr="003600AA">
              <w:rPr>
                <w:rStyle w:val="FootnoteReference"/>
                <w:rFonts w:ascii="Times New Roman" w:eastAsia="Times New Roman" w:hAnsi="Times New Roman"/>
                <w:sz w:val="24"/>
                <w:szCs w:val="24"/>
              </w:rPr>
              <w:footnoteReference w:id="31"/>
            </w:r>
            <w:r w:rsidRPr="003600AA">
              <w:rPr>
                <w:rFonts w:ascii="Times New Roman" w:eastAsia="Times New Roman" w:hAnsi="Times New Roman"/>
                <w:sz w:val="24"/>
                <w:szCs w:val="24"/>
              </w:rPr>
              <w:t xml:space="preserve">, and appreciates the EESC’s proposed amendment. </w:t>
            </w:r>
            <w:r w:rsidR="40C05A0A" w:rsidRPr="003600AA">
              <w:rPr>
                <w:rFonts w:ascii="Times New Roman" w:eastAsia="Times New Roman" w:hAnsi="Times New Roman"/>
                <w:sz w:val="24"/>
                <w:szCs w:val="24"/>
              </w:rPr>
              <w:t>However,</w:t>
            </w:r>
            <w:r w:rsidRPr="003600AA">
              <w:rPr>
                <w:rFonts w:ascii="Times New Roman" w:eastAsia="Times New Roman" w:hAnsi="Times New Roman"/>
                <w:sz w:val="24"/>
                <w:szCs w:val="24"/>
              </w:rPr>
              <w:t xml:space="preserve"> the applicable disclosure requirements under IDD would primarily relate to the nature and role/function of the distributor himself (no product information document –PID –would be provided) and complemented by IORP-based disclosures (on the IORP, the scheme features, pension benefits statement, etc)</w:t>
            </w:r>
            <w:r w:rsidR="22EDA85B" w:rsidRPr="003600AA">
              <w:rPr>
                <w:rFonts w:ascii="Times New Roman" w:eastAsia="Times New Roman" w:hAnsi="Times New Roman"/>
                <w:sz w:val="24"/>
                <w:szCs w:val="24"/>
              </w:rPr>
              <w:t>.</w:t>
            </w:r>
          </w:p>
        </w:tc>
      </w:tr>
    </w:tbl>
    <w:p w14:paraId="7E347EA8" w14:textId="3EEBE380" w:rsidR="004F6117" w:rsidRPr="0085710B" w:rsidRDefault="004F6117" w:rsidP="00554137">
      <w:pPr>
        <w:spacing w:after="0"/>
        <w:ind w:left="-425"/>
        <w:rPr>
          <w:rFonts w:ascii="Times New Roman" w:hAnsi="Times New Roman"/>
          <w:b/>
          <w:sz w:val="16"/>
          <w:szCs w:val="16"/>
          <w:u w:val="single"/>
        </w:rPr>
      </w:pPr>
    </w:p>
    <w:p w14:paraId="41D86A3C" w14:textId="77777777" w:rsidR="00554137" w:rsidRPr="0085710B" w:rsidRDefault="00554137" w:rsidP="00554137">
      <w:pPr>
        <w:ind w:left="-426"/>
        <w:rPr>
          <w:rFonts w:ascii="Times New Roman" w:hAnsi="Times New Roman"/>
          <w:b/>
          <w:sz w:val="16"/>
          <w:szCs w:val="16"/>
          <w:u w:val="single"/>
        </w:rPr>
      </w:pPr>
    </w:p>
    <w:sectPr w:rsidR="00554137" w:rsidRPr="0085710B">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43924" w14:textId="77777777" w:rsidR="007E3FF0" w:rsidRDefault="007E3FF0" w:rsidP="00FF63EA">
      <w:pPr>
        <w:spacing w:after="0" w:line="240" w:lineRule="auto"/>
      </w:pPr>
      <w:r>
        <w:separator/>
      </w:r>
    </w:p>
  </w:endnote>
  <w:endnote w:type="continuationSeparator" w:id="0">
    <w:p w14:paraId="230087EA" w14:textId="77777777" w:rsidR="007E3FF0" w:rsidRDefault="007E3FF0" w:rsidP="00FF6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28D0B" w14:textId="77777777" w:rsidR="003600AA" w:rsidRDefault="003600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5313508"/>
      <w:docPartObj>
        <w:docPartGallery w:val="Page Numbers (Bottom of Page)"/>
        <w:docPartUnique/>
      </w:docPartObj>
    </w:sdtPr>
    <w:sdtEndPr>
      <w:rPr>
        <w:noProof/>
      </w:rPr>
    </w:sdtEndPr>
    <w:sdtContent>
      <w:p w14:paraId="7A3681D8" w14:textId="275ECA14" w:rsidR="00227C15" w:rsidRDefault="00227C1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932B6A" w14:textId="77777777" w:rsidR="00260B2E" w:rsidRDefault="00260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82B64" w14:textId="77777777" w:rsidR="003600AA" w:rsidRDefault="003600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F86F7" w14:textId="77777777" w:rsidR="007E3FF0" w:rsidRDefault="007E3FF0" w:rsidP="00FF63EA">
      <w:pPr>
        <w:spacing w:after="0" w:line="240" w:lineRule="auto"/>
      </w:pPr>
      <w:r>
        <w:separator/>
      </w:r>
    </w:p>
  </w:footnote>
  <w:footnote w:type="continuationSeparator" w:id="0">
    <w:p w14:paraId="68F70B34" w14:textId="77777777" w:rsidR="007E3FF0" w:rsidRDefault="007E3FF0" w:rsidP="00FF63EA">
      <w:pPr>
        <w:spacing w:after="0" w:line="240" w:lineRule="auto"/>
      </w:pPr>
      <w:r>
        <w:continuationSeparator/>
      </w:r>
    </w:p>
  </w:footnote>
  <w:footnote w:id="1">
    <w:p w14:paraId="30A3593E" w14:textId="5835B91B" w:rsidR="005F05EB" w:rsidRPr="003600AA" w:rsidRDefault="005F05EB" w:rsidP="00D604A2">
      <w:pPr>
        <w:pStyle w:val="FootnoteText"/>
        <w:widowControl w:val="0"/>
        <w:jc w:val="both"/>
        <w:rPr>
          <w:rFonts w:ascii="Times New Roman" w:hAnsi="Times New Roman"/>
        </w:rPr>
      </w:pPr>
      <w:r w:rsidRPr="003600AA">
        <w:rPr>
          <w:rStyle w:val="FootnoteReference"/>
          <w:rFonts w:ascii="Times New Roman" w:hAnsi="Times New Roman"/>
        </w:rPr>
        <w:footnoteRef/>
      </w:r>
      <w:r w:rsidR="00D604A2">
        <w:rPr>
          <w:rFonts w:ascii="Times New Roman" w:hAnsi="Times New Roman"/>
        </w:rPr>
        <w:t xml:space="preserve"> </w:t>
      </w:r>
      <w:r w:rsidR="00D604A2">
        <w:rPr>
          <w:rFonts w:ascii="Times New Roman" w:hAnsi="Times New Roman"/>
        </w:rPr>
        <w:tab/>
      </w:r>
      <w:r w:rsidR="006E578A" w:rsidRPr="003600AA">
        <w:rPr>
          <w:rFonts w:ascii="Times New Roman" w:hAnsi="Times New Roman"/>
        </w:rPr>
        <w:t xml:space="preserve">European Economic and Social Committee, Opinion on the Supplementary pensions package: PEPP and IORP, 30.4.2026, ECO/695-EESC-2025 </w:t>
      </w:r>
      <w:r w:rsidR="00311F52" w:rsidRPr="003600AA">
        <w:rPr>
          <w:rFonts w:ascii="Times New Roman" w:hAnsi="Times New Roman"/>
        </w:rPr>
        <w:t>(</w:t>
      </w:r>
      <w:hyperlink r:id="rId1" w:history="1">
        <w:r w:rsidR="00311F52" w:rsidRPr="003600AA">
          <w:rPr>
            <w:rStyle w:val="Hyperlink"/>
            <w:rFonts w:ascii="Times New Roman" w:hAnsi="Times New Roman"/>
          </w:rPr>
          <w:t>ECO/695-EESC-2025</w:t>
        </w:r>
      </w:hyperlink>
      <w:r w:rsidR="00311F52" w:rsidRPr="003600AA">
        <w:rPr>
          <w:rFonts w:ascii="Times New Roman" w:hAnsi="Times New Roman"/>
        </w:rPr>
        <w:t>)</w:t>
      </w:r>
      <w:r w:rsidR="003600AA" w:rsidRPr="003600AA">
        <w:rPr>
          <w:rFonts w:ascii="Times New Roman" w:hAnsi="Times New Roman"/>
        </w:rPr>
        <w:t>.</w:t>
      </w:r>
    </w:p>
  </w:footnote>
  <w:footnote w:id="2">
    <w:p w14:paraId="1BB6F4E6" w14:textId="29427CCB" w:rsidR="00A8253D" w:rsidRPr="003600AA" w:rsidRDefault="00A8253D" w:rsidP="002E3DE5">
      <w:pPr>
        <w:pStyle w:val="FootnoteText"/>
        <w:widowControl w:val="0"/>
        <w:jc w:val="both"/>
        <w:rPr>
          <w:rFonts w:ascii="Times New Roman" w:hAnsi="Times New Roman"/>
        </w:rPr>
      </w:pPr>
      <w:r w:rsidRPr="003600AA">
        <w:rPr>
          <w:rStyle w:val="FootnoteReference"/>
          <w:rFonts w:ascii="Times New Roman" w:hAnsi="Times New Roman"/>
        </w:rPr>
        <w:footnoteRef/>
      </w:r>
      <w:r w:rsidR="00D604A2">
        <w:rPr>
          <w:rFonts w:ascii="Times New Roman" w:hAnsi="Times New Roman"/>
        </w:rPr>
        <w:t xml:space="preserve"> </w:t>
      </w:r>
      <w:r w:rsidR="00D604A2">
        <w:rPr>
          <w:rFonts w:ascii="Times New Roman" w:hAnsi="Times New Roman"/>
        </w:rPr>
        <w:tab/>
      </w:r>
      <w:r w:rsidR="003862A5" w:rsidRPr="003600AA">
        <w:rPr>
          <w:rFonts w:ascii="Times New Roman" w:hAnsi="Times New Roman"/>
        </w:rPr>
        <w:t>European Commission, Press Release, Commission proposes to boost supplementary pensions to help ensure adequate retirement income, IP/25/2738, Brussels, 20 November 2025</w:t>
      </w:r>
      <w:r w:rsidR="002862A3" w:rsidRPr="003600AA">
        <w:rPr>
          <w:rFonts w:ascii="Times New Roman" w:hAnsi="Times New Roman"/>
        </w:rPr>
        <w:t xml:space="preserve">, available at: </w:t>
      </w:r>
      <w:hyperlink r:id="rId2" w:history="1">
        <w:r w:rsidR="002862A3" w:rsidRPr="003600AA">
          <w:rPr>
            <w:rStyle w:val="Hyperlink"/>
            <w:rFonts w:ascii="Times New Roman" w:hAnsi="Times New Roman"/>
          </w:rPr>
          <w:t>https://finance.ec.europa.eu/publications/commission-proposes-boost-supplementary-pensions-help-ensure-adequate-retirement-income_en</w:t>
        </w:r>
      </w:hyperlink>
      <w:r w:rsidR="003600AA" w:rsidRPr="002E3DE5">
        <w:rPr>
          <w:rFonts w:ascii="Times New Roman" w:hAnsi="Times New Roman"/>
        </w:rPr>
        <w:t>.</w:t>
      </w:r>
      <w:r w:rsidR="002862A3" w:rsidRPr="003600AA">
        <w:rPr>
          <w:rFonts w:ascii="Times New Roman" w:hAnsi="Times New Roman"/>
        </w:rPr>
        <w:t xml:space="preserve"> </w:t>
      </w:r>
    </w:p>
  </w:footnote>
  <w:footnote w:id="3">
    <w:p w14:paraId="44BBBFC7" w14:textId="45F43AFF" w:rsidR="00A54D40" w:rsidRPr="002E3DE5" w:rsidRDefault="00A54D40" w:rsidP="002E3DE5">
      <w:pPr>
        <w:pStyle w:val="FootnoteText"/>
        <w:widowControl w:val="0"/>
        <w:jc w:val="both"/>
        <w:rPr>
          <w:rFonts w:ascii="Times New Roman" w:hAnsi="Times New Roman"/>
        </w:rPr>
      </w:pPr>
      <w:r w:rsidRPr="002E3DE5">
        <w:rPr>
          <w:rStyle w:val="FootnoteReference"/>
          <w:rFonts w:ascii="Times New Roman" w:hAnsi="Times New Roman"/>
        </w:rPr>
        <w:footnoteRef/>
      </w:r>
      <w:r w:rsidR="00D604A2">
        <w:rPr>
          <w:rFonts w:ascii="Times New Roman" w:hAnsi="Times New Roman"/>
        </w:rPr>
        <w:t xml:space="preserve"> </w:t>
      </w:r>
      <w:r w:rsidR="00D604A2">
        <w:rPr>
          <w:rFonts w:ascii="Times New Roman" w:hAnsi="Times New Roman"/>
        </w:rPr>
        <w:tab/>
      </w:r>
      <w:r w:rsidR="2079D94A" w:rsidRPr="003600AA">
        <w:rPr>
          <w:rFonts w:ascii="Times New Roman" w:hAnsi="Times New Roman"/>
        </w:rPr>
        <w:t>Directive (EU) 2016/2341 of the European Parliament and of the Council of 14 December 2016 on the activities and supervision of institutions for occupational retirement provision (IORPs)</w:t>
      </w:r>
      <w:r w:rsidR="003600AA" w:rsidRPr="003600AA">
        <w:rPr>
          <w:rFonts w:ascii="Times New Roman" w:hAnsi="Times New Roman"/>
        </w:rPr>
        <w:t xml:space="preserve"> (</w:t>
      </w:r>
      <w:hyperlink r:id="rId3" w:tooltip="Gives access to this document through its ELI URI." w:history="1">
        <w:r w:rsidR="003600AA" w:rsidRPr="003600AA">
          <w:rPr>
            <w:rStyle w:val="Hyperlink"/>
            <w:rFonts w:ascii="Times New Roman" w:hAnsi="Times New Roman"/>
          </w:rPr>
          <w:t>http://data.europa.eu/eli/dir/2016/2341/oj</w:t>
        </w:r>
      </w:hyperlink>
      <w:r w:rsidR="003600AA" w:rsidRPr="003600AA">
        <w:rPr>
          <w:rFonts w:ascii="Times New Roman" w:hAnsi="Times New Roman"/>
        </w:rPr>
        <w:t>).</w:t>
      </w:r>
      <w:r w:rsidR="2079D94A" w:rsidRPr="003600AA">
        <w:rPr>
          <w:rFonts w:ascii="Times New Roman" w:hAnsi="Times New Roman"/>
        </w:rPr>
        <w:t xml:space="preserve"> </w:t>
      </w:r>
    </w:p>
  </w:footnote>
  <w:footnote w:id="4">
    <w:p w14:paraId="2BB590C1" w14:textId="6B747B01" w:rsidR="00E82ADF" w:rsidRPr="002E3DE5" w:rsidRDefault="00E82ADF" w:rsidP="003600AA">
      <w:pPr>
        <w:pStyle w:val="FootnoteText"/>
        <w:rPr>
          <w:rFonts w:ascii="Times New Roman" w:hAnsi="Times New Roman"/>
        </w:rPr>
      </w:pPr>
      <w:r w:rsidRPr="002E3DE5">
        <w:rPr>
          <w:rStyle w:val="FootnoteReference"/>
          <w:rFonts w:ascii="Times New Roman" w:hAnsi="Times New Roman"/>
        </w:rPr>
        <w:footnoteRef/>
      </w:r>
      <w:r w:rsidR="00D604A2">
        <w:rPr>
          <w:rFonts w:ascii="Times New Roman" w:hAnsi="Times New Roman"/>
        </w:rPr>
        <w:t xml:space="preserve"> </w:t>
      </w:r>
      <w:r w:rsidR="00D604A2">
        <w:rPr>
          <w:rFonts w:ascii="Times New Roman" w:hAnsi="Times New Roman"/>
        </w:rPr>
        <w:tab/>
      </w:r>
      <w:r w:rsidR="2079D94A" w:rsidRPr="003600AA">
        <w:rPr>
          <w:rFonts w:ascii="Times New Roman" w:hAnsi="Times New Roman"/>
        </w:rPr>
        <w:t>Regulation (EU) 2019/1238 of the European Parliament and of the Council of 20 June 2019 on a pan-European Personal Pension Product (PEPP)</w:t>
      </w:r>
      <w:r w:rsidR="00D604A2">
        <w:rPr>
          <w:rFonts w:ascii="Times New Roman" w:hAnsi="Times New Roman"/>
        </w:rPr>
        <w:t>.</w:t>
      </w:r>
    </w:p>
  </w:footnote>
  <w:footnote w:id="5">
    <w:p w14:paraId="01594AFE" w14:textId="6F446569" w:rsidR="005A2DAA" w:rsidRPr="00620E4D" w:rsidRDefault="005A2DAA">
      <w:pPr>
        <w:pStyle w:val="FootnoteText"/>
        <w:rPr>
          <w:rFonts w:ascii="Times New Roman" w:hAnsi="Times New Roman"/>
        </w:rPr>
      </w:pPr>
      <w:r w:rsidRPr="0036445D">
        <w:rPr>
          <w:rStyle w:val="FootnoteReference"/>
          <w:rFonts w:ascii="Times New Roman" w:hAnsi="Times New Roman"/>
        </w:rPr>
        <w:footnoteRef/>
      </w:r>
      <w:r w:rsidR="00D604A2">
        <w:rPr>
          <w:rFonts w:ascii="Times New Roman" w:hAnsi="Times New Roman"/>
        </w:rPr>
        <w:t xml:space="preserve"> </w:t>
      </w:r>
      <w:r w:rsidR="00D604A2">
        <w:rPr>
          <w:rFonts w:ascii="Times New Roman" w:hAnsi="Times New Roman"/>
        </w:rPr>
        <w:tab/>
      </w:r>
      <w:r w:rsidR="2079D94A" w:rsidRPr="00620E4D">
        <w:rPr>
          <w:rFonts w:ascii="Times New Roman" w:hAnsi="Times New Roman"/>
        </w:rPr>
        <w:t>Directive (EU) 2016/2341</w:t>
      </w:r>
      <w:r w:rsidR="003600AA" w:rsidRPr="00620E4D">
        <w:rPr>
          <w:rFonts w:ascii="Times New Roman" w:hAnsi="Times New Roman"/>
        </w:rPr>
        <w:t xml:space="preserve"> (</w:t>
      </w:r>
      <w:hyperlink r:id="rId4" w:tooltip="Gives access to this document through its ELI URI." w:history="1">
        <w:r w:rsidR="003600AA" w:rsidRPr="00620E4D">
          <w:rPr>
            <w:rStyle w:val="Hyperlink"/>
            <w:rFonts w:ascii="Times New Roman" w:hAnsi="Times New Roman"/>
          </w:rPr>
          <w:t>http://data.europa.eu/eli/dir/2016/2341/oj</w:t>
        </w:r>
      </w:hyperlink>
      <w:r w:rsidR="003600AA" w:rsidRPr="00620E4D">
        <w:rPr>
          <w:rFonts w:ascii="Times New Roman" w:hAnsi="Times New Roman"/>
        </w:rPr>
        <w:t>)</w:t>
      </w:r>
      <w:r w:rsidR="00D604A2">
        <w:rPr>
          <w:rFonts w:ascii="Times New Roman" w:hAnsi="Times New Roman"/>
        </w:rPr>
        <w:t>.</w:t>
      </w:r>
      <w:r w:rsidR="003600AA" w:rsidRPr="00620E4D">
        <w:rPr>
          <w:rFonts w:ascii="Times New Roman" w:hAnsi="Times New Roman"/>
        </w:rPr>
        <w:t xml:space="preserve"> </w:t>
      </w:r>
    </w:p>
  </w:footnote>
  <w:footnote w:id="6">
    <w:p w14:paraId="3783F704" w14:textId="7CE7F8FF" w:rsidR="00AE1704" w:rsidRPr="00620E4D" w:rsidRDefault="00AE1704" w:rsidP="002E3DE5">
      <w:pPr>
        <w:widowControl w:val="0"/>
        <w:spacing w:after="0"/>
        <w:jc w:val="both"/>
        <w:rPr>
          <w:rFonts w:ascii="Times New Roman" w:hAnsi="Times New Roman"/>
          <w:sz w:val="20"/>
          <w:szCs w:val="20"/>
        </w:rPr>
      </w:pPr>
      <w:r w:rsidRPr="003600AA">
        <w:rPr>
          <w:rStyle w:val="FootnoteReference"/>
          <w:rFonts w:ascii="Times New Roman" w:hAnsi="Times New Roman"/>
          <w:sz w:val="20"/>
          <w:szCs w:val="20"/>
        </w:rPr>
        <w:footnoteRef/>
      </w:r>
      <w:r w:rsidR="00D604A2">
        <w:rPr>
          <w:rFonts w:ascii="Times New Roman" w:hAnsi="Times New Roman"/>
          <w:sz w:val="20"/>
          <w:szCs w:val="20"/>
        </w:rPr>
        <w:t xml:space="preserve"> </w:t>
      </w:r>
      <w:r w:rsidR="00D604A2">
        <w:rPr>
          <w:rFonts w:ascii="Times New Roman" w:hAnsi="Times New Roman"/>
          <w:sz w:val="20"/>
          <w:szCs w:val="20"/>
        </w:rPr>
        <w:tab/>
      </w:r>
      <w:proofErr w:type="gramStart"/>
      <w:r w:rsidR="003600AA" w:rsidRPr="00620E4D">
        <w:rPr>
          <w:rFonts w:ascii="Times New Roman" w:hAnsi="Times New Roman"/>
          <w:sz w:val="20"/>
          <w:szCs w:val="20"/>
        </w:rPr>
        <w:t>COM(</w:t>
      </w:r>
      <w:proofErr w:type="gramEnd"/>
      <w:r w:rsidR="003600AA" w:rsidRPr="00620E4D">
        <w:rPr>
          <w:rFonts w:ascii="Times New Roman" w:hAnsi="Times New Roman"/>
          <w:sz w:val="20"/>
          <w:szCs w:val="20"/>
        </w:rPr>
        <w:t>2025)842 final (</w:t>
      </w:r>
      <w:hyperlink r:id="rId5" w:history="1">
        <w:r w:rsidR="003600AA" w:rsidRPr="00620E4D">
          <w:rPr>
            <w:rStyle w:val="Hyperlink"/>
            <w:rFonts w:ascii="Times New Roman" w:hAnsi="Times New Roman"/>
            <w:sz w:val="20"/>
            <w:szCs w:val="20"/>
          </w:rPr>
          <w:t>EUR-Lex - 52025PC0842 - EN - EUR-Lex</w:t>
        </w:r>
      </w:hyperlink>
      <w:r w:rsidR="00195629" w:rsidRPr="00620E4D">
        <w:rPr>
          <w:rFonts w:ascii="Times New Roman" w:hAnsi="Times New Roman"/>
          <w:sz w:val="20"/>
          <w:szCs w:val="20"/>
        </w:rPr>
        <w:t>)</w:t>
      </w:r>
      <w:r w:rsidR="003600AA" w:rsidRPr="00620E4D">
        <w:rPr>
          <w:rFonts w:ascii="Times New Roman" w:hAnsi="Times New Roman"/>
          <w:sz w:val="20"/>
          <w:szCs w:val="20"/>
        </w:rPr>
        <w:t>.</w:t>
      </w:r>
    </w:p>
  </w:footnote>
  <w:footnote w:id="7">
    <w:p w14:paraId="23482748" w14:textId="34FA35FC" w:rsidR="003B3A1C" w:rsidRPr="00620E4D" w:rsidRDefault="003B3A1C" w:rsidP="002E3DE5">
      <w:pPr>
        <w:pStyle w:val="FootnoteText"/>
        <w:widowControl w:val="0"/>
        <w:jc w:val="both"/>
        <w:rPr>
          <w:rFonts w:ascii="Times New Roman" w:hAnsi="Times New Roman"/>
        </w:rPr>
      </w:pPr>
      <w:r w:rsidRPr="002E3DE5">
        <w:rPr>
          <w:rStyle w:val="FootnoteReference"/>
          <w:rFonts w:ascii="Times New Roman" w:hAnsi="Times New Roman"/>
        </w:rPr>
        <w:footnoteRef/>
      </w:r>
      <w:r w:rsidR="00D604A2">
        <w:rPr>
          <w:rFonts w:ascii="Times New Roman" w:hAnsi="Times New Roman"/>
        </w:rPr>
        <w:t xml:space="preserve"> </w:t>
      </w:r>
      <w:r w:rsidR="00D604A2">
        <w:rPr>
          <w:rFonts w:ascii="Times New Roman" w:hAnsi="Times New Roman"/>
        </w:rPr>
        <w:tab/>
      </w:r>
      <w:proofErr w:type="gramStart"/>
      <w:r w:rsidR="003600AA" w:rsidRPr="00620E4D">
        <w:rPr>
          <w:rFonts w:ascii="Times New Roman" w:hAnsi="Times New Roman"/>
        </w:rPr>
        <w:t>C(</w:t>
      </w:r>
      <w:proofErr w:type="gramEnd"/>
      <w:r w:rsidR="003600AA" w:rsidRPr="00620E4D">
        <w:rPr>
          <w:rFonts w:ascii="Times New Roman" w:hAnsi="Times New Roman"/>
        </w:rPr>
        <w:t>2025)9300 (</w:t>
      </w:r>
      <w:hyperlink r:id="rId6" w:history="1">
        <w:r w:rsidR="003600AA" w:rsidRPr="00620E4D">
          <w:rPr>
            <w:rStyle w:val="Hyperlink"/>
            <w:rFonts w:ascii="Times New Roman" w:hAnsi="Times New Roman"/>
          </w:rPr>
          <w:t>http://data.europa.eu/eli/reco/2025/2384/oj</w:t>
        </w:r>
      </w:hyperlink>
      <w:r w:rsidR="00E42D49" w:rsidRPr="00620E4D">
        <w:rPr>
          <w:rFonts w:ascii="Times New Roman" w:hAnsi="Times New Roman"/>
        </w:rPr>
        <w:t>)</w:t>
      </w:r>
      <w:r w:rsidR="003600AA" w:rsidRPr="00620E4D">
        <w:rPr>
          <w:rFonts w:ascii="Times New Roman" w:hAnsi="Times New Roman"/>
        </w:rPr>
        <w:t>.</w:t>
      </w:r>
      <w:r w:rsidR="2079D94A" w:rsidRPr="00620E4D">
        <w:rPr>
          <w:rFonts w:ascii="Times New Roman" w:hAnsi="Times New Roman"/>
        </w:rPr>
        <w:t xml:space="preserve"> </w:t>
      </w:r>
    </w:p>
  </w:footnote>
  <w:footnote w:id="8">
    <w:p w14:paraId="594661EB" w14:textId="00885E3B" w:rsidR="00B1756C" w:rsidRPr="00D604A2" w:rsidRDefault="00B1756C" w:rsidP="002E3DE5">
      <w:pPr>
        <w:pStyle w:val="FootnoteText"/>
        <w:widowControl w:val="0"/>
        <w:jc w:val="both"/>
        <w:rPr>
          <w:rFonts w:ascii="Times New Roman" w:hAnsi="Times New Roman"/>
          <w:lang w:val="fr-BE"/>
        </w:rPr>
      </w:pPr>
      <w:r w:rsidRPr="002E3DE5">
        <w:rPr>
          <w:rStyle w:val="FootnoteReference"/>
          <w:rFonts w:ascii="Times New Roman" w:hAnsi="Times New Roman"/>
        </w:rPr>
        <w:footnoteRef/>
      </w:r>
      <w:r w:rsidR="00D604A2">
        <w:rPr>
          <w:rFonts w:ascii="Times New Roman" w:hAnsi="Times New Roman"/>
          <w:lang w:val="fr-BE"/>
        </w:rPr>
        <w:t xml:space="preserve"> </w:t>
      </w:r>
      <w:r w:rsidR="00D604A2">
        <w:rPr>
          <w:rFonts w:ascii="Times New Roman" w:hAnsi="Times New Roman"/>
          <w:lang w:val="fr-BE"/>
        </w:rPr>
        <w:tab/>
      </w:r>
      <w:proofErr w:type="gramStart"/>
      <w:r w:rsidR="2079D94A" w:rsidRPr="00D604A2">
        <w:rPr>
          <w:rFonts w:ascii="Times New Roman" w:hAnsi="Times New Roman"/>
          <w:lang w:val="fr-BE"/>
        </w:rPr>
        <w:t>COM(</w:t>
      </w:r>
      <w:proofErr w:type="gramEnd"/>
      <w:r w:rsidR="2079D94A" w:rsidRPr="00D604A2">
        <w:rPr>
          <w:rFonts w:ascii="Times New Roman" w:hAnsi="Times New Roman"/>
          <w:lang w:val="fr-BE"/>
        </w:rPr>
        <w:t>2025) 681 final</w:t>
      </w:r>
      <w:r w:rsidR="0088283D" w:rsidRPr="00D604A2">
        <w:rPr>
          <w:rFonts w:ascii="Times New Roman" w:hAnsi="Times New Roman"/>
          <w:lang w:val="fr-BE"/>
        </w:rPr>
        <w:t xml:space="preserve"> (</w:t>
      </w:r>
      <w:r w:rsidR="0088283D">
        <w:fldChar w:fldCharType="begin"/>
      </w:r>
      <w:r w:rsidR="0088283D" w:rsidRPr="00040A98">
        <w:rPr>
          <w:lang w:val="fr-BE"/>
        </w:rPr>
        <w:instrText>HYPERLINK "https://eur-lex.europa.eu/legal-content/EN/TXT/?uri=CELEX:52025DC0681"</w:instrText>
      </w:r>
      <w:r w:rsidR="0088283D">
        <w:fldChar w:fldCharType="separate"/>
      </w:r>
      <w:r w:rsidR="0088283D" w:rsidRPr="00D604A2">
        <w:rPr>
          <w:rStyle w:val="Hyperlink"/>
          <w:rFonts w:ascii="Times New Roman" w:hAnsi="Times New Roman"/>
          <w:lang w:val="fr-BE"/>
        </w:rPr>
        <w:t>EUR-Lex - 52025DC0681 - EN - EUR-Lex</w:t>
      </w:r>
      <w:r w:rsidR="0088283D">
        <w:fldChar w:fldCharType="end"/>
      </w:r>
      <w:r w:rsidR="0088283D" w:rsidRPr="00D604A2">
        <w:rPr>
          <w:rFonts w:ascii="Times New Roman" w:hAnsi="Times New Roman"/>
          <w:lang w:val="fr-BE"/>
        </w:rPr>
        <w:t>).</w:t>
      </w:r>
    </w:p>
  </w:footnote>
  <w:footnote w:id="9">
    <w:p w14:paraId="17EEAD4D" w14:textId="0A367494" w:rsidR="009E1BCA" w:rsidRPr="002E3DE5" w:rsidRDefault="009E1BCA" w:rsidP="002E3DE5">
      <w:pPr>
        <w:pStyle w:val="FootnoteText"/>
        <w:widowControl w:val="0"/>
        <w:jc w:val="both"/>
        <w:rPr>
          <w:rFonts w:ascii="Times New Roman" w:hAnsi="Times New Roman"/>
          <w:lang w:val="fr-BE"/>
        </w:rPr>
      </w:pPr>
      <w:r w:rsidRPr="0088283D">
        <w:rPr>
          <w:rStyle w:val="FootnoteReference"/>
          <w:rFonts w:ascii="Times New Roman" w:hAnsi="Times New Roman"/>
        </w:rPr>
        <w:footnoteRef/>
      </w:r>
      <w:r w:rsidR="00D604A2">
        <w:rPr>
          <w:rFonts w:ascii="Times New Roman" w:hAnsi="Times New Roman"/>
          <w:lang w:val="fr-BE"/>
        </w:rPr>
        <w:t xml:space="preserve"> </w:t>
      </w:r>
      <w:r w:rsidR="00D604A2">
        <w:rPr>
          <w:rFonts w:ascii="Times New Roman" w:hAnsi="Times New Roman"/>
          <w:lang w:val="fr-BE"/>
        </w:rPr>
        <w:tab/>
      </w:r>
      <w:proofErr w:type="gramStart"/>
      <w:r w:rsidR="00B10838" w:rsidRPr="002E3DE5">
        <w:rPr>
          <w:rFonts w:ascii="Times New Roman" w:hAnsi="Times New Roman"/>
          <w:lang w:val="fr-BE"/>
        </w:rPr>
        <w:t>SWD(</w:t>
      </w:r>
      <w:proofErr w:type="gramEnd"/>
      <w:r w:rsidR="00B10838" w:rsidRPr="002E3DE5">
        <w:rPr>
          <w:rFonts w:ascii="Times New Roman" w:hAnsi="Times New Roman"/>
          <w:lang w:val="fr-BE"/>
        </w:rPr>
        <w:t>2025) 367 final</w:t>
      </w:r>
      <w:r w:rsidR="0088283D" w:rsidRPr="002E3DE5">
        <w:rPr>
          <w:rFonts w:ascii="Times New Roman" w:hAnsi="Times New Roman"/>
          <w:lang w:val="fr-BE"/>
        </w:rPr>
        <w:t xml:space="preserve"> (</w:t>
      </w:r>
      <w:r w:rsidR="0088283D">
        <w:fldChar w:fldCharType="begin"/>
      </w:r>
      <w:r w:rsidR="0088283D" w:rsidRPr="00040A98">
        <w:rPr>
          <w:lang w:val="fr-BE"/>
        </w:rPr>
        <w:instrText>HYPERLINK "https://eur-lex.europa.eu/legal-content/EN/TXT/?uri=CELEX:52025SC0367"</w:instrText>
      </w:r>
      <w:r w:rsidR="0088283D">
        <w:fldChar w:fldCharType="separate"/>
      </w:r>
      <w:r w:rsidR="0088283D" w:rsidRPr="002E3DE5">
        <w:rPr>
          <w:rStyle w:val="Hyperlink"/>
          <w:rFonts w:ascii="Times New Roman" w:hAnsi="Times New Roman"/>
          <w:lang w:val="fr-BE"/>
        </w:rPr>
        <w:t>EUR-Lex - 52025SC0367 - EN - EUR-Lex</w:t>
      </w:r>
      <w:r w:rsidR="0088283D">
        <w:fldChar w:fldCharType="end"/>
      </w:r>
      <w:r w:rsidR="0088283D" w:rsidRPr="002E3DE5">
        <w:rPr>
          <w:rFonts w:ascii="Times New Roman" w:hAnsi="Times New Roman"/>
          <w:lang w:val="fr-BE"/>
        </w:rPr>
        <w:t>).</w:t>
      </w:r>
    </w:p>
  </w:footnote>
  <w:footnote w:id="10">
    <w:p w14:paraId="53A9003D" w14:textId="2C2F0294" w:rsidR="4417F012" w:rsidRDefault="4417F012" w:rsidP="002E3DE5">
      <w:pPr>
        <w:pStyle w:val="FootnoteText"/>
        <w:widowControl w:val="0"/>
        <w:jc w:val="both"/>
      </w:pPr>
      <w:r w:rsidRPr="002E3DE5">
        <w:rPr>
          <w:rStyle w:val="FootnoteReference"/>
          <w:rFonts w:ascii="Times New Roman" w:hAnsi="Times New Roman"/>
        </w:rPr>
        <w:footnoteRef/>
      </w:r>
      <w:r w:rsidR="00D604A2">
        <w:t xml:space="preserve"> </w:t>
      </w:r>
      <w:r w:rsidR="00D604A2">
        <w:tab/>
      </w:r>
      <w:hyperlink r:id="rId7" w:history="1">
        <w:r w:rsidR="0088283D" w:rsidRPr="002E3DE5">
          <w:rPr>
            <w:rFonts w:ascii="Times New Roman" w:hAnsi="Times New Roman"/>
          </w:rPr>
          <w:t>Technical advice for the review of the IORP II Directive</w:t>
        </w:r>
      </w:hyperlink>
      <w:r w:rsidR="0088283D" w:rsidRPr="002E3DE5">
        <w:rPr>
          <w:rFonts w:ascii="Times New Roman" w:hAnsi="Times New Roman"/>
        </w:rPr>
        <w:t>.</w:t>
      </w:r>
    </w:p>
  </w:footnote>
  <w:footnote w:id="11">
    <w:p w14:paraId="782F7EA8" w14:textId="6049CF78" w:rsidR="4417F012" w:rsidRDefault="4417F012" w:rsidP="002E3DE5">
      <w:pPr>
        <w:pStyle w:val="FootnoteText"/>
        <w:widowControl w:val="0"/>
        <w:jc w:val="both"/>
        <w:rPr>
          <w:rFonts w:ascii="Times New Roman" w:hAnsi="Times New Roman"/>
        </w:rPr>
      </w:pPr>
      <w:r w:rsidRPr="4417F012">
        <w:rPr>
          <w:rStyle w:val="FootnoteReference"/>
        </w:rPr>
        <w:footnoteRef/>
      </w:r>
      <w:r w:rsidR="00D604A2">
        <w:rPr>
          <w:rFonts w:ascii="Times New Roman" w:hAnsi="Times New Roman"/>
        </w:rPr>
        <w:t xml:space="preserve"> </w:t>
      </w:r>
      <w:r w:rsidR="00D604A2">
        <w:rPr>
          <w:rFonts w:ascii="Times New Roman" w:hAnsi="Times New Roman"/>
        </w:rPr>
        <w:tab/>
      </w:r>
      <w:r w:rsidRPr="4417F012">
        <w:rPr>
          <w:rFonts w:ascii="Times New Roman" w:hAnsi="Times New Roman"/>
        </w:rPr>
        <w:t xml:space="preserve">European Court of Auditors, Special report 14/2025: Developing supplementary pensions in the EU – EU action not effective in strengthening occupational pensions and establishing a pan-European personal pension product, Publications Office of the European Union, Luxembourg, 2025, available at: </w:t>
      </w:r>
      <w:hyperlink r:id="rId8">
        <w:r w:rsidRPr="4417F012">
          <w:rPr>
            <w:rStyle w:val="Hyperlink"/>
            <w:rFonts w:ascii="Times New Roman" w:hAnsi="Times New Roman"/>
          </w:rPr>
          <w:t>https://www.eca.europa.eu/ECAPublications/SR-2025-14/SR-2025-14_EN.pdf</w:t>
        </w:r>
      </w:hyperlink>
      <w:r w:rsidRPr="4417F012">
        <w:rPr>
          <w:rFonts w:ascii="Times New Roman" w:hAnsi="Times New Roman"/>
        </w:rPr>
        <w:t>.</w:t>
      </w:r>
    </w:p>
  </w:footnote>
  <w:footnote w:id="12">
    <w:p w14:paraId="0D7DB415" w14:textId="003288EF" w:rsidR="00044BDE" w:rsidRPr="0036445D" w:rsidRDefault="00044BDE" w:rsidP="002E3DE5">
      <w:pPr>
        <w:pStyle w:val="FootnoteText"/>
        <w:widowControl w:val="0"/>
        <w:jc w:val="both"/>
        <w:rPr>
          <w:rFonts w:ascii="Times New Roman" w:hAnsi="Times New Roman"/>
        </w:rPr>
      </w:pPr>
      <w:r w:rsidRPr="0036445D">
        <w:rPr>
          <w:rStyle w:val="FootnoteReference"/>
          <w:rFonts w:ascii="Times New Roman" w:hAnsi="Times New Roman"/>
        </w:rPr>
        <w:footnoteRef/>
      </w:r>
      <w:r w:rsidR="00D604A2">
        <w:rPr>
          <w:rFonts w:ascii="Times New Roman" w:hAnsi="Times New Roman"/>
        </w:rPr>
        <w:t xml:space="preserve"> </w:t>
      </w:r>
      <w:r w:rsidR="00D604A2">
        <w:rPr>
          <w:rFonts w:ascii="Times New Roman" w:hAnsi="Times New Roman"/>
        </w:rPr>
        <w:tab/>
      </w:r>
      <w:r w:rsidRPr="0036445D">
        <w:rPr>
          <w:rFonts w:ascii="Times New Roman" w:hAnsi="Times New Roman"/>
        </w:rPr>
        <w:t xml:space="preserve"> </w:t>
      </w:r>
      <w:r w:rsidR="000D7729" w:rsidRPr="0036445D">
        <w:rPr>
          <w:rFonts w:ascii="Times New Roman" w:hAnsi="Times New Roman"/>
        </w:rPr>
        <w:t xml:space="preserve">Letta, E., Much more than a market: Speed, security, solidarity – Empowering the Single Market to deliver a sustainable future and prosperity for all EU citizens, Report requested by the European Council, General Secretariat of the Council, Brussels, April 2024, available at: </w:t>
      </w:r>
      <w:hyperlink r:id="rId9" w:history="1">
        <w:r w:rsidR="000D7729" w:rsidRPr="0036445D">
          <w:rPr>
            <w:rStyle w:val="Hyperlink"/>
            <w:rFonts w:ascii="Times New Roman" w:hAnsi="Times New Roman"/>
          </w:rPr>
          <w:t>https://www.consilium.europa.eu/media/ny3j24sm/much-more-than-a-market-report-by-enrico-letta.pdf</w:t>
        </w:r>
      </w:hyperlink>
      <w:r w:rsidR="0088283D">
        <w:t>.</w:t>
      </w:r>
      <w:r w:rsidR="000D7729" w:rsidRPr="0036445D">
        <w:rPr>
          <w:rFonts w:ascii="Times New Roman" w:hAnsi="Times New Roman"/>
        </w:rPr>
        <w:t xml:space="preserve"> </w:t>
      </w:r>
    </w:p>
  </w:footnote>
  <w:footnote w:id="13">
    <w:p w14:paraId="4538D660" w14:textId="2FE317FF" w:rsidR="000D7729" w:rsidRPr="0036445D" w:rsidRDefault="000D7729" w:rsidP="002E3DE5">
      <w:pPr>
        <w:pStyle w:val="FootnoteText"/>
        <w:widowControl w:val="0"/>
        <w:jc w:val="both"/>
        <w:rPr>
          <w:rFonts w:ascii="Times New Roman" w:hAnsi="Times New Roman"/>
        </w:rPr>
      </w:pPr>
      <w:r w:rsidRPr="0036445D">
        <w:rPr>
          <w:rStyle w:val="FootnoteReference"/>
          <w:rFonts w:ascii="Times New Roman" w:hAnsi="Times New Roman"/>
        </w:rPr>
        <w:footnoteRef/>
      </w:r>
      <w:r w:rsidR="00D604A2">
        <w:rPr>
          <w:rFonts w:ascii="Times New Roman" w:hAnsi="Times New Roman"/>
        </w:rPr>
        <w:t xml:space="preserve"> </w:t>
      </w:r>
      <w:r w:rsidR="00D604A2">
        <w:rPr>
          <w:rFonts w:ascii="Times New Roman" w:hAnsi="Times New Roman"/>
        </w:rPr>
        <w:tab/>
      </w:r>
      <w:r w:rsidR="000E62FD" w:rsidRPr="0036445D">
        <w:rPr>
          <w:rFonts w:ascii="Times New Roman" w:hAnsi="Times New Roman"/>
        </w:rPr>
        <w:t xml:space="preserve">Draghi, M., The future of European competitiveness: A competitiveness strategy for Europe, Report prepared at the request of the European Commission, Publications Office of the European Union, Luxembourg, September 2024, available at: </w:t>
      </w:r>
      <w:hyperlink r:id="rId10" w:history="1">
        <w:r w:rsidR="000E62FD" w:rsidRPr="0036445D">
          <w:rPr>
            <w:rStyle w:val="Hyperlink"/>
            <w:rFonts w:ascii="Times New Roman" w:hAnsi="Times New Roman"/>
          </w:rPr>
          <w:t>https://commission.europa.eu/topics/competitiveness/draghi-report_en</w:t>
        </w:r>
      </w:hyperlink>
      <w:r w:rsidR="000E62FD" w:rsidRPr="0036445D">
        <w:rPr>
          <w:rFonts w:ascii="Times New Roman" w:hAnsi="Times New Roman"/>
        </w:rPr>
        <w:t xml:space="preserve">. </w:t>
      </w:r>
    </w:p>
  </w:footnote>
  <w:footnote w:id="14">
    <w:p w14:paraId="51819E1C" w14:textId="3386F395" w:rsidR="00610A67" w:rsidRPr="00620E4D" w:rsidRDefault="00610A67" w:rsidP="002E3DE5">
      <w:pPr>
        <w:pStyle w:val="FootnoteText"/>
        <w:widowControl w:val="0"/>
        <w:jc w:val="both"/>
        <w:rPr>
          <w:rFonts w:ascii="Times New Roman" w:hAnsi="Times New Roman"/>
        </w:rPr>
      </w:pPr>
      <w:r w:rsidRPr="0036445D">
        <w:rPr>
          <w:rStyle w:val="FootnoteReference"/>
          <w:rFonts w:ascii="Times New Roman" w:hAnsi="Times New Roman"/>
        </w:rPr>
        <w:footnoteRef/>
      </w:r>
      <w:r w:rsidR="00D604A2">
        <w:rPr>
          <w:rFonts w:ascii="Times New Roman" w:hAnsi="Times New Roman"/>
        </w:rPr>
        <w:t xml:space="preserve"> </w:t>
      </w:r>
      <w:r w:rsidR="00D604A2">
        <w:rPr>
          <w:rFonts w:ascii="Times New Roman" w:hAnsi="Times New Roman"/>
        </w:rPr>
        <w:tab/>
      </w:r>
      <w:proofErr w:type="gramStart"/>
      <w:r w:rsidR="00DF502C" w:rsidRPr="00620E4D">
        <w:rPr>
          <w:rFonts w:ascii="Times New Roman" w:hAnsi="Times New Roman"/>
        </w:rPr>
        <w:t>COM(</w:t>
      </w:r>
      <w:proofErr w:type="gramEnd"/>
      <w:r w:rsidR="00DF502C" w:rsidRPr="00620E4D">
        <w:rPr>
          <w:rFonts w:ascii="Times New Roman" w:hAnsi="Times New Roman"/>
        </w:rPr>
        <w:t>2025) 840 final</w:t>
      </w:r>
      <w:r w:rsidR="0088283D" w:rsidRPr="00620E4D">
        <w:rPr>
          <w:rFonts w:ascii="Times New Roman" w:hAnsi="Times New Roman"/>
        </w:rPr>
        <w:t xml:space="preserve"> (</w:t>
      </w:r>
      <w:hyperlink r:id="rId11" w:history="1">
        <w:r w:rsidR="0088283D" w:rsidRPr="00620E4D">
          <w:rPr>
            <w:rStyle w:val="Hyperlink"/>
            <w:rFonts w:ascii="Times New Roman" w:hAnsi="Times New Roman"/>
          </w:rPr>
          <w:t>EUR-Lex - 52025PC0840 - EN - EUR-Lex</w:t>
        </w:r>
      </w:hyperlink>
      <w:r w:rsidR="0088283D" w:rsidRPr="00620E4D">
        <w:rPr>
          <w:rFonts w:ascii="Times New Roman" w:hAnsi="Times New Roman"/>
        </w:rPr>
        <w:t>)</w:t>
      </w:r>
      <w:r w:rsidR="00DF502C" w:rsidRPr="00620E4D">
        <w:rPr>
          <w:rFonts w:ascii="Times New Roman" w:hAnsi="Times New Roman"/>
        </w:rPr>
        <w:t>, p. 26.</w:t>
      </w:r>
    </w:p>
  </w:footnote>
  <w:footnote w:id="15">
    <w:p w14:paraId="50282D93" w14:textId="7220C617" w:rsidR="00EC25C2" w:rsidRPr="00620E4D" w:rsidRDefault="00EC25C2" w:rsidP="002E3DE5">
      <w:pPr>
        <w:pStyle w:val="FootnoteText"/>
        <w:widowControl w:val="0"/>
        <w:jc w:val="both"/>
        <w:rPr>
          <w:rFonts w:ascii="Times New Roman" w:hAnsi="Times New Roman"/>
        </w:rPr>
      </w:pPr>
      <w:r w:rsidRPr="0036445D">
        <w:rPr>
          <w:rStyle w:val="FootnoteReference"/>
          <w:rFonts w:ascii="Times New Roman" w:hAnsi="Times New Roman"/>
        </w:rPr>
        <w:footnoteRef/>
      </w:r>
      <w:r w:rsidR="00D604A2">
        <w:rPr>
          <w:rFonts w:ascii="Times New Roman" w:hAnsi="Times New Roman"/>
        </w:rPr>
        <w:t xml:space="preserve"> </w:t>
      </w:r>
      <w:r w:rsidR="00D604A2">
        <w:rPr>
          <w:rFonts w:ascii="Times New Roman" w:hAnsi="Times New Roman"/>
        </w:rPr>
        <w:tab/>
      </w:r>
      <w:proofErr w:type="gramStart"/>
      <w:r w:rsidR="005D5D06" w:rsidRPr="00620E4D">
        <w:rPr>
          <w:rFonts w:ascii="Times New Roman" w:hAnsi="Times New Roman"/>
        </w:rPr>
        <w:t>COM(</w:t>
      </w:r>
      <w:proofErr w:type="gramEnd"/>
      <w:r w:rsidR="005D5D06" w:rsidRPr="00620E4D">
        <w:rPr>
          <w:rFonts w:ascii="Times New Roman" w:hAnsi="Times New Roman"/>
        </w:rPr>
        <w:t>2025) 840 final</w:t>
      </w:r>
      <w:r w:rsidR="0088283D" w:rsidRPr="00620E4D">
        <w:rPr>
          <w:rFonts w:ascii="Times New Roman" w:hAnsi="Times New Roman"/>
        </w:rPr>
        <w:t xml:space="preserve"> (</w:t>
      </w:r>
      <w:hyperlink r:id="rId12" w:history="1">
        <w:r w:rsidR="0088283D" w:rsidRPr="00620E4D">
          <w:rPr>
            <w:rStyle w:val="Hyperlink"/>
            <w:rFonts w:ascii="Times New Roman" w:hAnsi="Times New Roman"/>
          </w:rPr>
          <w:t>EUR-Lex - 52025PC0840 - EN - EUR-Lex</w:t>
        </w:r>
      </w:hyperlink>
      <w:r w:rsidR="0088283D" w:rsidRPr="00620E4D">
        <w:rPr>
          <w:rFonts w:ascii="Times New Roman" w:hAnsi="Times New Roman"/>
        </w:rPr>
        <w:t>), p.28.</w:t>
      </w:r>
    </w:p>
  </w:footnote>
  <w:footnote w:id="16">
    <w:p w14:paraId="5EB1EFA4" w14:textId="4B4B4D5B" w:rsidR="4417F012" w:rsidRPr="002E3DE5" w:rsidRDefault="4417F012" w:rsidP="002E3DE5">
      <w:pPr>
        <w:pStyle w:val="FootnoteText"/>
        <w:jc w:val="both"/>
        <w:rPr>
          <w:rFonts w:ascii="Times New Roman" w:hAnsi="Times New Roman"/>
        </w:rPr>
      </w:pPr>
      <w:r w:rsidRPr="002E3DE5">
        <w:rPr>
          <w:rStyle w:val="FootnoteReference"/>
          <w:rFonts w:ascii="Times New Roman" w:hAnsi="Times New Roman"/>
        </w:rPr>
        <w:footnoteRef/>
      </w:r>
      <w:r w:rsidR="00D604A2">
        <w:t xml:space="preserve"> </w:t>
      </w:r>
      <w:r w:rsidR="00D604A2">
        <w:tab/>
      </w:r>
      <w:hyperlink r:id="rId13" w:history="1">
        <w:r w:rsidR="0088283D" w:rsidRPr="002E3DE5">
          <w:rPr>
            <w:rStyle w:val="Hyperlink"/>
            <w:rFonts w:ascii="Times New Roman" w:hAnsi="Times New Roman"/>
          </w:rPr>
          <w:t>Technical advice for the review of the IORP II Directive</w:t>
        </w:r>
      </w:hyperlink>
      <w:r w:rsidR="00B74A20">
        <w:rPr>
          <w:rFonts w:ascii="Times New Roman" w:hAnsi="Times New Roman"/>
        </w:rPr>
        <w:t xml:space="preserve">, </w:t>
      </w:r>
      <w:r w:rsidRPr="002E3DE5">
        <w:rPr>
          <w:rFonts w:ascii="Times New Roman" w:hAnsi="Times New Roman"/>
        </w:rPr>
        <w:t>p.109</w:t>
      </w:r>
      <w:r w:rsidR="00B74A20">
        <w:rPr>
          <w:rFonts w:ascii="Times New Roman" w:hAnsi="Times New Roman"/>
        </w:rPr>
        <w:t>.</w:t>
      </w:r>
    </w:p>
  </w:footnote>
  <w:footnote w:id="17">
    <w:p w14:paraId="4F2449B4" w14:textId="1A5117F7" w:rsidR="00EC25C2" w:rsidRPr="00620E4D" w:rsidRDefault="00D604A2" w:rsidP="002E3DE5">
      <w:pPr>
        <w:pStyle w:val="FootnoteText"/>
        <w:jc w:val="both"/>
        <w:rPr>
          <w:rFonts w:ascii="Times New Roman" w:hAnsi="Times New Roman"/>
        </w:rPr>
      </w:pPr>
      <w:r>
        <w:rPr>
          <w:rFonts w:ascii="Times New Roman" w:hAnsi="Times New Roman"/>
        </w:rPr>
        <w:t xml:space="preserve"> </w:t>
      </w:r>
      <w:r>
        <w:rPr>
          <w:rFonts w:ascii="Times New Roman" w:hAnsi="Times New Roman"/>
        </w:rPr>
        <w:tab/>
      </w:r>
      <w:r w:rsidR="00EC25C2" w:rsidRPr="0088283D">
        <w:rPr>
          <w:rStyle w:val="FootnoteReference"/>
          <w:rFonts w:ascii="Times New Roman" w:hAnsi="Times New Roman"/>
        </w:rPr>
        <w:footnoteRef/>
      </w:r>
      <w:proofErr w:type="gramStart"/>
      <w:r w:rsidR="4417F012" w:rsidRPr="00620E4D">
        <w:rPr>
          <w:rFonts w:ascii="Times New Roman" w:hAnsi="Times New Roman"/>
        </w:rPr>
        <w:t>COM(</w:t>
      </w:r>
      <w:proofErr w:type="gramEnd"/>
      <w:r w:rsidR="4417F012" w:rsidRPr="00620E4D">
        <w:rPr>
          <w:rFonts w:ascii="Times New Roman" w:hAnsi="Times New Roman"/>
        </w:rPr>
        <w:t>2025) 842 final</w:t>
      </w:r>
      <w:r w:rsidR="0088283D" w:rsidRPr="00620E4D">
        <w:rPr>
          <w:rFonts w:ascii="Times New Roman" w:hAnsi="Times New Roman"/>
        </w:rPr>
        <w:t xml:space="preserve"> (</w:t>
      </w:r>
      <w:hyperlink r:id="rId14" w:history="1">
        <w:r w:rsidR="0088283D" w:rsidRPr="00620E4D">
          <w:rPr>
            <w:rStyle w:val="Hyperlink"/>
            <w:rFonts w:ascii="Times New Roman" w:hAnsi="Times New Roman"/>
          </w:rPr>
          <w:t>EUR-Lex - 52025PC0842 - EN - EUR-Lex</w:t>
        </w:r>
      </w:hyperlink>
      <w:r w:rsidR="0088283D" w:rsidRPr="00620E4D">
        <w:rPr>
          <w:rFonts w:ascii="Times New Roman" w:hAnsi="Times New Roman"/>
        </w:rPr>
        <w:t>)</w:t>
      </w:r>
      <w:r w:rsidR="4417F012" w:rsidRPr="00620E4D">
        <w:rPr>
          <w:rFonts w:ascii="Times New Roman" w:hAnsi="Times New Roman"/>
        </w:rPr>
        <w:t>, p.31</w:t>
      </w:r>
      <w:r w:rsidR="0088283D" w:rsidRPr="00620E4D">
        <w:rPr>
          <w:rFonts w:ascii="Times New Roman" w:hAnsi="Times New Roman"/>
        </w:rPr>
        <w:t>.</w:t>
      </w:r>
    </w:p>
  </w:footnote>
  <w:footnote w:id="18">
    <w:p w14:paraId="004EDE4E" w14:textId="42245760" w:rsidR="00EC25C2" w:rsidRPr="00620E4D" w:rsidRDefault="00EC25C2">
      <w:pPr>
        <w:pStyle w:val="FootnoteText"/>
        <w:rPr>
          <w:rFonts w:ascii="Times New Roman" w:hAnsi="Times New Roman"/>
        </w:rPr>
      </w:pPr>
      <w:r w:rsidRPr="0036445D">
        <w:rPr>
          <w:rStyle w:val="FootnoteReference"/>
          <w:rFonts w:ascii="Times New Roman" w:hAnsi="Times New Roman"/>
        </w:rPr>
        <w:footnoteRef/>
      </w:r>
      <w:r w:rsidR="00D604A2">
        <w:rPr>
          <w:rFonts w:ascii="Times New Roman" w:hAnsi="Times New Roman"/>
        </w:rPr>
        <w:t xml:space="preserve"> </w:t>
      </w:r>
      <w:r w:rsidR="00D604A2">
        <w:rPr>
          <w:rFonts w:ascii="Times New Roman" w:hAnsi="Times New Roman"/>
        </w:rPr>
        <w:tab/>
      </w:r>
      <w:proofErr w:type="gramStart"/>
      <w:r w:rsidR="00AC48B7" w:rsidRPr="00620E4D">
        <w:rPr>
          <w:rFonts w:ascii="Times New Roman" w:hAnsi="Times New Roman"/>
        </w:rPr>
        <w:t>COM(</w:t>
      </w:r>
      <w:proofErr w:type="gramEnd"/>
      <w:r w:rsidR="00AC48B7" w:rsidRPr="00620E4D">
        <w:rPr>
          <w:rFonts w:ascii="Times New Roman" w:hAnsi="Times New Roman"/>
        </w:rPr>
        <w:t>2025) 842 final</w:t>
      </w:r>
      <w:r w:rsidR="008B5763" w:rsidRPr="00620E4D">
        <w:rPr>
          <w:rFonts w:ascii="Times New Roman" w:hAnsi="Times New Roman"/>
        </w:rPr>
        <w:t xml:space="preserve"> (</w:t>
      </w:r>
      <w:hyperlink r:id="rId15" w:history="1">
        <w:r w:rsidR="008B5763" w:rsidRPr="00620E4D">
          <w:rPr>
            <w:rStyle w:val="Hyperlink"/>
            <w:rFonts w:ascii="Times New Roman" w:hAnsi="Times New Roman"/>
          </w:rPr>
          <w:t>EUR-Lex - 52025PC0842 - EN - EUR-Lex</w:t>
        </w:r>
      </w:hyperlink>
      <w:r w:rsidR="008B5763" w:rsidRPr="00620E4D">
        <w:rPr>
          <w:rFonts w:ascii="Times New Roman" w:hAnsi="Times New Roman"/>
        </w:rPr>
        <w:t>)</w:t>
      </w:r>
      <w:r w:rsidR="00BC7D58" w:rsidRPr="00620E4D">
        <w:rPr>
          <w:rFonts w:ascii="Times New Roman" w:hAnsi="Times New Roman"/>
        </w:rPr>
        <w:t>, p. 45.</w:t>
      </w:r>
    </w:p>
  </w:footnote>
  <w:footnote w:id="19">
    <w:p w14:paraId="1BF0ECB4" w14:textId="00AB591A" w:rsidR="00EC25C2" w:rsidRPr="00620E4D" w:rsidRDefault="00EC25C2">
      <w:pPr>
        <w:pStyle w:val="FootnoteText"/>
        <w:rPr>
          <w:rFonts w:ascii="Times New Roman" w:hAnsi="Times New Roman"/>
        </w:rPr>
      </w:pPr>
      <w:r w:rsidRPr="0036445D">
        <w:rPr>
          <w:rStyle w:val="FootnoteReference"/>
          <w:rFonts w:ascii="Times New Roman" w:hAnsi="Times New Roman"/>
        </w:rPr>
        <w:footnoteRef/>
      </w:r>
      <w:r w:rsidR="00D604A2">
        <w:rPr>
          <w:rFonts w:ascii="Times New Roman" w:hAnsi="Times New Roman"/>
        </w:rPr>
        <w:t xml:space="preserve"> </w:t>
      </w:r>
      <w:r w:rsidR="00D604A2">
        <w:rPr>
          <w:rFonts w:ascii="Times New Roman" w:hAnsi="Times New Roman"/>
        </w:rPr>
        <w:tab/>
      </w:r>
      <w:proofErr w:type="gramStart"/>
      <w:r w:rsidR="005119D1" w:rsidRPr="00620E4D">
        <w:rPr>
          <w:rFonts w:ascii="Times New Roman" w:hAnsi="Times New Roman"/>
        </w:rPr>
        <w:t>COM(</w:t>
      </w:r>
      <w:proofErr w:type="gramEnd"/>
      <w:r w:rsidR="005119D1" w:rsidRPr="00620E4D">
        <w:rPr>
          <w:rFonts w:ascii="Times New Roman" w:hAnsi="Times New Roman"/>
        </w:rPr>
        <w:t>2025) 840 final</w:t>
      </w:r>
      <w:r w:rsidR="008B5763" w:rsidRPr="00620E4D">
        <w:rPr>
          <w:rFonts w:ascii="Times New Roman" w:hAnsi="Times New Roman"/>
        </w:rPr>
        <w:t xml:space="preserve"> (</w:t>
      </w:r>
      <w:hyperlink r:id="rId16" w:history="1">
        <w:r w:rsidR="008B5763" w:rsidRPr="00620E4D">
          <w:rPr>
            <w:rStyle w:val="Hyperlink"/>
            <w:rFonts w:ascii="Times New Roman" w:hAnsi="Times New Roman"/>
          </w:rPr>
          <w:t>EUR-Lex - 52025PC0840 - EN - EUR-Lex</w:t>
        </w:r>
      </w:hyperlink>
      <w:r w:rsidR="008B5763" w:rsidRPr="00620E4D">
        <w:rPr>
          <w:rFonts w:ascii="Times New Roman" w:hAnsi="Times New Roman"/>
        </w:rPr>
        <w:t>)</w:t>
      </w:r>
      <w:r w:rsidR="00FA7117" w:rsidRPr="00620E4D">
        <w:rPr>
          <w:rFonts w:ascii="Times New Roman" w:hAnsi="Times New Roman"/>
        </w:rPr>
        <w:t>, p. 21.</w:t>
      </w:r>
    </w:p>
  </w:footnote>
  <w:footnote w:id="20">
    <w:p w14:paraId="45FC3707" w14:textId="7750CDB2" w:rsidR="00421F5D" w:rsidRPr="002E3DE5" w:rsidRDefault="00421F5D">
      <w:pPr>
        <w:pStyle w:val="FootnoteText"/>
        <w:rPr>
          <w:lang w:val="en"/>
        </w:rPr>
      </w:pPr>
      <w:r w:rsidRPr="0036445D">
        <w:rPr>
          <w:rStyle w:val="FootnoteReference"/>
          <w:rFonts w:ascii="Times New Roman" w:hAnsi="Times New Roman"/>
        </w:rPr>
        <w:footnoteRef/>
      </w:r>
      <w:r w:rsidR="00D604A2">
        <w:rPr>
          <w:rFonts w:ascii="Times New Roman" w:hAnsi="Times New Roman"/>
        </w:rPr>
        <w:t xml:space="preserve"> </w:t>
      </w:r>
      <w:r w:rsidR="00D604A2">
        <w:rPr>
          <w:rFonts w:ascii="Times New Roman" w:hAnsi="Times New Roman"/>
        </w:rPr>
        <w:tab/>
      </w:r>
      <w:r w:rsidRPr="0036445D">
        <w:rPr>
          <w:rFonts w:ascii="Times New Roman" w:hAnsi="Times New Roman"/>
        </w:rPr>
        <w:t>Directive (EU) 2016/97 of the European Parliament and of the Council of 20 January 2016 on insurance distribution (recast)</w:t>
      </w:r>
      <w:r w:rsidR="00CA2EF1">
        <w:rPr>
          <w:rFonts w:ascii="Times New Roman" w:hAnsi="Times New Roman"/>
        </w:rPr>
        <w:t xml:space="preserve"> (</w:t>
      </w:r>
      <w:hyperlink r:id="rId17" w:history="1">
        <w:r w:rsidR="00B74A20" w:rsidRPr="00B74A20">
          <w:rPr>
            <w:rStyle w:val="Hyperlink"/>
            <w:rFonts w:ascii="Times New Roman" w:hAnsi="Times New Roman"/>
          </w:rPr>
          <w:t>Directive - 2016/97 - EN - IDD - EUR-Lex</w:t>
        </w:r>
      </w:hyperlink>
      <w:r w:rsidR="00CA2EF1" w:rsidRPr="002E3DE5">
        <w:rPr>
          <w:rFonts w:ascii="Times New Roman" w:hAnsi="Times New Roman"/>
        </w:rPr>
        <w:t>)</w:t>
      </w:r>
      <w:r w:rsidR="00B74A20">
        <w:rPr>
          <w:rFonts w:ascii="Times New Roman" w:hAnsi="Times New Roman"/>
        </w:rPr>
        <w:t>.</w:t>
      </w:r>
      <w:r w:rsidRPr="0036445D">
        <w:rPr>
          <w:rFonts w:ascii="Times New Roman" w:hAnsi="Times New Roman"/>
        </w:rPr>
        <w:t xml:space="preserve"> </w:t>
      </w:r>
    </w:p>
  </w:footnote>
  <w:footnote w:id="21">
    <w:p w14:paraId="5B2796D9" w14:textId="20533631" w:rsidR="00EC25C2" w:rsidRPr="00620E4D" w:rsidRDefault="00EC25C2">
      <w:pPr>
        <w:pStyle w:val="FootnoteText"/>
        <w:rPr>
          <w:rFonts w:ascii="Times New Roman" w:hAnsi="Times New Roman"/>
        </w:rPr>
      </w:pPr>
      <w:r w:rsidRPr="0036445D">
        <w:rPr>
          <w:rStyle w:val="FootnoteReference"/>
          <w:rFonts w:ascii="Times New Roman" w:hAnsi="Times New Roman"/>
        </w:rPr>
        <w:footnoteRef/>
      </w:r>
      <w:r w:rsidR="00D604A2">
        <w:rPr>
          <w:rFonts w:ascii="Times New Roman" w:hAnsi="Times New Roman"/>
        </w:rPr>
        <w:t xml:space="preserve"> </w:t>
      </w:r>
      <w:r w:rsidR="00D604A2">
        <w:rPr>
          <w:rFonts w:ascii="Times New Roman" w:hAnsi="Times New Roman"/>
        </w:rPr>
        <w:tab/>
      </w:r>
      <w:proofErr w:type="gramStart"/>
      <w:r w:rsidR="005119D1" w:rsidRPr="00620E4D">
        <w:rPr>
          <w:rFonts w:ascii="Times New Roman" w:hAnsi="Times New Roman"/>
        </w:rPr>
        <w:t>COM(</w:t>
      </w:r>
      <w:proofErr w:type="gramEnd"/>
      <w:r w:rsidR="005119D1" w:rsidRPr="00620E4D">
        <w:rPr>
          <w:rFonts w:ascii="Times New Roman" w:hAnsi="Times New Roman"/>
        </w:rPr>
        <w:t>2025) 840 final</w:t>
      </w:r>
      <w:r w:rsidR="00CA2EF1" w:rsidRPr="00620E4D">
        <w:rPr>
          <w:rFonts w:ascii="Times New Roman" w:hAnsi="Times New Roman"/>
        </w:rPr>
        <w:t xml:space="preserve"> (</w:t>
      </w:r>
      <w:hyperlink r:id="rId18" w:history="1">
        <w:r w:rsidR="00CA2EF1" w:rsidRPr="00620E4D">
          <w:rPr>
            <w:rStyle w:val="Hyperlink"/>
            <w:rFonts w:ascii="Times New Roman" w:hAnsi="Times New Roman"/>
          </w:rPr>
          <w:t>EUR-Lex - 52025PC0842 - EN - EUR-Lex</w:t>
        </w:r>
      </w:hyperlink>
      <w:r w:rsidR="00CA2EF1" w:rsidRPr="00620E4D">
        <w:rPr>
          <w:rFonts w:ascii="Times New Roman" w:hAnsi="Times New Roman"/>
        </w:rPr>
        <w:t>)</w:t>
      </w:r>
      <w:r w:rsidR="005119D1" w:rsidRPr="00620E4D">
        <w:rPr>
          <w:rFonts w:ascii="Times New Roman" w:hAnsi="Times New Roman"/>
        </w:rPr>
        <w:t xml:space="preserve">, p. 28. </w:t>
      </w:r>
    </w:p>
  </w:footnote>
  <w:footnote w:id="22">
    <w:p w14:paraId="34C91CF7" w14:textId="37116AC9" w:rsidR="006F4917" w:rsidRPr="00620E4D" w:rsidRDefault="006F4917" w:rsidP="4417F012">
      <w:pPr>
        <w:pStyle w:val="FootnoteText"/>
        <w:rPr>
          <w:rFonts w:ascii="Times New Roman" w:hAnsi="Times New Roman"/>
        </w:rPr>
      </w:pPr>
      <w:r w:rsidRPr="4417F012">
        <w:rPr>
          <w:rStyle w:val="FootnoteReference"/>
          <w:rFonts w:ascii="Times New Roman" w:hAnsi="Times New Roman"/>
          <w:lang w:val="fr-FR"/>
        </w:rPr>
        <w:footnoteRef/>
      </w:r>
      <w:r w:rsidR="00D604A2">
        <w:rPr>
          <w:rFonts w:ascii="Times New Roman" w:hAnsi="Times New Roman"/>
        </w:rPr>
        <w:t xml:space="preserve"> </w:t>
      </w:r>
      <w:r w:rsidR="00D604A2">
        <w:rPr>
          <w:rFonts w:ascii="Times New Roman" w:hAnsi="Times New Roman"/>
        </w:rPr>
        <w:tab/>
      </w:r>
      <w:proofErr w:type="gramStart"/>
      <w:r w:rsidR="4417F012" w:rsidRPr="00620E4D">
        <w:rPr>
          <w:rFonts w:ascii="Times New Roman" w:hAnsi="Times New Roman"/>
        </w:rPr>
        <w:t>COM(</w:t>
      </w:r>
      <w:proofErr w:type="gramEnd"/>
      <w:r w:rsidR="4417F012" w:rsidRPr="00620E4D">
        <w:rPr>
          <w:rFonts w:ascii="Times New Roman" w:hAnsi="Times New Roman"/>
        </w:rPr>
        <w:t>2025)842 final,</w:t>
      </w:r>
      <w:r w:rsidR="00772928" w:rsidRPr="00620E4D">
        <w:rPr>
          <w:rFonts w:ascii="Times New Roman" w:hAnsi="Times New Roman"/>
        </w:rPr>
        <w:t xml:space="preserve"> (</w:t>
      </w:r>
      <w:hyperlink r:id="rId19" w:history="1">
        <w:r w:rsidR="00772928" w:rsidRPr="00620E4D">
          <w:rPr>
            <w:rStyle w:val="Hyperlink"/>
            <w:rFonts w:ascii="Times New Roman" w:hAnsi="Times New Roman"/>
          </w:rPr>
          <w:t>EUR-Lex - 52025PC0842 - EN - EUR-Lex</w:t>
        </w:r>
      </w:hyperlink>
      <w:r w:rsidR="00772928" w:rsidRPr="00620E4D">
        <w:rPr>
          <w:rFonts w:ascii="Times New Roman" w:hAnsi="Times New Roman"/>
        </w:rPr>
        <w:t>),</w:t>
      </w:r>
      <w:r w:rsidR="4417F012" w:rsidRPr="00620E4D">
        <w:rPr>
          <w:rFonts w:ascii="Times New Roman" w:hAnsi="Times New Roman"/>
        </w:rPr>
        <w:t xml:space="preserve"> p.33-35</w:t>
      </w:r>
      <w:r w:rsidR="00772928" w:rsidRPr="00620E4D">
        <w:rPr>
          <w:rFonts w:ascii="Times New Roman" w:hAnsi="Times New Roman"/>
        </w:rPr>
        <w:t>.</w:t>
      </w:r>
    </w:p>
  </w:footnote>
  <w:footnote w:id="23">
    <w:p w14:paraId="3DE7DF05" w14:textId="08C022F5" w:rsidR="00463707" w:rsidRPr="0036445D" w:rsidRDefault="00463707">
      <w:pPr>
        <w:pStyle w:val="FootnoteText"/>
        <w:rPr>
          <w:rFonts w:ascii="Times New Roman" w:hAnsi="Times New Roman"/>
        </w:rPr>
      </w:pPr>
      <w:r w:rsidRPr="0036445D">
        <w:rPr>
          <w:rStyle w:val="FootnoteReference"/>
          <w:rFonts w:ascii="Times New Roman" w:hAnsi="Times New Roman"/>
        </w:rPr>
        <w:footnoteRef/>
      </w:r>
      <w:r w:rsidR="00D604A2">
        <w:rPr>
          <w:rFonts w:ascii="Times New Roman" w:hAnsi="Times New Roman"/>
        </w:rPr>
        <w:t xml:space="preserve"> </w:t>
      </w:r>
      <w:r w:rsidR="00D604A2">
        <w:rPr>
          <w:rFonts w:ascii="Times New Roman" w:hAnsi="Times New Roman"/>
        </w:rPr>
        <w:tab/>
      </w:r>
      <w:r w:rsidR="007B37E4" w:rsidRPr="0036445D">
        <w:rPr>
          <w:rFonts w:ascii="Times New Roman" w:hAnsi="Times New Roman"/>
        </w:rPr>
        <w:t xml:space="preserve">European Court of Auditors, Special report 14/2025: Developing supplementary pensions in the EU – EU action not effective in strengthening occupational pensions and establishing a pan-European personal pension product, Publications Office of the European Union, Luxembourg, 2025, available at: </w:t>
      </w:r>
      <w:hyperlink r:id="rId20" w:history="1">
        <w:r w:rsidR="007B37E4" w:rsidRPr="0036445D">
          <w:rPr>
            <w:rStyle w:val="Hyperlink"/>
            <w:rFonts w:ascii="Times New Roman" w:hAnsi="Times New Roman"/>
          </w:rPr>
          <w:t>https://www.eca.europa.eu/ECAPublications/SR-2025-14/SR-2025-14_EN.pdf</w:t>
        </w:r>
      </w:hyperlink>
      <w:r w:rsidR="007B37E4" w:rsidRPr="0036445D">
        <w:rPr>
          <w:rFonts w:ascii="Times New Roman" w:hAnsi="Times New Roman"/>
        </w:rPr>
        <w:t xml:space="preserve">. </w:t>
      </w:r>
    </w:p>
  </w:footnote>
  <w:footnote w:id="24">
    <w:p w14:paraId="1A691C61" w14:textId="476D7BF9" w:rsidR="00A238C6" w:rsidRPr="002E3DE5" w:rsidRDefault="00A238C6">
      <w:pPr>
        <w:pStyle w:val="FootnoteText"/>
        <w:rPr>
          <w:rFonts w:ascii="Times New Roman" w:hAnsi="Times New Roman"/>
          <w:lang w:val="fr-BE"/>
        </w:rPr>
      </w:pPr>
      <w:r w:rsidRPr="0036445D">
        <w:rPr>
          <w:rStyle w:val="FootnoteReference"/>
          <w:rFonts w:ascii="Times New Roman" w:hAnsi="Times New Roman"/>
        </w:rPr>
        <w:footnoteRef/>
      </w:r>
      <w:r w:rsidR="00D604A2">
        <w:rPr>
          <w:rFonts w:ascii="Times New Roman" w:hAnsi="Times New Roman"/>
          <w:lang w:val="fr-BE"/>
        </w:rPr>
        <w:t xml:space="preserve"> </w:t>
      </w:r>
      <w:r w:rsidR="00D604A2">
        <w:rPr>
          <w:rFonts w:ascii="Times New Roman" w:hAnsi="Times New Roman"/>
          <w:lang w:val="fr-BE"/>
        </w:rPr>
        <w:tab/>
      </w:r>
      <w:proofErr w:type="gramStart"/>
      <w:r w:rsidR="2079D94A" w:rsidRPr="002E3DE5">
        <w:rPr>
          <w:rFonts w:ascii="Times New Roman" w:hAnsi="Times New Roman"/>
          <w:lang w:val="fr-BE"/>
        </w:rPr>
        <w:t>COM(</w:t>
      </w:r>
      <w:proofErr w:type="gramEnd"/>
      <w:r w:rsidR="2079D94A" w:rsidRPr="002E3DE5">
        <w:rPr>
          <w:rFonts w:ascii="Times New Roman" w:hAnsi="Times New Roman"/>
          <w:lang w:val="fr-BE"/>
        </w:rPr>
        <w:t xml:space="preserve">2025)681 final </w:t>
      </w:r>
      <w:r w:rsidR="00772928" w:rsidRPr="002E3DE5">
        <w:rPr>
          <w:rFonts w:ascii="Times New Roman" w:hAnsi="Times New Roman"/>
          <w:lang w:val="fr-BE"/>
        </w:rPr>
        <w:t>(</w:t>
      </w:r>
      <w:hyperlink r:id="rId21" w:history="1">
        <w:r w:rsidR="00772928" w:rsidRPr="002E3DE5">
          <w:rPr>
            <w:rStyle w:val="Hyperlink"/>
            <w:rFonts w:ascii="Times New Roman" w:hAnsi="Times New Roman"/>
            <w:lang w:val="fr-BE"/>
          </w:rPr>
          <w:t>EUR-Lex - 52025DC0681 - EN - EUR-Lex</w:t>
        </w:r>
      </w:hyperlink>
      <w:r w:rsidR="00772928" w:rsidRPr="002E3DE5">
        <w:rPr>
          <w:rFonts w:ascii="Times New Roman" w:hAnsi="Times New Roman"/>
          <w:lang w:val="fr-BE"/>
        </w:rPr>
        <w:t>).</w:t>
      </w:r>
    </w:p>
  </w:footnote>
  <w:footnote w:id="25">
    <w:p w14:paraId="5486B3F0" w14:textId="7FB2EAD2" w:rsidR="4417F012" w:rsidRPr="002E3DE5" w:rsidRDefault="4417F012" w:rsidP="4417F012">
      <w:pPr>
        <w:pStyle w:val="FootnoteText"/>
        <w:rPr>
          <w:rFonts w:ascii="Times New Roman" w:hAnsi="Times New Roman"/>
          <w:lang w:val="fr-BE"/>
        </w:rPr>
      </w:pPr>
      <w:r w:rsidRPr="4417F012">
        <w:rPr>
          <w:rStyle w:val="FootnoteReference"/>
        </w:rPr>
        <w:footnoteRef/>
      </w:r>
      <w:r w:rsidR="00D604A2">
        <w:rPr>
          <w:rFonts w:ascii="Times New Roman" w:hAnsi="Times New Roman"/>
          <w:lang w:val="fr-BE"/>
        </w:rPr>
        <w:t xml:space="preserve"> </w:t>
      </w:r>
      <w:r w:rsidR="00D604A2">
        <w:rPr>
          <w:rFonts w:ascii="Times New Roman" w:hAnsi="Times New Roman"/>
          <w:lang w:val="fr-BE"/>
        </w:rPr>
        <w:tab/>
      </w:r>
      <w:proofErr w:type="gramStart"/>
      <w:r w:rsidRPr="002E3DE5">
        <w:rPr>
          <w:rFonts w:ascii="Times New Roman" w:hAnsi="Times New Roman"/>
          <w:lang w:val="fr-BE"/>
        </w:rPr>
        <w:t>COM(</w:t>
      </w:r>
      <w:proofErr w:type="gramEnd"/>
      <w:r w:rsidRPr="002E3DE5">
        <w:rPr>
          <w:rFonts w:ascii="Times New Roman" w:hAnsi="Times New Roman"/>
          <w:lang w:val="fr-BE"/>
        </w:rPr>
        <w:t>2025)840 final</w:t>
      </w:r>
      <w:r w:rsidR="00772928" w:rsidRPr="002E3DE5">
        <w:rPr>
          <w:rFonts w:ascii="Times New Roman" w:hAnsi="Times New Roman"/>
          <w:lang w:val="fr-BE"/>
        </w:rPr>
        <w:t xml:space="preserve"> (</w:t>
      </w:r>
      <w:r w:rsidR="00772928">
        <w:fldChar w:fldCharType="begin"/>
      </w:r>
      <w:r w:rsidR="00772928" w:rsidRPr="00040A98">
        <w:rPr>
          <w:lang w:val="fr-BE"/>
        </w:rPr>
        <w:instrText>HYPERLINK "https://eur-lex.europa.eu/legal-content/EN/TXT/?uri=CELEX:52025PC0842"</w:instrText>
      </w:r>
      <w:r w:rsidR="00772928">
        <w:fldChar w:fldCharType="separate"/>
      </w:r>
      <w:r w:rsidR="00772928" w:rsidRPr="002E3DE5">
        <w:rPr>
          <w:rStyle w:val="Hyperlink"/>
          <w:rFonts w:ascii="Times New Roman" w:hAnsi="Times New Roman"/>
          <w:lang w:val="fr-BE"/>
        </w:rPr>
        <w:t>EUR-Lex - 52025PC0842 - EN - EUR-Lex</w:t>
      </w:r>
      <w:r w:rsidR="00772928">
        <w:fldChar w:fldCharType="end"/>
      </w:r>
      <w:r w:rsidR="00772928" w:rsidRPr="002E3DE5">
        <w:rPr>
          <w:rFonts w:ascii="Times New Roman" w:hAnsi="Times New Roman"/>
          <w:lang w:val="fr-BE"/>
        </w:rPr>
        <w:t>).</w:t>
      </w:r>
    </w:p>
  </w:footnote>
  <w:footnote w:id="26">
    <w:p w14:paraId="7F0D064B" w14:textId="79ED36B4" w:rsidR="4417F012" w:rsidRPr="002E3DE5" w:rsidRDefault="4417F012" w:rsidP="4417F012">
      <w:pPr>
        <w:pStyle w:val="FootnoteText"/>
        <w:rPr>
          <w:rFonts w:ascii="Times New Roman" w:hAnsi="Times New Roman"/>
          <w:lang w:val="fr-BE"/>
        </w:rPr>
      </w:pPr>
      <w:r w:rsidRPr="4417F012">
        <w:rPr>
          <w:rStyle w:val="FootnoteReference"/>
        </w:rPr>
        <w:footnoteRef/>
      </w:r>
      <w:r w:rsidR="00D604A2">
        <w:rPr>
          <w:rFonts w:ascii="Times New Roman" w:hAnsi="Times New Roman"/>
          <w:lang w:val="fr-BE"/>
        </w:rPr>
        <w:t xml:space="preserve"> </w:t>
      </w:r>
      <w:r w:rsidR="00D604A2">
        <w:rPr>
          <w:rFonts w:ascii="Times New Roman" w:hAnsi="Times New Roman"/>
          <w:lang w:val="fr-BE"/>
        </w:rPr>
        <w:tab/>
      </w:r>
      <w:proofErr w:type="gramStart"/>
      <w:r w:rsidRPr="002E3DE5">
        <w:rPr>
          <w:rFonts w:ascii="Times New Roman" w:hAnsi="Times New Roman"/>
          <w:lang w:val="fr-BE"/>
        </w:rPr>
        <w:t>COM(</w:t>
      </w:r>
      <w:proofErr w:type="gramEnd"/>
      <w:r w:rsidRPr="002E3DE5">
        <w:rPr>
          <w:rFonts w:ascii="Times New Roman" w:hAnsi="Times New Roman"/>
          <w:lang w:val="fr-BE"/>
        </w:rPr>
        <w:t>2025)842 final,</w:t>
      </w:r>
      <w:r w:rsidR="00772928" w:rsidRPr="002E3DE5">
        <w:rPr>
          <w:rFonts w:ascii="Times New Roman" w:hAnsi="Times New Roman"/>
          <w:lang w:val="fr-BE"/>
        </w:rPr>
        <w:t xml:space="preserve"> (</w:t>
      </w:r>
      <w:r w:rsidR="00772928">
        <w:fldChar w:fldCharType="begin"/>
      </w:r>
      <w:r w:rsidR="00772928" w:rsidRPr="00040A98">
        <w:rPr>
          <w:lang w:val="fr-BE"/>
        </w:rPr>
        <w:instrText>HYPERLINK "https://eur-lex.europa.eu/legal-content/EN/TXT/?uri=CELEX:52025PC0842"</w:instrText>
      </w:r>
      <w:r w:rsidR="00772928">
        <w:fldChar w:fldCharType="separate"/>
      </w:r>
      <w:r w:rsidR="00772928" w:rsidRPr="002E3DE5">
        <w:rPr>
          <w:rStyle w:val="Hyperlink"/>
          <w:rFonts w:ascii="Times New Roman" w:hAnsi="Times New Roman"/>
          <w:lang w:val="fr-BE"/>
        </w:rPr>
        <w:t>EUR-Lex - 52025PC0842 - EN - EUR-Lex</w:t>
      </w:r>
      <w:r w:rsidR="00772928">
        <w:fldChar w:fldCharType="end"/>
      </w:r>
      <w:r w:rsidR="00772928" w:rsidRPr="002E3DE5">
        <w:rPr>
          <w:rFonts w:ascii="Times New Roman" w:hAnsi="Times New Roman"/>
          <w:lang w:val="fr-BE"/>
        </w:rPr>
        <w:t>),</w:t>
      </w:r>
      <w:r w:rsidRPr="002E3DE5">
        <w:rPr>
          <w:rFonts w:ascii="Times New Roman" w:hAnsi="Times New Roman"/>
          <w:lang w:val="fr-BE"/>
        </w:rPr>
        <w:t xml:space="preserve"> p.34</w:t>
      </w:r>
      <w:r w:rsidR="00772928" w:rsidRPr="002E3DE5">
        <w:rPr>
          <w:rFonts w:ascii="Times New Roman" w:hAnsi="Times New Roman"/>
          <w:lang w:val="fr-BE"/>
        </w:rPr>
        <w:t>.</w:t>
      </w:r>
    </w:p>
  </w:footnote>
  <w:footnote w:id="27">
    <w:p w14:paraId="2917D768" w14:textId="080A2262" w:rsidR="00820981" w:rsidRPr="002E3DE5" w:rsidRDefault="00820981" w:rsidP="4417F012">
      <w:pPr>
        <w:pStyle w:val="FootnoteText"/>
        <w:rPr>
          <w:rFonts w:ascii="Times New Roman" w:hAnsi="Times New Roman"/>
          <w:lang w:val="fr-BE"/>
        </w:rPr>
      </w:pPr>
      <w:r w:rsidRPr="4417F012">
        <w:rPr>
          <w:rStyle w:val="FootnoteReference"/>
          <w:rFonts w:ascii="Times New Roman" w:hAnsi="Times New Roman"/>
          <w:lang w:val="pt-BR"/>
        </w:rPr>
        <w:footnoteRef/>
      </w:r>
      <w:r w:rsidR="00D604A2">
        <w:rPr>
          <w:rFonts w:ascii="Times New Roman" w:hAnsi="Times New Roman"/>
          <w:lang w:val="fr-BE"/>
        </w:rPr>
        <w:t xml:space="preserve"> </w:t>
      </w:r>
      <w:r w:rsidR="00D604A2">
        <w:rPr>
          <w:rFonts w:ascii="Times New Roman" w:hAnsi="Times New Roman"/>
          <w:lang w:val="fr-BE"/>
        </w:rPr>
        <w:tab/>
      </w:r>
      <w:proofErr w:type="gramStart"/>
      <w:r w:rsidR="4417F012" w:rsidRPr="002E3DE5">
        <w:rPr>
          <w:rFonts w:ascii="Times New Roman" w:hAnsi="Times New Roman"/>
          <w:lang w:val="fr-BE"/>
        </w:rPr>
        <w:t>COM(</w:t>
      </w:r>
      <w:proofErr w:type="gramEnd"/>
      <w:r w:rsidR="4417F012" w:rsidRPr="002E3DE5">
        <w:rPr>
          <w:rFonts w:ascii="Times New Roman" w:hAnsi="Times New Roman"/>
          <w:lang w:val="fr-BE"/>
        </w:rPr>
        <w:t>2025)840 final,</w:t>
      </w:r>
      <w:r w:rsidR="00772928" w:rsidRPr="002E3DE5">
        <w:rPr>
          <w:rFonts w:ascii="Times New Roman" w:hAnsi="Times New Roman"/>
          <w:lang w:val="fr-BE"/>
        </w:rPr>
        <w:t xml:space="preserve"> (</w:t>
      </w:r>
      <w:hyperlink r:id="rId22" w:history="1">
        <w:r w:rsidR="00772928" w:rsidRPr="002E3DE5">
          <w:rPr>
            <w:rStyle w:val="Hyperlink"/>
            <w:rFonts w:ascii="Times New Roman" w:hAnsi="Times New Roman"/>
            <w:lang w:val="fr-BE"/>
          </w:rPr>
          <w:t>EUR-Lex - 52025PC0842 - EN - EUR-Lex</w:t>
        </w:r>
      </w:hyperlink>
      <w:r w:rsidR="00772928" w:rsidRPr="002E3DE5">
        <w:rPr>
          <w:rFonts w:ascii="Times New Roman" w:hAnsi="Times New Roman"/>
          <w:lang w:val="fr-BE"/>
        </w:rPr>
        <w:t>),</w:t>
      </w:r>
      <w:r w:rsidR="4417F012" w:rsidRPr="002E3DE5">
        <w:rPr>
          <w:rFonts w:ascii="Times New Roman" w:hAnsi="Times New Roman"/>
          <w:lang w:val="fr-BE"/>
        </w:rPr>
        <w:t xml:space="preserve"> p. 21. </w:t>
      </w:r>
    </w:p>
  </w:footnote>
  <w:footnote w:id="28">
    <w:p w14:paraId="091EBA9D" w14:textId="11150F30" w:rsidR="4417F012" w:rsidRPr="006518BD" w:rsidRDefault="4417F012" w:rsidP="4417F012">
      <w:pPr>
        <w:pStyle w:val="FootnoteText"/>
        <w:rPr>
          <w:rFonts w:ascii="Times New Roman" w:hAnsi="Times New Roman"/>
          <w:lang w:val="fr-FR"/>
        </w:rPr>
      </w:pPr>
      <w:r w:rsidRPr="4417F012">
        <w:rPr>
          <w:rStyle w:val="FootnoteReference"/>
        </w:rPr>
        <w:footnoteRef/>
      </w:r>
      <w:r w:rsidR="00D604A2">
        <w:rPr>
          <w:rFonts w:ascii="Times New Roman" w:hAnsi="Times New Roman"/>
          <w:lang w:val="fr-FR"/>
        </w:rPr>
        <w:t xml:space="preserve"> </w:t>
      </w:r>
      <w:r w:rsidR="00D604A2">
        <w:rPr>
          <w:rFonts w:ascii="Times New Roman" w:hAnsi="Times New Roman"/>
          <w:lang w:val="fr-FR"/>
        </w:rPr>
        <w:tab/>
      </w:r>
      <w:proofErr w:type="gramStart"/>
      <w:r w:rsidRPr="006518BD">
        <w:rPr>
          <w:rFonts w:ascii="Times New Roman" w:hAnsi="Times New Roman"/>
          <w:lang w:val="fr-FR"/>
        </w:rPr>
        <w:t>COM(</w:t>
      </w:r>
      <w:proofErr w:type="gramEnd"/>
      <w:r w:rsidRPr="006518BD">
        <w:rPr>
          <w:rFonts w:ascii="Times New Roman" w:hAnsi="Times New Roman"/>
          <w:lang w:val="fr-FR"/>
        </w:rPr>
        <w:t xml:space="preserve">2025)840 final, </w:t>
      </w:r>
      <w:r w:rsidR="00772928" w:rsidRPr="006518BD">
        <w:rPr>
          <w:rFonts w:ascii="Times New Roman" w:hAnsi="Times New Roman"/>
          <w:lang w:val="fr-FR"/>
        </w:rPr>
        <w:t>(</w:t>
      </w:r>
      <w:r w:rsidR="00772928">
        <w:fldChar w:fldCharType="begin"/>
      </w:r>
      <w:r w:rsidR="00772928" w:rsidRPr="00040A98">
        <w:rPr>
          <w:lang w:val="fr-BE"/>
        </w:rPr>
        <w:instrText>HYPERLINK "https://eur-lex.europa.eu/legal-content/EN/TXT/?uri=CELEX:52025PC0842"</w:instrText>
      </w:r>
      <w:r w:rsidR="00772928">
        <w:fldChar w:fldCharType="separate"/>
      </w:r>
      <w:r w:rsidR="00772928" w:rsidRPr="006518BD">
        <w:rPr>
          <w:rStyle w:val="Hyperlink"/>
          <w:rFonts w:ascii="Times New Roman" w:hAnsi="Times New Roman"/>
          <w:lang w:val="fr-FR"/>
        </w:rPr>
        <w:t>EUR-Lex - 52025PC0842 - EN - EUR-Lex</w:t>
      </w:r>
      <w:r w:rsidR="00772928">
        <w:fldChar w:fldCharType="end"/>
      </w:r>
      <w:r w:rsidR="00772928" w:rsidRPr="006518BD">
        <w:rPr>
          <w:rFonts w:ascii="Times New Roman" w:hAnsi="Times New Roman"/>
          <w:lang w:val="fr-FR"/>
        </w:rPr>
        <w:t xml:space="preserve">), </w:t>
      </w:r>
      <w:r w:rsidRPr="006518BD">
        <w:rPr>
          <w:rFonts w:ascii="Times New Roman" w:hAnsi="Times New Roman"/>
          <w:lang w:val="fr-FR"/>
        </w:rPr>
        <w:t>p.27</w:t>
      </w:r>
      <w:r w:rsidR="00772928" w:rsidRPr="006518BD">
        <w:rPr>
          <w:rFonts w:ascii="Times New Roman" w:hAnsi="Times New Roman"/>
          <w:lang w:val="fr-FR"/>
        </w:rPr>
        <w:t>.</w:t>
      </w:r>
    </w:p>
  </w:footnote>
  <w:footnote w:id="29">
    <w:p w14:paraId="4D9C339C" w14:textId="21E670F0" w:rsidR="4417F012" w:rsidRPr="006518BD" w:rsidRDefault="4417F012" w:rsidP="002E3DE5">
      <w:pPr>
        <w:pStyle w:val="FootnoteText"/>
        <w:widowControl w:val="0"/>
        <w:jc w:val="both"/>
        <w:rPr>
          <w:rFonts w:ascii="Times New Roman" w:hAnsi="Times New Roman"/>
          <w:lang w:val="fr-FR"/>
        </w:rPr>
      </w:pPr>
      <w:r w:rsidRPr="002E3DE5">
        <w:rPr>
          <w:rStyle w:val="FootnoteReference"/>
          <w:rFonts w:ascii="Times New Roman" w:hAnsi="Times New Roman"/>
        </w:rPr>
        <w:footnoteRef/>
      </w:r>
      <w:r w:rsidR="00D604A2">
        <w:rPr>
          <w:rFonts w:ascii="Times New Roman" w:hAnsi="Times New Roman"/>
          <w:lang w:val="fr-FR"/>
        </w:rPr>
        <w:t xml:space="preserve"> </w:t>
      </w:r>
      <w:r w:rsidR="00D604A2">
        <w:rPr>
          <w:rFonts w:ascii="Times New Roman" w:hAnsi="Times New Roman"/>
          <w:lang w:val="fr-FR"/>
        </w:rPr>
        <w:tab/>
      </w:r>
      <w:proofErr w:type="gramStart"/>
      <w:r w:rsidRPr="006518BD">
        <w:rPr>
          <w:rFonts w:ascii="Times New Roman" w:hAnsi="Times New Roman"/>
          <w:lang w:val="fr-FR"/>
        </w:rPr>
        <w:t>COM(</w:t>
      </w:r>
      <w:proofErr w:type="gramEnd"/>
      <w:r w:rsidRPr="006518BD">
        <w:rPr>
          <w:rFonts w:ascii="Times New Roman" w:hAnsi="Times New Roman"/>
          <w:lang w:val="fr-FR"/>
        </w:rPr>
        <w:t xml:space="preserve">2025)840 final, </w:t>
      </w:r>
      <w:r w:rsidR="00772928" w:rsidRPr="006518BD">
        <w:rPr>
          <w:rFonts w:ascii="Times New Roman" w:hAnsi="Times New Roman"/>
          <w:lang w:val="fr-FR"/>
        </w:rPr>
        <w:t>(</w:t>
      </w:r>
      <w:hyperlink r:id="rId23" w:history="1">
        <w:r w:rsidR="00772928" w:rsidRPr="006518BD">
          <w:rPr>
            <w:rStyle w:val="Hyperlink"/>
            <w:rFonts w:ascii="Times New Roman" w:hAnsi="Times New Roman"/>
            <w:lang w:val="fr-FR"/>
          </w:rPr>
          <w:t>EUR-Lex - 52025PC0842 - EN - EUR-Lex</w:t>
        </w:r>
      </w:hyperlink>
      <w:r w:rsidR="00772928" w:rsidRPr="006518BD">
        <w:rPr>
          <w:rFonts w:ascii="Times New Roman" w:hAnsi="Times New Roman"/>
          <w:lang w:val="fr-FR"/>
        </w:rPr>
        <w:t>)</w:t>
      </w:r>
      <w:r w:rsidR="00B74A20" w:rsidRPr="006518BD">
        <w:rPr>
          <w:rFonts w:ascii="Times New Roman" w:hAnsi="Times New Roman"/>
          <w:lang w:val="fr-FR"/>
        </w:rPr>
        <w:t xml:space="preserve">, </w:t>
      </w:r>
      <w:r w:rsidRPr="006518BD">
        <w:rPr>
          <w:rFonts w:ascii="Times New Roman" w:hAnsi="Times New Roman"/>
          <w:lang w:val="fr-FR"/>
        </w:rPr>
        <w:t>p</w:t>
      </w:r>
      <w:r w:rsidR="00B74A20" w:rsidRPr="006518BD">
        <w:rPr>
          <w:rFonts w:ascii="Times New Roman" w:hAnsi="Times New Roman"/>
          <w:lang w:val="fr-FR"/>
        </w:rPr>
        <w:t>.</w:t>
      </w:r>
      <w:r w:rsidRPr="006518BD">
        <w:rPr>
          <w:rFonts w:ascii="Times New Roman" w:hAnsi="Times New Roman"/>
          <w:lang w:val="fr-FR"/>
        </w:rPr>
        <w:t>28</w:t>
      </w:r>
      <w:r w:rsidR="00772928" w:rsidRPr="006518BD">
        <w:rPr>
          <w:rFonts w:ascii="Times New Roman" w:hAnsi="Times New Roman"/>
          <w:lang w:val="fr-FR"/>
        </w:rPr>
        <w:t>.</w:t>
      </w:r>
    </w:p>
  </w:footnote>
  <w:footnote w:id="30">
    <w:p w14:paraId="24E091CA" w14:textId="7CA669B7" w:rsidR="4417F012" w:rsidRPr="00620E4D" w:rsidRDefault="4417F012" w:rsidP="002E3DE5">
      <w:pPr>
        <w:pStyle w:val="FootnoteText"/>
        <w:widowControl w:val="0"/>
        <w:rPr>
          <w:rFonts w:ascii="Times New Roman" w:hAnsi="Times New Roman"/>
          <w:lang w:val="fr-BE"/>
        </w:rPr>
      </w:pPr>
      <w:r w:rsidRPr="002E3DE5">
        <w:rPr>
          <w:rStyle w:val="FootnoteReference"/>
          <w:rFonts w:ascii="Times New Roman" w:hAnsi="Times New Roman"/>
        </w:rPr>
        <w:footnoteRef/>
      </w:r>
      <w:r w:rsidR="00D604A2">
        <w:rPr>
          <w:rFonts w:ascii="Times New Roman" w:hAnsi="Times New Roman"/>
          <w:lang w:val="fr-BE"/>
        </w:rPr>
        <w:t xml:space="preserve"> </w:t>
      </w:r>
      <w:r w:rsidR="00D604A2">
        <w:rPr>
          <w:rFonts w:ascii="Times New Roman" w:hAnsi="Times New Roman"/>
          <w:lang w:val="fr-BE"/>
        </w:rPr>
        <w:tab/>
      </w:r>
      <w:r w:rsidR="2079D94A" w:rsidRPr="00620E4D">
        <w:rPr>
          <w:rFonts w:ascii="Times New Roman" w:hAnsi="Times New Roman"/>
          <w:lang w:val="fr-BE"/>
        </w:rPr>
        <w:t>Directive (EU) 2016/2341</w:t>
      </w:r>
      <w:r w:rsidR="00772928" w:rsidRPr="00620E4D">
        <w:rPr>
          <w:rFonts w:ascii="Times New Roman" w:hAnsi="Times New Roman"/>
          <w:lang w:val="fr-BE"/>
        </w:rPr>
        <w:t xml:space="preserve"> on the </w:t>
      </w:r>
      <w:proofErr w:type="spellStart"/>
      <w:r w:rsidR="00772928" w:rsidRPr="00620E4D">
        <w:rPr>
          <w:rFonts w:ascii="Times New Roman" w:hAnsi="Times New Roman"/>
          <w:lang w:val="fr-BE"/>
        </w:rPr>
        <w:t>activities</w:t>
      </w:r>
      <w:proofErr w:type="spellEnd"/>
      <w:r w:rsidR="00772928" w:rsidRPr="00620E4D">
        <w:rPr>
          <w:rFonts w:ascii="Times New Roman" w:hAnsi="Times New Roman"/>
          <w:lang w:val="fr-BE"/>
        </w:rPr>
        <w:t xml:space="preserve"> and supervision of institutions for </w:t>
      </w:r>
      <w:proofErr w:type="spellStart"/>
      <w:r w:rsidR="00772928" w:rsidRPr="00620E4D">
        <w:rPr>
          <w:rFonts w:ascii="Times New Roman" w:hAnsi="Times New Roman"/>
          <w:lang w:val="fr-BE"/>
        </w:rPr>
        <w:t>occupational</w:t>
      </w:r>
      <w:proofErr w:type="spellEnd"/>
      <w:r w:rsidR="00772928" w:rsidRPr="00620E4D">
        <w:rPr>
          <w:rFonts w:ascii="Times New Roman" w:hAnsi="Times New Roman"/>
          <w:lang w:val="fr-BE"/>
        </w:rPr>
        <w:t xml:space="preserve"> retirement provision (</w:t>
      </w:r>
      <w:proofErr w:type="spellStart"/>
      <w:r w:rsidR="00772928" w:rsidRPr="00620E4D">
        <w:rPr>
          <w:rFonts w:ascii="Times New Roman" w:hAnsi="Times New Roman"/>
          <w:lang w:val="fr-BE"/>
        </w:rPr>
        <w:t>IORPs</w:t>
      </w:r>
      <w:proofErr w:type="spellEnd"/>
      <w:r w:rsidR="00772928" w:rsidRPr="00620E4D">
        <w:rPr>
          <w:rFonts w:ascii="Times New Roman" w:hAnsi="Times New Roman"/>
          <w:lang w:val="fr-BE"/>
        </w:rPr>
        <w:t>)</w:t>
      </w:r>
      <w:r w:rsidR="2079D94A" w:rsidRPr="00620E4D">
        <w:rPr>
          <w:rFonts w:ascii="Times New Roman" w:hAnsi="Times New Roman"/>
          <w:lang w:val="fr-BE"/>
        </w:rPr>
        <w:t>, p.17</w:t>
      </w:r>
      <w:r w:rsidR="00772928" w:rsidRPr="00620E4D">
        <w:rPr>
          <w:rFonts w:ascii="Times New Roman" w:hAnsi="Times New Roman"/>
          <w:lang w:val="fr-BE"/>
        </w:rPr>
        <w:t>, (</w:t>
      </w:r>
      <w:r w:rsidR="00772928">
        <w:fldChar w:fldCharType="begin"/>
      </w:r>
      <w:r w:rsidR="00772928" w:rsidRPr="00040A98">
        <w:rPr>
          <w:lang w:val="fr-BE"/>
        </w:rPr>
        <w:instrText>HYPERLINK "http://data.europa.eu/eli/dir/2016/2341/oj"</w:instrText>
      </w:r>
      <w:r w:rsidR="00772928">
        <w:fldChar w:fldCharType="separate"/>
      </w:r>
      <w:r w:rsidR="00772928" w:rsidRPr="00620E4D">
        <w:rPr>
          <w:rStyle w:val="Hyperlink"/>
          <w:rFonts w:ascii="Times New Roman" w:hAnsi="Times New Roman"/>
          <w:lang w:val="fr-BE"/>
        </w:rPr>
        <w:t>http://data.europa.eu/eli/dir/2016/2341/oj</w:t>
      </w:r>
      <w:r w:rsidR="00772928">
        <w:fldChar w:fldCharType="end"/>
      </w:r>
      <w:r w:rsidR="00772928" w:rsidRPr="00620E4D">
        <w:rPr>
          <w:rFonts w:ascii="Times New Roman" w:hAnsi="Times New Roman"/>
          <w:lang w:val="fr-BE"/>
        </w:rPr>
        <w:t>).</w:t>
      </w:r>
    </w:p>
    <w:p w14:paraId="425564F9" w14:textId="0276F277" w:rsidR="4417F012" w:rsidRPr="00620E4D" w:rsidRDefault="4417F012" w:rsidP="002E3DE5">
      <w:pPr>
        <w:pStyle w:val="FootnoteText"/>
        <w:widowControl w:val="0"/>
        <w:rPr>
          <w:rFonts w:ascii="Times New Roman" w:hAnsi="Times New Roman"/>
          <w:sz w:val="2"/>
          <w:szCs w:val="2"/>
          <w:lang w:val="fr-BE"/>
        </w:rPr>
      </w:pPr>
    </w:p>
  </w:footnote>
  <w:footnote w:id="31">
    <w:p w14:paraId="4A4DABE7" w14:textId="3857F944" w:rsidR="4417F012" w:rsidRDefault="4417F012" w:rsidP="4417F012">
      <w:pPr>
        <w:pStyle w:val="FootnoteText"/>
        <w:rPr>
          <w:rFonts w:ascii="Times New Roman" w:hAnsi="Times New Roman"/>
        </w:rPr>
      </w:pPr>
      <w:r w:rsidRPr="4417F012">
        <w:rPr>
          <w:rStyle w:val="FootnoteReference"/>
        </w:rPr>
        <w:footnoteRef/>
      </w:r>
      <w:r w:rsidR="00D604A2">
        <w:rPr>
          <w:rFonts w:ascii="Times New Roman" w:hAnsi="Times New Roman"/>
        </w:rPr>
        <w:t xml:space="preserve"> </w:t>
      </w:r>
      <w:r w:rsidR="00D604A2">
        <w:rPr>
          <w:rFonts w:ascii="Times New Roman" w:hAnsi="Times New Roman"/>
        </w:rPr>
        <w:tab/>
      </w:r>
      <w:r w:rsidR="6E3B6084" w:rsidRPr="4417F012">
        <w:rPr>
          <w:rFonts w:ascii="Times New Roman" w:hAnsi="Times New Roman"/>
        </w:rPr>
        <w:t xml:space="preserve">Directive (EU) 2016/97 of the European Parliament and of the Council of 20 January 2016 on insurance distribution (recast) </w:t>
      </w:r>
      <w:r w:rsidR="00B74A20">
        <w:rPr>
          <w:rFonts w:ascii="Times New Roman" w:hAnsi="Times New Roman"/>
        </w:rPr>
        <w:t>(</w:t>
      </w:r>
      <w:hyperlink r:id="rId24" w:history="1">
        <w:r w:rsidR="00B74A20" w:rsidRPr="00B74A20">
          <w:rPr>
            <w:rStyle w:val="Hyperlink"/>
            <w:rFonts w:ascii="Times New Roman" w:hAnsi="Times New Roman"/>
          </w:rPr>
          <w:t>Directive - 2016/97 - EN - IDD - EUR-Lex</w:t>
        </w:r>
      </w:hyperlink>
      <w:r w:rsidR="6E3B6084" w:rsidRPr="4417F012">
        <w:rPr>
          <w:rFonts w:ascii="Times New Roman" w:hAnsi="Times New Roman"/>
        </w:rPr>
        <w:t>)</w:t>
      </w:r>
      <w:r w:rsidR="6E3B6084" w:rsidRPr="6E3B6084">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16BD6" w14:textId="77777777" w:rsidR="003600AA" w:rsidRDefault="003600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95C9F" w14:textId="77777777" w:rsidR="00260B2E" w:rsidRDefault="00260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5F662" w14:textId="77777777" w:rsidR="003600AA" w:rsidRDefault="003600AA">
    <w:pPr>
      <w:pStyle w:val="Header"/>
    </w:pPr>
  </w:p>
</w:hdr>
</file>

<file path=word/intelligence2.xml><?xml version="1.0" encoding="utf-8"?>
<int2:intelligence xmlns:int2="http://schemas.microsoft.com/office/intelligence/2020/intelligence" xmlns:oel="http://schemas.microsoft.com/office/2019/extlst">
  <int2:observations>
    <int2:textHash int2:hashCode="rXYDujI8r1JO0w" int2:id="2qYfC92K">
      <int2:state int2:value="Rejected" int2:type="spell"/>
    </int2:textHash>
    <int2:bookmark int2:bookmarkName="_Int_vM5oGa6j" int2:invalidationBookmarkName="" int2:hashCode="L4+sZvzJOmY4IO" int2:id="KQEDOUj5">
      <int2:state int2:value="Rejected" int2:type="gram"/>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LW_DocType" w:val="NORMAL"/>
  </w:docVars>
  <w:rsids>
    <w:rsidRoot w:val="00077C4F"/>
    <w:rsid w:val="00000D7A"/>
    <w:rsid w:val="0000719D"/>
    <w:rsid w:val="00012A37"/>
    <w:rsid w:val="00017191"/>
    <w:rsid w:val="000203F1"/>
    <w:rsid w:val="00024752"/>
    <w:rsid w:val="00040A98"/>
    <w:rsid w:val="00044BDE"/>
    <w:rsid w:val="00046515"/>
    <w:rsid w:val="00046B15"/>
    <w:rsid w:val="00050DC7"/>
    <w:rsid w:val="00056FA3"/>
    <w:rsid w:val="00062781"/>
    <w:rsid w:val="0007030A"/>
    <w:rsid w:val="00072982"/>
    <w:rsid w:val="00076109"/>
    <w:rsid w:val="00077C4F"/>
    <w:rsid w:val="00084366"/>
    <w:rsid w:val="00090092"/>
    <w:rsid w:val="00090DC4"/>
    <w:rsid w:val="000A4D38"/>
    <w:rsid w:val="000B4272"/>
    <w:rsid w:val="000C1BEE"/>
    <w:rsid w:val="000C732E"/>
    <w:rsid w:val="000C78F9"/>
    <w:rsid w:val="000D4430"/>
    <w:rsid w:val="000D7729"/>
    <w:rsid w:val="000E0561"/>
    <w:rsid w:val="000E62FD"/>
    <w:rsid w:val="000F0274"/>
    <w:rsid w:val="000F5FD8"/>
    <w:rsid w:val="00106F9A"/>
    <w:rsid w:val="00114834"/>
    <w:rsid w:val="00114B1E"/>
    <w:rsid w:val="001167C0"/>
    <w:rsid w:val="001329E0"/>
    <w:rsid w:val="00135C2A"/>
    <w:rsid w:val="00140222"/>
    <w:rsid w:val="00142A3F"/>
    <w:rsid w:val="00153684"/>
    <w:rsid w:val="00155B52"/>
    <w:rsid w:val="00160471"/>
    <w:rsid w:val="001627CE"/>
    <w:rsid w:val="0017357F"/>
    <w:rsid w:val="001841D1"/>
    <w:rsid w:val="00193B82"/>
    <w:rsid w:val="00195629"/>
    <w:rsid w:val="001A4A10"/>
    <w:rsid w:val="001B0E0B"/>
    <w:rsid w:val="001C1C0C"/>
    <w:rsid w:val="001C3676"/>
    <w:rsid w:val="001C4138"/>
    <w:rsid w:val="001D3403"/>
    <w:rsid w:val="001D59BF"/>
    <w:rsid w:val="001E28B9"/>
    <w:rsid w:val="001E30EF"/>
    <w:rsid w:val="001F2EC6"/>
    <w:rsid w:val="001F65D0"/>
    <w:rsid w:val="002044C4"/>
    <w:rsid w:val="00205371"/>
    <w:rsid w:val="0020797C"/>
    <w:rsid w:val="00215BC6"/>
    <w:rsid w:val="002162D5"/>
    <w:rsid w:val="00217E59"/>
    <w:rsid w:val="00227627"/>
    <w:rsid w:val="00227C15"/>
    <w:rsid w:val="00227DD8"/>
    <w:rsid w:val="00237B89"/>
    <w:rsid w:val="00243F41"/>
    <w:rsid w:val="002559EE"/>
    <w:rsid w:val="0026086F"/>
    <w:rsid w:val="00260B2E"/>
    <w:rsid w:val="00270201"/>
    <w:rsid w:val="00282F6D"/>
    <w:rsid w:val="002836C0"/>
    <w:rsid w:val="002862A3"/>
    <w:rsid w:val="002A6894"/>
    <w:rsid w:val="002B0306"/>
    <w:rsid w:val="002B0CA2"/>
    <w:rsid w:val="002C7C93"/>
    <w:rsid w:val="002D0C1B"/>
    <w:rsid w:val="002D233A"/>
    <w:rsid w:val="002E056D"/>
    <w:rsid w:val="002E3DE5"/>
    <w:rsid w:val="002F03FA"/>
    <w:rsid w:val="002F2FA7"/>
    <w:rsid w:val="002F3FDE"/>
    <w:rsid w:val="003004D2"/>
    <w:rsid w:val="00311F52"/>
    <w:rsid w:val="003127D9"/>
    <w:rsid w:val="003220E7"/>
    <w:rsid w:val="00326292"/>
    <w:rsid w:val="00326DFA"/>
    <w:rsid w:val="003349A3"/>
    <w:rsid w:val="00340510"/>
    <w:rsid w:val="003503B4"/>
    <w:rsid w:val="00355721"/>
    <w:rsid w:val="00356920"/>
    <w:rsid w:val="003600AA"/>
    <w:rsid w:val="00360B9F"/>
    <w:rsid w:val="00363BC3"/>
    <w:rsid w:val="0036445D"/>
    <w:rsid w:val="00373A36"/>
    <w:rsid w:val="00376BF3"/>
    <w:rsid w:val="00377967"/>
    <w:rsid w:val="0038064F"/>
    <w:rsid w:val="00383CAA"/>
    <w:rsid w:val="00386143"/>
    <w:rsid w:val="003862A5"/>
    <w:rsid w:val="00386F2D"/>
    <w:rsid w:val="00394C23"/>
    <w:rsid w:val="003A1737"/>
    <w:rsid w:val="003A4BF5"/>
    <w:rsid w:val="003B11BA"/>
    <w:rsid w:val="003B35DA"/>
    <w:rsid w:val="003B3A1C"/>
    <w:rsid w:val="003B3E1F"/>
    <w:rsid w:val="003B58DC"/>
    <w:rsid w:val="003C0C17"/>
    <w:rsid w:val="003C13AE"/>
    <w:rsid w:val="003C54FE"/>
    <w:rsid w:val="003F0A82"/>
    <w:rsid w:val="003F2A06"/>
    <w:rsid w:val="003F686E"/>
    <w:rsid w:val="004023DA"/>
    <w:rsid w:val="00420C24"/>
    <w:rsid w:val="00421F5D"/>
    <w:rsid w:val="00426B68"/>
    <w:rsid w:val="004353D2"/>
    <w:rsid w:val="00437BC2"/>
    <w:rsid w:val="00441DE1"/>
    <w:rsid w:val="00442552"/>
    <w:rsid w:val="0045424E"/>
    <w:rsid w:val="00455A1C"/>
    <w:rsid w:val="004571EC"/>
    <w:rsid w:val="00463707"/>
    <w:rsid w:val="004675B5"/>
    <w:rsid w:val="0047028C"/>
    <w:rsid w:val="004705E1"/>
    <w:rsid w:val="00475142"/>
    <w:rsid w:val="00476182"/>
    <w:rsid w:val="004770D6"/>
    <w:rsid w:val="004806F1"/>
    <w:rsid w:val="004815F1"/>
    <w:rsid w:val="00481C94"/>
    <w:rsid w:val="004836DF"/>
    <w:rsid w:val="00485F9E"/>
    <w:rsid w:val="0048704B"/>
    <w:rsid w:val="0049089E"/>
    <w:rsid w:val="00492298"/>
    <w:rsid w:val="0049246C"/>
    <w:rsid w:val="004A04E2"/>
    <w:rsid w:val="004A7932"/>
    <w:rsid w:val="004A7A2F"/>
    <w:rsid w:val="004B5CBC"/>
    <w:rsid w:val="004C7604"/>
    <w:rsid w:val="004D56ED"/>
    <w:rsid w:val="004E0421"/>
    <w:rsid w:val="004E4060"/>
    <w:rsid w:val="004F6117"/>
    <w:rsid w:val="004F63F1"/>
    <w:rsid w:val="004F651E"/>
    <w:rsid w:val="004F753D"/>
    <w:rsid w:val="0050305F"/>
    <w:rsid w:val="0050632D"/>
    <w:rsid w:val="0050754E"/>
    <w:rsid w:val="005119D1"/>
    <w:rsid w:val="005173C8"/>
    <w:rsid w:val="00522540"/>
    <w:rsid w:val="0052596B"/>
    <w:rsid w:val="00537397"/>
    <w:rsid w:val="00542B29"/>
    <w:rsid w:val="005442C4"/>
    <w:rsid w:val="00551459"/>
    <w:rsid w:val="00554137"/>
    <w:rsid w:val="00554D8D"/>
    <w:rsid w:val="0055605C"/>
    <w:rsid w:val="00565270"/>
    <w:rsid w:val="00573835"/>
    <w:rsid w:val="00581306"/>
    <w:rsid w:val="0058387E"/>
    <w:rsid w:val="00584220"/>
    <w:rsid w:val="00587322"/>
    <w:rsid w:val="00590C3C"/>
    <w:rsid w:val="00593C7E"/>
    <w:rsid w:val="00593D6B"/>
    <w:rsid w:val="00596759"/>
    <w:rsid w:val="00596991"/>
    <w:rsid w:val="005A2DAA"/>
    <w:rsid w:val="005B041E"/>
    <w:rsid w:val="005B1277"/>
    <w:rsid w:val="005B18F2"/>
    <w:rsid w:val="005B478A"/>
    <w:rsid w:val="005C3105"/>
    <w:rsid w:val="005D5D06"/>
    <w:rsid w:val="005D6213"/>
    <w:rsid w:val="005E6CA8"/>
    <w:rsid w:val="005F05EB"/>
    <w:rsid w:val="005F31DF"/>
    <w:rsid w:val="00610A67"/>
    <w:rsid w:val="006116A5"/>
    <w:rsid w:val="006116C8"/>
    <w:rsid w:val="006149CD"/>
    <w:rsid w:val="00617253"/>
    <w:rsid w:val="00620E4D"/>
    <w:rsid w:val="006225E1"/>
    <w:rsid w:val="006441A1"/>
    <w:rsid w:val="0064739A"/>
    <w:rsid w:val="006518BD"/>
    <w:rsid w:val="00655CDF"/>
    <w:rsid w:val="006648B3"/>
    <w:rsid w:val="006656F8"/>
    <w:rsid w:val="00671880"/>
    <w:rsid w:val="00674CA3"/>
    <w:rsid w:val="00692C2F"/>
    <w:rsid w:val="00695797"/>
    <w:rsid w:val="00696459"/>
    <w:rsid w:val="00696A5E"/>
    <w:rsid w:val="006A163A"/>
    <w:rsid w:val="006B3B69"/>
    <w:rsid w:val="006B68FF"/>
    <w:rsid w:val="006C19F5"/>
    <w:rsid w:val="006D03F4"/>
    <w:rsid w:val="006D6203"/>
    <w:rsid w:val="006D73AC"/>
    <w:rsid w:val="006E19E1"/>
    <w:rsid w:val="006E2646"/>
    <w:rsid w:val="006E578A"/>
    <w:rsid w:val="006F4917"/>
    <w:rsid w:val="006F5863"/>
    <w:rsid w:val="007001E7"/>
    <w:rsid w:val="007022CA"/>
    <w:rsid w:val="00712371"/>
    <w:rsid w:val="007134DC"/>
    <w:rsid w:val="00714031"/>
    <w:rsid w:val="00715D3E"/>
    <w:rsid w:val="0073032C"/>
    <w:rsid w:val="00734613"/>
    <w:rsid w:val="007378AA"/>
    <w:rsid w:val="00741BF3"/>
    <w:rsid w:val="007469A5"/>
    <w:rsid w:val="00747B32"/>
    <w:rsid w:val="00751910"/>
    <w:rsid w:val="00751E60"/>
    <w:rsid w:val="0075475A"/>
    <w:rsid w:val="007547B5"/>
    <w:rsid w:val="0075627B"/>
    <w:rsid w:val="007578FA"/>
    <w:rsid w:val="00764DBE"/>
    <w:rsid w:val="00765A44"/>
    <w:rsid w:val="00772928"/>
    <w:rsid w:val="00780147"/>
    <w:rsid w:val="007911FB"/>
    <w:rsid w:val="007935F3"/>
    <w:rsid w:val="00795A9E"/>
    <w:rsid w:val="007A606D"/>
    <w:rsid w:val="007A7D6E"/>
    <w:rsid w:val="007B37E4"/>
    <w:rsid w:val="007C2214"/>
    <w:rsid w:val="007C26A1"/>
    <w:rsid w:val="007D72A1"/>
    <w:rsid w:val="007E3FF0"/>
    <w:rsid w:val="007E49B1"/>
    <w:rsid w:val="007F0E55"/>
    <w:rsid w:val="007F6FA4"/>
    <w:rsid w:val="0080064C"/>
    <w:rsid w:val="00807B48"/>
    <w:rsid w:val="008135CA"/>
    <w:rsid w:val="00814C2B"/>
    <w:rsid w:val="0081584F"/>
    <w:rsid w:val="00820981"/>
    <w:rsid w:val="0082295B"/>
    <w:rsid w:val="00843B66"/>
    <w:rsid w:val="00855A2D"/>
    <w:rsid w:val="0085710B"/>
    <w:rsid w:val="00864E4A"/>
    <w:rsid w:val="008703BF"/>
    <w:rsid w:val="00874CCB"/>
    <w:rsid w:val="008750B3"/>
    <w:rsid w:val="0088283D"/>
    <w:rsid w:val="008925CE"/>
    <w:rsid w:val="008932E8"/>
    <w:rsid w:val="008A5FF2"/>
    <w:rsid w:val="008B1E83"/>
    <w:rsid w:val="008B5763"/>
    <w:rsid w:val="008B5AAE"/>
    <w:rsid w:val="008C3593"/>
    <w:rsid w:val="008C4D41"/>
    <w:rsid w:val="008D1E24"/>
    <w:rsid w:val="008E2F17"/>
    <w:rsid w:val="008E36E5"/>
    <w:rsid w:val="008E584F"/>
    <w:rsid w:val="008E61FF"/>
    <w:rsid w:val="008E6F6A"/>
    <w:rsid w:val="008F0437"/>
    <w:rsid w:val="008F6465"/>
    <w:rsid w:val="00900E1C"/>
    <w:rsid w:val="00902FE9"/>
    <w:rsid w:val="00913ACE"/>
    <w:rsid w:val="009175C1"/>
    <w:rsid w:val="00917E1C"/>
    <w:rsid w:val="009357D9"/>
    <w:rsid w:val="009364BB"/>
    <w:rsid w:val="00943B0A"/>
    <w:rsid w:val="00980498"/>
    <w:rsid w:val="009816EC"/>
    <w:rsid w:val="00981F45"/>
    <w:rsid w:val="0098240A"/>
    <w:rsid w:val="009832C0"/>
    <w:rsid w:val="009949A6"/>
    <w:rsid w:val="00994D12"/>
    <w:rsid w:val="0099F9A7"/>
    <w:rsid w:val="009A00D4"/>
    <w:rsid w:val="009A1CE5"/>
    <w:rsid w:val="009A3524"/>
    <w:rsid w:val="009B128B"/>
    <w:rsid w:val="009B3E63"/>
    <w:rsid w:val="009C5CF6"/>
    <w:rsid w:val="009D761C"/>
    <w:rsid w:val="009E1BCA"/>
    <w:rsid w:val="009E2318"/>
    <w:rsid w:val="009E7B7F"/>
    <w:rsid w:val="00A06339"/>
    <w:rsid w:val="00A14C06"/>
    <w:rsid w:val="00A14EFB"/>
    <w:rsid w:val="00A1697C"/>
    <w:rsid w:val="00A16F07"/>
    <w:rsid w:val="00A170BA"/>
    <w:rsid w:val="00A21372"/>
    <w:rsid w:val="00A228EE"/>
    <w:rsid w:val="00A238C6"/>
    <w:rsid w:val="00A35789"/>
    <w:rsid w:val="00A41E04"/>
    <w:rsid w:val="00A42816"/>
    <w:rsid w:val="00A46694"/>
    <w:rsid w:val="00A54D40"/>
    <w:rsid w:val="00A62C7B"/>
    <w:rsid w:val="00A7709A"/>
    <w:rsid w:val="00A77DFA"/>
    <w:rsid w:val="00A8253D"/>
    <w:rsid w:val="00A95CEA"/>
    <w:rsid w:val="00A967DC"/>
    <w:rsid w:val="00AA0D0B"/>
    <w:rsid w:val="00AC402C"/>
    <w:rsid w:val="00AC429F"/>
    <w:rsid w:val="00AC48B7"/>
    <w:rsid w:val="00AE1704"/>
    <w:rsid w:val="00AE1842"/>
    <w:rsid w:val="00AE3C7C"/>
    <w:rsid w:val="00AE5F36"/>
    <w:rsid w:val="00AF55C7"/>
    <w:rsid w:val="00B00A2E"/>
    <w:rsid w:val="00B01A87"/>
    <w:rsid w:val="00B10838"/>
    <w:rsid w:val="00B171B0"/>
    <w:rsid w:val="00B1756C"/>
    <w:rsid w:val="00B26E52"/>
    <w:rsid w:val="00B31306"/>
    <w:rsid w:val="00B3154B"/>
    <w:rsid w:val="00B3478E"/>
    <w:rsid w:val="00B42814"/>
    <w:rsid w:val="00B43217"/>
    <w:rsid w:val="00B51981"/>
    <w:rsid w:val="00B535A4"/>
    <w:rsid w:val="00B54EB8"/>
    <w:rsid w:val="00B55EDC"/>
    <w:rsid w:val="00B63623"/>
    <w:rsid w:val="00B65812"/>
    <w:rsid w:val="00B72B1C"/>
    <w:rsid w:val="00B74A20"/>
    <w:rsid w:val="00B83936"/>
    <w:rsid w:val="00B86BCE"/>
    <w:rsid w:val="00B92C15"/>
    <w:rsid w:val="00BA28D1"/>
    <w:rsid w:val="00BA4943"/>
    <w:rsid w:val="00BB4682"/>
    <w:rsid w:val="00BC447A"/>
    <w:rsid w:val="00BC7D58"/>
    <w:rsid w:val="00BD6EB7"/>
    <w:rsid w:val="00BF043F"/>
    <w:rsid w:val="00BF12DB"/>
    <w:rsid w:val="00BF345B"/>
    <w:rsid w:val="00C134E4"/>
    <w:rsid w:val="00C16CC7"/>
    <w:rsid w:val="00C2025E"/>
    <w:rsid w:val="00C226CC"/>
    <w:rsid w:val="00C22701"/>
    <w:rsid w:val="00C22B21"/>
    <w:rsid w:val="00C311BE"/>
    <w:rsid w:val="00C37BDD"/>
    <w:rsid w:val="00C41C4C"/>
    <w:rsid w:val="00C42EAA"/>
    <w:rsid w:val="00C46E3A"/>
    <w:rsid w:val="00C54963"/>
    <w:rsid w:val="00C54D27"/>
    <w:rsid w:val="00C66F8A"/>
    <w:rsid w:val="00C75EE8"/>
    <w:rsid w:val="00C76EEB"/>
    <w:rsid w:val="00C8008F"/>
    <w:rsid w:val="00C85CC8"/>
    <w:rsid w:val="00C864E7"/>
    <w:rsid w:val="00C91564"/>
    <w:rsid w:val="00C970C4"/>
    <w:rsid w:val="00C97222"/>
    <w:rsid w:val="00CA0BEF"/>
    <w:rsid w:val="00CA11FC"/>
    <w:rsid w:val="00CA2283"/>
    <w:rsid w:val="00CA2EF1"/>
    <w:rsid w:val="00CA54DF"/>
    <w:rsid w:val="00CB4DBB"/>
    <w:rsid w:val="00CB500A"/>
    <w:rsid w:val="00CB6E32"/>
    <w:rsid w:val="00CC0253"/>
    <w:rsid w:val="00CD1172"/>
    <w:rsid w:val="00CD18AD"/>
    <w:rsid w:val="00CD3156"/>
    <w:rsid w:val="00CE1E44"/>
    <w:rsid w:val="00CE7FA4"/>
    <w:rsid w:val="00D018EA"/>
    <w:rsid w:val="00D01F5A"/>
    <w:rsid w:val="00D1323B"/>
    <w:rsid w:val="00D1363C"/>
    <w:rsid w:val="00D1716E"/>
    <w:rsid w:val="00D34DD3"/>
    <w:rsid w:val="00D41B46"/>
    <w:rsid w:val="00D44F37"/>
    <w:rsid w:val="00D473FD"/>
    <w:rsid w:val="00D526CD"/>
    <w:rsid w:val="00D56510"/>
    <w:rsid w:val="00D604A2"/>
    <w:rsid w:val="00D64636"/>
    <w:rsid w:val="00D64E05"/>
    <w:rsid w:val="00D844FA"/>
    <w:rsid w:val="00D85EF2"/>
    <w:rsid w:val="00D87E4C"/>
    <w:rsid w:val="00D92FD3"/>
    <w:rsid w:val="00D96B14"/>
    <w:rsid w:val="00DA3B6E"/>
    <w:rsid w:val="00DB7581"/>
    <w:rsid w:val="00DC70C1"/>
    <w:rsid w:val="00DD0194"/>
    <w:rsid w:val="00DD17FD"/>
    <w:rsid w:val="00DD219E"/>
    <w:rsid w:val="00DD31F1"/>
    <w:rsid w:val="00DD42A0"/>
    <w:rsid w:val="00DD5E98"/>
    <w:rsid w:val="00DD69A6"/>
    <w:rsid w:val="00DD7FC5"/>
    <w:rsid w:val="00DE61B1"/>
    <w:rsid w:val="00DE7F14"/>
    <w:rsid w:val="00DF0123"/>
    <w:rsid w:val="00DF05ED"/>
    <w:rsid w:val="00DF502C"/>
    <w:rsid w:val="00E02CD6"/>
    <w:rsid w:val="00E04840"/>
    <w:rsid w:val="00E06631"/>
    <w:rsid w:val="00E06E86"/>
    <w:rsid w:val="00E12B66"/>
    <w:rsid w:val="00E335C0"/>
    <w:rsid w:val="00E3697C"/>
    <w:rsid w:val="00E42D49"/>
    <w:rsid w:val="00E46EA0"/>
    <w:rsid w:val="00E5290E"/>
    <w:rsid w:val="00E57AD2"/>
    <w:rsid w:val="00E63D95"/>
    <w:rsid w:val="00E64F95"/>
    <w:rsid w:val="00E70BDC"/>
    <w:rsid w:val="00E755D8"/>
    <w:rsid w:val="00E80B7D"/>
    <w:rsid w:val="00E82ADF"/>
    <w:rsid w:val="00E83C12"/>
    <w:rsid w:val="00E904C8"/>
    <w:rsid w:val="00EA1071"/>
    <w:rsid w:val="00EA1BBF"/>
    <w:rsid w:val="00EA28E3"/>
    <w:rsid w:val="00EA3529"/>
    <w:rsid w:val="00EA5BB8"/>
    <w:rsid w:val="00EB29A9"/>
    <w:rsid w:val="00EB3183"/>
    <w:rsid w:val="00EB77D2"/>
    <w:rsid w:val="00EC19A6"/>
    <w:rsid w:val="00EC25C2"/>
    <w:rsid w:val="00ED0F61"/>
    <w:rsid w:val="00EE0473"/>
    <w:rsid w:val="00F00D72"/>
    <w:rsid w:val="00F14F4C"/>
    <w:rsid w:val="00F15260"/>
    <w:rsid w:val="00F30CCE"/>
    <w:rsid w:val="00F316C8"/>
    <w:rsid w:val="00F40C89"/>
    <w:rsid w:val="00F4421A"/>
    <w:rsid w:val="00F472DC"/>
    <w:rsid w:val="00F632DE"/>
    <w:rsid w:val="00F64E21"/>
    <w:rsid w:val="00F65A54"/>
    <w:rsid w:val="00F735E4"/>
    <w:rsid w:val="00F76E25"/>
    <w:rsid w:val="00F955CF"/>
    <w:rsid w:val="00F96F02"/>
    <w:rsid w:val="00FA5279"/>
    <w:rsid w:val="00FA7117"/>
    <w:rsid w:val="00FA7591"/>
    <w:rsid w:val="00FB4714"/>
    <w:rsid w:val="00FB7834"/>
    <w:rsid w:val="00FC26B3"/>
    <w:rsid w:val="00FC48D7"/>
    <w:rsid w:val="00FC6933"/>
    <w:rsid w:val="00FD4B6A"/>
    <w:rsid w:val="00FE03BD"/>
    <w:rsid w:val="00FE3AC7"/>
    <w:rsid w:val="00FE587D"/>
    <w:rsid w:val="00FF03A8"/>
    <w:rsid w:val="00FF63EA"/>
    <w:rsid w:val="0108ED6F"/>
    <w:rsid w:val="0140E5CB"/>
    <w:rsid w:val="01C9A179"/>
    <w:rsid w:val="02020401"/>
    <w:rsid w:val="02440769"/>
    <w:rsid w:val="0247051F"/>
    <w:rsid w:val="02670962"/>
    <w:rsid w:val="02ABE475"/>
    <w:rsid w:val="02BFC052"/>
    <w:rsid w:val="02E6BB5F"/>
    <w:rsid w:val="034DD9DE"/>
    <w:rsid w:val="0350164D"/>
    <w:rsid w:val="038A17C8"/>
    <w:rsid w:val="03CCC627"/>
    <w:rsid w:val="03ECBD37"/>
    <w:rsid w:val="0410A1E0"/>
    <w:rsid w:val="045994B8"/>
    <w:rsid w:val="046F6467"/>
    <w:rsid w:val="04983369"/>
    <w:rsid w:val="04DDAE5C"/>
    <w:rsid w:val="04E16324"/>
    <w:rsid w:val="05164358"/>
    <w:rsid w:val="051E4094"/>
    <w:rsid w:val="0549E812"/>
    <w:rsid w:val="05837A3F"/>
    <w:rsid w:val="05C49E52"/>
    <w:rsid w:val="05EAF89D"/>
    <w:rsid w:val="0617BBEB"/>
    <w:rsid w:val="061F353F"/>
    <w:rsid w:val="06B2E70B"/>
    <w:rsid w:val="07C779F2"/>
    <w:rsid w:val="07E08E89"/>
    <w:rsid w:val="07FFB539"/>
    <w:rsid w:val="08218D0E"/>
    <w:rsid w:val="08542E2E"/>
    <w:rsid w:val="086E91A2"/>
    <w:rsid w:val="088FBD92"/>
    <w:rsid w:val="08BC06FB"/>
    <w:rsid w:val="08EF7F66"/>
    <w:rsid w:val="09087C9C"/>
    <w:rsid w:val="093D22FD"/>
    <w:rsid w:val="0942E078"/>
    <w:rsid w:val="0945D71B"/>
    <w:rsid w:val="095EECA1"/>
    <w:rsid w:val="09711DEB"/>
    <w:rsid w:val="09869381"/>
    <w:rsid w:val="0990E7E8"/>
    <w:rsid w:val="099A3292"/>
    <w:rsid w:val="09B7F6B2"/>
    <w:rsid w:val="09DC8E32"/>
    <w:rsid w:val="09FB53B3"/>
    <w:rsid w:val="0A015EC9"/>
    <w:rsid w:val="0A0F38C6"/>
    <w:rsid w:val="0A2B7D67"/>
    <w:rsid w:val="0A2FF03B"/>
    <w:rsid w:val="0A9B1356"/>
    <w:rsid w:val="0AA8BAFF"/>
    <w:rsid w:val="0AD0DCA0"/>
    <w:rsid w:val="0B177FFB"/>
    <w:rsid w:val="0B301847"/>
    <w:rsid w:val="0B31F99E"/>
    <w:rsid w:val="0BA58000"/>
    <w:rsid w:val="0BFFDEFB"/>
    <w:rsid w:val="0C465F9A"/>
    <w:rsid w:val="0C4BAF9E"/>
    <w:rsid w:val="0C6A2012"/>
    <w:rsid w:val="0C81D99B"/>
    <w:rsid w:val="0CD342F9"/>
    <w:rsid w:val="0CDBFAE7"/>
    <w:rsid w:val="0CE21635"/>
    <w:rsid w:val="0CFC4ECF"/>
    <w:rsid w:val="0D0D0BCB"/>
    <w:rsid w:val="0D4CBBEF"/>
    <w:rsid w:val="0D7D0ED6"/>
    <w:rsid w:val="0D8057F5"/>
    <w:rsid w:val="0E68E606"/>
    <w:rsid w:val="0F0962CB"/>
    <w:rsid w:val="0F9A1677"/>
    <w:rsid w:val="0FBDCE69"/>
    <w:rsid w:val="0FC9115B"/>
    <w:rsid w:val="102E5349"/>
    <w:rsid w:val="103435DC"/>
    <w:rsid w:val="105168BD"/>
    <w:rsid w:val="10613FF1"/>
    <w:rsid w:val="108A25A6"/>
    <w:rsid w:val="113E6634"/>
    <w:rsid w:val="11581CC4"/>
    <w:rsid w:val="116145E4"/>
    <w:rsid w:val="11AC6E58"/>
    <w:rsid w:val="11AFAD92"/>
    <w:rsid w:val="12036F4D"/>
    <w:rsid w:val="120FB0B4"/>
    <w:rsid w:val="1211C468"/>
    <w:rsid w:val="1243C9B5"/>
    <w:rsid w:val="1252A0A7"/>
    <w:rsid w:val="126793C9"/>
    <w:rsid w:val="12744B15"/>
    <w:rsid w:val="128622CA"/>
    <w:rsid w:val="12CAA5E0"/>
    <w:rsid w:val="12D4DB4D"/>
    <w:rsid w:val="12E5435E"/>
    <w:rsid w:val="1303A316"/>
    <w:rsid w:val="13057853"/>
    <w:rsid w:val="1347E98B"/>
    <w:rsid w:val="13C49CC1"/>
    <w:rsid w:val="13E33916"/>
    <w:rsid w:val="13E948A2"/>
    <w:rsid w:val="14A9D50F"/>
    <w:rsid w:val="14AF8E60"/>
    <w:rsid w:val="14E4D1B3"/>
    <w:rsid w:val="14FFADBA"/>
    <w:rsid w:val="15121559"/>
    <w:rsid w:val="162A5A03"/>
    <w:rsid w:val="1686A3D5"/>
    <w:rsid w:val="16EDC835"/>
    <w:rsid w:val="17165D24"/>
    <w:rsid w:val="17517895"/>
    <w:rsid w:val="1758835A"/>
    <w:rsid w:val="1779AE81"/>
    <w:rsid w:val="17AA9D33"/>
    <w:rsid w:val="17EF9C63"/>
    <w:rsid w:val="17FE4884"/>
    <w:rsid w:val="17FF63FE"/>
    <w:rsid w:val="182E0B94"/>
    <w:rsid w:val="1885BDB8"/>
    <w:rsid w:val="18C22D87"/>
    <w:rsid w:val="19816CFC"/>
    <w:rsid w:val="19D86FCA"/>
    <w:rsid w:val="19DE859E"/>
    <w:rsid w:val="1A4FA901"/>
    <w:rsid w:val="1A56DADE"/>
    <w:rsid w:val="1A58AC98"/>
    <w:rsid w:val="1A897798"/>
    <w:rsid w:val="1ADCECF6"/>
    <w:rsid w:val="1B14A309"/>
    <w:rsid w:val="1B278C79"/>
    <w:rsid w:val="1B2A6A30"/>
    <w:rsid w:val="1B609ABF"/>
    <w:rsid w:val="1B6BDB3E"/>
    <w:rsid w:val="1B925E7F"/>
    <w:rsid w:val="1BC73EB3"/>
    <w:rsid w:val="1C5FD540"/>
    <w:rsid w:val="1C623808"/>
    <w:rsid w:val="1CE9F00B"/>
    <w:rsid w:val="1D59C819"/>
    <w:rsid w:val="1DB0D5BC"/>
    <w:rsid w:val="1DE880FF"/>
    <w:rsid w:val="1E15F52C"/>
    <w:rsid w:val="1E50DC2E"/>
    <w:rsid w:val="1E6BB7C2"/>
    <w:rsid w:val="1F353275"/>
    <w:rsid w:val="1F86586A"/>
    <w:rsid w:val="1F92BCB3"/>
    <w:rsid w:val="1FFCC63F"/>
    <w:rsid w:val="200C75A7"/>
    <w:rsid w:val="20306F26"/>
    <w:rsid w:val="2079D94A"/>
    <w:rsid w:val="20AABAB3"/>
    <w:rsid w:val="210757FB"/>
    <w:rsid w:val="21096FEF"/>
    <w:rsid w:val="2162FD4C"/>
    <w:rsid w:val="21679E11"/>
    <w:rsid w:val="21D70D89"/>
    <w:rsid w:val="2203314A"/>
    <w:rsid w:val="22C2A3D7"/>
    <w:rsid w:val="22CD9C95"/>
    <w:rsid w:val="22EDA85B"/>
    <w:rsid w:val="22F10E9B"/>
    <w:rsid w:val="22FFE0DE"/>
    <w:rsid w:val="231E6062"/>
    <w:rsid w:val="239E40DD"/>
    <w:rsid w:val="24609D98"/>
    <w:rsid w:val="24612AEE"/>
    <w:rsid w:val="2483FECF"/>
    <w:rsid w:val="2499AFC0"/>
    <w:rsid w:val="24C5D045"/>
    <w:rsid w:val="24DE843F"/>
    <w:rsid w:val="24FB3998"/>
    <w:rsid w:val="2568FA38"/>
    <w:rsid w:val="25747789"/>
    <w:rsid w:val="257553B8"/>
    <w:rsid w:val="25E5792D"/>
    <w:rsid w:val="260A97DC"/>
    <w:rsid w:val="26277542"/>
    <w:rsid w:val="26E71070"/>
    <w:rsid w:val="26F11A9C"/>
    <w:rsid w:val="27022AFA"/>
    <w:rsid w:val="279B3AB3"/>
    <w:rsid w:val="27F3E7CA"/>
    <w:rsid w:val="280870CA"/>
    <w:rsid w:val="281551E0"/>
    <w:rsid w:val="284F2537"/>
    <w:rsid w:val="28D01377"/>
    <w:rsid w:val="29116D9C"/>
    <w:rsid w:val="29EA10B3"/>
    <w:rsid w:val="29EB456D"/>
    <w:rsid w:val="2AAFA44D"/>
    <w:rsid w:val="2AD6C544"/>
    <w:rsid w:val="2B085D07"/>
    <w:rsid w:val="2B340718"/>
    <w:rsid w:val="2B61656D"/>
    <w:rsid w:val="2BAA3B04"/>
    <w:rsid w:val="2BABC3AC"/>
    <w:rsid w:val="2BBD6966"/>
    <w:rsid w:val="2BE4F70F"/>
    <w:rsid w:val="2BF7261F"/>
    <w:rsid w:val="2C0CCA75"/>
    <w:rsid w:val="2C419F8B"/>
    <w:rsid w:val="2C97AD17"/>
    <w:rsid w:val="2CFCCA85"/>
    <w:rsid w:val="2D1247A0"/>
    <w:rsid w:val="2D367937"/>
    <w:rsid w:val="2D5DDE4A"/>
    <w:rsid w:val="2DBEED8F"/>
    <w:rsid w:val="2E0175A1"/>
    <w:rsid w:val="2E246F4A"/>
    <w:rsid w:val="2E36819A"/>
    <w:rsid w:val="2E6723A1"/>
    <w:rsid w:val="2E756BB9"/>
    <w:rsid w:val="2F14B570"/>
    <w:rsid w:val="2F6AAA5F"/>
    <w:rsid w:val="2F7C1F75"/>
    <w:rsid w:val="305C3187"/>
    <w:rsid w:val="30A4DFE2"/>
    <w:rsid w:val="30B53D9E"/>
    <w:rsid w:val="30EAEB14"/>
    <w:rsid w:val="3152398A"/>
    <w:rsid w:val="317528E1"/>
    <w:rsid w:val="31A717A0"/>
    <w:rsid w:val="31CF3EC8"/>
    <w:rsid w:val="329ADB81"/>
    <w:rsid w:val="32A86EE5"/>
    <w:rsid w:val="32C5D3CF"/>
    <w:rsid w:val="32D57CA2"/>
    <w:rsid w:val="33197C95"/>
    <w:rsid w:val="333E3CCF"/>
    <w:rsid w:val="3360C359"/>
    <w:rsid w:val="33700CB6"/>
    <w:rsid w:val="33763766"/>
    <w:rsid w:val="3385686E"/>
    <w:rsid w:val="33A93E7D"/>
    <w:rsid w:val="33C71955"/>
    <w:rsid w:val="33DC5DAA"/>
    <w:rsid w:val="34490347"/>
    <w:rsid w:val="346B6A30"/>
    <w:rsid w:val="35829EED"/>
    <w:rsid w:val="35C0378D"/>
    <w:rsid w:val="36301011"/>
    <w:rsid w:val="3682FC3F"/>
    <w:rsid w:val="36DEE08F"/>
    <w:rsid w:val="36F66087"/>
    <w:rsid w:val="36F87C46"/>
    <w:rsid w:val="36FA30C8"/>
    <w:rsid w:val="373015A7"/>
    <w:rsid w:val="37764DE5"/>
    <w:rsid w:val="3793EFCA"/>
    <w:rsid w:val="37A72228"/>
    <w:rsid w:val="37E89F55"/>
    <w:rsid w:val="381C3AB3"/>
    <w:rsid w:val="38D02B92"/>
    <w:rsid w:val="392360EE"/>
    <w:rsid w:val="39246CBD"/>
    <w:rsid w:val="393246B0"/>
    <w:rsid w:val="39923922"/>
    <w:rsid w:val="39E84075"/>
    <w:rsid w:val="39FCFAD0"/>
    <w:rsid w:val="3A0CA05A"/>
    <w:rsid w:val="3A6BA55A"/>
    <w:rsid w:val="3A6D2FDB"/>
    <w:rsid w:val="3AD0EF52"/>
    <w:rsid w:val="3ADDEA22"/>
    <w:rsid w:val="3B2D2ACC"/>
    <w:rsid w:val="3B47322E"/>
    <w:rsid w:val="3B768F25"/>
    <w:rsid w:val="3B88A579"/>
    <w:rsid w:val="3BBFB78A"/>
    <w:rsid w:val="3C2DA493"/>
    <w:rsid w:val="3C5E2DFD"/>
    <w:rsid w:val="3C88543B"/>
    <w:rsid w:val="3CD3131F"/>
    <w:rsid w:val="3D3B693A"/>
    <w:rsid w:val="3D4BB5E6"/>
    <w:rsid w:val="3DC5B876"/>
    <w:rsid w:val="3DE73EC2"/>
    <w:rsid w:val="3DF8F164"/>
    <w:rsid w:val="3E4C7EE5"/>
    <w:rsid w:val="3EBC6609"/>
    <w:rsid w:val="3ED7D667"/>
    <w:rsid w:val="3F6694F6"/>
    <w:rsid w:val="3F9F2DFF"/>
    <w:rsid w:val="3FAC7FCF"/>
    <w:rsid w:val="3FDF5588"/>
    <w:rsid w:val="3FE2A161"/>
    <w:rsid w:val="400CA369"/>
    <w:rsid w:val="402438B2"/>
    <w:rsid w:val="407BB5AB"/>
    <w:rsid w:val="407FD897"/>
    <w:rsid w:val="40A39AA4"/>
    <w:rsid w:val="40AFF032"/>
    <w:rsid w:val="40B123D7"/>
    <w:rsid w:val="40C05A0A"/>
    <w:rsid w:val="41083A7B"/>
    <w:rsid w:val="4136D3A9"/>
    <w:rsid w:val="4166860C"/>
    <w:rsid w:val="418DEA8E"/>
    <w:rsid w:val="4198D970"/>
    <w:rsid w:val="41A43AEC"/>
    <w:rsid w:val="41F47627"/>
    <w:rsid w:val="42979CE3"/>
    <w:rsid w:val="42C68899"/>
    <w:rsid w:val="42E5D8D7"/>
    <w:rsid w:val="4379F2BB"/>
    <w:rsid w:val="43B88948"/>
    <w:rsid w:val="43F44877"/>
    <w:rsid w:val="4417F012"/>
    <w:rsid w:val="445B37DE"/>
    <w:rsid w:val="44D90FA4"/>
    <w:rsid w:val="45C5E1FD"/>
    <w:rsid w:val="460A1651"/>
    <w:rsid w:val="461FA78D"/>
    <w:rsid w:val="462F6D00"/>
    <w:rsid w:val="468135FF"/>
    <w:rsid w:val="46B8AD0F"/>
    <w:rsid w:val="47056BC3"/>
    <w:rsid w:val="4708F633"/>
    <w:rsid w:val="472B8804"/>
    <w:rsid w:val="47765669"/>
    <w:rsid w:val="477F8ECE"/>
    <w:rsid w:val="47F388AC"/>
    <w:rsid w:val="485AA658"/>
    <w:rsid w:val="48A710AD"/>
    <w:rsid w:val="48C70E9A"/>
    <w:rsid w:val="4927DEA8"/>
    <w:rsid w:val="49635CDD"/>
    <w:rsid w:val="4966E79A"/>
    <w:rsid w:val="4970612B"/>
    <w:rsid w:val="49A2BC5B"/>
    <w:rsid w:val="49FBCF4D"/>
    <w:rsid w:val="4A13A2B3"/>
    <w:rsid w:val="4A47D90C"/>
    <w:rsid w:val="4A62873C"/>
    <w:rsid w:val="4A7278BD"/>
    <w:rsid w:val="4AA12BAE"/>
    <w:rsid w:val="4ABD1C93"/>
    <w:rsid w:val="4ABFB6AA"/>
    <w:rsid w:val="4AD2473C"/>
    <w:rsid w:val="4AEE5116"/>
    <w:rsid w:val="4AF3CF07"/>
    <w:rsid w:val="4B1FCA56"/>
    <w:rsid w:val="4B253F75"/>
    <w:rsid w:val="4BBFCC49"/>
    <w:rsid w:val="4BD4326C"/>
    <w:rsid w:val="4C885FAF"/>
    <w:rsid w:val="4C8E7C57"/>
    <w:rsid w:val="4D88EEE0"/>
    <w:rsid w:val="4D891EDB"/>
    <w:rsid w:val="4DE2FBDD"/>
    <w:rsid w:val="4DFEFE8C"/>
    <w:rsid w:val="4E22DF63"/>
    <w:rsid w:val="4E45E62C"/>
    <w:rsid w:val="4E56E43F"/>
    <w:rsid w:val="4E6F82C3"/>
    <w:rsid w:val="4E73BA80"/>
    <w:rsid w:val="4E99853F"/>
    <w:rsid w:val="4ED2873E"/>
    <w:rsid w:val="4F494CE2"/>
    <w:rsid w:val="4F5C22CA"/>
    <w:rsid w:val="4F6FAE4D"/>
    <w:rsid w:val="5023A74A"/>
    <w:rsid w:val="5051D16B"/>
    <w:rsid w:val="509AE5AC"/>
    <w:rsid w:val="50C39887"/>
    <w:rsid w:val="50FFD11F"/>
    <w:rsid w:val="5119CA20"/>
    <w:rsid w:val="513D786A"/>
    <w:rsid w:val="5152CCD6"/>
    <w:rsid w:val="5169FFAB"/>
    <w:rsid w:val="51BC2C1D"/>
    <w:rsid w:val="51EDAAAF"/>
    <w:rsid w:val="51FB26B0"/>
    <w:rsid w:val="52000866"/>
    <w:rsid w:val="524EA863"/>
    <w:rsid w:val="5260B883"/>
    <w:rsid w:val="52B917E6"/>
    <w:rsid w:val="52C0A7FD"/>
    <w:rsid w:val="52FA8761"/>
    <w:rsid w:val="53ACFB90"/>
    <w:rsid w:val="53B2185A"/>
    <w:rsid w:val="53FE4D26"/>
    <w:rsid w:val="5400DD6A"/>
    <w:rsid w:val="54143880"/>
    <w:rsid w:val="54299EBE"/>
    <w:rsid w:val="543E3D32"/>
    <w:rsid w:val="5449F5D9"/>
    <w:rsid w:val="55359104"/>
    <w:rsid w:val="557030D0"/>
    <w:rsid w:val="560909D8"/>
    <w:rsid w:val="560C5AF0"/>
    <w:rsid w:val="560D5195"/>
    <w:rsid w:val="567E3C6D"/>
    <w:rsid w:val="56C9157E"/>
    <w:rsid w:val="573526ED"/>
    <w:rsid w:val="579A68ED"/>
    <w:rsid w:val="579C0F33"/>
    <w:rsid w:val="57B5951B"/>
    <w:rsid w:val="57BC3D6B"/>
    <w:rsid w:val="580650DB"/>
    <w:rsid w:val="583521CE"/>
    <w:rsid w:val="58453A6C"/>
    <w:rsid w:val="584896A4"/>
    <w:rsid w:val="588A991C"/>
    <w:rsid w:val="58B2BF9E"/>
    <w:rsid w:val="5980D3C3"/>
    <w:rsid w:val="599EDAFF"/>
    <w:rsid w:val="59A41FB8"/>
    <w:rsid w:val="5A132A64"/>
    <w:rsid w:val="5A56FAB8"/>
    <w:rsid w:val="5AA196E4"/>
    <w:rsid w:val="5B93C881"/>
    <w:rsid w:val="5BCD13C4"/>
    <w:rsid w:val="5BDCBB77"/>
    <w:rsid w:val="5BE46BED"/>
    <w:rsid w:val="5BF181CA"/>
    <w:rsid w:val="5BF9A3C4"/>
    <w:rsid w:val="5C67B3C2"/>
    <w:rsid w:val="5C77FFB7"/>
    <w:rsid w:val="5CA6CF7D"/>
    <w:rsid w:val="5CD79102"/>
    <w:rsid w:val="5D0B8E49"/>
    <w:rsid w:val="5D76DFA4"/>
    <w:rsid w:val="5DDD686C"/>
    <w:rsid w:val="5E20BF45"/>
    <w:rsid w:val="5E37A72E"/>
    <w:rsid w:val="5E50F5CC"/>
    <w:rsid w:val="5E71B25A"/>
    <w:rsid w:val="5E72880A"/>
    <w:rsid w:val="5E97EA65"/>
    <w:rsid w:val="5EBB87D9"/>
    <w:rsid w:val="5EEBCE89"/>
    <w:rsid w:val="5F0469E3"/>
    <w:rsid w:val="5F1D272B"/>
    <w:rsid w:val="5F38E38E"/>
    <w:rsid w:val="5F57AB31"/>
    <w:rsid w:val="5F6254AD"/>
    <w:rsid w:val="5F62A914"/>
    <w:rsid w:val="5F63FC38"/>
    <w:rsid w:val="5FAF9196"/>
    <w:rsid w:val="5FB8D761"/>
    <w:rsid w:val="5FC96BA5"/>
    <w:rsid w:val="5FF81BA5"/>
    <w:rsid w:val="603B5843"/>
    <w:rsid w:val="604F4716"/>
    <w:rsid w:val="60858E74"/>
    <w:rsid w:val="60D83323"/>
    <w:rsid w:val="60DE919A"/>
    <w:rsid w:val="6103E46C"/>
    <w:rsid w:val="610D1770"/>
    <w:rsid w:val="61159F4F"/>
    <w:rsid w:val="613119C7"/>
    <w:rsid w:val="615BC52D"/>
    <w:rsid w:val="615D5A73"/>
    <w:rsid w:val="618828E0"/>
    <w:rsid w:val="6197ED3C"/>
    <w:rsid w:val="61B5C718"/>
    <w:rsid w:val="61C15F16"/>
    <w:rsid w:val="61F675E5"/>
    <w:rsid w:val="624069B1"/>
    <w:rsid w:val="62961726"/>
    <w:rsid w:val="62A08B54"/>
    <w:rsid w:val="6336440B"/>
    <w:rsid w:val="635E86B2"/>
    <w:rsid w:val="63ABD539"/>
    <w:rsid w:val="63D3FAC4"/>
    <w:rsid w:val="6401A1B2"/>
    <w:rsid w:val="64562BEC"/>
    <w:rsid w:val="64B8D9DD"/>
    <w:rsid w:val="64D888FA"/>
    <w:rsid w:val="650F055A"/>
    <w:rsid w:val="6512C38D"/>
    <w:rsid w:val="65502B12"/>
    <w:rsid w:val="6566AAFD"/>
    <w:rsid w:val="65BC4A47"/>
    <w:rsid w:val="665CD169"/>
    <w:rsid w:val="668968CD"/>
    <w:rsid w:val="669BAB23"/>
    <w:rsid w:val="66B96C3F"/>
    <w:rsid w:val="6703FA4A"/>
    <w:rsid w:val="6708398D"/>
    <w:rsid w:val="670ADFC7"/>
    <w:rsid w:val="670E69C4"/>
    <w:rsid w:val="671458A8"/>
    <w:rsid w:val="6757DA37"/>
    <w:rsid w:val="6776EBE9"/>
    <w:rsid w:val="67AD9A5F"/>
    <w:rsid w:val="682AA390"/>
    <w:rsid w:val="68362C6B"/>
    <w:rsid w:val="68489856"/>
    <w:rsid w:val="68534CC1"/>
    <w:rsid w:val="688431B5"/>
    <w:rsid w:val="68902E14"/>
    <w:rsid w:val="68AA1072"/>
    <w:rsid w:val="68CFCA7C"/>
    <w:rsid w:val="6952E778"/>
    <w:rsid w:val="699BFFC2"/>
    <w:rsid w:val="69E12310"/>
    <w:rsid w:val="6A199944"/>
    <w:rsid w:val="6A7ED8F6"/>
    <w:rsid w:val="6A828565"/>
    <w:rsid w:val="6B15D995"/>
    <w:rsid w:val="6B5E6047"/>
    <w:rsid w:val="6C3B75A1"/>
    <w:rsid w:val="6C5E4D07"/>
    <w:rsid w:val="6C65D782"/>
    <w:rsid w:val="6C906082"/>
    <w:rsid w:val="6C9D8ADD"/>
    <w:rsid w:val="6CA844EA"/>
    <w:rsid w:val="6D1FF775"/>
    <w:rsid w:val="6D29A7EB"/>
    <w:rsid w:val="6D564FD1"/>
    <w:rsid w:val="6D59276B"/>
    <w:rsid w:val="6D5A1867"/>
    <w:rsid w:val="6DB80B80"/>
    <w:rsid w:val="6DDDB928"/>
    <w:rsid w:val="6E1486D7"/>
    <w:rsid w:val="6E3B6084"/>
    <w:rsid w:val="6E4626D9"/>
    <w:rsid w:val="6E960F27"/>
    <w:rsid w:val="6EA51634"/>
    <w:rsid w:val="6ECB687E"/>
    <w:rsid w:val="6EE727D2"/>
    <w:rsid w:val="6F28BB9C"/>
    <w:rsid w:val="6F765C31"/>
    <w:rsid w:val="6F7A03C3"/>
    <w:rsid w:val="6F8BA10A"/>
    <w:rsid w:val="703615F8"/>
    <w:rsid w:val="703EA3E8"/>
    <w:rsid w:val="706A720F"/>
    <w:rsid w:val="706A83C7"/>
    <w:rsid w:val="70B86BB8"/>
    <w:rsid w:val="70D4CCD8"/>
    <w:rsid w:val="7128E331"/>
    <w:rsid w:val="7131972F"/>
    <w:rsid w:val="71A59CFD"/>
    <w:rsid w:val="71C23765"/>
    <w:rsid w:val="71F21007"/>
    <w:rsid w:val="722253A1"/>
    <w:rsid w:val="72484911"/>
    <w:rsid w:val="7259E572"/>
    <w:rsid w:val="729BAC4F"/>
    <w:rsid w:val="72BDEA0C"/>
    <w:rsid w:val="72C2BD2F"/>
    <w:rsid w:val="7333C42D"/>
    <w:rsid w:val="734BFC52"/>
    <w:rsid w:val="7368E19D"/>
    <w:rsid w:val="7382811F"/>
    <w:rsid w:val="7382C68F"/>
    <w:rsid w:val="7389F77A"/>
    <w:rsid w:val="738BE5FC"/>
    <w:rsid w:val="73F66BA8"/>
    <w:rsid w:val="74A30D71"/>
    <w:rsid w:val="74A64646"/>
    <w:rsid w:val="74F1E3D6"/>
    <w:rsid w:val="74F33858"/>
    <w:rsid w:val="74F9B74D"/>
    <w:rsid w:val="753C3CF4"/>
    <w:rsid w:val="755B3C47"/>
    <w:rsid w:val="757947F1"/>
    <w:rsid w:val="7589D758"/>
    <w:rsid w:val="7589F6FA"/>
    <w:rsid w:val="75AFFD57"/>
    <w:rsid w:val="75C24534"/>
    <w:rsid w:val="76022FF9"/>
    <w:rsid w:val="76127B37"/>
    <w:rsid w:val="76202016"/>
    <w:rsid w:val="763682A2"/>
    <w:rsid w:val="76735700"/>
    <w:rsid w:val="768C7913"/>
    <w:rsid w:val="76A96D47"/>
    <w:rsid w:val="76B56B9B"/>
    <w:rsid w:val="76B853EF"/>
    <w:rsid w:val="77008DBB"/>
    <w:rsid w:val="778FF315"/>
    <w:rsid w:val="77A1C6DA"/>
    <w:rsid w:val="77DE1634"/>
    <w:rsid w:val="78634FA5"/>
    <w:rsid w:val="7865E197"/>
    <w:rsid w:val="78A2D487"/>
    <w:rsid w:val="78A92465"/>
    <w:rsid w:val="78EC1D17"/>
    <w:rsid w:val="7914893B"/>
    <w:rsid w:val="791F5749"/>
    <w:rsid w:val="79511DAA"/>
    <w:rsid w:val="79551F9C"/>
    <w:rsid w:val="7958A93B"/>
    <w:rsid w:val="7982B273"/>
    <w:rsid w:val="7994CEC5"/>
    <w:rsid w:val="79C51B42"/>
    <w:rsid w:val="79EEE26A"/>
    <w:rsid w:val="7A66A301"/>
    <w:rsid w:val="7A793EC2"/>
    <w:rsid w:val="7AB21002"/>
    <w:rsid w:val="7AE470EC"/>
    <w:rsid w:val="7AE4F59D"/>
    <w:rsid w:val="7B96C467"/>
    <w:rsid w:val="7BBADFC0"/>
    <w:rsid w:val="7BBBCF0F"/>
    <w:rsid w:val="7BC50847"/>
    <w:rsid w:val="7BD9D500"/>
    <w:rsid w:val="7BE4C8DE"/>
    <w:rsid w:val="7C2F1B09"/>
    <w:rsid w:val="7C891EC3"/>
    <w:rsid w:val="7C8B8F8B"/>
    <w:rsid w:val="7C9353E8"/>
    <w:rsid w:val="7CAB8345"/>
    <w:rsid w:val="7CB67387"/>
    <w:rsid w:val="7D372E91"/>
    <w:rsid w:val="7D4EACCB"/>
    <w:rsid w:val="7D8EF285"/>
    <w:rsid w:val="7DE779ED"/>
    <w:rsid w:val="7E162D26"/>
    <w:rsid w:val="7E41013A"/>
    <w:rsid w:val="7E4E0B48"/>
    <w:rsid w:val="7E77900E"/>
    <w:rsid w:val="7F3061D4"/>
    <w:rsid w:val="7F595702"/>
    <w:rsid w:val="7FD6A7A0"/>
    <w:rsid w:val="7FE9CF8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EE9"/>
  <w15:chartTrackingRefBased/>
  <w15:docId w15:val="{5BEDC4B1-352B-4F73-BA03-211BF44A7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6F1"/>
    <w:pPr>
      <w:tabs>
        <w:tab w:val="center" w:pos="4680"/>
        <w:tab w:val="right" w:pos="9360"/>
      </w:tabs>
    </w:pPr>
  </w:style>
  <w:style w:type="character" w:customStyle="1" w:styleId="HeaderChar">
    <w:name w:val="Header Char"/>
    <w:link w:val="Header"/>
    <w:uiPriority w:val="99"/>
    <w:rsid w:val="004806F1"/>
    <w:rPr>
      <w:sz w:val="22"/>
      <w:szCs w:val="22"/>
      <w:lang w:val="en-GB" w:eastAsia="en-US"/>
    </w:rPr>
  </w:style>
  <w:style w:type="paragraph" w:styleId="Footer">
    <w:name w:val="footer"/>
    <w:basedOn w:val="Normal"/>
    <w:link w:val="FooterChar"/>
    <w:uiPriority w:val="99"/>
    <w:unhideWhenUsed/>
    <w:rsid w:val="004806F1"/>
    <w:pPr>
      <w:tabs>
        <w:tab w:val="center" w:pos="4680"/>
        <w:tab w:val="right" w:pos="9360"/>
      </w:tabs>
    </w:pPr>
  </w:style>
  <w:style w:type="character" w:customStyle="1" w:styleId="FooterChar">
    <w:name w:val="Footer Char"/>
    <w:link w:val="Footer"/>
    <w:uiPriority w:val="99"/>
    <w:rsid w:val="004806F1"/>
    <w:rPr>
      <w:sz w:val="22"/>
      <w:szCs w:val="22"/>
      <w:lang w:val="en-GB" w:eastAsia="en-US"/>
    </w:rPr>
  </w:style>
  <w:style w:type="paragraph" w:styleId="Revision">
    <w:name w:val="Revision"/>
    <w:hidden/>
    <w:uiPriority w:val="99"/>
    <w:semiHidden/>
    <w:rsid w:val="00764DBE"/>
    <w:rPr>
      <w:sz w:val="22"/>
      <w:szCs w:val="22"/>
      <w:lang w:eastAsia="en-US"/>
    </w:rPr>
  </w:style>
  <w:style w:type="character" w:styleId="CommentReference">
    <w:name w:val="annotation reference"/>
    <w:uiPriority w:val="99"/>
    <w:semiHidden/>
    <w:unhideWhenUsed/>
    <w:rsid w:val="005B478A"/>
    <w:rPr>
      <w:sz w:val="16"/>
      <w:szCs w:val="16"/>
    </w:rPr>
  </w:style>
  <w:style w:type="paragraph" w:styleId="CommentText">
    <w:name w:val="annotation text"/>
    <w:basedOn w:val="Normal"/>
    <w:link w:val="CommentTextChar"/>
    <w:uiPriority w:val="99"/>
    <w:unhideWhenUsed/>
    <w:rsid w:val="005B478A"/>
    <w:rPr>
      <w:sz w:val="20"/>
      <w:szCs w:val="20"/>
    </w:rPr>
  </w:style>
  <w:style w:type="character" w:customStyle="1" w:styleId="CommentTextChar">
    <w:name w:val="Comment Text Char"/>
    <w:link w:val="CommentText"/>
    <w:uiPriority w:val="99"/>
    <w:rsid w:val="005B478A"/>
    <w:rPr>
      <w:lang w:val="en-GB" w:eastAsia="en-US"/>
    </w:rPr>
  </w:style>
  <w:style w:type="paragraph" w:styleId="CommentSubject">
    <w:name w:val="annotation subject"/>
    <w:basedOn w:val="CommentText"/>
    <w:next w:val="CommentText"/>
    <w:link w:val="CommentSubjectChar"/>
    <w:uiPriority w:val="99"/>
    <w:semiHidden/>
    <w:unhideWhenUsed/>
    <w:rsid w:val="005B478A"/>
    <w:rPr>
      <w:b/>
      <w:bCs/>
    </w:rPr>
  </w:style>
  <w:style w:type="character" w:customStyle="1" w:styleId="CommentSubjectChar">
    <w:name w:val="Comment Subject Char"/>
    <w:link w:val="CommentSubject"/>
    <w:uiPriority w:val="99"/>
    <w:semiHidden/>
    <w:rsid w:val="005B478A"/>
    <w:rPr>
      <w:b/>
      <w:bCs/>
      <w:lang w:val="en-GB" w:eastAsia="en-US"/>
    </w:rPr>
  </w:style>
  <w:style w:type="paragraph" w:styleId="FootnoteText">
    <w:name w:val="footnote text"/>
    <w:basedOn w:val="Normal"/>
    <w:link w:val="FootnoteTextChar"/>
    <w:uiPriority w:val="99"/>
    <w:semiHidden/>
    <w:unhideWhenUsed/>
    <w:rsid w:val="00A54D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4D40"/>
    <w:rPr>
      <w:lang w:eastAsia="en-US"/>
    </w:rPr>
  </w:style>
  <w:style w:type="character" w:styleId="FootnoteReference">
    <w:name w:val="footnote reference"/>
    <w:basedOn w:val="DefaultParagraphFont"/>
    <w:uiPriority w:val="99"/>
    <w:semiHidden/>
    <w:unhideWhenUsed/>
    <w:rsid w:val="00A54D40"/>
    <w:rPr>
      <w:vertAlign w:val="superscript"/>
    </w:rPr>
  </w:style>
  <w:style w:type="character" w:styleId="Hyperlink">
    <w:name w:val="Hyperlink"/>
    <w:basedOn w:val="DefaultParagraphFont"/>
    <w:uiPriority w:val="99"/>
    <w:unhideWhenUsed/>
    <w:rsid w:val="00E82ADF"/>
    <w:rPr>
      <w:color w:val="0563C1" w:themeColor="hyperlink"/>
      <w:u w:val="single"/>
    </w:rPr>
  </w:style>
  <w:style w:type="character" w:styleId="UnresolvedMention">
    <w:name w:val="Unresolved Mention"/>
    <w:basedOn w:val="DefaultParagraphFont"/>
    <w:uiPriority w:val="99"/>
    <w:semiHidden/>
    <w:unhideWhenUsed/>
    <w:rsid w:val="00E82ADF"/>
    <w:rPr>
      <w:color w:val="605E5C"/>
      <w:shd w:val="clear" w:color="auto" w:fill="E1DFDD"/>
    </w:rPr>
  </w:style>
  <w:style w:type="paragraph" w:styleId="NormalWeb">
    <w:name w:val="Normal (Web)"/>
    <w:basedOn w:val="Normal"/>
    <w:uiPriority w:val="99"/>
    <w:semiHidden/>
    <w:unhideWhenUsed/>
    <w:rsid w:val="0064739A"/>
    <w:rPr>
      <w:rFonts w:ascii="Times New Roman" w:hAnsi="Times New Roman"/>
      <w:sz w:val="24"/>
      <w:szCs w:val="24"/>
    </w:rPr>
  </w:style>
  <w:style w:type="character" w:styleId="FollowedHyperlink">
    <w:name w:val="FollowedHyperlink"/>
    <w:basedOn w:val="DefaultParagraphFont"/>
    <w:uiPriority w:val="99"/>
    <w:semiHidden/>
    <w:unhideWhenUsed/>
    <w:rsid w:val="00B636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940936">
      <w:bodyDiv w:val="1"/>
      <w:marLeft w:val="0"/>
      <w:marRight w:val="0"/>
      <w:marTop w:val="0"/>
      <w:marBottom w:val="0"/>
      <w:divBdr>
        <w:top w:val="none" w:sz="0" w:space="0" w:color="auto"/>
        <w:left w:val="none" w:sz="0" w:space="0" w:color="auto"/>
        <w:bottom w:val="none" w:sz="0" w:space="0" w:color="auto"/>
        <w:right w:val="none" w:sz="0" w:space="0" w:color="auto"/>
      </w:divBdr>
      <w:divsChild>
        <w:div w:id="150022497">
          <w:marLeft w:val="0"/>
          <w:marRight w:val="0"/>
          <w:marTop w:val="0"/>
          <w:marBottom w:val="0"/>
          <w:divBdr>
            <w:top w:val="none" w:sz="0" w:space="0" w:color="auto"/>
            <w:left w:val="none" w:sz="0" w:space="0" w:color="auto"/>
            <w:bottom w:val="none" w:sz="0" w:space="0" w:color="auto"/>
            <w:right w:val="none" w:sz="0" w:space="0" w:color="auto"/>
          </w:divBdr>
          <w:divsChild>
            <w:div w:id="193162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998594">
      <w:bodyDiv w:val="1"/>
      <w:marLeft w:val="0"/>
      <w:marRight w:val="0"/>
      <w:marTop w:val="0"/>
      <w:marBottom w:val="0"/>
      <w:divBdr>
        <w:top w:val="none" w:sz="0" w:space="0" w:color="auto"/>
        <w:left w:val="none" w:sz="0" w:space="0" w:color="auto"/>
        <w:bottom w:val="none" w:sz="0" w:space="0" w:color="auto"/>
        <w:right w:val="none" w:sz="0" w:space="0" w:color="auto"/>
      </w:divBdr>
    </w:div>
    <w:div w:id="639965926">
      <w:bodyDiv w:val="1"/>
      <w:marLeft w:val="0"/>
      <w:marRight w:val="0"/>
      <w:marTop w:val="0"/>
      <w:marBottom w:val="0"/>
      <w:divBdr>
        <w:top w:val="none" w:sz="0" w:space="0" w:color="auto"/>
        <w:left w:val="none" w:sz="0" w:space="0" w:color="auto"/>
        <w:bottom w:val="none" w:sz="0" w:space="0" w:color="auto"/>
        <w:right w:val="none" w:sz="0" w:space="0" w:color="auto"/>
      </w:divBdr>
    </w:div>
    <w:div w:id="641539856">
      <w:bodyDiv w:val="1"/>
      <w:marLeft w:val="0"/>
      <w:marRight w:val="0"/>
      <w:marTop w:val="0"/>
      <w:marBottom w:val="0"/>
      <w:divBdr>
        <w:top w:val="none" w:sz="0" w:space="0" w:color="auto"/>
        <w:left w:val="none" w:sz="0" w:space="0" w:color="auto"/>
        <w:bottom w:val="none" w:sz="0" w:space="0" w:color="auto"/>
        <w:right w:val="none" w:sz="0" w:space="0" w:color="auto"/>
      </w:divBdr>
      <w:divsChild>
        <w:div w:id="1413351676">
          <w:marLeft w:val="0"/>
          <w:marRight w:val="0"/>
          <w:marTop w:val="0"/>
          <w:marBottom w:val="0"/>
          <w:divBdr>
            <w:top w:val="none" w:sz="0" w:space="0" w:color="auto"/>
            <w:left w:val="none" w:sz="0" w:space="0" w:color="auto"/>
            <w:bottom w:val="none" w:sz="0" w:space="0" w:color="auto"/>
            <w:right w:val="none" w:sz="0" w:space="0" w:color="auto"/>
          </w:divBdr>
          <w:divsChild>
            <w:div w:id="143073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243977">
      <w:bodyDiv w:val="1"/>
      <w:marLeft w:val="0"/>
      <w:marRight w:val="0"/>
      <w:marTop w:val="0"/>
      <w:marBottom w:val="0"/>
      <w:divBdr>
        <w:top w:val="none" w:sz="0" w:space="0" w:color="auto"/>
        <w:left w:val="none" w:sz="0" w:space="0" w:color="auto"/>
        <w:bottom w:val="none" w:sz="0" w:space="0" w:color="auto"/>
        <w:right w:val="none" w:sz="0" w:space="0" w:color="auto"/>
      </w:divBdr>
      <w:divsChild>
        <w:div w:id="1051667">
          <w:marLeft w:val="0"/>
          <w:marRight w:val="0"/>
          <w:marTop w:val="0"/>
          <w:marBottom w:val="0"/>
          <w:divBdr>
            <w:top w:val="none" w:sz="0" w:space="0" w:color="auto"/>
            <w:left w:val="none" w:sz="0" w:space="0" w:color="auto"/>
            <w:bottom w:val="none" w:sz="0" w:space="0" w:color="auto"/>
            <w:right w:val="none" w:sz="0" w:space="0" w:color="auto"/>
          </w:divBdr>
        </w:div>
        <w:div w:id="57293634">
          <w:marLeft w:val="0"/>
          <w:marRight w:val="0"/>
          <w:marTop w:val="0"/>
          <w:marBottom w:val="0"/>
          <w:divBdr>
            <w:top w:val="none" w:sz="0" w:space="0" w:color="auto"/>
            <w:left w:val="none" w:sz="0" w:space="0" w:color="auto"/>
            <w:bottom w:val="none" w:sz="0" w:space="0" w:color="auto"/>
            <w:right w:val="none" w:sz="0" w:space="0" w:color="auto"/>
          </w:divBdr>
        </w:div>
        <w:div w:id="174269542">
          <w:marLeft w:val="0"/>
          <w:marRight w:val="0"/>
          <w:marTop w:val="0"/>
          <w:marBottom w:val="0"/>
          <w:divBdr>
            <w:top w:val="none" w:sz="0" w:space="0" w:color="auto"/>
            <w:left w:val="none" w:sz="0" w:space="0" w:color="auto"/>
            <w:bottom w:val="none" w:sz="0" w:space="0" w:color="auto"/>
            <w:right w:val="none" w:sz="0" w:space="0" w:color="auto"/>
          </w:divBdr>
        </w:div>
        <w:div w:id="229655033">
          <w:marLeft w:val="0"/>
          <w:marRight w:val="0"/>
          <w:marTop w:val="0"/>
          <w:marBottom w:val="0"/>
          <w:divBdr>
            <w:top w:val="none" w:sz="0" w:space="0" w:color="auto"/>
            <w:left w:val="none" w:sz="0" w:space="0" w:color="auto"/>
            <w:bottom w:val="none" w:sz="0" w:space="0" w:color="auto"/>
            <w:right w:val="none" w:sz="0" w:space="0" w:color="auto"/>
          </w:divBdr>
        </w:div>
        <w:div w:id="360011384">
          <w:marLeft w:val="0"/>
          <w:marRight w:val="0"/>
          <w:marTop w:val="0"/>
          <w:marBottom w:val="0"/>
          <w:divBdr>
            <w:top w:val="none" w:sz="0" w:space="0" w:color="auto"/>
            <w:left w:val="none" w:sz="0" w:space="0" w:color="auto"/>
            <w:bottom w:val="none" w:sz="0" w:space="0" w:color="auto"/>
            <w:right w:val="none" w:sz="0" w:space="0" w:color="auto"/>
          </w:divBdr>
        </w:div>
        <w:div w:id="485316355">
          <w:marLeft w:val="0"/>
          <w:marRight w:val="0"/>
          <w:marTop w:val="0"/>
          <w:marBottom w:val="0"/>
          <w:divBdr>
            <w:top w:val="none" w:sz="0" w:space="0" w:color="auto"/>
            <w:left w:val="none" w:sz="0" w:space="0" w:color="auto"/>
            <w:bottom w:val="none" w:sz="0" w:space="0" w:color="auto"/>
            <w:right w:val="none" w:sz="0" w:space="0" w:color="auto"/>
          </w:divBdr>
        </w:div>
        <w:div w:id="497160696">
          <w:marLeft w:val="0"/>
          <w:marRight w:val="0"/>
          <w:marTop w:val="0"/>
          <w:marBottom w:val="0"/>
          <w:divBdr>
            <w:top w:val="none" w:sz="0" w:space="0" w:color="auto"/>
            <w:left w:val="none" w:sz="0" w:space="0" w:color="auto"/>
            <w:bottom w:val="none" w:sz="0" w:space="0" w:color="auto"/>
            <w:right w:val="none" w:sz="0" w:space="0" w:color="auto"/>
          </w:divBdr>
        </w:div>
        <w:div w:id="503397194">
          <w:marLeft w:val="0"/>
          <w:marRight w:val="0"/>
          <w:marTop w:val="0"/>
          <w:marBottom w:val="0"/>
          <w:divBdr>
            <w:top w:val="none" w:sz="0" w:space="0" w:color="auto"/>
            <w:left w:val="none" w:sz="0" w:space="0" w:color="auto"/>
            <w:bottom w:val="none" w:sz="0" w:space="0" w:color="auto"/>
            <w:right w:val="none" w:sz="0" w:space="0" w:color="auto"/>
          </w:divBdr>
        </w:div>
        <w:div w:id="513227489">
          <w:marLeft w:val="0"/>
          <w:marRight w:val="0"/>
          <w:marTop w:val="0"/>
          <w:marBottom w:val="0"/>
          <w:divBdr>
            <w:top w:val="none" w:sz="0" w:space="0" w:color="auto"/>
            <w:left w:val="none" w:sz="0" w:space="0" w:color="auto"/>
            <w:bottom w:val="none" w:sz="0" w:space="0" w:color="auto"/>
            <w:right w:val="none" w:sz="0" w:space="0" w:color="auto"/>
          </w:divBdr>
        </w:div>
        <w:div w:id="526481070">
          <w:marLeft w:val="0"/>
          <w:marRight w:val="0"/>
          <w:marTop w:val="0"/>
          <w:marBottom w:val="0"/>
          <w:divBdr>
            <w:top w:val="none" w:sz="0" w:space="0" w:color="auto"/>
            <w:left w:val="none" w:sz="0" w:space="0" w:color="auto"/>
            <w:bottom w:val="none" w:sz="0" w:space="0" w:color="auto"/>
            <w:right w:val="none" w:sz="0" w:space="0" w:color="auto"/>
          </w:divBdr>
        </w:div>
        <w:div w:id="651567907">
          <w:marLeft w:val="0"/>
          <w:marRight w:val="0"/>
          <w:marTop w:val="0"/>
          <w:marBottom w:val="0"/>
          <w:divBdr>
            <w:top w:val="none" w:sz="0" w:space="0" w:color="auto"/>
            <w:left w:val="none" w:sz="0" w:space="0" w:color="auto"/>
            <w:bottom w:val="none" w:sz="0" w:space="0" w:color="auto"/>
            <w:right w:val="none" w:sz="0" w:space="0" w:color="auto"/>
          </w:divBdr>
        </w:div>
        <w:div w:id="777020572">
          <w:marLeft w:val="0"/>
          <w:marRight w:val="0"/>
          <w:marTop w:val="0"/>
          <w:marBottom w:val="0"/>
          <w:divBdr>
            <w:top w:val="none" w:sz="0" w:space="0" w:color="auto"/>
            <w:left w:val="none" w:sz="0" w:space="0" w:color="auto"/>
            <w:bottom w:val="none" w:sz="0" w:space="0" w:color="auto"/>
            <w:right w:val="none" w:sz="0" w:space="0" w:color="auto"/>
          </w:divBdr>
        </w:div>
        <w:div w:id="810948252">
          <w:marLeft w:val="0"/>
          <w:marRight w:val="0"/>
          <w:marTop w:val="0"/>
          <w:marBottom w:val="0"/>
          <w:divBdr>
            <w:top w:val="none" w:sz="0" w:space="0" w:color="auto"/>
            <w:left w:val="none" w:sz="0" w:space="0" w:color="auto"/>
            <w:bottom w:val="none" w:sz="0" w:space="0" w:color="auto"/>
            <w:right w:val="none" w:sz="0" w:space="0" w:color="auto"/>
          </w:divBdr>
        </w:div>
        <w:div w:id="836650573">
          <w:marLeft w:val="0"/>
          <w:marRight w:val="0"/>
          <w:marTop w:val="0"/>
          <w:marBottom w:val="0"/>
          <w:divBdr>
            <w:top w:val="none" w:sz="0" w:space="0" w:color="auto"/>
            <w:left w:val="none" w:sz="0" w:space="0" w:color="auto"/>
            <w:bottom w:val="none" w:sz="0" w:space="0" w:color="auto"/>
            <w:right w:val="none" w:sz="0" w:space="0" w:color="auto"/>
          </w:divBdr>
        </w:div>
        <w:div w:id="977801032">
          <w:marLeft w:val="0"/>
          <w:marRight w:val="0"/>
          <w:marTop w:val="0"/>
          <w:marBottom w:val="0"/>
          <w:divBdr>
            <w:top w:val="none" w:sz="0" w:space="0" w:color="auto"/>
            <w:left w:val="none" w:sz="0" w:space="0" w:color="auto"/>
            <w:bottom w:val="none" w:sz="0" w:space="0" w:color="auto"/>
            <w:right w:val="none" w:sz="0" w:space="0" w:color="auto"/>
          </w:divBdr>
        </w:div>
        <w:div w:id="1082334461">
          <w:marLeft w:val="0"/>
          <w:marRight w:val="0"/>
          <w:marTop w:val="0"/>
          <w:marBottom w:val="0"/>
          <w:divBdr>
            <w:top w:val="none" w:sz="0" w:space="0" w:color="auto"/>
            <w:left w:val="none" w:sz="0" w:space="0" w:color="auto"/>
            <w:bottom w:val="none" w:sz="0" w:space="0" w:color="auto"/>
            <w:right w:val="none" w:sz="0" w:space="0" w:color="auto"/>
          </w:divBdr>
        </w:div>
        <w:div w:id="1091043719">
          <w:marLeft w:val="0"/>
          <w:marRight w:val="0"/>
          <w:marTop w:val="0"/>
          <w:marBottom w:val="0"/>
          <w:divBdr>
            <w:top w:val="none" w:sz="0" w:space="0" w:color="auto"/>
            <w:left w:val="none" w:sz="0" w:space="0" w:color="auto"/>
            <w:bottom w:val="none" w:sz="0" w:space="0" w:color="auto"/>
            <w:right w:val="none" w:sz="0" w:space="0" w:color="auto"/>
          </w:divBdr>
        </w:div>
        <w:div w:id="1093555442">
          <w:marLeft w:val="0"/>
          <w:marRight w:val="0"/>
          <w:marTop w:val="0"/>
          <w:marBottom w:val="0"/>
          <w:divBdr>
            <w:top w:val="none" w:sz="0" w:space="0" w:color="auto"/>
            <w:left w:val="none" w:sz="0" w:space="0" w:color="auto"/>
            <w:bottom w:val="none" w:sz="0" w:space="0" w:color="auto"/>
            <w:right w:val="none" w:sz="0" w:space="0" w:color="auto"/>
          </w:divBdr>
        </w:div>
        <w:div w:id="1158378368">
          <w:marLeft w:val="0"/>
          <w:marRight w:val="0"/>
          <w:marTop w:val="0"/>
          <w:marBottom w:val="0"/>
          <w:divBdr>
            <w:top w:val="none" w:sz="0" w:space="0" w:color="auto"/>
            <w:left w:val="none" w:sz="0" w:space="0" w:color="auto"/>
            <w:bottom w:val="none" w:sz="0" w:space="0" w:color="auto"/>
            <w:right w:val="none" w:sz="0" w:space="0" w:color="auto"/>
          </w:divBdr>
        </w:div>
        <w:div w:id="1161383555">
          <w:marLeft w:val="0"/>
          <w:marRight w:val="0"/>
          <w:marTop w:val="0"/>
          <w:marBottom w:val="0"/>
          <w:divBdr>
            <w:top w:val="none" w:sz="0" w:space="0" w:color="auto"/>
            <w:left w:val="none" w:sz="0" w:space="0" w:color="auto"/>
            <w:bottom w:val="none" w:sz="0" w:space="0" w:color="auto"/>
            <w:right w:val="none" w:sz="0" w:space="0" w:color="auto"/>
          </w:divBdr>
        </w:div>
        <w:div w:id="1225488253">
          <w:marLeft w:val="0"/>
          <w:marRight w:val="0"/>
          <w:marTop w:val="0"/>
          <w:marBottom w:val="0"/>
          <w:divBdr>
            <w:top w:val="none" w:sz="0" w:space="0" w:color="auto"/>
            <w:left w:val="none" w:sz="0" w:space="0" w:color="auto"/>
            <w:bottom w:val="none" w:sz="0" w:space="0" w:color="auto"/>
            <w:right w:val="none" w:sz="0" w:space="0" w:color="auto"/>
          </w:divBdr>
        </w:div>
        <w:div w:id="1463888503">
          <w:marLeft w:val="0"/>
          <w:marRight w:val="0"/>
          <w:marTop w:val="0"/>
          <w:marBottom w:val="0"/>
          <w:divBdr>
            <w:top w:val="none" w:sz="0" w:space="0" w:color="auto"/>
            <w:left w:val="none" w:sz="0" w:space="0" w:color="auto"/>
            <w:bottom w:val="none" w:sz="0" w:space="0" w:color="auto"/>
            <w:right w:val="none" w:sz="0" w:space="0" w:color="auto"/>
          </w:divBdr>
        </w:div>
        <w:div w:id="1495023932">
          <w:marLeft w:val="0"/>
          <w:marRight w:val="0"/>
          <w:marTop w:val="0"/>
          <w:marBottom w:val="0"/>
          <w:divBdr>
            <w:top w:val="none" w:sz="0" w:space="0" w:color="auto"/>
            <w:left w:val="none" w:sz="0" w:space="0" w:color="auto"/>
            <w:bottom w:val="none" w:sz="0" w:space="0" w:color="auto"/>
            <w:right w:val="none" w:sz="0" w:space="0" w:color="auto"/>
          </w:divBdr>
        </w:div>
        <w:div w:id="1565020614">
          <w:marLeft w:val="0"/>
          <w:marRight w:val="0"/>
          <w:marTop w:val="0"/>
          <w:marBottom w:val="0"/>
          <w:divBdr>
            <w:top w:val="none" w:sz="0" w:space="0" w:color="auto"/>
            <w:left w:val="none" w:sz="0" w:space="0" w:color="auto"/>
            <w:bottom w:val="none" w:sz="0" w:space="0" w:color="auto"/>
            <w:right w:val="none" w:sz="0" w:space="0" w:color="auto"/>
          </w:divBdr>
        </w:div>
        <w:div w:id="1585721222">
          <w:marLeft w:val="0"/>
          <w:marRight w:val="0"/>
          <w:marTop w:val="0"/>
          <w:marBottom w:val="0"/>
          <w:divBdr>
            <w:top w:val="none" w:sz="0" w:space="0" w:color="auto"/>
            <w:left w:val="none" w:sz="0" w:space="0" w:color="auto"/>
            <w:bottom w:val="none" w:sz="0" w:space="0" w:color="auto"/>
            <w:right w:val="none" w:sz="0" w:space="0" w:color="auto"/>
          </w:divBdr>
        </w:div>
        <w:div w:id="1618677967">
          <w:marLeft w:val="0"/>
          <w:marRight w:val="0"/>
          <w:marTop w:val="0"/>
          <w:marBottom w:val="0"/>
          <w:divBdr>
            <w:top w:val="none" w:sz="0" w:space="0" w:color="auto"/>
            <w:left w:val="none" w:sz="0" w:space="0" w:color="auto"/>
            <w:bottom w:val="none" w:sz="0" w:space="0" w:color="auto"/>
            <w:right w:val="none" w:sz="0" w:space="0" w:color="auto"/>
          </w:divBdr>
        </w:div>
        <w:div w:id="1652128025">
          <w:marLeft w:val="0"/>
          <w:marRight w:val="0"/>
          <w:marTop w:val="0"/>
          <w:marBottom w:val="0"/>
          <w:divBdr>
            <w:top w:val="none" w:sz="0" w:space="0" w:color="auto"/>
            <w:left w:val="none" w:sz="0" w:space="0" w:color="auto"/>
            <w:bottom w:val="none" w:sz="0" w:space="0" w:color="auto"/>
            <w:right w:val="none" w:sz="0" w:space="0" w:color="auto"/>
          </w:divBdr>
        </w:div>
        <w:div w:id="1710182702">
          <w:marLeft w:val="0"/>
          <w:marRight w:val="0"/>
          <w:marTop w:val="0"/>
          <w:marBottom w:val="0"/>
          <w:divBdr>
            <w:top w:val="none" w:sz="0" w:space="0" w:color="auto"/>
            <w:left w:val="none" w:sz="0" w:space="0" w:color="auto"/>
            <w:bottom w:val="none" w:sz="0" w:space="0" w:color="auto"/>
            <w:right w:val="none" w:sz="0" w:space="0" w:color="auto"/>
          </w:divBdr>
        </w:div>
        <w:div w:id="1724059221">
          <w:marLeft w:val="0"/>
          <w:marRight w:val="0"/>
          <w:marTop w:val="0"/>
          <w:marBottom w:val="0"/>
          <w:divBdr>
            <w:top w:val="none" w:sz="0" w:space="0" w:color="auto"/>
            <w:left w:val="none" w:sz="0" w:space="0" w:color="auto"/>
            <w:bottom w:val="none" w:sz="0" w:space="0" w:color="auto"/>
            <w:right w:val="none" w:sz="0" w:space="0" w:color="auto"/>
          </w:divBdr>
        </w:div>
        <w:div w:id="1744142233">
          <w:marLeft w:val="0"/>
          <w:marRight w:val="0"/>
          <w:marTop w:val="0"/>
          <w:marBottom w:val="0"/>
          <w:divBdr>
            <w:top w:val="none" w:sz="0" w:space="0" w:color="auto"/>
            <w:left w:val="none" w:sz="0" w:space="0" w:color="auto"/>
            <w:bottom w:val="none" w:sz="0" w:space="0" w:color="auto"/>
            <w:right w:val="none" w:sz="0" w:space="0" w:color="auto"/>
          </w:divBdr>
        </w:div>
        <w:div w:id="1799908802">
          <w:marLeft w:val="0"/>
          <w:marRight w:val="0"/>
          <w:marTop w:val="0"/>
          <w:marBottom w:val="0"/>
          <w:divBdr>
            <w:top w:val="none" w:sz="0" w:space="0" w:color="auto"/>
            <w:left w:val="none" w:sz="0" w:space="0" w:color="auto"/>
            <w:bottom w:val="none" w:sz="0" w:space="0" w:color="auto"/>
            <w:right w:val="none" w:sz="0" w:space="0" w:color="auto"/>
          </w:divBdr>
        </w:div>
        <w:div w:id="1858233819">
          <w:marLeft w:val="0"/>
          <w:marRight w:val="0"/>
          <w:marTop w:val="0"/>
          <w:marBottom w:val="0"/>
          <w:divBdr>
            <w:top w:val="none" w:sz="0" w:space="0" w:color="auto"/>
            <w:left w:val="none" w:sz="0" w:space="0" w:color="auto"/>
            <w:bottom w:val="none" w:sz="0" w:space="0" w:color="auto"/>
            <w:right w:val="none" w:sz="0" w:space="0" w:color="auto"/>
          </w:divBdr>
        </w:div>
        <w:div w:id="1982267945">
          <w:marLeft w:val="0"/>
          <w:marRight w:val="0"/>
          <w:marTop w:val="0"/>
          <w:marBottom w:val="0"/>
          <w:divBdr>
            <w:top w:val="none" w:sz="0" w:space="0" w:color="auto"/>
            <w:left w:val="none" w:sz="0" w:space="0" w:color="auto"/>
            <w:bottom w:val="none" w:sz="0" w:space="0" w:color="auto"/>
            <w:right w:val="none" w:sz="0" w:space="0" w:color="auto"/>
          </w:divBdr>
        </w:div>
        <w:div w:id="2054228943">
          <w:marLeft w:val="0"/>
          <w:marRight w:val="0"/>
          <w:marTop w:val="0"/>
          <w:marBottom w:val="0"/>
          <w:divBdr>
            <w:top w:val="none" w:sz="0" w:space="0" w:color="auto"/>
            <w:left w:val="none" w:sz="0" w:space="0" w:color="auto"/>
            <w:bottom w:val="none" w:sz="0" w:space="0" w:color="auto"/>
            <w:right w:val="none" w:sz="0" w:space="0" w:color="auto"/>
          </w:divBdr>
        </w:div>
      </w:divsChild>
    </w:div>
    <w:div w:id="744686029">
      <w:bodyDiv w:val="1"/>
      <w:marLeft w:val="0"/>
      <w:marRight w:val="0"/>
      <w:marTop w:val="0"/>
      <w:marBottom w:val="0"/>
      <w:divBdr>
        <w:top w:val="none" w:sz="0" w:space="0" w:color="auto"/>
        <w:left w:val="none" w:sz="0" w:space="0" w:color="auto"/>
        <w:bottom w:val="none" w:sz="0" w:space="0" w:color="auto"/>
        <w:right w:val="none" w:sz="0" w:space="0" w:color="auto"/>
      </w:divBdr>
    </w:div>
    <w:div w:id="928928564">
      <w:bodyDiv w:val="1"/>
      <w:marLeft w:val="0"/>
      <w:marRight w:val="0"/>
      <w:marTop w:val="0"/>
      <w:marBottom w:val="0"/>
      <w:divBdr>
        <w:top w:val="none" w:sz="0" w:space="0" w:color="auto"/>
        <w:left w:val="none" w:sz="0" w:space="0" w:color="auto"/>
        <w:bottom w:val="none" w:sz="0" w:space="0" w:color="auto"/>
        <w:right w:val="none" w:sz="0" w:space="0" w:color="auto"/>
      </w:divBdr>
      <w:divsChild>
        <w:div w:id="215508955">
          <w:marLeft w:val="0"/>
          <w:marRight w:val="0"/>
          <w:marTop w:val="0"/>
          <w:marBottom w:val="0"/>
          <w:divBdr>
            <w:top w:val="none" w:sz="0" w:space="0" w:color="auto"/>
            <w:left w:val="none" w:sz="0" w:space="0" w:color="auto"/>
            <w:bottom w:val="none" w:sz="0" w:space="0" w:color="auto"/>
            <w:right w:val="none" w:sz="0" w:space="0" w:color="auto"/>
          </w:divBdr>
        </w:div>
        <w:div w:id="257257401">
          <w:marLeft w:val="0"/>
          <w:marRight w:val="0"/>
          <w:marTop w:val="0"/>
          <w:marBottom w:val="0"/>
          <w:divBdr>
            <w:top w:val="none" w:sz="0" w:space="0" w:color="auto"/>
            <w:left w:val="none" w:sz="0" w:space="0" w:color="auto"/>
            <w:bottom w:val="none" w:sz="0" w:space="0" w:color="auto"/>
            <w:right w:val="none" w:sz="0" w:space="0" w:color="auto"/>
          </w:divBdr>
        </w:div>
        <w:div w:id="342319643">
          <w:marLeft w:val="0"/>
          <w:marRight w:val="0"/>
          <w:marTop w:val="0"/>
          <w:marBottom w:val="0"/>
          <w:divBdr>
            <w:top w:val="none" w:sz="0" w:space="0" w:color="auto"/>
            <w:left w:val="none" w:sz="0" w:space="0" w:color="auto"/>
            <w:bottom w:val="none" w:sz="0" w:space="0" w:color="auto"/>
            <w:right w:val="none" w:sz="0" w:space="0" w:color="auto"/>
          </w:divBdr>
        </w:div>
        <w:div w:id="342367765">
          <w:marLeft w:val="0"/>
          <w:marRight w:val="0"/>
          <w:marTop w:val="0"/>
          <w:marBottom w:val="0"/>
          <w:divBdr>
            <w:top w:val="none" w:sz="0" w:space="0" w:color="auto"/>
            <w:left w:val="none" w:sz="0" w:space="0" w:color="auto"/>
            <w:bottom w:val="none" w:sz="0" w:space="0" w:color="auto"/>
            <w:right w:val="none" w:sz="0" w:space="0" w:color="auto"/>
          </w:divBdr>
        </w:div>
        <w:div w:id="362752994">
          <w:marLeft w:val="0"/>
          <w:marRight w:val="0"/>
          <w:marTop w:val="0"/>
          <w:marBottom w:val="0"/>
          <w:divBdr>
            <w:top w:val="none" w:sz="0" w:space="0" w:color="auto"/>
            <w:left w:val="none" w:sz="0" w:space="0" w:color="auto"/>
            <w:bottom w:val="none" w:sz="0" w:space="0" w:color="auto"/>
            <w:right w:val="none" w:sz="0" w:space="0" w:color="auto"/>
          </w:divBdr>
        </w:div>
        <w:div w:id="438258465">
          <w:marLeft w:val="0"/>
          <w:marRight w:val="0"/>
          <w:marTop w:val="0"/>
          <w:marBottom w:val="0"/>
          <w:divBdr>
            <w:top w:val="none" w:sz="0" w:space="0" w:color="auto"/>
            <w:left w:val="none" w:sz="0" w:space="0" w:color="auto"/>
            <w:bottom w:val="none" w:sz="0" w:space="0" w:color="auto"/>
            <w:right w:val="none" w:sz="0" w:space="0" w:color="auto"/>
          </w:divBdr>
        </w:div>
        <w:div w:id="460343825">
          <w:marLeft w:val="0"/>
          <w:marRight w:val="0"/>
          <w:marTop w:val="0"/>
          <w:marBottom w:val="0"/>
          <w:divBdr>
            <w:top w:val="none" w:sz="0" w:space="0" w:color="auto"/>
            <w:left w:val="none" w:sz="0" w:space="0" w:color="auto"/>
            <w:bottom w:val="none" w:sz="0" w:space="0" w:color="auto"/>
            <w:right w:val="none" w:sz="0" w:space="0" w:color="auto"/>
          </w:divBdr>
        </w:div>
        <w:div w:id="471991421">
          <w:marLeft w:val="0"/>
          <w:marRight w:val="0"/>
          <w:marTop w:val="0"/>
          <w:marBottom w:val="0"/>
          <w:divBdr>
            <w:top w:val="none" w:sz="0" w:space="0" w:color="auto"/>
            <w:left w:val="none" w:sz="0" w:space="0" w:color="auto"/>
            <w:bottom w:val="none" w:sz="0" w:space="0" w:color="auto"/>
            <w:right w:val="none" w:sz="0" w:space="0" w:color="auto"/>
          </w:divBdr>
        </w:div>
        <w:div w:id="513809735">
          <w:marLeft w:val="0"/>
          <w:marRight w:val="0"/>
          <w:marTop w:val="0"/>
          <w:marBottom w:val="0"/>
          <w:divBdr>
            <w:top w:val="none" w:sz="0" w:space="0" w:color="auto"/>
            <w:left w:val="none" w:sz="0" w:space="0" w:color="auto"/>
            <w:bottom w:val="none" w:sz="0" w:space="0" w:color="auto"/>
            <w:right w:val="none" w:sz="0" w:space="0" w:color="auto"/>
          </w:divBdr>
        </w:div>
        <w:div w:id="585001566">
          <w:marLeft w:val="0"/>
          <w:marRight w:val="0"/>
          <w:marTop w:val="0"/>
          <w:marBottom w:val="0"/>
          <w:divBdr>
            <w:top w:val="none" w:sz="0" w:space="0" w:color="auto"/>
            <w:left w:val="none" w:sz="0" w:space="0" w:color="auto"/>
            <w:bottom w:val="none" w:sz="0" w:space="0" w:color="auto"/>
            <w:right w:val="none" w:sz="0" w:space="0" w:color="auto"/>
          </w:divBdr>
        </w:div>
        <w:div w:id="743378719">
          <w:marLeft w:val="0"/>
          <w:marRight w:val="0"/>
          <w:marTop w:val="0"/>
          <w:marBottom w:val="0"/>
          <w:divBdr>
            <w:top w:val="none" w:sz="0" w:space="0" w:color="auto"/>
            <w:left w:val="none" w:sz="0" w:space="0" w:color="auto"/>
            <w:bottom w:val="none" w:sz="0" w:space="0" w:color="auto"/>
            <w:right w:val="none" w:sz="0" w:space="0" w:color="auto"/>
          </w:divBdr>
        </w:div>
        <w:div w:id="804618182">
          <w:marLeft w:val="0"/>
          <w:marRight w:val="0"/>
          <w:marTop w:val="0"/>
          <w:marBottom w:val="0"/>
          <w:divBdr>
            <w:top w:val="none" w:sz="0" w:space="0" w:color="auto"/>
            <w:left w:val="none" w:sz="0" w:space="0" w:color="auto"/>
            <w:bottom w:val="none" w:sz="0" w:space="0" w:color="auto"/>
            <w:right w:val="none" w:sz="0" w:space="0" w:color="auto"/>
          </w:divBdr>
        </w:div>
        <w:div w:id="822818692">
          <w:marLeft w:val="0"/>
          <w:marRight w:val="0"/>
          <w:marTop w:val="0"/>
          <w:marBottom w:val="0"/>
          <w:divBdr>
            <w:top w:val="none" w:sz="0" w:space="0" w:color="auto"/>
            <w:left w:val="none" w:sz="0" w:space="0" w:color="auto"/>
            <w:bottom w:val="none" w:sz="0" w:space="0" w:color="auto"/>
            <w:right w:val="none" w:sz="0" w:space="0" w:color="auto"/>
          </w:divBdr>
        </w:div>
        <w:div w:id="823475282">
          <w:marLeft w:val="0"/>
          <w:marRight w:val="0"/>
          <w:marTop w:val="0"/>
          <w:marBottom w:val="0"/>
          <w:divBdr>
            <w:top w:val="none" w:sz="0" w:space="0" w:color="auto"/>
            <w:left w:val="none" w:sz="0" w:space="0" w:color="auto"/>
            <w:bottom w:val="none" w:sz="0" w:space="0" w:color="auto"/>
            <w:right w:val="none" w:sz="0" w:space="0" w:color="auto"/>
          </w:divBdr>
        </w:div>
        <w:div w:id="993409898">
          <w:marLeft w:val="0"/>
          <w:marRight w:val="0"/>
          <w:marTop w:val="0"/>
          <w:marBottom w:val="0"/>
          <w:divBdr>
            <w:top w:val="none" w:sz="0" w:space="0" w:color="auto"/>
            <w:left w:val="none" w:sz="0" w:space="0" w:color="auto"/>
            <w:bottom w:val="none" w:sz="0" w:space="0" w:color="auto"/>
            <w:right w:val="none" w:sz="0" w:space="0" w:color="auto"/>
          </w:divBdr>
        </w:div>
        <w:div w:id="999189759">
          <w:marLeft w:val="0"/>
          <w:marRight w:val="0"/>
          <w:marTop w:val="0"/>
          <w:marBottom w:val="0"/>
          <w:divBdr>
            <w:top w:val="none" w:sz="0" w:space="0" w:color="auto"/>
            <w:left w:val="none" w:sz="0" w:space="0" w:color="auto"/>
            <w:bottom w:val="none" w:sz="0" w:space="0" w:color="auto"/>
            <w:right w:val="none" w:sz="0" w:space="0" w:color="auto"/>
          </w:divBdr>
        </w:div>
        <w:div w:id="1081294388">
          <w:marLeft w:val="0"/>
          <w:marRight w:val="0"/>
          <w:marTop w:val="0"/>
          <w:marBottom w:val="0"/>
          <w:divBdr>
            <w:top w:val="none" w:sz="0" w:space="0" w:color="auto"/>
            <w:left w:val="none" w:sz="0" w:space="0" w:color="auto"/>
            <w:bottom w:val="none" w:sz="0" w:space="0" w:color="auto"/>
            <w:right w:val="none" w:sz="0" w:space="0" w:color="auto"/>
          </w:divBdr>
        </w:div>
        <w:div w:id="1169294944">
          <w:marLeft w:val="0"/>
          <w:marRight w:val="0"/>
          <w:marTop w:val="0"/>
          <w:marBottom w:val="0"/>
          <w:divBdr>
            <w:top w:val="none" w:sz="0" w:space="0" w:color="auto"/>
            <w:left w:val="none" w:sz="0" w:space="0" w:color="auto"/>
            <w:bottom w:val="none" w:sz="0" w:space="0" w:color="auto"/>
            <w:right w:val="none" w:sz="0" w:space="0" w:color="auto"/>
          </w:divBdr>
        </w:div>
        <w:div w:id="1175732775">
          <w:marLeft w:val="0"/>
          <w:marRight w:val="0"/>
          <w:marTop w:val="0"/>
          <w:marBottom w:val="0"/>
          <w:divBdr>
            <w:top w:val="none" w:sz="0" w:space="0" w:color="auto"/>
            <w:left w:val="none" w:sz="0" w:space="0" w:color="auto"/>
            <w:bottom w:val="none" w:sz="0" w:space="0" w:color="auto"/>
            <w:right w:val="none" w:sz="0" w:space="0" w:color="auto"/>
          </w:divBdr>
        </w:div>
        <w:div w:id="1200318486">
          <w:marLeft w:val="0"/>
          <w:marRight w:val="0"/>
          <w:marTop w:val="0"/>
          <w:marBottom w:val="0"/>
          <w:divBdr>
            <w:top w:val="none" w:sz="0" w:space="0" w:color="auto"/>
            <w:left w:val="none" w:sz="0" w:space="0" w:color="auto"/>
            <w:bottom w:val="none" w:sz="0" w:space="0" w:color="auto"/>
            <w:right w:val="none" w:sz="0" w:space="0" w:color="auto"/>
          </w:divBdr>
        </w:div>
        <w:div w:id="1270895339">
          <w:marLeft w:val="0"/>
          <w:marRight w:val="0"/>
          <w:marTop w:val="0"/>
          <w:marBottom w:val="0"/>
          <w:divBdr>
            <w:top w:val="none" w:sz="0" w:space="0" w:color="auto"/>
            <w:left w:val="none" w:sz="0" w:space="0" w:color="auto"/>
            <w:bottom w:val="none" w:sz="0" w:space="0" w:color="auto"/>
            <w:right w:val="none" w:sz="0" w:space="0" w:color="auto"/>
          </w:divBdr>
        </w:div>
        <w:div w:id="1279993091">
          <w:marLeft w:val="0"/>
          <w:marRight w:val="0"/>
          <w:marTop w:val="0"/>
          <w:marBottom w:val="0"/>
          <w:divBdr>
            <w:top w:val="none" w:sz="0" w:space="0" w:color="auto"/>
            <w:left w:val="none" w:sz="0" w:space="0" w:color="auto"/>
            <w:bottom w:val="none" w:sz="0" w:space="0" w:color="auto"/>
            <w:right w:val="none" w:sz="0" w:space="0" w:color="auto"/>
          </w:divBdr>
        </w:div>
        <w:div w:id="1434284398">
          <w:marLeft w:val="0"/>
          <w:marRight w:val="0"/>
          <w:marTop w:val="0"/>
          <w:marBottom w:val="0"/>
          <w:divBdr>
            <w:top w:val="none" w:sz="0" w:space="0" w:color="auto"/>
            <w:left w:val="none" w:sz="0" w:space="0" w:color="auto"/>
            <w:bottom w:val="none" w:sz="0" w:space="0" w:color="auto"/>
            <w:right w:val="none" w:sz="0" w:space="0" w:color="auto"/>
          </w:divBdr>
        </w:div>
        <w:div w:id="1457914735">
          <w:marLeft w:val="0"/>
          <w:marRight w:val="0"/>
          <w:marTop w:val="0"/>
          <w:marBottom w:val="0"/>
          <w:divBdr>
            <w:top w:val="none" w:sz="0" w:space="0" w:color="auto"/>
            <w:left w:val="none" w:sz="0" w:space="0" w:color="auto"/>
            <w:bottom w:val="none" w:sz="0" w:space="0" w:color="auto"/>
            <w:right w:val="none" w:sz="0" w:space="0" w:color="auto"/>
          </w:divBdr>
        </w:div>
        <w:div w:id="1574924311">
          <w:marLeft w:val="0"/>
          <w:marRight w:val="0"/>
          <w:marTop w:val="0"/>
          <w:marBottom w:val="0"/>
          <w:divBdr>
            <w:top w:val="none" w:sz="0" w:space="0" w:color="auto"/>
            <w:left w:val="none" w:sz="0" w:space="0" w:color="auto"/>
            <w:bottom w:val="none" w:sz="0" w:space="0" w:color="auto"/>
            <w:right w:val="none" w:sz="0" w:space="0" w:color="auto"/>
          </w:divBdr>
        </w:div>
        <w:div w:id="1739548368">
          <w:marLeft w:val="0"/>
          <w:marRight w:val="0"/>
          <w:marTop w:val="0"/>
          <w:marBottom w:val="0"/>
          <w:divBdr>
            <w:top w:val="none" w:sz="0" w:space="0" w:color="auto"/>
            <w:left w:val="none" w:sz="0" w:space="0" w:color="auto"/>
            <w:bottom w:val="none" w:sz="0" w:space="0" w:color="auto"/>
            <w:right w:val="none" w:sz="0" w:space="0" w:color="auto"/>
          </w:divBdr>
        </w:div>
        <w:div w:id="1754858692">
          <w:marLeft w:val="0"/>
          <w:marRight w:val="0"/>
          <w:marTop w:val="0"/>
          <w:marBottom w:val="0"/>
          <w:divBdr>
            <w:top w:val="none" w:sz="0" w:space="0" w:color="auto"/>
            <w:left w:val="none" w:sz="0" w:space="0" w:color="auto"/>
            <w:bottom w:val="none" w:sz="0" w:space="0" w:color="auto"/>
            <w:right w:val="none" w:sz="0" w:space="0" w:color="auto"/>
          </w:divBdr>
        </w:div>
        <w:div w:id="1759978810">
          <w:marLeft w:val="0"/>
          <w:marRight w:val="0"/>
          <w:marTop w:val="0"/>
          <w:marBottom w:val="0"/>
          <w:divBdr>
            <w:top w:val="none" w:sz="0" w:space="0" w:color="auto"/>
            <w:left w:val="none" w:sz="0" w:space="0" w:color="auto"/>
            <w:bottom w:val="none" w:sz="0" w:space="0" w:color="auto"/>
            <w:right w:val="none" w:sz="0" w:space="0" w:color="auto"/>
          </w:divBdr>
        </w:div>
        <w:div w:id="1765952876">
          <w:marLeft w:val="0"/>
          <w:marRight w:val="0"/>
          <w:marTop w:val="0"/>
          <w:marBottom w:val="0"/>
          <w:divBdr>
            <w:top w:val="none" w:sz="0" w:space="0" w:color="auto"/>
            <w:left w:val="none" w:sz="0" w:space="0" w:color="auto"/>
            <w:bottom w:val="none" w:sz="0" w:space="0" w:color="auto"/>
            <w:right w:val="none" w:sz="0" w:space="0" w:color="auto"/>
          </w:divBdr>
        </w:div>
        <w:div w:id="1851792780">
          <w:marLeft w:val="0"/>
          <w:marRight w:val="0"/>
          <w:marTop w:val="0"/>
          <w:marBottom w:val="0"/>
          <w:divBdr>
            <w:top w:val="none" w:sz="0" w:space="0" w:color="auto"/>
            <w:left w:val="none" w:sz="0" w:space="0" w:color="auto"/>
            <w:bottom w:val="none" w:sz="0" w:space="0" w:color="auto"/>
            <w:right w:val="none" w:sz="0" w:space="0" w:color="auto"/>
          </w:divBdr>
        </w:div>
        <w:div w:id="2009362682">
          <w:marLeft w:val="0"/>
          <w:marRight w:val="0"/>
          <w:marTop w:val="0"/>
          <w:marBottom w:val="0"/>
          <w:divBdr>
            <w:top w:val="none" w:sz="0" w:space="0" w:color="auto"/>
            <w:left w:val="none" w:sz="0" w:space="0" w:color="auto"/>
            <w:bottom w:val="none" w:sz="0" w:space="0" w:color="auto"/>
            <w:right w:val="none" w:sz="0" w:space="0" w:color="auto"/>
          </w:divBdr>
        </w:div>
        <w:div w:id="2015763258">
          <w:marLeft w:val="0"/>
          <w:marRight w:val="0"/>
          <w:marTop w:val="0"/>
          <w:marBottom w:val="0"/>
          <w:divBdr>
            <w:top w:val="none" w:sz="0" w:space="0" w:color="auto"/>
            <w:left w:val="none" w:sz="0" w:space="0" w:color="auto"/>
            <w:bottom w:val="none" w:sz="0" w:space="0" w:color="auto"/>
            <w:right w:val="none" w:sz="0" w:space="0" w:color="auto"/>
          </w:divBdr>
        </w:div>
        <w:div w:id="2039381434">
          <w:marLeft w:val="0"/>
          <w:marRight w:val="0"/>
          <w:marTop w:val="0"/>
          <w:marBottom w:val="0"/>
          <w:divBdr>
            <w:top w:val="none" w:sz="0" w:space="0" w:color="auto"/>
            <w:left w:val="none" w:sz="0" w:space="0" w:color="auto"/>
            <w:bottom w:val="none" w:sz="0" w:space="0" w:color="auto"/>
            <w:right w:val="none" w:sz="0" w:space="0" w:color="auto"/>
          </w:divBdr>
        </w:div>
        <w:div w:id="2046635989">
          <w:marLeft w:val="0"/>
          <w:marRight w:val="0"/>
          <w:marTop w:val="0"/>
          <w:marBottom w:val="0"/>
          <w:divBdr>
            <w:top w:val="none" w:sz="0" w:space="0" w:color="auto"/>
            <w:left w:val="none" w:sz="0" w:space="0" w:color="auto"/>
            <w:bottom w:val="none" w:sz="0" w:space="0" w:color="auto"/>
            <w:right w:val="none" w:sz="0" w:space="0" w:color="auto"/>
          </w:divBdr>
        </w:div>
      </w:divsChild>
    </w:div>
    <w:div w:id="1059593403">
      <w:bodyDiv w:val="1"/>
      <w:marLeft w:val="0"/>
      <w:marRight w:val="0"/>
      <w:marTop w:val="0"/>
      <w:marBottom w:val="0"/>
      <w:divBdr>
        <w:top w:val="none" w:sz="0" w:space="0" w:color="auto"/>
        <w:left w:val="none" w:sz="0" w:space="0" w:color="auto"/>
        <w:bottom w:val="none" w:sz="0" w:space="0" w:color="auto"/>
        <w:right w:val="none" w:sz="0" w:space="0" w:color="auto"/>
      </w:divBdr>
      <w:divsChild>
        <w:div w:id="730084591">
          <w:marLeft w:val="0"/>
          <w:marRight w:val="0"/>
          <w:marTop w:val="0"/>
          <w:marBottom w:val="0"/>
          <w:divBdr>
            <w:top w:val="none" w:sz="0" w:space="0" w:color="auto"/>
            <w:left w:val="none" w:sz="0" w:space="0" w:color="auto"/>
            <w:bottom w:val="none" w:sz="0" w:space="0" w:color="auto"/>
            <w:right w:val="none" w:sz="0" w:space="0" w:color="auto"/>
          </w:divBdr>
          <w:divsChild>
            <w:div w:id="948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45975">
      <w:bodyDiv w:val="1"/>
      <w:marLeft w:val="0"/>
      <w:marRight w:val="0"/>
      <w:marTop w:val="0"/>
      <w:marBottom w:val="0"/>
      <w:divBdr>
        <w:top w:val="none" w:sz="0" w:space="0" w:color="auto"/>
        <w:left w:val="none" w:sz="0" w:space="0" w:color="auto"/>
        <w:bottom w:val="none" w:sz="0" w:space="0" w:color="auto"/>
        <w:right w:val="none" w:sz="0" w:space="0" w:color="auto"/>
      </w:divBdr>
    </w:div>
    <w:div w:id="1122187088">
      <w:bodyDiv w:val="1"/>
      <w:marLeft w:val="0"/>
      <w:marRight w:val="0"/>
      <w:marTop w:val="0"/>
      <w:marBottom w:val="0"/>
      <w:divBdr>
        <w:top w:val="none" w:sz="0" w:space="0" w:color="auto"/>
        <w:left w:val="none" w:sz="0" w:space="0" w:color="auto"/>
        <w:bottom w:val="none" w:sz="0" w:space="0" w:color="auto"/>
        <w:right w:val="none" w:sz="0" w:space="0" w:color="auto"/>
      </w:divBdr>
      <w:divsChild>
        <w:div w:id="1808235403">
          <w:marLeft w:val="0"/>
          <w:marRight w:val="0"/>
          <w:marTop w:val="0"/>
          <w:marBottom w:val="0"/>
          <w:divBdr>
            <w:top w:val="none" w:sz="0" w:space="0" w:color="auto"/>
            <w:left w:val="none" w:sz="0" w:space="0" w:color="auto"/>
            <w:bottom w:val="none" w:sz="0" w:space="0" w:color="auto"/>
            <w:right w:val="none" w:sz="0" w:space="0" w:color="auto"/>
          </w:divBdr>
          <w:divsChild>
            <w:div w:id="40661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007436">
      <w:bodyDiv w:val="1"/>
      <w:marLeft w:val="0"/>
      <w:marRight w:val="0"/>
      <w:marTop w:val="0"/>
      <w:marBottom w:val="0"/>
      <w:divBdr>
        <w:top w:val="none" w:sz="0" w:space="0" w:color="auto"/>
        <w:left w:val="none" w:sz="0" w:space="0" w:color="auto"/>
        <w:bottom w:val="none" w:sz="0" w:space="0" w:color="auto"/>
        <w:right w:val="none" w:sz="0" w:space="0" w:color="auto"/>
      </w:divBdr>
      <w:divsChild>
        <w:div w:id="525950114">
          <w:marLeft w:val="0"/>
          <w:marRight w:val="0"/>
          <w:marTop w:val="0"/>
          <w:marBottom w:val="0"/>
          <w:divBdr>
            <w:top w:val="none" w:sz="0" w:space="0" w:color="auto"/>
            <w:left w:val="none" w:sz="0" w:space="0" w:color="auto"/>
            <w:bottom w:val="none" w:sz="0" w:space="0" w:color="auto"/>
            <w:right w:val="none" w:sz="0" w:space="0" w:color="auto"/>
          </w:divBdr>
          <w:divsChild>
            <w:div w:id="193338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546074">
      <w:bodyDiv w:val="1"/>
      <w:marLeft w:val="0"/>
      <w:marRight w:val="0"/>
      <w:marTop w:val="0"/>
      <w:marBottom w:val="0"/>
      <w:divBdr>
        <w:top w:val="none" w:sz="0" w:space="0" w:color="auto"/>
        <w:left w:val="none" w:sz="0" w:space="0" w:color="auto"/>
        <w:bottom w:val="none" w:sz="0" w:space="0" w:color="auto"/>
        <w:right w:val="none" w:sz="0" w:space="0" w:color="auto"/>
      </w:divBdr>
      <w:divsChild>
        <w:div w:id="9139727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9456538">
      <w:bodyDiv w:val="1"/>
      <w:marLeft w:val="0"/>
      <w:marRight w:val="0"/>
      <w:marTop w:val="0"/>
      <w:marBottom w:val="0"/>
      <w:divBdr>
        <w:top w:val="none" w:sz="0" w:space="0" w:color="auto"/>
        <w:left w:val="none" w:sz="0" w:space="0" w:color="auto"/>
        <w:bottom w:val="none" w:sz="0" w:space="0" w:color="auto"/>
        <w:right w:val="none" w:sz="0" w:space="0" w:color="auto"/>
      </w:divBdr>
      <w:divsChild>
        <w:div w:id="371732352">
          <w:marLeft w:val="0"/>
          <w:marRight w:val="0"/>
          <w:marTop w:val="0"/>
          <w:marBottom w:val="0"/>
          <w:divBdr>
            <w:top w:val="none" w:sz="0" w:space="0" w:color="auto"/>
            <w:left w:val="none" w:sz="0" w:space="0" w:color="auto"/>
            <w:bottom w:val="none" w:sz="0" w:space="0" w:color="auto"/>
            <w:right w:val="none" w:sz="0" w:space="0" w:color="auto"/>
          </w:divBdr>
          <w:divsChild>
            <w:div w:id="121604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618094">
      <w:bodyDiv w:val="1"/>
      <w:marLeft w:val="0"/>
      <w:marRight w:val="0"/>
      <w:marTop w:val="0"/>
      <w:marBottom w:val="0"/>
      <w:divBdr>
        <w:top w:val="none" w:sz="0" w:space="0" w:color="auto"/>
        <w:left w:val="none" w:sz="0" w:space="0" w:color="auto"/>
        <w:bottom w:val="none" w:sz="0" w:space="0" w:color="auto"/>
        <w:right w:val="none" w:sz="0" w:space="0" w:color="auto"/>
      </w:divBdr>
    </w:div>
    <w:div w:id="1814056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eca.europa.eu/ECAPublications/SR-2025-14/SR-2025-14_EN.pdf" TargetMode="External"/><Relationship Id="rId13" Type="http://schemas.openxmlformats.org/officeDocument/2006/relationships/hyperlink" Target="https://www.eiopa.europa.eu/system/files/2023-09/EIOPA-BoS-23-341-Advice_IORPII_review.pdf" TargetMode="External"/><Relationship Id="rId18" Type="http://schemas.openxmlformats.org/officeDocument/2006/relationships/hyperlink" Target="https://eur-lex.europa.eu/legal-content/EN/TXT/?uri=CELEX:52025PC0842" TargetMode="External"/><Relationship Id="rId3" Type="http://schemas.openxmlformats.org/officeDocument/2006/relationships/hyperlink" Target="http://data.europa.eu/eli/dir/2016/2341/oj" TargetMode="External"/><Relationship Id="rId21" Type="http://schemas.openxmlformats.org/officeDocument/2006/relationships/hyperlink" Target="https://eur-lex.europa.eu/legal-content/EN/TXT/?uri=CELEX:52025DC0681" TargetMode="External"/><Relationship Id="rId7" Type="http://schemas.openxmlformats.org/officeDocument/2006/relationships/hyperlink" Target="https://www.eiopa.europa.eu/system/files/2023-09/EIOPA-BoS-23-341-Advice_IORPII_review.pdf" TargetMode="External"/><Relationship Id="rId12" Type="http://schemas.openxmlformats.org/officeDocument/2006/relationships/hyperlink" Target="https://eur-lex.europa.eu/legal-content/EN/TXT/?uri=CELEX:52025PC0840" TargetMode="External"/><Relationship Id="rId17" Type="http://schemas.openxmlformats.org/officeDocument/2006/relationships/hyperlink" Target="https://eur-lex.europa.eu/eli/dir/2016/97/oj" TargetMode="External"/><Relationship Id="rId2" Type="http://schemas.openxmlformats.org/officeDocument/2006/relationships/hyperlink" Target="https://finance.ec.europa.eu/publications/commission-proposes-boost-supplementary-pensions-help-ensure-adequate-retirement-income_en" TargetMode="External"/><Relationship Id="rId16" Type="http://schemas.openxmlformats.org/officeDocument/2006/relationships/hyperlink" Target="https://eur-lex.europa.eu/legal-content/EN/TXT/?uri=CELEX:52025PC0840" TargetMode="External"/><Relationship Id="rId20" Type="http://schemas.openxmlformats.org/officeDocument/2006/relationships/hyperlink" Target="https://www.eca.europa.eu/ECAPublications/SR-2025-14/SR-2025-14_EN.pdf" TargetMode="External"/><Relationship Id="rId1" Type="http://schemas.openxmlformats.org/officeDocument/2006/relationships/hyperlink" Target="https://www.eesc.europa.eu/en/our-work/opinions-information-reports/opinions/supplementary-pensions-package-pepp-and-iorp" TargetMode="External"/><Relationship Id="rId6" Type="http://schemas.openxmlformats.org/officeDocument/2006/relationships/hyperlink" Target="http://data.europa.eu/eli/reco/2025/2384/oj" TargetMode="External"/><Relationship Id="rId11" Type="http://schemas.openxmlformats.org/officeDocument/2006/relationships/hyperlink" Target="https://eur-lex.europa.eu/legal-content/EN/TXT/?uri=CELEX:52025PC0840" TargetMode="External"/><Relationship Id="rId24" Type="http://schemas.openxmlformats.org/officeDocument/2006/relationships/hyperlink" Target="https://eur-lex.europa.eu/eli/dir/2016/97/oj" TargetMode="External"/><Relationship Id="rId5" Type="http://schemas.openxmlformats.org/officeDocument/2006/relationships/hyperlink" Target="https://eur-lex.europa.eu/legal-content/EN/TXT/?uri=CELEX:52025PC0842" TargetMode="External"/><Relationship Id="rId15" Type="http://schemas.openxmlformats.org/officeDocument/2006/relationships/hyperlink" Target="https://eur-lex.europa.eu/legal-content/EN/TXT/?uri=CELEX:52025PC0842" TargetMode="External"/><Relationship Id="rId23" Type="http://schemas.openxmlformats.org/officeDocument/2006/relationships/hyperlink" Target="https://eur-lex.europa.eu/legal-content/EN/TXT/?uri=CELEX:52025PC0842" TargetMode="External"/><Relationship Id="rId10" Type="http://schemas.openxmlformats.org/officeDocument/2006/relationships/hyperlink" Target="https://commission.europa.eu/topics/competitiveness/draghi-report_en" TargetMode="External"/><Relationship Id="rId19" Type="http://schemas.openxmlformats.org/officeDocument/2006/relationships/hyperlink" Target="https://eur-lex.europa.eu/legal-content/EN/TXT/?uri=CELEX:52025PC0842" TargetMode="External"/><Relationship Id="rId4" Type="http://schemas.openxmlformats.org/officeDocument/2006/relationships/hyperlink" Target="http://data.europa.eu/eli/dir/2016/2341/oj" TargetMode="External"/><Relationship Id="rId9" Type="http://schemas.openxmlformats.org/officeDocument/2006/relationships/hyperlink" Target="https://www.consilium.europa.eu/media/ny3j24sm/much-more-than-a-market-report-by-enrico-letta.pdf" TargetMode="External"/><Relationship Id="rId14" Type="http://schemas.openxmlformats.org/officeDocument/2006/relationships/hyperlink" Target="https://eur-lex.europa.eu/legal-content/EN/TXT/?uri=celex:52025PC0842" TargetMode="External"/><Relationship Id="rId22" Type="http://schemas.openxmlformats.org/officeDocument/2006/relationships/hyperlink" Target="https://eur-lex.europa.eu/legal-content/EN/TXT/?uri=CELEX:52025PC0842" TargetMode="External"/></Relationships>
</file>

<file path=word/documenttasks/documenttasks1.xml><?xml version="1.0" encoding="utf-8"?>
<t:Tasks xmlns:t="http://schemas.microsoft.com/office/tasks/2019/documenttasks" xmlns:oel="http://schemas.microsoft.com/office/2019/extlst">
  <t:Task id="{8B513C3B-DE95-4D02-9FDA-A1EDFCA6401C}">
    <t:Anchor>
      <t:Comment id="1888985466"/>
    </t:Anchor>
    <t:History>
      <t:Event id="{BFE63609-1D8F-483D-AFF7-3C0A47F22794}" time="2026-03-30T13:18:25.684Z">
        <t:Attribution userId="S::amelie.balistreri@ec.europa.eu::6443e09e-cc79-471a-b9b8-839c23226784" userProvider="AD" userName="BALISTRERI Amelie (FISMA)"/>
        <t:Anchor>
          <t:Comment id="1888985466"/>
        </t:Anchor>
        <t:Create/>
      </t:Event>
      <t:Event id="{25F63070-3FFB-4C5A-9A02-BFE5A468D551}" time="2026-03-30T13:18:25.684Z">
        <t:Attribution userId="S::amelie.balistreri@ec.europa.eu::6443e09e-cc79-471a-b9b8-839c23226784" userProvider="AD" userName="BALISTRERI Amelie (FISMA)"/>
        <t:Anchor>
          <t:Comment id="1888985466"/>
        </t:Anchor>
        <t:Assign userId="S::Olivia.LYNCH@ec.europa.eu::d80980d3-b2f5-4b17-861b-08a1216444ff" userProvider="AD" userName="LYNCH Olivia (FISMA)"/>
      </t:Event>
      <t:Event id="{2D30D5FE-043E-4970-8121-9662927AC451}" time="2026-03-30T13:18:25.684Z">
        <t:Attribution userId="S::amelie.balistreri@ec.europa.eu::6443e09e-cc79-471a-b9b8-839c23226784" userProvider="AD" userName="BALISTRERI Amelie (FISMA)"/>
        <t:Anchor>
          <t:Comment id="1888985466"/>
        </t:Anchor>
        <t:SetTitle title="@LYNCH Olivia (FISMA) guess something slipped while accepting track changes, please check and update the sentence accordingly"/>
      </t:Event>
      <t:Event id="{0DF6C125-03F1-46AC-BD3D-7E2585A3F3A9}" time="2026-03-30T13:23:19.753Z">
        <t:Attribution userId="S::olivia.lynch@ec.europa.eu::d80980d3-b2f5-4b17-861b-08a1216444ff" userProvider="AD" userName="LYNCH Olivia (FISMA)"/>
        <t:Progress percentComplete="100"/>
      </t:Event>
    </t:History>
  </t:Task>
  <t:Task id="{D8670311-2558-4E0A-8AA3-DEB5055C0B3D}">
    <t:Anchor>
      <t:Comment id="1829803025"/>
    </t:Anchor>
    <t:History>
      <t:Event id="{0951A458-1AE0-4DD7-9E1E-BDCB43A9234D}" time="2026-04-08T10:05:28.345Z">
        <t:Attribution userId="S::amelie.balistreri@ec.europa.eu::6443e09e-cc79-471a-b9b8-839c23226784" userProvider="AD" userName="BALISTRERI Amelie (FISMA)"/>
        <t:Anchor>
          <t:Comment id="1884827902"/>
        </t:Anchor>
        <t:Create/>
      </t:Event>
      <t:Event id="{03556626-5C6A-41E7-945B-AFAEC1F6BD09}" time="2026-04-08T10:05:28.345Z">
        <t:Attribution userId="S::amelie.balistreri@ec.europa.eu::6443e09e-cc79-471a-b9b8-839c23226784" userProvider="AD" userName="BALISTRERI Amelie (FISMA)"/>
        <t:Anchor>
          <t:Comment id="1884827902"/>
        </t:Anchor>
        <t:Assign userId="S::Olivia.LYNCH@ec.europa.eu::d80980d3-b2f5-4b17-861b-08a1216444ff" userProvider="AD" userName="LYNCH Olivia (FISMA)"/>
      </t:Event>
      <t:Event id="{281F2D56-45D5-4396-B2FF-6D0FEBBA83B2}" time="2026-04-08T10:05:28.345Z">
        <t:Attribution userId="S::amelie.balistreri@ec.europa.eu::6443e09e-cc79-471a-b9b8-839c23226784" userProvider="AD" userName="BALISTRERI Amelie (FISMA)"/>
        <t:Anchor>
          <t:Comment id="1884827902"/>
        </t:Anchor>
        <t:SetTitle title="@LYNCH Olivia (FISMA) can you please check? thank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449e43-94aa-43bd-86ca-ac3eb7cdf43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507E09BD1DAC46A65746F89734B139" ma:contentTypeVersion="11" ma:contentTypeDescription="Create a new document." ma:contentTypeScope="" ma:versionID="bf48a34f321afc9319faebf0347f21c2">
  <xsd:schema xmlns:xsd="http://www.w3.org/2001/XMLSchema" xmlns:xs="http://www.w3.org/2001/XMLSchema" xmlns:p="http://schemas.microsoft.com/office/2006/metadata/properties" xmlns:ns1="http://schemas.microsoft.com/sharepoint/v3" xmlns:ns2="ac449e43-94aa-43bd-86ca-ac3eb7cdf43b" targetNamespace="http://schemas.microsoft.com/office/2006/metadata/properties" ma:root="true" ma:fieldsID="87f452eaaa4b91642e7ef4e5a36b3fe7" ns1:_="" ns2:_="">
    <xsd:import namespace="http://schemas.microsoft.com/sharepoint/v3"/>
    <xsd:import namespace="ac449e43-94aa-43bd-86ca-ac3eb7cdf43b"/>
    <xsd:element name="properties">
      <xsd:complexType>
        <xsd:sequence>
          <xsd:element name="documentManagement">
            <xsd:complexType>
              <xsd:all>
                <xsd:element ref="ns1:_vti_ItemDeclaredRecord"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8"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c449e43-94aa-43bd-86ca-ac3eb7cdf43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58B5D6-3095-41AC-A467-C4C5AB93E8C5}">
  <ds:schemaRefs>
    <ds:schemaRef ds:uri="http://schemas.microsoft.com/sharepoint/v3/contenttype/forms"/>
  </ds:schemaRefs>
</ds:datastoreItem>
</file>

<file path=customXml/itemProps2.xml><?xml version="1.0" encoding="utf-8"?>
<ds:datastoreItem xmlns:ds="http://schemas.openxmlformats.org/officeDocument/2006/customXml" ds:itemID="{77D5BBBF-3C08-4D24-B051-86306376989E}">
  <ds:schemaRefs>
    <ds:schemaRef ds:uri="http://schemas.openxmlformats.org/officeDocument/2006/bibliography"/>
  </ds:schemaRefs>
</ds:datastoreItem>
</file>

<file path=customXml/itemProps3.xml><?xml version="1.0" encoding="utf-8"?>
<ds:datastoreItem xmlns:ds="http://schemas.openxmlformats.org/officeDocument/2006/customXml" ds:itemID="{44E7891C-9CCF-411A-BA41-FE7A8A39C123}">
  <ds:schemaRefs>
    <ds:schemaRef ds:uri="http://schemas.microsoft.com/office/2006/metadata/properties"/>
    <ds:schemaRef ds:uri="http://schemas.microsoft.com/office/infopath/2007/PartnerControls"/>
    <ds:schemaRef ds:uri="ac449e43-94aa-43bd-86ca-ac3eb7cdf43b"/>
  </ds:schemaRefs>
</ds:datastoreItem>
</file>

<file path=customXml/itemProps4.xml><?xml version="1.0" encoding="utf-8"?>
<ds:datastoreItem xmlns:ds="http://schemas.openxmlformats.org/officeDocument/2006/customXml" ds:itemID="{976FB33F-FF21-48EB-8353-00568E6F9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c449e43-94aa-43bd-86ca-ac3eb7cdf4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6154</Words>
  <Characters>36745</Characters>
  <Application>Microsoft Office Word</Application>
  <DocSecurity>0</DocSecurity>
  <Lines>532</Lines>
  <Paragraphs>160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PUIA Manuela Morena (SG)</dc:creator>
  <cp:keywords/>
  <cp:lastModifiedBy>ROSSI Simona (SG)</cp:lastModifiedBy>
  <cp:revision>2</cp:revision>
  <cp:lastPrinted>2013-02-28T03:02:00Z</cp:lastPrinted>
  <dcterms:created xsi:type="dcterms:W3CDTF">2026-09-18T11:50:00Z</dcterms:created>
  <dcterms:modified xsi:type="dcterms:W3CDTF">2026-09-18T11:50:00Z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2023-04-12T12:31:59Z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633b4ac4-9ed9-4135-981c-e588276a87bc</vt:lpwstr>
  </property>
  <property fmtid="{D5CDD505-2E9C-101B-9397-08002B2CF9AE}" pid="8" name="MSIP_Label_6bd9ddd1-4d20-43f6-abfa-fc3c07406f94_ContentBits">
    <vt:lpwstr>0</vt:lpwstr>
  </property>
  <property fmtid="{D5CDD505-2E9C-101B-9397-08002B2CF9AE}" pid="9" name="MediaServiceImageTags">
    <vt:lpwstr/>
  </property>
  <property fmtid="{D5CDD505-2E9C-101B-9397-08002B2CF9AE}" pid="10" name="ContentTypeId">
    <vt:lpwstr>0x010100BF507E09BD1DAC46A65746F89734B139</vt:lpwstr>
  </property>
  <property fmtid="{D5CDD505-2E9C-101B-9397-08002B2CF9AE}" pid="11" name="EC_TX_Corporate_x0020_Body">
    <vt:lpwstr/>
  </property>
  <property fmtid="{D5CDD505-2E9C-101B-9397-08002B2CF9AE}" pid="12" name="EC_TX_All_World_Countries">
    <vt:lpwstr/>
  </property>
  <property fmtid="{D5CDD505-2E9C-101B-9397-08002B2CF9AE}" pid="13" name="EC_TX_Corporate Body">
    <vt:lpwstr/>
  </property>
  <property fmtid="{D5CDD505-2E9C-101B-9397-08002B2CF9AE}" pid="14" name="i8c8ab8b63424c5d9f8c4a8434abf670">
    <vt:lpwstr/>
  </property>
  <property fmtid="{D5CDD505-2E9C-101B-9397-08002B2CF9AE}" pid="15" name="p26229aee9004b9f888149fd0449ec68">
    <vt:lpwstr/>
  </property>
  <property fmtid="{D5CDD505-2E9C-101B-9397-08002B2CF9AE}" pid="16" name="eff2cf69f10b4279bbb27215ca009b37">
    <vt:lpwstr/>
  </property>
  <property fmtid="{D5CDD505-2E9C-101B-9397-08002B2CF9AE}" pid="17" name="EC_TX_Resource_Type">
    <vt:lpwstr/>
  </property>
  <property fmtid="{D5CDD505-2E9C-101B-9397-08002B2CF9AE}" pid="18" name="EC_TX_EU_Member_State">
    <vt:lpwstr/>
  </property>
  <property fmtid="{D5CDD505-2E9C-101B-9397-08002B2CF9AE}" pid="19" name="j8309f8bc3e645d1a2f07391f8e5795a">
    <vt:lpwstr/>
  </property>
  <property fmtid="{D5CDD505-2E9C-101B-9397-08002B2CF9AE}" pid="20" name="g81cb4d17be94922847ce418ea81f55a">
    <vt:lpwstr/>
  </property>
  <property fmtid="{D5CDD505-2E9C-101B-9397-08002B2CF9AE}" pid="21" name="TaxCatchAll">
    <vt:lpwstr/>
  </property>
  <property fmtid="{D5CDD505-2E9C-101B-9397-08002B2CF9AE}" pid="22" name="k2c54712f93b47eb83e1835ba301b6c6">
    <vt:lpwstr/>
  </property>
  <property fmtid="{D5CDD505-2E9C-101B-9397-08002B2CF9AE}" pid="23" name="EC_TX_Strategic_Priority">
    <vt:lpwstr/>
  </property>
  <property fmtid="{D5CDD505-2E9C-101B-9397-08002B2CF9AE}" pid="24" name="EC_TX_EU_Political_Leader">
    <vt:lpwstr/>
  </property>
</Properties>
</file>