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9711"/>
      </w:tblGrid>
      <w:tr w:rsidR="008C06B8" w:rsidRPr="00604C5E" w14:paraId="3AECD725" w14:textId="77777777" w:rsidTr="6E6F86EF">
        <w:trPr>
          <w:jc w:val="center"/>
        </w:trPr>
        <w:tc>
          <w:tcPr>
            <w:tcW w:w="9711" w:type="dxa"/>
          </w:tcPr>
          <w:p w14:paraId="3711A4D2" w14:textId="6FD8A524" w:rsidR="008C06B8" w:rsidRPr="000F6B74" w:rsidRDefault="000F6B74" w:rsidP="00331D11">
            <w:pPr>
              <w:pStyle w:val="ListHeader"/>
              <w:spacing w:before="120" w:after="120" w:line="276" w:lineRule="auto"/>
              <w:rPr>
                <w:rFonts w:ascii="Times New Roman" w:hAnsi="Times New Roman" w:cs="Times New Roman"/>
                <w:color w:val="auto"/>
                <w:sz w:val="22"/>
                <w:szCs w:val="22"/>
                <w:lang w:val="en-IE"/>
              </w:rPr>
            </w:pPr>
            <w:r w:rsidRPr="000F6B74">
              <w:rPr>
                <w:rFonts w:ascii="Times New Roman" w:hAnsi="Times New Roman"/>
                <w:sz w:val="22"/>
                <w:szCs w:val="22"/>
                <w:lang w:val="en-IE"/>
              </w:rPr>
              <w:t>European Grids Package</w:t>
            </w:r>
            <w:r w:rsidRPr="000F6B74">
              <w:rPr>
                <w:rFonts w:ascii="Times New Roman" w:hAnsi="Times New Roman"/>
                <w:b w:val="0"/>
                <w:bCs w:val="0"/>
                <w:sz w:val="22"/>
                <w:szCs w:val="22"/>
                <w:lang w:val="en-IE"/>
              </w:rPr>
              <w:br/>
            </w:r>
            <w:r w:rsidRPr="000F6B74">
              <w:rPr>
                <w:rFonts w:ascii="Times New Roman" w:hAnsi="Times New Roman" w:cs="Times New Roman"/>
                <w:color w:val="auto"/>
                <w:sz w:val="22"/>
                <w:szCs w:val="22"/>
                <w:lang w:val="en-IE"/>
              </w:rPr>
              <w:t>(mandatory opinion)</w:t>
            </w:r>
            <w:r w:rsidRPr="000F6B74">
              <w:rPr>
                <w:rFonts w:ascii="Times New Roman" w:hAnsi="Times New Roman" w:cs="Times New Roman"/>
                <w:color w:val="auto"/>
                <w:sz w:val="22"/>
                <w:szCs w:val="22"/>
                <w:lang w:val="en-IE"/>
              </w:rPr>
              <w:br/>
            </w:r>
            <w:proofErr w:type="gramStart"/>
            <w:r w:rsidRPr="000F6B74">
              <w:rPr>
                <w:rFonts w:ascii="Times New Roman" w:hAnsi="Times New Roman" w:cs="Times New Roman"/>
                <w:color w:val="auto"/>
                <w:sz w:val="22"/>
                <w:szCs w:val="22"/>
                <w:lang w:val="en-IE"/>
              </w:rPr>
              <w:t>COM(</w:t>
            </w:r>
            <w:proofErr w:type="gramEnd"/>
            <w:r w:rsidRPr="000F6B74">
              <w:rPr>
                <w:rFonts w:ascii="Times New Roman" w:hAnsi="Times New Roman" w:cs="Times New Roman"/>
                <w:color w:val="auto"/>
                <w:sz w:val="22"/>
                <w:szCs w:val="22"/>
                <w:lang w:val="en-IE"/>
              </w:rPr>
              <w:t>2025) 1005 final,</w:t>
            </w:r>
            <w:r w:rsidRPr="000F6B74">
              <w:rPr>
                <w:rFonts w:ascii="Times New Roman" w:hAnsi="Times New Roman" w:cs="Times New Roman"/>
                <w:color w:val="auto"/>
                <w:sz w:val="22"/>
                <w:szCs w:val="22"/>
                <w:lang w:val="en-IE"/>
              </w:rPr>
              <w:br/>
            </w:r>
            <w:proofErr w:type="gramStart"/>
            <w:r w:rsidRPr="000F6B74">
              <w:rPr>
                <w:rFonts w:ascii="Times New Roman" w:hAnsi="Times New Roman" w:cs="Times New Roman"/>
                <w:color w:val="auto"/>
                <w:sz w:val="22"/>
                <w:szCs w:val="22"/>
                <w:lang w:val="en-IE"/>
              </w:rPr>
              <w:t>COM(</w:t>
            </w:r>
            <w:proofErr w:type="gramEnd"/>
            <w:r w:rsidRPr="000F6B74">
              <w:rPr>
                <w:rFonts w:ascii="Times New Roman" w:hAnsi="Times New Roman" w:cs="Times New Roman"/>
                <w:color w:val="auto"/>
                <w:sz w:val="22"/>
                <w:szCs w:val="22"/>
                <w:lang w:val="en-IE"/>
              </w:rPr>
              <w:t>2025) 1006 final,</w:t>
            </w:r>
            <w:r w:rsidRPr="000F6B74">
              <w:rPr>
                <w:rFonts w:ascii="Times New Roman" w:hAnsi="Times New Roman" w:cs="Times New Roman"/>
                <w:color w:val="auto"/>
                <w:sz w:val="22"/>
                <w:szCs w:val="22"/>
                <w:lang w:val="en-IE"/>
              </w:rPr>
              <w:br/>
            </w:r>
            <w:proofErr w:type="gramStart"/>
            <w:r w:rsidRPr="000F6B74">
              <w:rPr>
                <w:rFonts w:ascii="Times New Roman" w:hAnsi="Times New Roman" w:cs="Times New Roman"/>
                <w:color w:val="auto"/>
                <w:sz w:val="22"/>
                <w:szCs w:val="22"/>
                <w:lang w:val="en-IE"/>
              </w:rPr>
              <w:t>COM(</w:t>
            </w:r>
            <w:proofErr w:type="gramEnd"/>
            <w:r w:rsidRPr="000F6B74">
              <w:rPr>
                <w:rFonts w:ascii="Times New Roman" w:hAnsi="Times New Roman" w:cs="Times New Roman"/>
                <w:color w:val="auto"/>
                <w:sz w:val="22"/>
                <w:szCs w:val="22"/>
                <w:lang w:val="en-IE"/>
              </w:rPr>
              <w:t>2025) 1007 final</w:t>
            </w:r>
            <w:r w:rsidRPr="000F6B74">
              <w:rPr>
                <w:rFonts w:ascii="Times New Roman" w:hAnsi="Times New Roman" w:cs="Times New Roman"/>
                <w:color w:val="auto"/>
                <w:sz w:val="22"/>
                <w:szCs w:val="22"/>
                <w:lang w:val="en-IE"/>
              </w:rPr>
              <w:br/>
              <w:t xml:space="preserve">EESC-2025-03854 </w:t>
            </w:r>
            <w:r w:rsidRPr="000F6B74">
              <w:rPr>
                <w:rFonts w:ascii="Times New Roman" w:hAnsi="Times New Roman"/>
                <w:sz w:val="22"/>
                <w:szCs w:val="22"/>
                <w:lang w:val="en-IE"/>
              </w:rPr>
              <w:t>– TEN/863</w:t>
            </w:r>
            <w:r w:rsidRPr="000F6B74">
              <w:rPr>
                <w:rFonts w:ascii="Times New Roman" w:hAnsi="Times New Roman"/>
                <w:sz w:val="22"/>
                <w:szCs w:val="22"/>
                <w:lang w:val="en-IE"/>
              </w:rPr>
              <w:br/>
              <w:t>604</w:t>
            </w:r>
            <w:r w:rsidRPr="000F6B74">
              <w:rPr>
                <w:rFonts w:ascii="Times New Roman" w:hAnsi="Times New Roman"/>
                <w:sz w:val="22"/>
                <w:szCs w:val="22"/>
                <w:vertAlign w:val="superscript"/>
                <w:lang w:val="en-IE"/>
              </w:rPr>
              <w:t>th</w:t>
            </w:r>
            <w:r w:rsidRPr="000F6B74">
              <w:rPr>
                <w:rFonts w:ascii="Times New Roman" w:hAnsi="Times New Roman"/>
                <w:sz w:val="22"/>
                <w:szCs w:val="22"/>
                <w:lang w:val="en-IE"/>
              </w:rPr>
              <w:t xml:space="preserve"> Plenary Session – March 2026</w:t>
            </w:r>
            <w:r w:rsidRPr="000F6B74">
              <w:rPr>
                <w:sz w:val="22"/>
                <w:szCs w:val="22"/>
                <w:lang w:val="en-IE"/>
              </w:rPr>
              <w:br/>
            </w:r>
            <w:r w:rsidRPr="000F6B74">
              <w:rPr>
                <w:rFonts w:ascii="Times New Roman" w:hAnsi="Times New Roman"/>
                <w:sz w:val="22"/>
                <w:szCs w:val="22"/>
                <w:lang w:val="en-IE"/>
              </w:rPr>
              <w:t>Rapporteur: Thomas KATTNIG (</w:t>
            </w:r>
            <w:r w:rsidRPr="000F6B74">
              <w:rPr>
                <w:rFonts w:ascii="Times New Roman" w:hAnsi="Times New Roman" w:cs="Times New Roman"/>
                <w:color w:val="auto"/>
                <w:sz w:val="22"/>
                <w:szCs w:val="22"/>
                <w:lang w:val="sv-SE"/>
              </w:rPr>
              <w:t>AT-II)</w:t>
            </w:r>
            <w:r w:rsidRPr="000F6B74">
              <w:rPr>
                <w:sz w:val="22"/>
                <w:szCs w:val="22"/>
                <w:lang w:val="en-IE"/>
              </w:rPr>
              <w:br/>
            </w:r>
            <w:r w:rsidRPr="000F6B74">
              <w:rPr>
                <w:rFonts w:ascii="Times New Roman" w:hAnsi="Times New Roman"/>
                <w:sz w:val="22"/>
                <w:szCs w:val="22"/>
                <w:lang w:val="en-IE"/>
              </w:rPr>
              <w:t>DG ENER – Commissioner J</w:t>
            </w:r>
            <w:r w:rsidRPr="000F6B74">
              <w:rPr>
                <w:rFonts w:ascii="Times New Roman" w:hAnsi="Times New Roman"/>
                <w:sz w:val="22"/>
                <w:szCs w:val="22"/>
                <w:lang w:val="en-GB"/>
              </w:rPr>
              <w:t>Ø</w:t>
            </w:r>
            <w:r w:rsidRPr="000F6B74">
              <w:rPr>
                <w:rFonts w:ascii="Times New Roman" w:hAnsi="Times New Roman"/>
                <w:sz w:val="22"/>
                <w:szCs w:val="22"/>
                <w:lang w:val="en-IE"/>
              </w:rPr>
              <w:t>RGENSEN</w:t>
            </w:r>
          </w:p>
        </w:tc>
      </w:tr>
      <w:tr w:rsidR="008C06B8" w:rsidRPr="00604C5E" w14:paraId="3057DFA7" w14:textId="77777777" w:rsidTr="6E6F86EF">
        <w:trPr>
          <w:jc w:val="center"/>
        </w:trPr>
        <w:tc>
          <w:tcPr>
            <w:tcW w:w="9711" w:type="dxa"/>
          </w:tcPr>
          <w:p w14:paraId="2B066B87" w14:textId="77777777" w:rsidR="008C06B8" w:rsidRPr="00604C5E" w:rsidRDefault="008C06B8" w:rsidP="00331D11">
            <w:pPr>
              <w:widowControl w:val="0"/>
              <w:spacing w:before="120" w:after="120"/>
              <w:jc w:val="center"/>
              <w:rPr>
                <w:rFonts w:ascii="Times New Roman" w:hAnsi="Times New Roman"/>
                <w:b/>
                <w:sz w:val="24"/>
                <w:szCs w:val="24"/>
              </w:rPr>
            </w:pPr>
            <w:r w:rsidRPr="00604C5E">
              <w:rPr>
                <w:rFonts w:ascii="Times New Roman" w:hAnsi="Times New Roman"/>
                <w:b/>
                <w:sz w:val="24"/>
                <w:szCs w:val="24"/>
              </w:rPr>
              <w:t xml:space="preserve">European Commission position on points </w:t>
            </w:r>
            <w:r w:rsidRPr="00604C5E">
              <w:rPr>
                <w:rFonts w:ascii="Times New Roman" w:hAnsi="Times New Roman"/>
                <w:b/>
                <w:sz w:val="24"/>
                <w:szCs w:val="24"/>
              </w:rPr>
              <w:br/>
              <w:t>of the European Economic and Social Committee (EESC) opinion</w:t>
            </w:r>
          </w:p>
        </w:tc>
      </w:tr>
      <w:tr w:rsidR="008C06B8" w:rsidRPr="00604C5E" w14:paraId="14AF2BF8" w14:textId="77777777" w:rsidTr="6E6F86EF">
        <w:trPr>
          <w:trHeight w:val="300"/>
          <w:jc w:val="center"/>
        </w:trPr>
        <w:tc>
          <w:tcPr>
            <w:tcW w:w="9711" w:type="dxa"/>
          </w:tcPr>
          <w:p w14:paraId="362BD9B1" w14:textId="45F8B9B7" w:rsidR="008C06B8" w:rsidRPr="00604C5E" w:rsidRDefault="00604C5E" w:rsidP="00331D11">
            <w:pPr>
              <w:widowControl w:val="0"/>
              <w:spacing w:before="120" w:after="120"/>
              <w:jc w:val="both"/>
              <w:rPr>
                <w:rFonts w:ascii="Times New Roman" w:hAnsi="Times New Roman"/>
                <w:sz w:val="24"/>
                <w:szCs w:val="24"/>
              </w:rPr>
            </w:pPr>
            <w:r w:rsidRPr="00604C5E">
              <w:rPr>
                <w:rFonts w:ascii="Times New Roman" w:hAnsi="Times New Roman"/>
                <w:sz w:val="24"/>
                <w:szCs w:val="24"/>
              </w:rPr>
              <w:t xml:space="preserve">The Commission would like to thank the Committee for its opinion on the </w:t>
            </w:r>
            <w:r>
              <w:rPr>
                <w:rFonts w:ascii="Times New Roman" w:hAnsi="Times New Roman"/>
                <w:sz w:val="24"/>
                <w:szCs w:val="24"/>
              </w:rPr>
              <w:t xml:space="preserve">European </w:t>
            </w:r>
            <w:r w:rsidRPr="00604C5E">
              <w:rPr>
                <w:rFonts w:ascii="Times New Roman" w:hAnsi="Times New Roman"/>
                <w:sz w:val="24"/>
                <w:szCs w:val="24"/>
              </w:rPr>
              <w:t>Grids Package</w:t>
            </w:r>
            <w:r>
              <w:rPr>
                <w:rFonts w:ascii="Times New Roman" w:hAnsi="Times New Roman"/>
                <w:sz w:val="24"/>
                <w:szCs w:val="24"/>
              </w:rPr>
              <w:t xml:space="preserve">. </w:t>
            </w:r>
            <w:r w:rsidR="008C06B8" w:rsidRPr="00604C5E">
              <w:rPr>
                <w:rFonts w:ascii="Times New Roman" w:hAnsi="Times New Roman"/>
                <w:sz w:val="24"/>
                <w:szCs w:val="24"/>
              </w:rPr>
              <w:t>G</w:t>
            </w:r>
            <w:r w:rsidR="008C06B8" w:rsidRPr="00604C5E">
              <w:rPr>
                <w:rFonts w:ascii="Times New Roman" w:hAnsi="Times New Roman"/>
                <w:sz w:val="24"/>
                <w:szCs w:val="24"/>
                <w:lang w:eastAsia="fr-FR"/>
              </w:rPr>
              <w:t>rids are the backbone of the Energy Union and the foundation of a secure, independent and prosperous Europe. T</w:t>
            </w:r>
            <w:r w:rsidR="008C06B8" w:rsidRPr="00604C5E">
              <w:rPr>
                <w:rFonts w:ascii="Times New Roman" w:hAnsi="Times New Roman"/>
                <w:sz w:val="24"/>
                <w:szCs w:val="24"/>
              </w:rPr>
              <w:t>hey are instrumental in integrating European electricity markets and the transition towards a</w:t>
            </w:r>
            <w:r>
              <w:rPr>
                <w:rFonts w:ascii="Times New Roman" w:hAnsi="Times New Roman"/>
                <w:sz w:val="24"/>
                <w:szCs w:val="24"/>
              </w:rPr>
              <w:t xml:space="preserve"> c</w:t>
            </w:r>
            <w:r w:rsidR="008C06B8" w:rsidRPr="00604C5E">
              <w:rPr>
                <w:rFonts w:ascii="Times New Roman" w:hAnsi="Times New Roman"/>
                <w:sz w:val="24"/>
                <w:szCs w:val="24"/>
              </w:rPr>
              <w:t>lean, renewables-based energy system. Grids ensure that European industries and households enjoy a stable and secure energy supply and, as highlighted in the Competitiveness Compass</w:t>
            </w:r>
            <w:r w:rsidR="008C06B8" w:rsidRPr="00604C5E">
              <w:rPr>
                <w:rStyle w:val="FootnoteReference"/>
                <w:rFonts w:ascii="Times New Roman" w:hAnsi="Times New Roman"/>
                <w:sz w:val="24"/>
                <w:szCs w:val="24"/>
              </w:rPr>
              <w:footnoteReference w:id="1"/>
            </w:r>
            <w:r w:rsidR="008C06B8" w:rsidRPr="00604C5E">
              <w:rPr>
                <w:rFonts w:ascii="Times New Roman" w:hAnsi="Times New Roman"/>
                <w:sz w:val="24"/>
                <w:szCs w:val="24"/>
              </w:rPr>
              <w:t xml:space="preserve"> and Affordable Energy Action Plan</w:t>
            </w:r>
            <w:r w:rsidR="008C06B8" w:rsidRPr="00604C5E">
              <w:rPr>
                <w:rStyle w:val="FootnoteReference"/>
                <w:rFonts w:ascii="Times New Roman" w:hAnsi="Times New Roman"/>
                <w:sz w:val="24"/>
                <w:szCs w:val="24"/>
              </w:rPr>
              <w:footnoteReference w:id="2"/>
            </w:r>
            <w:r w:rsidR="008C06B8" w:rsidRPr="00604C5E">
              <w:rPr>
                <w:rFonts w:ascii="Times New Roman" w:hAnsi="Times New Roman"/>
                <w:sz w:val="24"/>
                <w:szCs w:val="24"/>
              </w:rPr>
              <w:t>, grids are critical for strengthening Europe’s long-term competitiveness and strategic autonomy.</w:t>
            </w:r>
          </w:p>
          <w:p w14:paraId="4B4B34D7" w14:textId="62772197" w:rsidR="008C06B8" w:rsidRPr="003E3CE1" w:rsidRDefault="008C06B8" w:rsidP="00331D11">
            <w:pPr>
              <w:widowControl w:val="0"/>
              <w:spacing w:before="120" w:after="120"/>
              <w:jc w:val="both"/>
              <w:rPr>
                <w:rFonts w:ascii="Times New Roman" w:hAnsi="Times New Roman"/>
                <w:sz w:val="24"/>
                <w:szCs w:val="24"/>
                <w:lang w:val="en-IE"/>
              </w:rPr>
            </w:pPr>
            <w:r w:rsidRPr="003E3CE1">
              <w:rPr>
                <w:rFonts w:ascii="Times New Roman" w:hAnsi="Times New Roman"/>
                <w:sz w:val="24"/>
                <w:szCs w:val="24"/>
                <w:lang w:val="en-IE"/>
              </w:rPr>
              <w:t>The Grids Package</w:t>
            </w:r>
            <w:r w:rsidRPr="003E3CE1">
              <w:rPr>
                <w:rStyle w:val="FootnoteReference"/>
                <w:rFonts w:ascii="Times New Roman" w:hAnsi="Times New Roman"/>
                <w:sz w:val="24"/>
                <w:szCs w:val="24"/>
                <w:lang w:val="en-IE"/>
              </w:rPr>
              <w:footnoteReference w:id="3"/>
            </w:r>
            <w:r w:rsidRPr="003E3CE1">
              <w:rPr>
                <w:rFonts w:ascii="Times New Roman" w:hAnsi="Times New Roman"/>
                <w:sz w:val="24"/>
                <w:szCs w:val="24"/>
                <w:lang w:val="en-IE"/>
              </w:rPr>
              <w:t xml:space="preserve">, </w:t>
            </w:r>
            <w:r w:rsidRPr="003E3CE1">
              <w:rPr>
                <w:rFonts w:ascii="Times New Roman" w:hAnsi="Times New Roman"/>
                <w:sz w:val="24"/>
                <w:szCs w:val="24"/>
              </w:rPr>
              <w:t>adopted on the 10 December 2025,</w:t>
            </w:r>
            <w:r w:rsidRPr="003E3CE1">
              <w:rPr>
                <w:rFonts w:ascii="Times New Roman" w:hAnsi="Times New Roman"/>
                <w:sz w:val="24"/>
                <w:szCs w:val="24"/>
                <w:lang w:val="en-IE"/>
              </w:rPr>
              <w:t xml:space="preserve"> introduces key reforms to strengthen and streamline Europe’s </w:t>
            </w:r>
            <w:r w:rsidRPr="003E3CE1">
              <w:rPr>
                <w:rFonts w:ascii="Times New Roman" w:hAnsi="Times New Roman"/>
                <w:b/>
                <w:bCs/>
                <w:sz w:val="24"/>
                <w:szCs w:val="24"/>
                <w:lang w:val="en-IE"/>
              </w:rPr>
              <w:t>energy infrastructure planning</w:t>
            </w:r>
            <w:r w:rsidRPr="003E3CE1">
              <w:rPr>
                <w:rFonts w:ascii="Times New Roman" w:hAnsi="Times New Roman"/>
                <w:sz w:val="24"/>
                <w:szCs w:val="24"/>
                <w:lang w:val="en-IE"/>
              </w:rPr>
              <w:t xml:space="preserve"> and ensure greater alignment with EU climate and energy targets. The Commission, in close cooperation with the Member States, transmission system operators (TSOs) and National and Regulatory Authorities (NRAs), will take a more central role in developing the Ten-Year Network Development Plan (TYNDP) scenario, coordinating data collection and overseeing a central, multi-sector scenario covering electricity, gas and hydrogen, while incorporating flexibility, stakeholder consultation and regulatory input. This scenario will be updated every four years, with additional sensitivities and interim revisions possible, </w:t>
            </w:r>
            <w:r w:rsidR="00325753" w:rsidRPr="003E3CE1">
              <w:rPr>
                <w:rFonts w:ascii="Times New Roman" w:hAnsi="Times New Roman"/>
                <w:sz w:val="24"/>
                <w:szCs w:val="24"/>
                <w:lang w:val="en-IE"/>
              </w:rPr>
              <w:t xml:space="preserve">ensuring </w:t>
            </w:r>
            <w:r w:rsidRPr="003E3CE1">
              <w:rPr>
                <w:rFonts w:ascii="Times New Roman" w:hAnsi="Times New Roman"/>
                <w:sz w:val="24"/>
                <w:szCs w:val="24"/>
                <w:lang w:val="en-IE"/>
              </w:rPr>
              <w:t>responsiveness while maintaining long-term consistency.</w:t>
            </w:r>
          </w:p>
          <w:p w14:paraId="1F36F845" w14:textId="48D332BA" w:rsidR="008C06B8" w:rsidRPr="003E3CE1" w:rsidRDefault="39B4A672" w:rsidP="00331D11">
            <w:pPr>
              <w:widowControl w:val="0"/>
              <w:spacing w:before="120" w:after="120"/>
              <w:jc w:val="both"/>
              <w:rPr>
                <w:rFonts w:ascii="Times New Roman" w:hAnsi="Times New Roman"/>
                <w:sz w:val="24"/>
                <w:szCs w:val="24"/>
                <w:lang w:val="en-IE"/>
              </w:rPr>
            </w:pPr>
            <w:r w:rsidRPr="003E3CE1">
              <w:rPr>
                <w:rFonts w:ascii="Times New Roman" w:hAnsi="Times New Roman"/>
                <w:sz w:val="24"/>
                <w:szCs w:val="24"/>
                <w:lang w:val="en-IE"/>
              </w:rPr>
              <w:t xml:space="preserve">At the national level, </w:t>
            </w:r>
            <w:r w:rsidR="00E93A8B" w:rsidRPr="003E3CE1">
              <w:rPr>
                <w:rFonts w:ascii="Times New Roman" w:hAnsi="Times New Roman"/>
                <w:sz w:val="24"/>
                <w:szCs w:val="24"/>
                <w:lang w:val="en-IE"/>
              </w:rPr>
              <w:t>TSOs</w:t>
            </w:r>
            <w:r w:rsidRPr="003E3CE1">
              <w:rPr>
                <w:rFonts w:ascii="Times New Roman" w:hAnsi="Times New Roman"/>
                <w:sz w:val="24"/>
                <w:szCs w:val="24"/>
                <w:lang w:val="en-IE"/>
              </w:rPr>
              <w:t xml:space="preserve"> and distribution system operators (DSOs) will use in their planning processes a cross-sector scenario consistent with the central TYNDP scenario and its sensitivities, ensuring coherence between EU-wide and Member State planning. Together, these measures aim to accelerate decarbonisation, improve grid efficiency and reduce bureaucratic delays, while fostering a more integrated, flexible and future-proof energy system.</w:t>
            </w:r>
          </w:p>
          <w:p w14:paraId="6BF91F8A" w14:textId="047FF150" w:rsidR="00D821EC" w:rsidRPr="003E3CE1" w:rsidRDefault="4CC94827" w:rsidP="1D3E6490">
            <w:pPr>
              <w:widowControl w:val="0"/>
              <w:spacing w:before="120" w:after="120"/>
              <w:jc w:val="both"/>
              <w:rPr>
                <w:rFonts w:ascii="Times New Roman" w:hAnsi="Times New Roman"/>
                <w:sz w:val="24"/>
                <w:szCs w:val="24"/>
                <w:lang w:val="en-IE"/>
              </w:rPr>
            </w:pPr>
            <w:r w:rsidRPr="003E3CE1">
              <w:rPr>
                <w:rFonts w:ascii="Times New Roman" w:hAnsi="Times New Roman"/>
                <w:sz w:val="24"/>
                <w:szCs w:val="24"/>
                <w:lang w:val="en-IE"/>
              </w:rPr>
              <w:t>The Commission agrees with the EESC on the need to increase the budget allocation to the Connecting Europe Facility for Energy</w:t>
            </w:r>
            <w:r w:rsidR="0033109C" w:rsidRPr="003E3CE1">
              <w:rPr>
                <w:rFonts w:ascii="Times New Roman" w:hAnsi="Times New Roman"/>
                <w:sz w:val="24"/>
                <w:szCs w:val="24"/>
                <w:lang w:val="en-IE"/>
              </w:rPr>
              <w:t xml:space="preserve"> (CEF-E)</w:t>
            </w:r>
            <w:r w:rsidRPr="003E3CE1">
              <w:rPr>
                <w:rFonts w:ascii="Times New Roman" w:hAnsi="Times New Roman"/>
                <w:sz w:val="24"/>
                <w:szCs w:val="24"/>
                <w:lang w:val="en-IE"/>
              </w:rPr>
              <w:t>. The Commission proposal for the next Multiannual Financial Framework proposed a five-fold increase of t</w:t>
            </w:r>
            <w:r w:rsidR="55B94565" w:rsidRPr="003E3CE1">
              <w:rPr>
                <w:rFonts w:ascii="Times New Roman" w:hAnsi="Times New Roman"/>
                <w:sz w:val="24"/>
                <w:szCs w:val="24"/>
                <w:lang w:val="en-IE"/>
              </w:rPr>
              <w:t>h</w:t>
            </w:r>
            <w:r w:rsidRPr="003E3CE1">
              <w:rPr>
                <w:rFonts w:ascii="Times New Roman" w:hAnsi="Times New Roman"/>
                <w:sz w:val="24"/>
                <w:szCs w:val="24"/>
                <w:lang w:val="en-IE"/>
              </w:rPr>
              <w:t>e CEF-E budget to</w:t>
            </w:r>
            <w:r w:rsidR="380CEF3A" w:rsidRPr="003E3CE1">
              <w:rPr>
                <w:rFonts w:ascii="Times New Roman" w:hAnsi="Times New Roman"/>
                <w:sz w:val="24"/>
                <w:szCs w:val="24"/>
                <w:lang w:val="en-IE"/>
              </w:rPr>
              <w:t xml:space="preserve"> EUR</w:t>
            </w:r>
            <w:r w:rsidRPr="003E3CE1">
              <w:rPr>
                <w:rFonts w:ascii="Times New Roman" w:hAnsi="Times New Roman"/>
                <w:sz w:val="24"/>
                <w:szCs w:val="24"/>
                <w:lang w:val="en-IE"/>
              </w:rPr>
              <w:t xml:space="preserve"> 29.9 billion</w:t>
            </w:r>
            <w:r w:rsidR="169E2FB3" w:rsidRPr="003E3CE1">
              <w:rPr>
                <w:rFonts w:ascii="Times New Roman" w:hAnsi="Times New Roman"/>
                <w:sz w:val="24"/>
                <w:szCs w:val="24"/>
                <w:lang w:val="en-IE"/>
              </w:rPr>
              <w:t>, significantly expanding the public financing available for cross-border grids at the EU level</w:t>
            </w:r>
            <w:r w:rsidR="47AECA0E" w:rsidRPr="003E3CE1">
              <w:rPr>
                <w:rFonts w:ascii="Times New Roman" w:hAnsi="Times New Roman"/>
                <w:sz w:val="24"/>
                <w:szCs w:val="24"/>
                <w:lang w:val="en-IE"/>
              </w:rPr>
              <w:t>.</w:t>
            </w:r>
            <w:r w:rsidR="3E2A9CDE" w:rsidRPr="003E3CE1">
              <w:rPr>
                <w:rFonts w:ascii="Times New Roman" w:hAnsi="Times New Roman"/>
                <w:sz w:val="24"/>
                <w:szCs w:val="24"/>
                <w:lang w:val="en-IE"/>
              </w:rPr>
              <w:t xml:space="preserve"> </w:t>
            </w:r>
            <w:r w:rsidR="4CAAD5A8" w:rsidRPr="003E3CE1">
              <w:rPr>
                <w:rFonts w:ascii="Times New Roman" w:hAnsi="Times New Roman"/>
                <w:sz w:val="24"/>
                <w:szCs w:val="24"/>
                <w:lang w:val="en-IE"/>
              </w:rPr>
              <w:t xml:space="preserve">However, the Commission </w:t>
            </w:r>
            <w:r w:rsidR="7FE7393A" w:rsidRPr="003E3CE1">
              <w:rPr>
                <w:rFonts w:ascii="Times New Roman" w:hAnsi="Times New Roman"/>
                <w:sz w:val="24"/>
                <w:szCs w:val="24"/>
                <w:lang w:val="en-IE"/>
              </w:rPr>
              <w:t>advises against</w:t>
            </w:r>
            <w:r w:rsidR="4CAAD5A8" w:rsidRPr="003E3CE1">
              <w:rPr>
                <w:rFonts w:ascii="Times New Roman" w:hAnsi="Times New Roman"/>
                <w:sz w:val="24"/>
                <w:szCs w:val="24"/>
                <w:lang w:val="en-IE"/>
              </w:rPr>
              <w:t xml:space="preserve"> </w:t>
            </w:r>
            <w:r w:rsidR="453AA208" w:rsidRPr="003E3CE1">
              <w:rPr>
                <w:rFonts w:ascii="Times New Roman" w:hAnsi="Times New Roman"/>
                <w:sz w:val="24"/>
                <w:szCs w:val="24"/>
                <w:lang w:val="en-IE"/>
              </w:rPr>
              <w:t>imposing</w:t>
            </w:r>
            <w:r w:rsidR="4CAAD5A8" w:rsidRPr="003E3CE1">
              <w:rPr>
                <w:rFonts w:ascii="Times New Roman" w:hAnsi="Times New Roman"/>
                <w:sz w:val="24"/>
                <w:szCs w:val="24"/>
                <w:lang w:val="en-IE"/>
              </w:rPr>
              <w:t xml:space="preserve"> </w:t>
            </w:r>
            <w:r w:rsidR="00B819F5" w:rsidRPr="003E3CE1">
              <w:rPr>
                <w:rFonts w:ascii="Times New Roman" w:hAnsi="Times New Roman"/>
                <w:sz w:val="24"/>
                <w:szCs w:val="24"/>
                <w:lang w:val="en-IE"/>
              </w:rPr>
              <w:t xml:space="preserve">additional </w:t>
            </w:r>
            <w:r w:rsidR="4CAAD5A8" w:rsidRPr="003E3CE1">
              <w:rPr>
                <w:rFonts w:ascii="Times New Roman" w:hAnsi="Times New Roman"/>
                <w:sz w:val="24"/>
                <w:szCs w:val="24"/>
                <w:lang w:val="en-IE"/>
              </w:rPr>
              <w:t>socio-econ</w:t>
            </w:r>
            <w:r w:rsidR="4E8F3B6D" w:rsidRPr="003E3CE1">
              <w:rPr>
                <w:rFonts w:ascii="Times New Roman" w:hAnsi="Times New Roman"/>
                <w:sz w:val="24"/>
                <w:szCs w:val="24"/>
                <w:lang w:val="en-IE"/>
              </w:rPr>
              <w:t>o</w:t>
            </w:r>
            <w:r w:rsidR="4CAAD5A8" w:rsidRPr="003E3CE1">
              <w:rPr>
                <w:rFonts w:ascii="Times New Roman" w:hAnsi="Times New Roman"/>
                <w:sz w:val="24"/>
                <w:szCs w:val="24"/>
                <w:lang w:val="en-IE"/>
              </w:rPr>
              <w:t xml:space="preserve">mic </w:t>
            </w:r>
            <w:r w:rsidR="4CAAD5A8" w:rsidRPr="003E3CE1">
              <w:rPr>
                <w:rFonts w:ascii="Times New Roman" w:hAnsi="Times New Roman"/>
                <w:sz w:val="24"/>
                <w:szCs w:val="24"/>
                <w:lang w:val="en-IE"/>
              </w:rPr>
              <w:lastRenderedPageBreak/>
              <w:t>conditionalities</w:t>
            </w:r>
            <w:r w:rsidR="009C573D" w:rsidRPr="003E3CE1">
              <w:rPr>
                <w:rFonts w:ascii="Times New Roman" w:hAnsi="Times New Roman"/>
                <w:sz w:val="24"/>
                <w:szCs w:val="24"/>
                <w:lang w:val="en-IE"/>
              </w:rPr>
              <w:t xml:space="preserve"> specific for funding under CEF</w:t>
            </w:r>
            <w:r w:rsidR="00495938" w:rsidRPr="003E3CE1">
              <w:rPr>
                <w:rFonts w:ascii="Times New Roman" w:hAnsi="Times New Roman"/>
                <w:sz w:val="24"/>
                <w:szCs w:val="24"/>
                <w:lang w:val="en-IE"/>
              </w:rPr>
              <w:t xml:space="preserve">, beyond existing </w:t>
            </w:r>
            <w:r w:rsidR="003875C4" w:rsidRPr="003E3CE1">
              <w:rPr>
                <w:rFonts w:ascii="Times New Roman" w:hAnsi="Times New Roman"/>
                <w:sz w:val="24"/>
                <w:szCs w:val="24"/>
                <w:lang w:val="en-IE"/>
              </w:rPr>
              <w:t>EU and national obligations,</w:t>
            </w:r>
            <w:r w:rsidR="009C573D" w:rsidRPr="003E3CE1">
              <w:rPr>
                <w:rFonts w:ascii="Times New Roman" w:hAnsi="Times New Roman"/>
                <w:sz w:val="24"/>
                <w:szCs w:val="24"/>
                <w:lang w:val="en-IE"/>
              </w:rPr>
              <w:t xml:space="preserve"> </w:t>
            </w:r>
            <w:r w:rsidR="00D331D4" w:rsidRPr="003E3CE1">
              <w:rPr>
                <w:rFonts w:ascii="Times New Roman" w:hAnsi="Times New Roman"/>
                <w:sz w:val="24"/>
                <w:szCs w:val="24"/>
                <w:lang w:val="en-IE"/>
              </w:rPr>
              <w:t>since</w:t>
            </w:r>
            <w:r w:rsidR="009C573D" w:rsidRPr="003E3CE1">
              <w:rPr>
                <w:rFonts w:ascii="Times New Roman" w:hAnsi="Times New Roman"/>
                <w:sz w:val="24"/>
                <w:szCs w:val="24"/>
                <w:lang w:val="en-IE"/>
              </w:rPr>
              <w:t xml:space="preserve"> this would add </w:t>
            </w:r>
            <w:r w:rsidR="00E84715" w:rsidRPr="003E3CE1">
              <w:rPr>
                <w:rFonts w:ascii="Times New Roman" w:hAnsi="Times New Roman"/>
                <w:sz w:val="24"/>
                <w:szCs w:val="24"/>
                <w:lang w:val="en-IE"/>
              </w:rPr>
              <w:t>requirements</w:t>
            </w:r>
            <w:r w:rsidR="00D331D4" w:rsidRPr="003E3CE1">
              <w:rPr>
                <w:rFonts w:ascii="Times New Roman" w:hAnsi="Times New Roman"/>
                <w:sz w:val="24"/>
                <w:szCs w:val="24"/>
                <w:lang w:val="en-IE"/>
              </w:rPr>
              <w:t xml:space="preserve"> and complexity</w:t>
            </w:r>
            <w:r w:rsidR="00E84715" w:rsidRPr="003E3CE1">
              <w:rPr>
                <w:rFonts w:ascii="Times New Roman" w:hAnsi="Times New Roman"/>
                <w:sz w:val="24"/>
                <w:szCs w:val="24"/>
                <w:lang w:val="en-IE"/>
              </w:rPr>
              <w:t xml:space="preserve"> to </w:t>
            </w:r>
            <w:r w:rsidR="003E3CE1">
              <w:rPr>
                <w:rFonts w:ascii="Times New Roman" w:hAnsi="Times New Roman"/>
                <w:sz w:val="24"/>
                <w:szCs w:val="24"/>
                <w:lang w:val="en-IE"/>
              </w:rPr>
              <w:t>the</w:t>
            </w:r>
            <w:r w:rsidR="00E84715" w:rsidRPr="003E3CE1">
              <w:rPr>
                <w:rFonts w:ascii="Times New Roman" w:hAnsi="Times New Roman"/>
                <w:sz w:val="24"/>
                <w:szCs w:val="24"/>
                <w:lang w:val="en-IE"/>
              </w:rPr>
              <w:t xml:space="preserve"> process</w:t>
            </w:r>
            <w:r w:rsidR="22419C38" w:rsidRPr="003E3CE1">
              <w:rPr>
                <w:rFonts w:ascii="Times New Roman" w:hAnsi="Times New Roman"/>
                <w:sz w:val="24"/>
                <w:szCs w:val="24"/>
                <w:lang w:val="en-IE"/>
              </w:rPr>
              <w:t>.</w:t>
            </w:r>
          </w:p>
          <w:p w14:paraId="7FA4247D" w14:textId="7B71E889" w:rsidR="008C06B8" w:rsidRPr="00604C5E" w:rsidRDefault="00D821EC">
            <w:pPr>
              <w:widowControl w:val="0"/>
              <w:spacing w:before="120" w:after="120"/>
              <w:jc w:val="both"/>
              <w:rPr>
                <w:rFonts w:ascii="Times New Roman" w:hAnsi="Times New Roman"/>
                <w:sz w:val="24"/>
                <w:szCs w:val="24"/>
                <w:lang w:val="en-IE"/>
              </w:rPr>
            </w:pPr>
            <w:r w:rsidRPr="003E3CE1">
              <w:rPr>
                <w:rFonts w:ascii="Times New Roman" w:hAnsi="Times New Roman"/>
                <w:sz w:val="24"/>
                <w:szCs w:val="24"/>
                <w:lang w:val="en-IE"/>
              </w:rPr>
              <w:t>T</w:t>
            </w:r>
            <w:r w:rsidR="39B4A672" w:rsidRPr="003E3CE1">
              <w:rPr>
                <w:rFonts w:ascii="Times New Roman" w:hAnsi="Times New Roman"/>
                <w:sz w:val="24"/>
                <w:szCs w:val="24"/>
                <w:lang w:val="en-IE" w:eastAsia="fr-FR"/>
              </w:rPr>
              <w:t xml:space="preserve">he Grids Package also strengthens the </w:t>
            </w:r>
            <w:r w:rsidR="39B4A672" w:rsidRPr="003E3CE1">
              <w:rPr>
                <w:rFonts w:ascii="Times New Roman" w:hAnsi="Times New Roman"/>
                <w:b/>
                <w:bCs/>
                <w:sz w:val="24"/>
                <w:szCs w:val="24"/>
                <w:lang w:val="en-IE" w:eastAsia="fr-FR"/>
              </w:rPr>
              <w:t>security and resilience</w:t>
            </w:r>
            <w:r w:rsidR="39B4A672" w:rsidRPr="003E3CE1">
              <w:rPr>
                <w:rFonts w:ascii="Times New Roman" w:hAnsi="Times New Roman"/>
                <w:sz w:val="24"/>
                <w:szCs w:val="24"/>
                <w:lang w:val="en-IE" w:eastAsia="fr-FR"/>
              </w:rPr>
              <w:t xml:space="preserve"> of Europe’s energy infrastructure by addressing both physical and cyber threats, as well as geopolitical risks tied to foreign investment. Under the </w:t>
            </w:r>
            <w:r w:rsidR="39B4A672" w:rsidRPr="003E3CE1">
              <w:rPr>
                <w:rFonts w:ascii="Times New Roman" w:hAnsi="Times New Roman"/>
                <w:sz w:val="24"/>
                <w:szCs w:val="24"/>
                <w:lang w:eastAsia="fr-FR"/>
              </w:rPr>
              <w:t>trans-European energy network</w:t>
            </w:r>
            <w:r w:rsidR="39B4A672" w:rsidRPr="003E3CE1">
              <w:rPr>
                <w:rFonts w:ascii="Times New Roman" w:hAnsi="Times New Roman"/>
                <w:sz w:val="24"/>
                <w:szCs w:val="24"/>
                <w:lang w:val="en-IE" w:eastAsia="fr-FR"/>
              </w:rPr>
              <w:t xml:space="preserve"> (TEN-E) framework, the proposal mandates that security and resilience assessments become an integral part of Projects of Common Interest (PCI) and Projects of Mutual Interest (PMI) monitoring, ensuring that vulnerabilities are identified and mitigated from the earliest stages of project planning. Additionally, the proposal establishes a new infrastructure category under TEN-E, covering specialised equipment and installations designed to enhance</w:t>
            </w:r>
            <w:r w:rsidR="39B4A672" w:rsidRPr="6E6F86EF">
              <w:rPr>
                <w:rFonts w:ascii="Times New Roman" w:hAnsi="Times New Roman"/>
                <w:sz w:val="24"/>
                <w:szCs w:val="24"/>
                <w:lang w:val="en-IE" w:eastAsia="fr-FR"/>
              </w:rPr>
              <w:t xml:space="preserve"> the protection of already existing cross-border </w:t>
            </w:r>
            <w:r w:rsidR="6170686C" w:rsidRPr="6E6F86EF">
              <w:rPr>
                <w:rFonts w:ascii="Times New Roman" w:hAnsi="Times New Roman"/>
                <w:sz w:val="24"/>
                <w:szCs w:val="24"/>
                <w:lang w:val="en-IE" w:eastAsia="fr-FR"/>
              </w:rPr>
              <w:t>electricity</w:t>
            </w:r>
            <w:r w:rsidR="39B4A672" w:rsidRPr="6E6F86EF">
              <w:rPr>
                <w:rFonts w:ascii="Times New Roman" w:hAnsi="Times New Roman"/>
                <w:sz w:val="24"/>
                <w:szCs w:val="24"/>
                <w:lang w:val="en-IE" w:eastAsia="fr-FR"/>
              </w:rPr>
              <w:t xml:space="preserve"> networks. Together, these measures </w:t>
            </w:r>
            <w:r w:rsidR="009741DF" w:rsidRPr="6E6F86EF">
              <w:rPr>
                <w:rFonts w:ascii="Times New Roman" w:hAnsi="Times New Roman"/>
                <w:sz w:val="24"/>
                <w:szCs w:val="24"/>
                <w:lang w:val="en-IE" w:eastAsia="fr-FR"/>
              </w:rPr>
              <w:t xml:space="preserve">strengthen </w:t>
            </w:r>
            <w:r w:rsidR="39B4A672" w:rsidRPr="6E6F86EF">
              <w:rPr>
                <w:rFonts w:ascii="Times New Roman" w:hAnsi="Times New Roman"/>
                <w:sz w:val="24"/>
                <w:szCs w:val="24"/>
                <w:lang w:val="en-IE" w:eastAsia="fr-FR"/>
              </w:rPr>
              <w:t>the grid against both external attacks and strategic dependencies, reinforcing Europe’s energy autonomy.</w:t>
            </w:r>
            <w:r w:rsidR="51CA3998" w:rsidRPr="6E6F86EF">
              <w:rPr>
                <w:rFonts w:ascii="Times New Roman" w:hAnsi="Times New Roman"/>
                <w:sz w:val="24"/>
                <w:szCs w:val="24"/>
                <w:lang w:val="en-IE" w:eastAsia="fr-FR"/>
              </w:rPr>
              <w:t xml:space="preserve"> </w:t>
            </w:r>
            <w:r w:rsidR="51CA3998" w:rsidRPr="6E6F86EF">
              <w:rPr>
                <w:rFonts w:ascii="Times New Roman" w:hAnsi="Times New Roman"/>
                <w:sz w:val="24"/>
                <w:szCs w:val="24"/>
                <w:lang w:val="en-IE"/>
              </w:rPr>
              <w:t xml:space="preserve">The Commission is implementing a number of funding programmes to support defence-related investments. The Security Action for Europe (SAFE) is the EU’s financial instrument designed to provide financial support of </w:t>
            </w:r>
            <w:r w:rsidR="000F6B74">
              <w:rPr>
                <w:rFonts w:ascii="Times New Roman" w:hAnsi="Times New Roman"/>
                <w:sz w:val="24"/>
                <w:szCs w:val="24"/>
                <w:lang w:val="en-IE"/>
              </w:rPr>
              <w:t xml:space="preserve">EUR </w:t>
            </w:r>
            <w:r w:rsidR="51CA3998" w:rsidRPr="6E6F86EF">
              <w:rPr>
                <w:rFonts w:ascii="Times New Roman" w:hAnsi="Times New Roman"/>
                <w:sz w:val="24"/>
                <w:szCs w:val="24"/>
                <w:lang w:val="en-IE"/>
              </w:rPr>
              <w:t>150 billion to Member States, aiming to speed up defence readiness by allowing urgent and major investments, including protecting critical infrastructure.</w:t>
            </w:r>
            <w:r w:rsidR="707E2C58" w:rsidRPr="6E6F86EF">
              <w:rPr>
                <w:rFonts w:ascii="Times New Roman" w:hAnsi="Times New Roman"/>
                <w:sz w:val="24"/>
                <w:szCs w:val="24"/>
                <w:lang w:val="en-IE"/>
              </w:rPr>
              <w:t xml:space="preserve"> Furthermore, the recently adopted update to the Cybersecurity Act tasks the European Union Agency for Cybersecurity </w:t>
            </w:r>
            <w:r w:rsidR="3FFF1A32" w:rsidRPr="6E6F86EF">
              <w:rPr>
                <w:rFonts w:ascii="Times New Roman" w:hAnsi="Times New Roman"/>
                <w:sz w:val="24"/>
                <w:szCs w:val="24"/>
                <w:lang w:val="en-IE"/>
              </w:rPr>
              <w:t xml:space="preserve">to do </w:t>
            </w:r>
            <w:r w:rsidR="707E2C58" w:rsidRPr="6E6F86EF">
              <w:rPr>
                <w:rFonts w:ascii="Times New Roman" w:hAnsi="Times New Roman"/>
                <w:sz w:val="24"/>
                <w:szCs w:val="24"/>
                <w:lang w:val="en-IE"/>
              </w:rPr>
              <w:t>a regular analysis addressing the sectors of high criticality and other critical sectors</w:t>
            </w:r>
            <w:r w:rsidR="23E9C264" w:rsidRPr="6E6F86EF">
              <w:rPr>
                <w:rFonts w:ascii="Times New Roman" w:hAnsi="Times New Roman"/>
                <w:sz w:val="24"/>
                <w:szCs w:val="24"/>
                <w:lang w:val="en-IE"/>
              </w:rPr>
              <w:t xml:space="preserve">, including the energy sector. </w:t>
            </w:r>
          </w:p>
          <w:p w14:paraId="5718CF9D" w14:textId="0BFB9036" w:rsidR="008C06B8" w:rsidRPr="00604C5E" w:rsidRDefault="008C06B8" w:rsidP="00331D11">
            <w:pPr>
              <w:widowControl w:val="0"/>
              <w:spacing w:before="120" w:after="120"/>
              <w:jc w:val="both"/>
              <w:rPr>
                <w:rFonts w:ascii="Times New Roman" w:hAnsi="Times New Roman"/>
                <w:sz w:val="24"/>
                <w:szCs w:val="24"/>
                <w:lang w:val="en-IE" w:eastAsia="fr-FR"/>
              </w:rPr>
            </w:pPr>
            <w:r w:rsidRPr="00604C5E">
              <w:rPr>
                <w:rFonts w:ascii="Times New Roman" w:hAnsi="Times New Roman"/>
                <w:sz w:val="24"/>
                <w:szCs w:val="24"/>
                <w:lang w:val="en-IE" w:eastAsia="fr-FR"/>
              </w:rPr>
              <w:t xml:space="preserve">The Grids Package significantly advances </w:t>
            </w:r>
            <w:r w:rsidRPr="00604C5E">
              <w:rPr>
                <w:rFonts w:ascii="Times New Roman" w:hAnsi="Times New Roman"/>
                <w:b/>
                <w:bCs/>
                <w:sz w:val="24"/>
                <w:szCs w:val="24"/>
                <w:lang w:val="en-IE" w:eastAsia="fr-FR"/>
              </w:rPr>
              <w:t>grid optimisation</w:t>
            </w:r>
            <w:r w:rsidRPr="00604C5E">
              <w:rPr>
                <w:rFonts w:ascii="Times New Roman" w:hAnsi="Times New Roman"/>
                <w:sz w:val="24"/>
                <w:szCs w:val="24"/>
                <w:lang w:val="en-IE" w:eastAsia="fr-FR"/>
              </w:rPr>
              <w:t xml:space="preserve"> by prioritising cost-effective, innovative alternatives to traditional</w:t>
            </w:r>
            <w:r w:rsidR="00647459">
              <w:rPr>
                <w:rFonts w:ascii="Times New Roman" w:hAnsi="Times New Roman"/>
                <w:sz w:val="24"/>
                <w:szCs w:val="24"/>
                <w:lang w:val="en-IE" w:eastAsia="fr-FR"/>
              </w:rPr>
              <w:t xml:space="preserve"> network</w:t>
            </w:r>
            <w:r w:rsidRPr="00604C5E">
              <w:rPr>
                <w:rFonts w:ascii="Times New Roman" w:hAnsi="Times New Roman"/>
                <w:sz w:val="24"/>
                <w:szCs w:val="24"/>
                <w:lang w:val="en-IE" w:eastAsia="fr-FR"/>
              </w:rPr>
              <w:t xml:space="preserve"> infrastructure expansion. A key innovation is the introduction of a dedicated category for ‘non-wire solutions’, which includes grid-enhancing technologies and digital solutions - such as dynamic line rating, power flow control and advanced monitoring systems - that increase</w:t>
            </w:r>
            <w:r w:rsidR="00297AB8">
              <w:rPr>
                <w:rFonts w:ascii="Times New Roman" w:hAnsi="Times New Roman"/>
                <w:sz w:val="24"/>
                <w:szCs w:val="24"/>
                <w:lang w:val="en-IE" w:eastAsia="fr-FR"/>
              </w:rPr>
              <w:t xml:space="preserve"> cross-border</w:t>
            </w:r>
            <w:r w:rsidRPr="00604C5E">
              <w:rPr>
                <w:rFonts w:ascii="Times New Roman" w:hAnsi="Times New Roman"/>
                <w:sz w:val="24"/>
                <w:szCs w:val="24"/>
                <w:lang w:val="en-IE" w:eastAsia="fr-FR"/>
              </w:rPr>
              <w:t xml:space="preserve"> capacity and operational efficiency without the need for physical grid reinforcements. These solutions would benefit from priority consideration in both EU-wide planning (TYNDP) and national transmission development plans, ensuring their benefits - such as lower costs, faster deployment and reduced environmental impact - are fully accounted for in investment decisions. By optimising existing infrastructure, the proposal aims to maximise available cross-border capacity, delivering economic benefits for businesses and consumers while supporting the transition to a more efficient, decarbonised and affordable energy system.</w:t>
            </w:r>
          </w:p>
          <w:p w14:paraId="6DE18BC8" w14:textId="7DEA5CD6" w:rsidR="008C06B8" w:rsidRDefault="008C06B8" w:rsidP="00331D11">
            <w:pPr>
              <w:widowControl w:val="0"/>
              <w:spacing w:before="120" w:after="120"/>
              <w:jc w:val="both"/>
              <w:rPr>
                <w:rFonts w:ascii="Times New Roman" w:hAnsi="Times New Roman"/>
                <w:sz w:val="24"/>
                <w:szCs w:val="24"/>
                <w:lang w:val="en-IE" w:eastAsia="fr-FR"/>
              </w:rPr>
            </w:pPr>
            <w:r w:rsidRPr="00604C5E">
              <w:rPr>
                <w:rFonts w:ascii="Times New Roman" w:hAnsi="Times New Roman"/>
                <w:sz w:val="24"/>
                <w:szCs w:val="24"/>
                <w:lang w:val="en-IE" w:eastAsia="fr-FR"/>
              </w:rPr>
              <w:t xml:space="preserve">In this regard, the Grids Package builds on already existing requirements under the European legislative framework when it comes to the use of non-fossil </w:t>
            </w:r>
            <w:r w:rsidRPr="00F36321">
              <w:rPr>
                <w:rFonts w:ascii="Times New Roman" w:hAnsi="Times New Roman"/>
                <w:b/>
                <w:bCs/>
                <w:sz w:val="24"/>
                <w:szCs w:val="24"/>
                <w:lang w:val="en-IE" w:eastAsia="fr-FR"/>
              </w:rPr>
              <w:t>flexibility and alternatives to grid development</w:t>
            </w:r>
            <w:r w:rsidRPr="00604C5E">
              <w:rPr>
                <w:rFonts w:ascii="Times New Roman" w:hAnsi="Times New Roman"/>
                <w:sz w:val="24"/>
                <w:szCs w:val="24"/>
                <w:lang w:val="en-IE" w:eastAsia="fr-FR"/>
              </w:rPr>
              <w:t xml:space="preserve">. These were introduced by the </w:t>
            </w:r>
            <w:r w:rsidRPr="00DF520B">
              <w:rPr>
                <w:rFonts w:ascii="Times New Roman" w:hAnsi="Times New Roman"/>
                <w:sz w:val="24"/>
                <w:szCs w:val="24"/>
                <w:lang w:val="en-IE" w:eastAsia="fr-FR"/>
              </w:rPr>
              <w:t>Clean Energy Package</w:t>
            </w:r>
            <w:r w:rsidR="00DF520B">
              <w:rPr>
                <w:rStyle w:val="FootnoteReference"/>
                <w:rFonts w:ascii="Times New Roman" w:hAnsi="Times New Roman"/>
                <w:sz w:val="24"/>
                <w:szCs w:val="24"/>
                <w:lang w:val="en-IE" w:eastAsia="fr-FR"/>
              </w:rPr>
              <w:footnoteReference w:id="4"/>
            </w:r>
            <w:r w:rsidRPr="00604C5E">
              <w:rPr>
                <w:rFonts w:ascii="Times New Roman" w:hAnsi="Times New Roman"/>
                <w:sz w:val="24"/>
                <w:szCs w:val="24"/>
                <w:lang w:val="en-IE" w:eastAsia="fr-FR"/>
              </w:rPr>
              <w:t xml:space="preserve"> reforms in 2019 both at transmission and distribution level, and further strengthened by the Electricity market reform in 2024 by creating a framework for flexibility needs assessments, including national reports on estimated flexibility needs, setting national indicative objective</w:t>
            </w:r>
            <w:r w:rsidR="00E210F5">
              <w:rPr>
                <w:rFonts w:ascii="Times New Roman" w:hAnsi="Times New Roman"/>
                <w:sz w:val="24"/>
                <w:szCs w:val="24"/>
                <w:lang w:val="en-IE" w:eastAsia="fr-FR"/>
              </w:rPr>
              <w:t>s</w:t>
            </w:r>
            <w:r w:rsidRPr="00604C5E">
              <w:rPr>
                <w:rFonts w:ascii="Times New Roman" w:hAnsi="Times New Roman"/>
                <w:sz w:val="24"/>
                <w:szCs w:val="24"/>
                <w:lang w:val="en-IE" w:eastAsia="fr-FR"/>
              </w:rPr>
              <w:t xml:space="preserve"> for non-fossil flexibility, or the </w:t>
            </w:r>
            <w:r w:rsidRPr="00604C5E">
              <w:rPr>
                <w:rFonts w:ascii="Times New Roman" w:hAnsi="Times New Roman"/>
                <w:sz w:val="24"/>
                <w:szCs w:val="24"/>
                <w:lang w:eastAsia="fr-FR"/>
              </w:rPr>
              <w:t>EU Agency for the Cooperation of Energy Regulators</w:t>
            </w:r>
            <w:r w:rsidRPr="00604C5E">
              <w:rPr>
                <w:rFonts w:ascii="Times New Roman" w:hAnsi="Times New Roman"/>
                <w:sz w:val="24"/>
                <w:szCs w:val="24"/>
                <w:lang w:val="en-IE" w:eastAsia="fr-FR"/>
              </w:rPr>
              <w:t xml:space="preserve"> (ACER) report analysing national flexibility needs, providing </w:t>
            </w:r>
            <w:r w:rsidRPr="00604C5E">
              <w:rPr>
                <w:rFonts w:ascii="Times New Roman" w:eastAsia="Times New Roman" w:hAnsi="Times New Roman"/>
                <w:sz w:val="24"/>
                <w:szCs w:val="24"/>
                <w:lang w:val="en-IE"/>
              </w:rPr>
              <w:t>recommendations on issues of cross-border relevance and removing barriers to the entry of non-fossil flexibility resources</w:t>
            </w:r>
            <w:r w:rsidRPr="00604C5E">
              <w:rPr>
                <w:rFonts w:ascii="Times New Roman" w:hAnsi="Times New Roman"/>
                <w:sz w:val="24"/>
                <w:szCs w:val="24"/>
                <w:lang w:val="en-IE" w:eastAsia="fr-FR"/>
              </w:rPr>
              <w:t xml:space="preserve">. </w:t>
            </w:r>
            <w:r w:rsidR="005E55E1">
              <w:rPr>
                <w:rFonts w:ascii="Times New Roman" w:hAnsi="Times New Roman"/>
                <w:sz w:val="24"/>
                <w:szCs w:val="24"/>
                <w:lang w:val="en-IE" w:eastAsia="fr-FR"/>
              </w:rPr>
              <w:t>T</w:t>
            </w:r>
            <w:r w:rsidR="00297AB8">
              <w:rPr>
                <w:rFonts w:ascii="Times New Roman" w:hAnsi="Times New Roman"/>
                <w:sz w:val="24"/>
                <w:szCs w:val="24"/>
                <w:lang w:val="en-IE" w:eastAsia="fr-FR"/>
              </w:rPr>
              <w:t xml:space="preserve">o </w:t>
            </w:r>
            <w:r w:rsidR="005E55E1">
              <w:rPr>
                <w:rFonts w:ascii="Times New Roman" w:hAnsi="Times New Roman"/>
                <w:sz w:val="24"/>
                <w:szCs w:val="24"/>
                <w:lang w:val="en-IE" w:eastAsia="fr-FR"/>
              </w:rPr>
              <w:t xml:space="preserve">further </w:t>
            </w:r>
            <w:r w:rsidR="00297AB8">
              <w:rPr>
                <w:rFonts w:ascii="Times New Roman" w:hAnsi="Times New Roman"/>
                <w:sz w:val="24"/>
                <w:szCs w:val="24"/>
                <w:lang w:val="en-IE" w:eastAsia="fr-FR"/>
              </w:rPr>
              <w:t xml:space="preserve">address </w:t>
            </w:r>
            <w:r w:rsidR="005E55E1">
              <w:rPr>
                <w:rFonts w:ascii="Times New Roman" w:hAnsi="Times New Roman"/>
                <w:sz w:val="24"/>
                <w:szCs w:val="24"/>
                <w:lang w:val="en-IE" w:eastAsia="fr-FR"/>
              </w:rPr>
              <w:t xml:space="preserve">non-discriminatory access to </w:t>
            </w:r>
            <w:r w:rsidR="005E55E1">
              <w:rPr>
                <w:rFonts w:ascii="Times New Roman" w:hAnsi="Times New Roman"/>
                <w:sz w:val="24"/>
                <w:szCs w:val="24"/>
                <w:lang w:val="en-IE" w:eastAsia="fr-FR"/>
              </w:rPr>
              <w:lastRenderedPageBreak/>
              <w:t>flexibility markets</w:t>
            </w:r>
            <w:r w:rsidRPr="00604C5E">
              <w:rPr>
                <w:rFonts w:ascii="Times New Roman" w:hAnsi="Times New Roman"/>
                <w:sz w:val="24"/>
                <w:szCs w:val="24"/>
                <w:lang w:val="en-IE" w:eastAsia="fr-FR"/>
              </w:rPr>
              <w:t xml:space="preserve">, the Commission is working on the </w:t>
            </w:r>
            <w:r w:rsidR="00B81E5E">
              <w:rPr>
                <w:rFonts w:ascii="Times New Roman" w:hAnsi="Times New Roman"/>
                <w:sz w:val="24"/>
                <w:szCs w:val="24"/>
                <w:lang w:val="en-IE" w:eastAsia="fr-FR"/>
              </w:rPr>
              <w:t xml:space="preserve">development of </w:t>
            </w:r>
            <w:r w:rsidR="00D760E4">
              <w:rPr>
                <w:rFonts w:ascii="Times New Roman" w:hAnsi="Times New Roman"/>
                <w:sz w:val="24"/>
                <w:szCs w:val="24"/>
                <w:lang w:val="en-IE" w:eastAsia="fr-FR"/>
              </w:rPr>
              <w:t>the Network Code on</w:t>
            </w:r>
            <w:r w:rsidRPr="00604C5E">
              <w:rPr>
                <w:rFonts w:ascii="Times New Roman" w:hAnsi="Times New Roman"/>
                <w:sz w:val="24"/>
                <w:szCs w:val="24"/>
                <w:lang w:val="en-IE" w:eastAsia="fr-FR"/>
              </w:rPr>
              <w:t xml:space="preserve"> </w:t>
            </w:r>
            <w:r w:rsidR="00D760E4">
              <w:rPr>
                <w:rFonts w:ascii="Times New Roman" w:hAnsi="Times New Roman"/>
                <w:sz w:val="24"/>
                <w:szCs w:val="24"/>
                <w:lang w:val="en-IE" w:eastAsia="fr-FR"/>
              </w:rPr>
              <w:t>D</w:t>
            </w:r>
            <w:r w:rsidRPr="00604C5E">
              <w:rPr>
                <w:rFonts w:ascii="Times New Roman" w:hAnsi="Times New Roman"/>
                <w:sz w:val="24"/>
                <w:szCs w:val="24"/>
                <w:lang w:val="en-IE" w:eastAsia="fr-FR"/>
              </w:rPr>
              <w:t xml:space="preserve">emand </w:t>
            </w:r>
            <w:r w:rsidR="00D760E4">
              <w:rPr>
                <w:rFonts w:ascii="Times New Roman" w:hAnsi="Times New Roman"/>
                <w:sz w:val="24"/>
                <w:szCs w:val="24"/>
                <w:lang w:val="en-IE" w:eastAsia="fr-FR"/>
              </w:rPr>
              <w:t>R</w:t>
            </w:r>
            <w:r w:rsidRPr="00604C5E">
              <w:rPr>
                <w:rFonts w:ascii="Times New Roman" w:hAnsi="Times New Roman"/>
                <w:sz w:val="24"/>
                <w:szCs w:val="24"/>
                <w:lang w:val="en-IE" w:eastAsia="fr-FR"/>
              </w:rPr>
              <w:t>esponse to address the remaining regulatory barriers</w:t>
            </w:r>
            <w:r w:rsidR="0071683D">
              <w:rPr>
                <w:rFonts w:ascii="Times New Roman" w:hAnsi="Times New Roman"/>
                <w:sz w:val="24"/>
                <w:szCs w:val="24"/>
                <w:lang w:val="en-IE" w:eastAsia="fr-FR"/>
              </w:rPr>
              <w:t>,</w:t>
            </w:r>
            <w:r w:rsidRPr="00604C5E">
              <w:rPr>
                <w:rFonts w:ascii="Times New Roman" w:hAnsi="Times New Roman"/>
                <w:sz w:val="24"/>
                <w:szCs w:val="24"/>
                <w:lang w:val="en-IE" w:eastAsia="fr-FR"/>
              </w:rPr>
              <w:t xml:space="preserve"> facilitate market participation of demand response including load, energy storage and distributed generation, individual or aggregated, and </w:t>
            </w:r>
            <w:r w:rsidR="0071683D">
              <w:rPr>
                <w:rFonts w:ascii="Times New Roman" w:hAnsi="Times New Roman"/>
                <w:sz w:val="24"/>
                <w:szCs w:val="24"/>
                <w:lang w:val="en-IE" w:eastAsia="fr-FR"/>
              </w:rPr>
              <w:t>enable</w:t>
            </w:r>
            <w:r w:rsidR="0071683D" w:rsidRPr="00604C5E">
              <w:rPr>
                <w:rFonts w:ascii="Times New Roman" w:hAnsi="Times New Roman"/>
                <w:sz w:val="24"/>
                <w:szCs w:val="24"/>
                <w:lang w:val="en-IE" w:eastAsia="fr-FR"/>
              </w:rPr>
              <w:t xml:space="preserve"> </w:t>
            </w:r>
            <w:r w:rsidRPr="00604C5E">
              <w:rPr>
                <w:rFonts w:ascii="Times New Roman" w:hAnsi="Times New Roman"/>
                <w:sz w:val="24"/>
                <w:szCs w:val="24"/>
                <w:lang w:val="en-IE" w:eastAsia="fr-FR"/>
              </w:rPr>
              <w:t>market-based procurement of local services by DSOs and TSOs, while supporting the achievement of the Union's targets for renewable energy generation.</w:t>
            </w:r>
          </w:p>
          <w:p w14:paraId="00BC5805" w14:textId="3B593752" w:rsidR="008C06B8" w:rsidRPr="00D64694" w:rsidRDefault="5D0E26B4">
            <w:pPr>
              <w:widowControl w:val="0"/>
              <w:spacing w:before="120" w:after="120"/>
              <w:jc w:val="both"/>
              <w:rPr>
                <w:rFonts w:ascii="Times New Roman" w:hAnsi="Times New Roman"/>
                <w:sz w:val="24"/>
                <w:szCs w:val="24"/>
                <w:lang w:val="en-IE" w:eastAsia="fr-FR"/>
              </w:rPr>
            </w:pPr>
            <w:r w:rsidRPr="00D64694">
              <w:rPr>
                <w:rFonts w:ascii="Times New Roman" w:hAnsi="Times New Roman"/>
                <w:sz w:val="24"/>
                <w:szCs w:val="24"/>
                <w:lang w:val="en-IE" w:eastAsia="fr-FR"/>
              </w:rPr>
              <w:t xml:space="preserve">The Commission agrees with the EESC on the need to </w:t>
            </w:r>
            <w:r w:rsidR="008C06B8" w:rsidRPr="00D64694">
              <w:rPr>
                <w:rFonts w:ascii="Times New Roman" w:hAnsi="Times New Roman"/>
                <w:sz w:val="24"/>
                <w:szCs w:val="24"/>
                <w:lang w:val="en-IE" w:eastAsia="fr-FR"/>
              </w:rPr>
              <w:t xml:space="preserve">further strengthen </w:t>
            </w:r>
            <w:r w:rsidR="008C06B8" w:rsidRPr="00D64694">
              <w:rPr>
                <w:rFonts w:ascii="Times New Roman" w:hAnsi="Times New Roman"/>
                <w:b/>
                <w:bCs/>
                <w:sz w:val="24"/>
                <w:szCs w:val="24"/>
                <w:lang w:val="en-IE" w:eastAsia="fr-FR"/>
              </w:rPr>
              <w:t>digitalisation of the grid</w:t>
            </w:r>
            <w:r w:rsidR="008C06B8" w:rsidRPr="00D64694">
              <w:rPr>
                <w:rFonts w:ascii="Times New Roman" w:hAnsi="Times New Roman"/>
                <w:sz w:val="24"/>
                <w:szCs w:val="24"/>
                <w:lang w:val="en-IE" w:eastAsia="fr-FR"/>
              </w:rPr>
              <w:t>, including corresponding data flows</w:t>
            </w:r>
            <w:r w:rsidR="4186345C" w:rsidRPr="00D64694">
              <w:rPr>
                <w:rFonts w:ascii="Times New Roman" w:hAnsi="Times New Roman"/>
                <w:sz w:val="24"/>
                <w:szCs w:val="24"/>
                <w:lang w:val="en-IE" w:eastAsia="fr-FR"/>
              </w:rPr>
              <w:t xml:space="preserve">, </w:t>
            </w:r>
            <w:r w:rsidR="7C0553BA" w:rsidRPr="00D64694">
              <w:rPr>
                <w:rFonts w:ascii="Times New Roman" w:hAnsi="Times New Roman"/>
                <w:sz w:val="24"/>
                <w:szCs w:val="24"/>
                <w:lang w:val="en-IE" w:eastAsia="fr-FR"/>
              </w:rPr>
              <w:t xml:space="preserve">and </w:t>
            </w:r>
            <w:r w:rsidR="4186345C" w:rsidRPr="00D64694">
              <w:rPr>
                <w:rFonts w:ascii="Times New Roman" w:hAnsi="Times New Roman"/>
                <w:sz w:val="24"/>
                <w:szCs w:val="24"/>
                <w:lang w:val="en-IE" w:eastAsia="fr-FR"/>
              </w:rPr>
              <w:t>ensur</w:t>
            </w:r>
            <w:r w:rsidR="00334435" w:rsidRPr="00D64694">
              <w:rPr>
                <w:rFonts w:ascii="Times New Roman" w:hAnsi="Times New Roman"/>
                <w:sz w:val="24"/>
                <w:szCs w:val="24"/>
                <w:lang w:val="en-IE" w:eastAsia="fr-FR"/>
              </w:rPr>
              <w:t>e a</w:t>
            </w:r>
            <w:r w:rsidR="4186345C" w:rsidRPr="00D64694">
              <w:rPr>
                <w:rFonts w:ascii="Times New Roman" w:hAnsi="Times New Roman"/>
                <w:sz w:val="24"/>
                <w:szCs w:val="24"/>
                <w:lang w:val="en-IE" w:eastAsia="fr-FR"/>
              </w:rPr>
              <w:t xml:space="preserve"> </w:t>
            </w:r>
            <w:r w:rsidR="03D7E44E" w:rsidRPr="00D64694">
              <w:rPr>
                <w:rFonts w:ascii="Times New Roman" w:hAnsi="Times New Roman"/>
                <w:sz w:val="24"/>
                <w:szCs w:val="24"/>
                <w:lang w:val="en-IE" w:eastAsia="fr-FR"/>
              </w:rPr>
              <w:t xml:space="preserve">level playing field for </w:t>
            </w:r>
            <w:r w:rsidR="4186345C" w:rsidRPr="00D64694">
              <w:rPr>
                <w:rFonts w:ascii="Times New Roman" w:hAnsi="Times New Roman"/>
                <w:sz w:val="24"/>
                <w:szCs w:val="24"/>
                <w:lang w:val="en-IE" w:eastAsia="fr-FR"/>
              </w:rPr>
              <w:t>access to energy-related data</w:t>
            </w:r>
            <w:r w:rsidR="0880A654" w:rsidRPr="00D64694">
              <w:rPr>
                <w:rFonts w:ascii="Times New Roman" w:hAnsi="Times New Roman"/>
                <w:sz w:val="24"/>
                <w:szCs w:val="24"/>
                <w:lang w:val="en-IE" w:eastAsia="fr-FR"/>
              </w:rPr>
              <w:t>, their use and reuse</w:t>
            </w:r>
            <w:r w:rsidR="58FD1BD7" w:rsidRPr="00D64694">
              <w:rPr>
                <w:rFonts w:ascii="Times New Roman" w:hAnsi="Times New Roman"/>
                <w:sz w:val="24"/>
                <w:szCs w:val="24"/>
                <w:lang w:val="en-IE" w:eastAsia="fr-FR"/>
              </w:rPr>
              <w:t xml:space="preserve">, as well as </w:t>
            </w:r>
            <w:r w:rsidR="008C06B8" w:rsidRPr="00D64694">
              <w:rPr>
                <w:rFonts w:ascii="Times New Roman" w:hAnsi="Times New Roman"/>
                <w:sz w:val="24"/>
                <w:szCs w:val="24"/>
                <w:lang w:val="en-IE" w:eastAsia="fr-FR"/>
              </w:rPr>
              <w:t xml:space="preserve">the </w:t>
            </w:r>
            <w:r w:rsidR="4FD4C8B5" w:rsidRPr="00D64694">
              <w:rPr>
                <w:rFonts w:ascii="Times New Roman" w:hAnsi="Times New Roman"/>
                <w:sz w:val="24"/>
                <w:szCs w:val="24"/>
                <w:lang w:val="en-IE" w:eastAsia="fr-FR"/>
              </w:rPr>
              <w:t xml:space="preserve">timely </w:t>
            </w:r>
            <w:r w:rsidR="3590204A" w:rsidRPr="00D64694">
              <w:rPr>
                <w:rFonts w:ascii="Times New Roman" w:hAnsi="Times New Roman"/>
                <w:sz w:val="24"/>
                <w:szCs w:val="24"/>
                <w:lang w:val="en-IE" w:eastAsia="fr-FR"/>
              </w:rPr>
              <w:t>adoption</w:t>
            </w:r>
            <w:r w:rsidR="008C06B8" w:rsidRPr="00D64694">
              <w:rPr>
                <w:rFonts w:ascii="Times New Roman" w:hAnsi="Times New Roman"/>
                <w:sz w:val="24"/>
                <w:szCs w:val="24"/>
                <w:lang w:val="en-IE" w:eastAsia="fr-FR"/>
              </w:rPr>
              <w:t xml:space="preserve"> of AI</w:t>
            </w:r>
            <w:r w:rsidR="2A7192E7" w:rsidRPr="00D64694">
              <w:rPr>
                <w:rFonts w:ascii="Times New Roman" w:hAnsi="Times New Roman"/>
                <w:sz w:val="24"/>
                <w:szCs w:val="24"/>
                <w:lang w:val="en-IE" w:eastAsia="fr-FR"/>
              </w:rPr>
              <w:t xml:space="preserve"> and GenAI</w:t>
            </w:r>
            <w:r w:rsidR="008C06B8" w:rsidRPr="00D64694">
              <w:rPr>
                <w:rFonts w:ascii="Times New Roman" w:hAnsi="Times New Roman"/>
                <w:sz w:val="24"/>
                <w:szCs w:val="24"/>
                <w:lang w:val="en-IE" w:eastAsia="fr-FR"/>
              </w:rPr>
              <w:t>-powered solutions</w:t>
            </w:r>
            <w:r w:rsidR="3E3FD34F" w:rsidRPr="00D64694">
              <w:rPr>
                <w:rFonts w:ascii="Times New Roman" w:hAnsi="Times New Roman"/>
                <w:sz w:val="24"/>
                <w:szCs w:val="24"/>
                <w:lang w:val="en-IE" w:eastAsia="fr-FR"/>
              </w:rPr>
              <w:t xml:space="preserve">, while preserving European </w:t>
            </w:r>
            <w:r w:rsidR="1D38C17F" w:rsidRPr="00D64694">
              <w:rPr>
                <w:rFonts w:ascii="Times New Roman" w:hAnsi="Times New Roman"/>
                <w:sz w:val="24"/>
                <w:szCs w:val="24"/>
                <w:lang w:val="en-IE" w:eastAsia="fr-FR"/>
              </w:rPr>
              <w:t xml:space="preserve">sovereignty and </w:t>
            </w:r>
            <w:r w:rsidR="3E3FD34F" w:rsidRPr="00D64694">
              <w:rPr>
                <w:rFonts w:ascii="Times New Roman" w:hAnsi="Times New Roman"/>
                <w:sz w:val="24"/>
                <w:szCs w:val="24"/>
                <w:lang w:val="en-IE" w:eastAsia="fr-FR"/>
              </w:rPr>
              <w:t>competitiveness</w:t>
            </w:r>
            <w:r w:rsidR="4C5EC1C3" w:rsidRPr="00D64694">
              <w:rPr>
                <w:rFonts w:ascii="Times New Roman" w:hAnsi="Times New Roman"/>
                <w:sz w:val="24"/>
                <w:szCs w:val="24"/>
                <w:lang w:val="en-IE" w:eastAsia="fr-FR"/>
              </w:rPr>
              <w:t>.</w:t>
            </w:r>
            <w:r w:rsidR="008C06B8" w:rsidRPr="00D64694">
              <w:rPr>
                <w:rFonts w:ascii="Times New Roman" w:hAnsi="Times New Roman"/>
                <w:sz w:val="24"/>
                <w:szCs w:val="24"/>
                <w:lang w:val="en-IE" w:eastAsia="fr-FR"/>
              </w:rPr>
              <w:t xml:space="preserve"> </w:t>
            </w:r>
            <w:r w:rsidR="1AD459FA" w:rsidRPr="00D64694">
              <w:rPr>
                <w:rFonts w:ascii="Times New Roman" w:hAnsi="Times New Roman"/>
                <w:sz w:val="24"/>
                <w:szCs w:val="24"/>
                <w:lang w:val="en-IE" w:eastAsia="fr-FR"/>
              </w:rPr>
              <w:t>T</w:t>
            </w:r>
            <w:r w:rsidR="008C06B8" w:rsidRPr="00D64694">
              <w:rPr>
                <w:rFonts w:ascii="Times New Roman" w:hAnsi="Times New Roman"/>
                <w:sz w:val="24"/>
                <w:szCs w:val="24"/>
                <w:lang w:val="en-IE" w:eastAsia="fr-FR"/>
              </w:rPr>
              <w:t xml:space="preserve">he Commission </w:t>
            </w:r>
            <w:r w:rsidR="0028388E">
              <w:rPr>
                <w:rFonts w:ascii="Times New Roman" w:hAnsi="Times New Roman"/>
                <w:sz w:val="24"/>
                <w:szCs w:val="24"/>
                <w:lang w:val="en-IE" w:eastAsia="fr-FR"/>
              </w:rPr>
              <w:t xml:space="preserve">has </w:t>
            </w:r>
            <w:r w:rsidR="008C06B8" w:rsidRPr="00D64694">
              <w:rPr>
                <w:rFonts w:ascii="Times New Roman" w:hAnsi="Times New Roman"/>
                <w:sz w:val="24"/>
                <w:szCs w:val="24"/>
                <w:lang w:val="en-IE" w:eastAsia="fr-FR"/>
              </w:rPr>
              <w:t>put forward a Strategic Roadmap for digitalisation and AI in the energy sector</w:t>
            </w:r>
            <w:r w:rsidR="3970F5A5" w:rsidRPr="00D64694">
              <w:rPr>
                <w:rFonts w:ascii="Times New Roman" w:hAnsi="Times New Roman"/>
                <w:sz w:val="24"/>
                <w:szCs w:val="24"/>
                <w:lang w:val="en-IE" w:eastAsia="fr-FR"/>
              </w:rPr>
              <w:t xml:space="preserve">, </w:t>
            </w:r>
            <w:r w:rsidR="3970F5A5" w:rsidRPr="00D64694">
              <w:rPr>
                <w:rFonts w:ascii="Times New Roman" w:hAnsi="Times New Roman"/>
                <w:color w:val="000000" w:themeColor="text1"/>
                <w:sz w:val="24"/>
                <w:szCs w:val="24"/>
                <w:lang w:val="en-IE"/>
              </w:rPr>
              <w:t xml:space="preserve">while ensuring </w:t>
            </w:r>
            <w:r w:rsidR="001EA9B0" w:rsidRPr="00D64694">
              <w:rPr>
                <w:rFonts w:ascii="Times New Roman" w:hAnsi="Times New Roman"/>
                <w:sz w:val="24"/>
                <w:szCs w:val="24"/>
                <w:lang w:val="en-IE" w:eastAsia="fr-FR"/>
              </w:rPr>
              <w:t>coherence</w:t>
            </w:r>
            <w:r w:rsidR="3970F5A5" w:rsidRPr="00D64694">
              <w:rPr>
                <w:rFonts w:ascii="Times New Roman" w:hAnsi="Times New Roman"/>
                <w:color w:val="000000" w:themeColor="text1"/>
                <w:sz w:val="24"/>
                <w:szCs w:val="24"/>
                <w:lang w:val="en-IE"/>
              </w:rPr>
              <w:t xml:space="preserve"> with </w:t>
            </w:r>
            <w:r w:rsidR="3154CFC0" w:rsidRPr="00D64694">
              <w:rPr>
                <w:rFonts w:ascii="Times New Roman" w:hAnsi="Times New Roman"/>
                <w:sz w:val="24"/>
                <w:szCs w:val="24"/>
                <w:lang w:val="en-IE" w:eastAsia="fr-FR"/>
              </w:rPr>
              <w:t>its</w:t>
            </w:r>
            <w:r w:rsidR="4D5769A5" w:rsidRPr="00D64694">
              <w:rPr>
                <w:rFonts w:ascii="Times New Roman" w:hAnsi="Times New Roman"/>
                <w:color w:val="000000" w:themeColor="text1"/>
                <w:sz w:val="24"/>
                <w:szCs w:val="24"/>
                <w:lang w:val="en-IE"/>
              </w:rPr>
              <w:t xml:space="preserve"> </w:t>
            </w:r>
            <w:r w:rsidR="3970F5A5" w:rsidRPr="00D64694">
              <w:rPr>
                <w:rFonts w:ascii="Times New Roman" w:hAnsi="Times New Roman"/>
                <w:color w:val="000000" w:themeColor="text1"/>
                <w:sz w:val="24"/>
                <w:szCs w:val="24"/>
                <w:lang w:val="en-IE"/>
              </w:rPr>
              <w:t>Apply AI Strategy</w:t>
            </w:r>
            <w:r w:rsidRPr="00D64694">
              <w:rPr>
                <w:rStyle w:val="FootnoteReference"/>
                <w:rFonts w:ascii="Times New Roman" w:hAnsi="Times New Roman"/>
                <w:sz w:val="24"/>
                <w:szCs w:val="24"/>
                <w:lang w:val="en-IE" w:eastAsia="fr-FR"/>
              </w:rPr>
              <w:footnoteReference w:id="5"/>
            </w:r>
            <w:r w:rsidR="008C06B8" w:rsidRPr="00D64694">
              <w:rPr>
                <w:rFonts w:ascii="Times New Roman" w:hAnsi="Times New Roman"/>
                <w:sz w:val="24"/>
                <w:szCs w:val="24"/>
                <w:lang w:val="en-IE" w:eastAsia="fr-FR"/>
              </w:rPr>
              <w:t xml:space="preserve">. The </w:t>
            </w:r>
            <w:proofErr w:type="gramStart"/>
            <w:r w:rsidR="008C06B8" w:rsidRPr="00D64694">
              <w:rPr>
                <w:rFonts w:ascii="Times New Roman" w:hAnsi="Times New Roman"/>
                <w:sz w:val="24"/>
                <w:szCs w:val="24"/>
                <w:lang w:val="en-IE" w:eastAsia="fr-FR"/>
              </w:rPr>
              <w:t>Roadmap</w:t>
            </w:r>
            <w:proofErr w:type="gramEnd"/>
            <w:r w:rsidR="008C06B8" w:rsidRPr="00D64694">
              <w:rPr>
                <w:rFonts w:ascii="Times New Roman" w:hAnsi="Times New Roman"/>
                <w:sz w:val="24"/>
                <w:szCs w:val="24"/>
                <w:lang w:val="en-IE" w:eastAsia="fr-FR"/>
              </w:rPr>
              <w:t xml:space="preserve"> build</w:t>
            </w:r>
            <w:r w:rsidR="003E3CE1">
              <w:rPr>
                <w:rFonts w:ascii="Times New Roman" w:hAnsi="Times New Roman"/>
                <w:sz w:val="24"/>
                <w:szCs w:val="24"/>
                <w:lang w:val="en-IE" w:eastAsia="fr-FR"/>
              </w:rPr>
              <w:t>s</w:t>
            </w:r>
            <w:r w:rsidR="008C06B8" w:rsidRPr="00D64694">
              <w:rPr>
                <w:rFonts w:ascii="Times New Roman" w:hAnsi="Times New Roman"/>
                <w:sz w:val="24"/>
                <w:szCs w:val="24"/>
                <w:lang w:val="en-IE" w:eastAsia="fr-FR"/>
              </w:rPr>
              <w:t xml:space="preserve"> on current activities to ensure</w:t>
            </w:r>
            <w:r w:rsidR="00D64694">
              <w:rPr>
                <w:rFonts w:ascii="Times New Roman" w:hAnsi="Times New Roman"/>
                <w:sz w:val="24"/>
                <w:szCs w:val="24"/>
                <w:lang w:val="en-IE" w:eastAsia="fr-FR"/>
              </w:rPr>
              <w:t xml:space="preserve"> </w:t>
            </w:r>
            <w:r w:rsidR="008C06B8" w:rsidRPr="00D64694">
              <w:rPr>
                <w:rFonts w:ascii="Times New Roman" w:hAnsi="Times New Roman"/>
                <w:sz w:val="24"/>
                <w:szCs w:val="24"/>
                <w:lang w:val="en-IE" w:eastAsia="fr-FR"/>
              </w:rPr>
              <w:t>seamless</w:t>
            </w:r>
            <w:r w:rsidR="412F4655" w:rsidRPr="00D64694">
              <w:rPr>
                <w:rFonts w:ascii="Times New Roman" w:hAnsi="Times New Roman"/>
                <w:sz w:val="24"/>
                <w:szCs w:val="24"/>
                <w:lang w:val="en-IE" w:eastAsia="fr-FR"/>
              </w:rPr>
              <w:t>, secure and efficient</w:t>
            </w:r>
            <w:r w:rsidR="008C06B8" w:rsidRPr="00D64694">
              <w:rPr>
                <w:rFonts w:ascii="Times New Roman" w:hAnsi="Times New Roman"/>
                <w:sz w:val="24"/>
                <w:szCs w:val="24"/>
                <w:lang w:val="en-IE" w:eastAsia="fr-FR"/>
              </w:rPr>
              <w:t xml:space="preserve"> data exchanges along the energy value chain and will aim at </w:t>
            </w:r>
            <w:r w:rsidR="04F8D403" w:rsidRPr="00D64694">
              <w:rPr>
                <w:rFonts w:ascii="Times New Roman" w:hAnsi="Times New Roman"/>
                <w:sz w:val="24"/>
                <w:szCs w:val="24"/>
                <w:lang w:val="en-IE" w:eastAsia="fr-FR"/>
              </w:rPr>
              <w:t xml:space="preserve">accelerating the </w:t>
            </w:r>
            <w:r w:rsidR="7487C129" w:rsidRPr="00D64694">
              <w:rPr>
                <w:rFonts w:ascii="Times New Roman" w:hAnsi="Times New Roman"/>
                <w:sz w:val="24"/>
                <w:szCs w:val="24"/>
                <w:lang w:val="en-IE" w:eastAsia="fr-FR"/>
              </w:rPr>
              <w:t>real-world</w:t>
            </w:r>
            <w:r w:rsidR="6E33F785" w:rsidRPr="00D64694">
              <w:rPr>
                <w:rFonts w:ascii="Times New Roman" w:hAnsi="Times New Roman"/>
                <w:sz w:val="24"/>
                <w:szCs w:val="24"/>
                <w:lang w:val="en-IE" w:eastAsia="fr-FR"/>
              </w:rPr>
              <w:t xml:space="preserve"> implementation of the </w:t>
            </w:r>
            <w:r w:rsidR="5D6E943B" w:rsidRPr="00D64694">
              <w:rPr>
                <w:rFonts w:ascii="Times New Roman" w:hAnsi="Times New Roman"/>
                <w:sz w:val="24"/>
                <w:szCs w:val="24"/>
                <w:lang w:val="en-IE" w:eastAsia="fr-FR"/>
              </w:rPr>
              <w:t xml:space="preserve">federated ecosystem </w:t>
            </w:r>
            <w:r w:rsidR="04F8D403" w:rsidRPr="00D64694">
              <w:rPr>
                <w:rFonts w:ascii="Times New Roman" w:hAnsi="Times New Roman"/>
                <w:sz w:val="24"/>
                <w:szCs w:val="24"/>
                <w:lang w:val="en-IE" w:eastAsia="fr-FR"/>
              </w:rPr>
              <w:t>of</w:t>
            </w:r>
            <w:r w:rsidR="008C06B8" w:rsidRPr="00D64694">
              <w:rPr>
                <w:rFonts w:ascii="Times New Roman" w:hAnsi="Times New Roman"/>
                <w:sz w:val="24"/>
                <w:szCs w:val="24"/>
                <w:lang w:val="en-IE" w:eastAsia="fr-FR"/>
              </w:rPr>
              <w:t xml:space="preserve"> the Common European Energy Data Space. These actions will, among others, boost the use of demand side flexibility as a means to better use current grid capacity and foster the uptake of additional RES generation. </w:t>
            </w:r>
          </w:p>
          <w:p w14:paraId="74ECC955" w14:textId="782E8B04" w:rsidR="00397D47" w:rsidRPr="00A16D1F" w:rsidRDefault="008C06B8" w:rsidP="5806048F">
            <w:pPr>
              <w:widowControl w:val="0"/>
              <w:spacing w:before="120" w:after="120"/>
              <w:jc w:val="both"/>
              <w:rPr>
                <w:rFonts w:ascii="Times New Roman" w:hAnsi="Times New Roman"/>
                <w:sz w:val="24"/>
                <w:szCs w:val="24"/>
                <w:lang w:eastAsia="fr-FR"/>
              </w:rPr>
            </w:pPr>
            <w:r w:rsidRPr="5806048F">
              <w:rPr>
                <w:rFonts w:ascii="Times New Roman" w:hAnsi="Times New Roman"/>
                <w:sz w:val="24"/>
                <w:szCs w:val="24"/>
                <w:lang w:eastAsia="fr-FR"/>
              </w:rPr>
              <w:t xml:space="preserve">Additionally, the European Commission </w:t>
            </w:r>
            <w:r w:rsidR="00126E45">
              <w:rPr>
                <w:rFonts w:ascii="Times New Roman" w:hAnsi="Times New Roman"/>
                <w:sz w:val="24"/>
                <w:szCs w:val="24"/>
                <w:lang w:eastAsia="fr-FR"/>
              </w:rPr>
              <w:t xml:space="preserve">is </w:t>
            </w:r>
            <w:r w:rsidRPr="5806048F">
              <w:rPr>
                <w:rFonts w:ascii="Times New Roman" w:hAnsi="Times New Roman"/>
                <w:sz w:val="24"/>
                <w:szCs w:val="24"/>
                <w:lang w:eastAsia="fr-FR"/>
              </w:rPr>
              <w:t>work</w:t>
            </w:r>
            <w:r w:rsidR="00126E45">
              <w:rPr>
                <w:rFonts w:ascii="Times New Roman" w:hAnsi="Times New Roman"/>
                <w:sz w:val="24"/>
                <w:szCs w:val="24"/>
                <w:lang w:eastAsia="fr-FR"/>
              </w:rPr>
              <w:t>ing</w:t>
            </w:r>
            <w:r w:rsidRPr="5806048F">
              <w:rPr>
                <w:rFonts w:ascii="Times New Roman" w:hAnsi="Times New Roman"/>
                <w:sz w:val="24"/>
                <w:szCs w:val="24"/>
                <w:lang w:eastAsia="fr-FR"/>
              </w:rPr>
              <w:t xml:space="preserve"> with regulators (ACER and CEER, </w:t>
            </w:r>
            <w:r w:rsidR="00277556">
              <w:rPr>
                <w:rFonts w:ascii="Times New Roman" w:hAnsi="Times New Roman"/>
                <w:sz w:val="24"/>
                <w:szCs w:val="24"/>
                <w:lang w:eastAsia="fr-FR"/>
              </w:rPr>
              <w:t xml:space="preserve">the </w:t>
            </w:r>
            <w:r w:rsidRPr="5806048F">
              <w:rPr>
                <w:rFonts w:ascii="Times New Roman" w:hAnsi="Times New Roman"/>
                <w:sz w:val="24"/>
                <w:szCs w:val="24"/>
                <w:lang w:eastAsia="fr-FR"/>
              </w:rPr>
              <w:t xml:space="preserve">Council of European Energy Regulators) to establish a set of </w:t>
            </w:r>
            <w:r w:rsidRPr="5806048F">
              <w:rPr>
                <w:rFonts w:ascii="Times New Roman" w:hAnsi="Times New Roman"/>
                <w:b/>
                <w:bCs/>
                <w:sz w:val="24"/>
                <w:szCs w:val="24"/>
                <w:lang w:eastAsia="fr-FR"/>
              </w:rPr>
              <w:t>smart grid indicators</w:t>
            </w:r>
            <w:r w:rsidRPr="5806048F">
              <w:rPr>
                <w:rFonts w:ascii="Times New Roman" w:hAnsi="Times New Roman"/>
                <w:sz w:val="24"/>
                <w:szCs w:val="24"/>
                <w:lang w:eastAsia="fr-FR"/>
              </w:rPr>
              <w:t xml:space="preserve"> that will help focus investments </w:t>
            </w:r>
            <w:proofErr w:type="gramStart"/>
            <w:r w:rsidRPr="5806048F">
              <w:rPr>
                <w:rFonts w:ascii="Times New Roman" w:hAnsi="Times New Roman"/>
                <w:sz w:val="24"/>
                <w:szCs w:val="24"/>
                <w:lang w:eastAsia="fr-FR"/>
              </w:rPr>
              <w:t>in</w:t>
            </w:r>
            <w:proofErr w:type="gramEnd"/>
            <w:r w:rsidRPr="5806048F">
              <w:rPr>
                <w:rFonts w:ascii="Times New Roman" w:hAnsi="Times New Roman"/>
                <w:sz w:val="24"/>
                <w:szCs w:val="24"/>
                <w:lang w:eastAsia="fr-FR"/>
              </w:rPr>
              <w:t xml:space="preserve"> smart grid solutions.</w:t>
            </w:r>
            <w:r w:rsidR="00C26E9A" w:rsidRPr="5806048F">
              <w:rPr>
                <w:rFonts w:ascii="Times New Roman" w:hAnsi="Times New Roman"/>
                <w:sz w:val="24"/>
                <w:szCs w:val="24"/>
                <w:lang w:eastAsia="fr-FR"/>
              </w:rPr>
              <w:t xml:space="preserve"> </w:t>
            </w:r>
            <w:r w:rsidR="00397D47" w:rsidRPr="5806048F">
              <w:rPr>
                <w:rFonts w:ascii="Times New Roman" w:hAnsi="Times New Roman"/>
                <w:sz w:val="24"/>
                <w:szCs w:val="24"/>
                <w:lang w:eastAsia="fr-FR"/>
              </w:rPr>
              <w:t xml:space="preserve">The Commission notes that the considerations put forward by the EESC are in line with its approach, whereby the increased use of flexibility must be accompanied by appropriate protection for </w:t>
            </w:r>
            <w:r w:rsidR="00397D47" w:rsidRPr="5806048F">
              <w:rPr>
                <w:rFonts w:ascii="Times New Roman" w:hAnsi="Times New Roman"/>
                <w:b/>
                <w:bCs/>
                <w:sz w:val="24"/>
                <w:szCs w:val="24"/>
                <w:lang w:eastAsia="fr-FR"/>
              </w:rPr>
              <w:t>vulnerable consumers</w:t>
            </w:r>
            <w:r w:rsidR="00397D47" w:rsidRPr="5806048F">
              <w:rPr>
                <w:rFonts w:ascii="Times New Roman" w:hAnsi="Times New Roman"/>
                <w:sz w:val="24"/>
                <w:szCs w:val="24"/>
                <w:lang w:eastAsia="fr-FR"/>
              </w:rPr>
              <w:t xml:space="preserve"> and those with limited flexibility potential. In line with the </w:t>
            </w:r>
            <w:r w:rsidR="00397D47" w:rsidRPr="00C03A5D">
              <w:rPr>
                <w:rFonts w:ascii="Times New Roman" w:hAnsi="Times New Roman"/>
                <w:sz w:val="24"/>
                <w:szCs w:val="24"/>
                <w:lang w:eastAsia="fr-FR"/>
              </w:rPr>
              <w:t>Citizens’ Energy Package</w:t>
            </w:r>
            <w:r w:rsidR="00C03A5D">
              <w:rPr>
                <w:rStyle w:val="FootnoteReference"/>
                <w:rFonts w:ascii="Times New Roman" w:hAnsi="Times New Roman"/>
                <w:sz w:val="24"/>
                <w:szCs w:val="24"/>
                <w:lang w:eastAsia="fr-FR"/>
              </w:rPr>
              <w:footnoteReference w:id="6"/>
            </w:r>
            <w:r w:rsidR="00397D47" w:rsidRPr="5806048F">
              <w:rPr>
                <w:rFonts w:ascii="Times New Roman" w:hAnsi="Times New Roman"/>
                <w:sz w:val="24"/>
                <w:szCs w:val="24"/>
                <w:lang w:eastAsia="fr-FR"/>
              </w:rPr>
              <w:t xml:space="preserve"> and existing EU legislation, the Commission promotes a consumer-centred approach to flexibility, ensuring that participation remains voluntary, transparent and beneficial and that consumers who cannot adjust their consumption are not unduly disadvantaged. The Commission also recognises that flexibility potential varies across consumer groups, including industrial users, and considers that existing frameworks allow for proportionate and tailored approaches, while safeguarding security of supply and system stability.</w:t>
            </w:r>
          </w:p>
          <w:p w14:paraId="2E895F16" w14:textId="26B189CA" w:rsidR="005A0613" w:rsidRPr="00A16D1F" w:rsidRDefault="005A0613" w:rsidP="5806048F">
            <w:pPr>
              <w:widowControl w:val="0"/>
              <w:spacing w:before="120" w:after="120"/>
              <w:jc w:val="both"/>
              <w:rPr>
                <w:rFonts w:ascii="Times New Roman" w:hAnsi="Times New Roman"/>
                <w:sz w:val="24"/>
                <w:szCs w:val="24"/>
                <w:lang w:eastAsia="fr-FR"/>
              </w:rPr>
            </w:pPr>
            <w:r w:rsidRPr="5806048F">
              <w:rPr>
                <w:rFonts w:ascii="Times New Roman" w:hAnsi="Times New Roman"/>
                <w:sz w:val="24"/>
                <w:szCs w:val="24"/>
                <w:lang w:eastAsia="fr-FR"/>
              </w:rPr>
              <w:t xml:space="preserve">The Commission acknowledges the contribution highlighted by the EESC of </w:t>
            </w:r>
            <w:r w:rsidRPr="5806048F">
              <w:rPr>
                <w:rFonts w:ascii="Times New Roman" w:hAnsi="Times New Roman"/>
                <w:b/>
                <w:bCs/>
                <w:sz w:val="24"/>
                <w:szCs w:val="24"/>
                <w:lang w:eastAsia="fr-FR"/>
              </w:rPr>
              <w:t>decentralised generation</w:t>
            </w:r>
            <w:r w:rsidRPr="5806048F">
              <w:rPr>
                <w:rFonts w:ascii="Times New Roman" w:hAnsi="Times New Roman"/>
                <w:sz w:val="24"/>
                <w:szCs w:val="24"/>
                <w:lang w:eastAsia="fr-FR"/>
              </w:rPr>
              <w:t xml:space="preserve">, </w:t>
            </w:r>
            <w:r w:rsidRPr="5806048F">
              <w:rPr>
                <w:rFonts w:ascii="Times New Roman" w:hAnsi="Times New Roman"/>
                <w:b/>
                <w:bCs/>
                <w:sz w:val="24"/>
                <w:szCs w:val="24"/>
                <w:lang w:eastAsia="fr-FR"/>
              </w:rPr>
              <w:t>energy communities</w:t>
            </w:r>
            <w:r w:rsidRPr="5806048F">
              <w:rPr>
                <w:rFonts w:ascii="Times New Roman" w:hAnsi="Times New Roman"/>
                <w:sz w:val="24"/>
                <w:szCs w:val="24"/>
                <w:lang w:eastAsia="fr-FR"/>
              </w:rPr>
              <w:t xml:space="preserve"> and </w:t>
            </w:r>
            <w:r w:rsidRPr="5806048F">
              <w:rPr>
                <w:rFonts w:ascii="Times New Roman" w:hAnsi="Times New Roman"/>
                <w:b/>
                <w:bCs/>
                <w:sz w:val="24"/>
                <w:szCs w:val="24"/>
                <w:lang w:eastAsia="fr-FR"/>
              </w:rPr>
              <w:t>storage</w:t>
            </w:r>
            <w:r w:rsidRPr="5806048F">
              <w:rPr>
                <w:rFonts w:ascii="Times New Roman" w:hAnsi="Times New Roman"/>
                <w:sz w:val="24"/>
                <w:szCs w:val="24"/>
                <w:lang w:eastAsia="fr-FR"/>
              </w:rPr>
              <w:t xml:space="preserve"> to optimis</w:t>
            </w:r>
            <w:r w:rsidR="000674D2" w:rsidRPr="5806048F">
              <w:rPr>
                <w:rFonts w:ascii="Times New Roman" w:hAnsi="Times New Roman"/>
                <w:sz w:val="24"/>
                <w:szCs w:val="24"/>
                <w:lang w:eastAsia="fr-FR"/>
              </w:rPr>
              <w:t>ing</w:t>
            </w:r>
            <w:r w:rsidRPr="5806048F">
              <w:rPr>
                <w:rFonts w:ascii="Times New Roman" w:hAnsi="Times New Roman"/>
                <w:sz w:val="24"/>
                <w:szCs w:val="24"/>
                <w:lang w:eastAsia="fr-FR"/>
              </w:rPr>
              <w:t xml:space="preserve"> grid use and enhancing public acceptance of the energy transition. The Grids Package and the Citizens’ Energy Package support the uptake of energy communities, self-consumption and flexibility solutions, including storage, by improving market access, data availability and interoperability. At the same time, the Commission underlines that such solutions complement, but do not replace, the need for grid expansion and modernisation, given increasing electrification and renewable</w:t>
            </w:r>
            <w:r w:rsidR="002C384F">
              <w:rPr>
                <w:rFonts w:ascii="Times New Roman" w:hAnsi="Times New Roman"/>
                <w:sz w:val="24"/>
                <w:szCs w:val="24"/>
                <w:lang w:eastAsia="fr-FR"/>
              </w:rPr>
              <w:t xml:space="preserve"> energy</w:t>
            </w:r>
            <w:r w:rsidRPr="5806048F">
              <w:rPr>
                <w:rFonts w:ascii="Times New Roman" w:hAnsi="Times New Roman"/>
                <w:sz w:val="24"/>
                <w:szCs w:val="24"/>
                <w:lang w:eastAsia="fr-FR"/>
              </w:rPr>
              <w:t xml:space="preserve"> integration. The Commission will continue to assess the role of market signals in incentivising grid-supportive behaviour, while ensuring consistency with the principles of cost-reflectivity, non-discrimination and consumer protection.</w:t>
            </w:r>
          </w:p>
          <w:p w14:paraId="7FC18EFC" w14:textId="49044A19" w:rsidR="000D0C6E" w:rsidRPr="00A16D1F" w:rsidRDefault="23A52EF6" w:rsidP="5806048F">
            <w:pPr>
              <w:widowControl w:val="0"/>
              <w:spacing w:before="120" w:after="120"/>
              <w:jc w:val="both"/>
              <w:rPr>
                <w:rFonts w:ascii="Times New Roman" w:hAnsi="Times New Roman"/>
                <w:sz w:val="24"/>
                <w:szCs w:val="24"/>
                <w:lang w:eastAsia="fr-FR"/>
              </w:rPr>
            </w:pPr>
            <w:r w:rsidRPr="5EAEE404">
              <w:rPr>
                <w:rFonts w:ascii="Times New Roman" w:hAnsi="Times New Roman"/>
                <w:sz w:val="24"/>
                <w:szCs w:val="24"/>
                <w:lang w:eastAsia="fr-FR"/>
              </w:rPr>
              <w:t xml:space="preserve">The Commission agrees </w:t>
            </w:r>
            <w:r w:rsidR="6EE1C64C" w:rsidRPr="5EAEE404">
              <w:rPr>
                <w:rFonts w:ascii="Times New Roman" w:hAnsi="Times New Roman"/>
                <w:sz w:val="24"/>
                <w:szCs w:val="24"/>
                <w:lang w:eastAsia="fr-FR"/>
              </w:rPr>
              <w:t xml:space="preserve">with the EESC </w:t>
            </w:r>
            <w:r w:rsidRPr="5EAEE404">
              <w:rPr>
                <w:rFonts w:ascii="Times New Roman" w:hAnsi="Times New Roman"/>
                <w:sz w:val="24"/>
                <w:szCs w:val="24"/>
                <w:lang w:eastAsia="fr-FR"/>
              </w:rPr>
              <w:t xml:space="preserve">that grid development should support </w:t>
            </w:r>
            <w:r w:rsidRPr="5EAEE404">
              <w:rPr>
                <w:rFonts w:ascii="Times New Roman" w:hAnsi="Times New Roman"/>
                <w:b/>
                <w:bCs/>
                <w:sz w:val="24"/>
                <w:szCs w:val="24"/>
                <w:lang w:eastAsia="fr-FR"/>
              </w:rPr>
              <w:t>socio-economic stability</w:t>
            </w:r>
            <w:r w:rsidRPr="5EAEE404">
              <w:rPr>
                <w:rFonts w:ascii="Times New Roman" w:hAnsi="Times New Roman"/>
                <w:sz w:val="24"/>
                <w:szCs w:val="24"/>
                <w:lang w:eastAsia="fr-FR"/>
              </w:rPr>
              <w:t xml:space="preserve"> and support a </w:t>
            </w:r>
            <w:r w:rsidRPr="5EAEE404">
              <w:rPr>
                <w:rFonts w:ascii="Times New Roman" w:hAnsi="Times New Roman"/>
                <w:b/>
                <w:bCs/>
                <w:sz w:val="24"/>
                <w:szCs w:val="24"/>
                <w:lang w:eastAsia="fr-FR"/>
              </w:rPr>
              <w:t>just and fair transition</w:t>
            </w:r>
            <w:r w:rsidRPr="5EAEE404">
              <w:rPr>
                <w:rFonts w:ascii="Times New Roman" w:hAnsi="Times New Roman"/>
                <w:sz w:val="24"/>
                <w:szCs w:val="24"/>
                <w:lang w:eastAsia="fr-FR"/>
              </w:rPr>
              <w:t xml:space="preserve">. In this regard, EU policy frameworks and funding instruments, including the Just Transition Mechanism, support regions and workers affected by the </w:t>
            </w:r>
            <w:r w:rsidRPr="5EAEE404">
              <w:rPr>
                <w:rFonts w:ascii="Times New Roman" w:hAnsi="Times New Roman"/>
                <w:sz w:val="24"/>
                <w:szCs w:val="24"/>
                <w:lang w:eastAsia="fr-FR"/>
              </w:rPr>
              <w:lastRenderedPageBreak/>
              <w:t>transition, while ensuring alignment with national and regional development strategies. The Commission further considers that grid investments, alongside a more consumer-centred energy system, can contribute to job creation, regional development and social cohesion, while respecting Member States’ competences in regional development, labour and social policy, in accordance with the principle of subsidiarity.</w:t>
            </w:r>
          </w:p>
          <w:p w14:paraId="4A71D28F" w14:textId="6B6BEE1D" w:rsidR="00094FCB" w:rsidRPr="00094FCB" w:rsidRDefault="5FEE8585" w:rsidP="00331D11">
            <w:pPr>
              <w:widowControl w:val="0"/>
              <w:spacing w:before="120" w:after="120"/>
              <w:jc w:val="both"/>
              <w:rPr>
                <w:rFonts w:ascii="Times New Roman" w:hAnsi="Times New Roman"/>
                <w:sz w:val="24"/>
                <w:szCs w:val="24"/>
                <w:lang w:eastAsia="fr-FR"/>
              </w:rPr>
            </w:pPr>
            <w:r w:rsidRPr="7910A1DC">
              <w:rPr>
                <w:rFonts w:ascii="Times New Roman" w:hAnsi="Times New Roman"/>
                <w:sz w:val="24"/>
                <w:szCs w:val="24"/>
                <w:lang w:eastAsia="fr-FR"/>
              </w:rPr>
              <w:t xml:space="preserve">The European Grids Package also fosters </w:t>
            </w:r>
            <w:r w:rsidRPr="7910A1DC">
              <w:rPr>
                <w:rFonts w:ascii="Times New Roman" w:hAnsi="Times New Roman"/>
                <w:b/>
                <w:bCs/>
                <w:sz w:val="24"/>
                <w:szCs w:val="24"/>
                <w:lang w:eastAsia="fr-FR"/>
              </w:rPr>
              <w:t>public acceptance and engagement</w:t>
            </w:r>
            <w:r w:rsidRPr="7910A1DC">
              <w:rPr>
                <w:rFonts w:ascii="Times New Roman" w:hAnsi="Times New Roman"/>
                <w:sz w:val="24"/>
                <w:szCs w:val="24"/>
                <w:lang w:eastAsia="fr-FR"/>
              </w:rPr>
              <w:t xml:space="preserve"> by ensuring that the development of cross-border energy infrastructure is both fair and transparent. The package introduces measures that enhance transparency and predictability like clearer communication about the wider advantages of infrastructure developments beyond the hosting nations, as well as the establishment of EU-wide principles to ensure a fair and predictable cross-border cost allocation (CBCA) process. Additionally, the package proposes a framework to facilitate the voluntary bundling of PCIs and PMIs, encouraging collaborative </w:t>
            </w:r>
            <w:r w:rsidRPr="7910A1DC">
              <w:rPr>
                <w:rFonts w:ascii="Times New Roman" w:hAnsi="Times New Roman"/>
                <w:b/>
                <w:bCs/>
                <w:sz w:val="24"/>
                <w:szCs w:val="24"/>
                <w:lang w:eastAsia="fr-FR"/>
              </w:rPr>
              <w:t>cost-sharing</w:t>
            </w:r>
            <w:r w:rsidRPr="7910A1DC">
              <w:rPr>
                <w:rFonts w:ascii="Times New Roman" w:hAnsi="Times New Roman"/>
                <w:sz w:val="24"/>
                <w:szCs w:val="24"/>
                <w:lang w:eastAsia="fr-FR"/>
              </w:rPr>
              <w:t xml:space="preserve"> discussions among relevant EU Member States and third countries. </w:t>
            </w:r>
            <w:proofErr w:type="gramStart"/>
            <w:r w:rsidR="1E89E44A" w:rsidRPr="7910A1DC">
              <w:rPr>
                <w:rFonts w:ascii="Times New Roman" w:hAnsi="Times New Roman"/>
                <w:sz w:val="24"/>
                <w:szCs w:val="24"/>
                <w:lang w:eastAsia="fr-FR"/>
              </w:rPr>
              <w:t>Last but not least</w:t>
            </w:r>
            <w:proofErr w:type="gramEnd"/>
            <w:r w:rsidR="1E89E44A" w:rsidRPr="7910A1DC">
              <w:rPr>
                <w:rFonts w:ascii="Times New Roman" w:hAnsi="Times New Roman"/>
                <w:sz w:val="24"/>
                <w:szCs w:val="24"/>
                <w:lang w:eastAsia="fr-FR"/>
              </w:rPr>
              <w:t xml:space="preserve">, the package also aims </w:t>
            </w:r>
            <w:r w:rsidR="1CDD43E0" w:rsidRPr="7910A1DC">
              <w:rPr>
                <w:rFonts w:ascii="Times New Roman" w:hAnsi="Times New Roman"/>
                <w:sz w:val="24"/>
                <w:szCs w:val="24"/>
                <w:lang w:eastAsia="fr-FR"/>
              </w:rPr>
              <w:t>for</w:t>
            </w:r>
            <w:r w:rsidR="1E89E44A" w:rsidRPr="7910A1DC">
              <w:rPr>
                <w:rFonts w:ascii="Times New Roman" w:hAnsi="Times New Roman"/>
                <w:sz w:val="24"/>
                <w:szCs w:val="24"/>
                <w:lang w:eastAsia="fr-FR"/>
              </w:rPr>
              <w:t xml:space="preserve"> strong involvement of stakeholders and local initiatives in network planning – both via relevant planning provisions </w:t>
            </w:r>
            <w:r w:rsidR="003C4051" w:rsidRPr="7910A1DC">
              <w:rPr>
                <w:rFonts w:ascii="Times New Roman" w:hAnsi="Times New Roman"/>
                <w:sz w:val="24"/>
                <w:szCs w:val="24"/>
                <w:lang w:eastAsia="fr-FR"/>
              </w:rPr>
              <w:t xml:space="preserve">in the </w:t>
            </w:r>
            <w:r w:rsidR="1E89E44A" w:rsidRPr="7910A1DC">
              <w:rPr>
                <w:rFonts w:ascii="Times New Roman" w:hAnsi="Times New Roman"/>
                <w:sz w:val="24"/>
                <w:szCs w:val="24"/>
                <w:lang w:eastAsia="fr-FR"/>
              </w:rPr>
              <w:t>legal proposals, as well as by recommendations for national level included in the Guidance on efficient and timely grid connections.</w:t>
            </w:r>
          </w:p>
          <w:p w14:paraId="3676A7D6" w14:textId="68AC1389" w:rsidR="4EAA5164" w:rsidRDefault="4EAA5164" w:rsidP="3A585F06">
            <w:pPr>
              <w:widowControl w:val="0"/>
              <w:spacing w:before="120" w:after="120"/>
              <w:jc w:val="both"/>
              <w:rPr>
                <w:rFonts w:ascii="Times New Roman" w:eastAsia="Times New Roman" w:hAnsi="Times New Roman"/>
                <w:color w:val="000000" w:themeColor="text1"/>
                <w:sz w:val="24"/>
                <w:szCs w:val="24"/>
              </w:rPr>
            </w:pPr>
            <w:r w:rsidRPr="3A585F06">
              <w:rPr>
                <w:rFonts w:ascii="Times New Roman" w:eastAsia="Times New Roman" w:hAnsi="Times New Roman"/>
                <w:color w:val="000000" w:themeColor="text1"/>
                <w:sz w:val="24"/>
                <w:szCs w:val="24"/>
              </w:rPr>
              <w:t xml:space="preserve">On </w:t>
            </w:r>
            <w:r w:rsidRPr="00934353">
              <w:rPr>
                <w:rFonts w:ascii="Times New Roman" w:eastAsia="Times New Roman" w:hAnsi="Times New Roman"/>
                <w:b/>
                <w:bCs/>
                <w:color w:val="000000" w:themeColor="text1"/>
                <w:sz w:val="24"/>
                <w:szCs w:val="24"/>
              </w:rPr>
              <w:t>congestion income</w:t>
            </w:r>
            <w:r w:rsidRPr="3A585F06">
              <w:rPr>
                <w:rFonts w:ascii="Times New Roman" w:eastAsia="Times New Roman" w:hAnsi="Times New Roman"/>
                <w:color w:val="000000" w:themeColor="text1"/>
                <w:sz w:val="24"/>
                <w:szCs w:val="24"/>
              </w:rPr>
              <w:t xml:space="preserve">, the Commission proposal builds on the existing objectives of the </w:t>
            </w:r>
            <w:r w:rsidRPr="00B36B11">
              <w:rPr>
                <w:rFonts w:ascii="Times New Roman" w:eastAsia="Times New Roman" w:hAnsi="Times New Roman"/>
                <w:color w:val="000000" w:themeColor="text1"/>
                <w:sz w:val="24"/>
                <w:szCs w:val="24"/>
              </w:rPr>
              <w:t>Electricity Regulation</w:t>
            </w:r>
            <w:r w:rsidR="00B36B11">
              <w:rPr>
                <w:rStyle w:val="FootnoteReference"/>
                <w:rFonts w:ascii="Times New Roman" w:eastAsia="Times New Roman" w:hAnsi="Times New Roman"/>
                <w:color w:val="000000" w:themeColor="text1"/>
                <w:sz w:val="24"/>
                <w:szCs w:val="24"/>
              </w:rPr>
              <w:footnoteReference w:id="7"/>
            </w:r>
            <w:r w:rsidRPr="3A585F06">
              <w:rPr>
                <w:rFonts w:ascii="Times New Roman" w:eastAsia="Times New Roman" w:hAnsi="Times New Roman"/>
                <w:color w:val="000000" w:themeColor="text1"/>
                <w:sz w:val="24"/>
                <w:szCs w:val="24"/>
              </w:rPr>
              <w:t>, which already governs the use of congestion revenues. The objective is to provide a clearer and stronger investment signal for cross-border energy infrastructure. This proposal does not entail any EU-level pooling or redistribution of these funds. The ring-fenced amounts are to be used for PCIs/PMIs located on the territory of the Member States where the congestion revenues have been collecte</w:t>
            </w:r>
            <w:r w:rsidRPr="3A585F06">
              <w:rPr>
                <w:rFonts w:ascii="Times New Roman" w:eastAsia="Times New Roman" w:hAnsi="Times New Roman"/>
                <w:sz w:val="24"/>
                <w:szCs w:val="24"/>
              </w:rPr>
              <w:t>d, unless decided otherwise by the competent national authorities.</w:t>
            </w:r>
            <w:r w:rsidRPr="3A585F06">
              <w:rPr>
                <w:rFonts w:ascii="Times New Roman" w:eastAsia="Times New Roman" w:hAnsi="Times New Roman"/>
                <w:color w:val="000000" w:themeColor="text1"/>
                <w:sz w:val="24"/>
                <w:szCs w:val="24"/>
              </w:rPr>
              <w:t xml:space="preserve"> National responsibility, regulatory oversight and decentralised financial management are fully preserved. Lastly, the 25% reservation for network investments in PCIs and PMIs does not apply to total congestion income but exclusively to the amounts unspent after congestion income has been spent for priority objectives a)</w:t>
            </w:r>
            <w:r w:rsidR="00526DD1">
              <w:rPr>
                <w:rFonts w:ascii="Times New Roman" w:eastAsia="Times New Roman" w:hAnsi="Times New Roman"/>
                <w:color w:val="000000" w:themeColor="text1"/>
                <w:sz w:val="24"/>
                <w:szCs w:val="24"/>
              </w:rPr>
              <w:t xml:space="preserve"> </w:t>
            </w:r>
            <w:r w:rsidR="00526DD1" w:rsidRPr="00526DD1">
              <w:rPr>
                <w:rFonts w:ascii="Times New Roman" w:eastAsia="Times New Roman" w:hAnsi="Times New Roman"/>
                <w:color w:val="000000" w:themeColor="text1"/>
                <w:sz w:val="24"/>
                <w:szCs w:val="24"/>
              </w:rPr>
              <w:t>guaranteeing the actual availability of the allocated capacity</w:t>
            </w:r>
            <w:r w:rsidRPr="3A585F06">
              <w:rPr>
                <w:rFonts w:ascii="Times New Roman" w:eastAsia="Times New Roman" w:hAnsi="Times New Roman"/>
                <w:color w:val="000000" w:themeColor="text1"/>
                <w:sz w:val="24"/>
                <w:szCs w:val="24"/>
              </w:rPr>
              <w:t xml:space="preserve"> and </w:t>
            </w:r>
            <w:r w:rsidR="005B3C9D">
              <w:rPr>
                <w:rFonts w:ascii="Times New Roman" w:eastAsia="Times New Roman" w:hAnsi="Times New Roman"/>
                <w:color w:val="000000" w:themeColor="text1"/>
                <w:sz w:val="24"/>
                <w:szCs w:val="24"/>
              </w:rPr>
              <w:t>b</w:t>
            </w:r>
            <w:r w:rsidRPr="3A585F06">
              <w:rPr>
                <w:rFonts w:ascii="Times New Roman" w:eastAsia="Times New Roman" w:hAnsi="Times New Roman"/>
                <w:color w:val="000000" w:themeColor="text1"/>
                <w:sz w:val="24"/>
                <w:szCs w:val="24"/>
              </w:rPr>
              <w:t xml:space="preserve">) </w:t>
            </w:r>
            <w:r w:rsidR="00847876" w:rsidRPr="00847876">
              <w:rPr>
                <w:rFonts w:ascii="Times New Roman" w:eastAsia="Times New Roman" w:hAnsi="Times New Roman"/>
                <w:color w:val="000000" w:themeColor="text1"/>
                <w:sz w:val="24"/>
                <w:szCs w:val="24"/>
              </w:rPr>
              <w:t>compensation to offshore renewable electricity generation plant operators</w:t>
            </w:r>
            <w:r w:rsidR="00847876">
              <w:rPr>
                <w:rFonts w:ascii="Times New Roman" w:eastAsia="Times New Roman" w:hAnsi="Times New Roman"/>
                <w:color w:val="000000" w:themeColor="text1"/>
                <w:sz w:val="24"/>
                <w:szCs w:val="24"/>
              </w:rPr>
              <w:t>,</w:t>
            </w:r>
            <w:r w:rsidR="00847876" w:rsidRPr="00847876">
              <w:rPr>
                <w:rFonts w:ascii="Times New Roman" w:eastAsia="Times New Roman" w:hAnsi="Times New Roman"/>
                <w:color w:val="000000" w:themeColor="text1"/>
                <w:sz w:val="24"/>
                <w:szCs w:val="24"/>
              </w:rPr>
              <w:t> </w:t>
            </w:r>
            <w:r w:rsidRPr="3A585F06">
              <w:rPr>
                <w:rFonts w:ascii="Times New Roman" w:eastAsia="Times New Roman" w:hAnsi="Times New Roman"/>
                <w:color w:val="000000" w:themeColor="text1"/>
                <w:sz w:val="24"/>
                <w:szCs w:val="24"/>
              </w:rPr>
              <w:t>under Article 19 of the Electricity Regulation.</w:t>
            </w:r>
          </w:p>
          <w:p w14:paraId="78D38B6B" w14:textId="04CAA019" w:rsidR="008C06B8" w:rsidRPr="00604C5E" w:rsidRDefault="7396EC23" w:rsidP="483571AE">
            <w:pPr>
              <w:widowControl w:val="0"/>
              <w:spacing w:before="120" w:after="120"/>
              <w:jc w:val="both"/>
              <w:rPr>
                <w:rFonts w:ascii="Times New Roman" w:hAnsi="Times New Roman"/>
                <w:sz w:val="24"/>
                <w:szCs w:val="24"/>
                <w:lang w:val="en-IE" w:eastAsia="fr-FR"/>
              </w:rPr>
            </w:pPr>
            <w:r w:rsidRPr="483571AE">
              <w:rPr>
                <w:rFonts w:ascii="Times New Roman" w:hAnsi="Times New Roman"/>
                <w:sz w:val="24"/>
                <w:szCs w:val="24"/>
                <w:lang w:val="en-IE" w:eastAsia="fr-FR"/>
              </w:rPr>
              <w:t xml:space="preserve">On </w:t>
            </w:r>
            <w:r w:rsidRPr="0024010B">
              <w:rPr>
                <w:rFonts w:ascii="Times New Roman" w:hAnsi="Times New Roman"/>
                <w:b/>
                <w:bCs/>
                <w:sz w:val="24"/>
                <w:szCs w:val="24"/>
                <w:lang w:val="en-IE" w:eastAsia="fr-FR"/>
              </w:rPr>
              <w:t>public participation</w:t>
            </w:r>
            <w:r w:rsidR="001A24F5">
              <w:rPr>
                <w:rFonts w:ascii="Times New Roman" w:hAnsi="Times New Roman"/>
                <w:sz w:val="24"/>
                <w:szCs w:val="24"/>
                <w:lang w:val="en-IE" w:eastAsia="fr-FR"/>
              </w:rPr>
              <w:t xml:space="preserve"> and </w:t>
            </w:r>
            <w:r w:rsidR="001A24F5" w:rsidRPr="0024010B">
              <w:rPr>
                <w:rFonts w:ascii="Times New Roman" w:hAnsi="Times New Roman"/>
                <w:b/>
                <w:bCs/>
                <w:sz w:val="24"/>
                <w:szCs w:val="24"/>
                <w:lang w:val="en-IE" w:eastAsia="fr-FR"/>
              </w:rPr>
              <w:t>acce</w:t>
            </w:r>
            <w:r w:rsidR="00D100A2" w:rsidRPr="0024010B">
              <w:rPr>
                <w:rFonts w:ascii="Times New Roman" w:hAnsi="Times New Roman"/>
                <w:b/>
                <w:bCs/>
                <w:sz w:val="24"/>
                <w:szCs w:val="24"/>
                <w:lang w:val="en-IE" w:eastAsia="fr-FR"/>
              </w:rPr>
              <w:t>ptance</w:t>
            </w:r>
            <w:r w:rsidRPr="483571AE">
              <w:rPr>
                <w:rFonts w:ascii="Times New Roman" w:hAnsi="Times New Roman"/>
                <w:sz w:val="24"/>
                <w:szCs w:val="24"/>
                <w:lang w:val="en-IE" w:eastAsia="fr-FR"/>
              </w:rPr>
              <w:t xml:space="preserve"> in the development of energy projects, specifically in permitting procedures, the Commission </w:t>
            </w:r>
            <w:r w:rsidR="022C3EA5" w:rsidRPr="483571AE">
              <w:rPr>
                <w:rFonts w:ascii="Times New Roman" w:hAnsi="Times New Roman"/>
                <w:sz w:val="24"/>
                <w:szCs w:val="24"/>
                <w:lang w:val="en-IE" w:eastAsia="fr-FR"/>
              </w:rPr>
              <w:t xml:space="preserve">proposal continues to support early and </w:t>
            </w:r>
            <w:r w:rsidR="541A7E2A" w:rsidRPr="483571AE">
              <w:rPr>
                <w:rFonts w:ascii="Times New Roman" w:hAnsi="Times New Roman"/>
                <w:sz w:val="24"/>
                <w:szCs w:val="24"/>
                <w:lang w:val="en-IE" w:eastAsia="fr-FR"/>
              </w:rPr>
              <w:t>meaningful</w:t>
            </w:r>
            <w:r w:rsidR="022C3EA5" w:rsidRPr="483571AE">
              <w:rPr>
                <w:rFonts w:ascii="Times New Roman" w:hAnsi="Times New Roman"/>
                <w:sz w:val="24"/>
                <w:szCs w:val="24"/>
                <w:lang w:val="en-IE" w:eastAsia="fr-FR"/>
              </w:rPr>
              <w:t xml:space="preserve"> public </w:t>
            </w:r>
            <w:r w:rsidR="32F5BF2E" w:rsidRPr="483571AE">
              <w:rPr>
                <w:rFonts w:ascii="Times New Roman" w:hAnsi="Times New Roman"/>
                <w:sz w:val="24"/>
                <w:szCs w:val="24"/>
                <w:lang w:val="en-IE" w:eastAsia="fr-FR"/>
              </w:rPr>
              <w:t>consultation</w:t>
            </w:r>
            <w:r w:rsidR="022C3EA5" w:rsidRPr="483571AE">
              <w:rPr>
                <w:rFonts w:ascii="Times New Roman" w:hAnsi="Times New Roman"/>
                <w:sz w:val="24"/>
                <w:szCs w:val="24"/>
                <w:lang w:val="en-IE" w:eastAsia="fr-FR"/>
              </w:rPr>
              <w:t xml:space="preserve"> requirements under the TEN-E </w:t>
            </w:r>
            <w:r w:rsidR="574A766B" w:rsidRPr="483571AE">
              <w:rPr>
                <w:rFonts w:ascii="Times New Roman" w:hAnsi="Times New Roman"/>
                <w:sz w:val="24"/>
                <w:szCs w:val="24"/>
                <w:lang w:val="en-IE" w:eastAsia="fr-FR"/>
              </w:rPr>
              <w:t>R</w:t>
            </w:r>
            <w:r w:rsidR="022C3EA5" w:rsidRPr="483571AE">
              <w:rPr>
                <w:rFonts w:ascii="Times New Roman" w:hAnsi="Times New Roman"/>
                <w:sz w:val="24"/>
                <w:szCs w:val="24"/>
                <w:lang w:val="en-IE" w:eastAsia="fr-FR"/>
              </w:rPr>
              <w:t>egulation</w:t>
            </w:r>
            <w:r w:rsidR="00B663A0">
              <w:rPr>
                <w:rStyle w:val="FootnoteReference"/>
                <w:rFonts w:ascii="Times New Roman" w:hAnsi="Times New Roman"/>
                <w:sz w:val="24"/>
                <w:szCs w:val="24"/>
                <w:lang w:val="en-IE" w:eastAsia="fr-FR"/>
              </w:rPr>
              <w:footnoteReference w:id="8"/>
            </w:r>
            <w:r w:rsidR="022C3EA5" w:rsidRPr="483571AE">
              <w:rPr>
                <w:rFonts w:ascii="Times New Roman" w:hAnsi="Times New Roman"/>
                <w:sz w:val="24"/>
                <w:szCs w:val="24"/>
                <w:lang w:val="en-IE" w:eastAsia="fr-FR"/>
              </w:rPr>
              <w:t xml:space="preserve"> a</w:t>
            </w:r>
            <w:r w:rsidR="23367DD5" w:rsidRPr="483571AE">
              <w:rPr>
                <w:rFonts w:ascii="Times New Roman" w:hAnsi="Times New Roman"/>
                <w:sz w:val="24"/>
                <w:szCs w:val="24"/>
                <w:lang w:val="en-IE" w:eastAsia="fr-FR"/>
              </w:rPr>
              <w:t xml:space="preserve">nd the </w:t>
            </w:r>
            <w:r w:rsidR="6B1225B3" w:rsidRPr="483571AE">
              <w:rPr>
                <w:rFonts w:ascii="Times New Roman" w:hAnsi="Times New Roman"/>
                <w:sz w:val="24"/>
                <w:szCs w:val="24"/>
                <w:lang w:val="en-IE" w:eastAsia="fr-FR"/>
              </w:rPr>
              <w:t>a</w:t>
            </w:r>
            <w:r w:rsidR="23367DD5" w:rsidRPr="483571AE">
              <w:rPr>
                <w:rFonts w:ascii="Times New Roman" w:hAnsi="Times New Roman"/>
                <w:sz w:val="24"/>
                <w:szCs w:val="24"/>
                <w:lang w:val="en-IE" w:eastAsia="fr-FR"/>
              </w:rPr>
              <w:t xml:space="preserve">mended </w:t>
            </w:r>
            <w:r w:rsidR="57F1E758" w:rsidRPr="483571AE">
              <w:rPr>
                <w:rFonts w:ascii="Times New Roman" w:hAnsi="Times New Roman"/>
                <w:sz w:val="24"/>
                <w:szCs w:val="24"/>
                <w:lang w:val="en-IE" w:eastAsia="fr-FR"/>
              </w:rPr>
              <w:t>d</w:t>
            </w:r>
            <w:r w:rsidR="23367DD5" w:rsidRPr="483571AE">
              <w:rPr>
                <w:rFonts w:ascii="Times New Roman" w:hAnsi="Times New Roman"/>
                <w:sz w:val="24"/>
                <w:szCs w:val="24"/>
                <w:lang w:val="en-IE" w:eastAsia="fr-FR"/>
              </w:rPr>
              <w:t>irectives</w:t>
            </w:r>
            <w:r w:rsidR="058A105D" w:rsidRPr="483571AE">
              <w:rPr>
                <w:rFonts w:ascii="Times New Roman" w:hAnsi="Times New Roman"/>
                <w:sz w:val="24"/>
                <w:szCs w:val="24"/>
                <w:lang w:val="en-IE" w:eastAsia="fr-FR"/>
              </w:rPr>
              <w:t xml:space="preserve">. These acts contain measures that </w:t>
            </w:r>
            <w:r w:rsidR="7C8A258C" w:rsidRPr="483571AE">
              <w:rPr>
                <w:rFonts w:ascii="Times New Roman" w:hAnsi="Times New Roman"/>
                <w:sz w:val="24"/>
                <w:szCs w:val="24"/>
                <w:lang w:val="en-IE" w:eastAsia="fr-FR"/>
              </w:rPr>
              <w:t xml:space="preserve">ensure informed, timely and transparent public participation </w:t>
            </w:r>
            <w:r w:rsidR="058A105D" w:rsidRPr="483571AE">
              <w:rPr>
                <w:rFonts w:ascii="Times New Roman" w:hAnsi="Times New Roman"/>
                <w:sz w:val="24"/>
                <w:szCs w:val="24"/>
                <w:lang w:val="en-IE" w:eastAsia="fr-FR"/>
              </w:rPr>
              <w:t xml:space="preserve">as </w:t>
            </w:r>
            <w:r w:rsidR="2EA74EA4" w:rsidRPr="483571AE">
              <w:rPr>
                <w:rFonts w:ascii="Times New Roman" w:hAnsi="Times New Roman"/>
                <w:sz w:val="24"/>
                <w:szCs w:val="24"/>
                <w:lang w:val="en-IE" w:eastAsia="fr-FR"/>
              </w:rPr>
              <w:t>a minimum</w:t>
            </w:r>
            <w:r w:rsidR="058A105D" w:rsidRPr="483571AE">
              <w:rPr>
                <w:rFonts w:ascii="Times New Roman" w:hAnsi="Times New Roman"/>
                <w:sz w:val="24"/>
                <w:szCs w:val="24"/>
                <w:lang w:val="en-IE" w:eastAsia="fr-FR"/>
              </w:rPr>
              <w:t xml:space="preserve"> standard</w:t>
            </w:r>
            <w:r w:rsidR="29A0C5C7" w:rsidRPr="483571AE">
              <w:rPr>
                <w:rFonts w:ascii="Times New Roman" w:hAnsi="Times New Roman"/>
                <w:sz w:val="24"/>
                <w:szCs w:val="24"/>
                <w:lang w:val="en-IE" w:eastAsia="fr-FR"/>
              </w:rPr>
              <w:t xml:space="preserve">, </w:t>
            </w:r>
            <w:r w:rsidR="058A105D" w:rsidRPr="483571AE">
              <w:rPr>
                <w:rFonts w:ascii="Times New Roman" w:hAnsi="Times New Roman"/>
                <w:sz w:val="24"/>
                <w:szCs w:val="24"/>
                <w:lang w:val="en-IE" w:eastAsia="fr-FR"/>
              </w:rPr>
              <w:t xml:space="preserve">requiring </w:t>
            </w:r>
            <w:r w:rsidR="6E13610F" w:rsidRPr="483571AE">
              <w:rPr>
                <w:rFonts w:ascii="Times New Roman" w:hAnsi="Times New Roman"/>
                <w:sz w:val="24"/>
                <w:szCs w:val="24"/>
                <w:lang w:val="en-IE" w:eastAsia="fr-FR"/>
              </w:rPr>
              <w:t xml:space="preserve">consultations to take place in a manner and timing that allows them to feed into </w:t>
            </w:r>
            <w:r w:rsidR="4C3ADF76" w:rsidRPr="483571AE">
              <w:rPr>
                <w:rFonts w:ascii="Times New Roman" w:hAnsi="Times New Roman"/>
                <w:sz w:val="24"/>
                <w:szCs w:val="24"/>
                <w:lang w:val="en-IE" w:eastAsia="fr-FR"/>
              </w:rPr>
              <w:t>the</w:t>
            </w:r>
            <w:r w:rsidR="69EB38BE" w:rsidRPr="483571AE">
              <w:rPr>
                <w:rFonts w:ascii="Times New Roman" w:hAnsi="Times New Roman"/>
                <w:sz w:val="24"/>
                <w:szCs w:val="24"/>
                <w:lang w:val="en-IE" w:eastAsia="fr-FR"/>
              </w:rPr>
              <w:t xml:space="preserve"> planning of</w:t>
            </w:r>
            <w:r w:rsidR="4C3ADF76" w:rsidRPr="483571AE">
              <w:rPr>
                <w:rFonts w:ascii="Times New Roman" w:hAnsi="Times New Roman"/>
                <w:sz w:val="24"/>
                <w:szCs w:val="24"/>
                <w:lang w:val="en-IE" w:eastAsia="fr-FR"/>
              </w:rPr>
              <w:t xml:space="preserve"> project</w:t>
            </w:r>
            <w:r w:rsidR="469311ED" w:rsidRPr="483571AE">
              <w:rPr>
                <w:rFonts w:ascii="Times New Roman" w:hAnsi="Times New Roman"/>
                <w:sz w:val="24"/>
                <w:szCs w:val="24"/>
                <w:lang w:val="en-IE" w:eastAsia="fr-FR"/>
              </w:rPr>
              <w:t>s</w:t>
            </w:r>
            <w:r w:rsidR="10C63D33" w:rsidRPr="483571AE">
              <w:rPr>
                <w:rFonts w:ascii="Times New Roman" w:hAnsi="Times New Roman"/>
                <w:sz w:val="24"/>
                <w:szCs w:val="24"/>
                <w:lang w:val="en-IE" w:eastAsia="fr-FR"/>
              </w:rPr>
              <w:t>.</w:t>
            </w:r>
            <w:r w:rsidR="00D100A2">
              <w:rPr>
                <w:rFonts w:ascii="Times New Roman" w:hAnsi="Times New Roman"/>
                <w:sz w:val="24"/>
                <w:szCs w:val="24"/>
                <w:lang w:val="en-IE" w:eastAsia="fr-FR"/>
              </w:rPr>
              <w:t xml:space="preserve"> Specifically, with regards</w:t>
            </w:r>
            <w:r w:rsidR="009F6159">
              <w:rPr>
                <w:rFonts w:ascii="Times New Roman" w:hAnsi="Times New Roman"/>
                <w:sz w:val="24"/>
                <w:szCs w:val="24"/>
                <w:lang w:val="en-IE" w:eastAsia="fr-FR"/>
              </w:rPr>
              <w:t xml:space="preserve"> </w:t>
            </w:r>
            <w:r w:rsidR="006D1953">
              <w:rPr>
                <w:rFonts w:ascii="Times New Roman" w:hAnsi="Times New Roman"/>
                <w:sz w:val="24"/>
                <w:szCs w:val="24"/>
                <w:lang w:val="en-IE" w:eastAsia="fr-FR"/>
              </w:rPr>
              <w:t xml:space="preserve">to </w:t>
            </w:r>
            <w:r w:rsidR="009F6159">
              <w:rPr>
                <w:rFonts w:ascii="Times New Roman" w:hAnsi="Times New Roman"/>
                <w:sz w:val="24"/>
                <w:szCs w:val="24"/>
                <w:lang w:val="en-IE" w:eastAsia="fr-FR"/>
              </w:rPr>
              <w:t>the development of renewable energy projects, the proposal includes the measure</w:t>
            </w:r>
            <w:r w:rsidR="00D8731B">
              <w:rPr>
                <w:rFonts w:ascii="Times New Roman" w:hAnsi="Times New Roman"/>
                <w:sz w:val="24"/>
                <w:szCs w:val="24"/>
                <w:lang w:val="en-IE" w:eastAsia="fr-FR"/>
              </w:rPr>
              <w:t xml:space="preserve"> of the independent facilitator with the aim to enhance public </w:t>
            </w:r>
            <w:r w:rsidR="4D0F51EF">
              <w:rPr>
                <w:rFonts w:ascii="Times New Roman" w:hAnsi="Times New Roman"/>
                <w:sz w:val="24"/>
                <w:szCs w:val="24"/>
                <w:lang w:val="en-IE" w:eastAsia="fr-FR"/>
              </w:rPr>
              <w:t xml:space="preserve">involvement and dialogue </w:t>
            </w:r>
            <w:r w:rsidR="00D8731B">
              <w:rPr>
                <w:rFonts w:ascii="Times New Roman" w:hAnsi="Times New Roman"/>
                <w:sz w:val="24"/>
                <w:szCs w:val="24"/>
                <w:lang w:val="en-IE" w:eastAsia="fr-FR"/>
              </w:rPr>
              <w:t>for</w:t>
            </w:r>
            <w:r w:rsidR="00F273B3">
              <w:rPr>
                <w:rFonts w:ascii="Times New Roman" w:hAnsi="Times New Roman"/>
                <w:sz w:val="24"/>
                <w:szCs w:val="24"/>
                <w:lang w:val="en-IE" w:eastAsia="fr-FR"/>
              </w:rPr>
              <w:t xml:space="preserve"> RES projects even before the start of the official process</w:t>
            </w:r>
            <w:r w:rsidR="00DE6DA7">
              <w:rPr>
                <w:rFonts w:ascii="Times New Roman" w:hAnsi="Times New Roman"/>
                <w:sz w:val="24"/>
                <w:szCs w:val="24"/>
                <w:lang w:val="en-IE" w:eastAsia="fr-FR"/>
              </w:rPr>
              <w:t xml:space="preserve">. Through this, it is ensured that </w:t>
            </w:r>
            <w:r w:rsidR="00F273B3">
              <w:rPr>
                <w:rFonts w:ascii="Times New Roman" w:hAnsi="Times New Roman"/>
                <w:sz w:val="24"/>
                <w:szCs w:val="24"/>
                <w:lang w:val="en-IE" w:eastAsia="fr-FR"/>
              </w:rPr>
              <w:t xml:space="preserve">the concerned public and communities have all </w:t>
            </w:r>
            <w:r w:rsidR="00C91BE3">
              <w:rPr>
                <w:rFonts w:ascii="Times New Roman" w:hAnsi="Times New Roman"/>
                <w:sz w:val="24"/>
                <w:szCs w:val="24"/>
                <w:lang w:val="en-IE" w:eastAsia="fr-FR"/>
              </w:rPr>
              <w:t>relevant</w:t>
            </w:r>
            <w:r w:rsidR="00F273B3">
              <w:rPr>
                <w:rFonts w:ascii="Times New Roman" w:hAnsi="Times New Roman"/>
                <w:sz w:val="24"/>
                <w:szCs w:val="24"/>
                <w:lang w:val="en-IE" w:eastAsia="fr-FR"/>
              </w:rPr>
              <w:t xml:space="preserve"> </w:t>
            </w:r>
            <w:r w:rsidR="00F273B3">
              <w:rPr>
                <w:rFonts w:ascii="Times New Roman" w:hAnsi="Times New Roman"/>
                <w:sz w:val="24"/>
                <w:szCs w:val="24"/>
                <w:lang w:val="en-IE" w:eastAsia="fr-FR"/>
              </w:rPr>
              <w:lastRenderedPageBreak/>
              <w:t>info</w:t>
            </w:r>
            <w:r w:rsidR="00073249">
              <w:rPr>
                <w:rFonts w:ascii="Times New Roman" w:hAnsi="Times New Roman"/>
                <w:sz w:val="24"/>
                <w:szCs w:val="24"/>
                <w:lang w:val="en-IE" w:eastAsia="fr-FR"/>
              </w:rPr>
              <w:t>rmation but also</w:t>
            </w:r>
            <w:r w:rsidR="10C63D33" w:rsidRPr="483571AE">
              <w:rPr>
                <w:rFonts w:ascii="Times New Roman" w:hAnsi="Times New Roman"/>
                <w:sz w:val="24"/>
                <w:szCs w:val="24"/>
                <w:lang w:val="en-IE" w:eastAsia="fr-FR"/>
              </w:rPr>
              <w:t xml:space="preserve"> </w:t>
            </w:r>
            <w:r w:rsidR="00073249">
              <w:rPr>
                <w:rFonts w:ascii="Times New Roman" w:hAnsi="Times New Roman"/>
                <w:sz w:val="24"/>
                <w:szCs w:val="24"/>
                <w:lang w:val="en-IE" w:eastAsia="fr-FR"/>
              </w:rPr>
              <w:t>a direct way to interact with the promoters, aim</w:t>
            </w:r>
            <w:r w:rsidR="00C604A4">
              <w:rPr>
                <w:rFonts w:ascii="Times New Roman" w:hAnsi="Times New Roman"/>
                <w:sz w:val="24"/>
                <w:szCs w:val="24"/>
                <w:lang w:val="en-IE" w:eastAsia="fr-FR"/>
              </w:rPr>
              <w:t>ed</w:t>
            </w:r>
            <w:r w:rsidR="00DE6DA7">
              <w:rPr>
                <w:rFonts w:ascii="Times New Roman" w:hAnsi="Times New Roman"/>
                <w:sz w:val="24"/>
                <w:szCs w:val="24"/>
                <w:lang w:val="en-IE" w:eastAsia="fr-FR"/>
              </w:rPr>
              <w:t xml:space="preserve"> at finding solutions and avoid</w:t>
            </w:r>
            <w:r w:rsidR="00C604A4">
              <w:rPr>
                <w:rFonts w:ascii="Times New Roman" w:hAnsi="Times New Roman"/>
                <w:sz w:val="24"/>
                <w:szCs w:val="24"/>
                <w:lang w:val="en-IE" w:eastAsia="fr-FR"/>
              </w:rPr>
              <w:t>ing</w:t>
            </w:r>
            <w:r w:rsidR="00DE6DA7">
              <w:rPr>
                <w:rFonts w:ascii="Times New Roman" w:hAnsi="Times New Roman"/>
                <w:sz w:val="24"/>
                <w:szCs w:val="24"/>
                <w:lang w:val="en-IE" w:eastAsia="fr-FR"/>
              </w:rPr>
              <w:t xml:space="preserve"> </w:t>
            </w:r>
            <w:r w:rsidR="00072D8A">
              <w:rPr>
                <w:rFonts w:ascii="Times New Roman" w:hAnsi="Times New Roman"/>
                <w:sz w:val="24"/>
                <w:szCs w:val="24"/>
                <w:lang w:val="en-IE" w:eastAsia="fr-FR"/>
              </w:rPr>
              <w:t xml:space="preserve">possible </w:t>
            </w:r>
            <w:r w:rsidR="513E4001">
              <w:rPr>
                <w:rFonts w:ascii="Times New Roman" w:hAnsi="Times New Roman"/>
                <w:sz w:val="24"/>
                <w:szCs w:val="24"/>
                <w:lang w:val="en-IE" w:eastAsia="fr-FR"/>
              </w:rPr>
              <w:t xml:space="preserve">legal </w:t>
            </w:r>
            <w:r w:rsidR="00DE6DA7">
              <w:rPr>
                <w:rFonts w:ascii="Times New Roman" w:hAnsi="Times New Roman"/>
                <w:sz w:val="24"/>
                <w:szCs w:val="24"/>
                <w:lang w:val="en-IE" w:eastAsia="fr-FR"/>
              </w:rPr>
              <w:t>disput</w:t>
            </w:r>
            <w:r w:rsidR="1262AAEC" w:rsidRPr="5421CAB4">
              <w:rPr>
                <w:rFonts w:ascii="Times New Roman" w:hAnsi="Times New Roman"/>
                <w:sz w:val="24"/>
                <w:szCs w:val="24"/>
                <w:lang w:val="en-IE" w:eastAsia="fr-FR"/>
              </w:rPr>
              <w:t>es</w:t>
            </w:r>
            <w:r w:rsidR="00DE6DA7">
              <w:rPr>
                <w:rFonts w:ascii="Times New Roman" w:hAnsi="Times New Roman"/>
                <w:sz w:val="24"/>
                <w:szCs w:val="24"/>
                <w:lang w:val="en-IE" w:eastAsia="fr-FR"/>
              </w:rPr>
              <w:t xml:space="preserve"> further in the process</w:t>
            </w:r>
            <w:r w:rsidR="00BD73C9">
              <w:rPr>
                <w:rFonts w:ascii="Times New Roman" w:hAnsi="Times New Roman"/>
                <w:sz w:val="24"/>
                <w:szCs w:val="24"/>
                <w:lang w:val="en-IE" w:eastAsia="fr-FR"/>
              </w:rPr>
              <w:t>.</w:t>
            </w:r>
            <w:r w:rsidR="00073249">
              <w:rPr>
                <w:rFonts w:ascii="Times New Roman" w:hAnsi="Times New Roman"/>
                <w:sz w:val="24"/>
                <w:szCs w:val="24"/>
                <w:lang w:val="en-IE" w:eastAsia="fr-FR"/>
              </w:rPr>
              <w:t xml:space="preserve"> </w:t>
            </w:r>
            <w:r w:rsidR="5D2D913A" w:rsidRPr="0024010B">
              <w:rPr>
                <w:rFonts w:ascii="Times New Roman" w:hAnsi="Times New Roman"/>
                <w:sz w:val="24"/>
                <w:szCs w:val="24"/>
                <w:lang w:val="en-IE" w:eastAsia="fr-FR"/>
              </w:rPr>
              <w:t xml:space="preserve">Regarding the redistribution of benefits, </w:t>
            </w:r>
            <w:r w:rsidR="00BD73C9" w:rsidRPr="0024010B">
              <w:rPr>
                <w:rFonts w:ascii="Times New Roman" w:hAnsi="Times New Roman"/>
                <w:sz w:val="24"/>
                <w:szCs w:val="24"/>
                <w:lang w:val="en-IE" w:eastAsia="fr-FR"/>
              </w:rPr>
              <w:t>the new proposal builds on the existing</w:t>
            </w:r>
            <w:r w:rsidR="00E11602" w:rsidRPr="0024010B">
              <w:rPr>
                <w:rFonts w:ascii="Times New Roman" w:hAnsi="Times New Roman"/>
                <w:sz w:val="24"/>
                <w:szCs w:val="24"/>
                <w:lang w:val="en-IE" w:eastAsia="fr-FR"/>
              </w:rPr>
              <w:t xml:space="preserve"> measure in the Renewable</w:t>
            </w:r>
            <w:r w:rsidR="00DA1EA1">
              <w:rPr>
                <w:rFonts w:ascii="Times New Roman" w:hAnsi="Times New Roman"/>
                <w:sz w:val="24"/>
                <w:szCs w:val="24"/>
                <w:lang w:val="en-IE" w:eastAsia="fr-FR"/>
              </w:rPr>
              <w:t xml:space="preserve"> Energy</w:t>
            </w:r>
            <w:r w:rsidR="00E11602" w:rsidRPr="0024010B">
              <w:rPr>
                <w:rFonts w:ascii="Times New Roman" w:hAnsi="Times New Roman"/>
                <w:sz w:val="24"/>
                <w:szCs w:val="24"/>
                <w:lang w:val="en-IE" w:eastAsia="fr-FR"/>
              </w:rPr>
              <w:t xml:space="preserve"> Directive</w:t>
            </w:r>
            <w:r w:rsidR="0006464C">
              <w:rPr>
                <w:rStyle w:val="FootnoteReference"/>
                <w:rFonts w:ascii="Times New Roman" w:hAnsi="Times New Roman"/>
                <w:sz w:val="24"/>
                <w:szCs w:val="24"/>
                <w:lang w:val="en-IE" w:eastAsia="fr-FR"/>
              </w:rPr>
              <w:footnoteReference w:id="9"/>
            </w:r>
            <w:r w:rsidR="00E11602" w:rsidRPr="0024010B">
              <w:rPr>
                <w:rFonts w:ascii="Times New Roman" w:hAnsi="Times New Roman"/>
                <w:sz w:val="24"/>
                <w:szCs w:val="24"/>
                <w:lang w:val="en-IE" w:eastAsia="fr-FR"/>
              </w:rPr>
              <w:t xml:space="preserve"> and </w:t>
            </w:r>
            <w:r w:rsidR="24F7BF84" w:rsidRPr="0DA86512">
              <w:rPr>
                <w:rFonts w:ascii="Times New Roman" w:hAnsi="Times New Roman"/>
                <w:sz w:val="24"/>
                <w:szCs w:val="24"/>
                <w:lang w:val="en-IE" w:eastAsia="fr-FR"/>
              </w:rPr>
              <w:t xml:space="preserve">places </w:t>
            </w:r>
            <w:r w:rsidR="00E11602" w:rsidRPr="0024010B">
              <w:rPr>
                <w:rFonts w:ascii="Times New Roman" w:hAnsi="Times New Roman"/>
                <w:sz w:val="24"/>
                <w:szCs w:val="24"/>
                <w:lang w:val="en-IE" w:eastAsia="fr-FR"/>
              </w:rPr>
              <w:t xml:space="preserve">a direct obligation on </w:t>
            </w:r>
            <w:r w:rsidR="007C2685">
              <w:rPr>
                <w:rFonts w:ascii="Times New Roman" w:hAnsi="Times New Roman"/>
                <w:sz w:val="24"/>
                <w:szCs w:val="24"/>
                <w:lang w:val="en-IE" w:eastAsia="fr-FR"/>
              </w:rPr>
              <w:t>the Member States</w:t>
            </w:r>
            <w:r w:rsidR="00E11602" w:rsidRPr="0024010B">
              <w:rPr>
                <w:rFonts w:ascii="Times New Roman" w:hAnsi="Times New Roman"/>
                <w:sz w:val="24"/>
                <w:szCs w:val="24"/>
                <w:lang w:val="en-IE" w:eastAsia="fr-FR"/>
              </w:rPr>
              <w:t xml:space="preserve"> to</w:t>
            </w:r>
            <w:r w:rsidR="00BD73C9" w:rsidRPr="0024010B">
              <w:rPr>
                <w:rFonts w:ascii="Times New Roman" w:hAnsi="Times New Roman"/>
                <w:sz w:val="24"/>
                <w:szCs w:val="24"/>
                <w:lang w:val="en-IE" w:eastAsia="fr-FR"/>
              </w:rPr>
              <w:t xml:space="preserve"> </w:t>
            </w:r>
            <w:r w:rsidR="00DA04F4">
              <w:rPr>
                <w:rFonts w:ascii="Times New Roman" w:hAnsi="Times New Roman"/>
                <w:sz w:val="24"/>
                <w:szCs w:val="24"/>
                <w:lang w:val="en-IE" w:eastAsia="fr-FR"/>
              </w:rPr>
              <w:t>a</w:t>
            </w:r>
            <w:r w:rsidR="00DA04F4" w:rsidRPr="00DA04F4">
              <w:rPr>
                <w:rFonts w:ascii="Times New Roman" w:hAnsi="Times New Roman"/>
                <w:sz w:val="24"/>
                <w:szCs w:val="24"/>
                <w:lang w:val="en-IE" w:eastAsia="fr-FR"/>
              </w:rPr>
              <w:t>dopt measures so that large renewable energy projects share their benefits with local citizens and communities by means of direct or indirect participation</w:t>
            </w:r>
            <w:r w:rsidR="00DA04F4">
              <w:rPr>
                <w:rFonts w:ascii="Times New Roman" w:hAnsi="Times New Roman"/>
                <w:sz w:val="24"/>
                <w:szCs w:val="24"/>
                <w:lang w:val="en-IE" w:eastAsia="fr-FR"/>
              </w:rPr>
              <w:t>.</w:t>
            </w:r>
            <w:r w:rsidR="00564992">
              <w:rPr>
                <w:rFonts w:ascii="Times New Roman" w:hAnsi="Times New Roman"/>
                <w:sz w:val="24"/>
                <w:szCs w:val="24"/>
                <w:lang w:val="en-IE" w:eastAsia="fr-FR"/>
              </w:rPr>
              <w:t xml:space="preserve"> These can take different forms and aim to</w:t>
            </w:r>
            <w:r w:rsidR="00DA04F4">
              <w:rPr>
                <w:rFonts w:ascii="Times New Roman" w:hAnsi="Times New Roman"/>
                <w:sz w:val="24"/>
                <w:szCs w:val="24"/>
                <w:lang w:val="en-IE" w:eastAsia="fr-FR"/>
              </w:rPr>
              <w:t xml:space="preserve"> </w:t>
            </w:r>
            <w:r w:rsidR="00F870BF">
              <w:rPr>
                <w:rFonts w:ascii="Times New Roman" w:hAnsi="Times New Roman"/>
                <w:sz w:val="24"/>
                <w:szCs w:val="24"/>
                <w:lang w:val="en-IE" w:eastAsia="fr-FR"/>
              </w:rPr>
              <w:t>e</w:t>
            </w:r>
            <w:r w:rsidR="00F870BF" w:rsidRPr="00F870BF">
              <w:rPr>
                <w:rFonts w:ascii="Times New Roman" w:hAnsi="Times New Roman"/>
                <w:sz w:val="24"/>
                <w:szCs w:val="24"/>
                <w:lang w:val="en-IE" w:eastAsia="fr-FR"/>
              </w:rPr>
              <w:t>nsur</w:t>
            </w:r>
            <w:r w:rsidR="00F870BF">
              <w:rPr>
                <w:rFonts w:ascii="Times New Roman" w:hAnsi="Times New Roman"/>
                <w:sz w:val="24"/>
                <w:szCs w:val="24"/>
                <w:lang w:val="en-IE" w:eastAsia="fr-FR"/>
              </w:rPr>
              <w:t>e</w:t>
            </w:r>
            <w:r w:rsidR="00F870BF" w:rsidRPr="00F870BF">
              <w:rPr>
                <w:rFonts w:ascii="Times New Roman" w:hAnsi="Times New Roman"/>
                <w:sz w:val="24"/>
                <w:szCs w:val="24"/>
                <w:lang w:val="en-IE" w:eastAsia="fr-FR"/>
              </w:rPr>
              <w:t xml:space="preserve"> public participation by local communities in renewable energy projects</w:t>
            </w:r>
            <w:r w:rsidR="00F870BF">
              <w:rPr>
                <w:rFonts w:ascii="Times New Roman" w:hAnsi="Times New Roman"/>
                <w:sz w:val="24"/>
                <w:szCs w:val="24"/>
                <w:lang w:val="en-IE" w:eastAsia="fr-FR"/>
              </w:rPr>
              <w:t xml:space="preserve"> and</w:t>
            </w:r>
            <w:r w:rsidR="00F870BF" w:rsidRPr="00F870BF">
              <w:rPr>
                <w:rFonts w:ascii="Times New Roman" w:hAnsi="Times New Roman"/>
                <w:sz w:val="24"/>
                <w:szCs w:val="24"/>
                <w:lang w:val="en-IE" w:eastAsia="fr-FR"/>
              </w:rPr>
              <w:t xml:space="preserve"> increase public acceptance</w:t>
            </w:r>
            <w:r w:rsidR="77F9010A" w:rsidRPr="483571AE">
              <w:rPr>
                <w:rFonts w:ascii="Times New Roman" w:hAnsi="Times New Roman"/>
                <w:sz w:val="24"/>
                <w:szCs w:val="24"/>
                <w:lang w:val="en-IE" w:eastAsia="fr-FR"/>
              </w:rPr>
              <w:t>.</w:t>
            </w:r>
          </w:p>
          <w:p w14:paraId="349008D2" w14:textId="194DFD34" w:rsidR="008C06B8" w:rsidRPr="00604C5E" w:rsidRDefault="034D95F7" w:rsidP="04A85A87">
            <w:pPr>
              <w:widowControl w:val="0"/>
              <w:spacing w:before="120" w:after="120"/>
              <w:jc w:val="both"/>
              <w:rPr>
                <w:rFonts w:ascii="Times New Roman" w:hAnsi="Times New Roman"/>
                <w:sz w:val="24"/>
                <w:szCs w:val="24"/>
                <w:lang w:val="en-IE" w:eastAsia="fr-FR"/>
              </w:rPr>
            </w:pPr>
            <w:r w:rsidRPr="0DA86512">
              <w:rPr>
                <w:rFonts w:ascii="Times New Roman" w:hAnsi="Times New Roman"/>
                <w:sz w:val="24"/>
                <w:szCs w:val="24"/>
                <w:lang w:val="en-IE" w:eastAsia="fr-FR"/>
              </w:rPr>
              <w:t xml:space="preserve">The Commission agrees with the EESC that </w:t>
            </w:r>
            <w:r w:rsidR="68081A92" w:rsidRPr="0DA86512">
              <w:rPr>
                <w:rFonts w:ascii="Times New Roman" w:hAnsi="Times New Roman"/>
                <w:sz w:val="24"/>
                <w:szCs w:val="24"/>
                <w:lang w:val="en-IE" w:eastAsia="fr-FR"/>
              </w:rPr>
              <w:t>r</w:t>
            </w:r>
            <w:r w:rsidR="14118070" w:rsidRPr="0DA86512">
              <w:rPr>
                <w:rFonts w:ascii="Times New Roman" w:hAnsi="Times New Roman"/>
                <w:sz w:val="24"/>
                <w:szCs w:val="24"/>
                <w:lang w:val="en-IE" w:eastAsia="fr-FR"/>
              </w:rPr>
              <w:t xml:space="preserve">ecognising the importance of </w:t>
            </w:r>
            <w:r w:rsidR="14118070" w:rsidRPr="0DA86512">
              <w:rPr>
                <w:rFonts w:ascii="Times New Roman" w:hAnsi="Times New Roman"/>
                <w:b/>
                <w:bCs/>
                <w:sz w:val="24"/>
                <w:szCs w:val="24"/>
                <w:lang w:val="en-IE" w:eastAsia="fr-FR"/>
              </w:rPr>
              <w:t>ensuring authorities are adequately equipped</w:t>
            </w:r>
            <w:r w:rsidR="0C2DF443" w:rsidRPr="0DA86512">
              <w:rPr>
                <w:rFonts w:ascii="Times New Roman" w:hAnsi="Times New Roman"/>
                <w:b/>
                <w:bCs/>
                <w:sz w:val="24"/>
                <w:szCs w:val="24"/>
                <w:lang w:val="en-IE" w:eastAsia="fr-FR"/>
              </w:rPr>
              <w:t xml:space="preserve"> </w:t>
            </w:r>
            <w:r w:rsidR="0C2DF443" w:rsidRPr="0DA86512">
              <w:rPr>
                <w:rFonts w:ascii="Times New Roman" w:hAnsi="Times New Roman"/>
                <w:sz w:val="24"/>
                <w:szCs w:val="24"/>
                <w:lang w:val="en-IE" w:eastAsia="fr-FR"/>
              </w:rPr>
              <w:t>is of utmost importance</w:t>
            </w:r>
            <w:r w:rsidR="6716D07D" w:rsidRPr="0DA86512">
              <w:rPr>
                <w:rFonts w:ascii="Times New Roman" w:hAnsi="Times New Roman"/>
                <w:sz w:val="24"/>
                <w:szCs w:val="24"/>
                <w:lang w:val="en-IE" w:eastAsia="fr-FR"/>
              </w:rPr>
              <w:t>.</w:t>
            </w:r>
            <w:r w:rsidR="14118070" w:rsidRPr="0DA86512">
              <w:rPr>
                <w:rFonts w:ascii="Times New Roman" w:hAnsi="Times New Roman"/>
                <w:sz w:val="24"/>
                <w:szCs w:val="24"/>
                <w:lang w:val="en-IE" w:eastAsia="fr-FR"/>
              </w:rPr>
              <w:t xml:space="preserve"> </w:t>
            </w:r>
            <w:r w:rsidR="355E8B07" w:rsidRPr="0DA86512">
              <w:rPr>
                <w:rFonts w:ascii="Times New Roman" w:hAnsi="Times New Roman"/>
                <w:sz w:val="24"/>
                <w:szCs w:val="24"/>
                <w:lang w:val="en-IE" w:eastAsia="fr-FR"/>
              </w:rPr>
              <w:t>T</w:t>
            </w:r>
            <w:r w:rsidR="67EEE937" w:rsidRPr="0DA86512">
              <w:rPr>
                <w:rFonts w:ascii="Times New Roman" w:hAnsi="Times New Roman"/>
                <w:sz w:val="24"/>
                <w:szCs w:val="24"/>
                <w:lang w:val="en-IE" w:eastAsia="fr-FR"/>
              </w:rPr>
              <w:t>he Commission</w:t>
            </w:r>
            <w:r w:rsidR="004C0E61" w:rsidRPr="0DA86512">
              <w:rPr>
                <w:rFonts w:ascii="Times New Roman" w:hAnsi="Times New Roman"/>
                <w:sz w:val="24"/>
                <w:szCs w:val="24"/>
                <w:lang w:val="en-IE" w:eastAsia="fr-FR"/>
              </w:rPr>
              <w:t xml:space="preserve"> already had in</w:t>
            </w:r>
            <w:r w:rsidR="00F764AB">
              <w:rPr>
                <w:rFonts w:ascii="Times New Roman" w:hAnsi="Times New Roman"/>
                <w:sz w:val="24"/>
                <w:szCs w:val="24"/>
                <w:lang w:val="en-IE" w:eastAsia="fr-FR"/>
              </w:rPr>
              <w:t>c</w:t>
            </w:r>
            <w:r w:rsidR="004C0E61" w:rsidRPr="0DA86512">
              <w:rPr>
                <w:rFonts w:ascii="Times New Roman" w:hAnsi="Times New Roman"/>
                <w:sz w:val="24"/>
                <w:szCs w:val="24"/>
                <w:lang w:val="en-IE" w:eastAsia="fr-FR"/>
              </w:rPr>
              <w:t>luded such an obligation in the Renewable</w:t>
            </w:r>
            <w:r w:rsidR="0076201B" w:rsidRPr="0DA86512">
              <w:rPr>
                <w:rFonts w:ascii="Times New Roman" w:hAnsi="Times New Roman"/>
                <w:sz w:val="24"/>
                <w:szCs w:val="24"/>
                <w:lang w:val="en-IE" w:eastAsia="fr-FR"/>
              </w:rPr>
              <w:t xml:space="preserve"> Energy Directive. The</w:t>
            </w:r>
            <w:r w:rsidR="67EEE937" w:rsidRPr="0DA86512">
              <w:rPr>
                <w:rFonts w:ascii="Times New Roman" w:hAnsi="Times New Roman"/>
                <w:sz w:val="24"/>
                <w:szCs w:val="24"/>
                <w:lang w:val="en-IE" w:eastAsia="fr-FR"/>
              </w:rPr>
              <w:t xml:space="preserve"> proposal </w:t>
            </w:r>
            <w:r w:rsidR="0076201B" w:rsidRPr="0DA86512">
              <w:rPr>
                <w:rFonts w:ascii="Times New Roman" w:hAnsi="Times New Roman"/>
                <w:sz w:val="24"/>
                <w:szCs w:val="24"/>
                <w:lang w:val="en-IE" w:eastAsia="fr-FR"/>
              </w:rPr>
              <w:t xml:space="preserve">expands such </w:t>
            </w:r>
            <w:r w:rsidR="67EEE937" w:rsidRPr="0DA86512">
              <w:rPr>
                <w:rFonts w:ascii="Times New Roman" w:hAnsi="Times New Roman"/>
                <w:sz w:val="24"/>
                <w:szCs w:val="24"/>
                <w:lang w:val="en-IE" w:eastAsia="fr-FR"/>
              </w:rPr>
              <w:t xml:space="preserve">requirements for </w:t>
            </w:r>
            <w:r w:rsidR="40AD9DBA" w:rsidRPr="0DA86512">
              <w:rPr>
                <w:rFonts w:ascii="Times New Roman" w:hAnsi="Times New Roman"/>
                <w:sz w:val="24"/>
                <w:szCs w:val="24"/>
                <w:lang w:val="en-IE" w:eastAsia="fr-FR"/>
              </w:rPr>
              <w:t xml:space="preserve">Member States to ensure </w:t>
            </w:r>
            <w:r w:rsidR="7E54D904" w:rsidRPr="0DA86512">
              <w:rPr>
                <w:rFonts w:ascii="Times New Roman" w:hAnsi="Times New Roman"/>
                <w:sz w:val="24"/>
                <w:szCs w:val="24"/>
                <w:lang w:val="en-IE" w:eastAsia="fr-FR"/>
              </w:rPr>
              <w:t xml:space="preserve">the appropriate </w:t>
            </w:r>
            <w:r w:rsidR="40AD9DBA" w:rsidRPr="0DA86512">
              <w:rPr>
                <w:rFonts w:ascii="Times New Roman" w:hAnsi="Times New Roman"/>
                <w:sz w:val="24"/>
                <w:szCs w:val="24"/>
                <w:lang w:val="en-IE" w:eastAsia="fr-FR"/>
              </w:rPr>
              <w:t>human and technical resources to handle permit granting applications within the applicable timeframe</w:t>
            </w:r>
            <w:r w:rsidR="0076201B" w:rsidRPr="0DA86512">
              <w:rPr>
                <w:rFonts w:ascii="Times New Roman" w:hAnsi="Times New Roman"/>
                <w:sz w:val="24"/>
                <w:szCs w:val="24"/>
                <w:lang w:val="en-IE" w:eastAsia="fr-FR"/>
              </w:rPr>
              <w:t xml:space="preserve"> for infrastructure projects</w:t>
            </w:r>
            <w:r w:rsidR="40AD9DBA" w:rsidRPr="0DA86512">
              <w:rPr>
                <w:rFonts w:ascii="Times New Roman" w:hAnsi="Times New Roman"/>
                <w:sz w:val="24"/>
                <w:szCs w:val="24"/>
                <w:lang w:val="en-IE" w:eastAsia="fr-FR"/>
              </w:rPr>
              <w:t>.</w:t>
            </w:r>
            <w:r w:rsidR="36DD7542" w:rsidRPr="0DA86512">
              <w:rPr>
                <w:rFonts w:ascii="Times New Roman" w:hAnsi="Times New Roman"/>
                <w:sz w:val="24"/>
                <w:szCs w:val="24"/>
                <w:lang w:val="en-IE" w:eastAsia="fr-FR"/>
              </w:rPr>
              <w:t xml:space="preserve"> </w:t>
            </w:r>
            <w:r w:rsidR="2A07DBFB" w:rsidRPr="0DA86512">
              <w:rPr>
                <w:rFonts w:ascii="Times New Roman" w:hAnsi="Times New Roman"/>
                <w:sz w:val="24"/>
                <w:szCs w:val="24"/>
                <w:lang w:val="en-IE" w:eastAsia="fr-FR"/>
              </w:rPr>
              <w:t>D</w:t>
            </w:r>
            <w:r w:rsidR="36DD7542" w:rsidRPr="0DA86512">
              <w:rPr>
                <w:rFonts w:ascii="Times New Roman" w:hAnsi="Times New Roman"/>
                <w:sz w:val="24"/>
                <w:szCs w:val="24"/>
                <w:lang w:val="en-IE" w:eastAsia="fr-FR"/>
              </w:rPr>
              <w:t>ecision</w:t>
            </w:r>
            <w:r w:rsidR="002D4C33" w:rsidRPr="0DA86512">
              <w:rPr>
                <w:rFonts w:ascii="Times New Roman" w:hAnsi="Times New Roman"/>
                <w:sz w:val="24"/>
                <w:szCs w:val="24"/>
                <w:lang w:val="en-IE" w:eastAsia="fr-FR"/>
              </w:rPr>
              <w:t>s</w:t>
            </w:r>
            <w:r w:rsidR="36DD7542" w:rsidRPr="0DA86512">
              <w:rPr>
                <w:rFonts w:ascii="Times New Roman" w:hAnsi="Times New Roman"/>
                <w:sz w:val="24"/>
                <w:szCs w:val="24"/>
                <w:lang w:val="en-IE" w:eastAsia="fr-FR"/>
              </w:rPr>
              <w:t xml:space="preserve"> granted tacitly</w:t>
            </w:r>
            <w:r w:rsidR="0076201B" w:rsidRPr="0DA86512">
              <w:rPr>
                <w:rFonts w:ascii="Times New Roman" w:hAnsi="Times New Roman"/>
                <w:sz w:val="24"/>
                <w:szCs w:val="24"/>
                <w:lang w:val="en-IE" w:eastAsia="fr-FR"/>
              </w:rPr>
              <w:t xml:space="preserve">, no permitting process for </w:t>
            </w:r>
            <w:r w:rsidR="00CE68CF" w:rsidRPr="0DA86512">
              <w:rPr>
                <w:rFonts w:ascii="Times New Roman" w:hAnsi="Times New Roman"/>
                <w:sz w:val="24"/>
                <w:szCs w:val="24"/>
                <w:lang w:val="en-IE" w:eastAsia="fr-FR"/>
              </w:rPr>
              <w:t xml:space="preserve">small capacity projects and </w:t>
            </w:r>
            <w:r w:rsidR="00550B9D" w:rsidRPr="0DA86512">
              <w:rPr>
                <w:rFonts w:ascii="Times New Roman" w:hAnsi="Times New Roman"/>
                <w:sz w:val="24"/>
                <w:szCs w:val="24"/>
                <w:lang w:val="en-IE" w:eastAsia="fr-FR"/>
              </w:rPr>
              <w:t>digital tools for permitting processes</w:t>
            </w:r>
            <w:r w:rsidR="7A343D85" w:rsidRPr="0DA86512">
              <w:rPr>
                <w:rFonts w:ascii="Times New Roman" w:hAnsi="Times New Roman"/>
                <w:sz w:val="24"/>
                <w:szCs w:val="24"/>
                <w:lang w:val="en-IE" w:eastAsia="fr-FR"/>
              </w:rPr>
              <w:t xml:space="preserve"> help to ensure </w:t>
            </w:r>
            <w:r w:rsidR="3858B7D9" w:rsidRPr="0DA86512">
              <w:rPr>
                <w:rFonts w:ascii="Times New Roman" w:hAnsi="Times New Roman"/>
                <w:sz w:val="24"/>
                <w:szCs w:val="24"/>
                <w:lang w:val="en-IE" w:eastAsia="fr-FR"/>
              </w:rPr>
              <w:t xml:space="preserve">that </w:t>
            </w:r>
            <w:r w:rsidR="7A343D85" w:rsidRPr="0DA86512">
              <w:rPr>
                <w:rFonts w:ascii="Times New Roman" w:hAnsi="Times New Roman"/>
                <w:sz w:val="24"/>
                <w:szCs w:val="24"/>
                <w:lang w:val="en-IE" w:eastAsia="fr-FR"/>
              </w:rPr>
              <w:t xml:space="preserve">authorities resources </w:t>
            </w:r>
            <w:r w:rsidR="13049AE1" w:rsidRPr="0DA86512">
              <w:rPr>
                <w:rFonts w:ascii="Times New Roman" w:hAnsi="Times New Roman"/>
                <w:sz w:val="24"/>
                <w:szCs w:val="24"/>
                <w:lang w:val="en-IE" w:eastAsia="fr-FR"/>
              </w:rPr>
              <w:t xml:space="preserve">are </w:t>
            </w:r>
            <w:r w:rsidR="04816E9B" w:rsidRPr="0DA86512">
              <w:rPr>
                <w:rFonts w:ascii="Times New Roman" w:hAnsi="Times New Roman"/>
                <w:sz w:val="24"/>
                <w:szCs w:val="24"/>
                <w:lang w:val="en-IE" w:eastAsia="fr-FR"/>
              </w:rPr>
              <w:t xml:space="preserve">allocated </w:t>
            </w:r>
            <w:r w:rsidR="3AB3E5CB" w:rsidRPr="0DA86512">
              <w:rPr>
                <w:rFonts w:ascii="Times New Roman" w:hAnsi="Times New Roman"/>
                <w:sz w:val="24"/>
                <w:szCs w:val="24"/>
                <w:lang w:val="en-IE" w:eastAsia="fr-FR"/>
              </w:rPr>
              <w:t xml:space="preserve">where </w:t>
            </w:r>
            <w:r w:rsidR="61FCEA17" w:rsidRPr="0DA86512">
              <w:rPr>
                <w:rFonts w:ascii="Times New Roman" w:hAnsi="Times New Roman"/>
                <w:sz w:val="24"/>
                <w:szCs w:val="24"/>
                <w:lang w:val="en-IE" w:eastAsia="fr-FR"/>
              </w:rPr>
              <w:t xml:space="preserve">most needed </w:t>
            </w:r>
            <w:r w:rsidR="1AF1C03A" w:rsidRPr="0DA86512">
              <w:rPr>
                <w:rFonts w:ascii="Times New Roman" w:hAnsi="Times New Roman"/>
                <w:sz w:val="24"/>
                <w:szCs w:val="24"/>
                <w:lang w:val="en-IE" w:eastAsia="fr-FR"/>
              </w:rPr>
              <w:t>and prioritis</w:t>
            </w:r>
            <w:r w:rsidR="00C63E3D" w:rsidRPr="0DA86512">
              <w:rPr>
                <w:rFonts w:ascii="Times New Roman" w:hAnsi="Times New Roman"/>
                <w:sz w:val="24"/>
                <w:szCs w:val="24"/>
                <w:lang w:val="en-IE" w:eastAsia="fr-FR"/>
              </w:rPr>
              <w:t>e</w:t>
            </w:r>
            <w:r w:rsidR="1AF1C03A" w:rsidRPr="0DA86512">
              <w:rPr>
                <w:rFonts w:ascii="Times New Roman" w:hAnsi="Times New Roman"/>
                <w:sz w:val="24"/>
                <w:szCs w:val="24"/>
                <w:lang w:val="en-IE" w:eastAsia="fr-FR"/>
              </w:rPr>
              <w:t xml:space="preserve"> </w:t>
            </w:r>
            <w:r w:rsidR="1988D7DD" w:rsidRPr="0DA86512">
              <w:rPr>
                <w:rFonts w:ascii="Times New Roman" w:hAnsi="Times New Roman"/>
                <w:sz w:val="24"/>
                <w:szCs w:val="24"/>
                <w:lang w:val="en-IE" w:eastAsia="fr-FR"/>
              </w:rPr>
              <w:t>substantive assessments</w:t>
            </w:r>
            <w:r w:rsidR="18D4AF1A" w:rsidRPr="0DA86512">
              <w:rPr>
                <w:rFonts w:ascii="Times New Roman" w:hAnsi="Times New Roman"/>
                <w:sz w:val="24"/>
                <w:szCs w:val="24"/>
                <w:lang w:val="en-IE" w:eastAsia="fr-FR"/>
              </w:rPr>
              <w:t xml:space="preserve"> and </w:t>
            </w:r>
            <w:r w:rsidR="1A719EC2" w:rsidRPr="0DA86512">
              <w:rPr>
                <w:rFonts w:ascii="Times New Roman" w:hAnsi="Times New Roman"/>
                <w:sz w:val="24"/>
                <w:szCs w:val="24"/>
                <w:lang w:val="en-IE" w:eastAsia="fr-FR"/>
              </w:rPr>
              <w:t>approval procedures</w:t>
            </w:r>
            <w:r w:rsidR="1988D7DD" w:rsidRPr="0DA86512">
              <w:rPr>
                <w:rFonts w:ascii="Times New Roman" w:hAnsi="Times New Roman"/>
                <w:sz w:val="24"/>
                <w:szCs w:val="24"/>
                <w:lang w:val="en-IE" w:eastAsia="fr-FR"/>
              </w:rPr>
              <w:t>.</w:t>
            </w:r>
          </w:p>
        </w:tc>
      </w:tr>
    </w:tbl>
    <w:p w14:paraId="19F00408" w14:textId="77777777" w:rsidR="00920C66" w:rsidRPr="00604C5E" w:rsidRDefault="00920C66">
      <w:pPr>
        <w:rPr>
          <w:sz w:val="24"/>
          <w:szCs w:val="24"/>
        </w:rPr>
      </w:pPr>
    </w:p>
    <w:sectPr w:rsidR="00920C66" w:rsidRPr="00604C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5EFF9" w14:textId="77777777" w:rsidR="00385BAA" w:rsidRDefault="00385BAA" w:rsidP="008C06B8">
      <w:pPr>
        <w:spacing w:after="0" w:line="240" w:lineRule="auto"/>
      </w:pPr>
      <w:r>
        <w:separator/>
      </w:r>
    </w:p>
  </w:endnote>
  <w:endnote w:type="continuationSeparator" w:id="0">
    <w:p w14:paraId="15F50371" w14:textId="77777777" w:rsidR="00385BAA" w:rsidRDefault="00385BAA" w:rsidP="008C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D29E3" w14:textId="77777777" w:rsidR="00385BAA" w:rsidRDefault="00385BAA" w:rsidP="008C06B8">
      <w:pPr>
        <w:spacing w:after="0" w:line="240" w:lineRule="auto"/>
      </w:pPr>
      <w:r>
        <w:separator/>
      </w:r>
    </w:p>
  </w:footnote>
  <w:footnote w:type="continuationSeparator" w:id="0">
    <w:p w14:paraId="49A3F68D" w14:textId="77777777" w:rsidR="00385BAA" w:rsidRDefault="00385BAA" w:rsidP="008C06B8">
      <w:pPr>
        <w:spacing w:after="0" w:line="240" w:lineRule="auto"/>
      </w:pPr>
      <w:r>
        <w:continuationSeparator/>
      </w:r>
    </w:p>
  </w:footnote>
  <w:footnote w:id="1">
    <w:p w14:paraId="1F368E1B" w14:textId="7E62A781" w:rsidR="008C06B8" w:rsidRPr="00931891" w:rsidRDefault="008C06B8" w:rsidP="008C06B8">
      <w:pPr>
        <w:pStyle w:val="FootnoteText"/>
        <w:widowControl w:val="0"/>
        <w:spacing w:after="0" w:line="240" w:lineRule="auto"/>
        <w:jc w:val="both"/>
        <w:rPr>
          <w:rFonts w:ascii="Times New Roman" w:hAnsi="Times New Roman"/>
          <w:lang w:val="fr-BE"/>
        </w:rPr>
      </w:pPr>
      <w:r w:rsidRPr="00931891">
        <w:rPr>
          <w:rStyle w:val="FootnoteReference"/>
          <w:rFonts w:ascii="Times New Roman" w:hAnsi="Times New Roman"/>
        </w:rPr>
        <w:footnoteRef/>
      </w:r>
      <w:r w:rsidRPr="00931891">
        <w:rPr>
          <w:rFonts w:ascii="Times New Roman" w:hAnsi="Times New Roman"/>
          <w:lang w:val="fr-BE"/>
        </w:rPr>
        <w:t xml:space="preserve"> </w:t>
      </w:r>
      <w:r w:rsidRPr="00931891">
        <w:rPr>
          <w:rFonts w:ascii="Times New Roman" w:hAnsi="Times New Roman"/>
          <w:lang w:val="fr-BE"/>
        </w:rPr>
        <w:tab/>
      </w:r>
      <w:proofErr w:type="gramStart"/>
      <w:r w:rsidR="000F6B74" w:rsidRPr="00931891">
        <w:rPr>
          <w:rFonts w:ascii="Times New Roman" w:hAnsi="Times New Roman"/>
          <w:lang w:val="fr-BE"/>
        </w:rPr>
        <w:t>COM(</w:t>
      </w:r>
      <w:proofErr w:type="gramEnd"/>
      <w:r w:rsidR="000F6B74" w:rsidRPr="00931891">
        <w:rPr>
          <w:rFonts w:ascii="Times New Roman" w:hAnsi="Times New Roman"/>
          <w:lang w:val="fr-BE"/>
        </w:rPr>
        <w:t>2025) 30 final (</w:t>
      </w:r>
      <w:hyperlink r:id="rId1" w:history="1">
        <w:r w:rsidR="000F6B74" w:rsidRPr="00931891">
          <w:rPr>
            <w:rStyle w:val="Hyperlink"/>
            <w:rFonts w:ascii="Times New Roman" w:hAnsi="Times New Roman"/>
            <w:lang w:val="fr-BE"/>
          </w:rPr>
          <w:t>EUR-Lex - 52025DC0030 - EN - EUR-Lex</w:t>
        </w:r>
      </w:hyperlink>
      <w:r w:rsidR="000F6B74" w:rsidRPr="00931891">
        <w:rPr>
          <w:rFonts w:ascii="Times New Roman" w:hAnsi="Times New Roman"/>
          <w:lang w:val="fr-BE"/>
        </w:rPr>
        <w:t>)</w:t>
      </w:r>
      <w:r w:rsidR="000F6B74">
        <w:rPr>
          <w:rFonts w:ascii="Times New Roman" w:hAnsi="Times New Roman"/>
          <w:lang w:val="fr-BE"/>
        </w:rPr>
        <w:t>.</w:t>
      </w:r>
    </w:p>
  </w:footnote>
  <w:footnote w:id="2">
    <w:p w14:paraId="0AF66074" w14:textId="38C0139F" w:rsidR="008C06B8" w:rsidRPr="00931891" w:rsidRDefault="008C06B8" w:rsidP="008C06B8">
      <w:pPr>
        <w:pStyle w:val="FootnoteText"/>
        <w:widowControl w:val="0"/>
        <w:spacing w:after="0" w:line="240" w:lineRule="auto"/>
        <w:jc w:val="both"/>
        <w:rPr>
          <w:lang w:val="fr-BE"/>
        </w:rPr>
      </w:pPr>
      <w:r w:rsidRPr="00931891">
        <w:rPr>
          <w:rStyle w:val="FootnoteReference"/>
          <w:rFonts w:ascii="Times New Roman" w:hAnsi="Times New Roman"/>
        </w:rPr>
        <w:footnoteRef/>
      </w:r>
      <w:r w:rsidRPr="00931891">
        <w:rPr>
          <w:rFonts w:ascii="Times New Roman" w:hAnsi="Times New Roman"/>
          <w:lang w:val="fr-BE"/>
        </w:rPr>
        <w:t xml:space="preserve"> </w:t>
      </w:r>
      <w:r w:rsidRPr="00931891">
        <w:rPr>
          <w:rFonts w:ascii="Times New Roman" w:hAnsi="Times New Roman"/>
          <w:lang w:val="fr-BE"/>
        </w:rPr>
        <w:tab/>
      </w:r>
      <w:proofErr w:type="gramStart"/>
      <w:r w:rsidR="000F6B74" w:rsidRPr="00931891">
        <w:rPr>
          <w:rFonts w:ascii="Times New Roman" w:hAnsi="Times New Roman"/>
          <w:lang w:val="fr-BE"/>
        </w:rPr>
        <w:t>COM(</w:t>
      </w:r>
      <w:proofErr w:type="gramEnd"/>
      <w:r w:rsidR="000F6B74" w:rsidRPr="00931891">
        <w:rPr>
          <w:rFonts w:ascii="Times New Roman" w:hAnsi="Times New Roman"/>
          <w:lang w:val="fr-BE"/>
        </w:rPr>
        <w:t>2025) 79 final (</w:t>
      </w:r>
      <w:r w:rsidR="000F6B74">
        <w:fldChar w:fldCharType="begin"/>
      </w:r>
      <w:r w:rsidR="000F6B74" w:rsidRPr="009948CD">
        <w:rPr>
          <w:lang w:val="fr-BE"/>
        </w:rPr>
        <w:instrText>HYPERLINK "https://eur-lex.europa.eu/legal-content/EN/TXT/?uri=celex:52025DC0079"</w:instrText>
      </w:r>
      <w:r w:rsidR="000F6B74">
        <w:fldChar w:fldCharType="separate"/>
      </w:r>
      <w:r w:rsidR="000F6B74" w:rsidRPr="00931891">
        <w:rPr>
          <w:rStyle w:val="Hyperlink"/>
          <w:rFonts w:ascii="Times New Roman" w:hAnsi="Times New Roman"/>
          <w:lang w:val="fr-BE"/>
        </w:rPr>
        <w:t>EUR-Lex - 52025DC0079 - EN - EUR-Lex</w:t>
      </w:r>
      <w:r w:rsidR="000F6B74">
        <w:fldChar w:fldCharType="end"/>
      </w:r>
      <w:r w:rsidR="000F6B74" w:rsidRPr="00931891">
        <w:rPr>
          <w:rFonts w:ascii="Times New Roman" w:hAnsi="Times New Roman"/>
          <w:lang w:val="fr-BE"/>
        </w:rPr>
        <w:t>)</w:t>
      </w:r>
      <w:r w:rsidR="000F6B74">
        <w:rPr>
          <w:rFonts w:ascii="Times New Roman" w:hAnsi="Times New Roman"/>
          <w:lang w:val="fr-BE"/>
        </w:rPr>
        <w:t>.</w:t>
      </w:r>
    </w:p>
  </w:footnote>
  <w:footnote w:id="3">
    <w:p w14:paraId="28DEEFEC" w14:textId="50265774" w:rsidR="008C06B8" w:rsidRPr="00931891" w:rsidRDefault="008C06B8" w:rsidP="008C06B8">
      <w:pPr>
        <w:pStyle w:val="FootnoteText"/>
        <w:rPr>
          <w:lang w:val="fr-BE"/>
        </w:rPr>
      </w:pPr>
      <w:r w:rsidRPr="00BB01BD">
        <w:rPr>
          <w:rFonts w:ascii="Times New Roman" w:hAnsi="Times New Roman"/>
          <w:sz w:val="14"/>
          <w:szCs w:val="14"/>
          <w:lang w:val="fr-BE"/>
        </w:rPr>
        <w:footnoteRef/>
      </w:r>
      <w:r w:rsidRPr="00BB01BD">
        <w:rPr>
          <w:rFonts w:ascii="Times New Roman" w:hAnsi="Times New Roman"/>
          <w:sz w:val="16"/>
          <w:szCs w:val="16"/>
          <w:lang w:val="fr-BE"/>
        </w:rPr>
        <w:t xml:space="preserve"> </w:t>
      </w:r>
      <w:r w:rsidRPr="00931891">
        <w:rPr>
          <w:rFonts w:ascii="Times New Roman" w:hAnsi="Times New Roman"/>
          <w:lang w:val="fr-BE"/>
        </w:rPr>
        <w:tab/>
      </w:r>
      <w:proofErr w:type="gramStart"/>
      <w:r w:rsidR="000F6B74" w:rsidRPr="00931891">
        <w:rPr>
          <w:rFonts w:ascii="Times New Roman" w:hAnsi="Times New Roman"/>
          <w:lang w:val="fr-BE"/>
        </w:rPr>
        <w:t>COM(</w:t>
      </w:r>
      <w:proofErr w:type="gramEnd"/>
      <w:r w:rsidR="000F6B74" w:rsidRPr="00931891">
        <w:rPr>
          <w:rFonts w:ascii="Times New Roman" w:hAnsi="Times New Roman"/>
          <w:lang w:val="fr-BE"/>
        </w:rPr>
        <w:t>2025) 1005 final (</w:t>
      </w:r>
      <w:r w:rsidR="000F6B74">
        <w:fldChar w:fldCharType="begin"/>
      </w:r>
      <w:r w:rsidR="000F6B74" w:rsidRPr="009948CD">
        <w:rPr>
          <w:lang w:val="fr-BE"/>
        </w:rPr>
        <w:instrText>HYPERLINK "https://eur-lex.europa.eu/legal-content/EN/TXT/?uri=celex:52025DC1005"</w:instrText>
      </w:r>
      <w:r w:rsidR="000F6B74">
        <w:fldChar w:fldCharType="separate"/>
      </w:r>
      <w:r w:rsidR="000F6B74" w:rsidRPr="00D65F76">
        <w:rPr>
          <w:rStyle w:val="Hyperlink"/>
          <w:rFonts w:ascii="Times New Roman" w:hAnsi="Times New Roman"/>
          <w:lang w:val="fr-BE"/>
        </w:rPr>
        <w:t>EUR-Lex - 52025DC1005 - EN - EUR-Lex</w:t>
      </w:r>
      <w:r w:rsidR="000F6B74">
        <w:fldChar w:fldCharType="end"/>
      </w:r>
      <w:r w:rsidR="000F6B74">
        <w:rPr>
          <w:rFonts w:ascii="Times New Roman" w:hAnsi="Times New Roman"/>
          <w:lang w:val="fr-BE"/>
        </w:rPr>
        <w:t>).</w:t>
      </w:r>
    </w:p>
  </w:footnote>
  <w:footnote w:id="4">
    <w:p w14:paraId="4BD2BE56" w14:textId="324D6A33" w:rsidR="00DF520B" w:rsidRPr="00F000D4" w:rsidRDefault="00DF520B" w:rsidP="00F000D4">
      <w:pPr>
        <w:pStyle w:val="FootnoteText"/>
        <w:spacing w:after="0" w:line="240" w:lineRule="auto"/>
        <w:rPr>
          <w:rFonts w:ascii="Times New Roman" w:hAnsi="Times New Roman"/>
          <w:lang w:val="fr-BE"/>
        </w:rPr>
      </w:pPr>
      <w:r w:rsidRPr="00F000D4">
        <w:rPr>
          <w:rStyle w:val="FootnoteReference"/>
          <w:rFonts w:ascii="Times New Roman" w:hAnsi="Times New Roman"/>
        </w:rPr>
        <w:footnoteRef/>
      </w:r>
      <w:r w:rsidRPr="00F000D4">
        <w:rPr>
          <w:rFonts w:ascii="Times New Roman" w:hAnsi="Times New Roman"/>
          <w:lang w:val="fr-BE"/>
        </w:rPr>
        <w:t xml:space="preserve"> </w:t>
      </w:r>
      <w:r w:rsidR="00BB01BD">
        <w:rPr>
          <w:rFonts w:ascii="Times New Roman" w:hAnsi="Times New Roman"/>
          <w:lang w:val="fr-BE"/>
        </w:rPr>
        <w:tab/>
      </w:r>
      <w:r w:rsidR="00BB01BD">
        <w:fldChar w:fldCharType="begin"/>
      </w:r>
      <w:r w:rsidR="00BB01BD" w:rsidRPr="009948CD">
        <w:rPr>
          <w:lang w:val="fr-BE"/>
        </w:rPr>
        <w:instrText>HYPERLINK "https://op.europa.eu/en/publication-detail/-/publication/b4e46873-7528-11e9-9f05-01aa75ed71a1/language-en?WT.mc_id=Searchresult&amp;WT.ria_c=null&amp;WT.ria_f=3608&amp;WT.ria_ev=search"</w:instrText>
      </w:r>
      <w:r w:rsidR="00BB01BD">
        <w:fldChar w:fldCharType="separate"/>
      </w:r>
      <w:r w:rsidR="00BB01BD" w:rsidRPr="00BB01BD">
        <w:rPr>
          <w:rStyle w:val="Hyperlink"/>
          <w:rFonts w:ascii="Times New Roman" w:hAnsi="Times New Roman"/>
          <w:lang w:val="fr-BE"/>
        </w:rPr>
        <w:t>https://op.europa.eu/en/publication-detail/-/publication/b4e46873-7528-11e9-9f05-01aa75ed71a1/language-en?WT.mc_id=Searchresult&amp;WT.ria_c=null&amp;WT.ria_f=3608&amp;WT.ria_ev=search</w:t>
      </w:r>
      <w:r w:rsidR="00BB01BD">
        <w:fldChar w:fldCharType="end"/>
      </w:r>
      <w:r w:rsidR="000F6B74">
        <w:rPr>
          <w:lang w:val="fr-BE"/>
        </w:rPr>
        <w:t>.</w:t>
      </w:r>
    </w:p>
  </w:footnote>
  <w:footnote w:id="5">
    <w:p w14:paraId="55A72F8D" w14:textId="284B760C" w:rsidR="358ED7C0" w:rsidRPr="0016753D" w:rsidRDefault="358ED7C0" w:rsidP="0016753D">
      <w:pPr>
        <w:pStyle w:val="FootnoteText"/>
        <w:spacing w:after="0" w:line="240" w:lineRule="auto"/>
        <w:rPr>
          <w:rFonts w:ascii="Times New Roman" w:hAnsi="Times New Roman"/>
          <w:lang w:val="fr-BE"/>
        </w:rPr>
      </w:pPr>
      <w:r w:rsidRPr="0016753D">
        <w:rPr>
          <w:rStyle w:val="FootnoteReference"/>
          <w:rFonts w:ascii="Times New Roman" w:hAnsi="Times New Roman"/>
        </w:rPr>
        <w:footnoteRef/>
      </w:r>
      <w:r w:rsidRPr="0016753D">
        <w:rPr>
          <w:rFonts w:ascii="Times New Roman" w:hAnsi="Times New Roman"/>
          <w:lang w:val="fr-BE"/>
        </w:rPr>
        <w:t xml:space="preserve"> </w:t>
      </w:r>
      <w:r w:rsidR="00BB01BD">
        <w:rPr>
          <w:rFonts w:ascii="Times New Roman" w:hAnsi="Times New Roman"/>
          <w:lang w:val="fr-BE"/>
        </w:rPr>
        <w:tab/>
      </w:r>
      <w:proofErr w:type="gramStart"/>
      <w:r w:rsidR="000F6B74" w:rsidRPr="009455ED">
        <w:rPr>
          <w:rFonts w:ascii="Times New Roman" w:hAnsi="Times New Roman"/>
          <w:lang w:val="fr-BE"/>
        </w:rPr>
        <w:t>COM(</w:t>
      </w:r>
      <w:proofErr w:type="gramEnd"/>
      <w:r w:rsidR="000F6B74" w:rsidRPr="009455ED">
        <w:rPr>
          <w:rFonts w:ascii="Times New Roman" w:hAnsi="Times New Roman"/>
          <w:lang w:val="fr-BE"/>
        </w:rPr>
        <w:t xml:space="preserve">2025)723 final </w:t>
      </w:r>
      <w:r w:rsidR="000F6B74">
        <w:rPr>
          <w:rFonts w:ascii="Times New Roman" w:hAnsi="Times New Roman"/>
          <w:lang w:val="fr-BE"/>
        </w:rPr>
        <w:t>(</w:t>
      </w:r>
      <w:r w:rsidR="000F6B74">
        <w:fldChar w:fldCharType="begin"/>
      </w:r>
      <w:r w:rsidR="000F6B74" w:rsidRPr="009948CD">
        <w:rPr>
          <w:lang w:val="fr-BE"/>
        </w:rPr>
        <w:instrText>HYPERLINK "https://eur-lex.europa.eu/legal-content/EN/TXT/?uri=CELEX:52025DC0723"</w:instrText>
      </w:r>
      <w:r w:rsidR="000F6B74">
        <w:fldChar w:fldCharType="separate"/>
      </w:r>
      <w:r w:rsidR="000F6B74" w:rsidRPr="00D65F76">
        <w:rPr>
          <w:rStyle w:val="Hyperlink"/>
          <w:rFonts w:ascii="Times New Roman" w:hAnsi="Times New Roman"/>
          <w:lang w:val="fr-BE"/>
        </w:rPr>
        <w:t>EUR-Lex - 52025DC0723 - EN - EUR-Lex</w:t>
      </w:r>
      <w:r w:rsidR="000F6B74">
        <w:fldChar w:fldCharType="end"/>
      </w:r>
      <w:r w:rsidR="000F6B74">
        <w:rPr>
          <w:rFonts w:ascii="Times New Roman" w:hAnsi="Times New Roman"/>
          <w:lang w:val="fr-BE"/>
        </w:rPr>
        <w:t>).</w:t>
      </w:r>
    </w:p>
  </w:footnote>
  <w:footnote w:id="6">
    <w:p w14:paraId="432E5BB6" w14:textId="32F176EF" w:rsidR="00C03A5D" w:rsidRPr="00C03A5D" w:rsidRDefault="00C03A5D" w:rsidP="0016753D">
      <w:pPr>
        <w:pStyle w:val="FootnoteText"/>
        <w:spacing w:after="0" w:line="240" w:lineRule="auto"/>
        <w:rPr>
          <w:lang w:val="fr-BE"/>
        </w:rPr>
      </w:pPr>
      <w:r w:rsidRPr="0016753D">
        <w:rPr>
          <w:rStyle w:val="FootnoteReference"/>
          <w:rFonts w:ascii="Times New Roman" w:hAnsi="Times New Roman"/>
        </w:rPr>
        <w:footnoteRef/>
      </w:r>
      <w:r w:rsidRPr="0016753D">
        <w:rPr>
          <w:rFonts w:ascii="Times New Roman" w:hAnsi="Times New Roman"/>
          <w:lang w:val="fr-BE"/>
        </w:rPr>
        <w:t xml:space="preserve"> </w:t>
      </w:r>
      <w:r w:rsidR="00BB01BD">
        <w:rPr>
          <w:rFonts w:ascii="Times New Roman" w:hAnsi="Times New Roman"/>
          <w:lang w:val="fr-BE"/>
        </w:rPr>
        <w:tab/>
      </w:r>
      <w:r w:rsidR="00BB01BD">
        <w:fldChar w:fldCharType="begin"/>
      </w:r>
      <w:r w:rsidR="00BB01BD" w:rsidRPr="009948CD">
        <w:rPr>
          <w:lang w:val="fr-BE"/>
        </w:rPr>
        <w:instrText>HYPERLINK "https://energy.ec.europa.eu/publications/communication-citizens-energy-package_en"</w:instrText>
      </w:r>
      <w:r w:rsidR="00BB01BD">
        <w:fldChar w:fldCharType="separate"/>
      </w:r>
      <w:r w:rsidR="00BB01BD" w:rsidRPr="00BB01BD">
        <w:rPr>
          <w:rStyle w:val="Hyperlink"/>
          <w:rFonts w:ascii="Times New Roman" w:hAnsi="Times New Roman"/>
          <w:lang w:val="fr-BE"/>
        </w:rPr>
        <w:t>https://energy.ec.europa.eu/publications/communication-citizens-energy-package_en</w:t>
      </w:r>
      <w:r w:rsidR="00BB01BD">
        <w:fldChar w:fldCharType="end"/>
      </w:r>
      <w:r w:rsidR="00BB01BD">
        <w:rPr>
          <w:rFonts w:ascii="Times New Roman" w:hAnsi="Times New Roman"/>
          <w:lang w:val="fr-BE"/>
        </w:rPr>
        <w:t>.</w:t>
      </w:r>
    </w:p>
  </w:footnote>
  <w:footnote w:id="7">
    <w:p w14:paraId="5172BC54" w14:textId="35071782" w:rsidR="00B36B11" w:rsidRPr="008317B4" w:rsidRDefault="00B36B11" w:rsidP="00F764AB">
      <w:pPr>
        <w:pStyle w:val="FootnoteText"/>
        <w:spacing w:after="0" w:line="240" w:lineRule="auto"/>
        <w:rPr>
          <w:rFonts w:ascii="Times New Roman" w:hAnsi="Times New Roman"/>
        </w:rPr>
      </w:pPr>
      <w:r w:rsidRPr="00C85F4C">
        <w:rPr>
          <w:rStyle w:val="FootnoteReference"/>
          <w:rFonts w:ascii="Times New Roman" w:hAnsi="Times New Roman"/>
        </w:rPr>
        <w:footnoteRef/>
      </w:r>
      <w:r w:rsidRPr="008317B4">
        <w:rPr>
          <w:rFonts w:ascii="Times New Roman" w:hAnsi="Times New Roman"/>
        </w:rPr>
        <w:t xml:space="preserve"> </w:t>
      </w:r>
      <w:r w:rsidR="00BB01BD">
        <w:rPr>
          <w:rFonts w:ascii="Times New Roman" w:hAnsi="Times New Roman"/>
        </w:rPr>
        <w:tab/>
      </w:r>
      <w:r w:rsidR="008317B4" w:rsidRPr="0058428B">
        <w:rPr>
          <w:rFonts w:ascii="Times New Roman" w:hAnsi="Times New Roman"/>
        </w:rPr>
        <w:t xml:space="preserve">Regulation (EU) 2019/943 of the European Parliament and of the Council of 5 June 2019 on the internal market for </w:t>
      </w:r>
      <w:proofErr w:type="gramStart"/>
      <w:r w:rsidR="008317B4" w:rsidRPr="0058428B">
        <w:rPr>
          <w:rFonts w:ascii="Times New Roman" w:hAnsi="Times New Roman"/>
        </w:rPr>
        <w:t>electricity </w:t>
      </w:r>
      <w:r w:rsidR="008317B4" w:rsidRPr="0058428B">
        <w:rPr>
          <w:rFonts w:ascii="Times New Roman" w:hAnsi="Times New Roman"/>
          <w:lang w:val="en-IE"/>
        </w:rPr>
        <w:t xml:space="preserve"> </w:t>
      </w:r>
      <w:r w:rsidR="008317B4" w:rsidRPr="009455ED">
        <w:rPr>
          <w:rFonts w:ascii="Times New Roman" w:hAnsi="Times New Roman"/>
          <w:lang w:val="en-IE"/>
        </w:rPr>
        <w:t>(</w:t>
      </w:r>
      <w:proofErr w:type="gramEnd"/>
      <w:hyperlink r:id="rId2" w:history="1">
        <w:r w:rsidR="008317B4" w:rsidRPr="009455ED">
          <w:rPr>
            <w:rStyle w:val="Hyperlink"/>
            <w:rFonts w:ascii="Times New Roman" w:hAnsi="Times New Roman"/>
          </w:rPr>
          <w:t>http://data.europa.eu/eli/reg/2019/943/oj</w:t>
        </w:r>
      </w:hyperlink>
      <w:r w:rsidR="008317B4" w:rsidRPr="009455ED">
        <w:rPr>
          <w:rFonts w:ascii="Times New Roman" w:hAnsi="Times New Roman"/>
          <w:lang w:val="en-IE"/>
        </w:rPr>
        <w:t>).</w:t>
      </w:r>
    </w:p>
  </w:footnote>
  <w:footnote w:id="8">
    <w:p w14:paraId="09709CD6" w14:textId="58CAAFE2" w:rsidR="00B663A0" w:rsidRPr="008317B4" w:rsidRDefault="00B663A0" w:rsidP="00F764AB">
      <w:pPr>
        <w:pStyle w:val="FootnoteText"/>
        <w:spacing w:after="0" w:line="240" w:lineRule="auto"/>
        <w:rPr>
          <w:rFonts w:ascii="Times New Roman" w:hAnsi="Times New Roman"/>
        </w:rPr>
      </w:pPr>
      <w:r w:rsidRPr="00772B18">
        <w:rPr>
          <w:rStyle w:val="FootnoteReference"/>
          <w:rFonts w:ascii="Times New Roman" w:hAnsi="Times New Roman"/>
        </w:rPr>
        <w:footnoteRef/>
      </w:r>
      <w:r w:rsidRPr="008317B4">
        <w:rPr>
          <w:rFonts w:ascii="Times New Roman" w:hAnsi="Times New Roman"/>
        </w:rPr>
        <w:t xml:space="preserve"> </w:t>
      </w:r>
      <w:r w:rsidR="00BB01BD">
        <w:rPr>
          <w:rFonts w:ascii="Times New Roman" w:hAnsi="Times New Roman"/>
        </w:rPr>
        <w:tab/>
      </w:r>
      <w:r w:rsidR="008317B4" w:rsidRPr="0058428B">
        <w:rPr>
          <w:rFonts w:ascii="Times New Roman" w:hAnsi="Times New Roman"/>
        </w:rPr>
        <w:t>Regulation (EU) 2022/869 of the European Parliament and of the Council of 30 May 2022 on guidelines for trans-European energy infrastructure, amending Regulations (EC) No 715/2009, (EU) 2019/942 and (EU) 2019/943 and Directives 2009/73/EC and (EU) 2019/944, and repealing Regulation (EU) No 347/2013</w:t>
      </w:r>
      <w:r w:rsidR="008317B4" w:rsidRPr="0058428B">
        <w:rPr>
          <w:rFonts w:ascii="Times New Roman" w:hAnsi="Times New Roman"/>
          <w:lang w:val="en-IE"/>
        </w:rPr>
        <w:t xml:space="preserve"> </w:t>
      </w:r>
      <w:r w:rsidR="008317B4" w:rsidRPr="009455ED">
        <w:rPr>
          <w:rFonts w:ascii="Times New Roman" w:hAnsi="Times New Roman"/>
          <w:lang w:val="en-IE"/>
        </w:rPr>
        <w:t>(</w:t>
      </w:r>
      <w:hyperlink r:id="rId3" w:history="1">
        <w:r w:rsidR="008317B4" w:rsidRPr="009455ED">
          <w:rPr>
            <w:rStyle w:val="Hyperlink"/>
            <w:rFonts w:ascii="Times New Roman" w:hAnsi="Times New Roman"/>
          </w:rPr>
          <w:t>http://data.europa.eu/eli/reg/2022/869/oj</w:t>
        </w:r>
      </w:hyperlink>
      <w:r w:rsidR="00BB01BD">
        <w:t>.</w:t>
      </w:r>
    </w:p>
  </w:footnote>
  <w:footnote w:id="9">
    <w:p w14:paraId="7587975F" w14:textId="71FC7E6D" w:rsidR="0006464C" w:rsidRPr="008317B4" w:rsidRDefault="0006464C" w:rsidP="00F764AB">
      <w:pPr>
        <w:pStyle w:val="FootnoteText"/>
        <w:spacing w:after="0" w:line="240" w:lineRule="auto"/>
      </w:pPr>
      <w:r w:rsidRPr="00772B18">
        <w:rPr>
          <w:rStyle w:val="FootnoteReference"/>
          <w:rFonts w:ascii="Times New Roman" w:hAnsi="Times New Roman"/>
        </w:rPr>
        <w:footnoteRef/>
      </w:r>
      <w:r w:rsidRPr="008317B4">
        <w:rPr>
          <w:rFonts w:ascii="Times New Roman" w:hAnsi="Times New Roman"/>
        </w:rPr>
        <w:t xml:space="preserve"> </w:t>
      </w:r>
      <w:r w:rsidR="00F51898">
        <w:rPr>
          <w:rFonts w:ascii="Times New Roman" w:hAnsi="Times New Roman"/>
        </w:rPr>
        <w:tab/>
      </w:r>
      <w:r w:rsidR="008317B4" w:rsidRPr="0058428B">
        <w:rPr>
          <w:rFonts w:ascii="Times New Roman" w:hAnsi="Times New Roman"/>
        </w:rPr>
        <w:t>Directive (EU) 2023/2413 of the European Parliament and of the Council of 18 October 2023 amending Directive (EU) 2018/2001, Regulation (EU) 2018/1999 and Directive 98/70/EC as regards the promotion of energy from renewable sources, and repealing Council Directive (EU) 2015/652</w:t>
      </w:r>
      <w:r w:rsidR="008317B4" w:rsidRPr="0058428B">
        <w:rPr>
          <w:rFonts w:ascii="Times New Roman" w:hAnsi="Times New Roman"/>
          <w:lang w:val="en-IE"/>
        </w:rPr>
        <w:t xml:space="preserve"> </w:t>
      </w:r>
      <w:r w:rsidR="008317B4" w:rsidRPr="00D65132">
        <w:rPr>
          <w:rFonts w:ascii="Times New Roman" w:hAnsi="Times New Roman"/>
          <w:lang w:val="en-IE"/>
        </w:rPr>
        <w:t>(</w:t>
      </w:r>
      <w:hyperlink r:id="rId4" w:history="1">
        <w:r w:rsidR="008317B4" w:rsidRPr="0058428B">
          <w:rPr>
            <w:rStyle w:val="Hyperlink"/>
            <w:rFonts w:ascii="Times New Roman" w:hAnsi="Times New Roman"/>
            <w:lang w:val="en-IE"/>
          </w:rPr>
          <w:t>https://eur-lex.europa.eu/legal-content/EN/TXT/?uri=CELEX%3A32023L2413&amp;qid=1699364355105</w:t>
        </w:r>
      </w:hyperlink>
      <w:r w:rsidR="008317B4" w:rsidRPr="00D65132">
        <w:rPr>
          <w:rFonts w:ascii="Times New Roman" w:hAnsi="Times New Roman"/>
          <w:lang w:val="en-IE"/>
        </w:rPr>
        <w:t>)</w:t>
      </w:r>
      <w:r w:rsidR="008317B4" w:rsidRPr="0058428B">
        <w:rPr>
          <w:rFonts w:ascii="Times New Roman" w:hAnsi="Times New Roman"/>
          <w:lang w:val="en-I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D6206"/>
    <w:multiLevelType w:val="hybridMultilevel"/>
    <w:tmpl w:val="B718A0F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541210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8C06B8"/>
    <w:rsid w:val="0001646D"/>
    <w:rsid w:val="00021089"/>
    <w:rsid w:val="00024505"/>
    <w:rsid w:val="000364EE"/>
    <w:rsid w:val="00041AC4"/>
    <w:rsid w:val="0006464C"/>
    <w:rsid w:val="000674D2"/>
    <w:rsid w:val="00072D8A"/>
    <w:rsid w:val="00073249"/>
    <w:rsid w:val="00075CA7"/>
    <w:rsid w:val="00084EBC"/>
    <w:rsid w:val="00090B2E"/>
    <w:rsid w:val="00093D0D"/>
    <w:rsid w:val="00094FCB"/>
    <w:rsid w:val="000A2236"/>
    <w:rsid w:val="000A292A"/>
    <w:rsid w:val="000A777B"/>
    <w:rsid w:val="000D0C6E"/>
    <w:rsid w:val="000F6B74"/>
    <w:rsid w:val="00125561"/>
    <w:rsid w:val="00126E45"/>
    <w:rsid w:val="00131D84"/>
    <w:rsid w:val="00135949"/>
    <w:rsid w:val="001447A3"/>
    <w:rsid w:val="0016753D"/>
    <w:rsid w:val="001700EE"/>
    <w:rsid w:val="00190315"/>
    <w:rsid w:val="001961A4"/>
    <w:rsid w:val="001A24F5"/>
    <w:rsid w:val="001B48C8"/>
    <w:rsid w:val="001B7028"/>
    <w:rsid w:val="001B72E2"/>
    <w:rsid w:val="001C7AEA"/>
    <w:rsid w:val="001D4AD6"/>
    <w:rsid w:val="001E430E"/>
    <w:rsid w:val="001EA9B0"/>
    <w:rsid w:val="001F0D52"/>
    <w:rsid w:val="001F674D"/>
    <w:rsid w:val="00204582"/>
    <w:rsid w:val="0020570E"/>
    <w:rsid w:val="002239F2"/>
    <w:rsid w:val="0022724F"/>
    <w:rsid w:val="0024010B"/>
    <w:rsid w:val="002404E2"/>
    <w:rsid w:val="00255BB3"/>
    <w:rsid w:val="0026242C"/>
    <w:rsid w:val="00263F74"/>
    <w:rsid w:val="002708F7"/>
    <w:rsid w:val="00277556"/>
    <w:rsid w:val="0028388E"/>
    <w:rsid w:val="00297AB8"/>
    <w:rsid w:val="002A3EE7"/>
    <w:rsid w:val="002C384F"/>
    <w:rsid w:val="002D4C33"/>
    <w:rsid w:val="002D7790"/>
    <w:rsid w:val="00325753"/>
    <w:rsid w:val="0033109C"/>
    <w:rsid w:val="00331D11"/>
    <w:rsid w:val="00334435"/>
    <w:rsid w:val="00346599"/>
    <w:rsid w:val="00364B5E"/>
    <w:rsid w:val="00365FCC"/>
    <w:rsid w:val="003722E0"/>
    <w:rsid w:val="00374B2A"/>
    <w:rsid w:val="00384701"/>
    <w:rsid w:val="00385BAA"/>
    <w:rsid w:val="003868AC"/>
    <w:rsid w:val="003875C4"/>
    <w:rsid w:val="003955E6"/>
    <w:rsid w:val="00397BED"/>
    <w:rsid w:val="00397D47"/>
    <w:rsid w:val="003A34CC"/>
    <w:rsid w:val="003A6ACF"/>
    <w:rsid w:val="003C4051"/>
    <w:rsid w:val="003D56CF"/>
    <w:rsid w:val="003D6C26"/>
    <w:rsid w:val="003E3CE1"/>
    <w:rsid w:val="003E4E4B"/>
    <w:rsid w:val="00401127"/>
    <w:rsid w:val="00432B18"/>
    <w:rsid w:val="004359F9"/>
    <w:rsid w:val="00441123"/>
    <w:rsid w:val="00445900"/>
    <w:rsid w:val="004554F9"/>
    <w:rsid w:val="00466D4A"/>
    <w:rsid w:val="00467C61"/>
    <w:rsid w:val="00482A3C"/>
    <w:rsid w:val="00494163"/>
    <w:rsid w:val="00495938"/>
    <w:rsid w:val="004A0226"/>
    <w:rsid w:val="004A7DB0"/>
    <w:rsid w:val="004C0753"/>
    <w:rsid w:val="004C0E61"/>
    <w:rsid w:val="004C6497"/>
    <w:rsid w:val="004E0C98"/>
    <w:rsid w:val="00517DE3"/>
    <w:rsid w:val="00526DD1"/>
    <w:rsid w:val="00526F1B"/>
    <w:rsid w:val="005315B9"/>
    <w:rsid w:val="005410DF"/>
    <w:rsid w:val="00546E77"/>
    <w:rsid w:val="00550B9D"/>
    <w:rsid w:val="00551096"/>
    <w:rsid w:val="00562300"/>
    <w:rsid w:val="00564992"/>
    <w:rsid w:val="0056529D"/>
    <w:rsid w:val="00573D6C"/>
    <w:rsid w:val="00591532"/>
    <w:rsid w:val="00596AA6"/>
    <w:rsid w:val="005A0613"/>
    <w:rsid w:val="005A245C"/>
    <w:rsid w:val="005A4328"/>
    <w:rsid w:val="005B3C9D"/>
    <w:rsid w:val="005C7E46"/>
    <w:rsid w:val="005E0931"/>
    <w:rsid w:val="005E2D68"/>
    <w:rsid w:val="005E55E1"/>
    <w:rsid w:val="005F48CD"/>
    <w:rsid w:val="005F5867"/>
    <w:rsid w:val="0060363A"/>
    <w:rsid w:val="00604C5E"/>
    <w:rsid w:val="006235FC"/>
    <w:rsid w:val="00640766"/>
    <w:rsid w:val="00646D36"/>
    <w:rsid w:val="00647459"/>
    <w:rsid w:val="00653138"/>
    <w:rsid w:val="00664A5B"/>
    <w:rsid w:val="00681DB8"/>
    <w:rsid w:val="006861BB"/>
    <w:rsid w:val="006A254D"/>
    <w:rsid w:val="006A54F8"/>
    <w:rsid w:val="006B1217"/>
    <w:rsid w:val="006B507A"/>
    <w:rsid w:val="006C0DEE"/>
    <w:rsid w:val="006C5EE9"/>
    <w:rsid w:val="006D1953"/>
    <w:rsid w:val="006D428F"/>
    <w:rsid w:val="006D48C9"/>
    <w:rsid w:val="006D5472"/>
    <w:rsid w:val="006E3E9F"/>
    <w:rsid w:val="006E63DA"/>
    <w:rsid w:val="006E771B"/>
    <w:rsid w:val="0071683D"/>
    <w:rsid w:val="0074239E"/>
    <w:rsid w:val="007470C1"/>
    <w:rsid w:val="00751623"/>
    <w:rsid w:val="00756183"/>
    <w:rsid w:val="0076201B"/>
    <w:rsid w:val="00772B18"/>
    <w:rsid w:val="00773D1A"/>
    <w:rsid w:val="00776E31"/>
    <w:rsid w:val="007A0B08"/>
    <w:rsid w:val="007B765C"/>
    <w:rsid w:val="007C2685"/>
    <w:rsid w:val="007F79F4"/>
    <w:rsid w:val="008066DD"/>
    <w:rsid w:val="008119CF"/>
    <w:rsid w:val="008317B4"/>
    <w:rsid w:val="00847876"/>
    <w:rsid w:val="00853BE3"/>
    <w:rsid w:val="008579E3"/>
    <w:rsid w:val="00863090"/>
    <w:rsid w:val="008648D6"/>
    <w:rsid w:val="0086693D"/>
    <w:rsid w:val="0089105C"/>
    <w:rsid w:val="008B19FB"/>
    <w:rsid w:val="008B1F4E"/>
    <w:rsid w:val="008C06B8"/>
    <w:rsid w:val="008C6D72"/>
    <w:rsid w:val="008D212E"/>
    <w:rsid w:val="008E162E"/>
    <w:rsid w:val="008F383F"/>
    <w:rsid w:val="0092032E"/>
    <w:rsid w:val="00920C66"/>
    <w:rsid w:val="00924028"/>
    <w:rsid w:val="00930C15"/>
    <w:rsid w:val="00934353"/>
    <w:rsid w:val="0094676C"/>
    <w:rsid w:val="00946CCB"/>
    <w:rsid w:val="00956E2B"/>
    <w:rsid w:val="00964E30"/>
    <w:rsid w:val="009741DF"/>
    <w:rsid w:val="009923D6"/>
    <w:rsid w:val="009948CD"/>
    <w:rsid w:val="009A15EA"/>
    <w:rsid w:val="009A2C4A"/>
    <w:rsid w:val="009B0A7F"/>
    <w:rsid w:val="009B2E28"/>
    <w:rsid w:val="009B42FE"/>
    <w:rsid w:val="009C4164"/>
    <w:rsid w:val="009C573D"/>
    <w:rsid w:val="009D06E3"/>
    <w:rsid w:val="009D08DE"/>
    <w:rsid w:val="009D2AE7"/>
    <w:rsid w:val="009D4A17"/>
    <w:rsid w:val="009D7E48"/>
    <w:rsid w:val="009F6159"/>
    <w:rsid w:val="00A13DBF"/>
    <w:rsid w:val="00A16D1F"/>
    <w:rsid w:val="00A40D1D"/>
    <w:rsid w:val="00A436D5"/>
    <w:rsid w:val="00A45A07"/>
    <w:rsid w:val="00A60EF4"/>
    <w:rsid w:val="00A94DD1"/>
    <w:rsid w:val="00A9791C"/>
    <w:rsid w:val="00AB4F9E"/>
    <w:rsid w:val="00AB5268"/>
    <w:rsid w:val="00AB7304"/>
    <w:rsid w:val="00AD1D5F"/>
    <w:rsid w:val="00AD2937"/>
    <w:rsid w:val="00AD5BA7"/>
    <w:rsid w:val="00AE759C"/>
    <w:rsid w:val="00AE7960"/>
    <w:rsid w:val="00AE7AD7"/>
    <w:rsid w:val="00AF1FEC"/>
    <w:rsid w:val="00AF2E6A"/>
    <w:rsid w:val="00B055B6"/>
    <w:rsid w:val="00B12F43"/>
    <w:rsid w:val="00B1579C"/>
    <w:rsid w:val="00B2036D"/>
    <w:rsid w:val="00B25125"/>
    <w:rsid w:val="00B347E1"/>
    <w:rsid w:val="00B36B11"/>
    <w:rsid w:val="00B43768"/>
    <w:rsid w:val="00B54A70"/>
    <w:rsid w:val="00B63EA9"/>
    <w:rsid w:val="00B663A0"/>
    <w:rsid w:val="00B6793F"/>
    <w:rsid w:val="00B73FFE"/>
    <w:rsid w:val="00B764EB"/>
    <w:rsid w:val="00B819F5"/>
    <w:rsid w:val="00B81E5E"/>
    <w:rsid w:val="00B91650"/>
    <w:rsid w:val="00BB01BD"/>
    <w:rsid w:val="00BB6D90"/>
    <w:rsid w:val="00BC20A9"/>
    <w:rsid w:val="00BC7C08"/>
    <w:rsid w:val="00BD73C9"/>
    <w:rsid w:val="00C03A5D"/>
    <w:rsid w:val="00C11757"/>
    <w:rsid w:val="00C26D58"/>
    <w:rsid w:val="00C26E9A"/>
    <w:rsid w:val="00C604A4"/>
    <w:rsid w:val="00C63E3D"/>
    <w:rsid w:val="00C643C5"/>
    <w:rsid w:val="00C660F7"/>
    <w:rsid w:val="00C66270"/>
    <w:rsid w:val="00C717E1"/>
    <w:rsid w:val="00C75569"/>
    <w:rsid w:val="00C817C5"/>
    <w:rsid w:val="00C85F4C"/>
    <w:rsid w:val="00C91BE3"/>
    <w:rsid w:val="00C92A83"/>
    <w:rsid w:val="00C94888"/>
    <w:rsid w:val="00CA22DE"/>
    <w:rsid w:val="00CA2B5B"/>
    <w:rsid w:val="00CA2D28"/>
    <w:rsid w:val="00CA2E8B"/>
    <w:rsid w:val="00CA635A"/>
    <w:rsid w:val="00CA6FD7"/>
    <w:rsid w:val="00CA7594"/>
    <w:rsid w:val="00CD4102"/>
    <w:rsid w:val="00CE68CF"/>
    <w:rsid w:val="00CF7752"/>
    <w:rsid w:val="00D04884"/>
    <w:rsid w:val="00D100A2"/>
    <w:rsid w:val="00D11D6E"/>
    <w:rsid w:val="00D26E26"/>
    <w:rsid w:val="00D331D4"/>
    <w:rsid w:val="00D34F93"/>
    <w:rsid w:val="00D62F1C"/>
    <w:rsid w:val="00D64694"/>
    <w:rsid w:val="00D67047"/>
    <w:rsid w:val="00D73D31"/>
    <w:rsid w:val="00D74F37"/>
    <w:rsid w:val="00D760E4"/>
    <w:rsid w:val="00D821EC"/>
    <w:rsid w:val="00D8731B"/>
    <w:rsid w:val="00D9553F"/>
    <w:rsid w:val="00DA04F4"/>
    <w:rsid w:val="00DA1EA1"/>
    <w:rsid w:val="00DB7988"/>
    <w:rsid w:val="00DC14CE"/>
    <w:rsid w:val="00DE6DA7"/>
    <w:rsid w:val="00DF520B"/>
    <w:rsid w:val="00E00617"/>
    <w:rsid w:val="00E03FC1"/>
    <w:rsid w:val="00E05271"/>
    <w:rsid w:val="00E072ED"/>
    <w:rsid w:val="00E10C21"/>
    <w:rsid w:val="00E11602"/>
    <w:rsid w:val="00E14782"/>
    <w:rsid w:val="00E210F5"/>
    <w:rsid w:val="00E32CD3"/>
    <w:rsid w:val="00E37F37"/>
    <w:rsid w:val="00E41A72"/>
    <w:rsid w:val="00E43393"/>
    <w:rsid w:val="00E4494E"/>
    <w:rsid w:val="00E4FE3B"/>
    <w:rsid w:val="00E543BF"/>
    <w:rsid w:val="00E65339"/>
    <w:rsid w:val="00E717DE"/>
    <w:rsid w:val="00E83C88"/>
    <w:rsid w:val="00E84715"/>
    <w:rsid w:val="00E93A8B"/>
    <w:rsid w:val="00EA1F2A"/>
    <w:rsid w:val="00EA6834"/>
    <w:rsid w:val="00ED0D74"/>
    <w:rsid w:val="00ED2D4C"/>
    <w:rsid w:val="00EE4D12"/>
    <w:rsid w:val="00EE5D46"/>
    <w:rsid w:val="00EF0421"/>
    <w:rsid w:val="00EF3A83"/>
    <w:rsid w:val="00F000D4"/>
    <w:rsid w:val="00F012A3"/>
    <w:rsid w:val="00F025D0"/>
    <w:rsid w:val="00F10C1C"/>
    <w:rsid w:val="00F16F68"/>
    <w:rsid w:val="00F273B3"/>
    <w:rsid w:val="00F36321"/>
    <w:rsid w:val="00F3642F"/>
    <w:rsid w:val="00F365A7"/>
    <w:rsid w:val="00F36B2C"/>
    <w:rsid w:val="00F36BA9"/>
    <w:rsid w:val="00F37A4E"/>
    <w:rsid w:val="00F447A3"/>
    <w:rsid w:val="00F51898"/>
    <w:rsid w:val="00F56785"/>
    <w:rsid w:val="00F70673"/>
    <w:rsid w:val="00F76075"/>
    <w:rsid w:val="00F764AB"/>
    <w:rsid w:val="00F833B8"/>
    <w:rsid w:val="00F863B8"/>
    <w:rsid w:val="00F870BF"/>
    <w:rsid w:val="00FA095C"/>
    <w:rsid w:val="00FA5C05"/>
    <w:rsid w:val="00FB5069"/>
    <w:rsid w:val="00FD2B88"/>
    <w:rsid w:val="00FD31D3"/>
    <w:rsid w:val="00FD5680"/>
    <w:rsid w:val="00FE62E2"/>
    <w:rsid w:val="00FE7719"/>
    <w:rsid w:val="00FF011E"/>
    <w:rsid w:val="00FF0959"/>
    <w:rsid w:val="01686509"/>
    <w:rsid w:val="0191B013"/>
    <w:rsid w:val="01A91F44"/>
    <w:rsid w:val="01EEACA3"/>
    <w:rsid w:val="022C3EA5"/>
    <w:rsid w:val="02BDECBF"/>
    <w:rsid w:val="034D95F7"/>
    <w:rsid w:val="038A1B7D"/>
    <w:rsid w:val="03D7E44E"/>
    <w:rsid w:val="043A0095"/>
    <w:rsid w:val="04816E9B"/>
    <w:rsid w:val="04A85A87"/>
    <w:rsid w:val="04B428BF"/>
    <w:rsid w:val="04F8D403"/>
    <w:rsid w:val="058A105D"/>
    <w:rsid w:val="05A886ED"/>
    <w:rsid w:val="064ECBDE"/>
    <w:rsid w:val="06F25922"/>
    <w:rsid w:val="0722612D"/>
    <w:rsid w:val="0880A654"/>
    <w:rsid w:val="09358161"/>
    <w:rsid w:val="0953F10C"/>
    <w:rsid w:val="0A03E873"/>
    <w:rsid w:val="0C2DF443"/>
    <w:rsid w:val="0C3B99FF"/>
    <w:rsid w:val="0C408446"/>
    <w:rsid w:val="0C9A8A88"/>
    <w:rsid w:val="0C9F5522"/>
    <w:rsid w:val="0DA86512"/>
    <w:rsid w:val="0FDD864F"/>
    <w:rsid w:val="10C63D33"/>
    <w:rsid w:val="10EFD185"/>
    <w:rsid w:val="1129B352"/>
    <w:rsid w:val="1219C2FA"/>
    <w:rsid w:val="1262AAEC"/>
    <w:rsid w:val="128360CE"/>
    <w:rsid w:val="13049AE1"/>
    <w:rsid w:val="13585950"/>
    <w:rsid w:val="136BCA70"/>
    <w:rsid w:val="14118070"/>
    <w:rsid w:val="149A6C19"/>
    <w:rsid w:val="14B0CE17"/>
    <w:rsid w:val="15993E1E"/>
    <w:rsid w:val="15B50AE9"/>
    <w:rsid w:val="167848EE"/>
    <w:rsid w:val="169E2FB3"/>
    <w:rsid w:val="16DC79A2"/>
    <w:rsid w:val="18B6D9D8"/>
    <w:rsid w:val="18D4AF1A"/>
    <w:rsid w:val="18E20ACF"/>
    <w:rsid w:val="1988D7DD"/>
    <w:rsid w:val="19E99EC7"/>
    <w:rsid w:val="1A36C122"/>
    <w:rsid w:val="1A3C6B5C"/>
    <w:rsid w:val="1A719EC2"/>
    <w:rsid w:val="1AD459FA"/>
    <w:rsid w:val="1AF1C03A"/>
    <w:rsid w:val="1C13E2AA"/>
    <w:rsid w:val="1C9A8B2F"/>
    <w:rsid w:val="1CDD43E0"/>
    <w:rsid w:val="1D38C17F"/>
    <w:rsid w:val="1D3E6490"/>
    <w:rsid w:val="1E0A9D30"/>
    <w:rsid w:val="1E89E44A"/>
    <w:rsid w:val="1EC190A9"/>
    <w:rsid w:val="1EF8CDBD"/>
    <w:rsid w:val="1F6D9B25"/>
    <w:rsid w:val="1FFBE543"/>
    <w:rsid w:val="20404BE7"/>
    <w:rsid w:val="21AF4312"/>
    <w:rsid w:val="22419C38"/>
    <w:rsid w:val="23367DD5"/>
    <w:rsid w:val="23A52EF6"/>
    <w:rsid w:val="23D36BE7"/>
    <w:rsid w:val="23E9C264"/>
    <w:rsid w:val="247A2756"/>
    <w:rsid w:val="24F7BF84"/>
    <w:rsid w:val="26D55464"/>
    <w:rsid w:val="26E232C8"/>
    <w:rsid w:val="278FC724"/>
    <w:rsid w:val="28232CB8"/>
    <w:rsid w:val="28B2AA8E"/>
    <w:rsid w:val="29A0C5C7"/>
    <w:rsid w:val="2A07DBFB"/>
    <w:rsid w:val="2A7192E7"/>
    <w:rsid w:val="2B03028F"/>
    <w:rsid w:val="2B70C6F5"/>
    <w:rsid w:val="2C0A1A77"/>
    <w:rsid w:val="2D3B2322"/>
    <w:rsid w:val="2D85CA77"/>
    <w:rsid w:val="2E496883"/>
    <w:rsid w:val="2EA74EA4"/>
    <w:rsid w:val="2F1F13DD"/>
    <w:rsid w:val="30457E4E"/>
    <w:rsid w:val="30BDF166"/>
    <w:rsid w:val="30E48984"/>
    <w:rsid w:val="3154CFC0"/>
    <w:rsid w:val="31D228F1"/>
    <w:rsid w:val="3220884E"/>
    <w:rsid w:val="32EEC33A"/>
    <w:rsid w:val="32F26794"/>
    <w:rsid w:val="32F5BF2E"/>
    <w:rsid w:val="33B4D1E9"/>
    <w:rsid w:val="3529378C"/>
    <w:rsid w:val="355E8B07"/>
    <w:rsid w:val="358ED7C0"/>
    <w:rsid w:val="3590204A"/>
    <w:rsid w:val="36DD7542"/>
    <w:rsid w:val="36DE9B19"/>
    <w:rsid w:val="374C14A4"/>
    <w:rsid w:val="37B0C8FE"/>
    <w:rsid w:val="380CEF3A"/>
    <w:rsid w:val="3858B7D9"/>
    <w:rsid w:val="38AA7C75"/>
    <w:rsid w:val="3970F5A5"/>
    <w:rsid w:val="39925595"/>
    <w:rsid w:val="39B4A672"/>
    <w:rsid w:val="3A585F06"/>
    <w:rsid w:val="3AB3E5CB"/>
    <w:rsid w:val="3B1771AC"/>
    <w:rsid w:val="3B32F509"/>
    <w:rsid w:val="3B4A68AF"/>
    <w:rsid w:val="3BA5F53C"/>
    <w:rsid w:val="3C51B86B"/>
    <w:rsid w:val="3DD0614E"/>
    <w:rsid w:val="3E2A9CDE"/>
    <w:rsid w:val="3E3FD34F"/>
    <w:rsid w:val="3EA54ABA"/>
    <w:rsid w:val="3FFF1A32"/>
    <w:rsid w:val="4024EBAC"/>
    <w:rsid w:val="40AD9DBA"/>
    <w:rsid w:val="412F4655"/>
    <w:rsid w:val="4186345C"/>
    <w:rsid w:val="41A0928A"/>
    <w:rsid w:val="424E8CEC"/>
    <w:rsid w:val="439C20E6"/>
    <w:rsid w:val="44F49857"/>
    <w:rsid w:val="453AA208"/>
    <w:rsid w:val="458180E1"/>
    <w:rsid w:val="469311ED"/>
    <w:rsid w:val="46BC476B"/>
    <w:rsid w:val="46DED0B0"/>
    <w:rsid w:val="46FC98B1"/>
    <w:rsid w:val="473DD20E"/>
    <w:rsid w:val="47AECA0E"/>
    <w:rsid w:val="47B19EF5"/>
    <w:rsid w:val="47E425AF"/>
    <w:rsid w:val="483571AE"/>
    <w:rsid w:val="498EE443"/>
    <w:rsid w:val="4A0981A7"/>
    <w:rsid w:val="4A4ABA53"/>
    <w:rsid w:val="4AECF245"/>
    <w:rsid w:val="4B049105"/>
    <w:rsid w:val="4BD62483"/>
    <w:rsid w:val="4C3ADF76"/>
    <w:rsid w:val="4C5EC1C3"/>
    <w:rsid w:val="4CA7BB0E"/>
    <w:rsid w:val="4CAAD5A8"/>
    <w:rsid w:val="4CC94827"/>
    <w:rsid w:val="4D0F51EF"/>
    <w:rsid w:val="4D5769A5"/>
    <w:rsid w:val="4E68F685"/>
    <w:rsid w:val="4E8F3B6D"/>
    <w:rsid w:val="4EAA5164"/>
    <w:rsid w:val="4FD4C8B5"/>
    <w:rsid w:val="5043A6C2"/>
    <w:rsid w:val="50596CAE"/>
    <w:rsid w:val="509085B7"/>
    <w:rsid w:val="50C09809"/>
    <w:rsid w:val="513E4001"/>
    <w:rsid w:val="51C6D754"/>
    <w:rsid w:val="51CA3998"/>
    <w:rsid w:val="5221693D"/>
    <w:rsid w:val="5355E140"/>
    <w:rsid w:val="53C26BC3"/>
    <w:rsid w:val="54030EBA"/>
    <w:rsid w:val="541A7E2A"/>
    <w:rsid w:val="5421CAB4"/>
    <w:rsid w:val="544BD783"/>
    <w:rsid w:val="544D34FC"/>
    <w:rsid w:val="552EFF51"/>
    <w:rsid w:val="55B94565"/>
    <w:rsid w:val="565A62AE"/>
    <w:rsid w:val="56BE7BA0"/>
    <w:rsid w:val="56F31122"/>
    <w:rsid w:val="574A766B"/>
    <w:rsid w:val="579FB492"/>
    <w:rsid w:val="57F1E758"/>
    <w:rsid w:val="5806048F"/>
    <w:rsid w:val="5858451A"/>
    <w:rsid w:val="58FD1BD7"/>
    <w:rsid w:val="593CEA71"/>
    <w:rsid w:val="59DD48CD"/>
    <w:rsid w:val="5A31AF18"/>
    <w:rsid w:val="5C56D7AF"/>
    <w:rsid w:val="5C904304"/>
    <w:rsid w:val="5D0E26B4"/>
    <w:rsid w:val="5D231EDE"/>
    <w:rsid w:val="5D2D913A"/>
    <w:rsid w:val="5D6E943B"/>
    <w:rsid w:val="5EAEE404"/>
    <w:rsid w:val="5FEE8585"/>
    <w:rsid w:val="60CFF6FD"/>
    <w:rsid w:val="6113D506"/>
    <w:rsid w:val="6170686C"/>
    <w:rsid w:val="61FCEA17"/>
    <w:rsid w:val="62877D6D"/>
    <w:rsid w:val="636D5221"/>
    <w:rsid w:val="65526667"/>
    <w:rsid w:val="65940EB3"/>
    <w:rsid w:val="65A1AFA3"/>
    <w:rsid w:val="6623769B"/>
    <w:rsid w:val="6716D07D"/>
    <w:rsid w:val="679ACAAF"/>
    <w:rsid w:val="67EEE937"/>
    <w:rsid w:val="68081A92"/>
    <w:rsid w:val="68BD958C"/>
    <w:rsid w:val="69749ED3"/>
    <w:rsid w:val="69EB38BE"/>
    <w:rsid w:val="6AB2756E"/>
    <w:rsid w:val="6ADAE858"/>
    <w:rsid w:val="6AED1165"/>
    <w:rsid w:val="6B1225B3"/>
    <w:rsid w:val="6B124AC1"/>
    <w:rsid w:val="6C0FABB3"/>
    <w:rsid w:val="6DF8425D"/>
    <w:rsid w:val="6E13610F"/>
    <w:rsid w:val="6E33F785"/>
    <w:rsid w:val="6E6F86EF"/>
    <w:rsid w:val="6EB8099F"/>
    <w:rsid w:val="6EE1C64C"/>
    <w:rsid w:val="6F7F0BE8"/>
    <w:rsid w:val="7070EE24"/>
    <w:rsid w:val="707E2C58"/>
    <w:rsid w:val="708356AD"/>
    <w:rsid w:val="7103BC98"/>
    <w:rsid w:val="715A1F2E"/>
    <w:rsid w:val="72BC5AA7"/>
    <w:rsid w:val="73849B2D"/>
    <w:rsid w:val="7396EC23"/>
    <w:rsid w:val="73AFAB40"/>
    <w:rsid w:val="7487C129"/>
    <w:rsid w:val="7498B3F6"/>
    <w:rsid w:val="756D148B"/>
    <w:rsid w:val="75B8026B"/>
    <w:rsid w:val="75FD79AF"/>
    <w:rsid w:val="7699D88F"/>
    <w:rsid w:val="77F9010A"/>
    <w:rsid w:val="7895BD87"/>
    <w:rsid w:val="78D99AB1"/>
    <w:rsid w:val="7910A1DC"/>
    <w:rsid w:val="79A52E3C"/>
    <w:rsid w:val="7A343D85"/>
    <w:rsid w:val="7A777ADB"/>
    <w:rsid w:val="7AA159A6"/>
    <w:rsid w:val="7BA892C7"/>
    <w:rsid w:val="7BB60AC4"/>
    <w:rsid w:val="7BDE79FA"/>
    <w:rsid w:val="7C0553BA"/>
    <w:rsid w:val="7C8A258C"/>
    <w:rsid w:val="7E54D904"/>
    <w:rsid w:val="7F2A5595"/>
    <w:rsid w:val="7FDBB071"/>
    <w:rsid w:val="7FE739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1984"/>
  <w15:chartTrackingRefBased/>
  <w15:docId w15:val="{198F8B81-20E4-4C79-8601-E507FA349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sz w:val="24"/>
        <w:lang w:val="en-GB"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6B8"/>
    <w:pPr>
      <w:spacing w:after="200" w:line="276" w:lineRule="auto"/>
      <w:jc w:val="left"/>
    </w:pPr>
    <w:rPr>
      <w:rFonts w:ascii="Calibri" w:hAnsi="Calibri"/>
      <w:kern w:val="0"/>
      <w:sz w:val="22"/>
      <w:szCs w:val="22"/>
      <w14:ligatures w14:val="none"/>
    </w:rPr>
  </w:style>
  <w:style w:type="paragraph" w:styleId="Heading1">
    <w:name w:val="heading 1"/>
    <w:basedOn w:val="Normal"/>
    <w:next w:val="Normal"/>
    <w:link w:val="Heading1Char"/>
    <w:uiPriority w:val="9"/>
    <w:qFormat/>
    <w:rsid w:val="008C06B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C06B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C06B8"/>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C06B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06B8"/>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8C06B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06B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06B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06B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6B8"/>
    <w:rPr>
      <w:rFonts w:asciiTheme="majorHAnsi" w:eastAsiaTheme="majorEastAsia" w:hAnsiTheme="majorHAnsi" w:cstheme="majorBidi"/>
      <w:color w:val="365F91" w:themeColor="accent1" w:themeShade="BF"/>
      <w:sz w:val="40"/>
      <w:szCs w:val="40"/>
      <w:lang w:eastAsia="en-GB"/>
    </w:rPr>
  </w:style>
  <w:style w:type="character" w:customStyle="1" w:styleId="Heading2Char">
    <w:name w:val="Heading 2 Char"/>
    <w:basedOn w:val="DefaultParagraphFont"/>
    <w:link w:val="Heading2"/>
    <w:uiPriority w:val="9"/>
    <w:semiHidden/>
    <w:rsid w:val="008C06B8"/>
    <w:rPr>
      <w:rFonts w:asciiTheme="majorHAnsi" w:eastAsiaTheme="majorEastAsia" w:hAnsiTheme="majorHAnsi" w:cstheme="majorBidi"/>
      <w:color w:val="365F91" w:themeColor="accent1" w:themeShade="BF"/>
      <w:sz w:val="32"/>
      <w:szCs w:val="32"/>
      <w:lang w:eastAsia="en-GB"/>
    </w:rPr>
  </w:style>
  <w:style w:type="character" w:customStyle="1" w:styleId="Heading3Char">
    <w:name w:val="Heading 3 Char"/>
    <w:basedOn w:val="DefaultParagraphFont"/>
    <w:link w:val="Heading3"/>
    <w:uiPriority w:val="9"/>
    <w:semiHidden/>
    <w:rsid w:val="008C06B8"/>
    <w:rPr>
      <w:rFonts w:asciiTheme="minorHAnsi" w:eastAsiaTheme="majorEastAsia" w:hAnsiTheme="minorHAnsi" w:cstheme="majorBidi"/>
      <w:color w:val="365F91" w:themeColor="accent1" w:themeShade="BF"/>
      <w:sz w:val="28"/>
      <w:szCs w:val="28"/>
      <w:lang w:eastAsia="en-GB"/>
    </w:rPr>
  </w:style>
  <w:style w:type="character" w:customStyle="1" w:styleId="Heading4Char">
    <w:name w:val="Heading 4 Char"/>
    <w:basedOn w:val="DefaultParagraphFont"/>
    <w:link w:val="Heading4"/>
    <w:uiPriority w:val="9"/>
    <w:semiHidden/>
    <w:rsid w:val="008C06B8"/>
    <w:rPr>
      <w:rFonts w:asciiTheme="minorHAnsi" w:eastAsiaTheme="majorEastAsia" w:hAnsiTheme="minorHAnsi" w:cstheme="majorBidi"/>
      <w:i/>
      <w:iCs/>
      <w:color w:val="365F91" w:themeColor="accent1" w:themeShade="BF"/>
      <w:sz w:val="20"/>
      <w:lang w:eastAsia="en-GB"/>
    </w:rPr>
  </w:style>
  <w:style w:type="character" w:customStyle="1" w:styleId="Heading5Char">
    <w:name w:val="Heading 5 Char"/>
    <w:basedOn w:val="DefaultParagraphFont"/>
    <w:link w:val="Heading5"/>
    <w:uiPriority w:val="9"/>
    <w:semiHidden/>
    <w:rsid w:val="008C06B8"/>
    <w:rPr>
      <w:rFonts w:asciiTheme="minorHAnsi" w:eastAsiaTheme="majorEastAsia" w:hAnsiTheme="minorHAnsi" w:cstheme="majorBidi"/>
      <w:color w:val="365F91" w:themeColor="accent1" w:themeShade="BF"/>
      <w:sz w:val="20"/>
      <w:lang w:eastAsia="en-GB"/>
    </w:rPr>
  </w:style>
  <w:style w:type="character" w:customStyle="1" w:styleId="Heading6Char">
    <w:name w:val="Heading 6 Char"/>
    <w:basedOn w:val="DefaultParagraphFont"/>
    <w:link w:val="Heading6"/>
    <w:uiPriority w:val="9"/>
    <w:semiHidden/>
    <w:rsid w:val="008C06B8"/>
    <w:rPr>
      <w:rFonts w:asciiTheme="minorHAnsi" w:eastAsiaTheme="majorEastAsia" w:hAnsiTheme="minorHAnsi" w:cstheme="majorBidi"/>
      <w:i/>
      <w:iCs/>
      <w:color w:val="595959" w:themeColor="text1" w:themeTint="A6"/>
      <w:sz w:val="20"/>
      <w:lang w:eastAsia="en-GB"/>
    </w:rPr>
  </w:style>
  <w:style w:type="character" w:customStyle="1" w:styleId="Heading7Char">
    <w:name w:val="Heading 7 Char"/>
    <w:basedOn w:val="DefaultParagraphFont"/>
    <w:link w:val="Heading7"/>
    <w:uiPriority w:val="9"/>
    <w:semiHidden/>
    <w:rsid w:val="008C06B8"/>
    <w:rPr>
      <w:rFonts w:asciiTheme="minorHAnsi" w:eastAsiaTheme="majorEastAsia" w:hAnsiTheme="minorHAnsi" w:cstheme="majorBidi"/>
      <w:color w:val="595959" w:themeColor="text1" w:themeTint="A6"/>
      <w:sz w:val="20"/>
      <w:lang w:eastAsia="en-GB"/>
    </w:rPr>
  </w:style>
  <w:style w:type="character" w:customStyle="1" w:styleId="Heading8Char">
    <w:name w:val="Heading 8 Char"/>
    <w:basedOn w:val="DefaultParagraphFont"/>
    <w:link w:val="Heading8"/>
    <w:uiPriority w:val="9"/>
    <w:semiHidden/>
    <w:rsid w:val="008C06B8"/>
    <w:rPr>
      <w:rFonts w:asciiTheme="minorHAnsi" w:eastAsiaTheme="majorEastAsia" w:hAnsiTheme="minorHAnsi" w:cstheme="majorBidi"/>
      <w:i/>
      <w:iCs/>
      <w:color w:val="272727" w:themeColor="text1" w:themeTint="D8"/>
      <w:sz w:val="20"/>
      <w:lang w:eastAsia="en-GB"/>
    </w:rPr>
  </w:style>
  <w:style w:type="character" w:customStyle="1" w:styleId="Heading9Char">
    <w:name w:val="Heading 9 Char"/>
    <w:basedOn w:val="DefaultParagraphFont"/>
    <w:link w:val="Heading9"/>
    <w:uiPriority w:val="9"/>
    <w:semiHidden/>
    <w:rsid w:val="008C06B8"/>
    <w:rPr>
      <w:rFonts w:asciiTheme="minorHAnsi" w:eastAsiaTheme="majorEastAsia" w:hAnsiTheme="minorHAnsi" w:cstheme="majorBidi"/>
      <w:color w:val="272727" w:themeColor="text1" w:themeTint="D8"/>
      <w:sz w:val="20"/>
      <w:lang w:eastAsia="en-GB"/>
    </w:rPr>
  </w:style>
  <w:style w:type="paragraph" w:styleId="Title">
    <w:name w:val="Title"/>
    <w:basedOn w:val="Normal"/>
    <w:next w:val="Normal"/>
    <w:link w:val="TitleChar"/>
    <w:uiPriority w:val="10"/>
    <w:qFormat/>
    <w:rsid w:val="008C06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6B8"/>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8C06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6B8"/>
    <w:rPr>
      <w:rFonts w:asciiTheme="minorHAnsi" w:eastAsiaTheme="majorEastAsia" w:hAnsiTheme="minorHAnsi"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8C06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06B8"/>
    <w:rPr>
      <w:i/>
      <w:iCs/>
      <w:color w:val="404040" w:themeColor="text1" w:themeTint="BF"/>
      <w:sz w:val="20"/>
      <w:lang w:eastAsia="en-GB"/>
    </w:rPr>
  </w:style>
  <w:style w:type="paragraph" w:styleId="ListParagraph">
    <w:name w:val="List Paragraph"/>
    <w:basedOn w:val="Normal"/>
    <w:uiPriority w:val="34"/>
    <w:qFormat/>
    <w:rsid w:val="008C06B8"/>
    <w:pPr>
      <w:ind w:left="720"/>
      <w:contextualSpacing/>
    </w:pPr>
  </w:style>
  <w:style w:type="character" w:styleId="IntenseEmphasis">
    <w:name w:val="Intense Emphasis"/>
    <w:basedOn w:val="DefaultParagraphFont"/>
    <w:uiPriority w:val="21"/>
    <w:qFormat/>
    <w:rsid w:val="008C06B8"/>
    <w:rPr>
      <w:i/>
      <w:iCs/>
      <w:color w:val="365F91" w:themeColor="accent1" w:themeShade="BF"/>
    </w:rPr>
  </w:style>
  <w:style w:type="paragraph" w:styleId="IntenseQuote">
    <w:name w:val="Intense Quote"/>
    <w:basedOn w:val="Normal"/>
    <w:next w:val="Normal"/>
    <w:link w:val="IntenseQuoteChar"/>
    <w:uiPriority w:val="30"/>
    <w:qFormat/>
    <w:rsid w:val="008C06B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C06B8"/>
    <w:rPr>
      <w:i/>
      <w:iCs/>
      <w:color w:val="365F91" w:themeColor="accent1" w:themeShade="BF"/>
      <w:sz w:val="20"/>
      <w:lang w:eastAsia="en-GB"/>
    </w:rPr>
  </w:style>
  <w:style w:type="character" w:styleId="IntenseReference">
    <w:name w:val="Intense Reference"/>
    <w:basedOn w:val="DefaultParagraphFont"/>
    <w:uiPriority w:val="32"/>
    <w:qFormat/>
    <w:rsid w:val="008C06B8"/>
    <w:rPr>
      <w:b/>
      <w:bCs/>
      <w:smallCaps/>
      <w:color w:val="365F91" w:themeColor="accent1" w:themeShade="BF"/>
      <w:spacing w:val="5"/>
    </w:rPr>
  </w:style>
  <w:style w:type="character" w:styleId="Hyperlink">
    <w:name w:val="Hyperlink"/>
    <w:uiPriority w:val="99"/>
    <w:unhideWhenUsed/>
    <w:rsid w:val="008C06B8"/>
    <w:rPr>
      <w:color w:val="0563C1"/>
      <w:u w:val="single"/>
    </w:rPr>
  </w:style>
  <w:style w:type="paragraph" w:styleId="FootnoteText">
    <w:name w:val="footnote text"/>
    <w:basedOn w:val="Normal"/>
    <w:link w:val="FootnoteTextChar"/>
    <w:uiPriority w:val="99"/>
    <w:semiHidden/>
    <w:unhideWhenUsed/>
    <w:rsid w:val="008C06B8"/>
    <w:rPr>
      <w:sz w:val="20"/>
      <w:szCs w:val="20"/>
    </w:rPr>
  </w:style>
  <w:style w:type="character" w:customStyle="1" w:styleId="FootnoteTextChar">
    <w:name w:val="Footnote Text Char"/>
    <w:basedOn w:val="DefaultParagraphFont"/>
    <w:link w:val="FootnoteText"/>
    <w:uiPriority w:val="99"/>
    <w:semiHidden/>
    <w:rsid w:val="008C06B8"/>
    <w:rPr>
      <w:rFonts w:ascii="Calibri" w:hAnsi="Calibri"/>
      <w:kern w:val="0"/>
      <w:sz w:val="20"/>
      <w14:ligatures w14:val="none"/>
    </w:rPr>
  </w:style>
  <w:style w:type="character" w:styleId="FootnoteReference">
    <w:name w:val="footnote reference"/>
    <w:uiPriority w:val="99"/>
    <w:semiHidden/>
    <w:unhideWhenUsed/>
    <w:rsid w:val="008C06B8"/>
    <w:rPr>
      <w:vertAlign w:val="superscript"/>
    </w:rPr>
  </w:style>
  <w:style w:type="paragraph" w:customStyle="1" w:styleId="ListHeader">
    <w:name w:val="List Header"/>
    <w:uiPriority w:val="99"/>
    <w:rsid w:val="008C06B8"/>
    <w:pPr>
      <w:widowControl w:val="0"/>
      <w:autoSpaceDE w:val="0"/>
      <w:autoSpaceDN w:val="0"/>
      <w:adjustRightInd w:val="0"/>
      <w:jc w:val="left"/>
    </w:pPr>
    <w:rPr>
      <w:rFonts w:ascii="Arial" w:eastAsia="Times New Roman" w:hAnsi="Arial" w:cs="Arial"/>
      <w:b/>
      <w:bCs/>
      <w:color w:val="000000"/>
      <w:kern w:val="0"/>
      <w:sz w:val="18"/>
      <w:szCs w:val="18"/>
      <w:lang w:val="fr-BE" w:eastAsia="fr-BE"/>
      <w14:ligatures w14:val="none"/>
    </w:rPr>
  </w:style>
  <w:style w:type="character" w:styleId="CommentReference">
    <w:name w:val="annotation reference"/>
    <w:basedOn w:val="DefaultParagraphFont"/>
    <w:uiPriority w:val="99"/>
    <w:semiHidden/>
    <w:unhideWhenUsed/>
    <w:rsid w:val="00F36321"/>
    <w:rPr>
      <w:sz w:val="16"/>
      <w:szCs w:val="16"/>
    </w:rPr>
  </w:style>
  <w:style w:type="paragraph" w:styleId="CommentText">
    <w:name w:val="annotation text"/>
    <w:basedOn w:val="Normal"/>
    <w:link w:val="CommentTextChar"/>
    <w:uiPriority w:val="99"/>
    <w:unhideWhenUsed/>
    <w:rsid w:val="00F36321"/>
    <w:pPr>
      <w:spacing w:line="240" w:lineRule="auto"/>
    </w:pPr>
    <w:rPr>
      <w:sz w:val="20"/>
      <w:szCs w:val="20"/>
    </w:rPr>
  </w:style>
  <w:style w:type="character" w:customStyle="1" w:styleId="CommentTextChar">
    <w:name w:val="Comment Text Char"/>
    <w:basedOn w:val="DefaultParagraphFont"/>
    <w:link w:val="CommentText"/>
    <w:uiPriority w:val="99"/>
    <w:rsid w:val="00F36321"/>
    <w:rPr>
      <w:rFonts w:ascii="Calibri" w:hAnsi="Calibri"/>
      <w:kern w:val="0"/>
      <w:sz w:val="20"/>
      <w14:ligatures w14:val="none"/>
    </w:rPr>
  </w:style>
  <w:style w:type="paragraph" w:styleId="CommentSubject">
    <w:name w:val="annotation subject"/>
    <w:basedOn w:val="CommentText"/>
    <w:next w:val="CommentText"/>
    <w:link w:val="CommentSubjectChar"/>
    <w:uiPriority w:val="99"/>
    <w:semiHidden/>
    <w:unhideWhenUsed/>
    <w:rsid w:val="00F36321"/>
    <w:rPr>
      <w:b/>
      <w:bCs/>
    </w:rPr>
  </w:style>
  <w:style w:type="character" w:customStyle="1" w:styleId="CommentSubjectChar">
    <w:name w:val="Comment Subject Char"/>
    <w:basedOn w:val="CommentTextChar"/>
    <w:link w:val="CommentSubject"/>
    <w:uiPriority w:val="99"/>
    <w:semiHidden/>
    <w:rsid w:val="00F36321"/>
    <w:rPr>
      <w:rFonts w:ascii="Calibri" w:hAnsi="Calibri"/>
      <w:b/>
      <w:bCs/>
      <w:kern w:val="0"/>
      <w:sz w:val="20"/>
      <w14:ligatures w14:val="none"/>
    </w:rPr>
  </w:style>
  <w:style w:type="character" w:styleId="Mention">
    <w:name w:val="Mention"/>
    <w:basedOn w:val="DefaultParagraphFont"/>
    <w:uiPriority w:val="99"/>
    <w:unhideWhenUsed/>
    <w:rsid w:val="00B25125"/>
    <w:rPr>
      <w:color w:val="2B579A"/>
      <w:shd w:val="clear" w:color="auto" w:fill="E1DFDD"/>
    </w:rPr>
  </w:style>
  <w:style w:type="paragraph" w:styleId="Revision">
    <w:name w:val="Revision"/>
    <w:hidden/>
    <w:uiPriority w:val="99"/>
    <w:semiHidden/>
    <w:rsid w:val="00F36BA9"/>
    <w:pPr>
      <w:jc w:val="left"/>
    </w:pPr>
    <w:rPr>
      <w:rFonts w:ascii="Calibri" w:hAnsi="Calibri"/>
      <w:kern w:val="0"/>
      <w:sz w:val="22"/>
      <w:szCs w:val="22"/>
      <w14:ligatures w14:val="none"/>
    </w:rPr>
  </w:style>
  <w:style w:type="paragraph" w:styleId="Header">
    <w:name w:val="header"/>
    <w:basedOn w:val="Normal"/>
    <w:link w:val="HeaderChar"/>
    <w:uiPriority w:val="99"/>
    <w:semiHidden/>
    <w:unhideWhenUsed/>
    <w:rsid w:val="00D34F9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4F93"/>
    <w:rPr>
      <w:rFonts w:ascii="Calibri" w:hAnsi="Calibri"/>
      <w:kern w:val="0"/>
      <w:sz w:val="22"/>
      <w:szCs w:val="22"/>
      <w14:ligatures w14:val="none"/>
    </w:rPr>
  </w:style>
  <w:style w:type="paragraph" w:styleId="Footer">
    <w:name w:val="footer"/>
    <w:basedOn w:val="Normal"/>
    <w:link w:val="FooterChar"/>
    <w:uiPriority w:val="99"/>
    <w:semiHidden/>
    <w:unhideWhenUsed/>
    <w:rsid w:val="00D34F9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4F93"/>
    <w:rPr>
      <w:rFonts w:ascii="Calibri" w:hAnsi="Calibri"/>
      <w:kern w:val="0"/>
      <w:sz w:val="22"/>
      <w:szCs w:val="22"/>
      <w14:ligatures w14:val="none"/>
    </w:rPr>
  </w:style>
  <w:style w:type="character" w:styleId="UnresolvedMention">
    <w:name w:val="Unresolved Mention"/>
    <w:basedOn w:val="DefaultParagraphFont"/>
    <w:uiPriority w:val="99"/>
    <w:semiHidden/>
    <w:unhideWhenUsed/>
    <w:rsid w:val="00C03A5D"/>
    <w:rPr>
      <w:color w:val="605E5C"/>
      <w:shd w:val="clear" w:color="auto" w:fill="E1DFDD"/>
    </w:rPr>
  </w:style>
  <w:style w:type="character" w:styleId="FollowedHyperlink">
    <w:name w:val="FollowedHyperlink"/>
    <w:basedOn w:val="DefaultParagraphFont"/>
    <w:uiPriority w:val="99"/>
    <w:semiHidden/>
    <w:unhideWhenUsed/>
    <w:rsid w:val="00084E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733536">
      <w:bodyDiv w:val="1"/>
      <w:marLeft w:val="0"/>
      <w:marRight w:val="0"/>
      <w:marTop w:val="0"/>
      <w:marBottom w:val="0"/>
      <w:divBdr>
        <w:top w:val="none" w:sz="0" w:space="0" w:color="auto"/>
        <w:left w:val="none" w:sz="0" w:space="0" w:color="auto"/>
        <w:bottom w:val="none" w:sz="0" w:space="0" w:color="auto"/>
        <w:right w:val="none" w:sz="0" w:space="0" w:color="auto"/>
      </w:divBdr>
    </w:div>
    <w:div w:id="936329501">
      <w:bodyDiv w:val="1"/>
      <w:marLeft w:val="0"/>
      <w:marRight w:val="0"/>
      <w:marTop w:val="0"/>
      <w:marBottom w:val="0"/>
      <w:divBdr>
        <w:top w:val="none" w:sz="0" w:space="0" w:color="auto"/>
        <w:left w:val="none" w:sz="0" w:space="0" w:color="auto"/>
        <w:bottom w:val="none" w:sz="0" w:space="0" w:color="auto"/>
        <w:right w:val="none" w:sz="0" w:space="0" w:color="auto"/>
      </w:divBdr>
    </w:div>
    <w:div w:id="952588835">
      <w:bodyDiv w:val="1"/>
      <w:marLeft w:val="0"/>
      <w:marRight w:val="0"/>
      <w:marTop w:val="0"/>
      <w:marBottom w:val="0"/>
      <w:divBdr>
        <w:top w:val="none" w:sz="0" w:space="0" w:color="auto"/>
        <w:left w:val="none" w:sz="0" w:space="0" w:color="auto"/>
        <w:bottom w:val="none" w:sz="0" w:space="0" w:color="auto"/>
        <w:right w:val="none" w:sz="0" w:space="0" w:color="auto"/>
      </w:divBdr>
    </w:div>
    <w:div w:id="1056780317">
      <w:bodyDiv w:val="1"/>
      <w:marLeft w:val="0"/>
      <w:marRight w:val="0"/>
      <w:marTop w:val="0"/>
      <w:marBottom w:val="0"/>
      <w:divBdr>
        <w:top w:val="none" w:sz="0" w:space="0" w:color="auto"/>
        <w:left w:val="none" w:sz="0" w:space="0" w:color="auto"/>
        <w:bottom w:val="none" w:sz="0" w:space="0" w:color="auto"/>
        <w:right w:val="none" w:sz="0" w:space="0" w:color="auto"/>
      </w:divBdr>
    </w:div>
    <w:div w:id="207566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2/869/oj" TargetMode="External"/><Relationship Id="rId2" Type="http://schemas.openxmlformats.org/officeDocument/2006/relationships/hyperlink" Target="http://data.europa.eu/eli/reg/2019/943/oj" TargetMode="External"/><Relationship Id="rId1" Type="http://schemas.openxmlformats.org/officeDocument/2006/relationships/hyperlink" Target="https://eur-lex.europa.eu/legal-content/EN/TXT/?uri=CELEX%3A52025DC0030" TargetMode="External"/><Relationship Id="rId4" Type="http://schemas.openxmlformats.org/officeDocument/2006/relationships/hyperlink" Target="https://eur-lex.europa.eu/legal-content/EN/TXT/?uri=CELEX%3A32023L2413&amp;qid=1699364355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96901220668F4BB3A67BE672005023" ma:contentTypeVersion="16" ma:contentTypeDescription="Create a new document." ma:contentTypeScope="" ma:versionID="a0e786de723136da0f1aa6abb86166cf">
  <xsd:schema xmlns:xsd="http://www.w3.org/2001/XMLSchema" xmlns:xs="http://www.w3.org/2001/XMLSchema" xmlns:p="http://schemas.microsoft.com/office/2006/metadata/properties" xmlns:ns2="6f3ca250-38ff-4ce0-a943-575e2b64cba9" xmlns:ns3="e1a78ac4-7176-4dde-ad25-36245d50a152" targetNamespace="http://schemas.microsoft.com/office/2006/metadata/properties" ma:root="true" ma:fieldsID="8e93051d2f7ab795917167f9e38ca9c2" ns2:_="" ns3:_="">
    <xsd:import namespace="6f3ca250-38ff-4ce0-a943-575e2b64cba9"/>
    <xsd:import namespace="e1a78ac4-7176-4dde-ad25-36245d50a1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2:comment" minOccurs="0"/>
                <xsd:element ref="ns2:Topi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ca250-38ff-4ce0-a943-575e2b64c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comment" ma:index="22" nillable="true" ma:displayName="comment" ma:format="Dropdown" ma:internalName="comment">
      <xsd:simpleType>
        <xsd:restriction base="dms:Text">
          <xsd:maxLength value="255"/>
        </xsd:restriction>
      </xsd:simpleType>
    </xsd:element>
    <xsd:element name="Topics" ma:index="23" nillable="true" ma:displayName="Topics" ma:format="Dropdown" ma:internalName="Topic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a78ac4-7176-4dde-ad25-36245d50a15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acdbe16-ee85-4ce4-942c-24a2e27804b5}" ma:internalName="TaxCatchAll" ma:showField="CatchAllData" ma:web="e1a78ac4-7176-4dde-ad25-36245d50a15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3ca250-38ff-4ce0-a943-575e2b64cba9">
      <Terms xmlns="http://schemas.microsoft.com/office/infopath/2007/PartnerControls"/>
    </lcf76f155ced4ddcb4097134ff3c332f>
    <comment xmlns="6f3ca250-38ff-4ce0-a943-575e2b64cba9" xsi:nil="true"/>
    <TaxCatchAll xmlns="e1a78ac4-7176-4dde-ad25-36245d50a152" xsi:nil="true"/>
    <Topics xmlns="6f3ca250-38ff-4ce0-a943-575e2b64cba9" xsi:nil="true"/>
  </documentManagement>
</p:properties>
</file>

<file path=customXml/itemProps1.xml><?xml version="1.0" encoding="utf-8"?>
<ds:datastoreItem xmlns:ds="http://schemas.openxmlformats.org/officeDocument/2006/customXml" ds:itemID="{BC99E4F5-018F-4619-83E7-D611CD55ACAD}">
  <ds:schemaRefs>
    <ds:schemaRef ds:uri="http://schemas.microsoft.com/sharepoint/v3/contenttype/forms"/>
  </ds:schemaRefs>
</ds:datastoreItem>
</file>

<file path=customXml/itemProps2.xml><?xml version="1.0" encoding="utf-8"?>
<ds:datastoreItem xmlns:ds="http://schemas.openxmlformats.org/officeDocument/2006/customXml" ds:itemID="{165B0E81-7761-437A-BB1D-15482C324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ca250-38ff-4ce0-a943-575e2b64cba9"/>
    <ds:schemaRef ds:uri="e1a78ac4-7176-4dde-ad25-36245d50a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B9924-E580-4A74-8230-BD0EF79C8590}">
  <ds:schemaRefs>
    <ds:schemaRef ds:uri="http://schemas.openxmlformats.org/officeDocument/2006/bibliography"/>
  </ds:schemaRefs>
</ds:datastoreItem>
</file>

<file path=customXml/itemProps4.xml><?xml version="1.0" encoding="utf-8"?>
<ds:datastoreItem xmlns:ds="http://schemas.openxmlformats.org/officeDocument/2006/customXml" ds:itemID="{8E561E6E-5845-4B3D-BEEB-EDC00C93D82A}">
  <ds:schemaRefs>
    <ds:schemaRef ds:uri="http://schemas.microsoft.com/office/2006/metadata/properties"/>
    <ds:schemaRef ds:uri="http://schemas.microsoft.com/office/infopath/2007/PartnerControls"/>
    <ds:schemaRef ds:uri="6f3ca250-38ff-4ce0-a943-575e2b64cba9"/>
    <ds:schemaRef ds:uri="e1a78ac4-7176-4dde-ad25-36245d50a15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2010</Words>
  <Characters>12545</Characters>
  <Application>Microsoft Office Word</Application>
  <DocSecurity>0</DocSecurity>
  <Lines>169</Lines>
  <Paragraphs>19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LIUTVINSKAITE Dovile (ENER)</dc:creator>
  <cp:keywords/>
  <dc:description/>
  <cp:lastModifiedBy>ROSSI Simona (SG)</cp:lastModifiedBy>
  <cp:revision>2</cp:revision>
  <dcterms:created xsi:type="dcterms:W3CDTF">2026-09-01T09:31:00Z</dcterms:created>
  <dcterms:modified xsi:type="dcterms:W3CDTF">2026-09-01T09:31:00Z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2026-04-13T08:31:13Z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f6629fc6-35fe-4b6a-a140-8d69e951cbc9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0x010100F696901220668F4BB3A67BE672005023</vt:lpwstr>
  </property>
  <property fmtid="{D5CDD505-2E9C-101B-9397-08002B2CF9AE}" pid="11" name="MediaServiceImageTags">
    <vt:lpwstr/>
  </property>
</Properties>
</file>