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45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0170"/>
      </w:tblGrid>
      <w:tr w:rsidR="00F41CC6" w:rsidRPr="00591417" w14:paraId="34222E23" w14:textId="77777777" w:rsidTr="00F9322C">
        <w:tc>
          <w:tcPr>
            <w:tcW w:w="10170" w:type="dxa"/>
          </w:tcPr>
          <w:p w14:paraId="01A50E4C" w14:textId="65786E88" w:rsidR="00F41CC6" w:rsidRPr="00384AB4" w:rsidRDefault="00F41CC6" w:rsidP="00246C02">
            <w:pPr>
              <w:spacing w:before="120" w:after="120"/>
              <w:rPr>
                <w:rFonts w:ascii="Times New Roman" w:hAnsi="Times New Roman"/>
                <w:b/>
                <w:sz w:val="24"/>
                <w:szCs w:val="24"/>
              </w:rPr>
            </w:pPr>
            <w:r w:rsidRPr="00F9322C">
              <w:rPr>
                <w:rFonts w:ascii="Times New Roman" w:hAnsi="Times New Roman"/>
                <w:b/>
                <w:bCs/>
                <w:sz w:val="24"/>
                <w:szCs w:val="24"/>
              </w:rPr>
              <w:t>Towards a clear EU framework for the posting of third-</w:t>
            </w:r>
            <w:r w:rsidRPr="00246C02">
              <w:rPr>
                <w:rFonts w:ascii="Times New Roman" w:hAnsi="Times New Roman"/>
                <w:b/>
                <w:sz w:val="24"/>
                <w:szCs w:val="24"/>
              </w:rPr>
              <w:t>country nationals (TCNs): ensuring genuine posting, legal certainty and fair competition</w:t>
            </w:r>
            <w:r w:rsidR="00246C02" w:rsidRPr="00384AB4">
              <w:rPr>
                <w:rFonts w:ascii="Times New Roman" w:hAnsi="Times New Roman"/>
                <w:b/>
                <w:sz w:val="24"/>
                <w:szCs w:val="24"/>
              </w:rPr>
              <w:br/>
            </w:r>
            <w:r w:rsidRPr="00246C02">
              <w:rPr>
                <w:rFonts w:ascii="Times New Roman" w:hAnsi="Times New Roman"/>
                <w:b/>
                <w:sz w:val="24"/>
                <w:szCs w:val="24"/>
              </w:rPr>
              <w:t>(own-initiative opinion)</w:t>
            </w:r>
            <w:r w:rsidR="00246C02" w:rsidRPr="00384AB4">
              <w:rPr>
                <w:rFonts w:ascii="Times New Roman" w:hAnsi="Times New Roman"/>
                <w:b/>
                <w:sz w:val="24"/>
                <w:szCs w:val="24"/>
              </w:rPr>
              <w:br/>
            </w:r>
            <w:r w:rsidRPr="00F9322C">
              <w:rPr>
                <w:rFonts w:ascii="Times New Roman" w:hAnsi="Times New Roman"/>
                <w:b/>
                <w:sz w:val="24"/>
                <w:szCs w:val="24"/>
              </w:rPr>
              <w:t>EESC-2026</w:t>
            </w:r>
            <w:r w:rsidR="00246C02" w:rsidRPr="00384AB4">
              <w:rPr>
                <w:rFonts w:ascii="Times New Roman" w:hAnsi="Times New Roman"/>
                <w:b/>
                <w:sz w:val="24"/>
                <w:szCs w:val="24"/>
              </w:rPr>
              <w:t>--00659</w:t>
            </w:r>
            <w:r w:rsidRPr="00F9322C">
              <w:rPr>
                <w:rFonts w:ascii="Times New Roman" w:hAnsi="Times New Roman"/>
                <w:b/>
                <w:sz w:val="24"/>
                <w:szCs w:val="24"/>
              </w:rPr>
              <w:t xml:space="preserve"> ‒ SOC/861</w:t>
            </w:r>
            <w:r w:rsidRPr="00F9322C">
              <w:rPr>
                <w:rFonts w:ascii="Times New Roman" w:hAnsi="Times New Roman"/>
                <w:b/>
                <w:sz w:val="24"/>
                <w:szCs w:val="24"/>
              </w:rPr>
              <w:br/>
              <w:t>607</w:t>
            </w:r>
            <w:r w:rsidRPr="00384AB4">
              <w:rPr>
                <w:rFonts w:ascii="Times New Roman" w:hAnsi="Times New Roman"/>
                <w:b/>
                <w:sz w:val="24"/>
                <w:szCs w:val="24"/>
                <w:vertAlign w:val="superscript"/>
              </w:rPr>
              <w:t>th</w:t>
            </w:r>
            <w:r w:rsidRPr="00F9322C">
              <w:rPr>
                <w:rFonts w:ascii="Times New Roman" w:hAnsi="Times New Roman"/>
                <w:b/>
                <w:sz w:val="24"/>
                <w:szCs w:val="24"/>
              </w:rPr>
              <w:t xml:space="preserve"> Plenary Session – July 2026</w:t>
            </w:r>
            <w:r w:rsidRPr="00F9322C">
              <w:rPr>
                <w:rFonts w:ascii="Times New Roman" w:hAnsi="Times New Roman"/>
                <w:b/>
                <w:sz w:val="24"/>
                <w:szCs w:val="24"/>
              </w:rPr>
              <w:br/>
              <w:t xml:space="preserve">Rapporteur: David </w:t>
            </w:r>
            <w:r w:rsidR="00246C02" w:rsidRPr="00F9322C">
              <w:rPr>
                <w:rFonts w:ascii="Times New Roman" w:hAnsi="Times New Roman"/>
                <w:b/>
                <w:sz w:val="24"/>
                <w:szCs w:val="24"/>
              </w:rPr>
              <w:t>HAFNER</w:t>
            </w:r>
            <w:r w:rsidRPr="00F9322C">
              <w:rPr>
                <w:rFonts w:ascii="Times New Roman" w:hAnsi="Times New Roman"/>
                <w:b/>
                <w:sz w:val="24"/>
                <w:szCs w:val="24"/>
              </w:rPr>
              <w:t xml:space="preserve"> (AT</w:t>
            </w:r>
            <w:r w:rsidR="00246C02" w:rsidRPr="00384AB4">
              <w:rPr>
                <w:rFonts w:ascii="Times New Roman" w:hAnsi="Times New Roman"/>
                <w:b/>
                <w:sz w:val="24"/>
                <w:szCs w:val="24"/>
              </w:rPr>
              <w:t xml:space="preserve"> – group: Workers)</w:t>
            </w:r>
            <w:r w:rsidRPr="00F9322C">
              <w:rPr>
                <w:rFonts w:ascii="Times New Roman" w:hAnsi="Times New Roman"/>
                <w:b/>
                <w:sz w:val="24"/>
                <w:szCs w:val="24"/>
              </w:rPr>
              <w:br/>
              <w:t>DG EMPL – Executive Vice-President MÎNZATU</w:t>
            </w:r>
          </w:p>
        </w:tc>
      </w:tr>
      <w:tr w:rsidR="00734613" w:rsidRPr="00591417" w14:paraId="1937071F" w14:textId="77777777" w:rsidTr="00F9322C">
        <w:tc>
          <w:tcPr>
            <w:tcW w:w="10170" w:type="dxa"/>
          </w:tcPr>
          <w:p w14:paraId="1E50B4DB" w14:textId="3BE59EDD" w:rsidR="00734613" w:rsidRPr="00591417" w:rsidRDefault="004F6117" w:rsidP="00F9322C">
            <w:pPr>
              <w:spacing w:before="120" w:after="120"/>
              <w:jc w:val="center"/>
              <w:rPr>
                <w:rFonts w:ascii="Times New Roman" w:hAnsi="Times New Roman"/>
                <w:b/>
                <w:sz w:val="24"/>
                <w:szCs w:val="24"/>
              </w:rPr>
            </w:pPr>
            <w:r w:rsidRPr="00591417">
              <w:rPr>
                <w:rFonts w:ascii="Times New Roman" w:hAnsi="Times New Roman"/>
                <w:b/>
                <w:sz w:val="24"/>
                <w:szCs w:val="24"/>
              </w:rPr>
              <w:t>European Commission position on points</w:t>
            </w:r>
            <w:r w:rsidRPr="00591417">
              <w:rPr>
                <w:rFonts w:ascii="Times New Roman" w:hAnsi="Times New Roman"/>
                <w:b/>
                <w:sz w:val="24"/>
                <w:szCs w:val="24"/>
              </w:rPr>
              <w:br/>
              <w:t>of the European Economic and Social Committee opinion</w:t>
            </w:r>
            <w:r w:rsidR="00E83C12" w:rsidRPr="00591417">
              <w:rPr>
                <w:rFonts w:ascii="Times New Roman" w:hAnsi="Times New Roman"/>
                <w:b/>
                <w:sz w:val="24"/>
                <w:szCs w:val="24"/>
              </w:rPr>
              <w:t xml:space="preserve"> considered as essential</w:t>
            </w:r>
          </w:p>
        </w:tc>
      </w:tr>
      <w:tr w:rsidR="00877BC6" w:rsidRPr="00591417" w14:paraId="673DDC1B" w14:textId="77777777" w:rsidTr="00F9322C">
        <w:tc>
          <w:tcPr>
            <w:tcW w:w="10170" w:type="dxa"/>
          </w:tcPr>
          <w:p w14:paraId="22EA501E" w14:textId="77777777" w:rsidR="00246C02" w:rsidRPr="00384AB4" w:rsidRDefault="00246C02" w:rsidP="00F9322C">
            <w:pPr>
              <w:spacing w:before="120" w:after="120"/>
              <w:jc w:val="both"/>
              <w:rPr>
                <w:rFonts w:ascii="Times New Roman" w:hAnsi="Times New Roman"/>
                <w:sz w:val="24"/>
                <w:szCs w:val="24"/>
                <w:lang w:eastAsia="de-DE"/>
              </w:rPr>
            </w:pPr>
            <w:r w:rsidRPr="00344BB2">
              <w:rPr>
                <w:rFonts w:ascii="Times New Roman" w:hAnsi="Times New Roman"/>
                <w:sz w:val="24"/>
                <w:szCs w:val="24"/>
                <w:lang w:eastAsia="de-DE"/>
              </w:rPr>
              <w:t>The Commission welcomes the Co</w:t>
            </w:r>
            <w:r>
              <w:rPr>
                <w:rFonts w:ascii="Times New Roman" w:hAnsi="Times New Roman"/>
                <w:sz w:val="24"/>
                <w:szCs w:val="24"/>
                <w:lang w:eastAsia="de-DE"/>
              </w:rPr>
              <w:t>mmittee</w:t>
            </w:r>
            <w:r w:rsidRPr="00344BB2">
              <w:rPr>
                <w:rFonts w:ascii="Times New Roman" w:hAnsi="Times New Roman"/>
                <w:sz w:val="24"/>
                <w:szCs w:val="24"/>
                <w:lang w:eastAsia="de-DE"/>
              </w:rPr>
              <w:t xml:space="preserve"> opinion on </w:t>
            </w:r>
            <w:r w:rsidRPr="00384AB4">
              <w:rPr>
                <w:rFonts w:ascii="Times New Roman" w:hAnsi="Times New Roman"/>
                <w:sz w:val="24"/>
                <w:szCs w:val="24"/>
                <w:lang w:eastAsia="de-DE"/>
              </w:rPr>
              <w:t>the posting of third-country nationals (TCNs).</w:t>
            </w:r>
          </w:p>
          <w:p w14:paraId="75FC2C85" w14:textId="583536A4" w:rsidR="00877BC6" w:rsidRPr="00384AB4" w:rsidRDefault="00877BC6" w:rsidP="00F9322C">
            <w:pPr>
              <w:spacing w:before="120" w:after="120"/>
              <w:jc w:val="both"/>
              <w:rPr>
                <w:rFonts w:ascii="Times New Roman" w:hAnsi="Times New Roman"/>
                <w:sz w:val="24"/>
                <w:szCs w:val="24"/>
                <w:lang w:eastAsia="de-DE"/>
              </w:rPr>
            </w:pPr>
            <w:r w:rsidRPr="00F9322C">
              <w:rPr>
                <w:rFonts w:ascii="Times New Roman" w:hAnsi="Times New Roman"/>
                <w:b/>
                <w:bCs/>
                <w:sz w:val="24"/>
                <w:szCs w:val="24"/>
                <w:lang w:eastAsia="de-DE"/>
              </w:rPr>
              <w:t>Point 1.2</w:t>
            </w:r>
            <w:r w:rsidRPr="00F9322C">
              <w:rPr>
                <w:rFonts w:ascii="Times New Roman" w:hAnsi="Times New Roman"/>
                <w:sz w:val="24"/>
                <w:szCs w:val="24"/>
                <w:lang w:eastAsia="de-DE"/>
              </w:rPr>
              <w:t>: The Commission, together with the European Labour Authority, fosters cooperation between the competent authorities of Member States</w:t>
            </w:r>
            <w:r w:rsidR="00F503F1" w:rsidRPr="00F9322C">
              <w:rPr>
                <w:rFonts w:ascii="Times New Roman" w:hAnsi="Times New Roman"/>
                <w:sz w:val="24"/>
                <w:szCs w:val="24"/>
                <w:lang w:eastAsia="de-DE"/>
              </w:rPr>
              <w:t xml:space="preserve"> to facilitate</w:t>
            </w:r>
            <w:r w:rsidR="003D3DD0" w:rsidRPr="00F9322C">
              <w:rPr>
                <w:rFonts w:ascii="Times New Roman" w:hAnsi="Times New Roman"/>
                <w:sz w:val="24"/>
                <w:szCs w:val="24"/>
                <w:lang w:eastAsia="de-DE"/>
              </w:rPr>
              <w:t xml:space="preserve"> cross-border service provision and</w:t>
            </w:r>
            <w:r w:rsidR="00F503F1" w:rsidRPr="00F9322C">
              <w:rPr>
                <w:rFonts w:ascii="Times New Roman" w:hAnsi="Times New Roman"/>
                <w:sz w:val="24"/>
                <w:szCs w:val="24"/>
                <w:lang w:eastAsia="de-DE"/>
              </w:rPr>
              <w:t xml:space="preserve"> posting of workers in the Single Market</w:t>
            </w:r>
            <w:r w:rsidR="0061736E">
              <w:rPr>
                <w:rFonts w:ascii="Times New Roman" w:hAnsi="Times New Roman"/>
                <w:sz w:val="24"/>
                <w:szCs w:val="24"/>
                <w:lang w:eastAsia="de-DE"/>
              </w:rPr>
              <w:t>,</w:t>
            </w:r>
            <w:r w:rsidR="00F503F1" w:rsidRPr="00F9322C">
              <w:rPr>
                <w:rFonts w:ascii="Times New Roman" w:hAnsi="Times New Roman"/>
                <w:sz w:val="24"/>
                <w:szCs w:val="24"/>
                <w:lang w:eastAsia="de-DE"/>
              </w:rPr>
              <w:t xml:space="preserve"> as well as</w:t>
            </w:r>
            <w:r w:rsidRPr="00F9322C">
              <w:rPr>
                <w:rFonts w:ascii="Times New Roman" w:hAnsi="Times New Roman"/>
                <w:sz w:val="24"/>
                <w:szCs w:val="24"/>
                <w:lang w:eastAsia="de-DE"/>
              </w:rPr>
              <w:t xml:space="preserve"> </w:t>
            </w:r>
            <w:r w:rsidR="002C73E6" w:rsidRPr="00F9322C">
              <w:rPr>
                <w:rFonts w:ascii="Times New Roman" w:hAnsi="Times New Roman"/>
                <w:sz w:val="24"/>
                <w:szCs w:val="24"/>
                <w:lang w:eastAsia="de-DE"/>
              </w:rPr>
              <w:t xml:space="preserve">to ensure a coherent and clear </w:t>
            </w:r>
            <w:r w:rsidR="00591417" w:rsidRPr="00F9322C">
              <w:rPr>
                <w:rFonts w:ascii="Times New Roman" w:hAnsi="Times New Roman"/>
                <w:sz w:val="24"/>
                <w:szCs w:val="24"/>
                <w:lang w:eastAsia="de-DE"/>
              </w:rPr>
              <w:t>application of</w:t>
            </w:r>
            <w:r w:rsidRPr="00F9322C">
              <w:rPr>
                <w:rFonts w:ascii="Times New Roman" w:hAnsi="Times New Roman"/>
                <w:sz w:val="24"/>
                <w:szCs w:val="24"/>
                <w:lang w:eastAsia="de-DE"/>
              </w:rPr>
              <w:t xml:space="preserve"> EU rules on posting of workers</w:t>
            </w:r>
            <w:r w:rsidR="006B0C55" w:rsidRPr="00F9322C">
              <w:rPr>
                <w:rFonts w:ascii="Times New Roman" w:hAnsi="Times New Roman"/>
                <w:sz w:val="24"/>
                <w:szCs w:val="24"/>
                <w:lang w:eastAsia="de-DE"/>
              </w:rPr>
              <w:t xml:space="preserve"> and </w:t>
            </w:r>
            <w:r w:rsidR="006B3C69" w:rsidRPr="00F9322C">
              <w:rPr>
                <w:rFonts w:ascii="Times New Roman" w:hAnsi="Times New Roman"/>
                <w:sz w:val="24"/>
                <w:szCs w:val="24"/>
                <w:lang w:eastAsia="de-DE"/>
              </w:rPr>
              <w:t>to tackle situations of abuse and circumvention</w:t>
            </w:r>
            <w:r w:rsidR="006B0C55" w:rsidRPr="00F9322C">
              <w:rPr>
                <w:rFonts w:ascii="Times New Roman" w:hAnsi="Times New Roman"/>
                <w:sz w:val="24"/>
                <w:szCs w:val="24"/>
                <w:lang w:eastAsia="de-DE"/>
              </w:rPr>
              <w:t xml:space="preserve"> of those rules</w:t>
            </w:r>
            <w:r w:rsidRPr="00F9322C">
              <w:rPr>
                <w:rFonts w:ascii="Times New Roman" w:hAnsi="Times New Roman"/>
                <w:sz w:val="24"/>
                <w:szCs w:val="24"/>
                <w:lang w:eastAsia="de-DE"/>
              </w:rPr>
              <w:t>.</w:t>
            </w:r>
            <w:r w:rsidR="00E93878" w:rsidRPr="00F9322C">
              <w:rPr>
                <w:rFonts w:ascii="Times New Roman" w:hAnsi="Times New Roman"/>
                <w:sz w:val="24"/>
                <w:szCs w:val="24"/>
                <w:lang w:eastAsia="de-DE"/>
              </w:rPr>
              <w:t xml:space="preserve"> </w:t>
            </w:r>
            <w:r w:rsidRPr="00F9322C">
              <w:rPr>
                <w:rFonts w:ascii="Times New Roman" w:hAnsi="Times New Roman"/>
                <w:sz w:val="24"/>
                <w:szCs w:val="24"/>
                <w:lang w:eastAsia="de-DE"/>
              </w:rPr>
              <w:t>The</w:t>
            </w:r>
            <w:r w:rsidR="00246C02" w:rsidRPr="00384AB4">
              <w:rPr>
                <w:rFonts w:ascii="Times New Roman" w:hAnsi="Times New Roman"/>
                <w:sz w:val="24"/>
                <w:szCs w:val="24"/>
                <w:lang w:eastAsia="de-DE"/>
              </w:rPr>
              <w:t> </w:t>
            </w:r>
            <w:r w:rsidRPr="00F9322C">
              <w:rPr>
                <w:rFonts w:ascii="Times New Roman" w:hAnsi="Times New Roman"/>
                <w:sz w:val="24"/>
                <w:szCs w:val="24"/>
                <w:lang w:eastAsia="de-DE"/>
              </w:rPr>
              <w:t xml:space="preserve">Commission is also gathering data on the situation as regards posting of workers in the EU, including posting of third-country national workers employed in the EU, </w:t>
            </w:r>
            <w:proofErr w:type="gramStart"/>
            <w:r w:rsidRPr="00F9322C">
              <w:rPr>
                <w:rFonts w:ascii="Times New Roman" w:hAnsi="Times New Roman"/>
                <w:sz w:val="24"/>
                <w:szCs w:val="24"/>
                <w:lang w:eastAsia="de-DE"/>
              </w:rPr>
              <w:t>in order to</w:t>
            </w:r>
            <w:proofErr w:type="gramEnd"/>
            <w:r w:rsidRPr="00F9322C">
              <w:rPr>
                <w:rFonts w:ascii="Times New Roman" w:hAnsi="Times New Roman"/>
                <w:sz w:val="24"/>
                <w:szCs w:val="24"/>
                <w:lang w:eastAsia="de-DE"/>
              </w:rPr>
              <w:t xml:space="preserve"> understand better the specific</w:t>
            </w:r>
            <w:r w:rsidR="00A06607" w:rsidRPr="00F9322C">
              <w:rPr>
                <w:rFonts w:ascii="Times New Roman" w:hAnsi="Times New Roman"/>
                <w:sz w:val="24"/>
                <w:szCs w:val="24"/>
                <w:lang w:eastAsia="de-DE"/>
              </w:rPr>
              <w:t xml:space="preserve"> opportunities and</w:t>
            </w:r>
            <w:r w:rsidRPr="00F9322C">
              <w:rPr>
                <w:rFonts w:ascii="Times New Roman" w:hAnsi="Times New Roman"/>
                <w:sz w:val="24"/>
                <w:szCs w:val="24"/>
                <w:lang w:eastAsia="de-DE"/>
              </w:rPr>
              <w:t xml:space="preserve"> challenges related to the posting of third-country nationals within the EU.</w:t>
            </w:r>
          </w:p>
          <w:p w14:paraId="6644E6D8" w14:textId="2E0AD611" w:rsidR="00877BC6" w:rsidRPr="00F9322C" w:rsidRDefault="00877BC6" w:rsidP="00F9322C">
            <w:pPr>
              <w:spacing w:before="120" w:after="120"/>
              <w:jc w:val="both"/>
              <w:rPr>
                <w:rFonts w:ascii="Times New Roman" w:hAnsi="Times New Roman"/>
                <w:sz w:val="24"/>
                <w:szCs w:val="24"/>
                <w:lang w:eastAsia="de-DE"/>
              </w:rPr>
            </w:pPr>
            <w:r w:rsidRPr="00F9322C">
              <w:rPr>
                <w:rFonts w:ascii="Times New Roman" w:hAnsi="Times New Roman"/>
                <w:b/>
                <w:bCs/>
                <w:sz w:val="24"/>
                <w:szCs w:val="24"/>
                <w:lang w:eastAsia="de-DE"/>
              </w:rPr>
              <w:t>Point 1.7</w:t>
            </w:r>
            <w:r w:rsidRPr="00F9322C">
              <w:rPr>
                <w:rFonts w:ascii="Times New Roman" w:hAnsi="Times New Roman"/>
                <w:sz w:val="24"/>
                <w:szCs w:val="24"/>
                <w:lang w:eastAsia="de-DE"/>
              </w:rPr>
              <w:t>: The Commission would like to point out that if a third-country national is lawfully and habitually employed in the Member State where the employer is established, the employer can post that worker to another Member State under the same conditions as a Union national. In order to assess whether a posting</w:t>
            </w:r>
            <w:r w:rsidR="003B5F59" w:rsidRPr="00F9322C">
              <w:rPr>
                <w:rFonts w:ascii="Times New Roman" w:hAnsi="Times New Roman"/>
                <w:sz w:val="24"/>
                <w:szCs w:val="24"/>
                <w:lang w:eastAsia="de-DE"/>
              </w:rPr>
              <w:t>, including posting of third country nationals,</w:t>
            </w:r>
            <w:r w:rsidRPr="00F9322C">
              <w:rPr>
                <w:rFonts w:ascii="Times New Roman" w:hAnsi="Times New Roman"/>
                <w:sz w:val="24"/>
                <w:szCs w:val="24"/>
                <w:lang w:eastAsia="de-DE"/>
              </w:rPr>
              <w:t xml:space="preserve"> is genuine and to prevent</w:t>
            </w:r>
            <w:r w:rsidR="00834689" w:rsidRPr="00F9322C">
              <w:rPr>
                <w:rFonts w:ascii="Times New Roman" w:hAnsi="Times New Roman"/>
                <w:sz w:val="24"/>
                <w:szCs w:val="24"/>
                <w:lang w:eastAsia="de-DE"/>
              </w:rPr>
              <w:t xml:space="preserve"> situations of</w:t>
            </w:r>
            <w:r w:rsidRPr="00F9322C">
              <w:rPr>
                <w:rFonts w:ascii="Times New Roman" w:hAnsi="Times New Roman"/>
                <w:sz w:val="24"/>
                <w:szCs w:val="24"/>
                <w:lang w:eastAsia="de-DE"/>
              </w:rPr>
              <w:t xml:space="preserve"> abuse and circumvention, Article 4 of the Directive 2014/67/EU</w:t>
            </w:r>
            <w:r w:rsidRPr="00F9322C">
              <w:rPr>
                <w:rStyle w:val="FootnoteReference"/>
                <w:rFonts w:ascii="Times New Roman" w:hAnsi="Times New Roman"/>
                <w:sz w:val="24"/>
                <w:szCs w:val="24"/>
              </w:rPr>
              <w:footnoteReference w:id="1"/>
            </w:r>
            <w:r w:rsidRPr="00F9322C">
              <w:rPr>
                <w:rFonts w:ascii="Times New Roman" w:hAnsi="Times New Roman"/>
                <w:sz w:val="24"/>
                <w:szCs w:val="24"/>
                <w:lang w:eastAsia="de-DE"/>
              </w:rPr>
              <w:t xml:space="preserve"> sets out elements which the host Member States may take into consideration to determine whether an undertaking genuinely performs substantial activities in the Member State of establishment and to assess whether a posted worker carries out his or her work temporarily in a Member State other than the one in which he or she normally works. The list of these elements is open-ended, which means that Member States may add criteria</w:t>
            </w:r>
            <w:r w:rsidR="0061736E">
              <w:rPr>
                <w:rFonts w:ascii="Times New Roman" w:hAnsi="Times New Roman"/>
                <w:sz w:val="24"/>
                <w:szCs w:val="24"/>
                <w:lang w:eastAsia="de-DE"/>
              </w:rPr>
              <w:t>,</w:t>
            </w:r>
            <w:r w:rsidRPr="00F9322C">
              <w:rPr>
                <w:rFonts w:ascii="Times New Roman" w:hAnsi="Times New Roman"/>
                <w:sz w:val="24"/>
                <w:szCs w:val="24"/>
                <w:lang w:eastAsia="de-DE"/>
              </w:rPr>
              <w:t xml:space="preserve"> </w:t>
            </w:r>
            <w:proofErr w:type="gramStart"/>
            <w:r w:rsidR="00C17850" w:rsidRPr="00F9322C">
              <w:rPr>
                <w:rFonts w:ascii="Times New Roman" w:hAnsi="Times New Roman"/>
                <w:sz w:val="24"/>
                <w:szCs w:val="24"/>
                <w:lang w:eastAsia="de-DE"/>
              </w:rPr>
              <w:t>as long as</w:t>
            </w:r>
            <w:proofErr w:type="gramEnd"/>
            <w:r w:rsidR="00C17850" w:rsidRPr="00F9322C">
              <w:rPr>
                <w:rFonts w:ascii="Times New Roman" w:hAnsi="Times New Roman"/>
                <w:sz w:val="24"/>
                <w:szCs w:val="24"/>
                <w:lang w:eastAsia="de-DE"/>
              </w:rPr>
              <w:t xml:space="preserve"> t</w:t>
            </w:r>
            <w:r w:rsidR="006E2B9C" w:rsidRPr="00F9322C">
              <w:rPr>
                <w:rFonts w:ascii="Times New Roman" w:hAnsi="Times New Roman"/>
                <w:sz w:val="24"/>
                <w:szCs w:val="24"/>
                <w:lang w:eastAsia="de-DE"/>
              </w:rPr>
              <w:t>hese are</w:t>
            </w:r>
            <w:r w:rsidRPr="00F9322C">
              <w:rPr>
                <w:rFonts w:ascii="Times New Roman" w:hAnsi="Times New Roman"/>
                <w:sz w:val="24"/>
                <w:szCs w:val="24"/>
                <w:lang w:eastAsia="de-DE"/>
              </w:rPr>
              <w:t xml:space="preserve"> necessary</w:t>
            </w:r>
            <w:r w:rsidR="006E2B9C" w:rsidRPr="00F9322C">
              <w:rPr>
                <w:rFonts w:ascii="Times New Roman" w:hAnsi="Times New Roman"/>
                <w:sz w:val="24"/>
                <w:szCs w:val="24"/>
                <w:lang w:eastAsia="de-DE"/>
              </w:rPr>
              <w:t xml:space="preserve"> and </w:t>
            </w:r>
            <w:r w:rsidR="00D063C4" w:rsidRPr="00F9322C">
              <w:rPr>
                <w:rFonts w:ascii="Times New Roman" w:hAnsi="Times New Roman"/>
                <w:sz w:val="24"/>
                <w:szCs w:val="24"/>
                <w:lang w:eastAsia="de-DE"/>
              </w:rPr>
              <w:t>proportionate</w:t>
            </w:r>
            <w:r w:rsidRPr="00F9322C">
              <w:rPr>
                <w:rFonts w:ascii="Times New Roman" w:hAnsi="Times New Roman"/>
                <w:sz w:val="24"/>
                <w:szCs w:val="24"/>
                <w:lang w:eastAsia="de-DE"/>
              </w:rPr>
              <w:t xml:space="preserve">. For legal clarity and safeguards, the recent political agreements on the revision of the EU social security coordination rules and on the </w:t>
            </w:r>
            <w:r w:rsidR="00A1305E">
              <w:rPr>
                <w:rFonts w:ascii="Times New Roman" w:hAnsi="Times New Roman"/>
                <w:sz w:val="24"/>
                <w:szCs w:val="24"/>
                <w:lang w:eastAsia="de-DE"/>
              </w:rPr>
              <w:br/>
            </w:r>
            <w:r w:rsidRPr="00F9322C">
              <w:rPr>
                <w:rFonts w:ascii="Times New Roman" w:hAnsi="Times New Roman"/>
                <w:sz w:val="24"/>
                <w:szCs w:val="24"/>
                <w:lang w:eastAsia="de-DE"/>
              </w:rPr>
              <w:t>e-Declaration for the posting of workers aim at helping Member States to enforce the rules better</w:t>
            </w:r>
            <w:r w:rsidR="00910296" w:rsidRPr="00F9322C">
              <w:rPr>
                <w:rFonts w:ascii="Times New Roman" w:hAnsi="Times New Roman"/>
                <w:sz w:val="24"/>
                <w:szCs w:val="24"/>
                <w:lang w:eastAsia="de-DE"/>
              </w:rPr>
              <w:t xml:space="preserve"> and to better protect</w:t>
            </w:r>
            <w:r w:rsidR="0009789B" w:rsidRPr="00F9322C">
              <w:rPr>
                <w:rFonts w:ascii="Times New Roman" w:hAnsi="Times New Roman"/>
                <w:sz w:val="24"/>
                <w:szCs w:val="24"/>
                <w:lang w:eastAsia="de-DE"/>
              </w:rPr>
              <w:t xml:space="preserve"> posted workers</w:t>
            </w:r>
            <w:r w:rsidRPr="00F9322C">
              <w:rPr>
                <w:rFonts w:ascii="Times New Roman" w:hAnsi="Times New Roman"/>
                <w:sz w:val="24"/>
                <w:szCs w:val="24"/>
                <w:lang w:eastAsia="de-DE"/>
              </w:rPr>
              <w:t>, including in cases of posting of third-country nationals.</w:t>
            </w:r>
            <w:r w:rsidR="0035404A" w:rsidRPr="00F9322C">
              <w:rPr>
                <w:rFonts w:ascii="Times New Roman" w:hAnsi="Times New Roman"/>
                <w:sz w:val="24"/>
                <w:szCs w:val="24"/>
                <w:lang w:eastAsia="de-DE"/>
              </w:rPr>
              <w:t xml:space="preserve"> For </w:t>
            </w:r>
            <w:r w:rsidR="00B13755" w:rsidRPr="00F9322C">
              <w:rPr>
                <w:rFonts w:ascii="Times New Roman" w:hAnsi="Times New Roman"/>
                <w:sz w:val="24"/>
                <w:szCs w:val="24"/>
                <w:lang w:eastAsia="de-DE"/>
              </w:rPr>
              <w:t>example, workers will have to be affiliated to social security in their home country for at least three months before being posted to another Member State.</w:t>
            </w:r>
          </w:p>
          <w:p w14:paraId="7C58E879" w14:textId="51654D8F" w:rsidR="00877BC6" w:rsidRPr="00F9322C" w:rsidRDefault="00877BC6" w:rsidP="00F9322C">
            <w:pPr>
              <w:spacing w:before="120" w:after="120"/>
              <w:jc w:val="both"/>
              <w:rPr>
                <w:rFonts w:ascii="Times New Roman" w:hAnsi="Times New Roman"/>
                <w:sz w:val="24"/>
                <w:szCs w:val="24"/>
                <w:lang w:eastAsia="de-DE"/>
              </w:rPr>
            </w:pPr>
            <w:r w:rsidRPr="00F9322C">
              <w:rPr>
                <w:rFonts w:ascii="Times New Roman" w:hAnsi="Times New Roman"/>
                <w:b/>
                <w:bCs/>
                <w:sz w:val="24"/>
                <w:szCs w:val="24"/>
                <w:lang w:eastAsia="de-DE"/>
              </w:rPr>
              <w:t>Point 1.9</w:t>
            </w:r>
            <w:r w:rsidRPr="00F9322C">
              <w:rPr>
                <w:rFonts w:ascii="Times New Roman" w:hAnsi="Times New Roman"/>
                <w:sz w:val="24"/>
                <w:szCs w:val="24"/>
                <w:lang w:eastAsia="de-DE"/>
              </w:rPr>
              <w:t xml:space="preserve">: The Commission would like to confirm that posting through temporary work agencies is covered by the EU rules on posting (Article 1(3)(c) of Directive </w:t>
            </w:r>
            <w:hyperlink r:id="rId11">
              <w:r w:rsidRPr="00F9322C">
                <w:rPr>
                  <w:rFonts w:ascii="Times New Roman" w:hAnsi="Times New Roman"/>
                  <w:sz w:val="24"/>
                  <w:szCs w:val="24"/>
                  <w:lang w:eastAsia="de-DE"/>
                </w:rPr>
                <w:t>96/71/EC</w:t>
              </w:r>
            </w:hyperlink>
            <w:r w:rsidRPr="00A1305E">
              <w:rPr>
                <w:rStyle w:val="FootnoteReference"/>
                <w:rFonts w:ascii="Times New Roman" w:hAnsi="Times New Roman"/>
                <w:sz w:val="24"/>
                <w:szCs w:val="24"/>
              </w:rPr>
              <w:footnoteReference w:id="2"/>
            </w:r>
            <w:r w:rsidRPr="00F9322C">
              <w:rPr>
                <w:rFonts w:ascii="Times New Roman" w:hAnsi="Times New Roman"/>
                <w:sz w:val="24"/>
                <w:szCs w:val="24"/>
              </w:rPr>
              <w:t>)</w:t>
            </w:r>
            <w:r w:rsidRPr="00F9322C">
              <w:rPr>
                <w:rFonts w:ascii="Times New Roman" w:hAnsi="Times New Roman"/>
                <w:sz w:val="24"/>
                <w:szCs w:val="24"/>
                <w:lang w:eastAsia="de-DE"/>
              </w:rPr>
              <w:t xml:space="preserve">. To assess whether </w:t>
            </w:r>
            <w:r w:rsidRPr="00F9322C">
              <w:rPr>
                <w:rFonts w:ascii="Times New Roman" w:hAnsi="Times New Roman"/>
                <w:sz w:val="24"/>
                <w:szCs w:val="24"/>
                <w:lang w:eastAsia="de-DE"/>
              </w:rPr>
              <w:lastRenderedPageBreak/>
              <w:t>a</w:t>
            </w:r>
            <w:r w:rsidR="00246C02" w:rsidRPr="00384AB4">
              <w:rPr>
                <w:rFonts w:ascii="Times New Roman" w:hAnsi="Times New Roman"/>
                <w:sz w:val="24"/>
                <w:szCs w:val="24"/>
                <w:lang w:eastAsia="de-DE"/>
              </w:rPr>
              <w:t> </w:t>
            </w:r>
            <w:r w:rsidRPr="00F9322C">
              <w:rPr>
                <w:rFonts w:ascii="Times New Roman" w:hAnsi="Times New Roman"/>
                <w:sz w:val="24"/>
                <w:szCs w:val="24"/>
                <w:lang w:eastAsia="de-DE"/>
              </w:rPr>
              <w:t xml:space="preserve">posting is genuine and to prevent abuse and circumvention, Article 4 of the Directive </w:t>
            </w:r>
            <w:hyperlink r:id="rId12">
              <w:r w:rsidRPr="00F9322C">
                <w:rPr>
                  <w:rFonts w:ascii="Times New Roman" w:hAnsi="Times New Roman"/>
                  <w:sz w:val="24"/>
                  <w:szCs w:val="24"/>
                  <w:lang w:eastAsia="de-DE"/>
                </w:rPr>
                <w:t>2014/67/EU</w:t>
              </w:r>
            </w:hyperlink>
            <w:r w:rsidR="00591417" w:rsidRPr="00F9322C">
              <w:rPr>
                <w:rFonts w:ascii="Times New Roman" w:hAnsi="Times New Roman"/>
                <w:sz w:val="24"/>
                <w:szCs w:val="24"/>
              </w:rPr>
              <w:t>,</w:t>
            </w:r>
            <w:r w:rsidRPr="00F9322C">
              <w:rPr>
                <w:rFonts w:ascii="Times New Roman" w:hAnsi="Times New Roman"/>
                <w:sz w:val="24"/>
                <w:szCs w:val="24"/>
                <w:lang w:eastAsia="de-DE"/>
              </w:rPr>
              <w:t xml:space="preserve"> as pointed out under Point 1.7, sets out elements which the host Member States may take into consideration to determine whether an undertaking genuinely performs substantial activities in the</w:t>
            </w:r>
            <w:r w:rsidR="00246C02" w:rsidRPr="00384AB4">
              <w:rPr>
                <w:rFonts w:ascii="Times New Roman" w:hAnsi="Times New Roman"/>
                <w:sz w:val="24"/>
                <w:szCs w:val="24"/>
                <w:lang w:eastAsia="de-DE"/>
              </w:rPr>
              <w:t> </w:t>
            </w:r>
            <w:r w:rsidRPr="00F9322C">
              <w:rPr>
                <w:rFonts w:ascii="Times New Roman" w:hAnsi="Times New Roman"/>
                <w:sz w:val="24"/>
                <w:szCs w:val="24"/>
                <w:lang w:eastAsia="de-DE"/>
              </w:rPr>
              <w:t>Member State of establishment</w:t>
            </w:r>
            <w:r w:rsidR="00591417" w:rsidRPr="00F9322C">
              <w:rPr>
                <w:rFonts w:ascii="Times New Roman" w:hAnsi="Times New Roman"/>
                <w:sz w:val="24"/>
                <w:szCs w:val="24"/>
                <w:lang w:eastAsia="de-DE"/>
              </w:rPr>
              <w:t>,</w:t>
            </w:r>
            <w:r w:rsidRPr="00F9322C">
              <w:rPr>
                <w:rFonts w:ascii="Times New Roman" w:hAnsi="Times New Roman"/>
                <w:sz w:val="24"/>
                <w:szCs w:val="24"/>
                <w:lang w:eastAsia="de-DE"/>
              </w:rPr>
              <w:t xml:space="preserve"> and to assess whether a posted worker carries out his or her work temporarily in a Member State other than the one in which he or she normally works. The list of these elements is open-ended, which means that Member State may add criteria </w:t>
            </w:r>
            <w:proofErr w:type="gramStart"/>
            <w:r w:rsidR="00EE68D5" w:rsidRPr="00F9322C">
              <w:rPr>
                <w:rFonts w:ascii="Times New Roman" w:hAnsi="Times New Roman"/>
                <w:sz w:val="24"/>
                <w:szCs w:val="24"/>
                <w:lang w:eastAsia="de-DE"/>
              </w:rPr>
              <w:t>as long as</w:t>
            </w:r>
            <w:proofErr w:type="gramEnd"/>
            <w:r w:rsidR="00EE68D5" w:rsidRPr="00F9322C">
              <w:rPr>
                <w:rFonts w:ascii="Times New Roman" w:hAnsi="Times New Roman"/>
                <w:sz w:val="24"/>
                <w:szCs w:val="24"/>
                <w:lang w:eastAsia="de-DE"/>
              </w:rPr>
              <w:t xml:space="preserve"> these are necessary and propo</w:t>
            </w:r>
            <w:r w:rsidR="00483803" w:rsidRPr="00F9322C">
              <w:rPr>
                <w:rFonts w:ascii="Times New Roman" w:hAnsi="Times New Roman"/>
                <w:sz w:val="24"/>
                <w:szCs w:val="24"/>
                <w:lang w:eastAsia="de-DE"/>
              </w:rPr>
              <w:t>r</w:t>
            </w:r>
            <w:r w:rsidR="00EE68D5" w:rsidRPr="00F9322C">
              <w:rPr>
                <w:rFonts w:ascii="Times New Roman" w:hAnsi="Times New Roman"/>
                <w:sz w:val="24"/>
                <w:szCs w:val="24"/>
                <w:lang w:eastAsia="de-DE"/>
              </w:rPr>
              <w:t>tionate</w:t>
            </w:r>
            <w:r w:rsidRPr="00F9322C">
              <w:rPr>
                <w:rFonts w:ascii="Times New Roman" w:hAnsi="Times New Roman"/>
                <w:sz w:val="24"/>
                <w:szCs w:val="24"/>
                <w:lang w:eastAsia="de-DE"/>
              </w:rPr>
              <w:t>.</w:t>
            </w:r>
          </w:p>
          <w:p w14:paraId="79DB5B65" w14:textId="0A31DCA4" w:rsidR="00877BC6" w:rsidRPr="00384AB4" w:rsidRDefault="00877BC6" w:rsidP="00F9322C">
            <w:pPr>
              <w:spacing w:before="120" w:after="120"/>
              <w:jc w:val="both"/>
              <w:rPr>
                <w:rFonts w:ascii="Times New Roman" w:hAnsi="Times New Roman"/>
                <w:sz w:val="24"/>
                <w:szCs w:val="24"/>
                <w:lang w:eastAsia="de-DE"/>
              </w:rPr>
            </w:pPr>
            <w:r w:rsidRPr="00F9322C">
              <w:rPr>
                <w:rFonts w:ascii="Times New Roman" w:hAnsi="Times New Roman"/>
                <w:b/>
                <w:bCs/>
                <w:sz w:val="24"/>
                <w:szCs w:val="24"/>
                <w:lang w:eastAsia="de-DE"/>
              </w:rPr>
              <w:t>Point 1.11</w:t>
            </w:r>
            <w:r w:rsidRPr="00F9322C">
              <w:rPr>
                <w:rFonts w:ascii="Times New Roman" w:hAnsi="Times New Roman"/>
                <w:sz w:val="24"/>
                <w:szCs w:val="24"/>
                <w:lang w:eastAsia="de-DE"/>
              </w:rPr>
              <w:t>: In the context of the Fair Labour Mobility Package expected to be adopted by the</w:t>
            </w:r>
            <w:r w:rsidR="00246C02" w:rsidRPr="00384AB4">
              <w:rPr>
                <w:rFonts w:ascii="Times New Roman" w:hAnsi="Times New Roman"/>
                <w:sz w:val="24"/>
                <w:szCs w:val="24"/>
                <w:lang w:eastAsia="de-DE"/>
              </w:rPr>
              <w:t> </w:t>
            </w:r>
            <w:r w:rsidRPr="00F9322C">
              <w:rPr>
                <w:rFonts w:ascii="Times New Roman" w:hAnsi="Times New Roman"/>
                <w:sz w:val="24"/>
                <w:szCs w:val="24"/>
                <w:lang w:eastAsia="de-DE"/>
              </w:rPr>
              <w:t>Commission in September 2026, it is aimed to propose strengthening the mandate of the European Labour Authority</w:t>
            </w:r>
            <w:r w:rsidR="00563E1F" w:rsidRPr="00384AB4">
              <w:rPr>
                <w:rFonts w:ascii="Times New Roman" w:hAnsi="Times New Roman"/>
                <w:sz w:val="24"/>
                <w:szCs w:val="24"/>
                <w:lang w:eastAsia="de-DE"/>
              </w:rPr>
              <w:t xml:space="preserve"> </w:t>
            </w:r>
            <w:r w:rsidR="00563E1F">
              <w:rPr>
                <w:rFonts w:ascii="Times New Roman" w:hAnsi="Times New Roman"/>
                <w:sz w:val="24"/>
                <w:szCs w:val="24"/>
                <w:lang w:eastAsia="de-DE"/>
              </w:rPr>
              <w:t>(ELA)</w:t>
            </w:r>
            <w:r w:rsidRPr="00F9322C">
              <w:rPr>
                <w:rFonts w:ascii="Times New Roman" w:hAnsi="Times New Roman"/>
                <w:sz w:val="24"/>
                <w:szCs w:val="24"/>
                <w:lang w:eastAsia="de-DE"/>
              </w:rPr>
              <w:t xml:space="preserve"> and supporting the application of the EU rules on social security coordination through the framework for the European Social Security Pass (ESSPASS).</w:t>
            </w:r>
            <w:r w:rsidR="003B096F">
              <w:rPr>
                <w:rFonts w:ascii="Times New Roman" w:hAnsi="Times New Roman"/>
                <w:sz w:val="24"/>
                <w:szCs w:val="24"/>
                <w:lang w:eastAsia="de-DE"/>
              </w:rPr>
              <w:t xml:space="preserve"> The </w:t>
            </w:r>
            <w:r w:rsidR="00710452">
              <w:rPr>
                <w:rFonts w:ascii="Times New Roman" w:hAnsi="Times New Roman"/>
                <w:sz w:val="24"/>
                <w:szCs w:val="24"/>
                <w:lang w:eastAsia="de-DE"/>
              </w:rPr>
              <w:t xml:space="preserve">accompanying </w:t>
            </w:r>
            <w:r w:rsidR="003B096F">
              <w:rPr>
                <w:rFonts w:ascii="Times New Roman" w:hAnsi="Times New Roman"/>
                <w:sz w:val="24"/>
                <w:szCs w:val="24"/>
                <w:lang w:eastAsia="de-DE"/>
              </w:rPr>
              <w:t>Communication is expected to further announce</w:t>
            </w:r>
            <w:r w:rsidR="00710452">
              <w:rPr>
                <w:rFonts w:ascii="Times New Roman" w:hAnsi="Times New Roman"/>
                <w:sz w:val="24"/>
                <w:szCs w:val="24"/>
                <w:lang w:eastAsia="de-DE"/>
              </w:rPr>
              <w:t xml:space="preserve"> that,</w:t>
            </w:r>
            <w:r w:rsidR="003B096F">
              <w:rPr>
                <w:rFonts w:ascii="Times New Roman" w:hAnsi="Times New Roman"/>
                <w:sz w:val="24"/>
                <w:szCs w:val="24"/>
                <w:lang w:eastAsia="de-DE"/>
              </w:rPr>
              <w:t xml:space="preserve"> for 2027</w:t>
            </w:r>
            <w:r w:rsidR="00710452">
              <w:rPr>
                <w:rFonts w:ascii="Times New Roman" w:hAnsi="Times New Roman"/>
                <w:sz w:val="24"/>
                <w:szCs w:val="24"/>
                <w:lang w:eastAsia="de-DE"/>
              </w:rPr>
              <w:t>,</w:t>
            </w:r>
            <w:r w:rsidR="003B096F">
              <w:rPr>
                <w:rFonts w:ascii="Times New Roman" w:hAnsi="Times New Roman"/>
                <w:sz w:val="24"/>
                <w:szCs w:val="24"/>
                <w:lang w:eastAsia="de-DE"/>
              </w:rPr>
              <w:t xml:space="preserve"> that the Commission </w:t>
            </w:r>
            <w:r w:rsidR="003B096F" w:rsidRPr="003B096F">
              <w:rPr>
                <w:rFonts w:ascii="Times New Roman" w:hAnsi="Times New Roman"/>
                <w:sz w:val="24"/>
                <w:szCs w:val="24"/>
                <w:lang w:eastAsia="de-DE"/>
              </w:rPr>
              <w:t xml:space="preserve">will seek ways </w:t>
            </w:r>
            <w:r w:rsidR="00710452">
              <w:rPr>
                <w:rFonts w:ascii="Times New Roman" w:hAnsi="Times New Roman"/>
                <w:sz w:val="24"/>
                <w:szCs w:val="24"/>
                <w:lang w:eastAsia="de-DE"/>
              </w:rPr>
              <w:t>to clarify</w:t>
            </w:r>
            <w:r w:rsidR="003B096F" w:rsidRPr="003B096F">
              <w:rPr>
                <w:rFonts w:ascii="Times New Roman" w:hAnsi="Times New Roman"/>
                <w:sz w:val="24"/>
                <w:szCs w:val="24"/>
                <w:lang w:eastAsia="de-DE"/>
              </w:rPr>
              <w:t xml:space="preserve"> the legal framework </w:t>
            </w:r>
            <w:r w:rsidR="00710452">
              <w:rPr>
                <w:rFonts w:ascii="Times New Roman" w:hAnsi="Times New Roman"/>
                <w:sz w:val="24"/>
                <w:szCs w:val="24"/>
                <w:lang w:eastAsia="de-DE"/>
              </w:rPr>
              <w:t>governing</w:t>
            </w:r>
            <w:r w:rsidR="003B096F" w:rsidRPr="003B096F">
              <w:rPr>
                <w:rFonts w:ascii="Times New Roman" w:hAnsi="Times New Roman"/>
                <w:sz w:val="24"/>
                <w:szCs w:val="24"/>
                <w:lang w:eastAsia="de-DE"/>
              </w:rPr>
              <w:t xml:space="preserve"> the posting of third-country nationals</w:t>
            </w:r>
            <w:r w:rsidR="00710452">
              <w:rPr>
                <w:rFonts w:ascii="Times New Roman" w:hAnsi="Times New Roman"/>
                <w:sz w:val="24"/>
                <w:szCs w:val="24"/>
                <w:lang w:eastAsia="de-DE"/>
              </w:rPr>
              <w:t>.</w:t>
            </w:r>
          </w:p>
          <w:p w14:paraId="30D14481" w14:textId="6D61B48E" w:rsidR="00877BC6" w:rsidRPr="00591417" w:rsidRDefault="00877BC6" w:rsidP="00F9322C">
            <w:pPr>
              <w:spacing w:before="120" w:after="120"/>
              <w:jc w:val="both"/>
              <w:rPr>
                <w:rFonts w:ascii="Times New Roman" w:hAnsi="Times New Roman"/>
                <w:sz w:val="24"/>
                <w:szCs w:val="24"/>
                <w:lang w:eastAsia="de-DE"/>
              </w:rPr>
            </w:pPr>
            <w:r w:rsidRPr="00F9322C">
              <w:rPr>
                <w:rFonts w:ascii="Times New Roman" w:hAnsi="Times New Roman"/>
                <w:b/>
                <w:bCs/>
                <w:sz w:val="24"/>
                <w:szCs w:val="24"/>
                <w:lang w:eastAsia="de-DE"/>
              </w:rPr>
              <w:t>Point 1.12</w:t>
            </w:r>
            <w:r w:rsidRPr="00F9322C">
              <w:rPr>
                <w:rFonts w:ascii="Times New Roman" w:hAnsi="Times New Roman"/>
                <w:sz w:val="24"/>
                <w:szCs w:val="24"/>
                <w:lang w:eastAsia="de-DE"/>
              </w:rPr>
              <w:t>: The Commission has promoted support to posted workers, including posted third-country national workers within the EU, with pilot projects on working and living conditions since 2009 and fund</w:t>
            </w:r>
            <w:r w:rsidR="0061736E">
              <w:rPr>
                <w:rFonts w:ascii="Times New Roman" w:hAnsi="Times New Roman"/>
                <w:sz w:val="24"/>
                <w:szCs w:val="24"/>
                <w:lang w:eastAsia="de-DE"/>
              </w:rPr>
              <w:t>ing</w:t>
            </w:r>
            <w:r w:rsidRPr="00F9322C">
              <w:rPr>
                <w:rFonts w:ascii="Times New Roman" w:hAnsi="Times New Roman"/>
                <w:sz w:val="24"/>
                <w:szCs w:val="24"/>
                <w:lang w:eastAsia="de-DE"/>
              </w:rPr>
              <w:t xml:space="preserve"> several information and counselling related projects. Using this support by the Commission, the German Trade Union Confederation (DGB) organises since 2023 the Fair European Labour Mobility network, which is now active in seven Central and Eastern European countries. Since 1</w:t>
            </w:r>
            <w:r w:rsidR="00563E1F" w:rsidRPr="00384AB4">
              <w:rPr>
                <w:rFonts w:ascii="Times New Roman" w:hAnsi="Times New Roman"/>
                <w:sz w:val="24"/>
                <w:szCs w:val="24"/>
                <w:lang w:eastAsia="de-DE"/>
              </w:rPr>
              <w:t> </w:t>
            </w:r>
            <w:r w:rsidRPr="00F9322C">
              <w:rPr>
                <w:rFonts w:ascii="Times New Roman" w:hAnsi="Times New Roman"/>
                <w:sz w:val="24"/>
                <w:szCs w:val="24"/>
                <w:lang w:eastAsia="de-DE"/>
              </w:rPr>
              <w:t>January 2026, a further pilot project ‘Fair Labour Mobility’, coordinated by the DGB prepares recommendations for permanent EU-wide funding of trade union based transnational labour law counselling with a special focus on supporting workers holding nationality of a third country.</w:t>
            </w:r>
            <w:r w:rsidR="00CC6FC2" w:rsidRPr="00F9322C">
              <w:rPr>
                <w:rFonts w:ascii="Times New Roman" w:hAnsi="Times New Roman"/>
                <w:sz w:val="24"/>
                <w:szCs w:val="24"/>
                <w:lang w:eastAsia="de-DE"/>
              </w:rPr>
              <w:t xml:space="preserve"> Th</w:t>
            </w:r>
            <w:r w:rsidR="00684177" w:rsidRPr="00F9322C">
              <w:rPr>
                <w:rFonts w:ascii="Times New Roman" w:hAnsi="Times New Roman"/>
                <w:sz w:val="24"/>
                <w:szCs w:val="24"/>
                <w:lang w:eastAsia="de-DE"/>
              </w:rPr>
              <w:t>e</w:t>
            </w:r>
            <w:r w:rsidR="00563E1F" w:rsidRPr="00384AB4">
              <w:rPr>
                <w:rFonts w:ascii="Times New Roman" w:hAnsi="Times New Roman"/>
                <w:sz w:val="24"/>
                <w:szCs w:val="24"/>
                <w:lang w:eastAsia="de-DE"/>
              </w:rPr>
              <w:t> </w:t>
            </w:r>
            <w:r w:rsidR="00483561" w:rsidRPr="00F9322C">
              <w:rPr>
                <w:rFonts w:ascii="Times New Roman" w:hAnsi="Times New Roman"/>
                <w:sz w:val="24"/>
                <w:szCs w:val="24"/>
                <w:lang w:eastAsia="de-DE"/>
              </w:rPr>
              <w:t>support</w:t>
            </w:r>
            <w:r w:rsidR="00BB2802" w:rsidRPr="00F9322C">
              <w:rPr>
                <w:rFonts w:ascii="Times New Roman" w:hAnsi="Times New Roman"/>
                <w:sz w:val="24"/>
                <w:szCs w:val="24"/>
                <w:lang w:eastAsia="de-DE"/>
              </w:rPr>
              <w:t xml:space="preserve"> by ELA on the matter will be</w:t>
            </w:r>
            <w:r w:rsidR="007065FD" w:rsidRPr="00F9322C">
              <w:rPr>
                <w:rFonts w:ascii="Times New Roman" w:hAnsi="Times New Roman"/>
                <w:sz w:val="24"/>
                <w:szCs w:val="24"/>
                <w:lang w:eastAsia="de-DE"/>
              </w:rPr>
              <w:t xml:space="preserve"> even further developed as</w:t>
            </w:r>
            <w:r w:rsidR="00DC0854" w:rsidRPr="00F9322C">
              <w:rPr>
                <w:rFonts w:ascii="Times New Roman" w:hAnsi="Times New Roman"/>
                <w:sz w:val="24"/>
                <w:szCs w:val="24"/>
                <w:lang w:eastAsia="de-DE"/>
              </w:rPr>
              <w:t xml:space="preserve"> </w:t>
            </w:r>
            <w:r w:rsidR="00CC6FC2" w:rsidRPr="00F9322C">
              <w:rPr>
                <w:rFonts w:ascii="Times New Roman" w:hAnsi="Times New Roman"/>
                <w:sz w:val="24"/>
                <w:szCs w:val="24"/>
                <w:lang w:eastAsia="de-DE"/>
              </w:rPr>
              <w:t>one of the key objectives of the</w:t>
            </w:r>
            <w:r w:rsidR="00563E1F" w:rsidRPr="00384AB4">
              <w:rPr>
                <w:rFonts w:ascii="Times New Roman" w:hAnsi="Times New Roman"/>
                <w:sz w:val="24"/>
                <w:szCs w:val="24"/>
                <w:lang w:eastAsia="de-DE"/>
              </w:rPr>
              <w:t> </w:t>
            </w:r>
            <w:r w:rsidR="00CC6FC2" w:rsidRPr="00F9322C">
              <w:rPr>
                <w:rFonts w:ascii="Times New Roman" w:hAnsi="Times New Roman"/>
                <w:sz w:val="24"/>
                <w:szCs w:val="24"/>
                <w:lang w:eastAsia="de-DE"/>
              </w:rPr>
              <w:t xml:space="preserve">revision of </w:t>
            </w:r>
            <w:r w:rsidR="00DC0854" w:rsidRPr="00F9322C">
              <w:rPr>
                <w:rFonts w:ascii="Times New Roman" w:hAnsi="Times New Roman"/>
                <w:sz w:val="24"/>
                <w:szCs w:val="24"/>
                <w:lang w:eastAsia="de-DE"/>
              </w:rPr>
              <w:t>its</w:t>
            </w:r>
            <w:r w:rsidR="00CC6FC2" w:rsidRPr="00F9322C">
              <w:rPr>
                <w:rFonts w:ascii="Times New Roman" w:hAnsi="Times New Roman"/>
                <w:sz w:val="24"/>
                <w:szCs w:val="24"/>
                <w:lang w:eastAsia="de-DE"/>
              </w:rPr>
              <w:t xml:space="preserve"> mandate is to improve the provision of information to workers</w:t>
            </w:r>
            <w:r w:rsidR="00DC0854" w:rsidRPr="00F9322C">
              <w:rPr>
                <w:rFonts w:ascii="Times New Roman" w:hAnsi="Times New Roman"/>
                <w:sz w:val="24"/>
                <w:szCs w:val="24"/>
                <w:lang w:eastAsia="de-DE"/>
              </w:rPr>
              <w:t>,</w:t>
            </w:r>
            <w:r w:rsidR="00CC6FC2" w:rsidRPr="00F9322C">
              <w:rPr>
                <w:rFonts w:ascii="Times New Roman" w:hAnsi="Times New Roman"/>
                <w:sz w:val="24"/>
                <w:szCs w:val="24"/>
                <w:lang w:eastAsia="de-DE"/>
              </w:rPr>
              <w:t xml:space="preserve"> including TCNs</w:t>
            </w:r>
            <w:r w:rsidR="007065FD" w:rsidRPr="00F9322C">
              <w:rPr>
                <w:rFonts w:ascii="Times New Roman" w:hAnsi="Times New Roman"/>
                <w:sz w:val="24"/>
                <w:szCs w:val="24"/>
                <w:lang w:eastAsia="de-DE"/>
              </w:rPr>
              <w:t>.</w:t>
            </w:r>
          </w:p>
        </w:tc>
      </w:tr>
    </w:tbl>
    <w:p w14:paraId="4B31F071" w14:textId="77777777" w:rsidR="00077C4F" w:rsidRPr="00F9322C" w:rsidRDefault="00077C4F" w:rsidP="00F9322C">
      <w:pPr>
        <w:spacing w:after="0" w:line="240" w:lineRule="auto"/>
        <w:ind w:left="-567"/>
        <w:rPr>
          <w:rFonts w:ascii="Times New Roman" w:hAnsi="Times New Roman"/>
          <w:sz w:val="10"/>
          <w:szCs w:val="10"/>
        </w:rPr>
      </w:pPr>
    </w:p>
    <w:sectPr w:rsidR="00077C4F" w:rsidRPr="00F9322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0E928" w14:textId="77777777" w:rsidR="00DC2669" w:rsidRPr="00591417" w:rsidRDefault="00DC2669" w:rsidP="00FF63EA">
      <w:pPr>
        <w:spacing w:after="0" w:line="240" w:lineRule="auto"/>
      </w:pPr>
      <w:r w:rsidRPr="00591417">
        <w:separator/>
      </w:r>
    </w:p>
  </w:endnote>
  <w:endnote w:type="continuationSeparator" w:id="0">
    <w:p w14:paraId="493C52BF" w14:textId="77777777" w:rsidR="00DC2669" w:rsidRPr="00591417" w:rsidRDefault="00DC2669" w:rsidP="00FF63EA">
      <w:pPr>
        <w:spacing w:after="0" w:line="240" w:lineRule="auto"/>
      </w:pPr>
      <w:r w:rsidRPr="005914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B247F" w14:textId="77777777" w:rsidR="00DC2669" w:rsidRPr="00591417" w:rsidRDefault="00DC2669" w:rsidP="00FF63EA">
      <w:pPr>
        <w:spacing w:after="0" w:line="240" w:lineRule="auto"/>
      </w:pPr>
      <w:r w:rsidRPr="00591417">
        <w:separator/>
      </w:r>
    </w:p>
  </w:footnote>
  <w:footnote w:type="continuationSeparator" w:id="0">
    <w:p w14:paraId="11BD69A0" w14:textId="77777777" w:rsidR="00DC2669" w:rsidRPr="00591417" w:rsidRDefault="00DC2669" w:rsidP="00FF63EA">
      <w:pPr>
        <w:spacing w:after="0" w:line="240" w:lineRule="auto"/>
      </w:pPr>
      <w:r w:rsidRPr="00591417">
        <w:continuationSeparator/>
      </w:r>
    </w:p>
  </w:footnote>
  <w:footnote w:id="1">
    <w:p w14:paraId="25E86F6C" w14:textId="130DA19A" w:rsidR="00877BC6" w:rsidRPr="00246C02" w:rsidRDefault="00877BC6" w:rsidP="00384AB4">
      <w:pPr>
        <w:pStyle w:val="FootnoteText"/>
        <w:spacing w:after="0" w:line="240" w:lineRule="auto"/>
        <w:ind w:left="-142" w:right="-426" w:hanging="284"/>
        <w:jc w:val="both"/>
        <w:rPr>
          <w:rFonts w:ascii="Times New Roman" w:hAnsi="Times New Roman"/>
        </w:rPr>
      </w:pPr>
      <w:r w:rsidRPr="00246C02">
        <w:rPr>
          <w:rStyle w:val="FootnoteReference"/>
          <w:rFonts w:ascii="Times New Roman" w:hAnsi="Times New Roman"/>
        </w:rPr>
        <w:footnoteRef/>
      </w:r>
      <w:r w:rsidRPr="00246C02">
        <w:rPr>
          <w:rFonts w:ascii="Times New Roman" w:hAnsi="Times New Roman"/>
        </w:rPr>
        <w:t xml:space="preserve"> </w:t>
      </w:r>
      <w:r w:rsidR="00246C02" w:rsidRPr="00384AB4">
        <w:rPr>
          <w:rFonts w:ascii="Times New Roman" w:hAnsi="Times New Roman"/>
        </w:rPr>
        <w:tab/>
        <w:t>Directive 2014/67/EU of the European Parliament and of the Council of 15 May 2014 on the enforcement of Directive 96/71/EC concerning the posting of workers in the framework of the provision of services and amending Regulation (EU) No 1024/2012 on administrative cooperation through the Internal Market Information System (‘the IMI</w:t>
      </w:r>
      <w:r w:rsidR="00A1305E">
        <w:rPr>
          <w:rFonts w:ascii="Times New Roman" w:hAnsi="Times New Roman"/>
        </w:rPr>
        <w:t xml:space="preserve"> </w:t>
      </w:r>
      <w:r w:rsidR="00246C02" w:rsidRPr="00384AB4">
        <w:rPr>
          <w:rFonts w:ascii="Times New Roman" w:hAnsi="Times New Roman"/>
        </w:rPr>
        <w:t>Regulation’); (</w:t>
      </w:r>
      <w:hyperlink r:id="rId1" w:history="1">
        <w:r w:rsidR="00246C02" w:rsidRPr="00246C02">
          <w:rPr>
            <w:rStyle w:val="Hyperlink"/>
            <w:rFonts w:ascii="Times New Roman" w:hAnsi="Times New Roman"/>
          </w:rPr>
          <w:t>https://eur-lex.europa.eu/eli/dir/2014/67/oj/eng</w:t>
        </w:r>
      </w:hyperlink>
      <w:r w:rsidR="00246C02" w:rsidRPr="00384AB4">
        <w:rPr>
          <w:rFonts w:ascii="Times New Roman" w:hAnsi="Times New Roman"/>
        </w:rPr>
        <w:t>).</w:t>
      </w:r>
    </w:p>
  </w:footnote>
  <w:footnote w:id="2">
    <w:p w14:paraId="6107522E" w14:textId="3C765562" w:rsidR="00877BC6" w:rsidRPr="00384AB4" w:rsidRDefault="00877BC6" w:rsidP="00384AB4">
      <w:pPr>
        <w:pStyle w:val="FootnoteText"/>
        <w:spacing w:after="0" w:line="240" w:lineRule="auto"/>
        <w:ind w:left="-142" w:right="-426" w:hanging="284"/>
        <w:jc w:val="both"/>
        <w:rPr>
          <w:rFonts w:ascii="Times New Roman" w:hAnsi="Times New Roman"/>
        </w:rPr>
      </w:pPr>
      <w:r w:rsidRPr="00246C02">
        <w:rPr>
          <w:rStyle w:val="FootnoteReference"/>
          <w:rFonts w:ascii="Times New Roman" w:hAnsi="Times New Roman"/>
        </w:rPr>
        <w:footnoteRef/>
      </w:r>
      <w:r w:rsidRPr="00246C02">
        <w:rPr>
          <w:rFonts w:ascii="Times New Roman" w:hAnsi="Times New Roman"/>
        </w:rPr>
        <w:t xml:space="preserve"> </w:t>
      </w:r>
      <w:r w:rsidR="00246C02" w:rsidRPr="00384AB4">
        <w:rPr>
          <w:rFonts w:ascii="Times New Roman" w:hAnsi="Times New Roman"/>
        </w:rPr>
        <w:tab/>
        <w:t>Directive 96/71/EC of the European Parliament and of the Council of 16 December 1996 concerning the posting of workers in the framework of the provision of services</w:t>
      </w:r>
      <w:r w:rsidR="00246C02" w:rsidRPr="00246C02">
        <w:rPr>
          <w:rFonts w:ascii="Times New Roman" w:hAnsi="Times New Roman"/>
        </w:rPr>
        <w:t xml:space="preserve"> </w:t>
      </w:r>
      <w:r w:rsidR="00246C02">
        <w:rPr>
          <w:rFonts w:ascii="Times New Roman" w:hAnsi="Times New Roman"/>
        </w:rPr>
        <w:t>(</w:t>
      </w:r>
      <w:hyperlink r:id="rId2" w:history="1">
        <w:r w:rsidR="00246C02" w:rsidRPr="00246C02">
          <w:rPr>
            <w:rStyle w:val="Hyperlink"/>
            <w:rFonts w:ascii="Times New Roman" w:hAnsi="Times New Roman"/>
          </w:rPr>
          <w:t>https://eur-lex.europa.eu/eli/dir/1996/71/oj/eng</w:t>
        </w:r>
      </w:hyperlink>
      <w:r w:rsidR="00246C02" w:rsidRPr="00384AB4">
        <w:rPr>
          <w:rFonts w:ascii="Times New Roman" w:hAnsi="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DDCE010"/>
    <w:lvl w:ilvl="0">
      <w:start w:val="1"/>
      <w:numFmt w:val="decimal"/>
      <w:pStyle w:val="Heading1"/>
      <w:lvlText w:val="%1."/>
      <w:legacy w:legacy="1" w:legacySpace="0" w:legacyIndent="0"/>
      <w:lvlJc w:val="left"/>
      <w:rPr>
        <w:b w:val="0"/>
      </w:rPr>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142D4604"/>
    <w:multiLevelType w:val="multilevel"/>
    <w:tmpl w:val="7DCC95C8"/>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19323C9F"/>
    <w:multiLevelType w:val="hybridMultilevel"/>
    <w:tmpl w:val="D0200A1C"/>
    <w:lvl w:ilvl="0" w:tplc="FFFFFFFF">
      <w:start w:val="1"/>
      <w:numFmt w:val="bullet"/>
      <w:lvlText w:val=""/>
      <w:lvlJc w:val="left"/>
      <w:pPr>
        <w:ind w:left="720" w:hanging="360"/>
      </w:pPr>
      <w:rPr>
        <w:rFonts w:ascii="Symbol" w:hAnsi="Symbol" w:hint="default"/>
        <w:sz w:val="24"/>
        <w:szCs w:val="24"/>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1BA1A571"/>
    <w:multiLevelType w:val="hybridMultilevel"/>
    <w:tmpl w:val="8046A336"/>
    <w:lvl w:ilvl="0" w:tplc="F04A0A22">
      <w:start w:val="1"/>
      <w:numFmt w:val="bullet"/>
      <w:lvlText w:val=""/>
      <w:lvlJc w:val="left"/>
      <w:pPr>
        <w:ind w:left="720" w:hanging="360"/>
      </w:pPr>
      <w:rPr>
        <w:rFonts w:ascii="Symbol" w:hAnsi="Symbol" w:hint="default"/>
      </w:rPr>
    </w:lvl>
    <w:lvl w:ilvl="1" w:tplc="1D301AB0">
      <w:start w:val="1"/>
      <w:numFmt w:val="bullet"/>
      <w:lvlText w:val="o"/>
      <w:lvlJc w:val="left"/>
      <w:pPr>
        <w:ind w:left="1440" w:hanging="360"/>
      </w:pPr>
      <w:rPr>
        <w:rFonts w:ascii="Courier New" w:hAnsi="Courier New" w:hint="default"/>
      </w:rPr>
    </w:lvl>
    <w:lvl w:ilvl="2" w:tplc="37423622">
      <w:start w:val="1"/>
      <w:numFmt w:val="bullet"/>
      <w:lvlText w:val=""/>
      <w:lvlJc w:val="left"/>
      <w:pPr>
        <w:ind w:left="2160" w:hanging="360"/>
      </w:pPr>
      <w:rPr>
        <w:rFonts w:ascii="Wingdings" w:hAnsi="Wingdings" w:hint="default"/>
      </w:rPr>
    </w:lvl>
    <w:lvl w:ilvl="3" w:tplc="226C12C4">
      <w:start w:val="1"/>
      <w:numFmt w:val="bullet"/>
      <w:lvlText w:val=""/>
      <w:lvlJc w:val="left"/>
      <w:pPr>
        <w:ind w:left="2880" w:hanging="360"/>
      </w:pPr>
      <w:rPr>
        <w:rFonts w:ascii="Symbol" w:hAnsi="Symbol" w:hint="default"/>
      </w:rPr>
    </w:lvl>
    <w:lvl w:ilvl="4" w:tplc="70A6136C">
      <w:start w:val="1"/>
      <w:numFmt w:val="bullet"/>
      <w:lvlText w:val="o"/>
      <w:lvlJc w:val="left"/>
      <w:pPr>
        <w:ind w:left="3600" w:hanging="360"/>
      </w:pPr>
      <w:rPr>
        <w:rFonts w:ascii="Courier New" w:hAnsi="Courier New" w:hint="default"/>
      </w:rPr>
    </w:lvl>
    <w:lvl w:ilvl="5" w:tplc="9E325672">
      <w:start w:val="1"/>
      <w:numFmt w:val="bullet"/>
      <w:lvlText w:val=""/>
      <w:lvlJc w:val="left"/>
      <w:pPr>
        <w:ind w:left="4320" w:hanging="360"/>
      </w:pPr>
      <w:rPr>
        <w:rFonts w:ascii="Wingdings" w:hAnsi="Wingdings" w:hint="default"/>
      </w:rPr>
    </w:lvl>
    <w:lvl w:ilvl="6" w:tplc="EBB65CA2">
      <w:start w:val="1"/>
      <w:numFmt w:val="bullet"/>
      <w:lvlText w:val=""/>
      <w:lvlJc w:val="left"/>
      <w:pPr>
        <w:ind w:left="5040" w:hanging="360"/>
      </w:pPr>
      <w:rPr>
        <w:rFonts w:ascii="Symbol" w:hAnsi="Symbol" w:hint="default"/>
      </w:rPr>
    </w:lvl>
    <w:lvl w:ilvl="7" w:tplc="08E8EE64">
      <w:start w:val="1"/>
      <w:numFmt w:val="bullet"/>
      <w:lvlText w:val="o"/>
      <w:lvlJc w:val="left"/>
      <w:pPr>
        <w:ind w:left="5760" w:hanging="360"/>
      </w:pPr>
      <w:rPr>
        <w:rFonts w:ascii="Courier New" w:hAnsi="Courier New" w:hint="default"/>
      </w:rPr>
    </w:lvl>
    <w:lvl w:ilvl="8" w:tplc="1D2EB780">
      <w:start w:val="1"/>
      <w:numFmt w:val="bullet"/>
      <w:lvlText w:val=""/>
      <w:lvlJc w:val="left"/>
      <w:pPr>
        <w:ind w:left="6480" w:hanging="360"/>
      </w:pPr>
      <w:rPr>
        <w:rFonts w:ascii="Wingdings" w:hAnsi="Wingdings" w:hint="default"/>
      </w:rPr>
    </w:lvl>
  </w:abstractNum>
  <w:abstractNum w:abstractNumId="4" w15:restartNumberingAfterBreak="0">
    <w:nsid w:val="6CF121FE"/>
    <w:multiLevelType w:val="multilevel"/>
    <w:tmpl w:val="ABE60F5C"/>
    <w:lvl w:ilvl="0">
      <w:start w:val="1"/>
      <w:numFmt w:val="decimal"/>
      <w:lvlText w:val="%1."/>
      <w:lvlJc w:val="left"/>
      <w:pPr>
        <w:ind w:left="360" w:hanging="360"/>
      </w:pPr>
      <w:rPr>
        <w:rFonts w:hint="default"/>
      </w:rPr>
    </w:lvl>
    <w:lvl w:ilvl="1">
      <w:start w:val="7"/>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num w:numId="1" w16cid:durableId="776170485">
    <w:abstractNumId w:val="3"/>
  </w:num>
  <w:num w:numId="2" w16cid:durableId="533931647">
    <w:abstractNumId w:val="0"/>
  </w:num>
  <w:num w:numId="3" w16cid:durableId="1370767236">
    <w:abstractNumId w:val="1"/>
  </w:num>
  <w:num w:numId="4" w16cid:durableId="1595823609">
    <w:abstractNumId w:val="4"/>
  </w:num>
  <w:num w:numId="5" w16cid:durableId="8779391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LW_DocType" w:val="NORMAL"/>
  </w:docVars>
  <w:rsids>
    <w:rsidRoot w:val="00077C4F"/>
    <w:rsid w:val="000006E9"/>
    <w:rsid w:val="0000440C"/>
    <w:rsid w:val="00012A37"/>
    <w:rsid w:val="00023865"/>
    <w:rsid w:val="00031B26"/>
    <w:rsid w:val="00035684"/>
    <w:rsid w:val="000424E6"/>
    <w:rsid w:val="00046B15"/>
    <w:rsid w:val="00050DC7"/>
    <w:rsid w:val="000522EF"/>
    <w:rsid w:val="00055392"/>
    <w:rsid w:val="000733C1"/>
    <w:rsid w:val="00076109"/>
    <w:rsid w:val="000763E3"/>
    <w:rsid w:val="00077C4F"/>
    <w:rsid w:val="000822F2"/>
    <w:rsid w:val="0009789B"/>
    <w:rsid w:val="00097C82"/>
    <w:rsid w:val="000A4D65"/>
    <w:rsid w:val="000B3614"/>
    <w:rsid w:val="000F5FD8"/>
    <w:rsid w:val="001051EB"/>
    <w:rsid w:val="00105977"/>
    <w:rsid w:val="0011189B"/>
    <w:rsid w:val="001167C0"/>
    <w:rsid w:val="00122202"/>
    <w:rsid w:val="0013273C"/>
    <w:rsid w:val="00135C2A"/>
    <w:rsid w:val="00141A05"/>
    <w:rsid w:val="001453A4"/>
    <w:rsid w:val="00160BBF"/>
    <w:rsid w:val="00166EE6"/>
    <w:rsid w:val="00172F49"/>
    <w:rsid w:val="00173152"/>
    <w:rsid w:val="0017656A"/>
    <w:rsid w:val="00186F1A"/>
    <w:rsid w:val="001A010E"/>
    <w:rsid w:val="001A56C0"/>
    <w:rsid w:val="001B0E0B"/>
    <w:rsid w:val="001B6948"/>
    <w:rsid w:val="001C0E23"/>
    <w:rsid w:val="001C6BFB"/>
    <w:rsid w:val="001F2EC6"/>
    <w:rsid w:val="001F65D0"/>
    <w:rsid w:val="002056C9"/>
    <w:rsid w:val="002176D0"/>
    <w:rsid w:val="00217E59"/>
    <w:rsid w:val="002253FA"/>
    <w:rsid w:val="00233B0C"/>
    <w:rsid w:val="00246C02"/>
    <w:rsid w:val="00250468"/>
    <w:rsid w:val="00271A19"/>
    <w:rsid w:val="0028549A"/>
    <w:rsid w:val="00293880"/>
    <w:rsid w:val="002B1482"/>
    <w:rsid w:val="002B425F"/>
    <w:rsid w:val="002C73E6"/>
    <w:rsid w:val="002C760B"/>
    <w:rsid w:val="002D0471"/>
    <w:rsid w:val="002D4DAB"/>
    <w:rsid w:val="002F03FA"/>
    <w:rsid w:val="002F4CCC"/>
    <w:rsid w:val="003004D2"/>
    <w:rsid w:val="00327C3C"/>
    <w:rsid w:val="003349A3"/>
    <w:rsid w:val="00352B61"/>
    <w:rsid w:val="0035404A"/>
    <w:rsid w:val="003656A7"/>
    <w:rsid w:val="00373666"/>
    <w:rsid w:val="003761E9"/>
    <w:rsid w:val="003778FB"/>
    <w:rsid w:val="00377967"/>
    <w:rsid w:val="00384AB4"/>
    <w:rsid w:val="00386143"/>
    <w:rsid w:val="003B096F"/>
    <w:rsid w:val="003B58DC"/>
    <w:rsid w:val="003B5F59"/>
    <w:rsid w:val="003D3DD0"/>
    <w:rsid w:val="003E3090"/>
    <w:rsid w:val="003F5583"/>
    <w:rsid w:val="003F686E"/>
    <w:rsid w:val="004303F8"/>
    <w:rsid w:val="00442552"/>
    <w:rsid w:val="00444343"/>
    <w:rsid w:val="00455A1C"/>
    <w:rsid w:val="004675B5"/>
    <w:rsid w:val="00475ECE"/>
    <w:rsid w:val="004770D6"/>
    <w:rsid w:val="00483561"/>
    <w:rsid w:val="00483803"/>
    <w:rsid w:val="00484561"/>
    <w:rsid w:val="0049246C"/>
    <w:rsid w:val="004A7D6B"/>
    <w:rsid w:val="004C2011"/>
    <w:rsid w:val="004E4E42"/>
    <w:rsid w:val="004F6117"/>
    <w:rsid w:val="004F63F1"/>
    <w:rsid w:val="004F651E"/>
    <w:rsid w:val="00523311"/>
    <w:rsid w:val="0052596B"/>
    <w:rsid w:val="00525B15"/>
    <w:rsid w:val="0053112F"/>
    <w:rsid w:val="005326AA"/>
    <w:rsid w:val="005327FB"/>
    <w:rsid w:val="00540C12"/>
    <w:rsid w:val="00554D8D"/>
    <w:rsid w:val="00563E1F"/>
    <w:rsid w:val="005642B3"/>
    <w:rsid w:val="005642F9"/>
    <w:rsid w:val="0056606A"/>
    <w:rsid w:val="005731B7"/>
    <w:rsid w:val="00573835"/>
    <w:rsid w:val="00581306"/>
    <w:rsid w:val="0058506D"/>
    <w:rsid w:val="00591417"/>
    <w:rsid w:val="005C3105"/>
    <w:rsid w:val="005F6F7F"/>
    <w:rsid w:val="00603BFD"/>
    <w:rsid w:val="006153A5"/>
    <w:rsid w:val="0061736E"/>
    <w:rsid w:val="00620451"/>
    <w:rsid w:val="00620CEA"/>
    <w:rsid w:val="0064051F"/>
    <w:rsid w:val="00673DF6"/>
    <w:rsid w:val="00674C83"/>
    <w:rsid w:val="00677628"/>
    <w:rsid w:val="00684177"/>
    <w:rsid w:val="00692C2F"/>
    <w:rsid w:val="00695797"/>
    <w:rsid w:val="00696A5E"/>
    <w:rsid w:val="006A52AC"/>
    <w:rsid w:val="006B0C55"/>
    <w:rsid w:val="006B3B69"/>
    <w:rsid w:val="006B3C69"/>
    <w:rsid w:val="006E2B9C"/>
    <w:rsid w:val="0070180B"/>
    <w:rsid w:val="007065FD"/>
    <w:rsid w:val="00710093"/>
    <w:rsid w:val="00710452"/>
    <w:rsid w:val="007105CD"/>
    <w:rsid w:val="007344D5"/>
    <w:rsid w:val="00734613"/>
    <w:rsid w:val="00736F81"/>
    <w:rsid w:val="00751910"/>
    <w:rsid w:val="007519C9"/>
    <w:rsid w:val="00751E60"/>
    <w:rsid w:val="007520B6"/>
    <w:rsid w:val="00753ACE"/>
    <w:rsid w:val="007547B5"/>
    <w:rsid w:val="0076104D"/>
    <w:rsid w:val="007850E4"/>
    <w:rsid w:val="00795A9E"/>
    <w:rsid w:val="007A606D"/>
    <w:rsid w:val="007A7DAE"/>
    <w:rsid w:val="007B5ECE"/>
    <w:rsid w:val="007B7D89"/>
    <w:rsid w:val="007C2214"/>
    <w:rsid w:val="007C72AD"/>
    <w:rsid w:val="00807B48"/>
    <w:rsid w:val="008135CA"/>
    <w:rsid w:val="0081584F"/>
    <w:rsid w:val="00822997"/>
    <w:rsid w:val="00834689"/>
    <w:rsid w:val="008703BF"/>
    <w:rsid w:val="00877BC6"/>
    <w:rsid w:val="008925CE"/>
    <w:rsid w:val="008A47E0"/>
    <w:rsid w:val="008C3CA6"/>
    <w:rsid w:val="008C4D41"/>
    <w:rsid w:val="008D3AEF"/>
    <w:rsid w:val="008E61A2"/>
    <w:rsid w:val="008F60A3"/>
    <w:rsid w:val="008F676E"/>
    <w:rsid w:val="00910296"/>
    <w:rsid w:val="00943B08"/>
    <w:rsid w:val="009554D4"/>
    <w:rsid w:val="009662C0"/>
    <w:rsid w:val="00975E64"/>
    <w:rsid w:val="00981F45"/>
    <w:rsid w:val="00986DE2"/>
    <w:rsid w:val="00994317"/>
    <w:rsid w:val="00994D12"/>
    <w:rsid w:val="0099535E"/>
    <w:rsid w:val="00996384"/>
    <w:rsid w:val="0099BE5B"/>
    <w:rsid w:val="009B128B"/>
    <w:rsid w:val="009C2955"/>
    <w:rsid w:val="009E02B1"/>
    <w:rsid w:val="009E1DA6"/>
    <w:rsid w:val="009E4905"/>
    <w:rsid w:val="009E6F9E"/>
    <w:rsid w:val="009F04B7"/>
    <w:rsid w:val="00A007E8"/>
    <w:rsid w:val="00A06607"/>
    <w:rsid w:val="00A11F14"/>
    <w:rsid w:val="00A1305E"/>
    <w:rsid w:val="00A16F07"/>
    <w:rsid w:val="00A60B9E"/>
    <w:rsid w:val="00A62C7B"/>
    <w:rsid w:val="00A7709A"/>
    <w:rsid w:val="00AB4FC1"/>
    <w:rsid w:val="00AC7E83"/>
    <w:rsid w:val="00AD041B"/>
    <w:rsid w:val="00AD31D3"/>
    <w:rsid w:val="00AD36B1"/>
    <w:rsid w:val="00AE1842"/>
    <w:rsid w:val="00AE3C7C"/>
    <w:rsid w:val="00AE7AF6"/>
    <w:rsid w:val="00AF221C"/>
    <w:rsid w:val="00B011D5"/>
    <w:rsid w:val="00B13755"/>
    <w:rsid w:val="00B30C73"/>
    <w:rsid w:val="00B31306"/>
    <w:rsid w:val="00B42814"/>
    <w:rsid w:val="00B45A12"/>
    <w:rsid w:val="00B46015"/>
    <w:rsid w:val="00B56ED8"/>
    <w:rsid w:val="00B83936"/>
    <w:rsid w:val="00B86757"/>
    <w:rsid w:val="00BB2802"/>
    <w:rsid w:val="00BC42CA"/>
    <w:rsid w:val="00BD6623"/>
    <w:rsid w:val="00BD6EB7"/>
    <w:rsid w:val="00C17850"/>
    <w:rsid w:val="00C539D4"/>
    <w:rsid w:val="00C54D27"/>
    <w:rsid w:val="00C61394"/>
    <w:rsid w:val="00C63256"/>
    <w:rsid w:val="00C76EEB"/>
    <w:rsid w:val="00C773FF"/>
    <w:rsid w:val="00CC6FC2"/>
    <w:rsid w:val="00CD2217"/>
    <w:rsid w:val="00CD5924"/>
    <w:rsid w:val="00CF1FA3"/>
    <w:rsid w:val="00D01F5A"/>
    <w:rsid w:val="00D063C4"/>
    <w:rsid w:val="00D16F52"/>
    <w:rsid w:val="00D1716E"/>
    <w:rsid w:val="00D216D7"/>
    <w:rsid w:val="00D32A30"/>
    <w:rsid w:val="00D452FE"/>
    <w:rsid w:val="00D53E2B"/>
    <w:rsid w:val="00D64DCE"/>
    <w:rsid w:val="00D64E05"/>
    <w:rsid w:val="00D655DE"/>
    <w:rsid w:val="00D83FBF"/>
    <w:rsid w:val="00D92FD3"/>
    <w:rsid w:val="00D945CD"/>
    <w:rsid w:val="00D97615"/>
    <w:rsid w:val="00DA3B6E"/>
    <w:rsid w:val="00DB273E"/>
    <w:rsid w:val="00DB7581"/>
    <w:rsid w:val="00DC0854"/>
    <w:rsid w:val="00DC2669"/>
    <w:rsid w:val="00DC70C1"/>
    <w:rsid w:val="00DC78BD"/>
    <w:rsid w:val="00DD4117"/>
    <w:rsid w:val="00E15FBE"/>
    <w:rsid w:val="00E50D2B"/>
    <w:rsid w:val="00E55EC4"/>
    <w:rsid w:val="00E60F77"/>
    <w:rsid w:val="00E75B4F"/>
    <w:rsid w:val="00E83C12"/>
    <w:rsid w:val="00E904C8"/>
    <w:rsid w:val="00E93878"/>
    <w:rsid w:val="00EA1BBF"/>
    <w:rsid w:val="00EB29A9"/>
    <w:rsid w:val="00EB2BB6"/>
    <w:rsid w:val="00EB5A90"/>
    <w:rsid w:val="00EB77D2"/>
    <w:rsid w:val="00ED29D5"/>
    <w:rsid w:val="00EE68D5"/>
    <w:rsid w:val="00EE7F55"/>
    <w:rsid w:val="00EF063E"/>
    <w:rsid w:val="00EF479B"/>
    <w:rsid w:val="00F15F2D"/>
    <w:rsid w:val="00F316C8"/>
    <w:rsid w:val="00F37FEB"/>
    <w:rsid w:val="00F41CC6"/>
    <w:rsid w:val="00F46D6B"/>
    <w:rsid w:val="00F503F1"/>
    <w:rsid w:val="00F55E07"/>
    <w:rsid w:val="00F632DE"/>
    <w:rsid w:val="00F63528"/>
    <w:rsid w:val="00F735E4"/>
    <w:rsid w:val="00F87088"/>
    <w:rsid w:val="00F9322C"/>
    <w:rsid w:val="00F95C12"/>
    <w:rsid w:val="00FA5917"/>
    <w:rsid w:val="00FB7834"/>
    <w:rsid w:val="00FD4B6A"/>
    <w:rsid w:val="00FF03A8"/>
    <w:rsid w:val="00FF63EA"/>
    <w:rsid w:val="00FF6800"/>
    <w:rsid w:val="0169CB86"/>
    <w:rsid w:val="03355CC9"/>
    <w:rsid w:val="03A6211D"/>
    <w:rsid w:val="044DE2D7"/>
    <w:rsid w:val="0486DADE"/>
    <w:rsid w:val="04FE0777"/>
    <w:rsid w:val="05EA1BEF"/>
    <w:rsid w:val="06867D35"/>
    <w:rsid w:val="080F2E9C"/>
    <w:rsid w:val="096746E7"/>
    <w:rsid w:val="0984E5C3"/>
    <w:rsid w:val="0A60BA54"/>
    <w:rsid w:val="0B8AC855"/>
    <w:rsid w:val="0BB5AEA9"/>
    <w:rsid w:val="0BF5B838"/>
    <w:rsid w:val="0C8522A5"/>
    <w:rsid w:val="0CD38010"/>
    <w:rsid w:val="0D5FA208"/>
    <w:rsid w:val="0EDE6C5D"/>
    <w:rsid w:val="100033FD"/>
    <w:rsid w:val="108FECCF"/>
    <w:rsid w:val="1100518F"/>
    <w:rsid w:val="11464E3D"/>
    <w:rsid w:val="1159C53C"/>
    <w:rsid w:val="11EC8CB8"/>
    <w:rsid w:val="12C911A6"/>
    <w:rsid w:val="14F09870"/>
    <w:rsid w:val="162B8155"/>
    <w:rsid w:val="162C1F20"/>
    <w:rsid w:val="16F9371B"/>
    <w:rsid w:val="17545479"/>
    <w:rsid w:val="18680E28"/>
    <w:rsid w:val="19854A1E"/>
    <w:rsid w:val="1AD2CE0F"/>
    <w:rsid w:val="1C96F9F3"/>
    <w:rsid w:val="201544C8"/>
    <w:rsid w:val="210EB73F"/>
    <w:rsid w:val="2220612D"/>
    <w:rsid w:val="250A3429"/>
    <w:rsid w:val="250EEA8A"/>
    <w:rsid w:val="262BA690"/>
    <w:rsid w:val="264F15D8"/>
    <w:rsid w:val="283BE39E"/>
    <w:rsid w:val="283CCD71"/>
    <w:rsid w:val="285F7EF0"/>
    <w:rsid w:val="2862F270"/>
    <w:rsid w:val="28BA3848"/>
    <w:rsid w:val="28CC2191"/>
    <w:rsid w:val="29CF0BD7"/>
    <w:rsid w:val="29EB1231"/>
    <w:rsid w:val="2AAC0A1C"/>
    <w:rsid w:val="304B40E0"/>
    <w:rsid w:val="33AC96F4"/>
    <w:rsid w:val="3523C2B7"/>
    <w:rsid w:val="36CEE0C2"/>
    <w:rsid w:val="372BD59B"/>
    <w:rsid w:val="37DC9485"/>
    <w:rsid w:val="3821EDCA"/>
    <w:rsid w:val="39B601EB"/>
    <w:rsid w:val="3A54EDC0"/>
    <w:rsid w:val="3AFBE012"/>
    <w:rsid w:val="3B0C02AD"/>
    <w:rsid w:val="3D343065"/>
    <w:rsid w:val="3EE69B64"/>
    <w:rsid w:val="3FDED992"/>
    <w:rsid w:val="40DE13F5"/>
    <w:rsid w:val="42B43272"/>
    <w:rsid w:val="444285F6"/>
    <w:rsid w:val="448945A6"/>
    <w:rsid w:val="45D2E2B1"/>
    <w:rsid w:val="494D3D00"/>
    <w:rsid w:val="51203BC6"/>
    <w:rsid w:val="5152D439"/>
    <w:rsid w:val="53ABC257"/>
    <w:rsid w:val="54E4EB71"/>
    <w:rsid w:val="5650691A"/>
    <w:rsid w:val="56A6EDF9"/>
    <w:rsid w:val="58000C46"/>
    <w:rsid w:val="58436601"/>
    <w:rsid w:val="5854C25C"/>
    <w:rsid w:val="59476E6F"/>
    <w:rsid w:val="5A0E618E"/>
    <w:rsid w:val="5ACC4547"/>
    <w:rsid w:val="5B1D7A18"/>
    <w:rsid w:val="5C195D95"/>
    <w:rsid w:val="5CBD57B4"/>
    <w:rsid w:val="5E7B900A"/>
    <w:rsid w:val="5ECE5992"/>
    <w:rsid w:val="61E3C13E"/>
    <w:rsid w:val="64E540B5"/>
    <w:rsid w:val="6639340A"/>
    <w:rsid w:val="669F5352"/>
    <w:rsid w:val="670FD523"/>
    <w:rsid w:val="6855B52E"/>
    <w:rsid w:val="689AF11F"/>
    <w:rsid w:val="68A1C286"/>
    <w:rsid w:val="6A1980F4"/>
    <w:rsid w:val="6A41AEFE"/>
    <w:rsid w:val="6B069F79"/>
    <w:rsid w:val="6B5F95D5"/>
    <w:rsid w:val="6DC93874"/>
    <w:rsid w:val="6DEA6792"/>
    <w:rsid w:val="6E7F80F4"/>
    <w:rsid w:val="71DFD810"/>
    <w:rsid w:val="72503B6F"/>
    <w:rsid w:val="72C10D11"/>
    <w:rsid w:val="74ABDCF4"/>
    <w:rsid w:val="74AFC293"/>
    <w:rsid w:val="760E33C5"/>
    <w:rsid w:val="77C19BC6"/>
    <w:rsid w:val="78B4064B"/>
    <w:rsid w:val="795448A8"/>
    <w:rsid w:val="79AC3BDF"/>
    <w:rsid w:val="7CC8E014"/>
    <w:rsid w:val="7E05539B"/>
    <w:rsid w:val="7E75A8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BEE9"/>
  <w15:chartTrackingRefBased/>
  <w15:docId w15:val="{A0F7F485-A6F7-40D4-B2B2-DD8AF9ECE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qFormat/>
    <w:rsid w:val="00620451"/>
    <w:pPr>
      <w:numPr>
        <w:numId w:val="2"/>
      </w:numPr>
      <w:spacing w:after="0" w:line="288" w:lineRule="auto"/>
      <w:ind w:left="567" w:hanging="567"/>
      <w:jc w:val="both"/>
      <w:outlineLvl w:val="0"/>
    </w:pPr>
    <w:rPr>
      <w:rFonts w:ascii="Times New Roman" w:eastAsia="Times New Roman" w:hAnsi="Times New Roman"/>
      <w:kern w:val="28"/>
      <w:lang w:val="en-US"/>
    </w:rPr>
  </w:style>
  <w:style w:type="paragraph" w:styleId="Heading2">
    <w:name w:val="heading 2"/>
    <w:basedOn w:val="Normal"/>
    <w:next w:val="Normal"/>
    <w:link w:val="Heading2Char"/>
    <w:qFormat/>
    <w:rsid w:val="00620451"/>
    <w:pPr>
      <w:numPr>
        <w:ilvl w:val="1"/>
        <w:numId w:val="2"/>
      </w:numPr>
      <w:spacing w:after="0" w:line="288" w:lineRule="auto"/>
      <w:ind w:left="567" w:hanging="567"/>
      <w:jc w:val="both"/>
      <w:outlineLvl w:val="1"/>
    </w:pPr>
    <w:rPr>
      <w:rFonts w:ascii="Times New Roman" w:eastAsia="Times New Roman" w:hAnsi="Times New Roman"/>
      <w:lang w:val="en-US"/>
    </w:rPr>
  </w:style>
  <w:style w:type="paragraph" w:styleId="Heading3">
    <w:name w:val="heading 3"/>
    <w:basedOn w:val="Normal"/>
    <w:next w:val="Normal"/>
    <w:link w:val="Heading3Char"/>
    <w:qFormat/>
    <w:rsid w:val="00620451"/>
    <w:pPr>
      <w:numPr>
        <w:ilvl w:val="2"/>
        <w:numId w:val="2"/>
      </w:numPr>
      <w:spacing w:after="0" w:line="288" w:lineRule="auto"/>
      <w:ind w:left="567" w:hanging="567"/>
      <w:jc w:val="both"/>
      <w:outlineLvl w:val="2"/>
    </w:pPr>
    <w:rPr>
      <w:rFonts w:ascii="Times New Roman" w:eastAsia="Times New Roman" w:hAnsi="Times New Roman"/>
      <w:lang w:val="en-US"/>
    </w:rPr>
  </w:style>
  <w:style w:type="paragraph" w:styleId="Heading4">
    <w:name w:val="heading 4"/>
    <w:basedOn w:val="Normal"/>
    <w:next w:val="Normal"/>
    <w:link w:val="Heading4Char"/>
    <w:qFormat/>
    <w:rsid w:val="00620451"/>
    <w:pPr>
      <w:numPr>
        <w:ilvl w:val="3"/>
        <w:numId w:val="2"/>
      </w:numPr>
      <w:spacing w:after="0" w:line="288" w:lineRule="auto"/>
      <w:ind w:left="567" w:hanging="567"/>
      <w:jc w:val="both"/>
      <w:outlineLvl w:val="3"/>
    </w:pPr>
    <w:rPr>
      <w:rFonts w:ascii="Times New Roman" w:eastAsia="Times New Roman" w:hAnsi="Times New Roman"/>
      <w:lang w:val="en-US"/>
    </w:rPr>
  </w:style>
  <w:style w:type="paragraph" w:styleId="Heading5">
    <w:name w:val="heading 5"/>
    <w:basedOn w:val="Normal"/>
    <w:next w:val="Normal"/>
    <w:link w:val="Heading5Char"/>
    <w:qFormat/>
    <w:rsid w:val="00620451"/>
    <w:pPr>
      <w:numPr>
        <w:ilvl w:val="4"/>
        <w:numId w:val="2"/>
      </w:numPr>
      <w:spacing w:after="0" w:line="288" w:lineRule="auto"/>
      <w:ind w:left="567" w:hanging="567"/>
      <w:jc w:val="both"/>
      <w:outlineLvl w:val="4"/>
    </w:pPr>
    <w:rPr>
      <w:rFonts w:ascii="Times New Roman" w:eastAsia="Times New Roman" w:hAnsi="Times New Roman"/>
      <w:lang w:val="en-US"/>
    </w:rPr>
  </w:style>
  <w:style w:type="paragraph" w:styleId="Heading6">
    <w:name w:val="heading 6"/>
    <w:basedOn w:val="Normal"/>
    <w:next w:val="Normal"/>
    <w:link w:val="Heading6Char"/>
    <w:qFormat/>
    <w:rsid w:val="00620451"/>
    <w:pPr>
      <w:numPr>
        <w:ilvl w:val="5"/>
        <w:numId w:val="2"/>
      </w:numPr>
      <w:spacing w:after="0" w:line="288" w:lineRule="auto"/>
      <w:ind w:left="567" w:hanging="567"/>
      <w:jc w:val="both"/>
      <w:outlineLvl w:val="5"/>
    </w:pPr>
    <w:rPr>
      <w:rFonts w:ascii="Times New Roman" w:eastAsia="Times New Roman" w:hAnsi="Times New Roman"/>
      <w:lang w:val="en-US"/>
    </w:rPr>
  </w:style>
  <w:style w:type="paragraph" w:styleId="Heading7">
    <w:name w:val="heading 7"/>
    <w:basedOn w:val="Normal"/>
    <w:next w:val="Normal"/>
    <w:link w:val="Heading7Char"/>
    <w:qFormat/>
    <w:rsid w:val="00620451"/>
    <w:pPr>
      <w:numPr>
        <w:ilvl w:val="6"/>
        <w:numId w:val="2"/>
      </w:numPr>
      <w:spacing w:after="0" w:line="288" w:lineRule="auto"/>
      <w:ind w:left="567" w:hanging="567"/>
      <w:jc w:val="both"/>
      <w:outlineLvl w:val="6"/>
    </w:pPr>
    <w:rPr>
      <w:rFonts w:ascii="Times New Roman" w:eastAsia="Times New Roman" w:hAnsi="Times New Roman"/>
      <w:lang w:val="en-US"/>
    </w:rPr>
  </w:style>
  <w:style w:type="paragraph" w:styleId="Heading8">
    <w:name w:val="heading 8"/>
    <w:basedOn w:val="Normal"/>
    <w:next w:val="Normal"/>
    <w:link w:val="Heading8Char"/>
    <w:qFormat/>
    <w:rsid w:val="00620451"/>
    <w:pPr>
      <w:numPr>
        <w:ilvl w:val="7"/>
        <w:numId w:val="2"/>
      </w:numPr>
      <w:spacing w:after="0" w:line="288" w:lineRule="auto"/>
      <w:ind w:left="567" w:hanging="567"/>
      <w:jc w:val="both"/>
      <w:outlineLvl w:val="7"/>
    </w:pPr>
    <w:rPr>
      <w:rFonts w:ascii="Times New Roman" w:eastAsia="Times New Roman" w:hAnsi="Times New Roman"/>
      <w:lang w:val="en-US"/>
    </w:rPr>
  </w:style>
  <w:style w:type="paragraph" w:styleId="Heading9">
    <w:name w:val="heading 9"/>
    <w:basedOn w:val="Normal"/>
    <w:next w:val="Normal"/>
    <w:link w:val="Heading9Char"/>
    <w:qFormat/>
    <w:rsid w:val="00620451"/>
    <w:pPr>
      <w:numPr>
        <w:ilvl w:val="8"/>
        <w:numId w:val="2"/>
      </w:numPr>
      <w:spacing w:after="0" w:line="288" w:lineRule="auto"/>
      <w:ind w:left="567" w:hanging="567"/>
      <w:jc w:val="both"/>
      <w:outlineLvl w:val="8"/>
    </w:pPr>
    <w:rPr>
      <w:rFonts w:ascii="Times New Roman" w:eastAsia="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20451"/>
    <w:rPr>
      <w:rFonts w:ascii="Times New Roman" w:eastAsia="Times New Roman" w:hAnsi="Times New Roman"/>
      <w:kern w:val="28"/>
      <w:sz w:val="22"/>
      <w:szCs w:val="22"/>
      <w:lang w:val="en-US" w:eastAsia="en-US"/>
    </w:rPr>
  </w:style>
  <w:style w:type="character" w:customStyle="1" w:styleId="Heading2Char">
    <w:name w:val="Heading 2 Char"/>
    <w:link w:val="Heading2"/>
    <w:rsid w:val="00620451"/>
    <w:rPr>
      <w:rFonts w:ascii="Times New Roman" w:eastAsia="Times New Roman" w:hAnsi="Times New Roman"/>
      <w:sz w:val="22"/>
      <w:szCs w:val="22"/>
      <w:lang w:val="en-US" w:eastAsia="en-US"/>
    </w:rPr>
  </w:style>
  <w:style w:type="character" w:customStyle="1" w:styleId="Heading3Char">
    <w:name w:val="Heading 3 Char"/>
    <w:link w:val="Heading3"/>
    <w:rsid w:val="00620451"/>
    <w:rPr>
      <w:rFonts w:ascii="Times New Roman" w:eastAsia="Times New Roman" w:hAnsi="Times New Roman"/>
      <w:sz w:val="22"/>
      <w:szCs w:val="22"/>
      <w:lang w:val="en-US" w:eastAsia="en-US"/>
    </w:rPr>
  </w:style>
  <w:style w:type="character" w:customStyle="1" w:styleId="Heading4Char">
    <w:name w:val="Heading 4 Char"/>
    <w:link w:val="Heading4"/>
    <w:rsid w:val="00620451"/>
    <w:rPr>
      <w:rFonts w:ascii="Times New Roman" w:eastAsia="Times New Roman" w:hAnsi="Times New Roman"/>
      <w:sz w:val="22"/>
      <w:szCs w:val="22"/>
      <w:lang w:val="en-US" w:eastAsia="en-US"/>
    </w:rPr>
  </w:style>
  <w:style w:type="character" w:customStyle="1" w:styleId="Heading5Char">
    <w:name w:val="Heading 5 Char"/>
    <w:link w:val="Heading5"/>
    <w:rsid w:val="00620451"/>
    <w:rPr>
      <w:rFonts w:ascii="Times New Roman" w:eastAsia="Times New Roman" w:hAnsi="Times New Roman"/>
      <w:sz w:val="22"/>
      <w:szCs w:val="22"/>
      <w:lang w:val="en-US" w:eastAsia="en-US"/>
    </w:rPr>
  </w:style>
  <w:style w:type="character" w:customStyle="1" w:styleId="Heading6Char">
    <w:name w:val="Heading 6 Char"/>
    <w:link w:val="Heading6"/>
    <w:rsid w:val="00620451"/>
    <w:rPr>
      <w:rFonts w:ascii="Times New Roman" w:eastAsia="Times New Roman" w:hAnsi="Times New Roman"/>
      <w:sz w:val="22"/>
      <w:szCs w:val="22"/>
      <w:lang w:val="en-US" w:eastAsia="en-US"/>
    </w:rPr>
  </w:style>
  <w:style w:type="character" w:customStyle="1" w:styleId="Heading7Char">
    <w:name w:val="Heading 7 Char"/>
    <w:link w:val="Heading7"/>
    <w:rsid w:val="00620451"/>
    <w:rPr>
      <w:rFonts w:ascii="Times New Roman" w:eastAsia="Times New Roman" w:hAnsi="Times New Roman"/>
      <w:sz w:val="22"/>
      <w:szCs w:val="22"/>
      <w:lang w:val="en-US" w:eastAsia="en-US"/>
    </w:rPr>
  </w:style>
  <w:style w:type="character" w:customStyle="1" w:styleId="Heading8Char">
    <w:name w:val="Heading 8 Char"/>
    <w:link w:val="Heading8"/>
    <w:rsid w:val="00620451"/>
    <w:rPr>
      <w:rFonts w:ascii="Times New Roman" w:eastAsia="Times New Roman" w:hAnsi="Times New Roman"/>
      <w:sz w:val="22"/>
      <w:szCs w:val="22"/>
      <w:lang w:val="en-US" w:eastAsia="en-US"/>
    </w:rPr>
  </w:style>
  <w:style w:type="character" w:customStyle="1" w:styleId="Heading9Char">
    <w:name w:val="Heading 9 Char"/>
    <w:link w:val="Heading9"/>
    <w:rsid w:val="00620451"/>
    <w:rPr>
      <w:rFonts w:ascii="Times New Roman" w:eastAsia="Times New Roman" w:hAnsi="Times New Roman"/>
      <w:sz w:val="22"/>
      <w:szCs w:val="22"/>
      <w:lang w:val="en-US" w:eastAsia="en-US"/>
    </w:rPr>
  </w:style>
  <w:style w:type="character" w:styleId="Hyperlink">
    <w:name w:val="Hyperlink"/>
    <w:uiPriority w:val="99"/>
    <w:unhideWhenUsed/>
    <w:rsid w:val="00055392"/>
    <w:rPr>
      <w:color w:val="0563C1"/>
      <w:u w:val="single"/>
    </w:rPr>
  </w:style>
  <w:style w:type="character" w:styleId="UnresolvedMention">
    <w:name w:val="Unresolved Mention"/>
    <w:uiPriority w:val="99"/>
    <w:semiHidden/>
    <w:unhideWhenUsed/>
    <w:rsid w:val="00055392"/>
    <w:rPr>
      <w:color w:val="605E5C"/>
      <w:shd w:val="clear" w:color="auto" w:fill="E1DFDD"/>
    </w:rPr>
  </w:style>
  <w:style w:type="character" w:styleId="CommentReference">
    <w:name w:val="annotation reference"/>
    <w:uiPriority w:val="99"/>
    <w:semiHidden/>
    <w:unhideWhenUsed/>
    <w:rsid w:val="00373666"/>
    <w:rPr>
      <w:sz w:val="16"/>
      <w:szCs w:val="16"/>
    </w:rPr>
  </w:style>
  <w:style w:type="paragraph" w:styleId="CommentText">
    <w:name w:val="annotation text"/>
    <w:basedOn w:val="Normal"/>
    <w:link w:val="CommentTextChar"/>
    <w:uiPriority w:val="99"/>
    <w:unhideWhenUsed/>
    <w:rsid w:val="00373666"/>
    <w:rPr>
      <w:sz w:val="20"/>
      <w:szCs w:val="20"/>
    </w:rPr>
  </w:style>
  <w:style w:type="character" w:customStyle="1" w:styleId="CommentTextChar">
    <w:name w:val="Comment Text Char"/>
    <w:link w:val="CommentText"/>
    <w:uiPriority w:val="99"/>
    <w:rsid w:val="00373666"/>
    <w:rPr>
      <w:lang w:eastAsia="en-US"/>
    </w:rPr>
  </w:style>
  <w:style w:type="paragraph" w:styleId="CommentSubject">
    <w:name w:val="annotation subject"/>
    <w:basedOn w:val="CommentText"/>
    <w:next w:val="CommentText"/>
    <w:link w:val="CommentSubjectChar"/>
    <w:uiPriority w:val="99"/>
    <w:semiHidden/>
    <w:unhideWhenUsed/>
    <w:rsid w:val="00373666"/>
    <w:rPr>
      <w:b/>
      <w:bCs/>
    </w:rPr>
  </w:style>
  <w:style w:type="character" w:customStyle="1" w:styleId="CommentSubjectChar">
    <w:name w:val="Comment Subject Char"/>
    <w:link w:val="CommentSubject"/>
    <w:uiPriority w:val="99"/>
    <w:semiHidden/>
    <w:rsid w:val="00373666"/>
    <w:rPr>
      <w:b/>
      <w:bCs/>
      <w:lang w:eastAsia="en-US"/>
    </w:rPr>
  </w:style>
  <w:style w:type="character" w:styleId="Mention">
    <w:name w:val="Mention"/>
    <w:uiPriority w:val="99"/>
    <w:unhideWhenUsed/>
    <w:rsid w:val="00373666"/>
    <w:rPr>
      <w:color w:val="2B579A"/>
      <w:shd w:val="clear" w:color="auto" w:fill="E1DFDD"/>
    </w:rPr>
  </w:style>
  <w:style w:type="paragraph" w:styleId="Revision">
    <w:name w:val="Revision"/>
    <w:hidden/>
    <w:uiPriority w:val="99"/>
    <w:semiHidden/>
    <w:rsid w:val="00160BBF"/>
    <w:rPr>
      <w:sz w:val="22"/>
      <w:szCs w:val="22"/>
      <w:lang w:val="en-GB" w:eastAsia="en-US"/>
    </w:rPr>
  </w:style>
  <w:style w:type="paragraph" w:styleId="Header">
    <w:name w:val="header"/>
    <w:basedOn w:val="Normal"/>
    <w:link w:val="HeaderChar"/>
    <w:uiPriority w:val="99"/>
    <w:semiHidden/>
    <w:unhideWhenUsed/>
    <w:rsid w:val="00160BBF"/>
    <w:pPr>
      <w:tabs>
        <w:tab w:val="center" w:pos="4513"/>
        <w:tab w:val="right" w:pos="9026"/>
      </w:tabs>
    </w:pPr>
  </w:style>
  <w:style w:type="character" w:customStyle="1" w:styleId="HeaderChar">
    <w:name w:val="Header Char"/>
    <w:link w:val="Header"/>
    <w:uiPriority w:val="99"/>
    <w:semiHidden/>
    <w:rsid w:val="00160BBF"/>
    <w:rPr>
      <w:sz w:val="22"/>
      <w:szCs w:val="22"/>
      <w:lang w:val="en-GB" w:eastAsia="en-US"/>
    </w:rPr>
  </w:style>
  <w:style w:type="paragraph" w:styleId="Footer">
    <w:name w:val="footer"/>
    <w:basedOn w:val="Normal"/>
    <w:link w:val="FooterChar"/>
    <w:uiPriority w:val="99"/>
    <w:semiHidden/>
    <w:unhideWhenUsed/>
    <w:rsid w:val="00160BBF"/>
    <w:pPr>
      <w:tabs>
        <w:tab w:val="center" w:pos="4513"/>
        <w:tab w:val="right" w:pos="9026"/>
      </w:tabs>
    </w:pPr>
  </w:style>
  <w:style w:type="character" w:customStyle="1" w:styleId="FooterChar">
    <w:name w:val="Footer Char"/>
    <w:link w:val="Footer"/>
    <w:uiPriority w:val="99"/>
    <w:semiHidden/>
    <w:rsid w:val="00160BBF"/>
    <w:rPr>
      <w:sz w:val="22"/>
      <w:szCs w:val="22"/>
      <w:lang w:val="en-GB" w:eastAsia="en-US"/>
    </w:rPr>
  </w:style>
  <w:style w:type="paragraph" w:styleId="ListParagraph">
    <w:name w:val="List Paragraph"/>
    <w:basedOn w:val="Normal"/>
    <w:uiPriority w:val="34"/>
    <w:qFormat/>
    <w:rsid w:val="0984E5C3"/>
    <w:pPr>
      <w:ind w:left="720"/>
      <w:contextualSpacing/>
    </w:pPr>
  </w:style>
  <w:style w:type="paragraph" w:styleId="FootnoteText">
    <w:name w:val="footnote text"/>
    <w:basedOn w:val="Normal"/>
    <w:link w:val="FootnoteTextChar"/>
    <w:uiPriority w:val="99"/>
    <w:semiHidden/>
    <w:unhideWhenUsed/>
    <w:rsid w:val="00D64DCE"/>
    <w:rPr>
      <w:sz w:val="20"/>
      <w:szCs w:val="20"/>
    </w:rPr>
  </w:style>
  <w:style w:type="character" w:customStyle="1" w:styleId="FootnoteTextChar">
    <w:name w:val="Footnote Text Char"/>
    <w:link w:val="FootnoteText"/>
    <w:uiPriority w:val="99"/>
    <w:semiHidden/>
    <w:rsid w:val="00D64DCE"/>
    <w:rPr>
      <w:lang w:val="en-GB" w:eastAsia="en-US"/>
    </w:rPr>
  </w:style>
  <w:style w:type="character" w:styleId="FootnoteReference">
    <w:name w:val="footnote reference"/>
    <w:uiPriority w:val="99"/>
    <w:semiHidden/>
    <w:unhideWhenUsed/>
    <w:rsid w:val="00D64DCE"/>
    <w:rPr>
      <w:vertAlign w:val="superscript"/>
    </w:rPr>
  </w:style>
  <w:style w:type="character" w:styleId="FollowedHyperlink">
    <w:name w:val="FollowedHyperlink"/>
    <w:uiPriority w:val="99"/>
    <w:semiHidden/>
    <w:unhideWhenUsed/>
    <w:rsid w:val="00246C02"/>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lex.europa.eu/eli/dir/2014/67/oj/en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EN/TXT/?uri=CELEX%3A01996L0071-20200730" TargetMode="Externa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eli/dir/1996/71/oj/eng" TargetMode="External"/><Relationship Id="rId1" Type="http://schemas.openxmlformats.org/officeDocument/2006/relationships/hyperlink" Target="https://eur-lex.europa.eu/eli/dir/2014/67/oj/eng" TargetMode="External"/></Relationships>
</file>

<file path=word/documenttasks/documenttasks1.xml><?xml version="1.0" encoding="utf-8"?>
<t:Tasks xmlns:t="http://schemas.microsoft.com/office/tasks/2019/documenttasks" xmlns:oel="http://schemas.microsoft.com/office/2019/extlst">
  <t:Task id="{6D650D96-45CE-42B8-875F-B3FD8930BF59}">
    <t:Anchor>
      <t:Comment id="119658504"/>
    </t:Anchor>
    <t:History>
      <t:Event id="{CADB0FA1-652C-4F07-A108-1CE6C7E64AFE}" time="2026-07-24T09:44:13.639Z">
        <t:Attribution userId="S::Carita.RAMMUS@ec.europa.eu::97237c5d-5ab5-4bd2-bf6e-00bdc370416f" userProvider="AD" userName="RAMMUS Carita (EMPL)"/>
        <t:Anchor>
          <t:Comment id="119658504"/>
        </t:Anchor>
        <t:Create/>
      </t:Event>
      <t:Event id="{6B40487C-2AF8-4526-A985-11255B15A756}" time="2026-07-24T09:44:13.639Z">
        <t:Attribution userId="S::Carita.RAMMUS@ec.europa.eu::97237c5d-5ab5-4bd2-bf6e-00bdc370416f" userProvider="AD" userName="RAMMUS Carita (EMPL)"/>
        <t:Anchor>
          <t:Comment id="119658504"/>
        </t:Anchor>
        <t:Assign userId="S::Bianka.VALKOVICOVA1@ec.europa.eu::3511eea9-4b2b-46aa-94cc-a0deb8b2407a" userProvider="AD" userName="DEBUSSCHE VALKOVICOVA Bianka (EMPL)"/>
      </t:Event>
      <t:Event id="{23492600-CA55-46A5-9786-05820F724786}" time="2026-07-24T09:44:13.639Z">
        <t:Attribution userId="S::Carita.RAMMUS@ec.europa.eu::97237c5d-5ab5-4bd2-bf6e-00bdc370416f" userProvider="AD" userName="RAMMUS Carita (EMPL)"/>
        <t:Anchor>
          <t:Comment id="119658504"/>
        </t:Anchor>
        <t:SetTitle title="@DEBUSSCHE VALKOVICOVA Bianka (EMPL) would you like to react to this point. It does not call for the Commission, but in this opinion they do not call on COM at all. So we can react if it seems that it is directed to COM."/>
      </t:Event>
    </t:History>
  </t:Task>
  <t:Task id="{9C24E868-DF3D-4BD0-9008-81A2F3DF0E4B}">
    <t:Anchor>
      <t:Comment id="1596954793"/>
    </t:Anchor>
    <t:History>
      <t:Event id="{EF3EB04E-C8FB-4093-9FA2-FE7E9E069FB6}" time="2026-07-24T09:55:31.471Z">
        <t:Attribution userId="S::Carita.RAMMUS@ec.europa.eu::97237c5d-5ab5-4bd2-bf6e-00bdc370416f" userProvider="AD" userName="RAMMUS Carita (EMPL)"/>
        <t:Anchor>
          <t:Comment id="1596954793"/>
        </t:Anchor>
        <t:Create/>
      </t:Event>
      <t:Event id="{96CE5348-E9D7-4C7C-991C-2BA5027D43D4}" time="2026-07-24T09:55:31.471Z">
        <t:Attribution userId="S::Carita.RAMMUS@ec.europa.eu::97237c5d-5ab5-4bd2-bf6e-00bdc370416f" userProvider="AD" userName="RAMMUS Carita (EMPL)"/>
        <t:Anchor>
          <t:Comment id="1596954793"/>
        </t:Anchor>
        <t:Assign userId="S::Radoslaw.OWCZARZAK@ec.europa.eu::b36174f9-ade7-4b28-9a40-2a2482a9feaa" userProvider="AD" userName="OWCZARZAK Radoslaw (EMPL)"/>
      </t:Event>
      <t:Event id="{F00886E1-E849-404D-8FA9-62FD626EAC75}" time="2026-07-24T09:55:31.471Z">
        <t:Attribution userId="S::Carita.RAMMUS@ec.europa.eu::97237c5d-5ab5-4bd2-bf6e-00bdc370416f" userProvider="AD" userName="RAMMUS Carita (EMPL)"/>
        <t:Anchor>
          <t:Comment id="1596954793"/>
        </t:Anchor>
        <t:SetTitle title="@OWCZARZAK Radoslaw (EMPL) could you add here couple of sentences about the Posting call for proposals and perhaps also on the Special Preparatory action (or whatever it is called)."/>
      </t:Event>
    </t:History>
  </t:Task>
  <t:Task id="{CB5CF499-D156-4C6A-ACEF-9A07578B0BED}">
    <t:Anchor>
      <t:Comment id="1380776503"/>
    </t:Anchor>
    <t:History>
      <t:Event id="{0E68CAE3-5FA7-4F83-ABE3-1BEF379744D8}" time="2026-07-27T11:15:33.82Z">
        <t:Attribution userId="S::andrei.luchici@ec.europa.eu::fc05fb06-aa16-4eb8-81cc-5739ba8d5cd0" userProvider="AD" userName="LUCHICI Andrei (EMPL)"/>
        <t:Anchor>
          <t:Comment id="1380776503"/>
        </t:Anchor>
        <t:Create/>
      </t:Event>
      <t:Event id="{8F3AB256-CD7B-4200-8FA6-471276242784}" time="2026-07-27T11:15:33.82Z">
        <t:Attribution userId="S::andrei.luchici@ec.europa.eu::fc05fb06-aa16-4eb8-81cc-5739ba8d5cd0" userProvider="AD" userName="LUCHICI Andrei (EMPL)"/>
        <t:Anchor>
          <t:Comment id="1380776503"/>
        </t:Anchor>
        <t:Assign userId="S::Radoslaw.OWCZARZAK@ec.europa.eu::b36174f9-ade7-4b28-9a40-2a2482a9feaa" userProvider="AD" userName="OWCZARZAK Radoslaw (EMPL)"/>
      </t:Event>
      <t:Event id="{A685800D-6001-4B05-A9F9-88D8F762663E}" time="2026-07-27T11:15:33.82Z">
        <t:Attribution userId="S::andrei.luchici@ec.europa.eu::fc05fb06-aa16-4eb8-81cc-5739ba8d5cd0" userProvider="AD" userName="LUCHICI Andrei (EMPL)"/>
        <t:Anchor>
          <t:Comment id="1380776503"/>
        </t:Anchor>
        <t:SetTitle title="Please shorten this part and do not refer to the amounts. @OWCZARZAK Radoslaw (EMPL)"/>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B06DECA5663C46A25228468530AF33" ma:contentTypeVersion="6" ma:contentTypeDescription="Create a new document." ma:contentTypeScope="" ma:versionID="80a97410bf018bed056e013ce77966ea">
  <xsd:schema xmlns:xsd="http://www.w3.org/2001/XMLSchema" xmlns:xs="http://www.w3.org/2001/XMLSchema" xmlns:p="http://schemas.microsoft.com/office/2006/metadata/properties" xmlns:ns2="b4f06535-9e84-4b34-be76-e3d4f4c5c0a5" xmlns:ns3="6e4c1d7a-e683-4948-9734-36f99d5e1dd9" targetNamespace="http://schemas.microsoft.com/office/2006/metadata/properties" ma:root="true" ma:fieldsID="30cd76fd1dcc3a6646b62c0d6e6c9f1a" ns2:_="" ns3:_="">
    <xsd:import namespace="b4f06535-9e84-4b34-be76-e3d4f4c5c0a5"/>
    <xsd:import namespace="6e4c1d7a-e683-4948-9734-36f99d5e1dd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f06535-9e84-4b34-be76-e3d4f4c5c0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4c1d7a-e683-4948-9734-36f99d5e1dd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AC5A05-053C-4965-81ED-0B9C35529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f06535-9e84-4b34-be76-e3d4f4c5c0a5"/>
    <ds:schemaRef ds:uri="6e4c1d7a-e683-4948-9734-36f99d5e1d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56B8A0-5859-4E99-9F7C-BD6FB2DC9A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E5B78F-9077-4B70-9523-4BB5B86F2ECB}">
  <ds:schemaRefs>
    <ds:schemaRef ds:uri="http://schemas.openxmlformats.org/officeDocument/2006/bibliography"/>
  </ds:schemaRefs>
</ds:datastoreItem>
</file>

<file path=customXml/itemProps4.xml><?xml version="1.0" encoding="utf-8"?>
<ds:datastoreItem xmlns:ds="http://schemas.openxmlformats.org/officeDocument/2006/customXml" ds:itemID="{3CEC0346-134A-4481-8A33-8293577C9E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800</Words>
  <Characters>4353</Characters>
  <Application>Microsoft Office Word</Application>
  <DocSecurity>0</DocSecurity>
  <Lines>60</Lines>
  <Paragraphs>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5144</CharactersWithSpaces>
  <SharedDoc>false</SharedDoc>
  <HLinks>
    <vt:vector size="30" baseType="variant">
      <vt:variant>
        <vt:i4>4390992</vt:i4>
      </vt:variant>
      <vt:variant>
        <vt:i4>6</vt:i4>
      </vt:variant>
      <vt:variant>
        <vt:i4>0</vt:i4>
      </vt:variant>
      <vt:variant>
        <vt:i4>5</vt:i4>
      </vt:variant>
      <vt:variant>
        <vt:lpwstr>https://eur-lex.europa.eu/eli/dir/2014/67/oj/eng</vt:lpwstr>
      </vt:variant>
      <vt:variant>
        <vt:lpwstr/>
      </vt:variant>
      <vt:variant>
        <vt:i4>8126563</vt:i4>
      </vt:variant>
      <vt:variant>
        <vt:i4>3</vt:i4>
      </vt:variant>
      <vt:variant>
        <vt:i4>0</vt:i4>
      </vt:variant>
      <vt:variant>
        <vt:i4>5</vt:i4>
      </vt:variant>
      <vt:variant>
        <vt:lpwstr>https://eur-lex.europa.eu/legal-content/EN/TXT/?uri=CELEX%3A01996L0071-20200730</vt:lpwstr>
      </vt:variant>
      <vt:variant>
        <vt:lpwstr/>
      </vt:variant>
      <vt:variant>
        <vt:i4>4390992</vt:i4>
      </vt:variant>
      <vt:variant>
        <vt:i4>0</vt:i4>
      </vt:variant>
      <vt:variant>
        <vt:i4>0</vt:i4>
      </vt:variant>
      <vt:variant>
        <vt:i4>5</vt:i4>
      </vt:variant>
      <vt:variant>
        <vt:lpwstr>https://eur-lex.europa.eu/eli/dir/2014/67/oj/eng</vt:lpwstr>
      </vt:variant>
      <vt:variant>
        <vt:lpwstr/>
      </vt:variant>
      <vt:variant>
        <vt:i4>4784221</vt:i4>
      </vt:variant>
      <vt:variant>
        <vt:i4>3</vt:i4>
      </vt:variant>
      <vt:variant>
        <vt:i4>0</vt:i4>
      </vt:variant>
      <vt:variant>
        <vt:i4>5</vt:i4>
      </vt:variant>
      <vt:variant>
        <vt:lpwstr>https://eur-lex.europa.eu/eli/dir/1996/71/oj/eng</vt:lpwstr>
      </vt:variant>
      <vt:variant>
        <vt:lpwstr/>
      </vt:variant>
      <vt:variant>
        <vt:i4>4390992</vt:i4>
      </vt:variant>
      <vt:variant>
        <vt:i4>0</vt:i4>
      </vt:variant>
      <vt:variant>
        <vt:i4>0</vt:i4>
      </vt:variant>
      <vt:variant>
        <vt:i4>5</vt:i4>
      </vt:variant>
      <vt:variant>
        <vt:lpwstr>https://eur-lex.europa.eu/eli/dir/2014/67/oj/eng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PUIA Manuela Morena (SG)</dc:creator>
  <cp:keywords/>
  <cp:lastModifiedBy>ROSSI Simona (SG)</cp:lastModifiedBy>
  <cp:revision>2</cp:revision>
  <cp:lastPrinted>2013-02-28T21:02:00Z</cp:lastPrinted>
  <dcterms:created xsi:type="dcterms:W3CDTF">2026-09-17T11:27:00Z</dcterms:created>
  <dcterms:modified xsi:type="dcterms:W3CDTF">2026-09-17T11:27:00Z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2023-04-12T12:31:59Z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633b4ac4-9ed9-4135-981c-e588276a87bc</vt:lpwstr>
  </property>
  <property fmtid="{D5CDD505-2E9C-101B-9397-08002B2CF9AE}" pid="8" name="MSIP_Label_6bd9ddd1-4d20-43f6-abfa-fc3c07406f94_ContentBits">
    <vt:lpwstr>0</vt:lpwstr>
  </property>
  <property fmtid="{D5CDD505-2E9C-101B-9397-08002B2CF9AE}" pid="9" name="ContentTypeId">
    <vt:lpwstr>0x0101002EB06DECA5663C46A25228468530AF33</vt:lpwstr>
  </property>
  <property fmtid="{D5CDD505-2E9C-101B-9397-08002B2CF9AE}" pid="10" name="MediaServiceImageTags">
    <vt:lpwstr/>
  </property>
</Properties>
</file>