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11"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9711"/>
      </w:tblGrid>
      <w:tr w:rsidR="002653A4" w:rsidRPr="00714F6B" w14:paraId="34222E23" w14:textId="77777777" w:rsidTr="186B10D6">
        <w:trPr>
          <w:jc w:val="center"/>
        </w:trPr>
        <w:tc>
          <w:tcPr>
            <w:tcW w:w="9711" w:type="dxa"/>
          </w:tcPr>
          <w:p w14:paraId="01A50E4C" w14:textId="53023E54" w:rsidR="002653A4" w:rsidRPr="00714F6B" w:rsidRDefault="002653A4" w:rsidP="00942A1A">
            <w:pPr>
              <w:spacing w:before="120" w:after="120"/>
              <w:rPr>
                <w:rFonts w:ascii="Times New Roman" w:hAnsi="Times New Roman"/>
                <w:b/>
                <w:sz w:val="24"/>
                <w:szCs w:val="24"/>
              </w:rPr>
            </w:pPr>
            <w:r w:rsidRPr="00714F6B">
              <w:rPr>
                <w:rFonts w:ascii="Times New Roman" w:hAnsi="Times New Roman"/>
                <w:b/>
                <w:sz w:val="24"/>
                <w:szCs w:val="24"/>
              </w:rPr>
              <w:t>Quality Jobs Roadmap</w:t>
            </w:r>
            <w:r w:rsidR="00714F6B" w:rsidRPr="00714F6B">
              <w:rPr>
                <w:rFonts w:ascii="Times New Roman" w:hAnsi="Times New Roman"/>
                <w:b/>
                <w:sz w:val="24"/>
                <w:szCs w:val="24"/>
              </w:rPr>
              <w:br/>
            </w:r>
            <w:r w:rsidR="00714F6B" w:rsidRPr="00942A1A">
              <w:rPr>
                <w:rFonts w:ascii="Times New Roman" w:hAnsi="Times New Roman"/>
                <w:b/>
                <w:sz w:val="24"/>
                <w:szCs w:val="24"/>
              </w:rPr>
              <w:t>(optional opinion)</w:t>
            </w:r>
            <w:r w:rsidRPr="00714F6B">
              <w:rPr>
                <w:rFonts w:ascii="Times New Roman" w:hAnsi="Times New Roman"/>
                <w:b/>
                <w:sz w:val="24"/>
                <w:szCs w:val="24"/>
              </w:rPr>
              <w:br/>
              <w:t>COM(2025) 944 final</w:t>
            </w:r>
            <w:r w:rsidRPr="00714F6B">
              <w:rPr>
                <w:rFonts w:ascii="Times New Roman" w:hAnsi="Times New Roman"/>
                <w:b/>
                <w:sz w:val="24"/>
                <w:szCs w:val="24"/>
              </w:rPr>
              <w:br/>
              <w:t>EESC-2026-00356 ‒ SOC/856</w:t>
            </w:r>
            <w:r w:rsidRPr="00714F6B">
              <w:rPr>
                <w:rFonts w:ascii="Times New Roman" w:hAnsi="Times New Roman"/>
                <w:b/>
                <w:sz w:val="24"/>
                <w:szCs w:val="24"/>
              </w:rPr>
              <w:br/>
              <w:t>607</w:t>
            </w:r>
            <w:r w:rsidRPr="00714F6B">
              <w:rPr>
                <w:rFonts w:ascii="Times New Roman" w:hAnsi="Times New Roman"/>
                <w:b/>
                <w:sz w:val="24"/>
                <w:szCs w:val="24"/>
                <w:vertAlign w:val="superscript"/>
              </w:rPr>
              <w:t>th</w:t>
            </w:r>
            <w:r w:rsidRPr="00714F6B">
              <w:rPr>
                <w:rFonts w:ascii="Times New Roman" w:hAnsi="Times New Roman"/>
                <w:b/>
                <w:sz w:val="24"/>
                <w:szCs w:val="24"/>
              </w:rPr>
              <w:t xml:space="preserve"> Plenary Session – July 2026</w:t>
            </w:r>
            <w:r w:rsidRPr="00714F6B">
              <w:rPr>
                <w:rFonts w:ascii="Times New Roman" w:hAnsi="Times New Roman"/>
                <w:b/>
                <w:sz w:val="24"/>
                <w:szCs w:val="24"/>
              </w:rPr>
              <w:br/>
              <w:t xml:space="preserve">Rapporteur: Claude ROLIN </w:t>
            </w:r>
            <w:r w:rsidR="00A72D1E" w:rsidRPr="00714F6B">
              <w:rPr>
                <w:rFonts w:ascii="Times New Roman" w:hAnsi="Times New Roman"/>
                <w:b/>
                <w:sz w:val="24"/>
                <w:szCs w:val="24"/>
              </w:rPr>
              <w:t>(BE</w:t>
            </w:r>
            <w:r w:rsidRPr="00714F6B">
              <w:rPr>
                <w:rFonts w:ascii="Times New Roman" w:hAnsi="Times New Roman"/>
                <w:b/>
                <w:sz w:val="24"/>
                <w:szCs w:val="24"/>
              </w:rPr>
              <w:t xml:space="preserve"> – group</w:t>
            </w:r>
            <w:r w:rsidR="00A72D1E" w:rsidRPr="00714F6B">
              <w:rPr>
                <w:rFonts w:ascii="Times New Roman" w:hAnsi="Times New Roman"/>
                <w:b/>
                <w:sz w:val="24"/>
                <w:szCs w:val="24"/>
              </w:rPr>
              <w:t>:</w:t>
            </w:r>
            <w:r w:rsidRPr="00714F6B">
              <w:rPr>
                <w:rFonts w:ascii="Times New Roman" w:hAnsi="Times New Roman"/>
                <w:b/>
                <w:sz w:val="24"/>
                <w:szCs w:val="24"/>
              </w:rPr>
              <w:t xml:space="preserve"> </w:t>
            </w:r>
            <w:r w:rsidR="00714F6B" w:rsidRPr="00714F6B">
              <w:rPr>
                <w:rFonts w:ascii="Times New Roman" w:hAnsi="Times New Roman"/>
                <w:b/>
                <w:sz w:val="24"/>
                <w:szCs w:val="24"/>
              </w:rPr>
              <w:t>W</w:t>
            </w:r>
            <w:r w:rsidRPr="00714F6B">
              <w:rPr>
                <w:rFonts w:ascii="Times New Roman" w:hAnsi="Times New Roman"/>
                <w:b/>
                <w:sz w:val="24"/>
                <w:szCs w:val="24"/>
              </w:rPr>
              <w:t>orkers</w:t>
            </w:r>
            <w:r w:rsidR="00A72D1E" w:rsidRPr="00714F6B">
              <w:rPr>
                <w:rFonts w:ascii="Times New Roman" w:hAnsi="Times New Roman"/>
                <w:b/>
                <w:sz w:val="24"/>
                <w:szCs w:val="24"/>
              </w:rPr>
              <w:t>)</w:t>
            </w:r>
            <w:r w:rsidRPr="00714F6B">
              <w:rPr>
                <w:rFonts w:ascii="Times New Roman" w:hAnsi="Times New Roman"/>
                <w:b/>
                <w:sz w:val="24"/>
                <w:szCs w:val="24"/>
              </w:rPr>
              <w:br/>
              <w:t>DG EMPL – E</w:t>
            </w:r>
            <w:r w:rsidR="00A72D1E" w:rsidRPr="00714F6B">
              <w:rPr>
                <w:rFonts w:ascii="Times New Roman" w:hAnsi="Times New Roman"/>
                <w:b/>
                <w:sz w:val="24"/>
                <w:szCs w:val="24"/>
              </w:rPr>
              <w:t xml:space="preserve">xecutive </w:t>
            </w:r>
            <w:r w:rsidRPr="00714F6B">
              <w:rPr>
                <w:rFonts w:ascii="Times New Roman" w:hAnsi="Times New Roman"/>
                <w:b/>
                <w:sz w:val="24"/>
                <w:szCs w:val="24"/>
              </w:rPr>
              <w:t>V</w:t>
            </w:r>
            <w:r w:rsidR="00A72D1E" w:rsidRPr="00714F6B">
              <w:rPr>
                <w:rFonts w:ascii="Times New Roman" w:hAnsi="Times New Roman"/>
                <w:b/>
                <w:sz w:val="24"/>
                <w:szCs w:val="24"/>
              </w:rPr>
              <w:t>ice-</w:t>
            </w:r>
            <w:r w:rsidRPr="00714F6B">
              <w:rPr>
                <w:rFonts w:ascii="Times New Roman" w:hAnsi="Times New Roman"/>
                <w:b/>
                <w:sz w:val="24"/>
                <w:szCs w:val="24"/>
              </w:rPr>
              <w:t>P</w:t>
            </w:r>
            <w:r w:rsidR="00A72D1E" w:rsidRPr="00714F6B">
              <w:rPr>
                <w:rFonts w:ascii="Times New Roman" w:hAnsi="Times New Roman"/>
                <w:b/>
                <w:sz w:val="24"/>
                <w:szCs w:val="24"/>
              </w:rPr>
              <w:t>resident</w:t>
            </w:r>
            <w:r w:rsidRPr="00714F6B">
              <w:rPr>
                <w:rFonts w:ascii="Times New Roman" w:hAnsi="Times New Roman"/>
                <w:b/>
                <w:sz w:val="24"/>
                <w:szCs w:val="24"/>
              </w:rPr>
              <w:t xml:space="preserve"> </w:t>
            </w:r>
            <w:r w:rsidR="00A72D1E" w:rsidRPr="00714F6B">
              <w:rPr>
                <w:rFonts w:ascii="Times New Roman" w:hAnsi="Times New Roman"/>
                <w:b/>
                <w:sz w:val="24"/>
                <w:szCs w:val="24"/>
              </w:rPr>
              <w:t>MÎNZATU</w:t>
            </w:r>
          </w:p>
        </w:tc>
      </w:tr>
      <w:tr w:rsidR="00734613" w:rsidRPr="00714F6B" w14:paraId="1937071F" w14:textId="77777777" w:rsidTr="186B10D6">
        <w:trPr>
          <w:jc w:val="center"/>
        </w:trPr>
        <w:tc>
          <w:tcPr>
            <w:tcW w:w="9711" w:type="dxa"/>
          </w:tcPr>
          <w:p w14:paraId="1E50B4DB" w14:textId="181E02CC" w:rsidR="00734613" w:rsidRPr="00714F6B" w:rsidRDefault="004F6117" w:rsidP="004F6117">
            <w:pPr>
              <w:spacing w:before="120" w:after="120"/>
              <w:jc w:val="center"/>
              <w:rPr>
                <w:rFonts w:ascii="Times New Roman" w:hAnsi="Times New Roman"/>
                <w:b/>
                <w:sz w:val="24"/>
                <w:szCs w:val="24"/>
              </w:rPr>
            </w:pPr>
            <w:r w:rsidRPr="00714F6B">
              <w:rPr>
                <w:rFonts w:ascii="Times New Roman" w:hAnsi="Times New Roman"/>
                <w:b/>
                <w:sz w:val="24"/>
                <w:szCs w:val="24"/>
              </w:rPr>
              <w:t>European Commission position on points</w:t>
            </w:r>
            <w:r w:rsidRPr="00714F6B">
              <w:rPr>
                <w:rFonts w:ascii="Times New Roman" w:hAnsi="Times New Roman"/>
                <w:b/>
                <w:sz w:val="24"/>
                <w:szCs w:val="24"/>
              </w:rPr>
              <w:br/>
              <w:t>of the European Economic and Social Committee opinion</w:t>
            </w:r>
            <w:r w:rsidR="00E83C12" w:rsidRPr="00714F6B">
              <w:rPr>
                <w:rFonts w:ascii="Times New Roman" w:hAnsi="Times New Roman"/>
                <w:b/>
                <w:sz w:val="24"/>
                <w:szCs w:val="24"/>
              </w:rPr>
              <w:t xml:space="preserve"> considered as essential</w:t>
            </w:r>
          </w:p>
        </w:tc>
      </w:tr>
      <w:tr w:rsidR="00734613" w:rsidRPr="00714F6B" w14:paraId="673DDC1B" w14:textId="77777777" w:rsidTr="186B10D6">
        <w:trPr>
          <w:jc w:val="center"/>
        </w:trPr>
        <w:tc>
          <w:tcPr>
            <w:tcW w:w="9711" w:type="dxa"/>
          </w:tcPr>
          <w:p w14:paraId="24E99A4D" w14:textId="525DFD43" w:rsidR="00734613"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Cs/>
                <w:sz w:val="24"/>
                <w:szCs w:val="24"/>
              </w:rPr>
              <w:t>The Commission shares the importance of aligning the initiative with the existing legal and policy framework. The Quality Jobs Act initiative aims at complementing and updating the EU rules in a</w:t>
            </w:r>
            <w:r w:rsidR="00714F6B" w:rsidRPr="00714F6B">
              <w:rPr>
                <w:rFonts w:ascii="Times New Roman" w:hAnsi="Times New Roman"/>
                <w:bCs/>
                <w:sz w:val="24"/>
                <w:szCs w:val="24"/>
              </w:rPr>
              <w:t> </w:t>
            </w:r>
            <w:r w:rsidRPr="00714F6B">
              <w:rPr>
                <w:rFonts w:ascii="Times New Roman" w:hAnsi="Times New Roman"/>
                <w:bCs/>
                <w:sz w:val="24"/>
                <w:szCs w:val="24"/>
              </w:rPr>
              <w:t xml:space="preserve">targeted way, pursuing a carefully balanced approach ensuring adequate protection of workers while limiting to a </w:t>
            </w:r>
            <w:r w:rsidR="004420C9" w:rsidRPr="00714F6B">
              <w:rPr>
                <w:rFonts w:ascii="Times New Roman" w:hAnsi="Times New Roman"/>
                <w:bCs/>
                <w:sz w:val="24"/>
                <w:szCs w:val="24"/>
              </w:rPr>
              <w:t xml:space="preserve">necessary and proportionate </w:t>
            </w:r>
            <w:r w:rsidRPr="00714F6B">
              <w:rPr>
                <w:rFonts w:ascii="Times New Roman" w:hAnsi="Times New Roman"/>
                <w:bCs/>
                <w:sz w:val="24"/>
                <w:szCs w:val="24"/>
              </w:rPr>
              <w:t>minimum the burden on companies, especially on small and micro-sized companies. The initiative would take account of the diversity of national systems, allowing sufficient space for implementation by the social partners.</w:t>
            </w:r>
          </w:p>
          <w:p w14:paraId="56FB70B6" w14:textId="7AC9D32B" w:rsidR="002653A4" w:rsidRPr="00942A1A"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w:t>
            </w:r>
            <w:r w:rsidR="007C7926" w:rsidRPr="00714F6B">
              <w:rPr>
                <w:rFonts w:ascii="Times New Roman" w:hAnsi="Times New Roman"/>
                <w:b/>
                <w:bCs/>
                <w:sz w:val="24"/>
                <w:szCs w:val="24"/>
              </w:rPr>
              <w:t>s</w:t>
            </w:r>
            <w:r w:rsidRPr="00714F6B">
              <w:rPr>
                <w:rFonts w:ascii="Times New Roman" w:hAnsi="Times New Roman"/>
                <w:b/>
                <w:bCs/>
                <w:sz w:val="24"/>
                <w:szCs w:val="24"/>
              </w:rPr>
              <w:t xml:space="preserve"> 1.3</w:t>
            </w:r>
            <w:r w:rsidR="007C7926" w:rsidRPr="00714F6B">
              <w:rPr>
                <w:rFonts w:ascii="Times New Roman" w:hAnsi="Times New Roman"/>
                <w:b/>
                <w:bCs/>
                <w:sz w:val="24"/>
                <w:szCs w:val="24"/>
              </w:rPr>
              <w:t xml:space="preserve"> and 3.2</w:t>
            </w:r>
            <w:r w:rsidRPr="00714F6B">
              <w:rPr>
                <w:rFonts w:ascii="Times New Roman" w:hAnsi="Times New Roman"/>
                <w:b/>
                <w:bCs/>
                <w:sz w:val="24"/>
                <w:szCs w:val="24"/>
              </w:rPr>
              <w:t>:</w:t>
            </w:r>
            <w:r w:rsidRPr="00714F6B">
              <w:rPr>
                <w:rFonts w:ascii="Times New Roman" w:hAnsi="Times New Roman"/>
                <w:sz w:val="24"/>
                <w:szCs w:val="24"/>
              </w:rPr>
              <w:t xml:space="preserve"> </w:t>
            </w:r>
            <w:r w:rsidRPr="00942A1A">
              <w:rPr>
                <w:rFonts w:ascii="Times New Roman" w:hAnsi="Times New Roman"/>
                <w:sz w:val="24"/>
                <w:szCs w:val="24"/>
              </w:rPr>
              <w:t>In response to the mandate set out in the Employment Committee’s (EMCO) Opinion on the dimensions of job quality presented to the EPSCO Council</w:t>
            </w:r>
            <w:r w:rsidR="006D5423" w:rsidRPr="00942A1A">
              <w:rPr>
                <w:rFonts w:ascii="Times New Roman" w:hAnsi="Times New Roman"/>
                <w:sz w:val="24"/>
                <w:szCs w:val="24"/>
              </w:rPr>
              <w:t xml:space="preserve"> </w:t>
            </w:r>
            <w:r w:rsidRPr="00942A1A">
              <w:rPr>
                <w:rFonts w:ascii="Times New Roman" w:hAnsi="Times New Roman"/>
                <w:sz w:val="24"/>
                <w:szCs w:val="24"/>
              </w:rPr>
              <w:t>procurement on 19 June 2025, the EMCO indicator group (IG) has updated the EMCO Job Quality (JQ) Monitoring Framework (first presented in the 2017 Employment Performance Monitor) for use in the European Semester. This has led to the incorporation of novel aspects, such as the impact of digitalisation on working arrangements, the rise of atypical work, elements related to access to social protection in light of the proliferation of contractual arrangements, the essential role of wellbeing at work, and increased attention to the accessibility of workplaces and equal opportunities, as well as autonomy along more traditional dimensions of job quality, such as wages, working conditions, and job security.</w:t>
            </w:r>
          </w:p>
          <w:p w14:paraId="391B6C32" w14:textId="77610A81" w:rsidR="002653A4" w:rsidRPr="00714F6B" w:rsidRDefault="002653A4" w:rsidP="00147AD3">
            <w:pPr>
              <w:widowControl w:val="0"/>
              <w:spacing w:before="120" w:after="120"/>
              <w:jc w:val="both"/>
              <w:rPr>
                <w:sz w:val="24"/>
                <w:szCs w:val="24"/>
              </w:rPr>
            </w:pPr>
            <w:r w:rsidRPr="00942A1A">
              <w:rPr>
                <w:rFonts w:ascii="Times New Roman" w:hAnsi="Times New Roman"/>
                <w:bCs/>
                <w:sz w:val="24"/>
                <w:szCs w:val="24"/>
              </w:rPr>
              <w:t xml:space="preserve">The monitoring framework draws on various data sources and builds upon the earlier EMCO IG framework as well as those of European and other international institutions, including Eurostat (implementing the UNECE framework), </w:t>
            </w:r>
            <w:proofErr w:type="spellStart"/>
            <w:r w:rsidRPr="00942A1A">
              <w:rPr>
                <w:rFonts w:ascii="Times New Roman" w:hAnsi="Times New Roman"/>
                <w:bCs/>
                <w:sz w:val="24"/>
                <w:szCs w:val="24"/>
              </w:rPr>
              <w:t>Eurofound</w:t>
            </w:r>
            <w:proofErr w:type="spellEnd"/>
            <w:r w:rsidRPr="00942A1A">
              <w:rPr>
                <w:rFonts w:ascii="Times New Roman" w:hAnsi="Times New Roman"/>
                <w:bCs/>
                <w:sz w:val="24"/>
                <w:szCs w:val="24"/>
              </w:rPr>
              <w:t>, the ILO and the OECD.</w:t>
            </w:r>
            <w:r w:rsidR="001157A9" w:rsidRPr="00942A1A">
              <w:rPr>
                <w:rFonts w:ascii="Times New Roman" w:hAnsi="Times New Roman"/>
                <w:bCs/>
                <w:sz w:val="24"/>
                <w:szCs w:val="24"/>
              </w:rPr>
              <w:t xml:space="preserve"> </w:t>
            </w:r>
            <w:r w:rsidRPr="00942A1A">
              <w:rPr>
                <w:rFonts w:ascii="Times New Roman" w:hAnsi="Times New Roman"/>
                <w:bCs/>
                <w:sz w:val="24"/>
                <w:szCs w:val="24"/>
              </w:rPr>
              <w:t>The EMCO IG JQ monitoring Framework will be presented in the 2026 Employment Performance Monitor (transmitted to the Council in October), supporting evidence-based policymaking on job quality across the EU.</w:t>
            </w:r>
          </w:p>
          <w:p w14:paraId="71430D6B" w14:textId="3132FD76" w:rsidR="01E4477F" w:rsidRPr="00714F6B" w:rsidRDefault="01E4477F" w:rsidP="00147AD3">
            <w:pPr>
              <w:widowControl w:val="0"/>
              <w:spacing w:before="120" w:after="120"/>
              <w:jc w:val="both"/>
              <w:rPr>
                <w:sz w:val="24"/>
                <w:szCs w:val="24"/>
              </w:rPr>
            </w:pPr>
            <w:r w:rsidRPr="00942A1A">
              <w:rPr>
                <w:rFonts w:ascii="Times New Roman" w:hAnsi="Times New Roman"/>
                <w:b/>
                <w:bCs/>
                <w:sz w:val="24"/>
                <w:szCs w:val="24"/>
              </w:rPr>
              <w:t>Paragraphs 1.4 and 3.3</w:t>
            </w:r>
            <w:r w:rsidRPr="00942A1A">
              <w:rPr>
                <w:rFonts w:ascii="Times New Roman" w:hAnsi="Times New Roman"/>
                <w:sz w:val="24"/>
                <w:szCs w:val="24"/>
              </w:rPr>
              <w:t xml:space="preserve">: The Commission shares the view that particular attention must be paid to </w:t>
            </w:r>
            <w:r w:rsidR="00912371" w:rsidRPr="00942A1A">
              <w:rPr>
                <w:rFonts w:ascii="Times New Roman" w:hAnsi="Times New Roman"/>
                <w:sz w:val="24"/>
                <w:szCs w:val="24"/>
              </w:rPr>
              <w:t>small and medium-sized enterprises (</w:t>
            </w:r>
            <w:r w:rsidRPr="00942A1A">
              <w:rPr>
                <w:rFonts w:ascii="Times New Roman" w:hAnsi="Times New Roman"/>
                <w:sz w:val="24"/>
                <w:szCs w:val="24"/>
              </w:rPr>
              <w:t>SMEs</w:t>
            </w:r>
            <w:r w:rsidR="00912371" w:rsidRPr="00942A1A">
              <w:rPr>
                <w:rFonts w:ascii="Times New Roman" w:hAnsi="Times New Roman"/>
                <w:sz w:val="24"/>
                <w:szCs w:val="24"/>
              </w:rPr>
              <w:t>)</w:t>
            </w:r>
            <w:r w:rsidRPr="00942A1A">
              <w:rPr>
                <w:rFonts w:ascii="Times New Roman" w:hAnsi="Times New Roman"/>
                <w:sz w:val="24"/>
                <w:szCs w:val="24"/>
              </w:rPr>
              <w:t xml:space="preserve">, the social economy and sectors with labour shortages. In line with the </w:t>
            </w:r>
            <w:r w:rsidR="00912371" w:rsidRPr="00942A1A">
              <w:rPr>
                <w:rFonts w:ascii="Times New Roman" w:hAnsi="Times New Roman"/>
                <w:sz w:val="24"/>
                <w:szCs w:val="24"/>
              </w:rPr>
              <w:t>‘</w:t>
            </w:r>
            <w:r w:rsidRPr="00942A1A">
              <w:rPr>
                <w:rFonts w:ascii="Times New Roman" w:hAnsi="Times New Roman"/>
                <w:sz w:val="24"/>
                <w:szCs w:val="24"/>
              </w:rPr>
              <w:t>think small first</w:t>
            </w:r>
            <w:r w:rsidR="00912371" w:rsidRPr="00942A1A">
              <w:rPr>
                <w:rFonts w:ascii="Times New Roman" w:hAnsi="Times New Roman"/>
                <w:sz w:val="24"/>
                <w:szCs w:val="24"/>
              </w:rPr>
              <w:t>’</w:t>
            </w:r>
            <w:r w:rsidRPr="00942A1A">
              <w:rPr>
                <w:rFonts w:ascii="Times New Roman" w:hAnsi="Times New Roman"/>
                <w:sz w:val="24"/>
                <w:szCs w:val="24"/>
              </w:rPr>
              <w:t xml:space="preserve"> principle, the impacts on SMEs of possible measures under the Quality Jobs Act initiative are being assessed throughout its preparation, and a</w:t>
            </w:r>
            <w:r w:rsidR="00714F6B" w:rsidRPr="00942A1A">
              <w:rPr>
                <w:rFonts w:ascii="Times New Roman" w:hAnsi="Times New Roman"/>
                <w:sz w:val="24"/>
                <w:szCs w:val="24"/>
              </w:rPr>
              <w:t> </w:t>
            </w:r>
            <w:r w:rsidRPr="00942A1A">
              <w:rPr>
                <w:rFonts w:ascii="Times New Roman" w:hAnsi="Times New Roman"/>
                <w:sz w:val="24"/>
                <w:szCs w:val="24"/>
              </w:rPr>
              <w:t>summary of the key results will be included in the SME check annex of the impact assessment report, with a</w:t>
            </w:r>
            <w:r w:rsidR="00B1325B">
              <w:rPr>
                <w:rFonts w:ascii="Times New Roman" w:hAnsi="Times New Roman"/>
                <w:sz w:val="24"/>
                <w:szCs w:val="24"/>
              </w:rPr>
              <w:t> </w:t>
            </w:r>
            <w:r w:rsidRPr="00942A1A">
              <w:rPr>
                <w:rFonts w:ascii="Times New Roman" w:hAnsi="Times New Roman"/>
                <w:sz w:val="24"/>
                <w:szCs w:val="24"/>
              </w:rPr>
              <w:t>view to ensuring that requirements remain</w:t>
            </w:r>
            <w:r w:rsidR="00094627" w:rsidRPr="00942A1A">
              <w:rPr>
                <w:rFonts w:ascii="Times New Roman" w:hAnsi="Times New Roman"/>
                <w:sz w:val="24"/>
                <w:szCs w:val="24"/>
              </w:rPr>
              <w:t xml:space="preserve"> justified,</w:t>
            </w:r>
            <w:r w:rsidRPr="00942A1A">
              <w:rPr>
                <w:rFonts w:ascii="Times New Roman" w:hAnsi="Times New Roman"/>
                <w:sz w:val="24"/>
                <w:szCs w:val="24"/>
              </w:rPr>
              <w:t xml:space="preserve"> proportionate and simple to apply.</w:t>
            </w:r>
          </w:p>
          <w:p w14:paraId="18EE49DF" w14:textId="49ED80A2" w:rsidR="002653A4" w:rsidRPr="00714F6B" w:rsidRDefault="002653A4" w:rsidP="00147AD3">
            <w:pPr>
              <w:widowControl w:val="0"/>
              <w:spacing w:before="120" w:after="120"/>
              <w:jc w:val="both"/>
              <w:rPr>
                <w:rFonts w:ascii="Times New Roman" w:eastAsia="Times New Roman" w:hAnsi="Times New Roman"/>
                <w:sz w:val="24"/>
                <w:szCs w:val="24"/>
              </w:rPr>
            </w:pPr>
            <w:r w:rsidRPr="00714F6B">
              <w:rPr>
                <w:rFonts w:ascii="Times New Roman" w:hAnsi="Times New Roman"/>
                <w:b/>
                <w:bCs/>
                <w:sz w:val="24"/>
                <w:szCs w:val="24"/>
              </w:rPr>
              <w:lastRenderedPageBreak/>
              <w:t>Paragraph 1.5:</w:t>
            </w:r>
            <w:r w:rsidRPr="00714F6B">
              <w:rPr>
                <w:rFonts w:ascii="Times New Roman" w:hAnsi="Times New Roman"/>
                <w:sz w:val="24"/>
                <w:szCs w:val="24"/>
              </w:rPr>
              <w:t xml:space="preserve"> </w:t>
            </w:r>
            <w:r w:rsidRPr="00714F6B">
              <w:rPr>
                <w:rFonts w:ascii="Times New Roman" w:eastAsia="Times New Roman" w:hAnsi="Times New Roman"/>
                <w:sz w:val="24"/>
                <w:szCs w:val="24"/>
              </w:rPr>
              <w:t>The Commission shares the importance of social dialogue and collective bargaining. As set out in the Quality Jobs Roadmap</w:t>
            </w:r>
            <w:r w:rsidR="00912371" w:rsidRPr="00714F6B">
              <w:rPr>
                <w:rStyle w:val="FootnoteReference"/>
                <w:rFonts w:ascii="Times New Roman" w:eastAsia="Times New Roman" w:hAnsi="Times New Roman"/>
                <w:sz w:val="24"/>
                <w:szCs w:val="24"/>
              </w:rPr>
              <w:footnoteReference w:id="1"/>
            </w:r>
            <w:r w:rsidRPr="00714F6B">
              <w:rPr>
                <w:rFonts w:ascii="Times New Roman" w:eastAsia="Times New Roman" w:hAnsi="Times New Roman"/>
                <w:sz w:val="24"/>
                <w:szCs w:val="24"/>
              </w:rPr>
              <w:t>, the initiative was developed based on extensive consultations with European and national trade unions and employer organisations, mobilising around 200 organisations across the EU and engaging in more than 50 discussions in all Member States. This approach is fully consistent with the Pact for European Social Dialogue, which reaffirms the central role of social partners in shaping quality jobs and managing labour market transformations.</w:t>
            </w:r>
          </w:p>
          <w:p w14:paraId="0894AA62" w14:textId="0C32748F"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w:t>
            </w:r>
            <w:r w:rsidR="007C7926" w:rsidRPr="00714F6B">
              <w:rPr>
                <w:rFonts w:ascii="Times New Roman" w:hAnsi="Times New Roman"/>
                <w:b/>
                <w:bCs/>
                <w:sz w:val="24"/>
                <w:szCs w:val="24"/>
              </w:rPr>
              <w:t>s</w:t>
            </w:r>
            <w:r w:rsidRPr="00714F6B">
              <w:rPr>
                <w:rFonts w:ascii="Times New Roman" w:hAnsi="Times New Roman"/>
                <w:b/>
                <w:bCs/>
                <w:sz w:val="24"/>
                <w:szCs w:val="24"/>
              </w:rPr>
              <w:t xml:space="preserve"> 1.6</w:t>
            </w:r>
            <w:r w:rsidR="32193FE1" w:rsidRPr="00714F6B">
              <w:rPr>
                <w:rFonts w:ascii="Times New Roman" w:hAnsi="Times New Roman"/>
                <w:b/>
                <w:bCs/>
                <w:sz w:val="24"/>
                <w:szCs w:val="24"/>
              </w:rPr>
              <w:t>,</w:t>
            </w:r>
            <w:r w:rsidR="007C7926" w:rsidRPr="00714F6B">
              <w:rPr>
                <w:rFonts w:ascii="Times New Roman" w:hAnsi="Times New Roman"/>
                <w:b/>
                <w:bCs/>
                <w:sz w:val="24"/>
                <w:szCs w:val="24"/>
              </w:rPr>
              <w:t xml:space="preserve"> 4.6</w:t>
            </w:r>
            <w:r w:rsidR="16DE917A" w:rsidRPr="00714F6B">
              <w:rPr>
                <w:rFonts w:ascii="Times New Roman" w:hAnsi="Times New Roman"/>
                <w:b/>
                <w:bCs/>
                <w:sz w:val="24"/>
                <w:szCs w:val="24"/>
              </w:rPr>
              <w:t xml:space="preserve"> and 4.7</w:t>
            </w:r>
            <w:r w:rsidRPr="00714F6B">
              <w:rPr>
                <w:rFonts w:ascii="Times New Roman" w:hAnsi="Times New Roman"/>
                <w:b/>
                <w:bCs/>
                <w:sz w:val="24"/>
                <w:szCs w:val="24"/>
              </w:rPr>
              <w:t>:</w:t>
            </w:r>
            <w:r w:rsidRPr="00714F6B">
              <w:rPr>
                <w:rFonts w:ascii="Times New Roman" w:hAnsi="Times New Roman"/>
                <w:sz w:val="24"/>
                <w:szCs w:val="24"/>
              </w:rPr>
              <w:t xml:space="preserve"> </w:t>
            </w:r>
            <w:r w:rsidRPr="00714F6B">
              <w:rPr>
                <w:rFonts w:ascii="Times New Roman" w:eastAsia="Times New Roman" w:hAnsi="Times New Roman"/>
                <w:sz w:val="24"/>
                <w:szCs w:val="24"/>
              </w:rPr>
              <w:t xml:space="preserve">The Commission shares the view that occupational health and safety </w:t>
            </w:r>
            <w:r w:rsidR="007C7926" w:rsidRPr="00714F6B">
              <w:rPr>
                <w:rFonts w:ascii="Times New Roman" w:eastAsia="Times New Roman" w:hAnsi="Times New Roman"/>
                <w:sz w:val="24"/>
                <w:szCs w:val="24"/>
              </w:rPr>
              <w:t xml:space="preserve">(OSH) </w:t>
            </w:r>
            <w:r w:rsidR="526C4F4D" w:rsidRPr="00714F6B">
              <w:rPr>
                <w:rFonts w:ascii="Times New Roman" w:eastAsia="Times New Roman" w:hAnsi="Times New Roman"/>
                <w:sz w:val="24"/>
                <w:szCs w:val="24"/>
              </w:rPr>
              <w:t>is</w:t>
            </w:r>
            <w:r w:rsidRPr="00714F6B">
              <w:rPr>
                <w:rFonts w:ascii="Times New Roman" w:eastAsia="Times New Roman" w:hAnsi="Times New Roman"/>
                <w:sz w:val="24"/>
                <w:szCs w:val="24"/>
              </w:rPr>
              <w:t xml:space="preserve"> key to ensuring job quality. </w:t>
            </w:r>
            <w:r w:rsidRPr="00714F6B">
              <w:rPr>
                <w:rFonts w:ascii="Times New Roman" w:hAnsi="Times New Roman"/>
                <w:sz w:val="24"/>
                <w:szCs w:val="24"/>
              </w:rPr>
              <w:t>As part of the envisaged Quality Jobs Act initiative, the Commission is carrying out a review of the Workplace Directive</w:t>
            </w:r>
            <w:r w:rsidRPr="00714F6B">
              <w:rPr>
                <w:rFonts w:ascii="Times New Roman" w:hAnsi="Times New Roman"/>
                <w:sz w:val="24"/>
                <w:szCs w:val="24"/>
                <w:vertAlign w:val="superscript"/>
              </w:rPr>
              <w:footnoteReference w:id="2"/>
            </w:r>
            <w:r w:rsidRPr="00714F6B">
              <w:rPr>
                <w:rFonts w:ascii="Times New Roman" w:hAnsi="Times New Roman"/>
                <w:sz w:val="24"/>
                <w:szCs w:val="24"/>
              </w:rPr>
              <w:t xml:space="preserve"> and Display Screen </w:t>
            </w:r>
            <w:r w:rsidR="11BDF03D" w:rsidRPr="00714F6B">
              <w:rPr>
                <w:rFonts w:ascii="Times New Roman" w:hAnsi="Times New Roman"/>
                <w:sz w:val="24"/>
                <w:szCs w:val="24"/>
              </w:rPr>
              <w:t xml:space="preserve">Equipment </w:t>
            </w:r>
            <w:r w:rsidRPr="00714F6B">
              <w:rPr>
                <w:rFonts w:ascii="Times New Roman" w:hAnsi="Times New Roman"/>
                <w:sz w:val="24"/>
                <w:szCs w:val="24"/>
              </w:rPr>
              <w:t>Directive</w:t>
            </w:r>
            <w:r w:rsidRPr="00714F6B">
              <w:rPr>
                <w:rFonts w:ascii="Times New Roman" w:hAnsi="Times New Roman"/>
                <w:sz w:val="24"/>
                <w:szCs w:val="24"/>
                <w:vertAlign w:val="superscript"/>
              </w:rPr>
              <w:footnoteReference w:id="3"/>
            </w:r>
            <w:r w:rsidRPr="00714F6B">
              <w:rPr>
                <w:rFonts w:ascii="Times New Roman" w:hAnsi="Times New Roman"/>
                <w:sz w:val="24"/>
                <w:szCs w:val="24"/>
              </w:rPr>
              <w:t xml:space="preserve">. EU action in this field would strive to reconcile the need to improve worker protection, while ensuring that employers’ responsibilities are proportionate and corresponding to their means of influence over the workplace as well as better addressing the psychosocial risks, among others. </w:t>
            </w:r>
            <w:r w:rsidR="00EF58E0" w:rsidRPr="00714F6B">
              <w:rPr>
                <w:rFonts w:ascii="Times New Roman" w:hAnsi="Times New Roman"/>
                <w:sz w:val="24"/>
                <w:szCs w:val="24"/>
              </w:rPr>
              <w:t xml:space="preserve">Also, </w:t>
            </w:r>
            <w:r w:rsidR="717FFBF8" w:rsidRPr="00714F6B">
              <w:rPr>
                <w:rFonts w:ascii="Times New Roman" w:hAnsi="Times New Roman"/>
                <w:sz w:val="24"/>
                <w:szCs w:val="24"/>
              </w:rPr>
              <w:t xml:space="preserve">work-related </w:t>
            </w:r>
            <w:r w:rsidR="00EF58E0" w:rsidRPr="00714F6B">
              <w:rPr>
                <w:rFonts w:ascii="Times New Roman" w:hAnsi="Times New Roman"/>
                <w:sz w:val="24"/>
                <w:szCs w:val="24"/>
              </w:rPr>
              <w:t>risks linked with climate change, including the exposure to heat will be taken into consideration.</w:t>
            </w:r>
            <w:r w:rsidR="096802C3" w:rsidRPr="00714F6B">
              <w:rPr>
                <w:rFonts w:ascii="Times New Roman" w:eastAsia="Times New Roman" w:hAnsi="Times New Roman"/>
                <w:sz w:val="24"/>
                <w:szCs w:val="24"/>
              </w:rPr>
              <w:t xml:space="preserve"> Effective and up-to-date standards of OSH at work are also essential to help people remain active in the labour market. Updating the Workplace and Display Screen </w:t>
            </w:r>
            <w:r w:rsidR="23F7FADB" w:rsidRPr="00714F6B">
              <w:rPr>
                <w:rFonts w:ascii="Times New Roman" w:eastAsia="Times New Roman" w:hAnsi="Times New Roman"/>
                <w:sz w:val="24"/>
                <w:szCs w:val="24"/>
              </w:rPr>
              <w:t xml:space="preserve">Equipment </w:t>
            </w:r>
            <w:r w:rsidR="096802C3" w:rsidRPr="00714F6B">
              <w:rPr>
                <w:rFonts w:ascii="Times New Roman" w:eastAsia="Times New Roman" w:hAnsi="Times New Roman"/>
                <w:sz w:val="24"/>
                <w:szCs w:val="24"/>
              </w:rPr>
              <w:t>Directives to take account of new technological developments and ways of working, while avoiding unnecessary burdens on business and allowing companies to react flexibly to rapidly changing market circumstances, the possible Quality Jobs Act could further increase the added value for companies and improve the effectiveness of national enforcement authorities.</w:t>
            </w:r>
          </w:p>
          <w:p w14:paraId="1D98702F" w14:textId="16114837" w:rsidR="096802C3" w:rsidRPr="00714F6B" w:rsidRDefault="096802C3" w:rsidP="00147AD3">
            <w:pPr>
              <w:widowControl w:val="0"/>
              <w:spacing w:before="120" w:after="120"/>
              <w:jc w:val="both"/>
              <w:rPr>
                <w:rFonts w:ascii="Times New Roman" w:eastAsia="Times New Roman" w:hAnsi="Times New Roman"/>
                <w:sz w:val="24"/>
                <w:szCs w:val="24"/>
              </w:rPr>
            </w:pPr>
            <w:r w:rsidRPr="00714F6B">
              <w:rPr>
                <w:rFonts w:ascii="Times New Roman" w:eastAsia="Times New Roman" w:hAnsi="Times New Roman"/>
                <w:sz w:val="24"/>
                <w:szCs w:val="24"/>
              </w:rPr>
              <w:t>Moreover, the initiative could require Member States to provide for effective, non-discriminatory labour inspections and ensure that enforcement authorities both for labour law and health and safety at work have sufficient resources, for instance to meet specific targets for inspections, while improving cooperation among national bodies. In addition,</w:t>
            </w:r>
            <w:r w:rsidR="00DF50EB" w:rsidRPr="00714F6B">
              <w:rPr>
                <w:rFonts w:ascii="Times New Roman" w:eastAsia="Times New Roman" w:hAnsi="Times New Roman"/>
                <w:sz w:val="24"/>
                <w:szCs w:val="24"/>
              </w:rPr>
              <w:t xml:space="preserve"> the European Agency for Safety and Health at Work</w:t>
            </w:r>
            <w:r w:rsidRPr="00714F6B">
              <w:rPr>
                <w:rFonts w:ascii="Times New Roman" w:eastAsia="Times New Roman" w:hAnsi="Times New Roman"/>
                <w:sz w:val="24"/>
                <w:szCs w:val="24"/>
              </w:rPr>
              <w:t xml:space="preserve"> </w:t>
            </w:r>
            <w:r w:rsidR="00DF50EB" w:rsidRPr="00714F6B">
              <w:rPr>
                <w:rFonts w:ascii="Times New Roman" w:eastAsia="Times New Roman" w:hAnsi="Times New Roman"/>
                <w:sz w:val="24"/>
                <w:szCs w:val="24"/>
              </w:rPr>
              <w:t>(</w:t>
            </w:r>
            <w:r w:rsidRPr="00714F6B">
              <w:rPr>
                <w:rFonts w:ascii="Times New Roman" w:eastAsia="Times New Roman" w:hAnsi="Times New Roman"/>
                <w:sz w:val="24"/>
                <w:szCs w:val="24"/>
              </w:rPr>
              <w:t>EU-OSHA</w:t>
            </w:r>
            <w:r w:rsidR="00DF50EB" w:rsidRPr="00714F6B">
              <w:rPr>
                <w:rFonts w:ascii="Times New Roman" w:eastAsia="Times New Roman" w:hAnsi="Times New Roman"/>
                <w:sz w:val="24"/>
                <w:szCs w:val="24"/>
              </w:rPr>
              <w:t>)</w:t>
            </w:r>
            <w:r w:rsidRPr="00714F6B">
              <w:rPr>
                <w:rFonts w:ascii="Times New Roman" w:eastAsia="Times New Roman" w:hAnsi="Times New Roman"/>
                <w:sz w:val="24"/>
                <w:szCs w:val="24"/>
              </w:rPr>
              <w:t xml:space="preserve"> provides tools, such as an Online interactive Risk Assessment (</w:t>
            </w:r>
            <w:proofErr w:type="spellStart"/>
            <w:r w:rsidRPr="00714F6B">
              <w:rPr>
                <w:rFonts w:ascii="Times New Roman" w:eastAsia="Times New Roman" w:hAnsi="Times New Roman"/>
                <w:sz w:val="24"/>
                <w:szCs w:val="24"/>
              </w:rPr>
              <w:t>OiRA</w:t>
            </w:r>
            <w:proofErr w:type="spellEnd"/>
            <w:r w:rsidRPr="00714F6B">
              <w:rPr>
                <w:rFonts w:ascii="Times New Roman" w:eastAsia="Times New Roman" w:hAnsi="Times New Roman"/>
                <w:sz w:val="24"/>
                <w:szCs w:val="24"/>
              </w:rPr>
              <w:t>)</w:t>
            </w:r>
            <w:r w:rsidRPr="00714F6B">
              <w:rPr>
                <w:rStyle w:val="FootnoteReference"/>
                <w:rFonts w:ascii="Times New Roman" w:eastAsia="Times New Roman" w:hAnsi="Times New Roman"/>
                <w:sz w:val="24"/>
                <w:szCs w:val="24"/>
              </w:rPr>
              <w:footnoteReference w:id="4"/>
            </w:r>
            <w:r w:rsidRPr="00714F6B">
              <w:rPr>
                <w:rFonts w:ascii="Times New Roman" w:eastAsia="Times New Roman" w:hAnsi="Times New Roman"/>
                <w:sz w:val="24"/>
                <w:szCs w:val="24"/>
              </w:rPr>
              <w:t xml:space="preserve">, supporting workplaces in implementing relevant OSH rules. </w:t>
            </w:r>
            <w:r w:rsidR="3D4A0B5B" w:rsidRPr="00714F6B">
              <w:rPr>
                <w:rFonts w:ascii="Times New Roman" w:eastAsia="Times New Roman" w:hAnsi="Times New Roman"/>
                <w:sz w:val="24"/>
                <w:szCs w:val="24"/>
              </w:rPr>
              <w:t>The Commission also regularly adds new or revises the existing limit values for dangerous substances at work and produces guidelines to support the implementation of OSH rules</w:t>
            </w:r>
            <w:r w:rsidR="00B1325B">
              <w:rPr>
                <w:rFonts w:ascii="Times New Roman" w:eastAsia="Times New Roman" w:hAnsi="Times New Roman"/>
                <w:sz w:val="24"/>
                <w:szCs w:val="24"/>
              </w:rPr>
              <w:t>.</w:t>
            </w:r>
          </w:p>
          <w:p w14:paraId="4A59382F" w14:textId="3EACCC9B"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 1.10:</w:t>
            </w:r>
            <w:r w:rsidRPr="00714F6B">
              <w:rPr>
                <w:rFonts w:ascii="Times New Roman" w:hAnsi="Times New Roman"/>
                <w:sz w:val="24"/>
                <w:szCs w:val="24"/>
              </w:rPr>
              <w:t xml:space="preserve"> </w:t>
            </w:r>
            <w:r w:rsidRPr="00714F6B">
              <w:rPr>
                <w:rFonts w:ascii="Times New Roman" w:eastAsia="Times New Roman" w:hAnsi="Times New Roman"/>
                <w:sz w:val="24"/>
                <w:szCs w:val="24"/>
              </w:rPr>
              <w:t xml:space="preserve">The Commission has launched the two-stage consultation of the European social partners on the Quality Jobs Act under Article 154 TFEU. The second-stage consultation is currently ongoing. The results of the consultation, as well as those of the two-stage consultation on the right to disconnect and telework, will be part of the overall assessment how the Quality Jobs Act initiative can best </w:t>
            </w:r>
            <w:r w:rsidRPr="00714F6B">
              <w:rPr>
                <w:rFonts w:ascii="Times New Roman" w:hAnsi="Times New Roman"/>
                <w:sz w:val="24"/>
                <w:szCs w:val="24"/>
              </w:rPr>
              <w:t>complement and potentially update the EU rules in a targeted way</w:t>
            </w:r>
            <w:r w:rsidRPr="00714F6B">
              <w:rPr>
                <w:rFonts w:ascii="Times New Roman" w:eastAsia="Times New Roman" w:hAnsi="Times New Roman"/>
                <w:sz w:val="24"/>
                <w:szCs w:val="24"/>
              </w:rPr>
              <w:t xml:space="preserve"> to foster job quality across the EU.</w:t>
            </w:r>
          </w:p>
          <w:p w14:paraId="3435168F" w14:textId="64E12CD5"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lastRenderedPageBreak/>
              <w:t>Paragraph</w:t>
            </w:r>
            <w:r w:rsidR="007C7926" w:rsidRPr="00714F6B">
              <w:rPr>
                <w:rFonts w:ascii="Times New Roman" w:hAnsi="Times New Roman"/>
                <w:b/>
                <w:bCs/>
                <w:sz w:val="24"/>
                <w:szCs w:val="24"/>
              </w:rPr>
              <w:t>s</w:t>
            </w:r>
            <w:r w:rsidRPr="00714F6B">
              <w:rPr>
                <w:rFonts w:ascii="Times New Roman" w:hAnsi="Times New Roman"/>
                <w:b/>
                <w:bCs/>
                <w:sz w:val="24"/>
                <w:szCs w:val="24"/>
              </w:rPr>
              <w:t xml:space="preserve"> 1.11</w:t>
            </w:r>
            <w:r w:rsidR="007C7926" w:rsidRPr="00714F6B">
              <w:rPr>
                <w:rFonts w:ascii="Times New Roman" w:hAnsi="Times New Roman"/>
                <w:b/>
                <w:bCs/>
                <w:sz w:val="24"/>
                <w:szCs w:val="24"/>
              </w:rPr>
              <w:t xml:space="preserve"> and 4.19</w:t>
            </w:r>
            <w:r w:rsidRPr="00714F6B">
              <w:rPr>
                <w:rFonts w:ascii="Times New Roman" w:hAnsi="Times New Roman"/>
                <w:sz w:val="24"/>
                <w:szCs w:val="24"/>
              </w:rPr>
              <w:t xml:space="preserve">: As highlighted in the </w:t>
            </w:r>
            <w:r w:rsidRPr="00714F6B">
              <w:rPr>
                <w:rFonts w:ascii="Times New Roman" w:eastAsia="Times New Roman" w:hAnsi="Times New Roman"/>
                <w:sz w:val="24"/>
                <w:szCs w:val="24"/>
              </w:rPr>
              <w:t>two-stage consultation of the European social partners on the Quality Jobs Act under Article 154 TFEU,</w:t>
            </w:r>
            <w:r w:rsidRPr="00714F6B">
              <w:rPr>
                <w:rFonts w:ascii="Times New Roman" w:hAnsi="Times New Roman"/>
                <w:sz w:val="24"/>
                <w:szCs w:val="24"/>
              </w:rPr>
              <w:t xml:space="preserve"> enforcement and effective implementation of rights protected under EU law are central to ensuring a fair and competitive labour market. Enforcement of existing rights, notably through labour inspectorates and other competent authorities, is a priority of the Commission </w:t>
            </w:r>
            <w:proofErr w:type="gramStart"/>
            <w:r w:rsidRPr="00714F6B">
              <w:rPr>
                <w:rFonts w:ascii="Times New Roman" w:hAnsi="Times New Roman"/>
                <w:sz w:val="24"/>
                <w:szCs w:val="24"/>
              </w:rPr>
              <w:t>and also</w:t>
            </w:r>
            <w:proofErr w:type="gramEnd"/>
            <w:r w:rsidRPr="00714F6B">
              <w:rPr>
                <w:rFonts w:ascii="Times New Roman" w:hAnsi="Times New Roman"/>
                <w:sz w:val="24"/>
                <w:szCs w:val="24"/>
              </w:rPr>
              <w:t xml:space="preserve"> considered as crucial part of the</w:t>
            </w:r>
            <w:r w:rsidR="00714F6B">
              <w:rPr>
                <w:rFonts w:ascii="Times New Roman" w:hAnsi="Times New Roman"/>
                <w:sz w:val="24"/>
                <w:szCs w:val="24"/>
              </w:rPr>
              <w:t> </w:t>
            </w:r>
            <w:r w:rsidRPr="00714F6B">
              <w:rPr>
                <w:rFonts w:ascii="Times New Roman" w:hAnsi="Times New Roman"/>
                <w:sz w:val="24"/>
                <w:szCs w:val="24"/>
              </w:rPr>
              <w:t>Quality Jobs Act initiative.</w:t>
            </w:r>
          </w:p>
          <w:p w14:paraId="5BCD40F5" w14:textId="2D81C3D8"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sz w:val="24"/>
                <w:szCs w:val="24"/>
              </w:rPr>
              <w:t>The Commission underlines that one of the objectives of the revision of the Public Procurement Directives is to align public procurement policy with other EU strategic policies, including in the</w:t>
            </w:r>
            <w:r w:rsidR="00714F6B">
              <w:rPr>
                <w:rFonts w:ascii="Times New Roman" w:hAnsi="Times New Roman"/>
                <w:sz w:val="24"/>
                <w:szCs w:val="24"/>
              </w:rPr>
              <w:t> </w:t>
            </w:r>
            <w:r w:rsidRPr="00714F6B">
              <w:rPr>
                <w:rFonts w:ascii="Times New Roman" w:hAnsi="Times New Roman"/>
                <w:sz w:val="24"/>
                <w:szCs w:val="24"/>
              </w:rPr>
              <w:t>social area. In this context, the Commission will assess how to further strengthen Socially Responsible Public Procurement (SRPP) practices.</w:t>
            </w:r>
          </w:p>
          <w:p w14:paraId="2D16EEAD" w14:textId="68692B3D"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 4.8</w:t>
            </w:r>
            <w:r w:rsidRPr="00714F6B">
              <w:rPr>
                <w:rFonts w:ascii="Times New Roman" w:hAnsi="Times New Roman"/>
                <w:sz w:val="24"/>
                <w:szCs w:val="24"/>
              </w:rPr>
              <w:t xml:space="preserve">: </w:t>
            </w:r>
            <w:r w:rsidRPr="00714F6B">
              <w:rPr>
                <w:rFonts w:ascii="Times New Roman" w:eastAsia="Times New Roman" w:hAnsi="Times New Roman"/>
                <w:sz w:val="24"/>
                <w:szCs w:val="24"/>
              </w:rPr>
              <w:t xml:space="preserve">Psychosocial risks </w:t>
            </w:r>
            <w:r w:rsidR="007C7926" w:rsidRPr="00714F6B">
              <w:rPr>
                <w:rFonts w:ascii="Times New Roman" w:eastAsia="Times New Roman" w:hAnsi="Times New Roman"/>
                <w:sz w:val="24"/>
                <w:szCs w:val="24"/>
              </w:rPr>
              <w:t>–</w:t>
            </w:r>
            <w:r w:rsidRPr="00714F6B">
              <w:rPr>
                <w:rFonts w:ascii="Times New Roman" w:eastAsia="Times New Roman" w:hAnsi="Times New Roman"/>
                <w:sz w:val="24"/>
                <w:szCs w:val="24"/>
              </w:rPr>
              <w:t xml:space="preserve"> including sexual harassment at work – are being considered in the preparation of the Quality Jobs Act</w:t>
            </w:r>
            <w:r w:rsidRPr="00714F6B">
              <w:rPr>
                <w:rFonts w:ascii="Times New Roman" w:hAnsi="Times New Roman"/>
                <w:sz w:val="24"/>
                <w:szCs w:val="24"/>
              </w:rPr>
              <w:t>.</w:t>
            </w:r>
          </w:p>
          <w:p w14:paraId="0E957D89" w14:textId="63CF2F6C"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eastAsia="Times New Roman" w:hAnsi="Times New Roman"/>
                <w:sz w:val="24"/>
                <w:szCs w:val="24"/>
              </w:rPr>
              <w:t xml:space="preserve">Furthermore, EU-OSHA actively researches risks and trends related to gender. This includes research focused on sectors where women work, such as cleaning, and on risks faced </w:t>
            </w:r>
            <w:proofErr w:type="gramStart"/>
            <w:r w:rsidRPr="00714F6B">
              <w:rPr>
                <w:rFonts w:ascii="Times New Roman" w:eastAsia="Times New Roman" w:hAnsi="Times New Roman"/>
                <w:sz w:val="24"/>
                <w:szCs w:val="24"/>
              </w:rPr>
              <w:t>in particular by</w:t>
            </w:r>
            <w:proofErr w:type="gramEnd"/>
            <w:r w:rsidRPr="00714F6B">
              <w:rPr>
                <w:rFonts w:ascii="Times New Roman" w:eastAsia="Times New Roman" w:hAnsi="Times New Roman"/>
                <w:sz w:val="24"/>
                <w:szCs w:val="24"/>
              </w:rPr>
              <w:t xml:space="preserve"> women. EU-OSHA also provides tools and advice to help employers identify and implement gender-sensitive risk assessments.</w:t>
            </w:r>
          </w:p>
          <w:p w14:paraId="53FADFC4" w14:textId="6642EE7D"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w:t>
            </w:r>
            <w:r w:rsidR="432035F3" w:rsidRPr="00714F6B">
              <w:rPr>
                <w:rFonts w:ascii="Times New Roman" w:hAnsi="Times New Roman"/>
                <w:b/>
                <w:bCs/>
                <w:sz w:val="24"/>
                <w:szCs w:val="24"/>
              </w:rPr>
              <w:t>s</w:t>
            </w:r>
            <w:r w:rsidRPr="00714F6B">
              <w:rPr>
                <w:rFonts w:ascii="Times New Roman" w:hAnsi="Times New Roman"/>
                <w:b/>
                <w:bCs/>
                <w:sz w:val="24"/>
                <w:szCs w:val="24"/>
              </w:rPr>
              <w:t xml:space="preserve"> 4.9</w:t>
            </w:r>
            <w:r w:rsidR="7E4CE0CC" w:rsidRPr="00714F6B">
              <w:rPr>
                <w:rFonts w:ascii="Times New Roman" w:hAnsi="Times New Roman"/>
                <w:b/>
                <w:bCs/>
                <w:sz w:val="24"/>
                <w:szCs w:val="24"/>
              </w:rPr>
              <w:t xml:space="preserve"> and 4.12</w:t>
            </w:r>
            <w:r w:rsidRPr="00714F6B">
              <w:rPr>
                <w:rFonts w:ascii="Times New Roman" w:hAnsi="Times New Roman"/>
                <w:b/>
                <w:bCs/>
                <w:sz w:val="24"/>
                <w:szCs w:val="24"/>
              </w:rPr>
              <w:t>:</w:t>
            </w:r>
            <w:r w:rsidRPr="00714F6B">
              <w:rPr>
                <w:rFonts w:ascii="Times New Roman" w:hAnsi="Times New Roman"/>
                <w:sz w:val="24"/>
                <w:szCs w:val="24"/>
              </w:rPr>
              <w:t xml:space="preserve"> Reflections on the Quality Jobs Act include the need for ensuring inclusive OSH protection. Notably, some of the Workplace Directive’s minimum requirements have become outdated and could be updated and/or further clarified to ensure better OSH protection for workers across the EU, including in relation to the needs of specific groups, especially women and workers with disabilities.</w:t>
            </w:r>
          </w:p>
          <w:p w14:paraId="568A6562" w14:textId="6B23D9B8" w:rsidR="002653A4" w:rsidRPr="00714F6B" w:rsidRDefault="007D0267" w:rsidP="00147AD3">
            <w:pPr>
              <w:widowControl w:val="0"/>
              <w:spacing w:before="120" w:after="120"/>
              <w:jc w:val="both"/>
              <w:rPr>
                <w:rFonts w:ascii="Times New Roman" w:hAnsi="Times New Roman"/>
                <w:sz w:val="24"/>
                <w:szCs w:val="24"/>
              </w:rPr>
            </w:pPr>
            <w:r w:rsidRPr="00714F6B">
              <w:rPr>
                <w:rFonts w:ascii="Times New Roman" w:hAnsi="Times New Roman"/>
                <w:sz w:val="24"/>
                <w:szCs w:val="24"/>
              </w:rPr>
              <w:t>The Commission agrees that s</w:t>
            </w:r>
            <w:r w:rsidR="00115F31" w:rsidRPr="00714F6B">
              <w:rPr>
                <w:rFonts w:ascii="Times New Roman" w:hAnsi="Times New Roman"/>
                <w:sz w:val="24"/>
                <w:szCs w:val="24"/>
              </w:rPr>
              <w:t xml:space="preserve">ubcontracting is a legitimate business model. Through subcontracting, companies have access to specialised expertise and can quickly adapt to meet changing business needs and stay competitive. </w:t>
            </w:r>
            <w:r w:rsidR="002653A4" w:rsidRPr="00714F6B">
              <w:rPr>
                <w:rFonts w:ascii="Times New Roman" w:hAnsi="Times New Roman"/>
                <w:sz w:val="24"/>
                <w:szCs w:val="24"/>
              </w:rPr>
              <w:t>Protection of workers’ rights in subcontracting chains is another area under consideration in the Quality Jobs Act initiative, which takes account of vulnerability of specific categories of workers, for example, mobile or migrant workers</w:t>
            </w:r>
            <w:r w:rsidR="002252BA" w:rsidRPr="00714F6B">
              <w:rPr>
                <w:rFonts w:ascii="Times New Roman" w:hAnsi="Times New Roman"/>
                <w:sz w:val="24"/>
                <w:szCs w:val="24"/>
              </w:rPr>
              <w:t xml:space="preserve"> </w:t>
            </w:r>
            <w:r w:rsidR="30DD6CCF" w:rsidRPr="00714F6B">
              <w:rPr>
                <w:rFonts w:ascii="Times New Roman" w:hAnsi="Times New Roman"/>
                <w:sz w:val="24"/>
                <w:szCs w:val="24"/>
              </w:rPr>
              <w:t xml:space="preserve">and </w:t>
            </w:r>
            <w:r w:rsidR="002653A4" w:rsidRPr="00714F6B">
              <w:rPr>
                <w:rFonts w:ascii="Times New Roman" w:hAnsi="Times New Roman"/>
                <w:sz w:val="24"/>
                <w:szCs w:val="24"/>
              </w:rPr>
              <w:t>third-country nationals in high</w:t>
            </w:r>
            <w:r w:rsidR="00DF50EB" w:rsidRPr="00714F6B">
              <w:rPr>
                <w:rFonts w:ascii="Times New Roman" w:hAnsi="Times New Roman"/>
                <w:sz w:val="24"/>
                <w:szCs w:val="24"/>
              </w:rPr>
              <w:t>-</w:t>
            </w:r>
            <w:r w:rsidR="002653A4" w:rsidRPr="00714F6B">
              <w:rPr>
                <w:rFonts w:ascii="Times New Roman" w:hAnsi="Times New Roman"/>
                <w:sz w:val="24"/>
                <w:szCs w:val="24"/>
              </w:rPr>
              <w:t>risk sectors</w:t>
            </w:r>
            <w:r w:rsidR="3F51E4C5" w:rsidRPr="00714F6B">
              <w:rPr>
                <w:rFonts w:ascii="Times New Roman" w:hAnsi="Times New Roman"/>
                <w:sz w:val="24"/>
                <w:szCs w:val="24"/>
              </w:rPr>
              <w:t xml:space="preserve">, while ensuring </w:t>
            </w:r>
            <w:r w:rsidR="00A70DCF" w:rsidRPr="00714F6B">
              <w:rPr>
                <w:rFonts w:ascii="Times New Roman" w:hAnsi="Times New Roman"/>
                <w:sz w:val="24"/>
                <w:szCs w:val="24"/>
              </w:rPr>
              <w:t xml:space="preserve">that </w:t>
            </w:r>
            <w:r w:rsidR="00C139E3" w:rsidRPr="00714F6B">
              <w:rPr>
                <w:rFonts w:ascii="Times New Roman" w:hAnsi="Times New Roman"/>
                <w:sz w:val="24"/>
                <w:szCs w:val="24"/>
              </w:rPr>
              <w:t xml:space="preserve">any possible </w:t>
            </w:r>
            <w:r w:rsidR="007B3A38" w:rsidRPr="00714F6B">
              <w:rPr>
                <w:rFonts w:ascii="Times New Roman" w:hAnsi="Times New Roman"/>
                <w:sz w:val="24"/>
                <w:szCs w:val="24"/>
              </w:rPr>
              <w:t xml:space="preserve">measures do not create any </w:t>
            </w:r>
            <w:r w:rsidR="005C0D79" w:rsidRPr="00714F6B">
              <w:rPr>
                <w:rFonts w:ascii="Times New Roman" w:hAnsi="Times New Roman"/>
                <w:sz w:val="24"/>
                <w:szCs w:val="24"/>
              </w:rPr>
              <w:t xml:space="preserve">unnecessary </w:t>
            </w:r>
            <w:r w:rsidR="007B3A38" w:rsidRPr="00714F6B">
              <w:rPr>
                <w:rFonts w:ascii="Times New Roman" w:hAnsi="Times New Roman"/>
                <w:sz w:val="24"/>
                <w:szCs w:val="24"/>
              </w:rPr>
              <w:t>additional burden for EU companies</w:t>
            </w:r>
            <w:r w:rsidR="000A1200" w:rsidRPr="00714F6B">
              <w:rPr>
                <w:rFonts w:ascii="Times New Roman" w:hAnsi="Times New Roman"/>
                <w:sz w:val="24"/>
                <w:szCs w:val="24"/>
              </w:rPr>
              <w:t xml:space="preserve"> and are justified and </w:t>
            </w:r>
            <w:r w:rsidR="3F51E4C5" w:rsidRPr="00714F6B">
              <w:rPr>
                <w:rFonts w:ascii="Times New Roman" w:hAnsi="Times New Roman"/>
                <w:sz w:val="24"/>
                <w:szCs w:val="24"/>
              </w:rPr>
              <w:t>proportiona</w:t>
            </w:r>
            <w:r w:rsidR="000A1200" w:rsidRPr="00714F6B">
              <w:rPr>
                <w:rFonts w:ascii="Times New Roman" w:hAnsi="Times New Roman"/>
                <w:sz w:val="24"/>
                <w:szCs w:val="24"/>
              </w:rPr>
              <w:t>te, including</w:t>
            </w:r>
            <w:r w:rsidR="3F51E4C5" w:rsidRPr="00714F6B">
              <w:rPr>
                <w:rFonts w:ascii="Times New Roman" w:hAnsi="Times New Roman"/>
                <w:sz w:val="24"/>
                <w:szCs w:val="24"/>
              </w:rPr>
              <w:t xml:space="preserve"> for SMEs</w:t>
            </w:r>
            <w:r w:rsidR="00DF50EB" w:rsidRPr="00714F6B">
              <w:rPr>
                <w:rFonts w:ascii="Times New Roman" w:hAnsi="Times New Roman"/>
                <w:sz w:val="24"/>
                <w:szCs w:val="24"/>
              </w:rPr>
              <w:t>.</w:t>
            </w:r>
          </w:p>
          <w:p w14:paraId="77F62865" w14:textId="6D40B8CA" w:rsidR="007C7926"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 4.15:</w:t>
            </w:r>
            <w:r w:rsidRPr="00714F6B">
              <w:rPr>
                <w:rFonts w:ascii="Times New Roman" w:hAnsi="Times New Roman"/>
                <w:sz w:val="24"/>
                <w:szCs w:val="24"/>
              </w:rPr>
              <w:t xml:space="preserve"> </w:t>
            </w:r>
            <w:r w:rsidR="007C7926" w:rsidRPr="00714F6B">
              <w:rPr>
                <w:rFonts w:ascii="Times New Roman" w:eastAsia="Times New Roman" w:hAnsi="Times New Roman"/>
                <w:sz w:val="24"/>
                <w:szCs w:val="24"/>
              </w:rPr>
              <w:t>The Commission takes note of the Committee’s view that artificial intelligence and algorithmic systems can improve productivity, safety and the organisation of work, provided that their use in the workplace is accompanied by robust safeguards. The Commission supports the</w:t>
            </w:r>
            <w:r w:rsidR="00714F6B" w:rsidRPr="00714F6B">
              <w:rPr>
                <w:rFonts w:ascii="Times New Roman" w:eastAsia="Times New Roman" w:hAnsi="Times New Roman"/>
                <w:sz w:val="24"/>
                <w:szCs w:val="24"/>
              </w:rPr>
              <w:t> </w:t>
            </w:r>
            <w:r w:rsidR="007C7926" w:rsidRPr="00714F6B">
              <w:rPr>
                <w:rFonts w:ascii="Times New Roman" w:eastAsia="Times New Roman" w:hAnsi="Times New Roman"/>
                <w:sz w:val="24"/>
                <w:szCs w:val="24"/>
              </w:rPr>
              <w:t>view that the development and deployment of these systems in the workplace must fully comply with the EU regulatory framework and be firmly anchored in European values, including human dignity, fundamental rights, fairness, transparency and non-discrimination.</w:t>
            </w:r>
          </w:p>
          <w:p w14:paraId="668B4F67" w14:textId="73AC1AA5"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eastAsia="Times New Roman" w:hAnsi="Times New Roman"/>
                <w:sz w:val="24"/>
                <w:szCs w:val="24"/>
              </w:rPr>
              <w:t xml:space="preserve">The Commission’s Quality Jobs Roadmap underlines that the way forward must be guided by two mutually reinforcing goals: to support and enable the take-up of AI tools at work and protect workers from potential risks arising from the use of </w:t>
            </w:r>
            <w:r w:rsidR="007C7926" w:rsidRPr="00714F6B">
              <w:rPr>
                <w:rFonts w:ascii="Times New Roman" w:eastAsia="Times New Roman" w:hAnsi="Times New Roman"/>
                <w:sz w:val="24"/>
                <w:szCs w:val="24"/>
              </w:rPr>
              <w:t>algorithmic management</w:t>
            </w:r>
            <w:r w:rsidRPr="00714F6B">
              <w:rPr>
                <w:rFonts w:ascii="Times New Roman" w:eastAsia="Times New Roman" w:hAnsi="Times New Roman"/>
                <w:sz w:val="24"/>
                <w:szCs w:val="24"/>
              </w:rPr>
              <w:t xml:space="preserve">. It highlights that any possible EU action in this area would focus on effective implementation, enforcement and </w:t>
            </w:r>
            <w:r w:rsidRPr="00714F6B">
              <w:rPr>
                <w:rFonts w:ascii="Times New Roman" w:eastAsia="Times New Roman" w:hAnsi="Times New Roman"/>
                <w:sz w:val="24"/>
                <w:szCs w:val="24"/>
              </w:rPr>
              <w:lastRenderedPageBreak/>
              <w:t xml:space="preserve">providing further clarity on existing EU protections, including the </w:t>
            </w:r>
            <w:r w:rsidR="007C7926" w:rsidRPr="00714F6B">
              <w:rPr>
                <w:rFonts w:ascii="Times New Roman" w:eastAsia="Times New Roman" w:hAnsi="Times New Roman"/>
                <w:sz w:val="24"/>
                <w:szCs w:val="24"/>
              </w:rPr>
              <w:t>General Data Protection Regulation (</w:t>
            </w:r>
            <w:r w:rsidRPr="00714F6B">
              <w:rPr>
                <w:rFonts w:ascii="Times New Roman" w:eastAsia="Times New Roman" w:hAnsi="Times New Roman"/>
                <w:sz w:val="24"/>
                <w:szCs w:val="24"/>
              </w:rPr>
              <w:t>GDPR</w:t>
            </w:r>
            <w:r w:rsidR="007C7926" w:rsidRPr="00714F6B">
              <w:rPr>
                <w:rFonts w:ascii="Times New Roman" w:eastAsia="Times New Roman" w:hAnsi="Times New Roman"/>
                <w:sz w:val="24"/>
                <w:szCs w:val="24"/>
              </w:rPr>
              <w:t>)</w:t>
            </w:r>
            <w:r w:rsidR="007C7926" w:rsidRPr="00714F6B">
              <w:rPr>
                <w:rStyle w:val="FootnoteReference"/>
                <w:rFonts w:ascii="Times New Roman" w:eastAsia="Times New Roman" w:hAnsi="Times New Roman"/>
                <w:sz w:val="24"/>
                <w:szCs w:val="24"/>
              </w:rPr>
              <w:footnoteReference w:id="5"/>
            </w:r>
            <w:r w:rsidRPr="00714F6B">
              <w:rPr>
                <w:rFonts w:ascii="Times New Roman" w:eastAsia="Times New Roman" w:hAnsi="Times New Roman"/>
                <w:sz w:val="24"/>
                <w:szCs w:val="24"/>
              </w:rPr>
              <w:t>, the AI Act</w:t>
            </w:r>
            <w:r w:rsidR="007C7926" w:rsidRPr="00714F6B">
              <w:rPr>
                <w:rStyle w:val="FootnoteReference"/>
                <w:rFonts w:ascii="Times New Roman" w:eastAsia="Times New Roman" w:hAnsi="Times New Roman"/>
                <w:sz w:val="24"/>
                <w:szCs w:val="24"/>
              </w:rPr>
              <w:footnoteReference w:id="6"/>
            </w:r>
            <w:r w:rsidRPr="00714F6B">
              <w:rPr>
                <w:rFonts w:ascii="Times New Roman" w:eastAsia="Times New Roman" w:hAnsi="Times New Roman"/>
                <w:sz w:val="24"/>
                <w:szCs w:val="24"/>
              </w:rPr>
              <w:t xml:space="preserve"> and the information and consultation directives, while considering targeted complementary measures if necessary. The Commission is currently seeking the views of the European social partners in the second-phase consultation on the Quality Jobs Act on this matter, specifically </w:t>
            </w:r>
            <w:proofErr w:type="gramStart"/>
            <w:r w:rsidRPr="00714F6B">
              <w:rPr>
                <w:rFonts w:ascii="Times New Roman" w:eastAsia="Times New Roman" w:hAnsi="Times New Roman"/>
                <w:sz w:val="24"/>
                <w:szCs w:val="24"/>
              </w:rPr>
              <w:t>with regard to</w:t>
            </w:r>
            <w:proofErr w:type="gramEnd"/>
            <w:r w:rsidRPr="00714F6B">
              <w:rPr>
                <w:rFonts w:ascii="Times New Roman" w:eastAsia="Times New Roman" w:hAnsi="Times New Roman"/>
                <w:sz w:val="24"/>
                <w:szCs w:val="24"/>
              </w:rPr>
              <w:t xml:space="preserve"> transparency, human involvement, ethical limits and social dialogue and collective governance</w:t>
            </w:r>
            <w:r w:rsidR="00B1325B">
              <w:rPr>
                <w:rFonts w:ascii="Times New Roman" w:eastAsia="Times New Roman" w:hAnsi="Times New Roman"/>
                <w:sz w:val="24"/>
                <w:szCs w:val="24"/>
              </w:rPr>
              <w:t>.</w:t>
            </w:r>
          </w:p>
          <w:p w14:paraId="07387580" w14:textId="66FE0754"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 4.16:</w:t>
            </w:r>
            <w:r w:rsidRPr="00714F6B">
              <w:rPr>
                <w:rFonts w:ascii="Times New Roman" w:hAnsi="Times New Roman"/>
                <w:sz w:val="24"/>
                <w:szCs w:val="24"/>
              </w:rPr>
              <w:t xml:space="preserve"> </w:t>
            </w:r>
            <w:r w:rsidRPr="00714F6B">
              <w:rPr>
                <w:rFonts w:ascii="Times New Roman" w:eastAsia="Times New Roman" w:hAnsi="Times New Roman"/>
                <w:sz w:val="24"/>
                <w:szCs w:val="24"/>
              </w:rPr>
              <w:t xml:space="preserve">Regarding recognition of qualifications, in the preparation of the upcoming Skills Portability Initiative, the Commission is exploring measures </w:t>
            </w:r>
            <w:r w:rsidR="2438C732" w:rsidRPr="00714F6B">
              <w:rPr>
                <w:rFonts w:ascii="Times New Roman" w:eastAsia="Times New Roman" w:hAnsi="Times New Roman"/>
                <w:sz w:val="24"/>
                <w:szCs w:val="24"/>
              </w:rPr>
              <w:t>to address barriers to the</w:t>
            </w:r>
            <w:r w:rsidR="00714F6B">
              <w:rPr>
                <w:rFonts w:ascii="Times New Roman" w:eastAsia="Times New Roman" w:hAnsi="Times New Roman"/>
                <w:sz w:val="24"/>
                <w:szCs w:val="24"/>
              </w:rPr>
              <w:t> </w:t>
            </w:r>
            <w:r w:rsidR="2438C732" w:rsidRPr="00714F6B">
              <w:rPr>
                <w:rFonts w:ascii="Times New Roman" w:eastAsia="Times New Roman" w:hAnsi="Times New Roman"/>
                <w:sz w:val="24"/>
                <w:szCs w:val="24"/>
              </w:rPr>
              <w:t>mobility of workers related to qualifications and skills</w:t>
            </w:r>
            <w:r w:rsidRPr="00714F6B">
              <w:rPr>
                <w:rFonts w:ascii="Times New Roman" w:eastAsia="Times New Roman" w:hAnsi="Times New Roman"/>
                <w:sz w:val="24"/>
                <w:szCs w:val="24"/>
              </w:rPr>
              <w:t xml:space="preserve"> including through interoperable digitalisation</w:t>
            </w:r>
            <w:r w:rsidR="1E5E6D84" w:rsidRPr="00714F6B">
              <w:rPr>
                <w:rFonts w:ascii="Times New Roman" w:eastAsia="Times New Roman" w:hAnsi="Times New Roman"/>
                <w:sz w:val="24"/>
                <w:szCs w:val="24"/>
              </w:rPr>
              <w:t xml:space="preserve"> of qualifications</w:t>
            </w:r>
            <w:r w:rsidRPr="00714F6B">
              <w:rPr>
                <w:rFonts w:ascii="Times New Roman" w:eastAsia="Times New Roman" w:hAnsi="Times New Roman"/>
                <w:sz w:val="24"/>
                <w:szCs w:val="24"/>
              </w:rPr>
              <w:t>, modernisation of recognition procedures in regulated professions and simplification of recognition of qualifications and skills of third country nationals.</w:t>
            </w:r>
          </w:p>
          <w:p w14:paraId="1C0057E4" w14:textId="3A6C1BB9" w:rsidR="002653A4"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 4.19:</w:t>
            </w:r>
            <w:r w:rsidR="007C7926" w:rsidRPr="00714F6B">
              <w:rPr>
                <w:rFonts w:ascii="Times New Roman" w:hAnsi="Times New Roman"/>
                <w:sz w:val="24"/>
                <w:szCs w:val="24"/>
              </w:rPr>
              <w:t xml:space="preserve"> L</w:t>
            </w:r>
            <w:r w:rsidRPr="00714F6B">
              <w:rPr>
                <w:rFonts w:ascii="Times New Roman" w:hAnsi="Times New Roman"/>
                <w:bCs/>
                <w:sz w:val="24"/>
                <w:szCs w:val="24"/>
              </w:rPr>
              <w:t>abour inspectorates play a crucial role in enforcement of labour rights and health and safety at work. They can leverage the potential of ‘smart labour inspections’ through technology, data analytics and innovative methodologies, increasing the efficiency, transparency and effectiveness of enforcement. Measures will be considered due regard to the principles of subsidiarity and proportionality, and while respecting the diversity of national systems and the</w:t>
            </w:r>
            <w:r w:rsidR="00714F6B">
              <w:rPr>
                <w:rFonts w:ascii="Times New Roman" w:hAnsi="Times New Roman"/>
                <w:bCs/>
                <w:sz w:val="24"/>
                <w:szCs w:val="24"/>
              </w:rPr>
              <w:t> </w:t>
            </w:r>
            <w:r w:rsidRPr="00714F6B">
              <w:rPr>
                <w:rFonts w:ascii="Times New Roman" w:hAnsi="Times New Roman"/>
                <w:bCs/>
                <w:sz w:val="24"/>
                <w:szCs w:val="24"/>
              </w:rPr>
              <w:t>autonomy of the social partners and procedural autonomy of Member States.</w:t>
            </w:r>
          </w:p>
          <w:p w14:paraId="30D14481" w14:textId="53E6C717" w:rsidR="0049246C" w:rsidRPr="00714F6B" w:rsidRDefault="002653A4" w:rsidP="00147AD3">
            <w:pPr>
              <w:widowControl w:val="0"/>
              <w:spacing w:before="120" w:after="120"/>
              <w:jc w:val="both"/>
              <w:rPr>
                <w:rFonts w:ascii="Times New Roman" w:hAnsi="Times New Roman"/>
                <w:sz w:val="24"/>
                <w:szCs w:val="24"/>
              </w:rPr>
            </w:pPr>
            <w:r w:rsidRPr="00714F6B">
              <w:rPr>
                <w:rFonts w:ascii="Times New Roman" w:hAnsi="Times New Roman"/>
                <w:b/>
                <w:bCs/>
                <w:sz w:val="24"/>
                <w:szCs w:val="24"/>
              </w:rPr>
              <w:t>Paragraphs 4.23 and 4.24:</w:t>
            </w:r>
            <w:r w:rsidRPr="00714F6B">
              <w:rPr>
                <w:rFonts w:ascii="Times New Roman" w:hAnsi="Times New Roman"/>
                <w:sz w:val="24"/>
                <w:szCs w:val="24"/>
              </w:rPr>
              <w:t xml:space="preserve"> </w:t>
            </w:r>
            <w:r w:rsidRPr="00714F6B">
              <w:rPr>
                <w:rFonts w:ascii="Times New Roman" w:eastAsia="Times New Roman" w:hAnsi="Times New Roman"/>
                <w:sz w:val="24"/>
                <w:szCs w:val="24"/>
              </w:rPr>
              <w:t xml:space="preserve">The Commission recognises the strategic importance of public procurement as a tool to uphold and advance labour and social standards throughout the EU. Public procurement can play a pivotal role in promoting </w:t>
            </w:r>
            <w:r w:rsidR="00C60C1B" w:rsidRPr="00714F6B">
              <w:rPr>
                <w:rFonts w:ascii="Times New Roman" w:eastAsia="Times New Roman" w:hAnsi="Times New Roman"/>
                <w:sz w:val="24"/>
                <w:szCs w:val="24"/>
              </w:rPr>
              <w:t>human rights and</w:t>
            </w:r>
            <w:r w:rsidRPr="00714F6B">
              <w:rPr>
                <w:rFonts w:ascii="Times New Roman" w:eastAsia="Times New Roman" w:hAnsi="Times New Roman"/>
                <w:sz w:val="24"/>
                <w:szCs w:val="24"/>
              </w:rPr>
              <w:t xml:space="preserve"> fair working conditions for those workers involved in the execution of a public contract. The </w:t>
            </w:r>
            <w:r w:rsidR="00AD24FB" w:rsidRPr="00714F6B">
              <w:rPr>
                <w:rFonts w:ascii="Times New Roman" w:eastAsia="Times New Roman" w:hAnsi="Times New Roman"/>
                <w:sz w:val="24"/>
                <w:szCs w:val="24"/>
              </w:rPr>
              <w:t>upcoming proposal for a</w:t>
            </w:r>
            <w:r w:rsidR="00714F6B">
              <w:rPr>
                <w:rFonts w:ascii="Times New Roman" w:eastAsia="Times New Roman" w:hAnsi="Times New Roman"/>
                <w:sz w:val="24"/>
                <w:szCs w:val="24"/>
              </w:rPr>
              <w:t> </w:t>
            </w:r>
            <w:r w:rsidRPr="00714F6B">
              <w:rPr>
                <w:rFonts w:ascii="Times New Roman" w:eastAsia="Times New Roman" w:hAnsi="Times New Roman"/>
                <w:sz w:val="24"/>
                <w:szCs w:val="24"/>
              </w:rPr>
              <w:t>Public Procurement Act</w:t>
            </w:r>
            <w:r w:rsidR="00AD24FB" w:rsidRPr="00714F6B">
              <w:rPr>
                <w:rFonts w:ascii="Times New Roman" w:eastAsia="Times New Roman" w:hAnsi="Times New Roman"/>
                <w:sz w:val="24"/>
                <w:szCs w:val="24"/>
              </w:rPr>
              <w:t xml:space="preserve"> </w:t>
            </w:r>
            <w:r w:rsidRPr="00714F6B">
              <w:rPr>
                <w:rFonts w:ascii="Times New Roman" w:eastAsia="Times New Roman" w:hAnsi="Times New Roman"/>
                <w:sz w:val="24"/>
                <w:szCs w:val="24"/>
              </w:rPr>
              <w:t xml:space="preserve">will </w:t>
            </w:r>
            <w:r w:rsidR="00AD24FB" w:rsidRPr="00714F6B">
              <w:rPr>
                <w:rFonts w:ascii="Times New Roman" w:eastAsia="Times New Roman" w:hAnsi="Times New Roman"/>
                <w:sz w:val="24"/>
                <w:szCs w:val="24"/>
              </w:rPr>
              <w:t>consider</w:t>
            </w:r>
            <w:r w:rsidRPr="00714F6B">
              <w:rPr>
                <w:rFonts w:ascii="Times New Roman" w:eastAsia="Times New Roman" w:hAnsi="Times New Roman"/>
                <w:sz w:val="24"/>
                <w:szCs w:val="24"/>
              </w:rPr>
              <w:t xml:space="preserve"> three key priorities. First, making public investment more efficient, by simplifying procurement procedures, ensuring a coherent legal framework, and creating a digital EU procurement marketplace. Second, designing tools to strengthen EU’s economic security and sovereignty, by introducing Europe preference criteria. Third, aligning public procurement policy with other EU strategic objectives, notably by incentivising the</w:t>
            </w:r>
            <w:r w:rsidR="00714F6B">
              <w:rPr>
                <w:rFonts w:ascii="Times New Roman" w:eastAsia="Times New Roman" w:hAnsi="Times New Roman"/>
                <w:sz w:val="24"/>
                <w:szCs w:val="24"/>
              </w:rPr>
              <w:t> </w:t>
            </w:r>
            <w:r w:rsidRPr="00714F6B">
              <w:rPr>
                <w:rFonts w:ascii="Times New Roman" w:eastAsia="Times New Roman" w:hAnsi="Times New Roman"/>
                <w:sz w:val="24"/>
                <w:szCs w:val="24"/>
              </w:rPr>
              <w:t>inclusion of social, environmental and innovation considerations in procurement procedures</w:t>
            </w:r>
            <w:r w:rsidR="10FF2D70" w:rsidRPr="00714F6B">
              <w:rPr>
                <w:rFonts w:ascii="Times New Roman" w:hAnsi="Times New Roman"/>
                <w:sz w:val="24"/>
                <w:szCs w:val="24"/>
              </w:rPr>
              <w:t xml:space="preserve">, while </w:t>
            </w:r>
            <w:r w:rsidR="0232A2BE" w:rsidRPr="00714F6B">
              <w:rPr>
                <w:rFonts w:ascii="Times New Roman" w:hAnsi="Times New Roman"/>
                <w:sz w:val="24"/>
                <w:szCs w:val="24"/>
              </w:rPr>
              <w:t>taking due account of SMEs' participation.</w:t>
            </w:r>
          </w:p>
        </w:tc>
      </w:tr>
    </w:tbl>
    <w:p w14:paraId="4B31F071" w14:textId="77777777" w:rsidR="00077C4F" w:rsidRPr="00942A1A" w:rsidRDefault="00077C4F" w:rsidP="00942A1A">
      <w:pPr>
        <w:widowControl w:val="0"/>
        <w:spacing w:after="0" w:line="240" w:lineRule="auto"/>
        <w:rPr>
          <w:rFonts w:ascii="Times New Roman" w:hAnsi="Times New Roman"/>
          <w:sz w:val="10"/>
          <w:szCs w:val="10"/>
        </w:rPr>
      </w:pPr>
    </w:p>
    <w:sectPr w:rsidR="00077C4F" w:rsidRPr="00942A1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B0D50" w14:textId="77777777" w:rsidR="008663CB" w:rsidRPr="00714F6B" w:rsidRDefault="008663CB" w:rsidP="00FF63EA">
      <w:pPr>
        <w:spacing w:after="0" w:line="240" w:lineRule="auto"/>
      </w:pPr>
      <w:r w:rsidRPr="00714F6B">
        <w:separator/>
      </w:r>
    </w:p>
  </w:endnote>
  <w:endnote w:type="continuationSeparator" w:id="0">
    <w:p w14:paraId="0D16C922" w14:textId="77777777" w:rsidR="008663CB" w:rsidRPr="00714F6B" w:rsidRDefault="008663CB" w:rsidP="00FF63EA">
      <w:pPr>
        <w:spacing w:after="0" w:line="240" w:lineRule="auto"/>
      </w:pPr>
      <w:r w:rsidRPr="00714F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4602B" w14:textId="77777777" w:rsidR="008663CB" w:rsidRPr="00714F6B" w:rsidRDefault="008663CB" w:rsidP="00FF63EA">
      <w:pPr>
        <w:spacing w:after="0" w:line="240" w:lineRule="auto"/>
      </w:pPr>
      <w:r w:rsidRPr="00714F6B">
        <w:separator/>
      </w:r>
    </w:p>
  </w:footnote>
  <w:footnote w:type="continuationSeparator" w:id="0">
    <w:p w14:paraId="201DEFE5" w14:textId="77777777" w:rsidR="008663CB" w:rsidRPr="00714F6B" w:rsidRDefault="008663CB" w:rsidP="00FF63EA">
      <w:pPr>
        <w:spacing w:after="0" w:line="240" w:lineRule="auto"/>
      </w:pPr>
      <w:r w:rsidRPr="00714F6B">
        <w:continuationSeparator/>
      </w:r>
    </w:p>
  </w:footnote>
  <w:footnote w:id="1">
    <w:p w14:paraId="376CAFFA" w14:textId="0EE8AB27" w:rsidR="00912371" w:rsidRPr="00DB3AE2" w:rsidRDefault="00912371" w:rsidP="00942A1A">
      <w:pPr>
        <w:pStyle w:val="FootnoteText"/>
        <w:widowControl w:val="0"/>
        <w:ind w:left="142" w:right="-142" w:hanging="284"/>
        <w:jc w:val="both"/>
        <w:rPr>
          <w:sz w:val="20"/>
          <w:szCs w:val="20"/>
          <w:lang w:val="fr-BE"/>
        </w:rPr>
      </w:pPr>
      <w:r w:rsidRPr="00942A1A">
        <w:rPr>
          <w:rStyle w:val="FootnoteReference"/>
          <w:sz w:val="20"/>
          <w:szCs w:val="20"/>
          <w:lang w:val="en-IE"/>
        </w:rPr>
        <w:footnoteRef/>
      </w:r>
      <w:r w:rsidRPr="00DB3AE2">
        <w:rPr>
          <w:sz w:val="20"/>
          <w:szCs w:val="20"/>
          <w:lang w:val="fr-BE"/>
        </w:rPr>
        <w:t xml:space="preserve"> </w:t>
      </w:r>
      <w:r w:rsidRPr="00DB3AE2">
        <w:rPr>
          <w:sz w:val="20"/>
          <w:szCs w:val="20"/>
          <w:lang w:val="fr-BE"/>
        </w:rPr>
        <w:tab/>
      </w:r>
      <w:proofErr w:type="gramStart"/>
      <w:r w:rsidRPr="00DB3AE2">
        <w:rPr>
          <w:sz w:val="20"/>
          <w:szCs w:val="20"/>
          <w:lang w:val="fr-BE"/>
        </w:rPr>
        <w:t>COM(</w:t>
      </w:r>
      <w:proofErr w:type="gramEnd"/>
      <w:r w:rsidRPr="00DB3AE2">
        <w:rPr>
          <w:sz w:val="20"/>
          <w:szCs w:val="20"/>
          <w:lang w:val="fr-BE"/>
        </w:rPr>
        <w:t>2025) 944 final (</w:t>
      </w:r>
      <w:hyperlink r:id="rId1" w:history="1">
        <w:r w:rsidRPr="00DB3AE2">
          <w:rPr>
            <w:rStyle w:val="Hyperlink"/>
            <w:sz w:val="20"/>
            <w:szCs w:val="20"/>
            <w:lang w:val="fr-BE"/>
          </w:rPr>
          <w:t>EUR-Lex - 52025DC0944 - EN - EUR-Lex</w:t>
        </w:r>
      </w:hyperlink>
      <w:r w:rsidRPr="00DB3AE2">
        <w:rPr>
          <w:sz w:val="20"/>
          <w:szCs w:val="20"/>
          <w:lang w:val="fr-BE"/>
        </w:rPr>
        <w:t>).</w:t>
      </w:r>
    </w:p>
  </w:footnote>
  <w:footnote w:id="2">
    <w:p w14:paraId="296FA8A1" w14:textId="5FF30F22" w:rsidR="002653A4" w:rsidRPr="00942A1A" w:rsidRDefault="002653A4" w:rsidP="00942A1A">
      <w:pPr>
        <w:pStyle w:val="FootnoteText"/>
        <w:widowControl w:val="0"/>
        <w:ind w:left="142" w:right="-142" w:hanging="284"/>
        <w:jc w:val="both"/>
        <w:rPr>
          <w:sz w:val="20"/>
          <w:szCs w:val="20"/>
          <w:lang w:val="en-IE"/>
        </w:rPr>
      </w:pPr>
      <w:r w:rsidRPr="00942A1A">
        <w:rPr>
          <w:rStyle w:val="FootnoteReference"/>
          <w:sz w:val="20"/>
          <w:szCs w:val="20"/>
          <w:lang w:val="en-IE"/>
        </w:rPr>
        <w:footnoteRef/>
      </w:r>
      <w:r w:rsidRPr="00942A1A">
        <w:rPr>
          <w:sz w:val="20"/>
          <w:szCs w:val="20"/>
          <w:lang w:val="en-IE"/>
        </w:rPr>
        <w:t xml:space="preserve"> </w:t>
      </w:r>
      <w:r w:rsidR="00912371" w:rsidRPr="00942A1A">
        <w:rPr>
          <w:sz w:val="20"/>
          <w:szCs w:val="20"/>
          <w:lang w:val="en-IE"/>
        </w:rPr>
        <w:tab/>
      </w:r>
      <w:r w:rsidRPr="00942A1A">
        <w:rPr>
          <w:sz w:val="20"/>
          <w:szCs w:val="20"/>
          <w:lang w:val="en-IE"/>
        </w:rPr>
        <w:t xml:space="preserve">Council Directive 89/654/EEC of 30 November 1989 concerning the minimum safety and health requirements for the workplace (OJ L 393, 30.12.1989, p. 1) </w:t>
      </w:r>
      <w:r w:rsidR="00912371" w:rsidRPr="00942A1A">
        <w:rPr>
          <w:sz w:val="20"/>
          <w:szCs w:val="20"/>
          <w:lang w:val="en-IE"/>
        </w:rPr>
        <w:t>(</w:t>
      </w:r>
      <w:r w:rsidRPr="00942A1A">
        <w:rPr>
          <w:rStyle w:val="Hyperlink"/>
          <w:sz w:val="20"/>
          <w:szCs w:val="20"/>
          <w:lang w:val="en-IE"/>
        </w:rPr>
        <w:t>https://</w:t>
      </w:r>
      <w:hyperlink r:id="rId2" w:history="1">
        <w:r w:rsidRPr="00942A1A">
          <w:rPr>
            <w:rStyle w:val="Hyperlink"/>
            <w:sz w:val="20"/>
            <w:szCs w:val="20"/>
            <w:lang w:val="en-IE"/>
          </w:rPr>
          <w:t>eur-lex.europa.eu/</w:t>
        </w:r>
        <w:proofErr w:type="gramStart"/>
        <w:r w:rsidRPr="00942A1A">
          <w:rPr>
            <w:rStyle w:val="Hyperlink"/>
            <w:sz w:val="20"/>
            <w:szCs w:val="20"/>
            <w:lang w:val="en-IE"/>
          </w:rPr>
          <w:t>legal-content</w:t>
        </w:r>
        <w:proofErr w:type="gramEnd"/>
        <w:r w:rsidRPr="00942A1A">
          <w:rPr>
            <w:rStyle w:val="Hyperlink"/>
            <w:sz w:val="20"/>
            <w:szCs w:val="20"/>
            <w:lang w:val="en-IE"/>
          </w:rPr>
          <w:t>/EN/TXT/PDF/?uri=CELEX:31989L0654</w:t>
        </w:r>
      </w:hyperlink>
      <w:r w:rsidR="00912371" w:rsidRPr="00942A1A">
        <w:rPr>
          <w:sz w:val="20"/>
          <w:szCs w:val="20"/>
          <w:lang w:val="en-IE"/>
        </w:rPr>
        <w:t>)</w:t>
      </w:r>
      <w:r w:rsidRPr="00942A1A">
        <w:rPr>
          <w:sz w:val="20"/>
          <w:szCs w:val="20"/>
          <w:lang w:val="en-IE"/>
        </w:rPr>
        <w:t>.</w:t>
      </w:r>
    </w:p>
  </w:footnote>
  <w:footnote w:id="3">
    <w:p w14:paraId="3BA4FF1B" w14:textId="577093F9" w:rsidR="002653A4" w:rsidRPr="00942A1A" w:rsidRDefault="002653A4" w:rsidP="00942A1A">
      <w:pPr>
        <w:pStyle w:val="FootnoteText"/>
        <w:widowControl w:val="0"/>
        <w:ind w:left="142" w:right="-142" w:hanging="284"/>
        <w:jc w:val="both"/>
        <w:rPr>
          <w:sz w:val="20"/>
          <w:szCs w:val="20"/>
          <w:lang w:val="en-IE"/>
        </w:rPr>
      </w:pPr>
      <w:r w:rsidRPr="00942A1A">
        <w:rPr>
          <w:rStyle w:val="FootnoteReference"/>
          <w:sz w:val="20"/>
          <w:szCs w:val="20"/>
          <w:lang w:val="en-IE"/>
        </w:rPr>
        <w:footnoteRef/>
      </w:r>
      <w:r w:rsidRPr="00942A1A">
        <w:rPr>
          <w:sz w:val="20"/>
          <w:szCs w:val="20"/>
          <w:lang w:val="en-IE"/>
        </w:rPr>
        <w:t xml:space="preserve"> </w:t>
      </w:r>
      <w:r w:rsidR="00912371" w:rsidRPr="00942A1A">
        <w:rPr>
          <w:sz w:val="20"/>
          <w:szCs w:val="20"/>
          <w:lang w:val="en-IE"/>
        </w:rPr>
        <w:tab/>
      </w:r>
      <w:r w:rsidRPr="00942A1A">
        <w:rPr>
          <w:sz w:val="20"/>
          <w:szCs w:val="20"/>
          <w:lang w:val="en-IE"/>
        </w:rPr>
        <w:t xml:space="preserve">Council Directive 90/270/EEC of 29 May 1990 on the minimum safety and health requirements for work with display screen equipment (OJ L 156, 21.6.1990, pp. 14–18) </w:t>
      </w:r>
      <w:r w:rsidR="00912371" w:rsidRPr="00942A1A">
        <w:rPr>
          <w:sz w:val="20"/>
          <w:szCs w:val="20"/>
          <w:lang w:val="en-IE"/>
        </w:rPr>
        <w:t>(</w:t>
      </w:r>
      <w:hyperlink r:id="rId3" w:history="1">
        <w:r w:rsidR="00912371" w:rsidRPr="00942A1A">
          <w:rPr>
            <w:rStyle w:val="Hyperlink"/>
            <w:sz w:val="20"/>
            <w:szCs w:val="20"/>
            <w:lang w:val="en-IE"/>
          </w:rPr>
          <w:t>https://eur-lex.europa.eu/legal-content/EN/TXT/?uri=CELEX%3A01990L0270-20190726</w:t>
        </w:r>
      </w:hyperlink>
      <w:r w:rsidR="00912371" w:rsidRPr="00942A1A">
        <w:rPr>
          <w:sz w:val="20"/>
          <w:szCs w:val="20"/>
          <w:lang w:val="en-IE"/>
        </w:rPr>
        <w:t>).</w:t>
      </w:r>
    </w:p>
  </w:footnote>
  <w:footnote w:id="4">
    <w:p w14:paraId="6EFC0D1C" w14:textId="304F50A1" w:rsidR="19146E9A" w:rsidRPr="00942A1A" w:rsidRDefault="19146E9A" w:rsidP="00942A1A">
      <w:pPr>
        <w:pStyle w:val="FootnoteText"/>
        <w:widowControl w:val="0"/>
        <w:ind w:left="142" w:right="-142" w:hanging="284"/>
        <w:jc w:val="both"/>
        <w:rPr>
          <w:sz w:val="20"/>
          <w:szCs w:val="20"/>
          <w:lang w:val="en-IE"/>
        </w:rPr>
      </w:pPr>
      <w:r w:rsidRPr="00942A1A">
        <w:rPr>
          <w:rStyle w:val="FootnoteReference"/>
          <w:sz w:val="20"/>
          <w:szCs w:val="20"/>
          <w:lang w:val="en-IE"/>
        </w:rPr>
        <w:footnoteRef/>
      </w:r>
      <w:r w:rsidRPr="00942A1A">
        <w:rPr>
          <w:sz w:val="20"/>
          <w:szCs w:val="20"/>
          <w:lang w:val="en-IE"/>
        </w:rPr>
        <w:t xml:space="preserve"> </w:t>
      </w:r>
      <w:r w:rsidR="00912371" w:rsidRPr="00942A1A">
        <w:rPr>
          <w:sz w:val="20"/>
          <w:szCs w:val="20"/>
          <w:lang w:val="en-IE"/>
        </w:rPr>
        <w:tab/>
      </w:r>
      <w:hyperlink r:id="rId4" w:history="1">
        <w:r w:rsidR="00912371" w:rsidRPr="00942A1A">
          <w:rPr>
            <w:rStyle w:val="Hyperlink"/>
            <w:sz w:val="20"/>
            <w:szCs w:val="20"/>
            <w:lang w:val="en-IE"/>
          </w:rPr>
          <w:t>https://oira.osha.europa.eu/en</w:t>
        </w:r>
      </w:hyperlink>
      <w:r w:rsidR="00912371" w:rsidRPr="00942A1A">
        <w:rPr>
          <w:sz w:val="20"/>
          <w:szCs w:val="20"/>
          <w:lang w:val="en-IE"/>
        </w:rPr>
        <w:t>.</w:t>
      </w:r>
    </w:p>
  </w:footnote>
  <w:footnote w:id="5">
    <w:p w14:paraId="2372CE44" w14:textId="793C4483" w:rsidR="007C7926" w:rsidRPr="00942A1A" w:rsidRDefault="007C7926" w:rsidP="00942A1A">
      <w:pPr>
        <w:pStyle w:val="FootnoteText"/>
        <w:widowControl w:val="0"/>
        <w:ind w:left="142" w:right="-142" w:hanging="284"/>
        <w:jc w:val="both"/>
        <w:rPr>
          <w:sz w:val="20"/>
          <w:szCs w:val="20"/>
          <w:lang w:val="en-IE"/>
        </w:rPr>
      </w:pPr>
      <w:r w:rsidRPr="00942A1A">
        <w:rPr>
          <w:rStyle w:val="FootnoteReference"/>
          <w:sz w:val="20"/>
          <w:szCs w:val="20"/>
          <w:lang w:val="en-IE"/>
        </w:rPr>
        <w:footnoteRef/>
      </w:r>
      <w:r w:rsidRPr="00942A1A">
        <w:rPr>
          <w:sz w:val="20"/>
          <w:szCs w:val="20"/>
          <w:lang w:val="en-IE"/>
        </w:rPr>
        <w:t xml:space="preserve"> </w:t>
      </w:r>
      <w:r w:rsidR="00714F6B" w:rsidRPr="00942A1A">
        <w:rPr>
          <w:sz w:val="20"/>
          <w:szCs w:val="20"/>
          <w:lang w:val="en-IE"/>
        </w:rPr>
        <w:tab/>
      </w:r>
      <w:r w:rsidRPr="00942A1A">
        <w:rPr>
          <w:sz w:val="20"/>
          <w:szCs w:val="20"/>
          <w:lang w:val="en-IE"/>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(Text with EEA relevance) (OJ L 119, 4.5.2016, pp. 1–88)</w:t>
      </w:r>
      <w:r w:rsidR="00714F6B" w:rsidRPr="00942A1A">
        <w:rPr>
          <w:sz w:val="20"/>
          <w:szCs w:val="20"/>
          <w:lang w:val="en-IE"/>
        </w:rPr>
        <w:t>;</w:t>
      </w:r>
      <w:r w:rsidRPr="00942A1A">
        <w:rPr>
          <w:sz w:val="20"/>
          <w:szCs w:val="20"/>
          <w:lang w:val="en-IE"/>
        </w:rPr>
        <w:t xml:space="preserve"> </w:t>
      </w:r>
      <w:r w:rsidR="00714F6B" w:rsidRPr="00942A1A">
        <w:rPr>
          <w:sz w:val="20"/>
          <w:szCs w:val="20"/>
          <w:lang w:val="en-IE"/>
        </w:rPr>
        <w:t>(</w:t>
      </w:r>
      <w:hyperlink r:id="rId5" w:history="1">
        <w:r w:rsidR="00714F6B" w:rsidRPr="00942A1A">
          <w:rPr>
            <w:rStyle w:val="Hyperlink"/>
            <w:sz w:val="20"/>
            <w:szCs w:val="20"/>
            <w:lang w:val="en-IE"/>
          </w:rPr>
          <w:t>https://eur-lex.europa.eu/eli/reg/2016/679/oj/eng</w:t>
        </w:r>
      </w:hyperlink>
      <w:r w:rsidR="00714F6B" w:rsidRPr="00942A1A">
        <w:rPr>
          <w:sz w:val="20"/>
          <w:szCs w:val="20"/>
          <w:lang w:val="en-IE"/>
        </w:rPr>
        <w:t>).</w:t>
      </w:r>
    </w:p>
  </w:footnote>
  <w:footnote w:id="6">
    <w:p w14:paraId="5AA51B73" w14:textId="3C9B390B" w:rsidR="007C7926" w:rsidRPr="00714F6B" w:rsidRDefault="007C7926" w:rsidP="00942A1A">
      <w:pPr>
        <w:pStyle w:val="FootnoteText"/>
        <w:widowControl w:val="0"/>
        <w:ind w:left="142" w:right="-142" w:hanging="284"/>
        <w:jc w:val="both"/>
        <w:rPr>
          <w:lang w:val="en-GB"/>
        </w:rPr>
      </w:pPr>
      <w:r w:rsidRPr="00942A1A">
        <w:rPr>
          <w:rStyle w:val="FootnoteReference"/>
          <w:sz w:val="20"/>
          <w:szCs w:val="20"/>
          <w:lang w:val="en-IE"/>
        </w:rPr>
        <w:footnoteRef/>
      </w:r>
      <w:r w:rsidRPr="00942A1A">
        <w:rPr>
          <w:sz w:val="20"/>
          <w:szCs w:val="20"/>
          <w:lang w:val="en-IE"/>
        </w:rPr>
        <w:t xml:space="preserve"> </w:t>
      </w:r>
      <w:r w:rsidR="00714F6B" w:rsidRPr="00942A1A">
        <w:rPr>
          <w:sz w:val="20"/>
          <w:szCs w:val="20"/>
          <w:lang w:val="en-IE"/>
        </w:rPr>
        <w:tab/>
      </w:r>
      <w:r w:rsidRPr="00942A1A">
        <w:rPr>
          <w:sz w:val="20"/>
          <w:szCs w:val="20"/>
          <w:lang w:val="en-IE"/>
        </w:rPr>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(Text with EEA relevance) (OJ L, 2024/1689, 12.7.2024)</w:t>
      </w:r>
      <w:r w:rsidR="00714F6B" w:rsidRPr="00942A1A">
        <w:rPr>
          <w:sz w:val="20"/>
          <w:szCs w:val="20"/>
          <w:lang w:val="en-IE"/>
        </w:rPr>
        <w:t>;</w:t>
      </w:r>
      <w:r w:rsidRPr="00942A1A">
        <w:rPr>
          <w:sz w:val="20"/>
          <w:szCs w:val="20"/>
          <w:lang w:val="en-IE"/>
        </w:rPr>
        <w:t xml:space="preserve"> </w:t>
      </w:r>
      <w:r w:rsidR="00714F6B" w:rsidRPr="00942A1A">
        <w:rPr>
          <w:sz w:val="20"/>
          <w:szCs w:val="20"/>
          <w:lang w:val="en-IE"/>
        </w:rPr>
        <w:t>(</w:t>
      </w:r>
      <w:hyperlink r:id="rId6" w:history="1">
        <w:r w:rsidR="00714F6B" w:rsidRPr="00942A1A">
          <w:rPr>
            <w:rStyle w:val="Hyperlink"/>
            <w:sz w:val="20"/>
            <w:szCs w:val="20"/>
            <w:lang w:val="en-IE"/>
          </w:rPr>
          <w:t>https://eur-lex.europa.eu/eli/reg/2024/1689/oj</w:t>
        </w:r>
      </w:hyperlink>
      <w:r w:rsidR="00714F6B" w:rsidRPr="00942A1A">
        <w:rPr>
          <w:sz w:val="20"/>
          <w:szCs w:val="20"/>
          <w:lang w:val="en-IE"/>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12A37"/>
    <w:rsid w:val="000314D3"/>
    <w:rsid w:val="00046B15"/>
    <w:rsid w:val="00050DC7"/>
    <w:rsid w:val="000725D9"/>
    <w:rsid w:val="00074FAB"/>
    <w:rsid w:val="00076109"/>
    <w:rsid w:val="0007722E"/>
    <w:rsid w:val="00077C4F"/>
    <w:rsid w:val="000866D2"/>
    <w:rsid w:val="00094627"/>
    <w:rsid w:val="000A1200"/>
    <w:rsid w:val="000A29E1"/>
    <w:rsid w:val="000D3EA0"/>
    <w:rsid w:val="000E0767"/>
    <w:rsid w:val="000F5FD8"/>
    <w:rsid w:val="001032B2"/>
    <w:rsid w:val="001157A9"/>
    <w:rsid w:val="00115F31"/>
    <w:rsid w:val="001167C0"/>
    <w:rsid w:val="00135C2A"/>
    <w:rsid w:val="00147AD3"/>
    <w:rsid w:val="001B0E0B"/>
    <w:rsid w:val="001D7F9F"/>
    <w:rsid w:val="001E126B"/>
    <w:rsid w:val="001F2EC6"/>
    <w:rsid w:val="001F65D0"/>
    <w:rsid w:val="00215A04"/>
    <w:rsid w:val="00217E59"/>
    <w:rsid w:val="00221B24"/>
    <w:rsid w:val="00222BA1"/>
    <w:rsid w:val="002252BA"/>
    <w:rsid w:val="00233E56"/>
    <w:rsid w:val="002427DB"/>
    <w:rsid w:val="00264A03"/>
    <w:rsid w:val="002653A4"/>
    <w:rsid w:val="00277DBE"/>
    <w:rsid w:val="002809CB"/>
    <w:rsid w:val="002B0BE8"/>
    <w:rsid w:val="002C354C"/>
    <w:rsid w:val="002F03FA"/>
    <w:rsid w:val="003004D2"/>
    <w:rsid w:val="0030140E"/>
    <w:rsid w:val="00325133"/>
    <w:rsid w:val="003349A3"/>
    <w:rsid w:val="00377967"/>
    <w:rsid w:val="00386143"/>
    <w:rsid w:val="003A1584"/>
    <w:rsid w:val="003B0F2D"/>
    <w:rsid w:val="003B58DC"/>
    <w:rsid w:val="003F037F"/>
    <w:rsid w:val="003F686E"/>
    <w:rsid w:val="00403FCC"/>
    <w:rsid w:val="00435B12"/>
    <w:rsid w:val="004420C9"/>
    <w:rsid w:val="00442552"/>
    <w:rsid w:val="004454AC"/>
    <w:rsid w:val="00455A1C"/>
    <w:rsid w:val="004675B5"/>
    <w:rsid w:val="004770D6"/>
    <w:rsid w:val="004840B9"/>
    <w:rsid w:val="0049246C"/>
    <w:rsid w:val="004965BA"/>
    <w:rsid w:val="004A6C54"/>
    <w:rsid w:val="004B3EED"/>
    <w:rsid w:val="004F6117"/>
    <w:rsid w:val="004F63F1"/>
    <w:rsid w:val="004F651E"/>
    <w:rsid w:val="00523311"/>
    <w:rsid w:val="0052596B"/>
    <w:rsid w:val="00537497"/>
    <w:rsid w:val="00554D8D"/>
    <w:rsid w:val="0055617C"/>
    <w:rsid w:val="00573835"/>
    <w:rsid w:val="00577670"/>
    <w:rsid w:val="00581306"/>
    <w:rsid w:val="005B5E62"/>
    <w:rsid w:val="005C0D79"/>
    <w:rsid w:val="005C1B99"/>
    <w:rsid w:val="005C3105"/>
    <w:rsid w:val="005C4B8C"/>
    <w:rsid w:val="005C622A"/>
    <w:rsid w:val="005F37C5"/>
    <w:rsid w:val="005F7552"/>
    <w:rsid w:val="0060511A"/>
    <w:rsid w:val="00634717"/>
    <w:rsid w:val="0067340B"/>
    <w:rsid w:val="00675F72"/>
    <w:rsid w:val="00680FAA"/>
    <w:rsid w:val="00692C2F"/>
    <w:rsid w:val="00695797"/>
    <w:rsid w:val="00696A5E"/>
    <w:rsid w:val="006B3B69"/>
    <w:rsid w:val="006C1A4E"/>
    <w:rsid w:val="006C4DBC"/>
    <w:rsid w:val="006D5423"/>
    <w:rsid w:val="006F4D48"/>
    <w:rsid w:val="0070180B"/>
    <w:rsid w:val="00705C5F"/>
    <w:rsid w:val="007075ED"/>
    <w:rsid w:val="00714F6B"/>
    <w:rsid w:val="00734613"/>
    <w:rsid w:val="00751910"/>
    <w:rsid w:val="00751E60"/>
    <w:rsid w:val="007547B5"/>
    <w:rsid w:val="0076202C"/>
    <w:rsid w:val="00783C53"/>
    <w:rsid w:val="007940C8"/>
    <w:rsid w:val="00795A9E"/>
    <w:rsid w:val="00797C9C"/>
    <w:rsid w:val="007A606D"/>
    <w:rsid w:val="007B2ACD"/>
    <w:rsid w:val="007B3A38"/>
    <w:rsid w:val="007C2214"/>
    <w:rsid w:val="007C7926"/>
    <w:rsid w:val="007D0267"/>
    <w:rsid w:val="007D206F"/>
    <w:rsid w:val="007D7FD8"/>
    <w:rsid w:val="00807B48"/>
    <w:rsid w:val="008135CA"/>
    <w:rsid w:val="0081584F"/>
    <w:rsid w:val="00816F40"/>
    <w:rsid w:val="008663CB"/>
    <w:rsid w:val="008703BF"/>
    <w:rsid w:val="0087162C"/>
    <w:rsid w:val="008925CE"/>
    <w:rsid w:val="008C4D41"/>
    <w:rsid w:val="008D0F71"/>
    <w:rsid w:val="00902567"/>
    <w:rsid w:val="0090350D"/>
    <w:rsid w:val="00912371"/>
    <w:rsid w:val="00927239"/>
    <w:rsid w:val="00942A1A"/>
    <w:rsid w:val="00953D22"/>
    <w:rsid w:val="00962CFA"/>
    <w:rsid w:val="00973A1B"/>
    <w:rsid w:val="00973C94"/>
    <w:rsid w:val="00980765"/>
    <w:rsid w:val="00981B83"/>
    <w:rsid w:val="00981F45"/>
    <w:rsid w:val="00994D12"/>
    <w:rsid w:val="009A67D9"/>
    <w:rsid w:val="009A76E0"/>
    <w:rsid w:val="009B128B"/>
    <w:rsid w:val="009B7822"/>
    <w:rsid w:val="009C30A7"/>
    <w:rsid w:val="00A03D1D"/>
    <w:rsid w:val="00A1310E"/>
    <w:rsid w:val="00A16F07"/>
    <w:rsid w:val="00A513FD"/>
    <w:rsid w:val="00A60F38"/>
    <w:rsid w:val="00A62C7B"/>
    <w:rsid w:val="00A70DCF"/>
    <w:rsid w:val="00A72D1E"/>
    <w:rsid w:val="00A7709A"/>
    <w:rsid w:val="00A82045"/>
    <w:rsid w:val="00A83E00"/>
    <w:rsid w:val="00A97516"/>
    <w:rsid w:val="00AC6045"/>
    <w:rsid w:val="00AD24FB"/>
    <w:rsid w:val="00AD758D"/>
    <w:rsid w:val="00AE1842"/>
    <w:rsid w:val="00AE298C"/>
    <w:rsid w:val="00AE3C7C"/>
    <w:rsid w:val="00AE7DDE"/>
    <w:rsid w:val="00AF6F54"/>
    <w:rsid w:val="00B001B5"/>
    <w:rsid w:val="00B1325B"/>
    <w:rsid w:val="00B22DD6"/>
    <w:rsid w:val="00B31306"/>
    <w:rsid w:val="00B42814"/>
    <w:rsid w:val="00B62192"/>
    <w:rsid w:val="00B6760E"/>
    <w:rsid w:val="00B83936"/>
    <w:rsid w:val="00BB7C89"/>
    <w:rsid w:val="00BD65E4"/>
    <w:rsid w:val="00BD6EB7"/>
    <w:rsid w:val="00C139E3"/>
    <w:rsid w:val="00C16C27"/>
    <w:rsid w:val="00C340D7"/>
    <w:rsid w:val="00C361F2"/>
    <w:rsid w:val="00C44333"/>
    <w:rsid w:val="00C54D27"/>
    <w:rsid w:val="00C60C1B"/>
    <w:rsid w:val="00C76EEB"/>
    <w:rsid w:val="00C93C38"/>
    <w:rsid w:val="00CB17C2"/>
    <w:rsid w:val="00D01F5A"/>
    <w:rsid w:val="00D1716E"/>
    <w:rsid w:val="00D36448"/>
    <w:rsid w:val="00D643E2"/>
    <w:rsid w:val="00D64E05"/>
    <w:rsid w:val="00D7208E"/>
    <w:rsid w:val="00D92FD3"/>
    <w:rsid w:val="00D94599"/>
    <w:rsid w:val="00D9616A"/>
    <w:rsid w:val="00DA3B6E"/>
    <w:rsid w:val="00DA5A3F"/>
    <w:rsid w:val="00DB3AE2"/>
    <w:rsid w:val="00DB7581"/>
    <w:rsid w:val="00DC70C1"/>
    <w:rsid w:val="00DD17E9"/>
    <w:rsid w:val="00DE1340"/>
    <w:rsid w:val="00DF203D"/>
    <w:rsid w:val="00DF50EB"/>
    <w:rsid w:val="00E05503"/>
    <w:rsid w:val="00E11372"/>
    <w:rsid w:val="00E20A72"/>
    <w:rsid w:val="00E80988"/>
    <w:rsid w:val="00E83C12"/>
    <w:rsid w:val="00E87485"/>
    <w:rsid w:val="00E904C8"/>
    <w:rsid w:val="00EA1BBF"/>
    <w:rsid w:val="00EB29A9"/>
    <w:rsid w:val="00EB77D2"/>
    <w:rsid w:val="00ED3582"/>
    <w:rsid w:val="00EF2951"/>
    <w:rsid w:val="00EF2D75"/>
    <w:rsid w:val="00EF58E0"/>
    <w:rsid w:val="00F316C8"/>
    <w:rsid w:val="00F40A48"/>
    <w:rsid w:val="00F632DE"/>
    <w:rsid w:val="00F735E4"/>
    <w:rsid w:val="00F73ECE"/>
    <w:rsid w:val="00F74674"/>
    <w:rsid w:val="00F7620E"/>
    <w:rsid w:val="00F82DAA"/>
    <w:rsid w:val="00FB2406"/>
    <w:rsid w:val="00FB7834"/>
    <w:rsid w:val="00FC57C8"/>
    <w:rsid w:val="00FD22A7"/>
    <w:rsid w:val="00FD4B6A"/>
    <w:rsid w:val="00FF03A8"/>
    <w:rsid w:val="00FF63EA"/>
    <w:rsid w:val="01E4477F"/>
    <w:rsid w:val="0232A2BE"/>
    <w:rsid w:val="02EB1391"/>
    <w:rsid w:val="096802C3"/>
    <w:rsid w:val="0EAA965D"/>
    <w:rsid w:val="0FB85C33"/>
    <w:rsid w:val="10FF2D70"/>
    <w:rsid w:val="11BDF03D"/>
    <w:rsid w:val="16DE917A"/>
    <w:rsid w:val="1721A380"/>
    <w:rsid w:val="186B10D6"/>
    <w:rsid w:val="19146E9A"/>
    <w:rsid w:val="1A21C860"/>
    <w:rsid w:val="1E5E6D84"/>
    <w:rsid w:val="1F85CC62"/>
    <w:rsid w:val="23F7FADB"/>
    <w:rsid w:val="2438C732"/>
    <w:rsid w:val="2EFCAB6E"/>
    <w:rsid w:val="307AEE03"/>
    <w:rsid w:val="30C4209F"/>
    <w:rsid w:val="30DD6CCF"/>
    <w:rsid w:val="32193FE1"/>
    <w:rsid w:val="3629D310"/>
    <w:rsid w:val="3D4A0B5B"/>
    <w:rsid w:val="3F51E4C5"/>
    <w:rsid w:val="4113D169"/>
    <w:rsid w:val="432035F3"/>
    <w:rsid w:val="46251FAE"/>
    <w:rsid w:val="4AAD58B5"/>
    <w:rsid w:val="526C4F4D"/>
    <w:rsid w:val="57C8D4A9"/>
    <w:rsid w:val="585F3C50"/>
    <w:rsid w:val="594CCFB7"/>
    <w:rsid w:val="5E2825F3"/>
    <w:rsid w:val="61971B90"/>
    <w:rsid w:val="68A91BE5"/>
    <w:rsid w:val="6BE245F4"/>
    <w:rsid w:val="6D8F5D6A"/>
    <w:rsid w:val="717FFBF8"/>
    <w:rsid w:val="77595AD1"/>
    <w:rsid w:val="7D69C25A"/>
    <w:rsid w:val="7E4CE0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4690A591-85FF-47BF-A92F-885D5508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653A4"/>
    <w:rPr>
      <w:color w:val="467886"/>
      <w:u w:val="single"/>
    </w:rPr>
  </w:style>
  <w:style w:type="character" w:styleId="FootnoteReference">
    <w:name w:val="footnote reference"/>
    <w:aliases w:val="Footnote symbol,Footnote reference number,Times 10 Point,Exposant 3 Point,EN Footnote Reference,note TESI,Footnotes refss,Fussnota,texto nota a pie,ftref,BVI fnr,Footnote Reference Number,fr,E...,Footnote,N,Знак сноски-FN,callout,vnv"/>
    <w:link w:val="CarCharCarCharCarCharCharCharCharCharCharChar"/>
    <w:uiPriority w:val="99"/>
    <w:qFormat/>
    <w:rsid w:val="002653A4"/>
    <w:rPr>
      <w:vertAlign w:val="superscript"/>
    </w:rPr>
  </w:style>
  <w:style w:type="paragraph" w:customStyle="1" w:styleId="CarCharCarCharCarCharCharCharCharCharCharChar">
    <w:name w:val="Car Char Car Char Car Char Char Char Char Char Char Char"/>
    <w:aliases w:val="Footnote Refernece Char,Footnote Refernece Char Char Char Char,BVI fnr Char Char Char Char Char Char Char Char Char,BVI fnr Car Car Char Char Char Char Char Char Char Char Char"/>
    <w:basedOn w:val="Normal"/>
    <w:link w:val="FootnoteReference"/>
    <w:uiPriority w:val="99"/>
    <w:rsid w:val="002653A4"/>
    <w:pPr>
      <w:autoSpaceDE w:val="0"/>
      <w:autoSpaceDN w:val="0"/>
      <w:spacing w:after="160" w:line="240" w:lineRule="exact"/>
      <w:jc w:val="both"/>
    </w:pPr>
    <w:rPr>
      <w:sz w:val="20"/>
      <w:szCs w:val="20"/>
      <w:vertAlign w:val="superscript"/>
      <w:lang w:eastAsia="en-GB"/>
    </w:rPr>
  </w:style>
  <w:style w:type="paragraph" w:styleId="FootnoteText">
    <w:name w:val="footnote text"/>
    <w:aliases w:val="Footnote 9,Char1,Footnote Text Char2,Footnote Text Char1 Char,Footnote Text Char2 Char Char,Footnote Text Char1 Char Char Char,Footnote Text Char2 Char Char Char Char,Footnote Text Char Char1 Char Char Char Char,Footnote Text Char1,Fußnote"/>
    <w:basedOn w:val="Normal"/>
    <w:link w:val="FootnoteTextChar"/>
    <w:qFormat/>
    <w:rsid w:val="002653A4"/>
    <w:pPr>
      <w:spacing w:after="0" w:line="240" w:lineRule="auto"/>
    </w:pPr>
    <w:rPr>
      <w:rFonts w:ascii="Times New Roman" w:hAnsi="Times New Roman"/>
      <w:sz w:val="18"/>
      <w:szCs w:val="18"/>
      <w:lang w:val="en-US"/>
    </w:rPr>
  </w:style>
  <w:style w:type="character" w:customStyle="1" w:styleId="FootnoteTextChar">
    <w:name w:val="Footnote Text Char"/>
    <w:aliases w:val="Footnote 9 Char,Char1 Char,Footnote Text Char2 Char,Footnote Text Char1 Char Char,Footnote Text Char2 Char Char Char,Footnote Text Char1 Char Char Char Char,Footnote Text Char2 Char Char Char Char Char,Footnote Text Char1 Char1"/>
    <w:link w:val="FootnoteText"/>
    <w:qFormat/>
    <w:rsid w:val="002653A4"/>
    <w:rPr>
      <w:rFonts w:ascii="Times New Roman" w:hAnsi="Times New Roman"/>
      <w:sz w:val="18"/>
      <w:szCs w:val="18"/>
      <w:lang w:val="en-US" w:eastAsia="en-US"/>
    </w:rPr>
  </w:style>
  <w:style w:type="character" w:styleId="UnresolvedMention">
    <w:name w:val="Unresolved Mention"/>
    <w:uiPriority w:val="99"/>
    <w:semiHidden/>
    <w:unhideWhenUsed/>
    <w:rsid w:val="007C7926"/>
    <w:rPr>
      <w:color w:val="605E5C"/>
      <w:shd w:val="clear" w:color="auto" w:fill="E1DFDD"/>
    </w:rPr>
  </w:style>
  <w:style w:type="paragraph" w:styleId="Header">
    <w:name w:val="header"/>
    <w:basedOn w:val="Normal"/>
    <w:link w:val="HeaderChar"/>
    <w:uiPriority w:val="99"/>
    <w:semiHidden/>
    <w:unhideWhenUsed/>
    <w:rsid w:val="00B001B5"/>
    <w:pPr>
      <w:tabs>
        <w:tab w:val="center" w:pos="4513"/>
        <w:tab w:val="right" w:pos="9026"/>
      </w:tabs>
    </w:pPr>
  </w:style>
  <w:style w:type="character" w:customStyle="1" w:styleId="HeaderChar">
    <w:name w:val="Header Char"/>
    <w:link w:val="Header"/>
    <w:uiPriority w:val="99"/>
    <w:semiHidden/>
    <w:rsid w:val="00B001B5"/>
    <w:rPr>
      <w:sz w:val="22"/>
      <w:szCs w:val="22"/>
      <w:lang w:eastAsia="en-US"/>
    </w:rPr>
  </w:style>
  <w:style w:type="paragraph" w:styleId="Footer">
    <w:name w:val="footer"/>
    <w:basedOn w:val="Normal"/>
    <w:link w:val="FooterChar"/>
    <w:uiPriority w:val="99"/>
    <w:semiHidden/>
    <w:unhideWhenUsed/>
    <w:rsid w:val="00B001B5"/>
    <w:pPr>
      <w:tabs>
        <w:tab w:val="center" w:pos="4513"/>
        <w:tab w:val="right" w:pos="9026"/>
      </w:tabs>
    </w:pPr>
  </w:style>
  <w:style w:type="character" w:customStyle="1" w:styleId="FooterChar">
    <w:name w:val="Footer Char"/>
    <w:link w:val="Footer"/>
    <w:uiPriority w:val="99"/>
    <w:semiHidden/>
    <w:rsid w:val="00B001B5"/>
    <w:rPr>
      <w:sz w:val="22"/>
      <w:szCs w:val="22"/>
      <w:lang w:eastAsia="en-US"/>
    </w:rPr>
  </w:style>
  <w:style w:type="paragraph" w:styleId="Revision">
    <w:name w:val="Revision"/>
    <w:hidden/>
    <w:uiPriority w:val="99"/>
    <w:semiHidden/>
    <w:rsid w:val="00B22DD6"/>
    <w:rPr>
      <w:sz w:val="22"/>
      <w:szCs w:val="22"/>
      <w:lang w:val="en-GB" w:eastAsia="en-US"/>
    </w:rPr>
  </w:style>
  <w:style w:type="character" w:styleId="CommentReference">
    <w:name w:val="annotation reference"/>
    <w:uiPriority w:val="99"/>
    <w:semiHidden/>
    <w:unhideWhenUsed/>
    <w:rsid w:val="001D7F9F"/>
    <w:rPr>
      <w:sz w:val="16"/>
      <w:szCs w:val="16"/>
    </w:rPr>
  </w:style>
  <w:style w:type="paragraph" w:styleId="CommentText">
    <w:name w:val="annotation text"/>
    <w:basedOn w:val="Normal"/>
    <w:link w:val="CommentTextChar"/>
    <w:uiPriority w:val="99"/>
    <w:unhideWhenUsed/>
    <w:rsid w:val="001D7F9F"/>
    <w:rPr>
      <w:sz w:val="20"/>
      <w:szCs w:val="20"/>
    </w:rPr>
  </w:style>
  <w:style w:type="character" w:customStyle="1" w:styleId="CommentTextChar">
    <w:name w:val="Comment Text Char"/>
    <w:link w:val="CommentText"/>
    <w:uiPriority w:val="99"/>
    <w:rsid w:val="001D7F9F"/>
    <w:rPr>
      <w:lang w:eastAsia="en-US"/>
    </w:rPr>
  </w:style>
  <w:style w:type="paragraph" w:styleId="CommentSubject">
    <w:name w:val="annotation subject"/>
    <w:basedOn w:val="CommentText"/>
    <w:next w:val="CommentText"/>
    <w:link w:val="CommentSubjectChar"/>
    <w:uiPriority w:val="99"/>
    <w:semiHidden/>
    <w:unhideWhenUsed/>
    <w:rsid w:val="001D7F9F"/>
    <w:rPr>
      <w:b/>
      <w:bCs/>
    </w:rPr>
  </w:style>
  <w:style w:type="character" w:customStyle="1" w:styleId="CommentSubjectChar">
    <w:name w:val="Comment Subject Char"/>
    <w:link w:val="CommentSubject"/>
    <w:uiPriority w:val="99"/>
    <w:semiHidden/>
    <w:rsid w:val="001D7F9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01990L0270-20190726" TargetMode="External"/><Relationship Id="rId2" Type="http://schemas.openxmlformats.org/officeDocument/2006/relationships/hyperlink" Target="https://eur-lex.europa.eu/legal-content/EN/TXT/PDF/?uri=CELEX:31989L0654" TargetMode="External"/><Relationship Id="rId1" Type="http://schemas.openxmlformats.org/officeDocument/2006/relationships/hyperlink" Target="https://eur-lex.europa.eu/legal-content/EN/TXT/?uri=celex:52025DC0944" TargetMode="External"/><Relationship Id="rId6" Type="http://schemas.openxmlformats.org/officeDocument/2006/relationships/hyperlink" Target="https://eur-lex.europa.eu/eli/reg/2024/1689/oj" TargetMode="External"/><Relationship Id="rId5" Type="http://schemas.openxmlformats.org/officeDocument/2006/relationships/hyperlink" Target="https://eur-lex.europa.eu/eli/reg/2016/679/oj/eng" TargetMode="External"/><Relationship Id="rId4" Type="http://schemas.openxmlformats.org/officeDocument/2006/relationships/hyperlink" Target="https://oira.osha.europa.eu/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B06DECA5663C46A25228468530AF33" ma:contentTypeVersion="6" ma:contentTypeDescription="Create a new document." ma:contentTypeScope="" ma:versionID="80a97410bf018bed056e013ce77966ea">
  <xsd:schema xmlns:xsd="http://www.w3.org/2001/XMLSchema" xmlns:xs="http://www.w3.org/2001/XMLSchema" xmlns:p="http://schemas.microsoft.com/office/2006/metadata/properties" xmlns:ns2="b4f06535-9e84-4b34-be76-e3d4f4c5c0a5" xmlns:ns3="6e4c1d7a-e683-4948-9734-36f99d5e1dd9" targetNamespace="http://schemas.microsoft.com/office/2006/metadata/properties" ma:root="true" ma:fieldsID="30cd76fd1dcc3a6646b62c0d6e6c9f1a" ns2:_="" ns3:_="">
    <xsd:import namespace="b4f06535-9e84-4b34-be76-e3d4f4c5c0a5"/>
    <xsd:import namespace="6e4c1d7a-e683-4948-9734-36f99d5e1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06535-9e84-4b34-be76-e3d4f4c5c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4c1d7a-e683-4948-9734-36f99d5e1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57636F-F428-4124-A0BB-5695BF2BB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06535-9e84-4b34-be76-e3d4f4c5c0a5"/>
    <ds:schemaRef ds:uri="6e4c1d7a-e683-4948-9734-36f99d5e1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AE8311-5B3C-4769-BF68-8C39C40D5E8D}">
  <ds:schemaRefs>
    <ds:schemaRef ds:uri="http://schemas.microsoft.com/sharepoint/v3/contenttype/forms"/>
  </ds:schemaRefs>
</ds:datastoreItem>
</file>

<file path=customXml/itemProps3.xml><?xml version="1.0" encoding="utf-8"?>
<ds:datastoreItem xmlns:ds="http://schemas.openxmlformats.org/officeDocument/2006/customXml" ds:itemID="{852CC14F-B97C-44C8-B3D6-CB80664CD395}">
  <ds:schemaRefs>
    <ds:schemaRef ds:uri="http://schemas.openxmlformats.org/officeDocument/2006/bibliography"/>
  </ds:schemaRefs>
</ds:datastoreItem>
</file>

<file path=customXml/itemProps4.xml><?xml version="1.0" encoding="utf-8"?>
<ds:datastoreItem xmlns:ds="http://schemas.openxmlformats.org/officeDocument/2006/customXml" ds:itemID="{2C27CA5A-FCD2-4E4D-9DF3-2392FA87EC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2044</Words>
  <Characters>9587</Characters>
  <Application>Microsoft Office Word</Application>
  <DocSecurity>0</DocSecurity>
  <Lines>330</Lines>
  <Paragraphs>332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3</cp:revision>
  <cp:lastPrinted>2013-02-28T21:02:00Z</cp:lastPrinted>
  <dcterms:created xsi:type="dcterms:W3CDTF">2026-09-17T11:21:00Z</dcterms:created>
  <dcterms:modified xsi:type="dcterms:W3CDTF">2026-09-17T11:21:00Z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0x0101002EB06DECA5663C46A25228468530AF33</vt:lpwstr>
  </property>
</Properties>
</file>