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0E5C287F" w:rsidR="004D7AC0" w:rsidRDefault="004E5233" w:rsidP="001766B2">
      <w:pPr>
        <w:jc w:val="center"/>
      </w:pPr>
      <w:r>
        <w:rPr>
          <w:noProof/>
        </w:rPr>
        <w:drawing>
          <wp:inline distT="0" distB="0" distL="0" distR="0" wp14:anchorId="6DB868C6" wp14:editId="544504B7">
            <wp:extent cx="1792605" cy="1239520"/>
            <wp:effectExtent l="0" t="0" r="0" b="0"/>
            <wp:docPr id="899843999" name="Picture 2" title="EESCLogo_HU"/>
            <wp:cNvGraphicFramePr/>
            <a:graphic xmlns:a="http://schemas.openxmlformats.org/drawingml/2006/main">
              <a:graphicData uri="http://schemas.openxmlformats.org/drawingml/2006/picture">
                <pic:pic xmlns:pic="http://schemas.openxmlformats.org/drawingml/2006/picture">
                  <pic:nvPicPr>
                    <pic:cNvPr id="899843999" name="Picture 2" title="EESCLogo_HU"/>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008A49FC">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HU</w:t>
                      </w:r>
                    </w:p>
                  </w:txbxContent>
                </v:textbox>
                <w10:wrap anchorx="page" anchory="page"/>
              </v:shape>
            </w:pict>
          </mc:Fallback>
        </mc:AlternateContent>
      </w:r>
    </w:p>
    <w:p w14:paraId="4982DD4E" w14:textId="77777777" w:rsidR="004D7AC0" w:rsidRDefault="004D7AC0" w:rsidP="001766B2"/>
    <w:p w14:paraId="4982DD4F" w14:textId="3B8FEC35" w:rsidR="004D7AC0" w:rsidRDefault="004D7AC0" w:rsidP="001766B2">
      <w:pPr>
        <w:jc w:val="right"/>
      </w:pPr>
      <w:r>
        <w:t>Brüsszel, 2026. szeptember 1.</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1B6581ED" w:rsidR="003066BE" w:rsidRDefault="0001077B" w:rsidP="001766B2">
            <w:pPr>
              <w:snapToGrid w:val="0"/>
              <w:jc w:val="center"/>
              <w:rPr>
                <w:b/>
                <w:sz w:val="32"/>
                <w:szCs w:val="32"/>
              </w:rPr>
            </w:pPr>
            <w:r>
              <w:rPr>
                <w:b/>
                <w:sz w:val="32"/>
              </w:rPr>
              <w:t>607. PLENÁRIS ÜLÉSSZAK</w:t>
            </w:r>
          </w:p>
          <w:p w14:paraId="4982DD54" w14:textId="77777777" w:rsidR="003066BE" w:rsidRDefault="003066BE" w:rsidP="001766B2">
            <w:pPr>
              <w:snapToGrid w:val="0"/>
              <w:jc w:val="center"/>
              <w:rPr>
                <w:b/>
                <w:sz w:val="32"/>
                <w:szCs w:val="32"/>
              </w:rPr>
            </w:pPr>
          </w:p>
          <w:p w14:paraId="4982DD55" w14:textId="20361E51" w:rsidR="003066BE" w:rsidRDefault="00B07E1C" w:rsidP="001766B2">
            <w:pPr>
              <w:snapToGrid w:val="0"/>
              <w:jc w:val="center"/>
              <w:rPr>
                <w:b/>
                <w:sz w:val="32"/>
                <w:szCs w:val="32"/>
              </w:rPr>
            </w:pPr>
            <w:r>
              <w:rPr>
                <w:b/>
                <w:sz w:val="32"/>
              </w:rPr>
              <w:t>2026. július 15. és 16.</w:t>
            </w:r>
          </w:p>
          <w:p w14:paraId="4982DD56" w14:textId="77777777" w:rsidR="003066BE" w:rsidRDefault="003066BE" w:rsidP="001766B2">
            <w:pPr>
              <w:snapToGrid w:val="0"/>
              <w:jc w:val="center"/>
              <w:rPr>
                <w:b/>
                <w:sz w:val="32"/>
                <w:szCs w:val="32"/>
              </w:rPr>
            </w:pPr>
          </w:p>
          <w:p w14:paraId="4982DD57" w14:textId="45EA0114" w:rsidR="004D7AC0" w:rsidRPr="0081153B" w:rsidRDefault="00754027" w:rsidP="001766B2">
            <w:pPr>
              <w:snapToGrid w:val="0"/>
              <w:jc w:val="center"/>
              <w:rPr>
                <w:rFonts w:eastAsia="MS Mincho"/>
                <w:b/>
                <w:sz w:val="32"/>
                <w:szCs w:val="32"/>
              </w:rPr>
            </w:pPr>
            <w:r>
              <w:rPr>
                <w:b/>
                <w:sz w:val="32"/>
              </w:rPr>
              <w:t>AZ ELFOGADOTT VÉLEMÉNYEK ÖSSZEFOGLALÁSA</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7FE90FA3" w:rsidR="004D7AC0" w:rsidRPr="0081153B" w:rsidRDefault="004D7AC0" w:rsidP="001766B2">
            <w:pPr>
              <w:snapToGrid w:val="0"/>
              <w:jc w:val="center"/>
            </w:pPr>
            <w:r>
              <w:t>Ez a dokumentum az Európai Unió valamennyi hivatalos nyelvén elérhető az EGSZB honlapján:</w:t>
            </w:r>
            <w:r>
              <w:br/>
            </w:r>
            <w:r>
              <w:br/>
            </w:r>
            <w:hyperlink r:id="rId12" w:history="1">
              <w:r>
                <w:rPr>
                  <w:rStyle w:val="Hyperlink"/>
                </w:rPr>
                <w:t>https://www.eesc.europa.eu/hu/our-work/opinions-information-reports/plenary-session-summaries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33F64600" w:rsidR="004D7AC0" w:rsidRPr="00044561" w:rsidRDefault="004D7AC0" w:rsidP="001766B2">
            <w:pPr>
              <w:snapToGrid w:val="0"/>
              <w:jc w:val="center"/>
            </w:pPr>
            <w:r>
              <w:t>A felsorolt vélemények online az EGSZB keresőrendszerén keresztül érhetők el:</w:t>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3F4C88">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Tartalomjegyzék</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24E6AEFB" w14:textId="13FFE41B" w:rsidR="003D7003" w:rsidRDefault="004D7AC0">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8802271" w:history="1">
            <w:r w:rsidR="003D7003" w:rsidRPr="001715EC">
              <w:rPr>
                <w:rStyle w:val="Hyperlink"/>
                <w:bCs/>
                <w:noProof/>
              </w:rPr>
              <w:t>1.</w:t>
            </w:r>
            <w:r w:rsidR="003D7003">
              <w:rPr>
                <w:rFonts w:asciiTheme="minorHAnsi" w:eastAsiaTheme="minorEastAsia" w:hAnsiTheme="minorHAnsi" w:cstheme="minorBidi"/>
                <w:noProof/>
                <w:kern w:val="2"/>
                <w:sz w:val="24"/>
                <w:szCs w:val="24"/>
                <w14:ligatures w14:val="standardContextual"/>
              </w:rPr>
              <w:tab/>
            </w:r>
            <w:r w:rsidR="003D7003" w:rsidRPr="001715EC">
              <w:rPr>
                <w:rStyle w:val="Hyperlink"/>
                <w:b/>
                <w:noProof/>
              </w:rPr>
              <w:t>FOGLALKOZTATÁS- ÉS SZOCIÁLPOLITIKA, UNIÓS POLGÁRSÁG</w:t>
            </w:r>
            <w:r w:rsidR="003D7003">
              <w:rPr>
                <w:noProof/>
                <w:webHidden/>
              </w:rPr>
              <w:tab/>
            </w:r>
            <w:r w:rsidR="003D7003">
              <w:rPr>
                <w:noProof/>
                <w:webHidden/>
              </w:rPr>
              <w:fldChar w:fldCharType="begin"/>
            </w:r>
            <w:r w:rsidR="003D7003">
              <w:rPr>
                <w:noProof/>
                <w:webHidden/>
              </w:rPr>
              <w:instrText xml:space="preserve"> PAGEREF _Toc238802271 \h </w:instrText>
            </w:r>
            <w:r w:rsidR="003D7003">
              <w:rPr>
                <w:noProof/>
                <w:webHidden/>
              </w:rPr>
            </w:r>
            <w:r w:rsidR="003D7003">
              <w:rPr>
                <w:noProof/>
                <w:webHidden/>
              </w:rPr>
              <w:fldChar w:fldCharType="separate"/>
            </w:r>
            <w:r w:rsidR="003D7003">
              <w:rPr>
                <w:noProof/>
                <w:webHidden/>
              </w:rPr>
              <w:t>3</w:t>
            </w:r>
            <w:r w:rsidR="003D7003">
              <w:rPr>
                <w:noProof/>
                <w:webHidden/>
              </w:rPr>
              <w:fldChar w:fldCharType="end"/>
            </w:r>
          </w:hyperlink>
        </w:p>
        <w:p w14:paraId="40D39858" w14:textId="2ADBA5A1" w:rsidR="003D7003" w:rsidRDefault="003D7003">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hyperlink w:anchor="_Toc238802272" w:history="1">
            <w:r w:rsidRPr="001715EC">
              <w:rPr>
                <w:rStyle w:val="Hyperlink"/>
                <w:bCs/>
                <w:noProof/>
              </w:rPr>
              <w:t>2.</w:t>
            </w:r>
            <w:r>
              <w:rPr>
                <w:rFonts w:asciiTheme="minorHAnsi" w:eastAsiaTheme="minorEastAsia" w:hAnsiTheme="minorHAnsi" w:cstheme="minorBidi"/>
                <w:noProof/>
                <w:kern w:val="2"/>
                <w:sz w:val="24"/>
                <w:szCs w:val="24"/>
                <w14:ligatures w14:val="standardContextual"/>
              </w:rPr>
              <w:tab/>
            </w:r>
            <w:r w:rsidRPr="001715EC">
              <w:rPr>
                <w:rStyle w:val="Hyperlink"/>
                <w:b/>
                <w:noProof/>
              </w:rPr>
              <w:t>KÖZLEKEDÉS, ENERGIA, INFRASTRUKTÚRA ÉS INFORMÁCIÓS TÁRSADALOM</w:t>
            </w:r>
            <w:r>
              <w:rPr>
                <w:noProof/>
                <w:webHidden/>
              </w:rPr>
              <w:tab/>
            </w:r>
            <w:r>
              <w:rPr>
                <w:noProof/>
                <w:webHidden/>
              </w:rPr>
              <w:fldChar w:fldCharType="begin"/>
            </w:r>
            <w:r>
              <w:rPr>
                <w:noProof/>
                <w:webHidden/>
              </w:rPr>
              <w:instrText xml:space="preserve"> PAGEREF _Toc238802272 \h </w:instrText>
            </w:r>
            <w:r>
              <w:rPr>
                <w:noProof/>
                <w:webHidden/>
              </w:rPr>
            </w:r>
            <w:r>
              <w:rPr>
                <w:noProof/>
                <w:webHidden/>
              </w:rPr>
              <w:fldChar w:fldCharType="separate"/>
            </w:r>
            <w:r>
              <w:rPr>
                <w:noProof/>
                <w:webHidden/>
              </w:rPr>
              <w:t>10</w:t>
            </w:r>
            <w:r>
              <w:rPr>
                <w:noProof/>
                <w:webHidden/>
              </w:rPr>
              <w:fldChar w:fldCharType="end"/>
            </w:r>
          </w:hyperlink>
        </w:p>
        <w:p w14:paraId="1088348C" w14:textId="5BBC4BC9" w:rsidR="003D7003" w:rsidRDefault="003D7003">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hyperlink w:anchor="_Toc238802273" w:history="1">
            <w:r w:rsidRPr="001715EC">
              <w:rPr>
                <w:rStyle w:val="Hyperlink"/>
                <w:bCs/>
                <w:noProof/>
              </w:rPr>
              <w:t>3.</w:t>
            </w:r>
            <w:r>
              <w:rPr>
                <w:rFonts w:asciiTheme="minorHAnsi" w:eastAsiaTheme="minorEastAsia" w:hAnsiTheme="minorHAnsi" w:cstheme="minorBidi"/>
                <w:noProof/>
                <w:kern w:val="2"/>
                <w:sz w:val="24"/>
                <w:szCs w:val="24"/>
                <w14:ligatures w14:val="standardContextual"/>
              </w:rPr>
              <w:tab/>
            </w:r>
            <w:r w:rsidRPr="001715EC">
              <w:rPr>
                <w:rStyle w:val="Hyperlink"/>
                <w:b/>
                <w:noProof/>
              </w:rPr>
              <w:t>EGYSÉGES PIAC, TERMELÉS ÉS FOGYASZTÁS</w:t>
            </w:r>
            <w:r>
              <w:rPr>
                <w:noProof/>
                <w:webHidden/>
              </w:rPr>
              <w:tab/>
            </w:r>
            <w:r>
              <w:rPr>
                <w:noProof/>
                <w:webHidden/>
              </w:rPr>
              <w:fldChar w:fldCharType="begin"/>
            </w:r>
            <w:r>
              <w:rPr>
                <w:noProof/>
                <w:webHidden/>
              </w:rPr>
              <w:instrText xml:space="preserve"> PAGEREF _Toc238802273 \h </w:instrText>
            </w:r>
            <w:r>
              <w:rPr>
                <w:noProof/>
                <w:webHidden/>
              </w:rPr>
            </w:r>
            <w:r>
              <w:rPr>
                <w:noProof/>
                <w:webHidden/>
              </w:rPr>
              <w:fldChar w:fldCharType="separate"/>
            </w:r>
            <w:r>
              <w:rPr>
                <w:noProof/>
                <w:webHidden/>
              </w:rPr>
              <w:t>20</w:t>
            </w:r>
            <w:r>
              <w:rPr>
                <w:noProof/>
                <w:webHidden/>
              </w:rPr>
              <w:fldChar w:fldCharType="end"/>
            </w:r>
          </w:hyperlink>
        </w:p>
        <w:p w14:paraId="5454AAC3" w14:textId="5C0BCADB" w:rsidR="003D7003" w:rsidRDefault="003D7003">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hyperlink w:anchor="_Toc238802274" w:history="1">
            <w:r w:rsidRPr="001715EC">
              <w:rPr>
                <w:rStyle w:val="Hyperlink"/>
                <w:bCs/>
                <w:noProof/>
              </w:rPr>
              <w:t>4.</w:t>
            </w:r>
            <w:r>
              <w:rPr>
                <w:rFonts w:asciiTheme="minorHAnsi" w:eastAsiaTheme="minorEastAsia" w:hAnsiTheme="minorHAnsi" w:cstheme="minorBidi"/>
                <w:noProof/>
                <w:kern w:val="2"/>
                <w:sz w:val="24"/>
                <w:szCs w:val="24"/>
                <w14:ligatures w14:val="standardContextual"/>
              </w:rPr>
              <w:tab/>
            </w:r>
            <w:r w:rsidRPr="001715EC">
              <w:rPr>
                <w:rStyle w:val="Hyperlink"/>
                <w:b/>
                <w:noProof/>
              </w:rPr>
              <w:t>MEZŐGAZDASÁG, VIDÉKFEJLESZTÉS ÉS KÖRNYEZETVÉDELEM</w:t>
            </w:r>
            <w:r>
              <w:rPr>
                <w:noProof/>
                <w:webHidden/>
              </w:rPr>
              <w:tab/>
            </w:r>
            <w:r>
              <w:rPr>
                <w:noProof/>
                <w:webHidden/>
              </w:rPr>
              <w:fldChar w:fldCharType="begin"/>
            </w:r>
            <w:r>
              <w:rPr>
                <w:noProof/>
                <w:webHidden/>
              </w:rPr>
              <w:instrText xml:space="preserve"> PAGEREF _Toc238802274 \h </w:instrText>
            </w:r>
            <w:r>
              <w:rPr>
                <w:noProof/>
                <w:webHidden/>
              </w:rPr>
            </w:r>
            <w:r>
              <w:rPr>
                <w:noProof/>
                <w:webHidden/>
              </w:rPr>
              <w:fldChar w:fldCharType="separate"/>
            </w:r>
            <w:r>
              <w:rPr>
                <w:noProof/>
                <w:webHidden/>
              </w:rPr>
              <w:t>22</w:t>
            </w:r>
            <w:r>
              <w:rPr>
                <w:noProof/>
                <w:webHidden/>
              </w:rPr>
              <w:fldChar w:fldCharType="end"/>
            </w:r>
          </w:hyperlink>
        </w:p>
        <w:p w14:paraId="4F27D4C1" w14:textId="74FC8B3F" w:rsidR="003D7003" w:rsidRDefault="003D7003">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hyperlink w:anchor="_Toc238802275" w:history="1">
            <w:r w:rsidRPr="001715EC">
              <w:rPr>
                <w:rStyle w:val="Hyperlink"/>
                <w:bCs/>
                <w:noProof/>
              </w:rPr>
              <w:t>5.</w:t>
            </w:r>
            <w:r>
              <w:rPr>
                <w:rFonts w:asciiTheme="minorHAnsi" w:eastAsiaTheme="minorEastAsia" w:hAnsiTheme="minorHAnsi" w:cstheme="minorBidi"/>
                <w:noProof/>
                <w:kern w:val="2"/>
                <w:sz w:val="24"/>
                <w:szCs w:val="24"/>
                <w14:ligatures w14:val="standardContextual"/>
              </w:rPr>
              <w:tab/>
            </w:r>
            <w:r w:rsidRPr="001715EC">
              <w:rPr>
                <w:rStyle w:val="Hyperlink"/>
                <w:b/>
                <w:noProof/>
              </w:rPr>
              <w:t>IPARI SZERKEZETVÁLTÁS KONZULTATÍV BIZOTTSÁGA</w:t>
            </w:r>
            <w:r>
              <w:rPr>
                <w:noProof/>
                <w:webHidden/>
              </w:rPr>
              <w:tab/>
            </w:r>
            <w:r>
              <w:rPr>
                <w:noProof/>
                <w:webHidden/>
              </w:rPr>
              <w:fldChar w:fldCharType="begin"/>
            </w:r>
            <w:r>
              <w:rPr>
                <w:noProof/>
                <w:webHidden/>
              </w:rPr>
              <w:instrText xml:space="preserve"> PAGEREF _Toc238802275 \h </w:instrText>
            </w:r>
            <w:r>
              <w:rPr>
                <w:noProof/>
                <w:webHidden/>
              </w:rPr>
            </w:r>
            <w:r>
              <w:rPr>
                <w:noProof/>
                <w:webHidden/>
              </w:rPr>
              <w:fldChar w:fldCharType="separate"/>
            </w:r>
            <w:r>
              <w:rPr>
                <w:noProof/>
                <w:webHidden/>
              </w:rPr>
              <w:t>26</w:t>
            </w:r>
            <w:r>
              <w:rPr>
                <w:noProof/>
                <w:webHidden/>
              </w:rPr>
              <w:fldChar w:fldCharType="end"/>
            </w:r>
          </w:hyperlink>
        </w:p>
        <w:p w14:paraId="4982DD6A" w14:textId="4619C8C1"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8802271"/>
      <w:r>
        <w:rPr>
          <w:b/>
        </w:rPr>
        <w:lastRenderedPageBreak/>
        <w:t>FOGLALKOZTATÁS- ÉS SZOCIÁLPOLITIKA, UNIÓS POLGÁRSÁG</w:t>
      </w:r>
      <w:bookmarkEnd w:id="0"/>
      <w:bookmarkEnd w:id="1"/>
    </w:p>
    <w:p w14:paraId="4982DD9A" w14:textId="77777777" w:rsidR="004D7AC0" w:rsidRDefault="004D7AC0" w:rsidP="001766B2"/>
    <w:p w14:paraId="79191CF8" w14:textId="6E9F59F0" w:rsidR="00B91186" w:rsidRPr="00B91186" w:rsidRDefault="00B91186"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Pr>
            <w:b/>
            <w:i/>
            <w:color w:val="0000FF"/>
            <w:sz w:val="28"/>
            <w:u w:val="single"/>
          </w:rPr>
          <w:t>Rasszizmus elleni stratégia</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Előadó:</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(Munkavállalók/FR)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 xml:space="preserve">COM(2026) 12 </w:t>
            </w:r>
            <w:proofErr w:type="spellStart"/>
            <w:r>
              <w:t>final</w:t>
            </w:r>
            <w:proofErr w:type="spellEnd"/>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Főbb pontok</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Az EGSZB:</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rPr>
          <w:bCs/>
          <w:iCs/>
        </w:rPr>
      </w:pPr>
      <w:r>
        <w:t>kitart amellett, hogy a 2026–2030-as időszakra szóló, rasszizmus elleni stratégia végrehajtását valódi politikai akaratnak kell vezérelnie, tekintettel e jelenség súlyosbodására az Európai Unióban,</w:t>
      </w:r>
    </w:p>
    <w:p w14:paraId="20218099"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rPr>
          <w:bCs/>
          <w:iCs/>
        </w:rPr>
      </w:pPr>
      <w:r>
        <w:t>azt várja a stratégiától, hogy az segítse mind az európai intézményeket, mind a tagállamok intézményeit abban, hogy megújítsák erőfeszítéseiket a rasszizmus és a strukturális megkülönböztetés egyéb formái elleni küzdelem terén,</w:t>
      </w:r>
    </w:p>
    <w:p w14:paraId="404F1FDC"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rPr>
          <w:bCs/>
          <w:iCs/>
        </w:rPr>
      </w:pPr>
      <w:r>
        <w:t>komoly aggodalmát fejezi ki a rasszista cselekmények terjedése, a politikai diskurzus, a gyűlöletbeszéd és az idegengyűlölet által táplált ellenségeskedés miatt, amely különösen a kisebbségeket, a migránsokat és a kiszolgáltatott csoportokat érinti,</w:t>
      </w:r>
    </w:p>
    <w:p w14:paraId="36861031"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úgy véli, hogy a követelményeket és nyomon követést nélkülöző ösztönző célok korlátozták a korábbi rasszizmus elleni stratégia hatékonyságát, és szorgalmazza, hogy a stratégiát kötelező mechanizmusokkal ruházzák fel: közös mutatókkal, rendszeres jelentéstétellel és finanszírozási feltételrendszerrel,</w:t>
      </w:r>
    </w:p>
    <w:p w14:paraId="5027F666"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 xml:space="preserve">tudomásul veszi a meglévő megkülönböztetésellenes jogszabályok végrehajtásának erősítését, és hatékony, arányos és visszatartó </w:t>
      </w:r>
      <w:proofErr w:type="spellStart"/>
      <w:r>
        <w:t>erejű</w:t>
      </w:r>
      <w:proofErr w:type="spellEnd"/>
      <w:r>
        <w:t xml:space="preserve"> szankciókra, valamint a kötelezettségszegési eljárások Európai Bizottság általi proaktív alkalmazására szólít fel,</w:t>
      </w:r>
    </w:p>
    <w:p w14:paraId="282495A7"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arra ösztönzi a tagállamokat, hogy fogadjanak el nemzeti terveket ütemtervvel, közös mutatókkal és beszámolási kötelezettségekkel, valamint nevezzenek ki egy saját erőforrásokkal rendelkező, elszámoltatható nemzeti koordinátort,</w:t>
      </w:r>
    </w:p>
    <w:p w14:paraId="1E8DDF0B"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hangsúlyozza, hogy a rasszizmus elleni küzdelmet be kell építeni a társadalom egészébe a civil társadalom hosszú távú finanszírozásának és a kiváltó okokat kezelő célzott beruházásoknak a biztosítása révén,</w:t>
      </w:r>
    </w:p>
    <w:p w14:paraId="43B26563"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támogatja a további, tényeken alapuló fellépést, beleértve a lakhatással kapcsolatos megkülönböztetés kockázatairól szóló tanulmányokat, és felszólít a megkülönböztetés vizsgálatára, valamint a lakhatáshoz való egyenlőtlen hozzáférés megelőzésére és szankcionálására irányuló politikákra,</w:t>
      </w:r>
    </w:p>
    <w:p w14:paraId="2DE8703E"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felszólít az egészségügyi egyenlőtlenségek jobb figyelembevételére a minőségi egészségügyi ellátáshoz való egyenlő hozzáférés biztosítása érdekében, különösen a kiszolgáltatott és kisebbségi csoportok, köztük a migráns nők számára,</w:t>
      </w:r>
    </w:p>
    <w:p w14:paraId="4926B5DE"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hangsúlyozza az oktatás fontosságát a rasszizmus történelmi gyökereinek kezelésében, ezért a tantervek aktualizálását, a tanárok képzését és Európa gyarmatosítással és rabszolgasággal kapcsolatos történelmének nyitott megközelítését szorgalmazza,</w:t>
      </w:r>
    </w:p>
    <w:p w14:paraId="6D1BDA17"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 xml:space="preserve">támogatja az adatgyűjtés és -elemzés megerősítését, többek között az Eurostaton és az Alapjogi </w:t>
      </w:r>
      <w:r>
        <w:lastRenderedPageBreak/>
        <w:t>Ügynökségen keresztül, valamint a nemzeti emberi jogi intézményekkel való együttműködést a tendenciák nyomon követése és a kockázatok előrejelzése érdekében,</w:t>
      </w:r>
    </w:p>
    <w:p w14:paraId="608A9964"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határozottabb fellépésre szólít fel a munkahelyi rasszizmus ellen, ösztönözve a kollektív tárgyalásokat a megkülönböztetés elleni intézkedések, a vállalati szabályok és a képzési kezdeményezések kezelése érdekében,</w:t>
      </w:r>
    </w:p>
    <w:p w14:paraId="402B870A"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üdvözli a rasszizmus elleni küzdelemre szánt uniós költségvetés növelését, ugyanakkor egyértelműbb allokációra és potenciálisan további forrásokra szólít fel a következő uniós költségvetésben,</w:t>
      </w:r>
    </w:p>
    <w:p w14:paraId="60E8722F" w14:textId="77777777" w:rsidR="00B91186" w:rsidRPr="00B91186" w:rsidRDefault="00B91186" w:rsidP="00856176">
      <w:pPr>
        <w:widowControl w:val="0"/>
        <w:numPr>
          <w:ilvl w:val="0"/>
          <w:numId w:val="23"/>
        </w:numPr>
        <w:overflowPunct w:val="0"/>
        <w:autoSpaceDE w:val="0"/>
        <w:autoSpaceDN w:val="0"/>
        <w:adjustRightInd w:val="0"/>
        <w:ind w:left="426" w:hanging="426"/>
        <w:textAlignment w:val="baseline"/>
      </w:pPr>
      <w:r>
        <w:t xml:space="preserve">támogatja a generációk közötti </w:t>
      </w:r>
      <w:proofErr w:type="spellStart"/>
      <w:r>
        <w:t>méltányosságot</w:t>
      </w:r>
      <w:proofErr w:type="spellEnd"/>
      <w:r>
        <w:t xml:space="preserve"> és a gyermekek jogait, és olyan politikákat szorgalmaz, amelyek előmozdítják az esélyegyenlőséget és a társadalmi mobilitást a kisebbségi hátterű fiatalok számára,</w:t>
      </w:r>
    </w:p>
    <w:p w14:paraId="50714FF6" w14:textId="77777777" w:rsidR="00B91186" w:rsidRPr="00921830" w:rsidRDefault="00B91186" w:rsidP="003B514C">
      <w:pPr>
        <w:widowControl w:val="0"/>
        <w:numPr>
          <w:ilvl w:val="0"/>
          <w:numId w:val="23"/>
        </w:numPr>
        <w:overflowPunct w:val="0"/>
        <w:autoSpaceDE w:val="0"/>
        <w:autoSpaceDN w:val="0"/>
        <w:adjustRightInd w:val="0"/>
        <w:ind w:left="425" w:hanging="425"/>
        <w:textAlignment w:val="baseline"/>
      </w:pPr>
      <w:r>
        <w:t>aggodalmát fejezi ki az online gyűlölet terjedése miatt, és felszólít a platformok szigorúbb nyomon követésére, a gyűlöletet felerősítő algoritmusok elleni fellépésre, valamint az uniós digitális jogszabályok szigorúbb érvényesítésére.</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Kapcsolattartó:</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 xml:space="preserve">Jean-Marie </w:t>
            </w:r>
            <w:proofErr w:type="spellStart"/>
            <w:r>
              <w:rPr>
                <w:i/>
              </w:rPr>
              <w:t>Rogue</w:t>
            </w:r>
            <w:proofErr w:type="spellEnd"/>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Tel.:</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+32 25468909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E-mail:</w:t>
            </w:r>
          </w:p>
        </w:tc>
        <w:tc>
          <w:tcPr>
            <w:tcW w:w="3923" w:type="pct"/>
          </w:tcPr>
          <w:p w14:paraId="1E50F806" w14:textId="2464CC7A" w:rsidR="00B91186" w:rsidRPr="00B91186" w:rsidRDefault="00E9555B" w:rsidP="00B91186">
            <w:pPr>
              <w:overflowPunct w:val="0"/>
              <w:autoSpaceDE w:val="0"/>
              <w:autoSpaceDN w:val="0"/>
              <w:adjustRightInd w:val="0"/>
              <w:textAlignment w:val="baseline"/>
              <w:rPr>
                <w:i/>
              </w:rPr>
            </w:pPr>
            <w:hyperlink r:id="rId21" w:history="1">
              <w:r>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44B8CD61" w:rsidR="003E07BA" w:rsidRPr="003E07BA" w:rsidRDefault="003E07BA" w:rsidP="003E07BA">
      <w:pPr>
        <w:widowControl w:val="0"/>
        <w:numPr>
          <w:ilvl w:val="0"/>
          <w:numId w:val="5"/>
        </w:numPr>
        <w:overflowPunct w:val="0"/>
        <w:autoSpaceDE w:val="0"/>
        <w:autoSpaceDN w:val="0"/>
        <w:adjustRightInd w:val="0"/>
        <w:ind w:left="567" w:hanging="567"/>
        <w:textAlignment w:val="baseline"/>
        <w:rPr>
          <w:b/>
        </w:rPr>
      </w:pPr>
      <w:hyperlink r:id="rId22" w:history="1">
        <w:r>
          <w:rPr>
            <w:b/>
            <w:i/>
            <w:color w:val="0000FF"/>
            <w:sz w:val="28"/>
            <w:u w:val="single"/>
          </w:rPr>
          <w:t>Európai migrációs és menekültügyi stratégia</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3E07BA" w14:paraId="67B49237" w14:textId="77777777" w:rsidTr="005F46FA">
        <w:tc>
          <w:tcPr>
            <w:tcW w:w="1834"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Előadó:</w:t>
            </w:r>
          </w:p>
        </w:tc>
        <w:tc>
          <w:tcPr>
            <w:tcW w:w="6237" w:type="dxa"/>
          </w:tcPr>
          <w:p w14:paraId="18D61371" w14:textId="77777777" w:rsidR="003E07BA" w:rsidRPr="003E07BA" w:rsidRDefault="003E07BA" w:rsidP="003E07BA">
            <w:pPr>
              <w:overflowPunct w:val="0"/>
              <w:autoSpaceDE w:val="0"/>
              <w:autoSpaceDN w:val="0"/>
              <w:adjustRightInd w:val="0"/>
              <w:ind w:left="567" w:hanging="567"/>
              <w:textAlignment w:val="baseline"/>
            </w:pPr>
            <w:r>
              <w:t>José Antonio MORENO DÍAZ (Munkavállalók/ES)</w:t>
            </w:r>
          </w:p>
        </w:tc>
      </w:tr>
      <w:tr w:rsidR="003E07BA" w:rsidRPr="00B66E2B" w14:paraId="14FEBAC3" w14:textId="77777777" w:rsidTr="005F46FA">
        <w:tc>
          <w:tcPr>
            <w:tcW w:w="1834" w:type="dxa"/>
          </w:tcPr>
          <w:p w14:paraId="155A42B7" w14:textId="77777777" w:rsidR="003E07BA" w:rsidRPr="00B66E2B" w:rsidRDefault="003E07BA" w:rsidP="00B66E2B">
            <w:pPr>
              <w:tabs>
                <w:tab w:val="center" w:pos="284"/>
              </w:tabs>
              <w:overflowPunct w:val="0"/>
              <w:autoSpaceDE w:val="0"/>
              <w:autoSpaceDN w:val="0"/>
              <w:adjustRightInd w:val="0"/>
              <w:spacing w:line="240" w:lineRule="auto"/>
              <w:ind w:left="567" w:hanging="567"/>
              <w:textAlignment w:val="baseline"/>
              <w:rPr>
                <w:b/>
                <w:sz w:val="16"/>
                <w:szCs w:val="16"/>
                <w:lang w:val="es-ES"/>
              </w:rPr>
            </w:pPr>
          </w:p>
        </w:tc>
        <w:tc>
          <w:tcPr>
            <w:tcW w:w="6237" w:type="dxa"/>
          </w:tcPr>
          <w:p w14:paraId="42BE2E30" w14:textId="77777777" w:rsidR="003E07BA" w:rsidRPr="00B66E2B" w:rsidRDefault="003E07BA" w:rsidP="00B66E2B">
            <w:pPr>
              <w:overflowPunct w:val="0"/>
              <w:autoSpaceDE w:val="0"/>
              <w:autoSpaceDN w:val="0"/>
              <w:adjustRightInd w:val="0"/>
              <w:spacing w:line="240" w:lineRule="auto"/>
              <w:ind w:left="567" w:hanging="567"/>
              <w:textAlignment w:val="baseline"/>
              <w:rPr>
                <w:sz w:val="16"/>
                <w:szCs w:val="16"/>
                <w:lang w:val="es-ES"/>
              </w:rPr>
            </w:pPr>
          </w:p>
        </w:tc>
      </w:tr>
      <w:tr w:rsidR="003E07BA" w:rsidRPr="003E07BA" w14:paraId="77CA798F" w14:textId="77777777" w:rsidTr="005F46FA">
        <w:tc>
          <w:tcPr>
            <w:tcW w:w="1834"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Hivatkozások:</w:t>
            </w:r>
          </w:p>
        </w:tc>
        <w:tc>
          <w:tcPr>
            <w:tcW w:w="6237"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r>
              <w:t xml:space="preserve">COM(2026) 45 </w:t>
            </w:r>
            <w:proofErr w:type="spellStart"/>
            <w:r>
              <w:t>final</w:t>
            </w:r>
            <w:proofErr w:type="spellEnd"/>
          </w:p>
          <w:p w14:paraId="48BC3859" w14:textId="6E4E3318" w:rsidR="003E07BA" w:rsidRPr="003E07BA" w:rsidRDefault="003E07BA" w:rsidP="003E07BA">
            <w:pPr>
              <w:tabs>
                <w:tab w:val="center" w:pos="284"/>
              </w:tabs>
              <w:overflowPunct w:val="0"/>
              <w:autoSpaceDE w:val="0"/>
              <w:autoSpaceDN w:val="0"/>
              <w:adjustRightInd w:val="0"/>
              <w:ind w:left="567" w:hanging="567"/>
              <w:textAlignment w:val="baseline"/>
            </w:pPr>
            <w:r>
              <w:t>EESC-2026-00703-00-00-AC</w:t>
            </w:r>
          </w:p>
        </w:tc>
      </w:tr>
      <w:tr w:rsidR="003E07BA" w:rsidRPr="003E07BA" w14:paraId="30AA0CCB" w14:textId="77777777" w:rsidTr="005F46FA">
        <w:tc>
          <w:tcPr>
            <w:tcW w:w="1834"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lang w:val="pt-PT"/>
              </w:rPr>
            </w:pPr>
          </w:p>
        </w:tc>
        <w:tc>
          <w:tcPr>
            <w:tcW w:w="6237"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lang w:val="pt-PT"/>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Főbb pontok</w:t>
      </w:r>
    </w:p>
    <w:p w14:paraId="172BAF30" w14:textId="77777777" w:rsidR="003E07BA" w:rsidRPr="003E07BA" w:rsidRDefault="003E07BA" w:rsidP="003E07BA">
      <w:pPr>
        <w:spacing w:before="100" w:beforeAutospacing="1" w:after="100" w:afterAutospacing="1" w:line="240" w:lineRule="auto"/>
        <w:jc w:val="left"/>
        <w:rPr>
          <w:b/>
          <w:bCs/>
        </w:rPr>
      </w:pPr>
      <w:r>
        <w:t>Az EGSZB:</w:t>
      </w:r>
    </w:p>
    <w:p w14:paraId="01EC8DCC" w14:textId="0B981AEF" w:rsidR="003E07BA" w:rsidRDefault="00A65ACC" w:rsidP="003B514C">
      <w:pPr>
        <w:pStyle w:val="ListParagraph"/>
        <w:numPr>
          <w:ilvl w:val="0"/>
          <w:numId w:val="46"/>
        </w:numPr>
        <w:ind w:left="425" w:hanging="425"/>
      </w:pPr>
      <w:bookmarkStart w:id="2" w:name="_Toc235200275"/>
      <w:r>
        <w:rPr>
          <w:b/>
        </w:rPr>
        <w:t>tudomásul veszi</w:t>
      </w:r>
      <w:r>
        <w:t xml:space="preserve"> </w:t>
      </w:r>
      <w:r>
        <w:rPr>
          <w:b/>
        </w:rPr>
        <w:t>az első európai menekültügyi és migrációkezelési stratégiát</w:t>
      </w:r>
      <w:r>
        <w:t xml:space="preserve">, és </w:t>
      </w:r>
      <w:r>
        <w:rPr>
          <w:b/>
        </w:rPr>
        <w:t>elismeri annak arra irányuló szándékát, hogy</w:t>
      </w:r>
      <w:r>
        <w:t xml:space="preserve"> a következő öt évben </w:t>
      </w:r>
      <w:r>
        <w:rPr>
          <w:b/>
        </w:rPr>
        <w:t>átfogó keretet biztosítson</w:t>
      </w:r>
      <w:r>
        <w:t xml:space="preserve"> az uniós fellépéshez. Azonban úgy véli, hogy </w:t>
      </w:r>
      <w:r>
        <w:rPr>
          <w:b/>
        </w:rPr>
        <w:t>a stratégia kiegyensúlyozatlan megközelítést tükröz, amely az ellenőrzést, a visszaszorítást és a visszatérést helyezi előtérbe egy valóban átfogó, jogokon alapuló</w:t>
      </w:r>
      <w:r w:rsidR="003E07BA">
        <w:t xml:space="preserve"> migrációs politikával szemben,</w:t>
      </w:r>
      <w:bookmarkEnd w:id="2"/>
    </w:p>
    <w:p w14:paraId="4CDB4EC3" w14:textId="35AA0FF0" w:rsidR="00921830" w:rsidRDefault="00921830" w:rsidP="00921830">
      <w:pPr>
        <w:widowControl w:val="0"/>
        <w:numPr>
          <w:ilvl w:val="0"/>
          <w:numId w:val="23"/>
        </w:numPr>
        <w:overflowPunct w:val="0"/>
        <w:autoSpaceDE w:val="0"/>
        <w:autoSpaceDN w:val="0"/>
        <w:adjustRightInd w:val="0"/>
        <w:ind w:left="426" w:hanging="426"/>
        <w:textAlignment w:val="baseline"/>
      </w:pPr>
      <w:r>
        <w:t xml:space="preserve">azt </w:t>
      </w:r>
      <w:r>
        <w:rPr>
          <w:b/>
          <w:bCs/>
        </w:rPr>
        <w:t>ajánlja</w:t>
      </w:r>
      <w:r>
        <w:t xml:space="preserve">, hogy az Európai Bizottság </w:t>
      </w:r>
      <w:r>
        <w:rPr>
          <w:b/>
          <w:bCs/>
        </w:rPr>
        <w:t>tegye</w:t>
      </w:r>
      <w:r>
        <w:t xml:space="preserve"> </w:t>
      </w:r>
      <w:r>
        <w:rPr>
          <w:b/>
          <w:bCs/>
        </w:rPr>
        <w:t>kiegyensúlyozottabbá</w:t>
      </w:r>
      <w:r>
        <w:t xml:space="preserve"> </w:t>
      </w:r>
      <w:r>
        <w:rPr>
          <w:b/>
          <w:bCs/>
        </w:rPr>
        <w:t>a stratégiát</w:t>
      </w:r>
      <w:r>
        <w:t xml:space="preserve"> azáltal, hogy </w:t>
      </w:r>
      <w:r>
        <w:rPr>
          <w:b/>
          <w:bCs/>
        </w:rPr>
        <w:t>egyenlő hangsúlyt fektet a legális migrációs lehetőségekre, az integrációs és befogadási politikákra</w:t>
      </w:r>
      <w:r>
        <w:t xml:space="preserve">, valamint </w:t>
      </w:r>
      <w:r>
        <w:rPr>
          <w:b/>
          <w:bCs/>
        </w:rPr>
        <w:t>az alapvető jogok védelmére</w:t>
      </w:r>
      <w:r>
        <w:t xml:space="preserve"> is. </w:t>
      </w:r>
      <w:r>
        <w:rPr>
          <w:b/>
          <w:bCs/>
        </w:rPr>
        <w:t>A migrációt strukturális, sokrétű, társadalmi, gazdasági és humanitárius dimenzióval rendelkező jelenségként</w:t>
      </w:r>
      <w:r>
        <w:t xml:space="preserve"> kell kezelni, nem pedig elsősorban </w:t>
      </w:r>
      <w:r>
        <w:rPr>
          <w:b/>
          <w:bCs/>
        </w:rPr>
        <w:t>biztonsági</w:t>
      </w:r>
      <w:r>
        <w:t xml:space="preserve"> </w:t>
      </w:r>
      <w:r>
        <w:rPr>
          <w:b/>
          <w:bCs/>
        </w:rPr>
        <w:t>kihívásként</w:t>
      </w:r>
      <w:r>
        <w:t>,</w:t>
      </w:r>
    </w:p>
    <w:p w14:paraId="1A5A5E60" w14:textId="4366A5E4" w:rsidR="00921830" w:rsidRDefault="00921830" w:rsidP="00921830">
      <w:pPr>
        <w:widowControl w:val="0"/>
        <w:numPr>
          <w:ilvl w:val="0"/>
          <w:numId w:val="23"/>
        </w:numPr>
        <w:overflowPunct w:val="0"/>
        <w:autoSpaceDE w:val="0"/>
        <w:autoSpaceDN w:val="0"/>
        <w:adjustRightInd w:val="0"/>
        <w:ind w:left="426" w:hanging="426"/>
        <w:textAlignment w:val="baseline"/>
      </w:pPr>
      <w:r>
        <w:rPr>
          <w:b/>
          <w:bCs/>
        </w:rPr>
        <w:t>kéri</w:t>
      </w:r>
      <w:r>
        <w:t xml:space="preserve">, hogy alakítsanak ki </w:t>
      </w:r>
      <w:r>
        <w:rPr>
          <w:b/>
          <w:bCs/>
        </w:rPr>
        <w:t>egyértelmű, mindenki számára elérhető és diverzifikált jogszerű lehetőségeket</w:t>
      </w:r>
      <w:r>
        <w:t xml:space="preserve"> az EU-ba irányuló migráció számára, amelyek valamennyi készségszintre és célra kiterjednek, beleértve a munkaerő-migrációt, a családegyesítést és a humanitárius befogadást is,</w:t>
      </w:r>
    </w:p>
    <w:p w14:paraId="4583240D" w14:textId="4E483116" w:rsidR="00921830" w:rsidRDefault="00921830" w:rsidP="00921830">
      <w:pPr>
        <w:widowControl w:val="0"/>
        <w:numPr>
          <w:ilvl w:val="0"/>
          <w:numId w:val="23"/>
        </w:numPr>
        <w:overflowPunct w:val="0"/>
        <w:autoSpaceDE w:val="0"/>
        <w:autoSpaceDN w:val="0"/>
        <w:adjustRightInd w:val="0"/>
        <w:ind w:left="426" w:hanging="426"/>
        <w:textAlignment w:val="baseline"/>
      </w:pPr>
      <w:r>
        <w:t xml:space="preserve">sürgeti az Európai Bizottságot és a tagállamokat, hogy biztosítsák, hogy </w:t>
      </w:r>
      <w:r>
        <w:rPr>
          <w:b/>
          <w:bCs/>
        </w:rPr>
        <w:t>a migrációval kapcsolatos valamennyi intézkedés teljes mértékben megfeleljen az Európai Unió Alapjogi Chartájának</w:t>
      </w:r>
      <w:r>
        <w:t xml:space="preserve">. Ehhez </w:t>
      </w:r>
      <w:r>
        <w:rPr>
          <w:b/>
          <w:bCs/>
        </w:rPr>
        <w:t xml:space="preserve">kötelező </w:t>
      </w:r>
      <w:proofErr w:type="spellStart"/>
      <w:r>
        <w:rPr>
          <w:b/>
          <w:bCs/>
        </w:rPr>
        <w:t>erejű</w:t>
      </w:r>
      <w:proofErr w:type="spellEnd"/>
      <w:r>
        <w:rPr>
          <w:b/>
          <w:bCs/>
        </w:rPr>
        <w:t xml:space="preserve">, független és átlátható </w:t>
      </w:r>
      <w:proofErr w:type="spellStart"/>
      <w:r>
        <w:rPr>
          <w:b/>
          <w:bCs/>
        </w:rPr>
        <w:t>nyomonkövetési</w:t>
      </w:r>
      <w:proofErr w:type="spellEnd"/>
      <w:r>
        <w:rPr>
          <w:b/>
          <w:bCs/>
        </w:rPr>
        <w:t xml:space="preserve"> mechanizmusokra</w:t>
      </w:r>
      <w:r>
        <w:t xml:space="preserve"> van szükség, különösen az EU külső határain és a kiutasítási eljárások során,</w:t>
      </w:r>
    </w:p>
    <w:p w14:paraId="2AE75E93" w14:textId="24AD3AA8" w:rsidR="00921830" w:rsidRDefault="00921830" w:rsidP="00921830">
      <w:pPr>
        <w:widowControl w:val="0"/>
        <w:numPr>
          <w:ilvl w:val="0"/>
          <w:numId w:val="23"/>
        </w:numPr>
        <w:overflowPunct w:val="0"/>
        <w:autoSpaceDE w:val="0"/>
        <w:autoSpaceDN w:val="0"/>
        <w:adjustRightInd w:val="0"/>
        <w:ind w:left="426" w:hanging="426"/>
        <w:textAlignment w:val="baseline"/>
      </w:pPr>
      <w:r>
        <w:rPr>
          <w:b/>
          <w:bCs/>
        </w:rPr>
        <w:t>határozottan javasolja az eljárási biztosítékok megerősítését a menekültügyi rendszerekben</w:t>
      </w:r>
      <w:r>
        <w:t xml:space="preserve">, beleértve az </w:t>
      </w:r>
      <w:r>
        <w:rPr>
          <w:b/>
          <w:bCs/>
        </w:rPr>
        <w:t>egyéni</w:t>
      </w:r>
      <w:r>
        <w:t xml:space="preserve"> </w:t>
      </w:r>
      <w:r>
        <w:rPr>
          <w:b/>
          <w:bCs/>
        </w:rPr>
        <w:t>elbírásálhoz</w:t>
      </w:r>
      <w:r>
        <w:t xml:space="preserve"> való jogot, </w:t>
      </w:r>
      <w:r>
        <w:rPr>
          <w:b/>
          <w:bCs/>
        </w:rPr>
        <w:t>a költségmentességhez való hozzáférést és a hatékony jogvédelmet</w:t>
      </w:r>
      <w:r>
        <w:t>,</w:t>
      </w:r>
    </w:p>
    <w:p w14:paraId="120A7C72" w14:textId="766A37B6" w:rsidR="00921830" w:rsidRDefault="00921830" w:rsidP="00921830">
      <w:pPr>
        <w:widowControl w:val="0"/>
        <w:numPr>
          <w:ilvl w:val="0"/>
          <w:numId w:val="23"/>
        </w:numPr>
        <w:overflowPunct w:val="0"/>
        <w:autoSpaceDE w:val="0"/>
        <w:autoSpaceDN w:val="0"/>
        <w:adjustRightInd w:val="0"/>
        <w:ind w:left="426" w:hanging="426"/>
        <w:textAlignment w:val="baseline"/>
      </w:pPr>
      <w:r>
        <w:rPr>
          <w:b/>
          <w:bCs/>
        </w:rPr>
        <w:t xml:space="preserve">kiegyensúlyozottabb megközelítést szorgalmaz a </w:t>
      </w:r>
      <w:proofErr w:type="spellStart"/>
      <w:r>
        <w:rPr>
          <w:b/>
          <w:bCs/>
        </w:rPr>
        <w:t>visszaküldésekkel</w:t>
      </w:r>
      <w:proofErr w:type="spellEnd"/>
      <w:r>
        <w:rPr>
          <w:b/>
          <w:bCs/>
        </w:rPr>
        <w:t xml:space="preserve"> kapcsolatban</w:t>
      </w:r>
      <w:r>
        <w:t xml:space="preserve">, amely biztosítja, hogy azok továbbra is </w:t>
      </w:r>
      <w:r>
        <w:rPr>
          <w:b/>
          <w:bCs/>
        </w:rPr>
        <w:t>végső</w:t>
      </w:r>
      <w:r>
        <w:t xml:space="preserve"> </w:t>
      </w:r>
      <w:r>
        <w:rPr>
          <w:b/>
          <w:bCs/>
        </w:rPr>
        <w:t>eszközként</w:t>
      </w:r>
      <w:r>
        <w:t xml:space="preserve"> szolgáljanak egy szélesebb körű, </w:t>
      </w:r>
      <w:r>
        <w:rPr>
          <w:b/>
          <w:bCs/>
        </w:rPr>
        <w:t>humánus</w:t>
      </w:r>
      <w:r>
        <w:t xml:space="preserve"> </w:t>
      </w:r>
      <w:r>
        <w:rPr>
          <w:b/>
          <w:bCs/>
        </w:rPr>
        <w:t>és hatékony migrációs politika</w:t>
      </w:r>
      <w:r>
        <w:t xml:space="preserve"> keretében,</w:t>
      </w:r>
    </w:p>
    <w:p w14:paraId="613B4BCE" w14:textId="207ADBCC" w:rsidR="00921830" w:rsidRDefault="00921830" w:rsidP="00921830">
      <w:pPr>
        <w:widowControl w:val="0"/>
        <w:numPr>
          <w:ilvl w:val="0"/>
          <w:numId w:val="23"/>
        </w:numPr>
        <w:overflowPunct w:val="0"/>
        <w:autoSpaceDE w:val="0"/>
        <w:autoSpaceDN w:val="0"/>
        <w:adjustRightInd w:val="0"/>
        <w:ind w:left="426" w:hanging="426"/>
        <w:textAlignment w:val="baseline"/>
      </w:pPr>
      <w:r>
        <w:t xml:space="preserve">arra </w:t>
      </w:r>
      <w:r>
        <w:rPr>
          <w:b/>
          <w:bCs/>
        </w:rPr>
        <w:t>kéri</w:t>
      </w:r>
      <w:r>
        <w:t xml:space="preserve"> az Európai Bizottságot, hogy </w:t>
      </w:r>
      <w:r>
        <w:rPr>
          <w:b/>
          <w:bCs/>
        </w:rPr>
        <w:t>megfelelő</w:t>
      </w:r>
      <w:r>
        <w:t xml:space="preserve"> </w:t>
      </w:r>
      <w:r>
        <w:rPr>
          <w:b/>
          <w:bCs/>
        </w:rPr>
        <w:t>pénzügyi</w:t>
      </w:r>
      <w:r>
        <w:t xml:space="preserve"> </w:t>
      </w:r>
      <w:r>
        <w:rPr>
          <w:b/>
          <w:bCs/>
        </w:rPr>
        <w:t>erőforrások</w:t>
      </w:r>
      <w:r>
        <w:t xml:space="preserve"> elkülönítésével, </w:t>
      </w:r>
      <w:r>
        <w:rPr>
          <w:b/>
          <w:bCs/>
        </w:rPr>
        <w:t>mérhető</w:t>
      </w:r>
      <w:r>
        <w:t xml:space="preserve"> </w:t>
      </w:r>
      <w:r>
        <w:rPr>
          <w:b/>
          <w:bCs/>
        </w:rPr>
        <w:t>célkitűzések</w:t>
      </w:r>
      <w:r>
        <w:t xml:space="preserve"> meghatározásával, valamint </w:t>
      </w:r>
      <w:r>
        <w:rPr>
          <w:b/>
          <w:bCs/>
        </w:rPr>
        <w:t>a szociális partnerek, a helyi önkormányzatok és a civil társadalmi szervezetek aktív bevonásának</w:t>
      </w:r>
      <w:r>
        <w:t xml:space="preserve"> előmozdításával </w:t>
      </w:r>
      <w:r>
        <w:rPr>
          <w:b/>
          <w:bCs/>
        </w:rPr>
        <w:t>jelentősen</w:t>
      </w:r>
      <w:r>
        <w:t xml:space="preserve"> </w:t>
      </w:r>
      <w:r>
        <w:rPr>
          <w:b/>
          <w:bCs/>
        </w:rPr>
        <w:t>erősítse</w:t>
      </w:r>
      <w:r>
        <w:t xml:space="preserve"> </w:t>
      </w:r>
      <w:r>
        <w:rPr>
          <w:b/>
          <w:bCs/>
        </w:rPr>
        <w:t>meg</w:t>
      </w:r>
      <w:r>
        <w:t xml:space="preserve"> a stratégia </w:t>
      </w:r>
      <w:r>
        <w:rPr>
          <w:b/>
          <w:bCs/>
        </w:rPr>
        <w:t>integrációs</w:t>
      </w:r>
      <w:r>
        <w:t xml:space="preserve"> </w:t>
      </w:r>
      <w:r>
        <w:rPr>
          <w:b/>
          <w:bCs/>
        </w:rPr>
        <w:t>dimenzióját</w:t>
      </w:r>
      <w:r>
        <w:t>,</w:t>
      </w:r>
    </w:p>
    <w:p w14:paraId="040C98D1" w14:textId="2B3722A2" w:rsidR="00921830" w:rsidRDefault="00921830" w:rsidP="00921830">
      <w:pPr>
        <w:widowControl w:val="0"/>
        <w:numPr>
          <w:ilvl w:val="0"/>
          <w:numId w:val="23"/>
        </w:numPr>
        <w:overflowPunct w:val="0"/>
        <w:autoSpaceDE w:val="0"/>
        <w:autoSpaceDN w:val="0"/>
        <w:adjustRightInd w:val="0"/>
        <w:ind w:left="426" w:hanging="426"/>
        <w:textAlignment w:val="baseline"/>
      </w:pPr>
      <w:r>
        <w:rPr>
          <w:b/>
          <w:bCs/>
        </w:rPr>
        <w:t>aggodalmát fejezi ki</w:t>
      </w:r>
      <w:r>
        <w:t xml:space="preserve"> azzal kapcsolatban, hogy </w:t>
      </w:r>
      <w:r>
        <w:rPr>
          <w:b/>
          <w:bCs/>
        </w:rPr>
        <w:t>a stratégia végrehajtása teljes mértékben megfelel-e az Unió alapvető értékeinek</w:t>
      </w:r>
      <w:r>
        <w:t xml:space="preserve">, különösen </w:t>
      </w:r>
      <w:r>
        <w:rPr>
          <w:b/>
          <w:bCs/>
        </w:rPr>
        <w:t>az alapvető jogok, az emberi méltóság, a szolidaritás</w:t>
      </w:r>
      <w:r>
        <w:t xml:space="preserve"> </w:t>
      </w:r>
      <w:r>
        <w:rPr>
          <w:b/>
          <w:bCs/>
        </w:rPr>
        <w:t>és a jogállamiság</w:t>
      </w:r>
      <w:r>
        <w:t xml:space="preserve"> tiszteletben tartásának. Hangsúlyozza, hogy </w:t>
      </w:r>
      <w:r>
        <w:rPr>
          <w:b/>
          <w:bCs/>
        </w:rPr>
        <w:t>az uniós migrációs politika hitelessége és legitimitása</w:t>
      </w:r>
      <w:r>
        <w:t xml:space="preserve"> attól függ, hogy a gyakorlatban milyen mértékben </w:t>
      </w:r>
      <w:r>
        <w:rPr>
          <w:b/>
          <w:bCs/>
        </w:rPr>
        <w:t>tartják</w:t>
      </w:r>
      <w:r>
        <w:t xml:space="preserve"> </w:t>
      </w:r>
      <w:r>
        <w:rPr>
          <w:b/>
          <w:bCs/>
        </w:rPr>
        <w:t>tiszteletben</w:t>
      </w:r>
      <w:r>
        <w:t xml:space="preserve"> ezeket az </w:t>
      </w:r>
      <w:r>
        <w:rPr>
          <w:b/>
          <w:bCs/>
        </w:rPr>
        <w:t>elveket</w:t>
      </w:r>
      <w:r>
        <w:t>.</w:t>
      </w:r>
    </w:p>
    <w:p w14:paraId="4BE1F7D5" w14:textId="77777777" w:rsidR="003E07BA" w:rsidRPr="00B66E2B" w:rsidRDefault="003E07BA" w:rsidP="00B66E2B">
      <w:pPr>
        <w:widowControl w:val="0"/>
        <w:overflowPunct w:val="0"/>
        <w:autoSpaceDE w:val="0"/>
        <w:autoSpaceDN w:val="0"/>
        <w:adjustRightInd w:val="0"/>
        <w:spacing w:line="240" w:lineRule="auto"/>
        <w:ind w:left="426" w:hanging="426"/>
        <w:textAlignment w:val="baseline"/>
        <w:rPr>
          <w:bCs/>
          <w:iCs/>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4493"/>
      </w:tblGrid>
      <w:tr w:rsidR="003E07BA" w:rsidRPr="003E07BA" w14:paraId="29720E88" w14:textId="77777777" w:rsidTr="005F46FA">
        <w:tc>
          <w:tcPr>
            <w:tcW w:w="1210"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t>Kapcsolattartó:</w:t>
            </w:r>
          </w:p>
        </w:tc>
        <w:tc>
          <w:tcPr>
            <w:tcW w:w="4493"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proofErr w:type="spellStart"/>
            <w:r>
              <w:rPr>
                <w:i/>
              </w:rPr>
              <w:t>Triin</w:t>
            </w:r>
            <w:proofErr w:type="spellEnd"/>
            <w:r>
              <w:rPr>
                <w:i/>
              </w:rPr>
              <w:t xml:space="preserve"> </w:t>
            </w:r>
            <w:proofErr w:type="spellStart"/>
            <w:r>
              <w:rPr>
                <w:i/>
              </w:rPr>
              <w:t>Aasmaa</w:t>
            </w:r>
            <w:proofErr w:type="spellEnd"/>
            <w:r>
              <w:rPr>
                <w:i/>
              </w:rPr>
              <w:t xml:space="preserve"> </w:t>
            </w:r>
            <w:proofErr w:type="spellStart"/>
            <w:r>
              <w:rPr>
                <w:i/>
              </w:rPr>
              <w:t>Gomes</w:t>
            </w:r>
            <w:proofErr w:type="spellEnd"/>
          </w:p>
        </w:tc>
      </w:tr>
      <w:tr w:rsidR="003E07BA" w:rsidRPr="003E07BA" w14:paraId="4AAF31B7" w14:textId="77777777" w:rsidTr="005F46FA">
        <w:tc>
          <w:tcPr>
            <w:tcW w:w="1210"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Tel.:</w:t>
            </w:r>
          </w:p>
        </w:tc>
        <w:tc>
          <w:tcPr>
            <w:tcW w:w="4493"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+32 25469524</w:t>
            </w:r>
          </w:p>
        </w:tc>
      </w:tr>
      <w:tr w:rsidR="003E07BA" w:rsidRPr="003E07BA" w14:paraId="4630FA28" w14:textId="77777777" w:rsidTr="005F46FA">
        <w:tc>
          <w:tcPr>
            <w:tcW w:w="1210"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E-mail:</w:t>
            </w:r>
          </w:p>
        </w:tc>
        <w:tc>
          <w:tcPr>
            <w:tcW w:w="4493" w:type="dxa"/>
          </w:tcPr>
          <w:p w14:paraId="7ACDD9FF" w14:textId="5BE1C00A" w:rsidR="003E07BA" w:rsidRPr="003E07BA" w:rsidRDefault="00E9555B" w:rsidP="003E07BA">
            <w:pPr>
              <w:overflowPunct w:val="0"/>
              <w:autoSpaceDE w:val="0"/>
              <w:autoSpaceDN w:val="0"/>
              <w:adjustRightInd w:val="0"/>
              <w:spacing w:line="240" w:lineRule="auto"/>
              <w:textAlignment w:val="baseline"/>
              <w:rPr>
                <w:i/>
              </w:rPr>
            </w:pPr>
            <w:hyperlink r:id="rId23" w:history="1">
              <w:r>
                <w:rPr>
                  <w:i/>
                  <w:color w:val="0000FF"/>
                  <w:u w:val="single"/>
                </w:rPr>
                <w:t>Triin.AasmaaGomes@eesc.europa.eu</w:t>
              </w:r>
            </w:hyperlink>
          </w:p>
        </w:tc>
      </w:tr>
    </w:tbl>
    <w:p w14:paraId="4982DDC4" w14:textId="3E23A47D" w:rsidR="00D17759" w:rsidRDefault="00D17759">
      <w:pPr>
        <w:spacing w:after="160" w:line="259" w:lineRule="auto"/>
        <w:jc w:val="left"/>
      </w:pPr>
      <w:r>
        <w:br w:type="page"/>
      </w:r>
    </w:p>
    <w:p w14:paraId="669A60F6" w14:textId="22CCAE97" w:rsidR="00DC5749" w:rsidRPr="00DC5749" w:rsidRDefault="00E9555B" w:rsidP="00DC5749">
      <w:pPr>
        <w:widowControl w:val="0"/>
        <w:numPr>
          <w:ilvl w:val="0"/>
          <w:numId w:val="4"/>
        </w:numPr>
        <w:overflowPunct w:val="0"/>
        <w:autoSpaceDE w:val="0"/>
        <w:autoSpaceDN w:val="0"/>
        <w:adjustRightInd w:val="0"/>
        <w:ind w:hanging="567"/>
        <w:textAlignment w:val="baseline"/>
        <w:rPr>
          <w:b/>
        </w:rPr>
      </w:pPr>
      <w:hyperlink r:id="rId24" w:history="1">
        <w:r>
          <w:rPr>
            <w:b/>
            <w:i/>
            <w:color w:val="0000FF"/>
            <w:sz w:val="28"/>
            <w:u w:val="single"/>
          </w:rPr>
          <w:t>A 2026–2030-as időszakra szóló nemi esélyegyenlőségi stratégia</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Előadó:</w:t>
            </w:r>
          </w:p>
        </w:tc>
        <w:tc>
          <w:tcPr>
            <w:tcW w:w="3910" w:type="pct"/>
          </w:tcPr>
          <w:p w14:paraId="3D8EF8DD" w14:textId="62781C2C" w:rsidR="00DC5749" w:rsidRDefault="00DC5749" w:rsidP="00DC5749">
            <w:pPr>
              <w:overflowPunct w:val="0"/>
              <w:autoSpaceDE w:val="0"/>
              <w:autoSpaceDN w:val="0"/>
              <w:adjustRightInd w:val="0"/>
              <w:ind w:left="-113"/>
              <w:textAlignment w:val="baseline"/>
            </w:pPr>
            <w:proofErr w:type="spellStart"/>
            <w:r>
              <w:t>Juliane</w:t>
            </w:r>
            <w:proofErr w:type="spellEnd"/>
            <w:r>
              <w:t xml:space="preserve"> Marie NEIIENDAM (Civil társadalmi szervezetek/DK)</w:t>
            </w:r>
          </w:p>
          <w:p w14:paraId="3F605744" w14:textId="3A01AE40" w:rsidR="00D4491F" w:rsidRPr="00DC5749" w:rsidRDefault="00D4491F" w:rsidP="00DC5749">
            <w:pPr>
              <w:overflowPunct w:val="0"/>
              <w:autoSpaceDE w:val="0"/>
              <w:autoSpaceDN w:val="0"/>
              <w:adjustRightInd w:val="0"/>
              <w:ind w:left="-113"/>
              <w:textAlignment w:val="baseline"/>
              <w:rPr>
                <w:lang w:val="en-GB"/>
              </w:rPr>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Hivatkozások:</w:t>
            </w:r>
          </w:p>
        </w:tc>
        <w:tc>
          <w:tcPr>
            <w:tcW w:w="3910" w:type="pct"/>
          </w:tcPr>
          <w:p w14:paraId="72020464" w14:textId="280784CA" w:rsidR="00921C33" w:rsidRDefault="000E2189" w:rsidP="00DC5749">
            <w:pPr>
              <w:overflowPunct w:val="0"/>
              <w:autoSpaceDE w:val="0"/>
              <w:autoSpaceDN w:val="0"/>
              <w:adjustRightInd w:val="0"/>
              <w:ind w:left="-113"/>
              <w:textAlignment w:val="baseline"/>
            </w:pPr>
            <w:r>
              <w:t xml:space="preserve">COM(2026) 113 </w:t>
            </w:r>
            <w:proofErr w:type="spellStart"/>
            <w:r>
              <w:t>final</w:t>
            </w:r>
            <w:proofErr w:type="spellEnd"/>
          </w:p>
          <w:p w14:paraId="799F64CC" w14:textId="34DDC217"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Főbb pontok</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r>
        <w:t>Az EGSZB:</w:t>
      </w:r>
    </w:p>
    <w:p w14:paraId="647D858C" w14:textId="77777777" w:rsidR="007D229E" w:rsidRPr="00DC5749" w:rsidRDefault="007D229E" w:rsidP="00DC5749">
      <w:pPr>
        <w:rPr>
          <w:bCs/>
          <w:iCs/>
        </w:rPr>
      </w:pPr>
    </w:p>
    <w:p w14:paraId="11674C91"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üdvözli a 2026–2030-as időszakra szóló nemi esélyegyenlőségi stratégiát, melyet az egyenlőség iránti elkötelezettség megújításának tekint az Európai Unióban, különösen most, amikor egyre inkább háttérbe szorulnak az ilyen jellegű célok,</w:t>
      </w:r>
    </w:p>
    <w:p w14:paraId="42F102F5" w14:textId="77777777" w:rsidR="00DC5749" w:rsidRPr="00DC5749" w:rsidRDefault="00DC5749" w:rsidP="003B514C">
      <w:pPr>
        <w:numPr>
          <w:ilvl w:val="0"/>
          <w:numId w:val="25"/>
        </w:numPr>
        <w:overflowPunct w:val="0"/>
        <w:autoSpaceDE w:val="0"/>
        <w:autoSpaceDN w:val="0"/>
        <w:adjustRightInd w:val="0"/>
        <w:ind w:left="425" w:hanging="425"/>
        <w:textAlignment w:val="baseline"/>
        <w:rPr>
          <w:sz w:val="24"/>
          <w:szCs w:val="24"/>
        </w:rPr>
      </w:pPr>
      <w:r>
        <w:t xml:space="preserve">támogatja a többéves pénzügyi keretben javasolt uniós teljesítmény- és beszámolási keretet, amely horizontális elvként integrálja a nemek közötti egyenlőséget az uniós finanszírozási programokba, biztosítva ugyanakkor az arányos követelményeket, és elkerülve a szükségtelen adminisztratív </w:t>
      </w:r>
      <w:proofErr w:type="spellStart"/>
      <w:r>
        <w:t>terheket</w:t>
      </w:r>
      <w:proofErr w:type="spellEnd"/>
      <w:r>
        <w:t>, különösen a kkv-k számára,</w:t>
      </w:r>
    </w:p>
    <w:p w14:paraId="330B5842"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megismétli, hogy meg kell erősíteni az egyenlőségre vonatkozó uniós keretet, többek között haladást kell elérni az egyenlő bánásmódról szóló, javasolt horizontális irányelvvel kapcsolatos munkában, és egyértelműbb referenciaértékeket, hatékony nyomon követést, az egyenlőséggel kapcsolatos célkitűzések és az uniós szakpolitikai eszközök között pedig szorosabb kapcsolatot szorgalmaz,</w:t>
      </w:r>
    </w:p>
    <w:p w14:paraId="55459AFE"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 xml:space="preserve">fontosnak tartja az egyértelműséget és a koherenciát a kulcsfogalmak alkalmazása során, gondolva itt többek között a nemek közötti egyenlőségre, az </w:t>
      </w:r>
      <w:proofErr w:type="spellStart"/>
      <w:r>
        <w:t>interszekcionalitásra</w:t>
      </w:r>
      <w:proofErr w:type="spellEnd"/>
      <w:r>
        <w:t xml:space="preserve"> és a nemek közötti egyenlőség általános érvényesítésére,</w:t>
      </w:r>
    </w:p>
    <w:p w14:paraId="6A57D2E5"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kéri a civil társadalmi tér – többek között az online tér – védelmét, valamint az egyenlőség és az alapvető jogok előmozdításán dolgozó civil társadalmi szervezetek folyamatos támogatását és finanszírozását,</w:t>
      </w:r>
    </w:p>
    <w:p w14:paraId="4642861D"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ösztönzi, hogy a tanárok és az oktatási rendszerek minden szintje kapjon támogatást a megkülönböztetés, az online gyűlölet, a dezinformáció és a nemi sztereotípiák kezeléséhez,</w:t>
      </w:r>
    </w:p>
    <w:p w14:paraId="011FE819"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 xml:space="preserve">bátorítja az arra irányuló erőfeszítéseket, hogy a férfiak nagyobb arányban vegyenek részt a nők által dominált ágazatokban, például az ápolási-gondozási munkában, és ösztönzi az olyan intézkedéseket, amelyek a szóban forgó ágazatokra jellemző munkafeltételek és karrierlehetőségek javítását, illetve az ágazatok </w:t>
      </w:r>
      <w:proofErr w:type="spellStart"/>
      <w:r>
        <w:t>vonzerejének</w:t>
      </w:r>
      <w:proofErr w:type="spellEnd"/>
      <w:r>
        <w:t xml:space="preserve"> növelését célozzák,</w:t>
      </w:r>
    </w:p>
    <w:p w14:paraId="4017A73A"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arra kéri az Európai Bizottságot, hogy biztosítsa a bérek átláthatóságáról szóló irányelv teljes körű és tényleges átültetését és végrehajtását a tagállamokban,</w:t>
      </w:r>
    </w:p>
    <w:p w14:paraId="667732FC" w14:textId="77777777" w:rsidR="00DC5749" w:rsidRPr="00DC5749" w:rsidRDefault="00DC5749" w:rsidP="003B514C">
      <w:pPr>
        <w:numPr>
          <w:ilvl w:val="0"/>
          <w:numId w:val="25"/>
        </w:numPr>
        <w:overflowPunct w:val="0"/>
        <w:autoSpaceDE w:val="0"/>
        <w:autoSpaceDN w:val="0"/>
        <w:adjustRightInd w:val="0"/>
        <w:ind w:left="425" w:hanging="425"/>
        <w:textAlignment w:val="baseline"/>
        <w:rPr>
          <w:bCs/>
          <w:iCs/>
        </w:rPr>
      </w:pPr>
      <w:r>
        <w:t>A döntéshozatal minden szintjén erősíteni kell a nők részvételét, gondolva itt a politikai, a gazdasági és a közéletre, valamint a béketeremtési és biztonságvédelmi folyamatokra is.</w:t>
      </w:r>
    </w:p>
    <w:p w14:paraId="05EBEDD4" w14:textId="77777777" w:rsidR="00DC5749" w:rsidRPr="00DC5749"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12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Kapcsolattartó:</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proofErr w:type="spellStart"/>
            <w:r>
              <w:rPr>
                <w:i/>
              </w:rPr>
              <w:t>Gabriela</w:t>
            </w:r>
            <w:proofErr w:type="spellEnd"/>
            <w:r>
              <w:rPr>
                <w:i/>
              </w:rPr>
              <w:t xml:space="preserve"> </w:t>
            </w:r>
            <w:proofErr w:type="spellStart"/>
            <w:r>
              <w:rPr>
                <w:i/>
              </w:rPr>
              <w:t>Grasu</w:t>
            </w:r>
            <w:proofErr w:type="spellEnd"/>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Tel.:</w:t>
            </w:r>
          </w:p>
        </w:tc>
        <w:tc>
          <w:tcPr>
            <w:tcW w:w="3925" w:type="pct"/>
          </w:tcPr>
          <w:p w14:paraId="3C4652A9" w14:textId="3A6BBABB" w:rsidR="00DC5749" w:rsidRPr="00DC5749" w:rsidRDefault="00DC5749" w:rsidP="00DC5749">
            <w:pPr>
              <w:overflowPunct w:val="0"/>
              <w:autoSpaceDE w:val="0"/>
              <w:autoSpaceDN w:val="0"/>
              <w:adjustRightInd w:val="0"/>
              <w:textAlignment w:val="baseline"/>
              <w:rPr>
                <w:i/>
              </w:rPr>
            </w:pPr>
            <w:r>
              <w:rPr>
                <w:i/>
              </w:rPr>
              <w:t>+32 25469162</w:t>
            </w:r>
          </w:p>
        </w:tc>
      </w:tr>
      <w:tr w:rsidR="00DC5749" w:rsidRPr="00DC5749" w14:paraId="7AB240E9" w14:textId="77777777" w:rsidTr="00354003">
        <w:tc>
          <w:tcPr>
            <w:tcW w:w="1075" w:type="pct"/>
          </w:tcPr>
          <w:p w14:paraId="0FB8A68C" w14:textId="51E7719F" w:rsidR="00DC5749" w:rsidRPr="00DC5749" w:rsidRDefault="002F20C9" w:rsidP="00DC5749">
            <w:pPr>
              <w:overflowPunct w:val="0"/>
              <w:autoSpaceDE w:val="0"/>
              <w:autoSpaceDN w:val="0"/>
              <w:adjustRightInd w:val="0"/>
              <w:textAlignment w:val="baseline"/>
              <w:rPr>
                <w:i/>
              </w:rPr>
            </w:pPr>
            <w:r>
              <w:rPr>
                <w:i/>
              </w:rPr>
              <w:t>E-mail:</w:t>
            </w:r>
          </w:p>
        </w:tc>
        <w:tc>
          <w:tcPr>
            <w:tcW w:w="3925" w:type="pct"/>
          </w:tcPr>
          <w:p w14:paraId="39D9FC56" w14:textId="7A2F46E8" w:rsidR="00DC5749" w:rsidRPr="00DC5749" w:rsidRDefault="00E9555B" w:rsidP="00DC5749">
            <w:pPr>
              <w:overflowPunct w:val="0"/>
              <w:autoSpaceDE w:val="0"/>
              <w:autoSpaceDN w:val="0"/>
              <w:adjustRightInd w:val="0"/>
              <w:textAlignment w:val="baseline"/>
              <w:rPr>
                <w:i/>
                <w:iCs/>
              </w:rPr>
            </w:pPr>
            <w:hyperlink r:id="rId25" w:history="1">
              <w:r>
                <w:rPr>
                  <w:i/>
                  <w:color w:val="0000FF"/>
                  <w:u w:val="single"/>
                </w:rPr>
                <w:t>Gabriela.Grasu@eesc.europa.eu</w:t>
              </w:r>
            </w:hyperlink>
          </w:p>
        </w:tc>
      </w:tr>
    </w:tbl>
    <w:p w14:paraId="201A4D4A" w14:textId="77777777" w:rsidR="00DD4133" w:rsidRDefault="00DD4133">
      <w:pPr>
        <w:spacing w:after="160" w:line="259" w:lineRule="auto"/>
        <w:jc w:val="left"/>
      </w:pPr>
      <w:r>
        <w:br w:type="page"/>
      </w:r>
    </w:p>
    <w:p w14:paraId="007785FA" w14:textId="1EE838A1" w:rsidR="00B44C66" w:rsidRPr="00B44C66" w:rsidRDefault="00B44C66"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Pr>
            <w:b/>
            <w:i/>
            <w:color w:val="0000FF"/>
            <w:sz w:val="28"/>
            <w:u w:val="single"/>
          </w:rPr>
          <w:t>A minőségi munkahelyekre vonatkozó ütemterv</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B44C66" w14:paraId="2CE87C59" w14:textId="77777777" w:rsidTr="003D7491">
        <w:tc>
          <w:tcPr>
            <w:tcW w:w="1701" w:type="dxa"/>
          </w:tcPr>
          <w:p w14:paraId="427C5C77" w14:textId="3B8D2C9C"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Előadó:</w:t>
            </w:r>
          </w:p>
        </w:tc>
        <w:tc>
          <w:tcPr>
            <w:tcW w:w="5387" w:type="dxa"/>
          </w:tcPr>
          <w:p w14:paraId="37F4297D" w14:textId="31F52B7F" w:rsidR="00B44C66" w:rsidRPr="00B44C66" w:rsidRDefault="00B44C66" w:rsidP="00B44C66">
            <w:pPr>
              <w:tabs>
                <w:tab w:val="center" w:pos="284"/>
              </w:tabs>
              <w:overflowPunct w:val="0"/>
              <w:autoSpaceDE w:val="0"/>
              <w:autoSpaceDN w:val="0"/>
              <w:adjustRightInd w:val="0"/>
              <w:ind w:left="266" w:hanging="266"/>
              <w:textAlignment w:val="baseline"/>
            </w:pPr>
            <w:r>
              <w:t>Claude ROLIN (Munkavállalók/BE)</w:t>
            </w:r>
          </w:p>
        </w:tc>
      </w:tr>
      <w:tr w:rsidR="00B44C66" w:rsidRPr="00B44C66" w14:paraId="75526499" w14:textId="77777777" w:rsidTr="003D7491">
        <w:tc>
          <w:tcPr>
            <w:tcW w:w="1701"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3D7491">
        <w:tc>
          <w:tcPr>
            <w:tcW w:w="1701" w:type="dxa"/>
            <w:vMerge w:val="restart"/>
          </w:tcPr>
          <w:p w14:paraId="6EAC4D18" w14:textId="25928446"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Hivatkozások: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 xml:space="preserve">COM(2025) 944 </w:t>
            </w:r>
            <w:proofErr w:type="spellStart"/>
            <w:r>
              <w:t>final</w:t>
            </w:r>
            <w:proofErr w:type="spellEnd"/>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00E942CE"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Főbb pontok</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Az EGSZB:</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3B514C">
      <w:pPr>
        <w:numPr>
          <w:ilvl w:val="0"/>
          <w:numId w:val="26"/>
        </w:numPr>
        <w:overflowPunct w:val="0"/>
        <w:autoSpaceDE w:val="0"/>
        <w:autoSpaceDN w:val="0"/>
        <w:adjustRightInd w:val="0"/>
        <w:spacing w:line="276" w:lineRule="auto"/>
        <w:ind w:left="425" w:hanging="425"/>
        <w:contextualSpacing/>
        <w:textAlignment w:val="baseline"/>
        <w:rPr>
          <w:bCs/>
          <w:iCs/>
        </w:rPr>
      </w:pPr>
      <w:r>
        <w:t xml:space="preserve">üdvözli a minőségi munkahelyekre vonatkozó ütemtervről szóló európai bizottsági közleményt, és rámutat arra, hogy az Európai Unió fenntartható versenyképességét, a termelékenységet, az innovációt és a társadalmi haladást egymást kölcsönösen erősítő tényezőkként kell kezelni. A jelenleg zajló zöld, digitális, demográfiai és </w:t>
      </w:r>
      <w:proofErr w:type="spellStart"/>
      <w:r>
        <w:t>geoökonómiai</w:t>
      </w:r>
      <w:proofErr w:type="spellEnd"/>
      <w:r>
        <w:t xml:space="preserve"> átállás fényében a munkahelyek minősége kulcsfontosságú az európai gazdasági és szociális modell </w:t>
      </w:r>
      <w:proofErr w:type="spellStart"/>
      <w:r>
        <w:t>rezilienciája</w:t>
      </w:r>
      <w:proofErr w:type="spellEnd"/>
      <w:r>
        <w:t xml:space="preserve"> szempontjából.</w:t>
      </w:r>
    </w:p>
    <w:p w14:paraId="7299D6BE" w14:textId="77777777" w:rsidR="00B44C66" w:rsidRPr="003B514C" w:rsidRDefault="00B44C66" w:rsidP="003B514C">
      <w:pPr>
        <w:pStyle w:val="ListParagraph"/>
        <w:numPr>
          <w:ilvl w:val="0"/>
          <w:numId w:val="26"/>
        </w:numPr>
        <w:ind w:left="425" w:hanging="425"/>
        <w:rPr>
          <w:szCs w:val="20"/>
        </w:rPr>
      </w:pPr>
      <w:bookmarkStart w:id="3" w:name="_Toc235200283"/>
      <w:r>
        <w:t xml:space="preserve">úgy véli, hogy ennek a kezdeményezésnek következetesen illeszkednie kell a meglévő keretbe, ideértve a szociális jogok európai pillérét, a hatályos uniós irányelveket, a koordinációs eszközöket és az uniós finanszírozást. Javasolja, hogy minden jövőbeli intézkedésnél ügyeljenek az érthetőségre, az arányosságra és a jogbiztonságra, anélkül, hogy átfedések alakulnának ki a már bevezetett mechanizmusokkal, valamint vegyék figyelembe a nemzeti </w:t>
      </w:r>
      <w:proofErr w:type="spellStart"/>
      <w:r>
        <w:t>munkügyi</w:t>
      </w:r>
      <w:proofErr w:type="spellEnd"/>
      <w:r>
        <w:t xml:space="preserve"> rendszerek sokféleségét és az ágazati sajátosságokat.</w:t>
      </w:r>
      <w:bookmarkEnd w:id="3"/>
    </w:p>
    <w:p w14:paraId="12D01F40" w14:textId="77777777" w:rsidR="00B44C66" w:rsidRPr="00B44C66" w:rsidRDefault="00B44C66" w:rsidP="003B514C">
      <w:pPr>
        <w:pStyle w:val="ListParagraph"/>
        <w:numPr>
          <w:ilvl w:val="0"/>
          <w:numId w:val="26"/>
        </w:numPr>
        <w:ind w:left="425" w:hanging="425"/>
      </w:pPr>
      <w:r>
        <w:t xml:space="preserve">a munkahelyek minőségével kapcsolatban egy közös megközelítés előmozdítását szorgalmazza, amely a szociális eredménytáblába is adott esetben beépíthető közös mutatókon alapul. Ezeket a mutatókat az OECD, az ILO és az </w:t>
      </w:r>
      <w:proofErr w:type="spellStart"/>
      <w:r>
        <w:t>Eurofound</w:t>
      </w:r>
      <w:proofErr w:type="spellEnd"/>
      <w:r>
        <w:t xml:space="preserve"> munkájára kell építeni, szükségtelen adminisztratív </w:t>
      </w:r>
      <w:proofErr w:type="spellStart"/>
      <w:r>
        <w:t>terhek</w:t>
      </w:r>
      <w:proofErr w:type="spellEnd"/>
      <w:r>
        <w:t xml:space="preserve"> hozzáadása nélkül. E mutatók közé tartozhat a jövedelem, az egészség és biztonság, a képzés és a készségek, a munkaidő minősége, az autonómia, az egyenlőség és a megkülönböztetésmentesség, a szociális párbeszéd és a munkavállalók képviselete.</w:t>
      </w:r>
    </w:p>
    <w:p w14:paraId="554BA733" w14:textId="77777777" w:rsidR="00B44C66" w:rsidRPr="00B44C66" w:rsidRDefault="00B44C66" w:rsidP="003B514C">
      <w:pPr>
        <w:pStyle w:val="ListParagraph"/>
        <w:numPr>
          <w:ilvl w:val="0"/>
          <w:numId w:val="26"/>
        </w:numPr>
        <w:ind w:left="425" w:hanging="425"/>
      </w:pPr>
      <w:r>
        <w:t>hangsúlyozza, hogy a minőségi munkahelyek előfeltétele egy olyan környezet, amely kedvez a beruházásoknak, az innovációnak, az átmeneteknek és a készségeknek. A munkahelyek minősége, a versenyképesség és a területi kohézió összehangolása érdekében különös figyelmet kell fordítani a kkv-kra, a szociális gazdaságra és a munkaerőhiánnyal küzdő ágazatokra.</w:t>
      </w:r>
    </w:p>
    <w:p w14:paraId="525A3E45" w14:textId="77777777" w:rsidR="00B44C66" w:rsidRPr="00B44C66" w:rsidRDefault="00B44C66" w:rsidP="003B514C">
      <w:pPr>
        <w:pStyle w:val="ListParagraph"/>
        <w:numPr>
          <w:ilvl w:val="0"/>
          <w:numId w:val="26"/>
        </w:numPr>
        <w:ind w:left="425" w:hanging="425"/>
      </w:pPr>
      <w:r>
        <w:t>úgy ítéli meg, hogy a szociális párbeszédnek és a kollektív tárgyalásnak minden európai kezdeményezés központi elemét kell képeznie, hogy a megoldások a valósághoz igazodhassanak, az átalakulás zökkenőmentes legyen, a kiszámíthatóság javuljon, és hogy a munkavállalókat bevonják a változásokba.</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5670"/>
      </w:tblGrid>
      <w:tr w:rsidR="00B44C66" w:rsidRPr="00B44C66" w14:paraId="069F9E78" w14:textId="77777777" w:rsidTr="003D7491">
        <w:tc>
          <w:tcPr>
            <w:tcW w:w="1418" w:type="dxa"/>
          </w:tcPr>
          <w:p w14:paraId="7108D52C" w14:textId="4CB72797" w:rsidR="00B44C66" w:rsidRPr="00B44C66" w:rsidRDefault="00B44C66" w:rsidP="00B44C66">
            <w:pPr>
              <w:overflowPunct w:val="0"/>
              <w:autoSpaceDE w:val="0"/>
              <w:autoSpaceDN w:val="0"/>
              <w:adjustRightInd w:val="0"/>
              <w:spacing w:line="276" w:lineRule="auto"/>
              <w:textAlignment w:val="baseline"/>
              <w:rPr>
                <w:i/>
              </w:rPr>
            </w:pPr>
            <w:r>
              <w:rPr>
                <w:b/>
                <w:i/>
              </w:rPr>
              <w:t>Kapcsolattartó:</w:t>
            </w:r>
          </w:p>
        </w:tc>
        <w:tc>
          <w:tcPr>
            <w:tcW w:w="5670"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proofErr w:type="spellStart"/>
            <w:r>
              <w:rPr>
                <w:i/>
              </w:rPr>
              <w:t>Ana</w:t>
            </w:r>
            <w:proofErr w:type="spellEnd"/>
            <w:r>
              <w:rPr>
                <w:i/>
              </w:rPr>
              <w:t xml:space="preserve"> </w:t>
            </w:r>
            <w:proofErr w:type="spellStart"/>
            <w:r>
              <w:rPr>
                <w:i/>
              </w:rPr>
              <w:t>Dumitrache</w:t>
            </w:r>
            <w:proofErr w:type="spellEnd"/>
          </w:p>
        </w:tc>
      </w:tr>
      <w:tr w:rsidR="00B44C66" w:rsidRPr="00B44C66" w14:paraId="6AC1C3C1" w14:textId="77777777" w:rsidTr="003D7491">
        <w:tc>
          <w:tcPr>
            <w:tcW w:w="1418" w:type="dxa"/>
          </w:tcPr>
          <w:p w14:paraId="348F13DF" w14:textId="2976A8D8" w:rsidR="00B44C66" w:rsidRPr="00B44C66" w:rsidRDefault="00B44C66" w:rsidP="00B44C66">
            <w:pPr>
              <w:overflowPunct w:val="0"/>
              <w:autoSpaceDE w:val="0"/>
              <w:autoSpaceDN w:val="0"/>
              <w:adjustRightInd w:val="0"/>
              <w:spacing w:line="276" w:lineRule="auto"/>
              <w:textAlignment w:val="baseline"/>
              <w:rPr>
                <w:i/>
              </w:rPr>
            </w:pPr>
            <w:r>
              <w:rPr>
                <w:i/>
              </w:rPr>
              <w:t>Tel.:</w:t>
            </w:r>
          </w:p>
        </w:tc>
        <w:tc>
          <w:tcPr>
            <w:tcW w:w="5670"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+32 25468131</w:t>
            </w:r>
          </w:p>
        </w:tc>
      </w:tr>
      <w:tr w:rsidR="00B44C66" w:rsidRPr="00B44C66" w14:paraId="6569EA0E" w14:textId="77777777" w:rsidTr="003D7491">
        <w:tc>
          <w:tcPr>
            <w:tcW w:w="1418" w:type="dxa"/>
          </w:tcPr>
          <w:p w14:paraId="267FB1C9" w14:textId="483829E7" w:rsidR="00B44C66" w:rsidRPr="00B44C66" w:rsidRDefault="00B44C66" w:rsidP="00B44C66">
            <w:pPr>
              <w:overflowPunct w:val="0"/>
              <w:autoSpaceDE w:val="0"/>
              <w:autoSpaceDN w:val="0"/>
              <w:adjustRightInd w:val="0"/>
              <w:spacing w:line="276" w:lineRule="auto"/>
              <w:textAlignment w:val="baseline"/>
              <w:rPr>
                <w:i/>
              </w:rPr>
            </w:pPr>
            <w:r>
              <w:rPr>
                <w:i/>
              </w:rPr>
              <w:t>E-mail:</w:t>
            </w:r>
          </w:p>
        </w:tc>
        <w:tc>
          <w:tcPr>
            <w:tcW w:w="5670" w:type="dxa"/>
          </w:tcPr>
          <w:p w14:paraId="0BD42A5D" w14:textId="6E091A76" w:rsidR="00B44C66" w:rsidRPr="00B44C66" w:rsidRDefault="00E9555B" w:rsidP="00B44C66">
            <w:pPr>
              <w:overflowPunct w:val="0"/>
              <w:autoSpaceDE w:val="0"/>
              <w:autoSpaceDN w:val="0"/>
              <w:adjustRightInd w:val="0"/>
              <w:spacing w:line="276" w:lineRule="auto"/>
              <w:textAlignment w:val="baseline"/>
              <w:rPr>
                <w:i/>
                <w:iCs/>
              </w:rPr>
            </w:pPr>
            <w:hyperlink r:id="rId27" w:history="1">
              <w:r>
                <w:rPr>
                  <w:i/>
                  <w:color w:val="0000FF"/>
                  <w:u w:val="single"/>
                </w:rPr>
                <w:t>Ana.Dumitrache@eesc.europa.eu</w:t>
              </w:r>
            </w:hyperlink>
            <w:r>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04AF1680" w:rsidR="004F69E3" w:rsidRPr="004F69E3" w:rsidRDefault="004F69E3"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Pr>
            <w:b/>
            <w:i/>
            <w:color w:val="0000FF"/>
            <w:sz w:val="28"/>
            <w:u w:val="single"/>
          </w:rPr>
          <w:t>A harmadik országbeli állampolgárok kiküldetésére vonatkozó egyértelmű uniós keret felé: A valódi kiküldetés, a jogbiztonság és a tisztességes verseny biztosítása</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7"/>
      </w:tblGrid>
      <w:tr w:rsidR="004F69E3" w:rsidRPr="004F69E3" w14:paraId="26FFE8BB" w14:textId="77777777" w:rsidTr="003D7491">
        <w:tc>
          <w:tcPr>
            <w:tcW w:w="1701" w:type="dxa"/>
          </w:tcPr>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Előadó:</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2F889D1B" w14:textId="1C0F9607" w:rsidR="004F69E3" w:rsidRPr="004F69E3" w:rsidRDefault="004F69E3" w:rsidP="004F69E3">
            <w:pPr>
              <w:overflowPunct w:val="0"/>
              <w:autoSpaceDE w:val="0"/>
              <w:autoSpaceDN w:val="0"/>
              <w:adjustRightInd w:val="0"/>
              <w:ind w:left="567" w:hanging="567"/>
              <w:textAlignment w:val="baseline"/>
            </w:pPr>
            <w:r>
              <w:t>David HAFNER (Munkavállalók/AT)</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Hivatkozások:</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Saját kezdeményezésű vélemény</w:t>
            </w:r>
          </w:p>
          <w:p w14:paraId="2C16CDD9" w14:textId="13A50CDE"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Főbb pontok</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Az EGSZB:</w:t>
      </w:r>
    </w:p>
    <w:p w14:paraId="069A98D2" w14:textId="77777777" w:rsidR="00303B3B" w:rsidRPr="004F69E3" w:rsidRDefault="00303B3B" w:rsidP="004F69E3">
      <w:pPr>
        <w:rPr>
          <w:b/>
          <w:bCs/>
          <w:sz w:val="24"/>
          <w:szCs w:val="24"/>
          <w:lang w:val="en-IE" w:eastAsia="fr-BE"/>
        </w:rPr>
      </w:pPr>
    </w:p>
    <w:p w14:paraId="31DADD1A" w14:textId="77777777" w:rsidR="004F69E3" w:rsidRPr="00B31BE5" w:rsidRDefault="004F69E3" w:rsidP="00B31BE5">
      <w:pPr>
        <w:pStyle w:val="ListParagraph"/>
        <w:numPr>
          <w:ilvl w:val="0"/>
          <w:numId w:val="47"/>
        </w:numPr>
        <w:ind w:left="425" w:hanging="425"/>
        <w:rPr>
          <w:kern w:val="28"/>
          <w:szCs w:val="20"/>
        </w:rPr>
      </w:pPr>
      <w:bookmarkStart w:id="4" w:name="_Toc235200284"/>
      <w:r>
        <w:t>kiemeli a kiküldött harmadik országbeli munkavállalók különös kiszolgáltatottságát, amelyet tovább súlyosbítanak a jogi keret egyes tagállamokban való értelmezésével és végrehajtásával kapcsolatos problémák, valamint az elégtelen jogérvényesítés,</w:t>
      </w:r>
      <w:bookmarkEnd w:id="4"/>
    </w:p>
    <w:p w14:paraId="3460EA50" w14:textId="77777777" w:rsidR="004F69E3" w:rsidRPr="00B31BE5" w:rsidRDefault="004F69E3" w:rsidP="00B31BE5">
      <w:pPr>
        <w:pStyle w:val="ListParagraph"/>
        <w:numPr>
          <w:ilvl w:val="0"/>
          <w:numId w:val="47"/>
        </w:numPr>
        <w:ind w:left="425" w:hanging="425"/>
        <w:rPr>
          <w:kern w:val="28"/>
          <w:szCs w:val="20"/>
        </w:rPr>
      </w:pPr>
      <w:bookmarkStart w:id="5" w:name="_Toc235200285"/>
      <w:r>
        <w:t>az értelmezés és a végrehajtás egyértelműségének javítására és a meglévő uniós keret következetesebb alkalmazására szólít fel, ezen belül a releváns ítélkezési gyakorlatra vonatkozó egyértelműbb és hozzáférhetőbb iránymutatást szorgalmaz a jogbiztonság, az egyenlő versenyfeltételek, valamint a munkavállalók és a vállalkozások hatékony védelmének biztosítása érdekébe,</w:t>
      </w:r>
      <w:bookmarkEnd w:id="5"/>
    </w:p>
    <w:p w14:paraId="0509DDED" w14:textId="77777777" w:rsidR="004F69E3" w:rsidRPr="00B31BE5" w:rsidRDefault="004F69E3" w:rsidP="00B31BE5">
      <w:pPr>
        <w:pStyle w:val="ListParagraph"/>
        <w:numPr>
          <w:ilvl w:val="0"/>
          <w:numId w:val="47"/>
        </w:numPr>
        <w:ind w:left="425" w:hanging="425"/>
        <w:rPr>
          <w:kern w:val="28"/>
          <w:szCs w:val="20"/>
        </w:rPr>
      </w:pPr>
      <w:bookmarkStart w:id="6" w:name="_Toc235200286"/>
      <w:r>
        <w:t xml:space="preserve">hangsúlyozza, hogy a harmadik országbeli állampolgárok kiküldetésének meg kell felelnie a valódi, határon átnyúló szolgáltatásnyújtásnak, és soha nem szabad a fogadó tagállam munkaerőpiacához való hozzáférés biztosítására, vagy arra felhasználni, hogy munkavállalókat </w:t>
      </w:r>
      <w:proofErr w:type="spellStart"/>
      <w:r>
        <w:t>bocsássanak</w:t>
      </w:r>
      <w:proofErr w:type="spellEnd"/>
      <w:r>
        <w:t xml:space="preserve"> egy másik vállalkozás rendelkezésére,</w:t>
      </w:r>
      <w:bookmarkEnd w:id="6"/>
    </w:p>
    <w:p w14:paraId="66937EEC" w14:textId="77777777" w:rsidR="004F69E3" w:rsidRPr="00B31BE5" w:rsidRDefault="004F69E3" w:rsidP="00B31BE5">
      <w:pPr>
        <w:pStyle w:val="ListParagraph"/>
        <w:numPr>
          <w:ilvl w:val="0"/>
          <w:numId w:val="47"/>
        </w:numPr>
        <w:ind w:left="425" w:hanging="425"/>
        <w:rPr>
          <w:kern w:val="28"/>
          <w:szCs w:val="20"/>
        </w:rPr>
      </w:pPr>
      <w:bookmarkStart w:id="7" w:name="_Toc235200287"/>
      <w:r>
        <w:t>üdvözli a szociális biztonsági rendszerek koordinálásáról szóló rendeletek felülvizsgálatáról szóló közelmúltbeli politikai megállapodást, amely a kiküldetést megelőzően három hónapos, a küldő tagállam szociális biztonsági rendszerében meglévő tagságot ír elő, A megállapodás fontos referenciapontként szolgál a küldő tagállam munkaerőpiacával való kapcsolat értékeléséhez,</w:t>
      </w:r>
      <w:bookmarkEnd w:id="7"/>
    </w:p>
    <w:p w14:paraId="43791BEB" w14:textId="77777777" w:rsidR="004F69E3" w:rsidRPr="00B31BE5" w:rsidRDefault="004F69E3" w:rsidP="00B31BE5">
      <w:pPr>
        <w:pStyle w:val="ListParagraph"/>
        <w:numPr>
          <w:ilvl w:val="0"/>
          <w:numId w:val="47"/>
        </w:numPr>
        <w:ind w:left="425" w:hanging="425"/>
        <w:rPr>
          <w:kern w:val="28"/>
          <w:szCs w:val="20"/>
        </w:rPr>
      </w:pPr>
      <w:bookmarkStart w:id="8" w:name="_Toc235200288"/>
      <w:r>
        <w:t>hangsúlyozza, hogy a valódi kiküldetés tényleges és ellenőrizhető kapcsolatot feltételez a munkavállaló és a küldő tagállam munkaerőpiaca között. Emellett egyértelmű és operatív kritériumok biztosítását szorgalmazza ennek a kapcsolatnak az értékeléséhez, beleértve olyan elemeket, mint a tényleges foglalkoztatás, a szociális ellátórendszer általi lefedettség, valamint adott esetben az adózási kötelezettségeknek való megfelelés és – a fedőcégek elkerülése érdekében – a munkáltató tényleges gazdasági tevékenysége a küldő tagállamban,</w:t>
      </w:r>
      <w:bookmarkEnd w:id="8"/>
    </w:p>
    <w:p w14:paraId="1830EDB3" w14:textId="77777777" w:rsidR="004F69E3" w:rsidRPr="00B31BE5" w:rsidRDefault="004F69E3" w:rsidP="00B31BE5">
      <w:pPr>
        <w:pStyle w:val="ListParagraph"/>
        <w:numPr>
          <w:ilvl w:val="0"/>
          <w:numId w:val="47"/>
        </w:numPr>
        <w:ind w:left="425" w:hanging="425"/>
        <w:rPr>
          <w:kern w:val="28"/>
          <w:szCs w:val="20"/>
        </w:rPr>
      </w:pPr>
      <w:bookmarkStart w:id="9" w:name="_Toc235200289"/>
      <w:r>
        <w:t>kiemeli a köztes szereplők, munkaerő-felvételi láncok és munkaerő-kölcsönzők növekvő szerepét a harmadik országbeli állampolgárok kiküldetésében, és felszólít a szabályok jobb végrehajtására annak biztosítása érdekében, hogy az ilyen megállapodások megfeleljenek a valódi szolgáltatásnyújtásnak, ne éljenek vissza velük az irreguláris migráció elősegítése céljából, és ne pusztán a munkaerő-kínálat szerepét töltsék be. Ez többek között az érdemi tevékenységekre vonatkozó kritériumok szigorúbb alkalmazása és a fedőcégek megelőzése révén érhető el,</w:t>
      </w:r>
      <w:bookmarkEnd w:id="9"/>
    </w:p>
    <w:p w14:paraId="281BB203" w14:textId="77777777" w:rsidR="004F69E3" w:rsidRPr="00B31BE5" w:rsidRDefault="004F69E3" w:rsidP="00B31BE5">
      <w:pPr>
        <w:pStyle w:val="ListParagraph"/>
        <w:numPr>
          <w:ilvl w:val="0"/>
          <w:numId w:val="47"/>
        </w:numPr>
        <w:ind w:left="425" w:hanging="425"/>
        <w:rPr>
          <w:kern w:val="28"/>
          <w:szCs w:val="20"/>
        </w:rPr>
      </w:pPr>
      <w:bookmarkStart w:id="10" w:name="_Toc235200290"/>
      <w:r>
        <w:t>kiemeli, hogy meg kell szilárdítani az Európai Munkaügyi Hatóság szerepét, többek között megbízatásának megerősítése és megfelelő erőforrások biztosítása révén, és jobban hasznosítva a digitális eszközöket a visszaélések felderítésére és megelőzésére,</w:t>
      </w:r>
      <w:bookmarkEnd w:id="10"/>
    </w:p>
    <w:p w14:paraId="4988E997" w14:textId="77777777" w:rsidR="004F69E3" w:rsidRPr="00B31BE5" w:rsidRDefault="004F69E3" w:rsidP="00B31BE5">
      <w:pPr>
        <w:pStyle w:val="ListParagraph"/>
        <w:numPr>
          <w:ilvl w:val="0"/>
          <w:numId w:val="47"/>
        </w:numPr>
        <w:ind w:left="425" w:hanging="425"/>
        <w:rPr>
          <w:kern w:val="28"/>
          <w:szCs w:val="20"/>
        </w:rPr>
      </w:pPr>
      <w:bookmarkStart w:id="11" w:name="_Toc235200291"/>
      <w:r>
        <w:lastRenderedPageBreak/>
        <w:t>üdvözli a méltányos munkaerő-mobilitásról szóló, küszöbönálló csomagot, amely lehetőséget kínál majd a méltányos munkaerő-mobilitás további megerősítésére, többek között az európai társadalombiztosítási kártya (ESSPASS) kidolgozása révén, melynek célja a társadalombiztosítási igazolások, különösen A1-es igazolások digitalizálásának és határokon átnyúló ellenőrzésének támogatása,</w:t>
      </w:r>
      <w:bookmarkEnd w:id="11"/>
    </w:p>
    <w:p w14:paraId="24763128" w14:textId="77777777" w:rsidR="004F69E3" w:rsidRPr="00B31BE5" w:rsidRDefault="004F69E3" w:rsidP="00B31BE5">
      <w:pPr>
        <w:pStyle w:val="ListParagraph"/>
        <w:numPr>
          <w:ilvl w:val="0"/>
          <w:numId w:val="47"/>
        </w:numPr>
        <w:ind w:left="425" w:hanging="425"/>
        <w:rPr>
          <w:kern w:val="28"/>
          <w:szCs w:val="20"/>
        </w:rPr>
      </w:pPr>
      <w:bookmarkStart w:id="12" w:name="_Toc235200292"/>
      <w:r>
        <w:t>kéri a jogokra és kötelezettségekre vonatkozó információkhoz való hozzáférés javítását, többek között célzott tájékoztatási intézkedések és a szociális partnerekkel való együttműködés útján, emellett megfelelő uniós támogatást, többek között finanszírozást és programokat szorgalmaz annak érdekében, hogy a szociális partnerek aktív bevonásával hatékony és elérhető tájékoztatást és iránymutatást lehessen biztosítani a kiküldött harmadik országbeli munkavállalók számára, valamint megfelelő kísérő intézkedéseket kér e munkavállalói jogok hatékony gyakorlásának elősegítése érdekében.</w:t>
      </w:r>
      <w:bookmarkEnd w:id="12"/>
    </w:p>
    <w:p w14:paraId="65488333" w14:textId="77777777" w:rsidR="004F69E3" w:rsidRPr="004F69E3" w:rsidRDefault="004F69E3" w:rsidP="00B31BE5">
      <w:pPr>
        <w:ind w:left="425" w:hanging="425"/>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8406"/>
      </w:tblGrid>
      <w:tr w:rsidR="004F69E3" w:rsidRPr="004F69E3" w14:paraId="7328D1FE" w14:textId="77777777" w:rsidTr="003D7491">
        <w:tc>
          <w:tcPr>
            <w:tcW w:w="1210" w:type="dxa"/>
          </w:tcPr>
          <w:p w14:paraId="29DE3A28" w14:textId="77777777" w:rsidR="004F69E3" w:rsidRPr="004F69E3" w:rsidRDefault="004F69E3" w:rsidP="004F69E3">
            <w:pPr>
              <w:overflowPunct w:val="0"/>
              <w:autoSpaceDE w:val="0"/>
              <w:autoSpaceDN w:val="0"/>
              <w:adjustRightInd w:val="0"/>
              <w:textAlignment w:val="baseline"/>
              <w:rPr>
                <w:i/>
              </w:rPr>
            </w:pPr>
            <w:r>
              <w:rPr>
                <w:b/>
                <w:i/>
              </w:rPr>
              <w:t>Kapcsolattartó:</w:t>
            </w:r>
          </w:p>
        </w:tc>
        <w:tc>
          <w:tcPr>
            <w:tcW w:w="8679" w:type="dxa"/>
          </w:tcPr>
          <w:p w14:paraId="4D69E952" w14:textId="77777777" w:rsidR="004F69E3" w:rsidRPr="004F69E3" w:rsidRDefault="004F69E3" w:rsidP="004F69E3">
            <w:pPr>
              <w:overflowPunct w:val="0"/>
              <w:autoSpaceDE w:val="0"/>
              <w:autoSpaceDN w:val="0"/>
              <w:adjustRightInd w:val="0"/>
              <w:ind w:hanging="12"/>
              <w:textAlignment w:val="baseline"/>
              <w:rPr>
                <w:i/>
              </w:rPr>
            </w:pPr>
            <w:proofErr w:type="spellStart"/>
            <w:r>
              <w:rPr>
                <w:i/>
              </w:rPr>
              <w:t>Bartek</w:t>
            </w:r>
            <w:proofErr w:type="spellEnd"/>
            <w:r>
              <w:rPr>
                <w:i/>
              </w:rPr>
              <w:t xml:space="preserve"> </w:t>
            </w:r>
            <w:proofErr w:type="spellStart"/>
            <w:r>
              <w:rPr>
                <w:i/>
              </w:rPr>
              <w:t>Bednarowicz</w:t>
            </w:r>
            <w:proofErr w:type="spellEnd"/>
          </w:p>
        </w:tc>
      </w:tr>
      <w:tr w:rsidR="004F69E3" w:rsidRPr="004F69E3" w14:paraId="77AFF7F6" w14:textId="77777777" w:rsidTr="003D7491">
        <w:tc>
          <w:tcPr>
            <w:tcW w:w="1210" w:type="dxa"/>
          </w:tcPr>
          <w:p w14:paraId="000CEA00" w14:textId="77777777" w:rsidR="004F69E3" w:rsidRPr="004F69E3" w:rsidRDefault="004F69E3" w:rsidP="004F69E3">
            <w:pPr>
              <w:overflowPunct w:val="0"/>
              <w:autoSpaceDE w:val="0"/>
              <w:autoSpaceDN w:val="0"/>
              <w:adjustRightInd w:val="0"/>
              <w:textAlignment w:val="baseline"/>
              <w:rPr>
                <w:i/>
              </w:rPr>
            </w:pPr>
            <w:r>
              <w:rPr>
                <w:i/>
              </w:rPr>
              <w:t>Tel.:</w:t>
            </w:r>
          </w:p>
        </w:tc>
        <w:tc>
          <w:tcPr>
            <w:tcW w:w="8679" w:type="dxa"/>
          </w:tcPr>
          <w:p w14:paraId="0A79A4B2" w14:textId="77777777" w:rsidR="004F69E3" w:rsidRPr="00ED38E3" w:rsidRDefault="004F69E3" w:rsidP="004F69E3">
            <w:pPr>
              <w:overflowPunct w:val="0"/>
              <w:autoSpaceDE w:val="0"/>
              <w:autoSpaceDN w:val="0"/>
              <w:adjustRightInd w:val="0"/>
              <w:textAlignment w:val="baseline"/>
              <w:rPr>
                <w:i/>
              </w:rPr>
            </w:pPr>
            <w:r>
              <w:rPr>
                <w:i/>
              </w:rPr>
              <w:t>+32 25469229</w:t>
            </w:r>
          </w:p>
        </w:tc>
      </w:tr>
      <w:tr w:rsidR="004F69E3" w:rsidRPr="004F69E3" w14:paraId="36DF04FE" w14:textId="77777777" w:rsidTr="003D7491">
        <w:tc>
          <w:tcPr>
            <w:tcW w:w="1210" w:type="dxa"/>
          </w:tcPr>
          <w:p w14:paraId="34C881D0" w14:textId="77777777" w:rsidR="004F69E3" w:rsidRPr="004F69E3" w:rsidRDefault="004F69E3" w:rsidP="004F69E3">
            <w:pPr>
              <w:overflowPunct w:val="0"/>
              <w:autoSpaceDE w:val="0"/>
              <w:autoSpaceDN w:val="0"/>
              <w:adjustRightInd w:val="0"/>
              <w:textAlignment w:val="baseline"/>
              <w:rPr>
                <w:i/>
              </w:rPr>
            </w:pPr>
            <w:r>
              <w:rPr>
                <w:i/>
              </w:rPr>
              <w:t>E-mail:</w:t>
            </w:r>
          </w:p>
        </w:tc>
        <w:tc>
          <w:tcPr>
            <w:tcW w:w="8679" w:type="dxa"/>
          </w:tcPr>
          <w:p w14:paraId="0B28CA21" w14:textId="0AACD977" w:rsidR="004F69E3" w:rsidRPr="004F69E3" w:rsidRDefault="00E9555B" w:rsidP="004F69E3">
            <w:pPr>
              <w:overflowPunct w:val="0"/>
              <w:autoSpaceDE w:val="0"/>
              <w:autoSpaceDN w:val="0"/>
              <w:adjustRightInd w:val="0"/>
              <w:textAlignment w:val="baseline"/>
              <w:rPr>
                <w:i/>
                <w:iCs/>
              </w:rPr>
            </w:pPr>
            <w:hyperlink r:id="rId29" w:history="1">
              <w:r>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13" w:name="_Toc24617160"/>
      <w:bookmarkStart w:id="14" w:name="_Toc75527082"/>
      <w:bookmarkStart w:id="15" w:name="_Toc238802272"/>
      <w:r>
        <w:rPr>
          <w:b/>
        </w:rPr>
        <w:lastRenderedPageBreak/>
        <w:t>KÖZLEKEDÉS, ENERGIA, INFRASTRUKTÚRA ÉS INFORMÁCIÓS TÁRSADALOM</w:t>
      </w:r>
      <w:bookmarkEnd w:id="13"/>
      <w:bookmarkEnd w:id="14"/>
      <w:bookmarkEnd w:id="15"/>
    </w:p>
    <w:p w14:paraId="72D285EC" w14:textId="77777777" w:rsidR="00956AF3" w:rsidRPr="00956AF3" w:rsidRDefault="00956AF3" w:rsidP="00956AF3"/>
    <w:p w14:paraId="10B9014C" w14:textId="5FFF1595" w:rsidR="00956AF3" w:rsidRPr="00956AF3" w:rsidRDefault="00E9555B"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Pr>
            <w:b/>
            <w:i/>
            <w:color w:val="0000FF"/>
            <w:sz w:val="28"/>
            <w:u w:val="single"/>
          </w:rPr>
          <w:t>Európai kikötőstratégia</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Előadó:</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Társelőadó:</w:t>
            </w:r>
          </w:p>
        </w:tc>
        <w:tc>
          <w:tcPr>
            <w:tcW w:w="3923" w:type="pct"/>
          </w:tcPr>
          <w:p w14:paraId="7C7A887D" w14:textId="650D1AF4"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(Munkáltatók/ES)</w:t>
            </w:r>
          </w:p>
          <w:p w14:paraId="4D0DD9A5" w14:textId="42CFDD87" w:rsidR="00956AF3" w:rsidRDefault="00956AF3" w:rsidP="00956AF3">
            <w:pPr>
              <w:tabs>
                <w:tab w:val="center" w:pos="284"/>
              </w:tabs>
              <w:overflowPunct w:val="0"/>
              <w:autoSpaceDE w:val="0"/>
              <w:autoSpaceDN w:val="0"/>
              <w:adjustRightInd w:val="0"/>
              <w:ind w:left="266" w:right="-3091" w:hanging="205"/>
              <w:textAlignment w:val="baseline"/>
            </w:pPr>
            <w:proofErr w:type="spellStart"/>
            <w:r>
              <w:t>Baiba</w:t>
            </w:r>
            <w:proofErr w:type="spellEnd"/>
            <w:r>
              <w:t xml:space="preserve"> MILTOVIČA (Civil társadalmi szervezetek/LV)</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2F6E42EB"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 xml:space="preserve">COM(2026) 112 </w:t>
            </w:r>
            <w:proofErr w:type="spellStart"/>
            <w:r>
              <w:t>final</w:t>
            </w:r>
            <w:proofErr w:type="spellEnd"/>
          </w:p>
          <w:p w14:paraId="48854A30" w14:textId="340A04D8"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Főbb pontok</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t>Az EGSZB:</w:t>
      </w:r>
    </w:p>
    <w:p w14:paraId="281F4FCE"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úgy véli, hogy az uniós kikötői stratégia sikere az integrált irányítástól, a hosszú távú beruházástervezéstől, a több szakpolitikai terület közötti koordinációtól, valamint a tisztességes munkát, a tisztességes versenyt és az aktív szociális párbeszédet garantáló, erős társadalmi alaptól függ az utasjogok figyelembevétele mellett,</w:t>
      </w:r>
    </w:p>
    <w:p w14:paraId="54455F16"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kéri, hogy alaposan vizsgálják meg, hogy a szabályozási intézkedések milyen hatással járnak az uniós kikötők versenyképességére, hogy elkerülhetők legyenek a torzulások a nem uniós kikötőkkel szemben,</w:t>
      </w:r>
    </w:p>
    <w:p w14:paraId="045DB340"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úgy gondolja, hogy a kikötők fontos munkahelyek, amelyek központi szerepet játszanak Európa gazdaságában és kereskedelmében, és hozzájárulásuk elengedhetetlen a társadalom jólétéhez, valamint az áruk, az energia és a szolgáltatások időben történő elosztásához,</w:t>
      </w:r>
    </w:p>
    <w:p w14:paraId="19B25314"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 xml:space="preserve">határozott finanszírozási támogatást és a feltételek tisztázását ajánlja; kéri, hogy a </w:t>
      </w:r>
      <w:proofErr w:type="spellStart"/>
      <w:r>
        <w:t>dekarbonizáció</w:t>
      </w:r>
      <w:proofErr w:type="spellEnd"/>
      <w:r>
        <w:t xml:space="preserve"> és a készségek támogatása érdekében méltányosan osszák el az uniós éghajlat- és energiapolitikai finanszírozást, beleértve a kibocsátáskereskedelmi rendszerből (ETS) származó bevételeket is, ugyanakkor előzzék meg az aránytalan </w:t>
      </w:r>
      <w:proofErr w:type="spellStart"/>
      <w:r>
        <w:t>költségterheket</w:t>
      </w:r>
      <w:proofErr w:type="spellEnd"/>
      <w:r>
        <w:t xml:space="preserve">; </w:t>
      </w:r>
      <w:proofErr w:type="spellStart"/>
      <w:r>
        <w:t>célzottabb</w:t>
      </w:r>
      <w:proofErr w:type="spellEnd"/>
      <w:r>
        <w:t xml:space="preserve"> támogatást kér az ágazatban működő kkv-k, a kisebb kikötők és a nemlineáris hajózási szolgáltatók számára, továbbá szorgalmazza a halászati ágazat kifejezett bevonását a jövőbeli beruházási eszközökbe, nevezetesen a fenntartható közlekedésre vonatkozó beruházási tervbe,</w:t>
      </w:r>
    </w:p>
    <w:p w14:paraId="6929DBE9"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hangsúlyozza, hogy figyelmet kell fordítani a kikötők finanszírozására és tulajdonviszonyaira, beleértve a vertikális integrációt és a stratégiai felvásárlásokat is. Nagyobb átláthatóságot szorgalmaz a tulajdonosi struktúrák és a kikötői eszközök ellenőrzése tekintetében,</w:t>
      </w:r>
    </w:p>
    <w:p w14:paraId="05E67BF3" w14:textId="77777777"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 xml:space="preserve">erősebb végrehajtást és </w:t>
      </w:r>
      <w:proofErr w:type="spellStart"/>
      <w:r>
        <w:t>interoperabilitást</w:t>
      </w:r>
      <w:proofErr w:type="spellEnd"/>
      <w:r>
        <w:t xml:space="preserve"> szorgalmaz az európai egyablakos tengerügyi ügyintézési környezet (</w:t>
      </w:r>
      <w:proofErr w:type="spellStart"/>
      <w:r>
        <w:t>EMSWe</w:t>
      </w:r>
      <w:proofErr w:type="spellEnd"/>
      <w:r>
        <w:t>) keretében,</w:t>
      </w:r>
    </w:p>
    <w:p w14:paraId="762DC7E1" w14:textId="5B5FB484" w:rsidR="00956AF3" w:rsidRPr="00956AF3" w:rsidRDefault="00956AF3" w:rsidP="00856176">
      <w:pPr>
        <w:widowControl w:val="0"/>
        <w:numPr>
          <w:ilvl w:val="0"/>
          <w:numId w:val="28"/>
        </w:numPr>
        <w:overflowPunct w:val="0"/>
        <w:autoSpaceDE w:val="0"/>
        <w:autoSpaceDN w:val="0"/>
        <w:adjustRightInd w:val="0"/>
        <w:ind w:left="284" w:hanging="284"/>
        <w:contextualSpacing/>
        <w:textAlignment w:val="baseline"/>
      </w:pPr>
      <w:r>
        <w:t>úgy ítéli meg, hogy</w:t>
      </w:r>
    </w:p>
    <w:p w14:paraId="555A0231" w14:textId="77777777" w:rsidR="00956AF3" w:rsidRPr="00956AF3" w:rsidRDefault="00956AF3" w:rsidP="00856176">
      <w:pPr>
        <w:widowControl w:val="0"/>
        <w:numPr>
          <w:ilvl w:val="1"/>
          <w:numId w:val="29"/>
        </w:numPr>
        <w:overflowPunct w:val="0"/>
        <w:autoSpaceDE w:val="0"/>
        <w:autoSpaceDN w:val="0"/>
        <w:adjustRightInd w:val="0"/>
        <w:ind w:left="567" w:hanging="283"/>
        <w:contextualSpacing/>
        <w:jc w:val="left"/>
        <w:textAlignment w:val="baseline"/>
      </w:pPr>
      <w:r>
        <w:t>a digitalizáció és a mesterséges intelligencia révén meg kell erősíteni az uniós kikötők versenyképességét,</w:t>
      </w:r>
    </w:p>
    <w:p w14:paraId="7912EA96" w14:textId="77777777" w:rsidR="00956AF3" w:rsidRPr="00956AF3" w:rsidRDefault="00956AF3" w:rsidP="00856176">
      <w:pPr>
        <w:widowControl w:val="0"/>
        <w:numPr>
          <w:ilvl w:val="1"/>
          <w:numId w:val="29"/>
        </w:numPr>
        <w:overflowPunct w:val="0"/>
        <w:autoSpaceDE w:val="0"/>
        <w:autoSpaceDN w:val="0"/>
        <w:adjustRightInd w:val="0"/>
        <w:ind w:left="567" w:hanging="283"/>
        <w:contextualSpacing/>
        <w:jc w:val="left"/>
        <w:textAlignment w:val="baseline"/>
      </w:pPr>
      <w:r>
        <w:t xml:space="preserve">biztosítani kell a tiszta energiaellátást, </w:t>
      </w:r>
    </w:p>
    <w:p w14:paraId="65BE860F" w14:textId="77777777" w:rsidR="00956AF3" w:rsidRPr="00956AF3" w:rsidRDefault="00956AF3" w:rsidP="00856176">
      <w:pPr>
        <w:widowControl w:val="0"/>
        <w:numPr>
          <w:ilvl w:val="1"/>
          <w:numId w:val="29"/>
        </w:numPr>
        <w:overflowPunct w:val="0"/>
        <w:autoSpaceDE w:val="0"/>
        <w:autoSpaceDN w:val="0"/>
        <w:adjustRightInd w:val="0"/>
        <w:ind w:left="567" w:hanging="283"/>
        <w:contextualSpacing/>
        <w:jc w:val="left"/>
        <w:textAlignment w:val="baseline"/>
      </w:pPr>
      <w:r>
        <w:t>a biztonsági politikáknak foglalkozniuk kell a munkakörülményekkel és a munkahelyek biztonságával,</w:t>
      </w:r>
    </w:p>
    <w:p w14:paraId="5929DA2B" w14:textId="77777777" w:rsidR="00956AF3" w:rsidRPr="00956AF3" w:rsidRDefault="00956AF3" w:rsidP="00856176">
      <w:pPr>
        <w:widowControl w:val="0"/>
        <w:numPr>
          <w:ilvl w:val="1"/>
          <w:numId w:val="29"/>
        </w:numPr>
        <w:overflowPunct w:val="0"/>
        <w:autoSpaceDE w:val="0"/>
        <w:autoSpaceDN w:val="0"/>
        <w:adjustRightInd w:val="0"/>
        <w:ind w:left="567" w:hanging="283"/>
        <w:contextualSpacing/>
        <w:textAlignment w:val="baseline"/>
      </w:pPr>
      <w:r>
        <w:t xml:space="preserve">a szigetek és a peremterületek tengeri összeköttetése alapvető fontosságú a területi kohézió, a gazdasági </w:t>
      </w:r>
      <w:proofErr w:type="spellStart"/>
      <w:r>
        <w:t>reziliencia</w:t>
      </w:r>
      <w:proofErr w:type="spellEnd"/>
      <w:r>
        <w:t xml:space="preserve"> és a megfizethetőség szempontjából, és ennek tükröződnie kell az uniós kikötő- és közlekedéspolitikában.</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7053"/>
      </w:tblGrid>
      <w:tr w:rsidR="00956AF3" w:rsidRPr="00956AF3" w14:paraId="3F32C919" w14:textId="77777777" w:rsidTr="00856176">
        <w:tc>
          <w:tcPr>
            <w:tcW w:w="831" w:type="pct"/>
          </w:tcPr>
          <w:p w14:paraId="5F49E46C" w14:textId="77777777" w:rsidR="00956AF3" w:rsidRPr="00956AF3" w:rsidRDefault="00956AF3" w:rsidP="00956AF3">
            <w:pPr>
              <w:overflowPunct w:val="0"/>
              <w:autoSpaceDE w:val="0"/>
              <w:autoSpaceDN w:val="0"/>
              <w:adjustRightInd w:val="0"/>
              <w:textAlignment w:val="baseline"/>
              <w:rPr>
                <w:i/>
              </w:rPr>
            </w:pPr>
            <w:r>
              <w:rPr>
                <w:b/>
                <w:i/>
              </w:rPr>
              <w:lastRenderedPageBreak/>
              <w:t>Kapcsolattartó:</w:t>
            </w:r>
          </w:p>
        </w:tc>
        <w:tc>
          <w:tcPr>
            <w:tcW w:w="4169" w:type="pct"/>
          </w:tcPr>
          <w:p w14:paraId="30CCE325" w14:textId="67205D1C" w:rsidR="00956AF3" w:rsidRPr="00956AF3" w:rsidRDefault="00956AF3" w:rsidP="00956AF3">
            <w:pPr>
              <w:overflowPunct w:val="0"/>
              <w:autoSpaceDE w:val="0"/>
              <w:autoSpaceDN w:val="0"/>
              <w:adjustRightInd w:val="0"/>
              <w:textAlignment w:val="baseline"/>
              <w:rPr>
                <w:i/>
              </w:rPr>
            </w:pPr>
            <w:r>
              <w:rPr>
                <w:i/>
              </w:rPr>
              <w:t xml:space="preserve">Maja </w:t>
            </w:r>
            <w:proofErr w:type="spellStart"/>
            <w:r>
              <w:rPr>
                <w:i/>
              </w:rPr>
              <w:t>Radman</w:t>
            </w:r>
            <w:proofErr w:type="spellEnd"/>
          </w:p>
        </w:tc>
      </w:tr>
      <w:tr w:rsidR="00956AF3" w:rsidRPr="00956AF3" w14:paraId="714B9518" w14:textId="77777777" w:rsidTr="00856176">
        <w:tc>
          <w:tcPr>
            <w:tcW w:w="831" w:type="pct"/>
          </w:tcPr>
          <w:p w14:paraId="1A59A8F0" w14:textId="77777777" w:rsidR="00956AF3" w:rsidRPr="00956AF3" w:rsidRDefault="00956AF3" w:rsidP="00956AF3">
            <w:pPr>
              <w:overflowPunct w:val="0"/>
              <w:autoSpaceDE w:val="0"/>
              <w:autoSpaceDN w:val="0"/>
              <w:adjustRightInd w:val="0"/>
              <w:textAlignment w:val="baseline"/>
              <w:rPr>
                <w:i/>
              </w:rPr>
            </w:pPr>
            <w:r>
              <w:rPr>
                <w:i/>
              </w:rPr>
              <w:t>Tel.:</w:t>
            </w:r>
          </w:p>
        </w:tc>
        <w:tc>
          <w:tcPr>
            <w:tcW w:w="4169" w:type="pct"/>
          </w:tcPr>
          <w:p w14:paraId="7CB2C564" w14:textId="77777777" w:rsidR="00956AF3" w:rsidRPr="00956AF3" w:rsidRDefault="00956AF3" w:rsidP="00956AF3">
            <w:pPr>
              <w:overflowPunct w:val="0"/>
              <w:autoSpaceDE w:val="0"/>
              <w:autoSpaceDN w:val="0"/>
              <w:adjustRightInd w:val="0"/>
              <w:textAlignment w:val="baseline"/>
              <w:rPr>
                <w:i/>
              </w:rPr>
            </w:pPr>
            <w:r>
              <w:rPr>
                <w:i/>
              </w:rPr>
              <w:t>+32 25469051</w:t>
            </w:r>
          </w:p>
        </w:tc>
      </w:tr>
      <w:tr w:rsidR="00956AF3" w:rsidRPr="00956AF3" w14:paraId="676FC3AE" w14:textId="77777777" w:rsidTr="00856176">
        <w:tc>
          <w:tcPr>
            <w:tcW w:w="831" w:type="pct"/>
          </w:tcPr>
          <w:p w14:paraId="7BA3BF03" w14:textId="77777777" w:rsidR="00956AF3" w:rsidRPr="00956AF3" w:rsidRDefault="00956AF3" w:rsidP="00956AF3">
            <w:pPr>
              <w:overflowPunct w:val="0"/>
              <w:autoSpaceDE w:val="0"/>
              <w:autoSpaceDN w:val="0"/>
              <w:adjustRightInd w:val="0"/>
              <w:textAlignment w:val="baseline"/>
              <w:rPr>
                <w:i/>
              </w:rPr>
            </w:pPr>
            <w:r>
              <w:rPr>
                <w:i/>
              </w:rPr>
              <w:t>E-mail:</w:t>
            </w:r>
          </w:p>
        </w:tc>
        <w:tc>
          <w:tcPr>
            <w:tcW w:w="4169" w:type="pct"/>
          </w:tcPr>
          <w:p w14:paraId="53E3DBB0" w14:textId="0F94AD8F" w:rsidR="00956AF3" w:rsidRPr="00956AF3" w:rsidRDefault="00956AF3" w:rsidP="00956AF3">
            <w:pPr>
              <w:overflowPunct w:val="0"/>
              <w:autoSpaceDE w:val="0"/>
              <w:autoSpaceDN w:val="0"/>
              <w:adjustRightInd w:val="0"/>
              <w:textAlignment w:val="baseline"/>
              <w:rPr>
                <w:i/>
              </w:rPr>
            </w:pPr>
            <w:hyperlink r:id="rId31" w:history="1">
              <w:r>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1959BF39" w:rsidR="00FD7052" w:rsidRPr="00FD7052" w:rsidRDefault="00E9555B" w:rsidP="00FD7052">
      <w:pPr>
        <w:widowControl w:val="0"/>
        <w:numPr>
          <w:ilvl w:val="0"/>
          <w:numId w:val="4"/>
        </w:numPr>
        <w:overflowPunct w:val="0"/>
        <w:autoSpaceDE w:val="0"/>
        <w:autoSpaceDN w:val="0"/>
        <w:adjustRightInd w:val="0"/>
        <w:ind w:hanging="567"/>
        <w:textAlignment w:val="baseline"/>
        <w:rPr>
          <w:b/>
        </w:rPr>
      </w:pPr>
      <w:hyperlink r:id="rId32" w:history="1">
        <w:r>
          <w:rPr>
            <w:b/>
            <w:i/>
            <w:color w:val="0000FF"/>
            <w:sz w:val="28"/>
            <w:u w:val="single"/>
          </w:rPr>
          <w:t>A drónok és a drónelhárítás biztonságára vonatkozó cselekvési terv</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1"/>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Előadó:</w:t>
            </w:r>
          </w:p>
        </w:tc>
        <w:tc>
          <w:tcPr>
            <w:tcW w:w="7371" w:type="dxa"/>
          </w:tcPr>
          <w:p w14:paraId="6FF18FB6" w14:textId="604D026B" w:rsidR="00FD7052" w:rsidRDefault="0005726E" w:rsidP="00FD7052">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(Munkavállalók/SK)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Hivatkozások:</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 xml:space="preserve">COM(2026) 81 </w:t>
            </w:r>
            <w:proofErr w:type="spellStart"/>
            <w:r>
              <w:t>final</w:t>
            </w:r>
            <w:proofErr w:type="spellEnd"/>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Főbb pontok</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Az EGSZB:</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támogatja a felkészültség, a felderítési és reagálási képességek megerősítésére, valamint a drónok rosszindulatú használatától való elrettentésre irányuló célkitűzést, ugyanakkor hangsúlyozza, hogy minden intézkedésnek arányosnak kell maradnia, és összhangban kell állnia az alapvető jogokkal, a magánélet védelmével, az adatvédelemmel, a jogbiztonsággal és a demokratikus elszámoltathatósággal,</w:t>
      </w:r>
    </w:p>
    <w:p w14:paraId="4A0C12F1"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 xml:space="preserve">hangsúlyozza a drónokkal és drónelhárítással kapcsolatos változó fenyegetettségi környezet sürgős jellegét, tekintettel a közelmúltbeli konfliktusok és hibrid műveletek gyors technológiai fejlődésére, </w:t>
      </w:r>
    </w:p>
    <w:p w14:paraId="4C3F7A45"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hangsúlyozza, hogy a légi közlekedésnek és a közbiztonságnak továbbra is elsődleges prioritásnak kell maradnia a drónelhárítási intézkedések tervezése és végrehajtása során, megőrizve az európai légiforgalmi szolgáltatási (ATM) rendszer működési integritását,</w:t>
      </w:r>
    </w:p>
    <w:p w14:paraId="3A429749"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 xml:space="preserve">hangsúlyozza a drónok és drónelhárítási rendszerek irányítási, operatív és emberi dimenzióját, </w:t>
      </w:r>
    </w:p>
    <w:p w14:paraId="27B2ACC7"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üdvözli az európai ipari és technológiai bázis megerősítését a drónok és drónelhárítási rendszerek terén, és úgy véli, hogy a kismagasságú eszközök gazdasága lehetőség a jövőbeli európai gazdasági előnyök megteremtésére, emellett az innováció, a versenyképesség és az exportlehetőségek hajtóereje,</w:t>
      </w:r>
    </w:p>
    <w:p w14:paraId="0C9B1F4B" w14:textId="77777777" w:rsidR="00FD7052" w:rsidRPr="00FD7052" w:rsidRDefault="00FD7052" w:rsidP="00856176">
      <w:pPr>
        <w:numPr>
          <w:ilvl w:val="0"/>
          <w:numId w:val="30"/>
        </w:numPr>
        <w:overflowPunct w:val="0"/>
        <w:autoSpaceDE w:val="0"/>
        <w:autoSpaceDN w:val="0"/>
        <w:adjustRightInd w:val="0"/>
        <w:ind w:left="284" w:hanging="284"/>
        <w:contextualSpacing/>
        <w:textAlignment w:val="baseline"/>
        <w:rPr>
          <w:bCs/>
          <w:iCs/>
        </w:rPr>
      </w:pPr>
      <w:r>
        <w:t>támogatja a kritikus infrastruktúrák védelmére irányuló intézkedéseket, beleértve a stresszteszteket, a drónelhárítási rendszerek bevezetését és a közös közbeszerzést, ugyanakkor hangsúlyozza, hogy értékelni kell a gazdasági, működési, jogi, felelősségi és munkaerővel kapcsolatos következményeket, különösen a kisebb üzemeltetők esetében.</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p w14:paraId="0F315A79" w14:textId="77777777" w:rsidR="00FD7052" w:rsidRPr="00FD7052"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1"/>
      </w:tblGrid>
      <w:tr w:rsidR="00FD7052" w:rsidRPr="00FD7052" w14:paraId="04723D9A" w14:textId="77777777" w:rsidTr="003D7491">
        <w:tc>
          <w:tcPr>
            <w:tcW w:w="1809" w:type="dxa"/>
          </w:tcPr>
          <w:p w14:paraId="73689C56" w14:textId="77777777" w:rsidR="00FD7052" w:rsidRPr="00FD7052" w:rsidRDefault="00FD7052" w:rsidP="00FD7052">
            <w:pPr>
              <w:overflowPunct w:val="0"/>
              <w:autoSpaceDE w:val="0"/>
              <w:autoSpaceDN w:val="0"/>
              <w:adjustRightInd w:val="0"/>
              <w:textAlignment w:val="baseline"/>
              <w:rPr>
                <w:i/>
              </w:rPr>
            </w:pPr>
            <w:r>
              <w:rPr>
                <w:b/>
                <w:i/>
              </w:rPr>
              <w:t>Kapcsolattartó:</w:t>
            </w:r>
          </w:p>
        </w:tc>
        <w:tc>
          <w:tcPr>
            <w:tcW w:w="7371" w:type="dxa"/>
          </w:tcPr>
          <w:p w14:paraId="0F427AEB" w14:textId="62A9D75B" w:rsidR="00FD7052" w:rsidRPr="00FD7052" w:rsidRDefault="00FD7052" w:rsidP="00FD7052">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FD7052" w:rsidRPr="00FD7052" w14:paraId="1FC815DE" w14:textId="77777777" w:rsidTr="003D7491">
        <w:tc>
          <w:tcPr>
            <w:tcW w:w="1809" w:type="dxa"/>
          </w:tcPr>
          <w:p w14:paraId="2DB1E136" w14:textId="77777777" w:rsidR="00FD7052" w:rsidRPr="00FD7052" w:rsidRDefault="00FD7052" w:rsidP="00FD7052">
            <w:pPr>
              <w:overflowPunct w:val="0"/>
              <w:autoSpaceDE w:val="0"/>
              <w:autoSpaceDN w:val="0"/>
              <w:adjustRightInd w:val="0"/>
              <w:textAlignment w:val="baseline"/>
              <w:rPr>
                <w:i/>
              </w:rPr>
            </w:pPr>
            <w:r>
              <w:rPr>
                <w:i/>
              </w:rPr>
              <w:t>Tel.:</w:t>
            </w:r>
          </w:p>
        </w:tc>
        <w:tc>
          <w:tcPr>
            <w:tcW w:w="7371" w:type="dxa"/>
          </w:tcPr>
          <w:p w14:paraId="1C19AB29" w14:textId="77777777" w:rsidR="00FD7052" w:rsidRPr="00FD7052" w:rsidRDefault="00FD7052" w:rsidP="00FD7052">
            <w:pPr>
              <w:overflowPunct w:val="0"/>
              <w:autoSpaceDE w:val="0"/>
              <w:autoSpaceDN w:val="0"/>
              <w:adjustRightInd w:val="0"/>
              <w:textAlignment w:val="baseline"/>
              <w:rPr>
                <w:i/>
              </w:rPr>
            </w:pPr>
            <w:r>
              <w:rPr>
                <w:i/>
              </w:rPr>
              <w:t>+32 25469326</w:t>
            </w:r>
          </w:p>
        </w:tc>
      </w:tr>
      <w:tr w:rsidR="00FD7052" w:rsidRPr="00FD7052" w14:paraId="43F7CAFB" w14:textId="77777777" w:rsidTr="003D7491">
        <w:tc>
          <w:tcPr>
            <w:tcW w:w="1809" w:type="dxa"/>
          </w:tcPr>
          <w:p w14:paraId="59FBB48C" w14:textId="77777777" w:rsidR="00FD7052" w:rsidRPr="00FD7052" w:rsidRDefault="00FD7052" w:rsidP="00FD7052">
            <w:pPr>
              <w:overflowPunct w:val="0"/>
              <w:autoSpaceDE w:val="0"/>
              <w:autoSpaceDN w:val="0"/>
              <w:adjustRightInd w:val="0"/>
              <w:textAlignment w:val="baseline"/>
              <w:rPr>
                <w:i/>
              </w:rPr>
            </w:pPr>
            <w:r>
              <w:rPr>
                <w:i/>
              </w:rPr>
              <w:t>E-mail:</w:t>
            </w:r>
          </w:p>
        </w:tc>
        <w:tc>
          <w:tcPr>
            <w:tcW w:w="7371" w:type="dxa"/>
          </w:tcPr>
          <w:p w14:paraId="284A42F7" w14:textId="4311DE67" w:rsidR="00FD7052" w:rsidRPr="00FD7052" w:rsidRDefault="00E9555B" w:rsidP="00FD7052">
            <w:pPr>
              <w:overflowPunct w:val="0"/>
              <w:autoSpaceDE w:val="0"/>
              <w:autoSpaceDN w:val="0"/>
              <w:adjustRightInd w:val="0"/>
              <w:textAlignment w:val="baseline"/>
              <w:rPr>
                <w:i/>
                <w:iCs/>
              </w:rPr>
            </w:pPr>
            <w:hyperlink r:id="rId33" w:history="1">
              <w:r>
                <w:rPr>
                  <w:i/>
                  <w:color w:val="0000FF"/>
                  <w:u w:val="single"/>
                </w:rPr>
                <w:t>Albert.Precup@eesc.europa.eu</w:t>
              </w:r>
            </w:hyperlink>
            <w:r>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224BD238" w:rsidR="00B07E34" w:rsidRPr="00B07E34" w:rsidRDefault="00B07E34" w:rsidP="00856176">
      <w:pPr>
        <w:widowControl w:val="0"/>
        <w:numPr>
          <w:ilvl w:val="0"/>
          <w:numId w:val="31"/>
        </w:numPr>
        <w:overflowPunct w:val="0"/>
        <w:autoSpaceDE w:val="0"/>
        <w:autoSpaceDN w:val="0"/>
        <w:adjustRightInd w:val="0"/>
        <w:ind w:hanging="720"/>
        <w:textAlignment w:val="baseline"/>
        <w:rPr>
          <w:b/>
          <w:bCs/>
          <w:szCs w:val="20"/>
        </w:rPr>
      </w:pPr>
      <w:hyperlink r:id="rId34">
        <w:r>
          <w:rPr>
            <w:b/>
            <w:i/>
            <w:color w:val="0000FF"/>
            <w:sz w:val="28"/>
            <w:u w:val="single"/>
          </w:rPr>
          <w:t>Az Európai Unió Űrprogramügynöksége</w:t>
        </w:r>
      </w:hyperlink>
    </w:p>
    <w:p w14:paraId="73844410" w14:textId="77777777" w:rsidR="00B07E34" w:rsidRDefault="00B07E34" w:rsidP="00B07E34">
      <w:pPr>
        <w:widowControl w:val="0"/>
        <w:overflowPunct w:val="0"/>
        <w:autoSpaceDE w:val="0"/>
        <w:autoSpaceDN w:val="0"/>
        <w:adjustRightInd w:val="0"/>
        <w:textAlignment w:val="baseline"/>
        <w:rPr>
          <w:b/>
        </w:rPr>
      </w:pPr>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Előadó:</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proofErr w:type="spellStart"/>
            <w:r>
              <w:t>Miroslav</w:t>
            </w:r>
            <w:proofErr w:type="spellEnd"/>
            <w:r>
              <w:t xml:space="preserve"> HAJNOŠ (Munkavállalók/SK)</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Hivatkozások:</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 xml:space="preserve">COM(2026) 152 </w:t>
            </w:r>
            <w:proofErr w:type="spellStart"/>
            <w:r>
              <w:t>final</w:t>
            </w:r>
            <w:proofErr w:type="spellEnd"/>
          </w:p>
          <w:p w14:paraId="10A34D33" w14:textId="67143363"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Főbb pontok</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Az EGSZB:</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üdvözli, hogy egy önálló alapító jogi aktussal hozzák létre az Európai Unió Űrprogramügynökségét, ez ugyanis jelentősen megerősíti az EU űrinfrastruktúrájának jogbiztonságát, működési folytonosságát és intézményi stabilitását,</w:t>
      </w:r>
    </w:p>
    <w:p w14:paraId="10FC9DFF"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hangsúlyozza, hogy a műholdas helymeghatározási, navigációs és időmeghatározási szolgáltatások, a Föld-megfigyelési szolgáltatásokkal együtt létfontosságú eszközök az EU egységes piaca számára,</w:t>
      </w:r>
    </w:p>
    <w:p w14:paraId="4645F822"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javasolja, hogy az Ügynökség készüljön fel arra, hogy együttműködik majd a kidolgozás alatt álló Európai Versenyképességi Alappal, és ehhez dolgozzon ki egyszerűsített hozzáférési eljárásokat és célzott támogatási intézkedéseket a kkv-k és az induló innovatív vállalkozások számára,</w:t>
      </w:r>
    </w:p>
    <w:p w14:paraId="054D088C"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 xml:space="preserve">aggodalmát fejezi ki amiatt, hogy egyre nagyobb strukturális hiány van képzett mérnökökből, adatelemzőkből és </w:t>
      </w:r>
      <w:proofErr w:type="spellStart"/>
      <w:r>
        <w:t>kiberbiztonsági</w:t>
      </w:r>
      <w:proofErr w:type="spellEnd"/>
      <w:r>
        <w:t xml:space="preserve"> szakemberekből. Arra kéri az Ügynökséget, hogy szorosan </w:t>
      </w:r>
      <w:proofErr w:type="spellStart"/>
      <w:r>
        <w:t>működjön</w:t>
      </w:r>
      <w:proofErr w:type="spellEnd"/>
      <w:r>
        <w:t xml:space="preserve"> együtt tudományos intézményekkel és a szociális partnerekkel, előmozdítva ezzel a természettudományok, a technológia, a műszaki tudományok és a matematika oktatását, valamint a szakmai továbbképzéssel és átképzéssel kapcsolatos kezdeményezéseket,</w:t>
      </w:r>
    </w:p>
    <w:p w14:paraId="774D8E51"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 xml:space="preserve">támogatja, hogy az uniós űreszközök hibrid, </w:t>
      </w:r>
      <w:proofErr w:type="spellStart"/>
      <w:r>
        <w:t>kiber</w:t>
      </w:r>
      <w:proofErr w:type="spellEnd"/>
      <w:r>
        <w:t>- és űrmeteorológiai fenyegetésekkel szembeni védelme érdekében vezessenek be olyan operatív és válságkezelési mechanizmusokat, amelyek a hét minden napján, napi 24 órában működnek. Ezeknek az intézkedéseknek azonban szigorúan tiszteletben kell tartaniuk az uniós munkaügyi normákat és a munkaidőre vonatkozó szabályokat,</w:t>
      </w:r>
    </w:p>
    <w:p w14:paraId="7559A0C0"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 xml:space="preserve">úgy véli, hogy óvatosan kell strukturálni azt a javasolt keretet, amelyben az Ügynökség díjakat és jutalékokat szed be a szolgáltatásaiért, hogy el lehessen kerülni, hogy ezzel pénzügyi akadályok jöjjenek létre a kisebb európai </w:t>
      </w:r>
      <w:proofErr w:type="spellStart"/>
      <w:r>
        <w:t>innovátorok</w:t>
      </w:r>
      <w:proofErr w:type="spellEnd"/>
      <w:r>
        <w:t xml:space="preserve"> számára.</w:t>
      </w:r>
    </w:p>
    <w:p w14:paraId="0A78D22D"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hangsúlyozza, hogy a Biztonsági Akkreditációs Tanácsnak szervezetileg mindenképpen függetlennek kell lennie az Ügynökségen belül. Óvatosan szemléli a javasolt három hónapos hallgatólagos jóváhagyási mechanizmust, amelynek célja az eljárási patthelyzetek megelőzése, és úgy véli, hogy az nem veszélyeztetheti a műszaki biztonságot vagy az akkreditációs határozatok függetlenségét,</w:t>
      </w:r>
    </w:p>
    <w:p w14:paraId="5823B587" w14:textId="77777777" w:rsidR="00B07E34" w:rsidRPr="00B07E34" w:rsidRDefault="00B07E34" w:rsidP="00856176">
      <w:pPr>
        <w:numPr>
          <w:ilvl w:val="0"/>
          <w:numId w:val="32"/>
        </w:numPr>
        <w:overflowPunct w:val="0"/>
        <w:autoSpaceDE w:val="0"/>
        <w:autoSpaceDN w:val="0"/>
        <w:adjustRightInd w:val="0"/>
        <w:ind w:left="284" w:hanging="284"/>
        <w:contextualSpacing/>
        <w:textAlignment w:val="baseline"/>
        <w:rPr>
          <w:szCs w:val="20"/>
        </w:rPr>
      </w:pPr>
      <w:r>
        <w:t xml:space="preserve">hangsúlyozza, hogy az Ügynökség feladatait kellő jogbiztonsággal kell meghatározni, elkerülve az olyan homályos megfogalmazásokat, amelyek elmoshatják a felelősségi köröket vagy gyengíthetik az Ügynökség operatív megbízatását. </w:t>
      </w:r>
    </w:p>
    <w:p w14:paraId="2EF1ACC5" w14:textId="77777777" w:rsidR="00C664BD" w:rsidRPr="00B07E34"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B07E34" w14:paraId="752EBFE8" w14:textId="77777777" w:rsidTr="003D7491">
        <w:tc>
          <w:tcPr>
            <w:tcW w:w="1791" w:type="dxa"/>
          </w:tcPr>
          <w:p w14:paraId="7DE00DB9" w14:textId="77777777" w:rsidR="00B07E34" w:rsidRPr="00B07E34" w:rsidRDefault="00B07E34" w:rsidP="00B07E34">
            <w:pPr>
              <w:overflowPunct w:val="0"/>
              <w:autoSpaceDE w:val="0"/>
              <w:autoSpaceDN w:val="0"/>
              <w:adjustRightInd w:val="0"/>
              <w:textAlignment w:val="baseline"/>
              <w:rPr>
                <w:i/>
              </w:rPr>
            </w:pPr>
            <w:r>
              <w:rPr>
                <w:b/>
                <w:i/>
              </w:rPr>
              <w:t>Kapcsolattartó:</w:t>
            </w:r>
          </w:p>
        </w:tc>
        <w:tc>
          <w:tcPr>
            <w:tcW w:w="7531" w:type="dxa"/>
          </w:tcPr>
          <w:p w14:paraId="177B6DC4" w14:textId="0F2B93BB" w:rsidR="00B07E34" w:rsidRPr="00B07E34" w:rsidRDefault="00B07E34" w:rsidP="00B07E34">
            <w:pPr>
              <w:overflowPunct w:val="0"/>
              <w:autoSpaceDE w:val="0"/>
              <w:autoSpaceDN w:val="0"/>
              <w:adjustRightInd w:val="0"/>
              <w:textAlignment w:val="baseline"/>
              <w:rPr>
                <w:i/>
              </w:rPr>
            </w:pPr>
            <w:proofErr w:type="spellStart"/>
            <w:r>
              <w:rPr>
                <w:i/>
              </w:rPr>
              <w:t>Giorgia</w:t>
            </w:r>
            <w:proofErr w:type="spellEnd"/>
            <w:r>
              <w:rPr>
                <w:i/>
              </w:rPr>
              <w:t xml:space="preserve"> Andrea </w:t>
            </w:r>
            <w:proofErr w:type="spellStart"/>
            <w:r>
              <w:rPr>
                <w:i/>
              </w:rPr>
              <w:t>Bordignon</w:t>
            </w:r>
            <w:proofErr w:type="spellEnd"/>
          </w:p>
        </w:tc>
      </w:tr>
      <w:tr w:rsidR="00B07E34" w:rsidRPr="00B07E34" w14:paraId="391D1CBF" w14:textId="77777777" w:rsidTr="003D7491">
        <w:tc>
          <w:tcPr>
            <w:tcW w:w="1791" w:type="dxa"/>
          </w:tcPr>
          <w:p w14:paraId="1D8520F8" w14:textId="77777777" w:rsidR="00B07E34" w:rsidRPr="00B07E34" w:rsidRDefault="00B07E34" w:rsidP="00B07E34">
            <w:pPr>
              <w:overflowPunct w:val="0"/>
              <w:autoSpaceDE w:val="0"/>
              <w:autoSpaceDN w:val="0"/>
              <w:adjustRightInd w:val="0"/>
              <w:textAlignment w:val="baseline"/>
              <w:rPr>
                <w:i/>
              </w:rPr>
            </w:pPr>
            <w:r>
              <w:rPr>
                <w:i/>
              </w:rPr>
              <w:t>Tel.:</w:t>
            </w:r>
          </w:p>
        </w:tc>
        <w:tc>
          <w:tcPr>
            <w:tcW w:w="7531" w:type="dxa"/>
          </w:tcPr>
          <w:p w14:paraId="174E7CF9" w14:textId="77777777" w:rsidR="00B07E34" w:rsidRPr="00B07E34" w:rsidRDefault="00B07E34" w:rsidP="00B07E34">
            <w:pPr>
              <w:overflowPunct w:val="0"/>
              <w:autoSpaceDE w:val="0"/>
              <w:autoSpaceDN w:val="0"/>
              <w:adjustRightInd w:val="0"/>
              <w:textAlignment w:val="baseline"/>
              <w:rPr>
                <w:i/>
              </w:rPr>
            </w:pPr>
            <w:r>
              <w:rPr>
                <w:i/>
              </w:rPr>
              <w:t>+32 25468535</w:t>
            </w:r>
          </w:p>
        </w:tc>
      </w:tr>
      <w:tr w:rsidR="00B07E34" w:rsidRPr="00B07E34" w14:paraId="3227D5F1" w14:textId="77777777" w:rsidTr="003D7491">
        <w:tc>
          <w:tcPr>
            <w:tcW w:w="1791" w:type="dxa"/>
          </w:tcPr>
          <w:p w14:paraId="2CE49F62" w14:textId="77777777" w:rsidR="00B07E34" w:rsidRPr="00B07E34" w:rsidRDefault="00B07E34" w:rsidP="00B07E34">
            <w:pPr>
              <w:overflowPunct w:val="0"/>
              <w:autoSpaceDE w:val="0"/>
              <w:autoSpaceDN w:val="0"/>
              <w:adjustRightInd w:val="0"/>
              <w:textAlignment w:val="baseline"/>
              <w:rPr>
                <w:i/>
              </w:rPr>
            </w:pPr>
            <w:r>
              <w:rPr>
                <w:i/>
              </w:rPr>
              <w:t>E-mail:</w:t>
            </w:r>
          </w:p>
        </w:tc>
        <w:tc>
          <w:tcPr>
            <w:tcW w:w="7531" w:type="dxa"/>
          </w:tcPr>
          <w:p w14:paraId="59C33DD4" w14:textId="2E3548E3" w:rsidR="00B07E34" w:rsidRPr="00B07E34" w:rsidRDefault="00E9555B" w:rsidP="00B07E34">
            <w:pPr>
              <w:overflowPunct w:val="0"/>
              <w:autoSpaceDE w:val="0"/>
              <w:autoSpaceDN w:val="0"/>
              <w:adjustRightInd w:val="0"/>
              <w:textAlignment w:val="baseline"/>
              <w:rPr>
                <w:i/>
                <w:iCs/>
              </w:rPr>
            </w:pPr>
            <w:hyperlink r:id="rId35" w:history="1">
              <w:r>
                <w:rPr>
                  <w:i/>
                  <w:color w:val="0000FF"/>
                  <w:u w:val="single"/>
                </w:rPr>
                <w:t>GiorgiaAndrea.Bordignon@eesc.europa.eu</w:t>
              </w:r>
            </w:hyperlink>
          </w:p>
        </w:tc>
      </w:tr>
    </w:tbl>
    <w:p w14:paraId="2F86E5FD" w14:textId="77777777" w:rsidR="00B07E34" w:rsidRDefault="00B07E34">
      <w:pPr>
        <w:spacing w:after="160" w:line="259" w:lineRule="auto"/>
        <w:jc w:val="left"/>
      </w:pPr>
      <w:r>
        <w:br w:type="page"/>
      </w:r>
    </w:p>
    <w:p w14:paraId="4BE58F8B" w14:textId="42C39608"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"https://www.eesc.europa.eu/hu/our-work/opinions-information-reports/opinions/ensuring-affordable-and-stable-energy-european-energy-intensive-industries-using-example-chemical-sector"</w:instrText>
      </w:r>
      <w:r w:rsidRPr="00886414">
        <w:rPr>
          <w:b/>
          <w:i/>
          <w:sz w:val="28"/>
        </w:rPr>
      </w:r>
      <w:r w:rsidRPr="00886414">
        <w:rPr>
          <w:b/>
          <w:i/>
          <w:sz w:val="28"/>
        </w:rPr>
        <w:fldChar w:fldCharType="separate"/>
      </w:r>
      <w:r>
        <w:rPr>
          <w:b/>
          <w:i/>
          <w:color w:val="0000FF"/>
          <w:sz w:val="28"/>
          <w:u w:val="single"/>
        </w:rPr>
        <w:t>Megfizethető és stabil energia biztosítása az energiaigényes európai iparágak számára a vegyipar példájának felhasználásával</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Előadó:</w:t>
            </w:r>
          </w:p>
        </w:tc>
        <w:tc>
          <w:tcPr>
            <w:tcW w:w="7621" w:type="dxa"/>
          </w:tcPr>
          <w:p w14:paraId="11254634" w14:textId="7ABF1491" w:rsidR="00886414" w:rsidRDefault="00886414" w:rsidP="00886414">
            <w:pPr>
              <w:tabs>
                <w:tab w:val="center" w:pos="284"/>
              </w:tabs>
              <w:overflowPunct w:val="0"/>
              <w:autoSpaceDE w:val="0"/>
              <w:autoSpaceDN w:val="0"/>
              <w:adjustRightInd w:val="0"/>
              <w:ind w:left="266" w:hanging="266"/>
              <w:textAlignment w:val="baseline"/>
            </w:pPr>
            <w:proofErr w:type="spellStart"/>
            <w:r>
              <w:t>Mateusz</w:t>
            </w:r>
            <w:proofErr w:type="spellEnd"/>
            <w:r>
              <w:t xml:space="preserve"> SZYMAŃSKI (Munkavállalók/PL)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Hivatkozások:</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Saját kezdeményezésű vélemény</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Főbb pontok</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Az EGSZB:</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hangsúlyozza, hogy az energiaigényes európai ipar, és különösen a vegyipar mély strukturális válsággal néz szembe, amelyet elsősorban a tartósan magas és ingadozó energiaköltségek, az alacsony beruházási szint és a globális verseny okoznak, </w:t>
      </w:r>
    </w:p>
    <w:p w14:paraId="7BC07862"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aláhúzza, hogy a meglévő ipari bázisnak a gyártásra vonatkozó új uniós célkitűzéssel összhangban történő megőrzése és fejlesztése elengedhetetlen ahhoz, hogy elkerüljük a gyártási kapacitás, a know-how és a készségek elvesztését, valamint hogy a stratégiai ágazatokban megelőzzük a strukturális technológiai függőségeket,</w:t>
      </w:r>
    </w:p>
    <w:p w14:paraId="21D74077"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úgy véli, hogy itt az ideje, hogy újra egyensúlyba hozzuk az energiaunió öt fő pillérét: a biztonságot, a belső energiapiacot, az energiahatékonyságot, a </w:t>
      </w:r>
      <w:proofErr w:type="spellStart"/>
      <w:r>
        <w:t>dekarbonizációt</w:t>
      </w:r>
      <w:proofErr w:type="spellEnd"/>
      <w:r>
        <w:t xml:space="preserve"> és a versenyképességet,</w:t>
      </w:r>
    </w:p>
    <w:p w14:paraId="59D0C841"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rámutat, hogy a szakpolitikákat össze kell hangolni, és a vonatkozó munkaügyi és szociális szabályozással, valamint az alkalmazandó kollektív szerződésekkel összhangban prioritásként kell kezelni a munkahelyek védelmét és a magas színvonalú foglalkoztatást,</w:t>
      </w:r>
    </w:p>
    <w:p w14:paraId="399F5A34"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kiemeli, hogy fontos további intézkedésnek kell tekinteni az uniós kibocsátáskereskedelmi rendszer és a piaci stabilizációs tartalék reformját, amire a túlzott </w:t>
      </w:r>
      <w:proofErr w:type="spellStart"/>
      <w:r>
        <w:t>áringadozás</w:t>
      </w:r>
      <w:proofErr w:type="spellEnd"/>
      <w:r>
        <w:t xml:space="preserve"> és a beruházási bizonytalanság csökkentése érdekében van szükség, ennek keretében pedig korlátozni kell a spekulatív műveleteket,</w:t>
      </w:r>
    </w:p>
    <w:p w14:paraId="315448A5" w14:textId="77777777" w:rsidR="00886414" w:rsidRPr="00886414" w:rsidRDefault="00886414" w:rsidP="00856176">
      <w:pPr>
        <w:numPr>
          <w:ilvl w:val="0"/>
          <w:numId w:val="45"/>
        </w:numPr>
        <w:tabs>
          <w:tab w:val="clear" w:pos="720"/>
          <w:tab w:val="num" w:pos="284"/>
        </w:tabs>
        <w:overflowPunct w:val="0"/>
        <w:autoSpaceDE w:val="0"/>
        <w:autoSpaceDN w:val="0"/>
        <w:adjustRightInd w:val="0"/>
        <w:ind w:left="284" w:hanging="284"/>
        <w:textAlignment w:val="baseline"/>
        <w:rPr>
          <w:bCs/>
          <w:iCs/>
        </w:rPr>
      </w:pPr>
      <w:r>
        <w:t>véleménye szerint reális és rugalmas energetikai átállást kell biztosítani, amely figyelembe veszi a nemzeti realitásokat, beleértve a geomorfológiai feltételeket is.</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7839"/>
      </w:tblGrid>
      <w:tr w:rsidR="00886414" w:rsidRPr="00886414" w14:paraId="33D630FF" w14:textId="77777777" w:rsidTr="003D7491">
        <w:tc>
          <w:tcPr>
            <w:tcW w:w="1418" w:type="dxa"/>
          </w:tcPr>
          <w:p w14:paraId="35E3F141" w14:textId="77777777" w:rsidR="00886414" w:rsidRPr="00886414" w:rsidRDefault="00886414" w:rsidP="00886414">
            <w:pPr>
              <w:overflowPunct w:val="0"/>
              <w:autoSpaceDE w:val="0"/>
              <w:autoSpaceDN w:val="0"/>
              <w:adjustRightInd w:val="0"/>
              <w:textAlignment w:val="baseline"/>
              <w:rPr>
                <w:i/>
              </w:rPr>
            </w:pPr>
            <w:r>
              <w:rPr>
                <w:b/>
                <w:i/>
              </w:rPr>
              <w:t>Kapcsolattartó:</w:t>
            </w:r>
          </w:p>
        </w:tc>
        <w:tc>
          <w:tcPr>
            <w:tcW w:w="7904" w:type="dxa"/>
          </w:tcPr>
          <w:p w14:paraId="04AB1F23" w14:textId="77777777" w:rsidR="00886414" w:rsidRPr="00886414" w:rsidRDefault="00886414" w:rsidP="00886414">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886414" w:rsidRPr="00886414" w14:paraId="1D9C0234" w14:textId="77777777" w:rsidTr="003D7491">
        <w:tc>
          <w:tcPr>
            <w:tcW w:w="1418" w:type="dxa"/>
          </w:tcPr>
          <w:p w14:paraId="3B2271B7" w14:textId="77777777" w:rsidR="00886414" w:rsidRPr="00886414" w:rsidRDefault="00886414" w:rsidP="00886414">
            <w:pPr>
              <w:overflowPunct w:val="0"/>
              <w:autoSpaceDE w:val="0"/>
              <w:autoSpaceDN w:val="0"/>
              <w:adjustRightInd w:val="0"/>
              <w:textAlignment w:val="baseline"/>
              <w:rPr>
                <w:i/>
              </w:rPr>
            </w:pPr>
            <w:r>
              <w:rPr>
                <w:i/>
              </w:rPr>
              <w:t>Tel.:</w:t>
            </w:r>
          </w:p>
        </w:tc>
        <w:tc>
          <w:tcPr>
            <w:tcW w:w="7904" w:type="dxa"/>
          </w:tcPr>
          <w:p w14:paraId="33715378" w14:textId="77777777" w:rsidR="00886414" w:rsidRPr="00886414" w:rsidRDefault="00886414" w:rsidP="00886414">
            <w:pPr>
              <w:overflowPunct w:val="0"/>
              <w:autoSpaceDE w:val="0"/>
              <w:autoSpaceDN w:val="0"/>
              <w:adjustRightInd w:val="0"/>
              <w:textAlignment w:val="baseline"/>
              <w:rPr>
                <w:i/>
              </w:rPr>
            </w:pPr>
            <w:r>
              <w:rPr>
                <w:i/>
              </w:rPr>
              <w:t>+32 25469326</w:t>
            </w:r>
          </w:p>
        </w:tc>
      </w:tr>
      <w:tr w:rsidR="00886414" w:rsidRPr="00886414" w14:paraId="08E10163" w14:textId="77777777" w:rsidTr="003D7491">
        <w:tc>
          <w:tcPr>
            <w:tcW w:w="1418" w:type="dxa"/>
          </w:tcPr>
          <w:p w14:paraId="050D560B" w14:textId="0F84F9A3" w:rsidR="00886414" w:rsidRPr="00886414" w:rsidRDefault="006A456B" w:rsidP="00886414">
            <w:pPr>
              <w:overflowPunct w:val="0"/>
              <w:autoSpaceDE w:val="0"/>
              <w:autoSpaceDN w:val="0"/>
              <w:adjustRightInd w:val="0"/>
              <w:textAlignment w:val="baseline"/>
              <w:rPr>
                <w:i/>
              </w:rPr>
            </w:pPr>
            <w:r>
              <w:rPr>
                <w:i/>
              </w:rPr>
              <w:t>E-mail:</w:t>
            </w:r>
          </w:p>
        </w:tc>
        <w:tc>
          <w:tcPr>
            <w:tcW w:w="7904" w:type="dxa"/>
          </w:tcPr>
          <w:p w14:paraId="6BAA8C9B" w14:textId="3DE22F83" w:rsidR="00886414" w:rsidRPr="00886414" w:rsidRDefault="00E9555B" w:rsidP="00886414">
            <w:pPr>
              <w:overflowPunct w:val="0"/>
              <w:autoSpaceDE w:val="0"/>
              <w:autoSpaceDN w:val="0"/>
              <w:adjustRightInd w:val="0"/>
              <w:textAlignment w:val="baseline"/>
              <w:rPr>
                <w:i/>
                <w:iCs/>
              </w:rPr>
            </w:pPr>
            <w:hyperlink r:id="rId36" w:history="1">
              <w:r>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6A483CB8" w:rsidR="00BB21A2" w:rsidRPr="00BB21A2" w:rsidRDefault="00E9555B"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Pr>
            <w:b/>
            <w:i/>
            <w:color w:val="0000FF"/>
            <w:sz w:val="28"/>
            <w:u w:val="single"/>
          </w:rPr>
          <w:t>Kis méretű moduláris reaktorok</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Előadó:</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Társelőadó:</w:t>
            </w:r>
          </w:p>
        </w:tc>
        <w:tc>
          <w:tcPr>
            <w:tcW w:w="3923" w:type="pct"/>
          </w:tcPr>
          <w:p w14:paraId="0519F71C" w14:textId="1D0DB410" w:rsidR="00BB21A2" w:rsidRPr="00BB21A2" w:rsidRDefault="00BB21A2" w:rsidP="00BB21A2">
            <w:pPr>
              <w:tabs>
                <w:tab w:val="center" w:pos="284"/>
              </w:tabs>
              <w:overflowPunct w:val="0"/>
              <w:autoSpaceDE w:val="0"/>
              <w:autoSpaceDN w:val="0"/>
              <w:adjustRightInd w:val="0"/>
              <w:ind w:left="266" w:right="-3091" w:hanging="205"/>
              <w:textAlignment w:val="baseline"/>
            </w:pPr>
            <w:proofErr w:type="spellStart"/>
            <w:r>
              <w:t>Christophe</w:t>
            </w:r>
            <w:proofErr w:type="spellEnd"/>
            <w:r>
              <w:t xml:space="preserve"> BÉGUINET (Munkavállalók/FR)</w:t>
            </w:r>
          </w:p>
          <w:p w14:paraId="49AECF93" w14:textId="31C179B1" w:rsidR="00BB21A2" w:rsidRDefault="00BB21A2" w:rsidP="00BB21A2">
            <w:pPr>
              <w:tabs>
                <w:tab w:val="center" w:pos="284"/>
              </w:tabs>
              <w:overflowPunct w:val="0"/>
              <w:autoSpaceDE w:val="0"/>
              <w:autoSpaceDN w:val="0"/>
              <w:adjustRightInd w:val="0"/>
              <w:ind w:left="266" w:right="-3091" w:hanging="205"/>
              <w:textAlignment w:val="baseline"/>
            </w:pPr>
            <w:proofErr w:type="spellStart"/>
            <w:r>
              <w:t>Domantas</w:t>
            </w:r>
            <w:proofErr w:type="spellEnd"/>
            <w:r>
              <w:t xml:space="preserve"> TRACEVIČIUS (Civil társadalmi szervezetek/LT)</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 xml:space="preserve">COM(2026) 117 </w:t>
            </w:r>
            <w:proofErr w:type="spellStart"/>
            <w:r>
              <w:t>final</w:t>
            </w:r>
            <w:proofErr w:type="spellEnd"/>
          </w:p>
          <w:p w14:paraId="76091FD0" w14:textId="666657C3"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Főbb pontok</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Az EGSZB:</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rPr>
          <w:szCs w:val="20"/>
        </w:rPr>
      </w:pPr>
      <w:r>
        <w:t>elismeri a kis méretű moduláris reaktorok Európában történő fejlesztésére és telepítésére irányuló stratégia értékét,</w:t>
      </w:r>
    </w:p>
    <w:p w14:paraId="1BC8C2A8"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rPr>
          <w:szCs w:val="20"/>
        </w:rPr>
      </w:pPr>
      <w:r>
        <w:t xml:space="preserve">úgy véli, hogy a kis méretű moduláris reaktorokra vonatkozó európai stratégiának </w:t>
      </w:r>
      <w:proofErr w:type="spellStart"/>
      <w:r>
        <w:t>termékcsaládonkénti</w:t>
      </w:r>
      <w:proofErr w:type="spellEnd"/>
      <w:r>
        <w:t xml:space="preserve"> szabványosítási követelményeken kell alapulnia, feltéve, hogy betartják a legszigorúbb biztonsági előírásokat,</w:t>
      </w:r>
    </w:p>
    <w:p w14:paraId="7FE05E66"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rPr>
          <w:szCs w:val="20"/>
        </w:rPr>
      </w:pPr>
      <w:r>
        <w:t>megjegyzi, hogy a reaktortechnológiákkal kapcsolatos döntéseket az fűtőanyag-ellátásra, a gyártásra, a szállításra, a tárolásra, az újrafeldolgozásra és a hulladékgazdálkodásra vonatkozó követelmények megfelelő értékelésének kell kísérnie,</w:t>
      </w:r>
    </w:p>
    <w:p w14:paraId="5D92782C"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rPr>
          <w:szCs w:val="20"/>
        </w:rPr>
      </w:pPr>
      <w:r>
        <w:t>hangsúlyozza, hogy a kis méretű moduláris reaktorok értékláncaira vonatkozó stratégiának prioritásként kell kezelnie a szükséges munkahelyek előmozdítását, beleértve a munkavállalók átképzését is,</w:t>
      </w:r>
    </w:p>
    <w:p w14:paraId="57191968"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rPr>
          <w:szCs w:val="20"/>
        </w:rPr>
      </w:pPr>
      <w:r>
        <w:t xml:space="preserve">hangsúlyozza, hogy a tagállamoknak a kis méretű moduláris reaktorokkal kapcsolatos megoldások nagyon korlátozott köre – valószínűleg összesen legfeljebb négy- vagy ötféle megoldás – felé kell orientálódniuk, feltéve, hogy a technológiai sokféleséget </w:t>
      </w:r>
      <w:proofErr w:type="spellStart"/>
      <w:r>
        <w:t>megőrzik</w:t>
      </w:r>
      <w:proofErr w:type="spellEnd"/>
      <w:r>
        <w:t>, ahol ez szükséges a rendszerszintű kockázat csökkentése és a bezáródás elkerülése érdekében,</w:t>
      </w:r>
    </w:p>
    <w:p w14:paraId="78F09A6C" w14:textId="77777777" w:rsidR="00BB21A2" w:rsidRPr="00BB21A2" w:rsidRDefault="00BB21A2" w:rsidP="00856176">
      <w:pPr>
        <w:widowControl w:val="0"/>
        <w:numPr>
          <w:ilvl w:val="0"/>
          <w:numId w:val="33"/>
        </w:numPr>
        <w:overflowPunct w:val="0"/>
        <w:autoSpaceDE w:val="0"/>
        <w:autoSpaceDN w:val="0"/>
        <w:adjustRightInd w:val="0"/>
        <w:ind w:left="284" w:hanging="284"/>
        <w:contextualSpacing/>
        <w:textAlignment w:val="baseline"/>
      </w:pPr>
      <w:r>
        <w:t xml:space="preserve">sürgeti, hogy haladéktalanul kezdeményezzenek egy olyan finanszírozási ütemtervet, amely méltányosan kiveszi a részét a kockázatvállalásból és a </w:t>
      </w:r>
      <w:proofErr w:type="spellStart"/>
      <w:r>
        <w:t>terhekből</w:t>
      </w:r>
      <w:proofErr w:type="spellEnd"/>
      <w:r>
        <w:t xml:space="preserve"> a magánbefektetők és az állami szektor között, beleértve a szigorú költségellenőrzési mechanizmusokat, az átláthatóságot és a magánbefektetőkkel való kockázatmegosztást.</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Kapcsolattartó:</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 xml:space="preserve">Albert </w:t>
            </w:r>
            <w:proofErr w:type="spellStart"/>
            <w:r>
              <w:rPr>
                <w:i/>
              </w:rPr>
              <w:t>Precup</w:t>
            </w:r>
            <w:proofErr w:type="spellEnd"/>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Tel.:</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+32 25469326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E-mail:</w:t>
            </w:r>
          </w:p>
        </w:tc>
        <w:tc>
          <w:tcPr>
            <w:tcW w:w="3922" w:type="pct"/>
          </w:tcPr>
          <w:p w14:paraId="294B9995" w14:textId="08A42C6A" w:rsidR="00BB21A2" w:rsidRPr="00BB21A2" w:rsidRDefault="00E9555B" w:rsidP="00BB21A2">
            <w:pPr>
              <w:overflowPunct w:val="0"/>
              <w:autoSpaceDE w:val="0"/>
              <w:autoSpaceDN w:val="0"/>
              <w:adjustRightInd w:val="0"/>
              <w:textAlignment w:val="baseline"/>
              <w:rPr>
                <w:i/>
              </w:rPr>
            </w:pPr>
            <w:hyperlink r:id="rId38" w:history="1">
              <w:r>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06A4A4BC" w:rsidR="003C5092" w:rsidRPr="003C5092" w:rsidRDefault="00E9555B"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Pr>
            <w:b/>
            <w:i/>
            <w:color w:val="0000FF"/>
            <w:sz w:val="28"/>
            <w:u w:val="single"/>
          </w:rPr>
          <w:t>Európai nagy sebességű vasúthálózat 2040</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7271"/>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Előadó:</w:t>
            </w:r>
          </w:p>
        </w:tc>
        <w:tc>
          <w:tcPr>
            <w:tcW w:w="7371" w:type="dxa"/>
          </w:tcPr>
          <w:p w14:paraId="2F74408F" w14:textId="16857451" w:rsidR="003C5092" w:rsidRDefault="003C5092" w:rsidP="003C5092">
            <w:pPr>
              <w:tabs>
                <w:tab w:val="center" w:pos="284"/>
              </w:tabs>
              <w:overflowPunct w:val="0"/>
              <w:autoSpaceDE w:val="0"/>
              <w:autoSpaceDN w:val="0"/>
              <w:adjustRightInd w:val="0"/>
              <w:ind w:left="266" w:hanging="266"/>
              <w:textAlignment w:val="baseline"/>
            </w:pPr>
            <w:proofErr w:type="spellStart"/>
            <w:r>
              <w:t>Dumitru</w:t>
            </w:r>
            <w:proofErr w:type="spellEnd"/>
            <w:r>
              <w:t xml:space="preserve"> FORNEA (Munkavállalók/RO)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Hivatkozások:</w:t>
            </w:r>
          </w:p>
        </w:tc>
        <w:tc>
          <w:tcPr>
            <w:tcW w:w="7371" w:type="dxa"/>
          </w:tcPr>
          <w:p w14:paraId="1E6D99DA" w14:textId="18CBFC67" w:rsidR="003C5092" w:rsidRPr="003C5092" w:rsidRDefault="008B1C9B" w:rsidP="003C5092">
            <w:pPr>
              <w:tabs>
                <w:tab w:val="center" w:pos="284"/>
              </w:tabs>
              <w:overflowPunct w:val="0"/>
              <w:autoSpaceDE w:val="0"/>
              <w:autoSpaceDN w:val="0"/>
              <w:adjustRightInd w:val="0"/>
              <w:ind w:left="266" w:hanging="266"/>
              <w:textAlignment w:val="baseline"/>
            </w:pPr>
            <w:r>
              <w:t>Saját kezdeményezésű vélemény</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Főbb pontok</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Az EGSZB:</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úgy véli, hogy egy valódi európai nagy sebességű vasúti hálózat 2040-ig történő kialakításának stratégiai prioritássá kell válnia az Unió számára, és annak ugyanolyan ambiciózusnak kell lennie, mint az egységes piaccal, az euróval és a zöld megállapodással kapcsolatos prioritásnak,</w:t>
      </w:r>
    </w:p>
    <w:p w14:paraId="5114CF6C"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 xml:space="preserve">úgy véli, hogy különösen a központi és peremterületeken elengedhetetlen a nyugat–keleti és észak–déli összeköttetések megerősítése a gazdasági, társadalmi és területi kohézió Unió-szerte történő megerősítéséhez, </w:t>
      </w:r>
    </w:p>
    <w:p w14:paraId="2666382E"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hangsúlyozza, hogy az összehangolt uniós megközelítés megerősítheti az ipari ökoszisztémákat, ösztönözheti az innovációt, és magas színvonalú foglalkoztatást biztosíthat az értéklánc egészében,</w:t>
      </w:r>
    </w:p>
    <w:p w14:paraId="3A85FD4D"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úgy ítéli meg, hogy</w:t>
      </w:r>
    </w:p>
    <w:p w14:paraId="41533C7A"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prioritásként kell kezelni a magas európai hozzáadott értékkel rendelkező, határokon átnyúló folyosókat,</w:t>
      </w:r>
    </w:p>
    <w:p w14:paraId="3143F56E"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az irányításnak átláthatónak kell lennie, és innovatív finanszírozási eszközöket kell kidolgozni, beleértve a kibocsátáskereskedelmi rendszerből származó bevételek stratégiai felhasználását mind a határokon átnyúló összeköttetések, mind pedig a nemzeti vasúti hálózatok korszerűsítésének támogatására,</w:t>
      </w:r>
    </w:p>
    <w:p w14:paraId="172B4006"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 xml:space="preserve">az </w:t>
      </w:r>
      <w:proofErr w:type="spellStart"/>
      <w:r>
        <w:t>interoperabilitásnak</w:t>
      </w:r>
      <w:proofErr w:type="spellEnd"/>
      <w:r>
        <w:t xml:space="preserve"> olyan célkitűzéssé kell válnia, amely nem képezheti alku tárgyát, a digitalizációt és a mesterséges intelligenciát pedig teljes mértékben integrálni kell, </w:t>
      </w:r>
    </w:p>
    <w:p w14:paraId="7143EF75" w14:textId="77777777" w:rsidR="003C5092" w:rsidRPr="003C5092" w:rsidRDefault="003C5092" w:rsidP="00856176">
      <w:pPr>
        <w:numPr>
          <w:ilvl w:val="0"/>
          <w:numId w:val="34"/>
        </w:numPr>
        <w:overflowPunct w:val="0"/>
        <w:autoSpaceDE w:val="0"/>
        <w:autoSpaceDN w:val="0"/>
        <w:adjustRightInd w:val="0"/>
        <w:ind w:left="284" w:hanging="284"/>
        <w:contextualSpacing/>
        <w:textAlignment w:val="baseline"/>
        <w:rPr>
          <w:bCs/>
          <w:iCs/>
        </w:rPr>
      </w:pPr>
      <w:r>
        <w:t>a nagy sebességű vasúthálózatnak akadálymentesnek, inkluzívnak és felhasználóorientáltnak kell maradnia, Európának pedig sürgősen be kell ruháznia a készségekbe, a szakképzésbe, a tanulószerződéses gyakorlati képzésekbe, az átképzésbe és a munkaerő-fejlesztésbe.</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4"/>
        <w:gridCol w:w="7289"/>
      </w:tblGrid>
      <w:tr w:rsidR="003C5092" w:rsidRPr="003C5092" w14:paraId="2566D320" w14:textId="77777777" w:rsidTr="003D7491">
        <w:tc>
          <w:tcPr>
            <w:tcW w:w="1791" w:type="dxa"/>
          </w:tcPr>
          <w:p w14:paraId="622DD809" w14:textId="77777777" w:rsidR="003C5092" w:rsidRPr="003C5092" w:rsidRDefault="003C5092" w:rsidP="003C5092">
            <w:pPr>
              <w:overflowPunct w:val="0"/>
              <w:autoSpaceDE w:val="0"/>
              <w:autoSpaceDN w:val="0"/>
              <w:adjustRightInd w:val="0"/>
              <w:textAlignment w:val="baseline"/>
              <w:rPr>
                <w:i/>
              </w:rPr>
            </w:pPr>
            <w:r>
              <w:rPr>
                <w:b/>
                <w:i/>
              </w:rPr>
              <w:t>Kapcsolattartó:</w:t>
            </w:r>
          </w:p>
        </w:tc>
        <w:tc>
          <w:tcPr>
            <w:tcW w:w="7389" w:type="dxa"/>
          </w:tcPr>
          <w:p w14:paraId="13C5C6C3" w14:textId="7F6EF920" w:rsidR="003C5092" w:rsidRPr="003C5092" w:rsidRDefault="003C5092" w:rsidP="003C5092">
            <w:pPr>
              <w:overflowPunct w:val="0"/>
              <w:autoSpaceDE w:val="0"/>
              <w:autoSpaceDN w:val="0"/>
              <w:adjustRightInd w:val="0"/>
              <w:textAlignment w:val="baseline"/>
              <w:rPr>
                <w:i/>
              </w:rPr>
            </w:pPr>
            <w:r>
              <w:rPr>
                <w:i/>
              </w:rPr>
              <w:t xml:space="preserve">Maja </w:t>
            </w:r>
            <w:proofErr w:type="spellStart"/>
            <w:r>
              <w:rPr>
                <w:i/>
              </w:rPr>
              <w:t>Radman</w:t>
            </w:r>
            <w:proofErr w:type="spellEnd"/>
          </w:p>
        </w:tc>
      </w:tr>
      <w:tr w:rsidR="003C5092" w:rsidRPr="003C5092" w14:paraId="6BE3B3CA" w14:textId="77777777" w:rsidTr="003D7491">
        <w:tc>
          <w:tcPr>
            <w:tcW w:w="1791" w:type="dxa"/>
          </w:tcPr>
          <w:p w14:paraId="74BE3383" w14:textId="77777777" w:rsidR="003C5092" w:rsidRPr="003C5092" w:rsidRDefault="003C5092" w:rsidP="003C5092">
            <w:pPr>
              <w:overflowPunct w:val="0"/>
              <w:autoSpaceDE w:val="0"/>
              <w:autoSpaceDN w:val="0"/>
              <w:adjustRightInd w:val="0"/>
              <w:textAlignment w:val="baseline"/>
              <w:rPr>
                <w:i/>
              </w:rPr>
            </w:pPr>
            <w:r>
              <w:rPr>
                <w:i/>
              </w:rPr>
              <w:t>Tel.:</w:t>
            </w:r>
          </w:p>
        </w:tc>
        <w:tc>
          <w:tcPr>
            <w:tcW w:w="7389" w:type="dxa"/>
          </w:tcPr>
          <w:p w14:paraId="3FCB0DF8" w14:textId="77777777" w:rsidR="003C5092" w:rsidRPr="003C5092" w:rsidRDefault="003C5092" w:rsidP="003C5092">
            <w:pPr>
              <w:overflowPunct w:val="0"/>
              <w:autoSpaceDE w:val="0"/>
              <w:autoSpaceDN w:val="0"/>
              <w:adjustRightInd w:val="0"/>
              <w:textAlignment w:val="baseline"/>
              <w:rPr>
                <w:i/>
              </w:rPr>
            </w:pPr>
            <w:r>
              <w:rPr>
                <w:i/>
              </w:rPr>
              <w:t>+32 25469051</w:t>
            </w:r>
          </w:p>
        </w:tc>
      </w:tr>
      <w:tr w:rsidR="003C5092" w:rsidRPr="003C5092" w14:paraId="37D96B88" w14:textId="77777777" w:rsidTr="003D7491">
        <w:tc>
          <w:tcPr>
            <w:tcW w:w="1791" w:type="dxa"/>
          </w:tcPr>
          <w:p w14:paraId="19753E47" w14:textId="77777777" w:rsidR="003C5092" w:rsidRPr="003C5092" w:rsidRDefault="003C5092" w:rsidP="003C5092">
            <w:pPr>
              <w:overflowPunct w:val="0"/>
              <w:autoSpaceDE w:val="0"/>
              <w:autoSpaceDN w:val="0"/>
              <w:adjustRightInd w:val="0"/>
              <w:textAlignment w:val="baseline"/>
              <w:rPr>
                <w:i/>
              </w:rPr>
            </w:pPr>
            <w:r>
              <w:rPr>
                <w:i/>
              </w:rPr>
              <w:t>E-mail:</w:t>
            </w:r>
          </w:p>
        </w:tc>
        <w:tc>
          <w:tcPr>
            <w:tcW w:w="7389" w:type="dxa"/>
          </w:tcPr>
          <w:p w14:paraId="41E2E0DE" w14:textId="2D5063C1" w:rsidR="003C5092" w:rsidRPr="003C5092" w:rsidRDefault="00E9555B" w:rsidP="003C5092">
            <w:pPr>
              <w:overflowPunct w:val="0"/>
              <w:autoSpaceDE w:val="0"/>
              <w:autoSpaceDN w:val="0"/>
              <w:adjustRightInd w:val="0"/>
              <w:textAlignment w:val="baseline"/>
              <w:rPr>
                <w:i/>
                <w:iCs/>
              </w:rPr>
            </w:pPr>
            <w:hyperlink r:id="rId40" w:history="1">
              <w:r>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751BC1F8"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"https://www.eesc.europa.eu/hu/our-work/opinions-information-reports/opinions/eu-strategy-housing-construction"</w:instrText>
      </w:r>
      <w:r w:rsidRPr="003F2FE4">
        <w:rPr>
          <w:b/>
          <w:i/>
          <w:sz w:val="28"/>
        </w:rPr>
      </w:r>
      <w:r w:rsidRPr="003F2FE4">
        <w:rPr>
          <w:b/>
          <w:i/>
          <w:sz w:val="28"/>
        </w:rPr>
        <w:fldChar w:fldCharType="separate"/>
      </w:r>
      <w:r>
        <w:rPr>
          <w:b/>
          <w:i/>
          <w:color w:val="0000FF"/>
          <w:sz w:val="28"/>
          <w:u w:val="single"/>
        </w:rPr>
        <w:t>Európai lakásépítési stratégia</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Előadó:</w:t>
            </w:r>
          </w:p>
        </w:tc>
        <w:tc>
          <w:tcPr>
            <w:tcW w:w="7621" w:type="dxa"/>
          </w:tcPr>
          <w:p w14:paraId="6DD79413" w14:textId="39125D0F" w:rsidR="003F2FE4" w:rsidRDefault="003F2FE4" w:rsidP="003F2FE4">
            <w:pPr>
              <w:tabs>
                <w:tab w:val="center" w:pos="284"/>
              </w:tabs>
              <w:overflowPunct w:val="0"/>
              <w:autoSpaceDE w:val="0"/>
              <w:autoSpaceDN w:val="0"/>
              <w:adjustRightInd w:val="0"/>
              <w:ind w:left="266" w:hanging="266"/>
              <w:textAlignment w:val="baseline"/>
            </w:pPr>
            <w:r>
              <w:t>Thomas KATTNIG (Munkavállalók/AT)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Hivatkozások:</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 xml:space="preserve">COM(2025) 991 </w:t>
            </w:r>
            <w:proofErr w:type="spellStart"/>
            <w:r>
              <w:t>final</w:t>
            </w:r>
            <w:proofErr w:type="spellEnd"/>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Főbb pontok</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Az EGSZB:</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856176">
      <w:pPr>
        <w:widowControl w:val="0"/>
        <w:numPr>
          <w:ilvl w:val="0"/>
          <w:numId w:val="35"/>
        </w:numPr>
        <w:overflowPunct w:val="0"/>
        <w:autoSpaceDE w:val="0"/>
        <w:autoSpaceDN w:val="0"/>
        <w:adjustRightInd w:val="0"/>
        <w:spacing w:after="200" w:line="276" w:lineRule="auto"/>
        <w:ind w:left="284" w:hanging="284"/>
        <w:contextualSpacing/>
        <w:textAlignment w:val="baseline"/>
      </w:pPr>
      <w:r>
        <w:t>üdvözli a megfizethető lakhatásra vonatkozó terv keretébe tartozó lakásépítési stratégiát, de sürgeti az Európai Bizottságot, hogy mielőbb terjessze elő a bejelentett kezdeményezéseket, és fogadjon el sokkal ambiciózusabb intézkedéseket a strukturális lakhatási válság kezelésére: állapítsa meg az ahhoz szükséges keretfeltételeket, hogy az építőipar katalizátorként szolgáljon a megfizethető, fenntartható és magas színvonalú lakhatáshoz, építse be a megfelelő és megfizethető lakhatáshoz való jogot az elsődleges uniós jogba, biztosítson megfelelő finanszírozást és fektessen nagyobb hangsúlyt a kiszolgáltatott csoportokra és a fenntarthatóságra. A lakásépítési támogatásnak eseti alapon előnyben kell részesítenie az átépítést, a korszerűsítést és az új építéseket, és elő kell mozdítania a klímasemleges és erőforrás-hatékony építési módokat, a kollektív lakhatási formákat és az alternatív mobilitási megközelítéseket, amelyek hozzájárulnak az emberek életminőségének javításához,</w:t>
      </w:r>
    </w:p>
    <w:p w14:paraId="15BAD978" w14:textId="77777777" w:rsidR="003F2FE4" w:rsidRPr="003F2FE4" w:rsidRDefault="003F2FE4" w:rsidP="00856176">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bírálja, hogy a terv nem tartalmaz egyértelmű földhasználati és területrendezési iránymutatásokat, és hatékony vidékfejlesztési stratégiát és bevált eszközöket szorgalmaz, kötelező arányt határozva meg a támogatott, megfizethető lakhatásra,</w:t>
      </w:r>
    </w:p>
    <w:p w14:paraId="3C358EDC" w14:textId="77777777" w:rsidR="003F2FE4" w:rsidRPr="003F2FE4" w:rsidRDefault="003F2FE4" w:rsidP="00856176">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 xml:space="preserve">úgy véli, hogy az innováció elengedhetetlen a gyorsabb, fenntarthatóbb, megbízhatóbb és megfizethetőbb építéshez, és eközben a szakképzettséget igénylő szakmák </w:t>
      </w:r>
      <w:proofErr w:type="spellStart"/>
      <w:r>
        <w:t>vonzerejét</w:t>
      </w:r>
      <w:proofErr w:type="spellEnd"/>
      <w:r>
        <w:t xml:space="preserve"> is növeli, ezért üdvözli az építési termékekről szóló új rendelet szerinti gyorsított szabványfejlesztést, és kéri, hogy az EU vállaljon nagyobb szerepet a nemzetközi szabványügyi testületekben. A digitalizáció nem korlátozódhat az építési projektekre. Ki kell használni a munkavállalói jogok érvényesítésének megerősítésére, a munkahelyek minőségének és a munkafeltételeknek a javítására, valamint a fogyasztói érdekek érvényesítésére is.</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7839"/>
      </w:tblGrid>
      <w:tr w:rsidR="003F2FE4" w:rsidRPr="003F2FE4" w14:paraId="45E46466" w14:textId="77777777" w:rsidTr="003D7491">
        <w:tc>
          <w:tcPr>
            <w:tcW w:w="1418" w:type="dxa"/>
          </w:tcPr>
          <w:p w14:paraId="09641944" w14:textId="77777777" w:rsidR="003F2FE4" w:rsidRPr="003F2FE4" w:rsidRDefault="003F2FE4" w:rsidP="003F2FE4">
            <w:pPr>
              <w:overflowPunct w:val="0"/>
              <w:autoSpaceDE w:val="0"/>
              <w:autoSpaceDN w:val="0"/>
              <w:adjustRightInd w:val="0"/>
              <w:textAlignment w:val="baseline"/>
              <w:rPr>
                <w:i/>
              </w:rPr>
            </w:pPr>
            <w:r>
              <w:rPr>
                <w:b/>
                <w:i/>
              </w:rPr>
              <w:t>Kapcsolattartó:</w:t>
            </w:r>
          </w:p>
        </w:tc>
        <w:tc>
          <w:tcPr>
            <w:tcW w:w="7904" w:type="dxa"/>
          </w:tcPr>
          <w:p w14:paraId="6029FD39" w14:textId="77777777" w:rsidR="003F2FE4" w:rsidRPr="003F2FE4" w:rsidRDefault="003F2FE4" w:rsidP="003F2FE4">
            <w:pPr>
              <w:overflowPunct w:val="0"/>
              <w:autoSpaceDE w:val="0"/>
              <w:autoSpaceDN w:val="0"/>
              <w:adjustRightInd w:val="0"/>
              <w:textAlignment w:val="baseline"/>
              <w:rPr>
                <w:i/>
              </w:rPr>
            </w:pPr>
            <w:r>
              <w:rPr>
                <w:i/>
              </w:rPr>
              <w:t xml:space="preserve">Francesco </w:t>
            </w:r>
            <w:proofErr w:type="spellStart"/>
            <w:r>
              <w:rPr>
                <w:i/>
              </w:rPr>
              <w:t>Napolitano</w:t>
            </w:r>
            <w:proofErr w:type="spellEnd"/>
          </w:p>
        </w:tc>
      </w:tr>
      <w:tr w:rsidR="003F2FE4" w:rsidRPr="003F2FE4" w14:paraId="7887AD2D" w14:textId="77777777" w:rsidTr="003D7491">
        <w:tc>
          <w:tcPr>
            <w:tcW w:w="1418" w:type="dxa"/>
          </w:tcPr>
          <w:p w14:paraId="65EC7E16" w14:textId="77777777" w:rsidR="003F2FE4" w:rsidRPr="003F2FE4" w:rsidRDefault="003F2FE4" w:rsidP="003F2FE4">
            <w:pPr>
              <w:overflowPunct w:val="0"/>
              <w:autoSpaceDE w:val="0"/>
              <w:autoSpaceDN w:val="0"/>
              <w:adjustRightInd w:val="0"/>
              <w:textAlignment w:val="baseline"/>
              <w:rPr>
                <w:i/>
              </w:rPr>
            </w:pPr>
            <w:r>
              <w:rPr>
                <w:i/>
              </w:rPr>
              <w:t>Tel.:</w:t>
            </w:r>
          </w:p>
        </w:tc>
        <w:tc>
          <w:tcPr>
            <w:tcW w:w="7904" w:type="dxa"/>
          </w:tcPr>
          <w:p w14:paraId="3CADF473" w14:textId="77777777" w:rsidR="003F2FE4" w:rsidRPr="003F2FE4" w:rsidRDefault="003F2FE4" w:rsidP="003F2FE4">
            <w:pPr>
              <w:overflowPunct w:val="0"/>
              <w:autoSpaceDE w:val="0"/>
              <w:autoSpaceDN w:val="0"/>
              <w:adjustRightInd w:val="0"/>
              <w:textAlignment w:val="baseline"/>
              <w:rPr>
                <w:i/>
              </w:rPr>
            </w:pPr>
            <w:r>
              <w:rPr>
                <w:i/>
              </w:rPr>
              <w:t>+32 25468921</w:t>
            </w:r>
          </w:p>
        </w:tc>
      </w:tr>
      <w:tr w:rsidR="003F2FE4" w:rsidRPr="003F2FE4" w14:paraId="7B954A06" w14:textId="77777777" w:rsidTr="003D7491">
        <w:tc>
          <w:tcPr>
            <w:tcW w:w="1418" w:type="dxa"/>
          </w:tcPr>
          <w:p w14:paraId="080B898B" w14:textId="1088DE2C" w:rsidR="003F2FE4" w:rsidRPr="003F2FE4" w:rsidRDefault="00A258F1" w:rsidP="003F2FE4">
            <w:pPr>
              <w:overflowPunct w:val="0"/>
              <w:autoSpaceDE w:val="0"/>
              <w:autoSpaceDN w:val="0"/>
              <w:adjustRightInd w:val="0"/>
              <w:textAlignment w:val="baseline"/>
              <w:rPr>
                <w:i/>
              </w:rPr>
            </w:pPr>
            <w:r>
              <w:rPr>
                <w:i/>
              </w:rPr>
              <w:t>E-mail:</w:t>
            </w:r>
          </w:p>
        </w:tc>
        <w:tc>
          <w:tcPr>
            <w:tcW w:w="7904" w:type="dxa"/>
          </w:tcPr>
          <w:p w14:paraId="3DA84614" w14:textId="59E6FB42" w:rsidR="003F2FE4" w:rsidRPr="003F2FE4" w:rsidRDefault="00E9555B" w:rsidP="003F2FE4">
            <w:pPr>
              <w:overflowPunct w:val="0"/>
              <w:autoSpaceDE w:val="0"/>
              <w:autoSpaceDN w:val="0"/>
              <w:adjustRightInd w:val="0"/>
              <w:textAlignment w:val="baseline"/>
              <w:rPr>
                <w:i/>
                <w:iCs/>
              </w:rPr>
            </w:pPr>
            <w:hyperlink r:id="rId41" w:history="1">
              <w:r>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34270B1C" w:rsidR="00BF0E17" w:rsidRPr="00BF0E17" w:rsidRDefault="00E9555B" w:rsidP="00BF0E17">
      <w:pPr>
        <w:widowControl w:val="0"/>
        <w:numPr>
          <w:ilvl w:val="0"/>
          <w:numId w:val="4"/>
        </w:numPr>
        <w:overflowPunct w:val="0"/>
        <w:autoSpaceDE w:val="0"/>
        <w:autoSpaceDN w:val="0"/>
        <w:adjustRightInd w:val="0"/>
        <w:ind w:hanging="567"/>
        <w:textAlignment w:val="baseline"/>
        <w:rPr>
          <w:b/>
        </w:rPr>
      </w:pPr>
      <w:hyperlink r:id="rId42" w:history="1">
        <w:r>
          <w:rPr>
            <w:b/>
            <w:i/>
            <w:color w:val="0000FF"/>
            <w:sz w:val="28"/>
            <w:u w:val="single"/>
          </w:rPr>
          <w:t>Stratégiai energiatárolás az európai energiaunió számára</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Előadó:</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(Munkavállalók/AT)</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Társelőadó:</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proofErr w:type="spellStart"/>
            <w:r>
              <w:t>Konstantinos</w:t>
            </w:r>
            <w:proofErr w:type="spellEnd"/>
            <w:r>
              <w:t xml:space="preserve"> MOUSOUROULIS (Munkáltatók/EL)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Hivatkozások:</w:t>
            </w:r>
          </w:p>
        </w:tc>
        <w:tc>
          <w:tcPr>
            <w:tcW w:w="7262" w:type="dxa"/>
          </w:tcPr>
          <w:p w14:paraId="0AF54B28" w14:textId="5F3C3C0B" w:rsidR="00BF0E17" w:rsidRPr="00BF0E17" w:rsidRDefault="00250C14" w:rsidP="00BF0E17">
            <w:pPr>
              <w:tabs>
                <w:tab w:val="center" w:pos="284"/>
              </w:tabs>
              <w:overflowPunct w:val="0"/>
              <w:autoSpaceDE w:val="0"/>
              <w:autoSpaceDN w:val="0"/>
              <w:adjustRightInd w:val="0"/>
              <w:ind w:left="266" w:hanging="266"/>
              <w:textAlignment w:val="baseline"/>
            </w:pPr>
            <w:r>
              <w:t>Saját kezdeményezésű vélemény</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Főbb pontok</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r>
        <w:t>Az EGSZB:</w:t>
      </w:r>
    </w:p>
    <w:p w14:paraId="57E4F355"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bCs/>
          <w:iCs/>
        </w:rPr>
      </w:pPr>
      <w:r>
        <w:t xml:space="preserve">az energiatárolást szükségesnek tartja annak biztosításához, hogy az energetikai átállás megvalósítható, megfizethető, társadalmilag méltányos és területileg kiegyensúlyozott legyen. Az EU azonban nem rendelkezik ehhez kapcsolódó átfogó stratégiával, </w:t>
      </w:r>
    </w:p>
    <w:p w14:paraId="0557D8DA"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bCs/>
          <w:iCs/>
        </w:rPr>
      </w:pPr>
      <w:r>
        <w:t xml:space="preserve">kéri az Európai Bizottságot, hogy terjesszen elő közös iránymutatásokat és stratégiákat a következőkre vonatkozóan: </w:t>
      </w:r>
    </w:p>
    <w:p w14:paraId="1626D5ED" w14:textId="24D84DA3" w:rsidR="00BF0E17" w:rsidRPr="00BF0E17" w:rsidRDefault="00BF0E17" w:rsidP="00856176">
      <w:pPr>
        <w:numPr>
          <w:ilvl w:val="0"/>
          <w:numId w:val="37"/>
        </w:numPr>
        <w:overflowPunct w:val="0"/>
        <w:autoSpaceDE w:val="0"/>
        <w:autoSpaceDN w:val="0"/>
        <w:adjustRightInd w:val="0"/>
        <w:ind w:left="567" w:hanging="283"/>
        <w:contextualSpacing/>
        <w:textAlignment w:val="baseline"/>
        <w:rPr>
          <w:bCs/>
          <w:iCs/>
        </w:rPr>
      </w:pPr>
      <w:r>
        <w:t>a tárolási terveknek a nemzeti energia- és klímatervekbe való integrálása, valamint az energiatárolás fejlesztésének biztosítása, a megújuló energiaforrások fejlesztésével arányosan,</w:t>
      </w:r>
    </w:p>
    <w:p w14:paraId="6AE99772" w14:textId="77777777" w:rsidR="00BF0E17" w:rsidRPr="00BF0E17" w:rsidRDefault="00BF0E17" w:rsidP="00856176">
      <w:pPr>
        <w:numPr>
          <w:ilvl w:val="0"/>
          <w:numId w:val="37"/>
        </w:numPr>
        <w:overflowPunct w:val="0"/>
        <w:autoSpaceDE w:val="0"/>
        <w:autoSpaceDN w:val="0"/>
        <w:adjustRightInd w:val="0"/>
        <w:ind w:left="567" w:hanging="283"/>
        <w:contextualSpacing/>
        <w:textAlignment w:val="baseline"/>
        <w:rPr>
          <w:bCs/>
          <w:iCs/>
        </w:rPr>
      </w:pPr>
      <w:r>
        <w:t xml:space="preserve">a kritikus fontosságú anyagok előállítása és behozatala új függőségek kialakítása nélkül, </w:t>
      </w:r>
    </w:p>
    <w:p w14:paraId="1E63F304" w14:textId="19271F50" w:rsidR="00BF0E17" w:rsidRPr="00BF0E17" w:rsidRDefault="00BF0E17" w:rsidP="00856176">
      <w:pPr>
        <w:numPr>
          <w:ilvl w:val="0"/>
          <w:numId w:val="37"/>
        </w:numPr>
        <w:overflowPunct w:val="0"/>
        <w:autoSpaceDE w:val="0"/>
        <w:autoSpaceDN w:val="0"/>
        <w:adjustRightInd w:val="0"/>
        <w:ind w:left="567" w:hanging="283"/>
        <w:contextualSpacing/>
        <w:textAlignment w:val="baseline"/>
        <w:rPr>
          <w:bCs/>
          <w:iCs/>
        </w:rPr>
      </w:pPr>
      <w:r>
        <w:t xml:space="preserve">az akkumulátoros tároló rendszer karbantartása, élettartamának meghosszabbítása, </w:t>
      </w:r>
      <w:proofErr w:type="spellStart"/>
      <w:r>
        <w:t>újrafelhasználása</w:t>
      </w:r>
      <w:proofErr w:type="spellEnd"/>
      <w:r>
        <w:t xml:space="preserve"> és újrafeldolgozása,</w:t>
      </w:r>
    </w:p>
    <w:p w14:paraId="7B6EAB01" w14:textId="77777777" w:rsidR="00BF0E17" w:rsidRPr="00BF0E17" w:rsidRDefault="00BF0E17" w:rsidP="00856176">
      <w:pPr>
        <w:numPr>
          <w:ilvl w:val="0"/>
          <w:numId w:val="37"/>
        </w:numPr>
        <w:overflowPunct w:val="0"/>
        <w:autoSpaceDE w:val="0"/>
        <w:autoSpaceDN w:val="0"/>
        <w:adjustRightInd w:val="0"/>
        <w:ind w:left="567" w:hanging="283"/>
        <w:contextualSpacing/>
        <w:textAlignment w:val="baseline"/>
        <w:rPr>
          <w:bCs/>
          <w:iCs/>
        </w:rPr>
      </w:pPr>
      <w:r>
        <w:t>az energiatárolásnak a decentralizált megoldásokra, az energiaközösségekre és a kiszolgáltatott fogyasztókra vonatkozó szakpolitikákba való integrálása,</w:t>
      </w:r>
    </w:p>
    <w:p w14:paraId="5FA33B4C" w14:textId="77777777" w:rsidR="00BF0E17" w:rsidRPr="00BF0E17" w:rsidRDefault="00BF0E17" w:rsidP="00856176">
      <w:pPr>
        <w:numPr>
          <w:ilvl w:val="0"/>
          <w:numId w:val="37"/>
        </w:numPr>
        <w:overflowPunct w:val="0"/>
        <w:autoSpaceDE w:val="0"/>
        <w:autoSpaceDN w:val="0"/>
        <w:adjustRightInd w:val="0"/>
        <w:ind w:left="567" w:hanging="283"/>
        <w:contextualSpacing/>
        <w:textAlignment w:val="baseline"/>
        <w:rPr>
          <w:bCs/>
          <w:iCs/>
        </w:rPr>
      </w:pPr>
      <w:r>
        <w:t xml:space="preserve">a tárolás összekapcsolása az energetikai infrastruktúra digitalizációjával és </w:t>
      </w:r>
      <w:proofErr w:type="spellStart"/>
      <w:r>
        <w:t>kiberbiztonságával</w:t>
      </w:r>
      <w:proofErr w:type="spellEnd"/>
      <w:r>
        <w:t xml:space="preserve">, amely tartalmazza a </w:t>
      </w:r>
      <w:proofErr w:type="spellStart"/>
      <w:r>
        <w:t>kibertámadásokkal</w:t>
      </w:r>
      <w:proofErr w:type="spellEnd"/>
      <w:r>
        <w:t xml:space="preserve"> és a hibrid fenyegetésekkel szembeni </w:t>
      </w:r>
      <w:proofErr w:type="spellStart"/>
      <w:r>
        <w:t>rezilienciát</w:t>
      </w:r>
      <w:proofErr w:type="spellEnd"/>
      <w:r>
        <w:t xml:space="preserve"> is, valamint új adatközpontok tervezése olyan kritériumok alapján, mint a hálózati kapacitás rendelkezésre állása, az energiahatékonyság, a rugalmasság, az ellátás biztonsága és a költségek méltányos elosztása,</w:t>
      </w:r>
    </w:p>
    <w:p w14:paraId="1426CF38"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bCs/>
          <w:iCs/>
        </w:rPr>
      </w:pPr>
      <w:r>
        <w:t>üdvözli, hogy az Európai Bizottság bejelentette, hogy az importált fosszilis tüzelőanyagoktól való függőség csökkentése érdekében ki lehet terjeszteni a védelmi kiadásokra vonatkozó jelenlegi nemzeti mentesítési rendelkezés hatályát, ezáltal hozzájárulva Európa biztonságához és védelméhez; és hogy ez megteremti annak lehetőségét, hogy ezt a további rugalmasságot a tárolási technológiába és a zöldenergia-infrastruktúrába való beruházásra használják fel,</w:t>
      </w:r>
    </w:p>
    <w:p w14:paraId="2FE84D71"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bCs/>
          <w:iCs/>
        </w:rPr>
      </w:pPr>
      <w:r>
        <w:t xml:space="preserve">úgy véli, hogy a piaci alapú beruházások önmagukban nem biztosítják a tárolás szükséges nagyságrendjét, időzítését és típusát. Ez pedig elengedhetetlenné teszi az állami stratégiai tervezést, a kiegészítő közfinanszírozást, az Európai Beruházási Bank által nyújtott támogatást, a szabályozott piacokat, az állami tulajdont, a szabályozott eszközmodelleket, az állami-közösségi partnerségeket, a szabályozási kereteket és a hosszú távú beruházási modelleket, </w:t>
      </w:r>
    </w:p>
    <w:p w14:paraId="7DEFC76E"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szCs w:val="20"/>
        </w:rPr>
      </w:pPr>
      <w:r>
        <w:t>hangsúlyozza, hogy az energiatárolási infrastruktúra az általános érdekű szolgáltatások részét képezi, és ennek megfelelően kell kezelni, többek között tervezési és finanszírozási eszközök, valamint adott esetben állami tulajdon vagy ellenőrzés révén,</w:t>
      </w:r>
    </w:p>
    <w:p w14:paraId="72C2CFED" w14:textId="77777777" w:rsidR="00BF0E17" w:rsidRPr="00BF0E17" w:rsidRDefault="00BF0E17" w:rsidP="00856176">
      <w:pPr>
        <w:numPr>
          <w:ilvl w:val="0"/>
          <w:numId w:val="38"/>
        </w:numPr>
        <w:overflowPunct w:val="0"/>
        <w:autoSpaceDE w:val="0"/>
        <w:autoSpaceDN w:val="0"/>
        <w:adjustRightInd w:val="0"/>
        <w:ind w:left="284" w:hanging="284"/>
        <w:contextualSpacing/>
        <w:textAlignment w:val="baseline"/>
        <w:rPr>
          <w:szCs w:val="20"/>
        </w:rPr>
      </w:pPr>
      <w:r>
        <w:t xml:space="preserve">kéri, hogy az uniós tárolási politikák támogassák a minőségi munkahelyek létrehozását, a továbbképzést, a műszaki oktatást és a szociális párbeszédet. Az EU-nak össze kell kapcsolnia a technológiai fejlődést a magas szintű munkaügyi és szociális normákkal.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BF0E17" w14:paraId="0F83A60E" w14:textId="77777777" w:rsidTr="003D7491">
        <w:tc>
          <w:tcPr>
            <w:tcW w:w="1791" w:type="dxa"/>
          </w:tcPr>
          <w:p w14:paraId="0E515423" w14:textId="77777777" w:rsidR="00BF0E17" w:rsidRPr="00BF0E17" w:rsidRDefault="00BF0E17" w:rsidP="00BF0E17">
            <w:pPr>
              <w:overflowPunct w:val="0"/>
              <w:autoSpaceDE w:val="0"/>
              <w:autoSpaceDN w:val="0"/>
              <w:adjustRightInd w:val="0"/>
              <w:textAlignment w:val="baseline"/>
              <w:rPr>
                <w:i/>
              </w:rPr>
            </w:pPr>
            <w:r>
              <w:rPr>
                <w:b/>
                <w:i/>
              </w:rPr>
              <w:lastRenderedPageBreak/>
              <w:t>Kapcsolattartó:</w:t>
            </w:r>
          </w:p>
        </w:tc>
        <w:tc>
          <w:tcPr>
            <w:tcW w:w="7282" w:type="dxa"/>
          </w:tcPr>
          <w:p w14:paraId="61157703" w14:textId="3C81BD0A" w:rsidR="00BF0E17" w:rsidRPr="00BF0E17" w:rsidRDefault="00BF0E17" w:rsidP="00BF0E17">
            <w:pPr>
              <w:overflowPunct w:val="0"/>
              <w:autoSpaceDE w:val="0"/>
              <w:autoSpaceDN w:val="0"/>
              <w:adjustRightInd w:val="0"/>
              <w:textAlignment w:val="baseline"/>
              <w:rPr>
                <w:i/>
              </w:rPr>
            </w:pPr>
            <w:proofErr w:type="spellStart"/>
            <w:r>
              <w:rPr>
                <w:i/>
              </w:rPr>
              <w:t>Giorgia</w:t>
            </w:r>
            <w:proofErr w:type="spellEnd"/>
            <w:r>
              <w:rPr>
                <w:i/>
              </w:rPr>
              <w:t xml:space="preserve"> Andrea </w:t>
            </w:r>
            <w:proofErr w:type="spellStart"/>
            <w:r>
              <w:rPr>
                <w:i/>
              </w:rPr>
              <w:t>Bordignon</w:t>
            </w:r>
            <w:proofErr w:type="spellEnd"/>
          </w:p>
        </w:tc>
      </w:tr>
      <w:tr w:rsidR="00BF0E17" w:rsidRPr="00BF0E17" w14:paraId="44F0C4C3" w14:textId="77777777" w:rsidTr="003D7491">
        <w:tc>
          <w:tcPr>
            <w:tcW w:w="1791" w:type="dxa"/>
          </w:tcPr>
          <w:p w14:paraId="48861325" w14:textId="77777777" w:rsidR="00BF0E17" w:rsidRPr="00BF0E17" w:rsidRDefault="00BF0E17" w:rsidP="00BF0E17">
            <w:pPr>
              <w:overflowPunct w:val="0"/>
              <w:autoSpaceDE w:val="0"/>
              <w:autoSpaceDN w:val="0"/>
              <w:adjustRightInd w:val="0"/>
              <w:textAlignment w:val="baseline"/>
              <w:rPr>
                <w:i/>
              </w:rPr>
            </w:pPr>
            <w:r>
              <w:rPr>
                <w:i/>
              </w:rPr>
              <w:t>Tel.:</w:t>
            </w:r>
          </w:p>
        </w:tc>
        <w:tc>
          <w:tcPr>
            <w:tcW w:w="7282" w:type="dxa"/>
          </w:tcPr>
          <w:p w14:paraId="5A9944C9" w14:textId="77777777" w:rsidR="00BF0E17" w:rsidRPr="00BF0E17" w:rsidRDefault="00BF0E17" w:rsidP="00BF0E17">
            <w:pPr>
              <w:overflowPunct w:val="0"/>
              <w:autoSpaceDE w:val="0"/>
              <w:autoSpaceDN w:val="0"/>
              <w:adjustRightInd w:val="0"/>
              <w:textAlignment w:val="baseline"/>
              <w:rPr>
                <w:i/>
              </w:rPr>
            </w:pPr>
            <w:r>
              <w:rPr>
                <w:i/>
              </w:rPr>
              <w:t>+32 25468535</w:t>
            </w:r>
          </w:p>
        </w:tc>
      </w:tr>
      <w:tr w:rsidR="00BF0E17" w:rsidRPr="00BF0E17" w14:paraId="1B586C95" w14:textId="77777777" w:rsidTr="003D7491">
        <w:tc>
          <w:tcPr>
            <w:tcW w:w="1791" w:type="dxa"/>
          </w:tcPr>
          <w:p w14:paraId="63B93C56" w14:textId="77777777" w:rsidR="00BF0E17" w:rsidRPr="00BF0E17" w:rsidRDefault="00BF0E17" w:rsidP="00BF0E17">
            <w:pPr>
              <w:overflowPunct w:val="0"/>
              <w:autoSpaceDE w:val="0"/>
              <w:autoSpaceDN w:val="0"/>
              <w:adjustRightInd w:val="0"/>
              <w:textAlignment w:val="baseline"/>
              <w:rPr>
                <w:i/>
              </w:rPr>
            </w:pPr>
            <w:r>
              <w:rPr>
                <w:i/>
              </w:rPr>
              <w:t>E-mail:</w:t>
            </w:r>
          </w:p>
        </w:tc>
        <w:tc>
          <w:tcPr>
            <w:tcW w:w="7282" w:type="dxa"/>
          </w:tcPr>
          <w:p w14:paraId="544CA4BB" w14:textId="703541A2" w:rsidR="00BF0E17" w:rsidRPr="00BF0E17" w:rsidRDefault="00E9555B" w:rsidP="00BF0E17">
            <w:pPr>
              <w:overflowPunct w:val="0"/>
              <w:autoSpaceDE w:val="0"/>
              <w:autoSpaceDN w:val="0"/>
              <w:adjustRightInd w:val="0"/>
              <w:textAlignment w:val="baseline"/>
              <w:rPr>
                <w:i/>
                <w:iCs/>
              </w:rPr>
            </w:pPr>
            <w:hyperlink r:id="rId43" w:history="1">
              <w:r>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2" w14:textId="622F6BA5" w:rsidR="004D7AC0" w:rsidRDefault="004D7AC0" w:rsidP="001766B2">
      <w:pPr>
        <w:jc w:val="left"/>
      </w:pPr>
    </w:p>
    <w:p w14:paraId="4982DDF3" w14:textId="77777777" w:rsidR="004D7AC0" w:rsidRDefault="004D7AC0" w:rsidP="001766B2">
      <w:pPr>
        <w:pStyle w:val="Heading1"/>
        <w:rPr>
          <w:b/>
        </w:rPr>
      </w:pPr>
      <w:bookmarkStart w:id="16" w:name="_Toc75527083"/>
      <w:bookmarkStart w:id="17" w:name="_Toc238802273"/>
      <w:r>
        <w:rPr>
          <w:b/>
        </w:rPr>
        <w:t>EGYSÉGES PIAC, TERMELÉS ÉS FOGYASZTÁS</w:t>
      </w:r>
      <w:bookmarkEnd w:id="16"/>
      <w:bookmarkEnd w:id="17"/>
    </w:p>
    <w:p w14:paraId="4982DDF4" w14:textId="77777777" w:rsidR="004D7AC0" w:rsidRDefault="004D7AC0" w:rsidP="001766B2"/>
    <w:p w14:paraId="08F1C502" w14:textId="68CE6BF8" w:rsidR="00DB48A1" w:rsidRPr="00DB48A1" w:rsidRDefault="00E9555B"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Pr>
            <w:b/>
            <w:i/>
            <w:color w:val="0000FF"/>
            <w:sz w:val="28"/>
            <w:u w:val="single"/>
          </w:rPr>
          <w:t>Az ipar felgyorsításáról szóló jogszabály</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Előadó:</w:t>
            </w:r>
          </w:p>
        </w:tc>
        <w:tc>
          <w:tcPr>
            <w:tcW w:w="3923" w:type="pct"/>
          </w:tcPr>
          <w:p w14:paraId="09BB8430" w14:textId="7C5597DF" w:rsidR="00DB48A1" w:rsidRPr="00DB48A1" w:rsidRDefault="00DB48A1" w:rsidP="00DB48A1">
            <w:pPr>
              <w:tabs>
                <w:tab w:val="center" w:pos="284"/>
              </w:tabs>
              <w:overflowPunct w:val="0"/>
              <w:autoSpaceDE w:val="0"/>
              <w:autoSpaceDN w:val="0"/>
              <w:adjustRightInd w:val="0"/>
              <w:ind w:left="266" w:right="-3091" w:hanging="266"/>
              <w:textAlignment w:val="baseline"/>
            </w:pPr>
            <w:proofErr w:type="spellStart"/>
            <w:r>
              <w:t>Konstantinos</w:t>
            </w:r>
            <w:proofErr w:type="spellEnd"/>
            <w:r>
              <w:t xml:space="preserve"> DIAMANTOUROS (Munkáltatók/EL)</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6041BFA6" w14:textId="7AB053D9" w:rsidR="00DB48A1" w:rsidRPr="00DB48A1" w:rsidRDefault="00DB48A1" w:rsidP="00DB48A1">
            <w:pPr>
              <w:tabs>
                <w:tab w:val="center" w:pos="284"/>
              </w:tabs>
              <w:overflowPunct w:val="0"/>
              <w:autoSpaceDE w:val="0"/>
              <w:autoSpaceDN w:val="0"/>
              <w:adjustRightInd w:val="0"/>
              <w:ind w:left="266" w:right="-3091" w:hanging="266"/>
              <w:textAlignment w:val="baseline"/>
            </w:pPr>
            <w:r>
              <w:t xml:space="preserve">COM(2026) 100 </w:t>
            </w:r>
            <w:proofErr w:type="spellStart"/>
            <w:r>
              <w:t>final</w:t>
            </w:r>
            <w:proofErr w:type="spellEnd"/>
          </w:p>
          <w:p w14:paraId="55623C17" w14:textId="598DA630"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Főbb pontok</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Az EGSZB:</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856176">
      <w:pPr>
        <w:widowControl w:val="0"/>
        <w:numPr>
          <w:ilvl w:val="0"/>
          <w:numId w:val="40"/>
        </w:numPr>
        <w:overflowPunct w:val="0"/>
        <w:autoSpaceDE w:val="0"/>
        <w:autoSpaceDN w:val="0"/>
        <w:adjustRightInd w:val="0"/>
        <w:ind w:left="284" w:hanging="284"/>
        <w:textAlignment w:val="baseline"/>
        <w:rPr>
          <w:bCs/>
          <w:iCs/>
        </w:rPr>
      </w:pPr>
      <w:r>
        <w:t xml:space="preserve">üdvözli az ipar felgyorsításáról szóló jogszabályt, amely időszerű válasz a csökkenő ipari versenyképességre, a külső gazdasági nyomásra és Európa stratégiai ipari bázisának szükséges </w:t>
      </w:r>
      <w:proofErr w:type="spellStart"/>
      <w:r>
        <w:t>megerősítére</w:t>
      </w:r>
      <w:proofErr w:type="spellEnd"/>
      <w:r>
        <w:t xml:space="preserve">, </w:t>
      </w:r>
    </w:p>
    <w:p w14:paraId="5417CB03" w14:textId="77777777" w:rsidR="00DB48A1" w:rsidRPr="00DB48A1" w:rsidRDefault="00DB48A1" w:rsidP="00856176">
      <w:pPr>
        <w:widowControl w:val="0"/>
        <w:numPr>
          <w:ilvl w:val="0"/>
          <w:numId w:val="40"/>
        </w:numPr>
        <w:overflowPunct w:val="0"/>
        <w:autoSpaceDE w:val="0"/>
        <w:autoSpaceDN w:val="0"/>
        <w:adjustRightInd w:val="0"/>
        <w:ind w:left="284" w:hanging="284"/>
        <w:textAlignment w:val="baseline"/>
        <w:rPr>
          <w:bCs/>
          <w:iCs/>
        </w:rPr>
      </w:pPr>
      <w:r>
        <w:t>támogatja azt a célkitűzést, hogy 2035-re az EU GDP-</w:t>
      </w:r>
      <w:proofErr w:type="spellStart"/>
      <w:r>
        <w:t>jének</w:t>
      </w:r>
      <w:proofErr w:type="spellEnd"/>
      <w:r>
        <w:t xml:space="preserve"> 20%-ára növeljék a gyártást, ugyanakkor </w:t>
      </w:r>
      <w:r>
        <w:rPr>
          <w:b/>
          <w:bCs/>
        </w:rPr>
        <w:t xml:space="preserve">kiegészítő mutatókat szorgalmaz a </w:t>
      </w:r>
      <w:proofErr w:type="spellStart"/>
      <w:r>
        <w:rPr>
          <w:b/>
          <w:bCs/>
        </w:rPr>
        <w:t>dekarbonizációra</w:t>
      </w:r>
      <w:proofErr w:type="spellEnd"/>
      <w:r>
        <w:rPr>
          <w:b/>
          <w:bCs/>
        </w:rPr>
        <w:t>, a villamosításra, az erőforrás-hatékonyságra, a minőségi munkahelyekre és a stratégiai autonómiára vonatkozóan</w:t>
      </w:r>
      <w:r>
        <w:t xml:space="preserve">, </w:t>
      </w:r>
    </w:p>
    <w:p w14:paraId="2FD41BBD" w14:textId="77777777" w:rsidR="00DB48A1" w:rsidRPr="00DB48A1" w:rsidRDefault="00DB48A1" w:rsidP="00856176">
      <w:pPr>
        <w:widowControl w:val="0"/>
        <w:numPr>
          <w:ilvl w:val="0"/>
          <w:numId w:val="40"/>
        </w:numPr>
        <w:overflowPunct w:val="0"/>
        <w:autoSpaceDE w:val="0"/>
        <w:autoSpaceDN w:val="0"/>
        <w:adjustRightInd w:val="0"/>
        <w:ind w:left="284" w:hanging="284"/>
        <w:textAlignment w:val="baseline"/>
        <w:rPr>
          <w:bCs/>
          <w:iCs/>
        </w:rPr>
      </w:pPr>
      <w:r>
        <w:t xml:space="preserve">támogatja a </w:t>
      </w:r>
      <w:r>
        <w:rPr>
          <w:b/>
          <w:bCs/>
        </w:rPr>
        <w:t>gyorsabb és hatékonyabb engedélyezést</w:t>
      </w:r>
      <w:r>
        <w:t xml:space="preserve">, beleértve a digitális eljárásokat és az ipar felgyorsítására szolgáló területeket is, feltéve, hogy teljes mértékben tiszteletben tartják a környezetvédelmi biztosítékokat, a nyilvánosság részvételét, az igazságszolgáltatáshoz való hozzáférést és a regionális egyensúlyt, </w:t>
      </w:r>
    </w:p>
    <w:p w14:paraId="7738FFD8" w14:textId="77777777" w:rsidR="00DB48A1" w:rsidRPr="00DB48A1" w:rsidRDefault="00DB48A1" w:rsidP="00856176">
      <w:pPr>
        <w:widowControl w:val="0"/>
        <w:numPr>
          <w:ilvl w:val="0"/>
          <w:numId w:val="40"/>
        </w:numPr>
        <w:overflowPunct w:val="0"/>
        <w:autoSpaceDE w:val="0"/>
        <w:autoSpaceDN w:val="0"/>
        <w:adjustRightInd w:val="0"/>
        <w:ind w:left="284" w:hanging="284"/>
        <w:textAlignment w:val="baseline"/>
        <w:rPr>
          <w:bCs/>
          <w:iCs/>
        </w:rPr>
      </w:pPr>
      <w:r>
        <w:t xml:space="preserve">támogatja az </w:t>
      </w:r>
      <w:r>
        <w:rPr>
          <w:b/>
          <w:bCs/>
        </w:rPr>
        <w:t>alacsony szén-dioxid-kibocsátásra és az „Európai Unióban gyártott” termékekre vonatkozó követelmények</w:t>
      </w:r>
      <w:r>
        <w:t xml:space="preserve"> bevezetését, ugyanakkor </w:t>
      </w:r>
      <w:r>
        <w:rPr>
          <w:b/>
          <w:bCs/>
        </w:rPr>
        <w:t>erősebb</w:t>
      </w:r>
      <w:r>
        <w:t xml:space="preserve"> </w:t>
      </w:r>
      <w:r>
        <w:rPr>
          <w:b/>
          <w:bCs/>
        </w:rPr>
        <w:t>biztosítékokat</w:t>
      </w:r>
      <w:r>
        <w:t xml:space="preserve"> szorgalmaz a </w:t>
      </w:r>
      <w:r>
        <w:rPr>
          <w:b/>
          <w:bCs/>
        </w:rPr>
        <w:t>kölcsönösség</w:t>
      </w:r>
      <w:r>
        <w:t xml:space="preserve">, az európai értékláncok hatékony védelme, valamint a </w:t>
      </w:r>
      <w:r>
        <w:rPr>
          <w:b/>
          <w:bCs/>
        </w:rPr>
        <w:t>cement</w:t>
      </w:r>
      <w:r>
        <w:t xml:space="preserve"> és az </w:t>
      </w:r>
      <w:r>
        <w:rPr>
          <w:b/>
          <w:bCs/>
        </w:rPr>
        <w:t>alumínium</w:t>
      </w:r>
      <w:r>
        <w:t xml:space="preserve"> mellett az </w:t>
      </w:r>
      <w:r>
        <w:rPr>
          <w:b/>
          <w:bCs/>
        </w:rPr>
        <w:t>acél</w:t>
      </w:r>
      <w:r>
        <w:t xml:space="preserve"> bevonása tekintetében, </w:t>
      </w:r>
    </w:p>
    <w:p w14:paraId="60BBE7AB" w14:textId="77777777" w:rsidR="00DB48A1" w:rsidRPr="00DB48A1" w:rsidRDefault="00DB48A1" w:rsidP="00856176">
      <w:pPr>
        <w:widowControl w:val="0"/>
        <w:numPr>
          <w:ilvl w:val="0"/>
          <w:numId w:val="40"/>
        </w:numPr>
        <w:overflowPunct w:val="0"/>
        <w:autoSpaceDE w:val="0"/>
        <w:autoSpaceDN w:val="0"/>
        <w:adjustRightInd w:val="0"/>
        <w:ind w:left="284" w:hanging="284"/>
        <w:textAlignment w:val="baseline"/>
        <w:rPr>
          <w:bCs/>
          <w:iCs/>
        </w:rPr>
      </w:pPr>
      <w:r>
        <w:t>hangsúlyozza, hogy az ipari átalakulást megfelelő infrastruktúrának, képzett</w:t>
      </w:r>
      <w:r>
        <w:rPr>
          <w:b/>
          <w:bCs/>
        </w:rPr>
        <w:t xml:space="preserve"> munkaerőnek, az igazságos átmenetre vonatkozó intézkedéseknek, átképzésnek és továbbképzésnek</w:t>
      </w:r>
      <w:r>
        <w:t xml:space="preserve">, valamint az állami támogatáshoz kapcsolódó </w:t>
      </w:r>
      <w:r>
        <w:rPr>
          <w:b/>
          <w:bCs/>
        </w:rPr>
        <w:t>szociális</w:t>
      </w:r>
      <w:r>
        <w:t xml:space="preserve"> </w:t>
      </w:r>
      <w:r>
        <w:rPr>
          <w:b/>
          <w:bCs/>
        </w:rPr>
        <w:t>feltételrendszernek</w:t>
      </w:r>
      <w:r>
        <w:t xml:space="preserve"> kell kísérnie.</w:t>
      </w:r>
    </w:p>
    <w:p w14:paraId="23B38209"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Kapcsolattartó:</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proofErr w:type="spellStart"/>
            <w:r>
              <w:rPr>
                <w:i/>
              </w:rPr>
              <w:t>Silvia</w:t>
            </w:r>
            <w:proofErr w:type="spellEnd"/>
            <w:r>
              <w:rPr>
                <w:i/>
              </w:rPr>
              <w:t xml:space="preserve"> </w:t>
            </w:r>
            <w:proofErr w:type="spellStart"/>
            <w:r>
              <w:rPr>
                <w:i/>
              </w:rPr>
              <w:t>Staffa</w:t>
            </w:r>
            <w:proofErr w:type="spellEnd"/>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Tel.:</w:t>
            </w:r>
          </w:p>
        </w:tc>
        <w:tc>
          <w:tcPr>
            <w:tcW w:w="3923" w:type="pct"/>
          </w:tcPr>
          <w:p w14:paraId="71A3E011" w14:textId="2A2D711B" w:rsidR="00DB48A1" w:rsidRPr="00DB48A1" w:rsidRDefault="00DB48A1" w:rsidP="00DB48A1">
            <w:pPr>
              <w:overflowPunct w:val="0"/>
              <w:autoSpaceDE w:val="0"/>
              <w:autoSpaceDN w:val="0"/>
              <w:adjustRightInd w:val="0"/>
              <w:textAlignment w:val="baseline"/>
              <w:rPr>
                <w:i/>
              </w:rPr>
            </w:pPr>
            <w:r>
              <w:rPr>
                <w:i/>
              </w:rPr>
              <w:t>+32 25468378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E-mail:</w:t>
            </w:r>
          </w:p>
        </w:tc>
        <w:tc>
          <w:tcPr>
            <w:tcW w:w="3923" w:type="pct"/>
          </w:tcPr>
          <w:p w14:paraId="320D2446" w14:textId="6E06CF2C" w:rsidR="00DB48A1" w:rsidRPr="00DB48A1" w:rsidRDefault="00E9555B" w:rsidP="00DB48A1">
            <w:pPr>
              <w:overflowPunct w:val="0"/>
              <w:autoSpaceDE w:val="0"/>
              <w:autoSpaceDN w:val="0"/>
              <w:adjustRightInd w:val="0"/>
              <w:textAlignment w:val="baseline"/>
              <w:rPr>
                <w:i/>
              </w:rPr>
            </w:pPr>
            <w:hyperlink r:id="rId45" w:history="1">
              <w:r>
                <w:rPr>
                  <w:i/>
                  <w:color w:val="0000FF"/>
                  <w:u w:val="single"/>
                </w:rPr>
                <w:t>Silvia.Staffa@eesc.europa.eu</w:t>
              </w:r>
            </w:hyperlink>
            <w:r>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347DA727" w:rsidR="00F10883" w:rsidRPr="00F10883" w:rsidRDefault="00F10883" w:rsidP="00F10883">
      <w:pPr>
        <w:widowControl w:val="0"/>
        <w:numPr>
          <w:ilvl w:val="0"/>
          <w:numId w:val="4"/>
        </w:numPr>
        <w:overflowPunct w:val="0"/>
        <w:autoSpaceDE w:val="0"/>
        <w:autoSpaceDN w:val="0"/>
        <w:adjustRightInd w:val="0"/>
        <w:ind w:hanging="567"/>
        <w:textAlignment w:val="baseline"/>
        <w:rPr>
          <w:b/>
        </w:rPr>
      </w:pPr>
      <w:hyperlink r:id="rId46" w:history="1">
        <w:r>
          <w:rPr>
            <w:b/>
            <w:i/>
            <w:color w:val="0000FF"/>
            <w:sz w:val="28"/>
            <w:u w:val="single"/>
          </w:rPr>
          <w:t>EU Inc. – az innovatív vállalkozásokra vonatkozó, az egész EU-ban egységes, harmonizált szabályrendszer</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982"/>
      </w:tblGrid>
      <w:tr w:rsidR="00F10883" w:rsidRPr="00F10883"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Előadó:</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Társelőadó:</w:t>
            </w:r>
          </w:p>
        </w:tc>
        <w:tc>
          <w:tcPr>
            <w:tcW w:w="3893" w:type="pct"/>
          </w:tcPr>
          <w:p w14:paraId="52BE3814" w14:textId="19201278" w:rsidR="00F10883" w:rsidRPr="00F10883" w:rsidRDefault="00F10883" w:rsidP="00F10883">
            <w:pPr>
              <w:tabs>
                <w:tab w:val="center" w:pos="284"/>
              </w:tabs>
              <w:overflowPunct w:val="0"/>
              <w:autoSpaceDE w:val="0"/>
              <w:autoSpaceDN w:val="0"/>
              <w:adjustRightInd w:val="0"/>
              <w:ind w:left="266" w:hanging="266"/>
              <w:textAlignment w:val="baseline"/>
            </w:pPr>
            <w:r>
              <w:t xml:space="preserve">Maxi </w:t>
            </w:r>
            <w:proofErr w:type="spellStart"/>
            <w:r>
              <w:t>Katharina</w:t>
            </w:r>
            <w:proofErr w:type="spellEnd"/>
            <w:r>
              <w:t xml:space="preserve"> LEUCHTERS (Munkavállalók/DE)</w:t>
            </w:r>
          </w:p>
          <w:p w14:paraId="334B0AFE" w14:textId="7E714A00" w:rsidR="00F10883" w:rsidRDefault="00F10883" w:rsidP="00F10883">
            <w:pPr>
              <w:tabs>
                <w:tab w:val="center" w:pos="284"/>
              </w:tabs>
              <w:overflowPunct w:val="0"/>
              <w:autoSpaceDE w:val="0"/>
              <w:autoSpaceDN w:val="0"/>
              <w:adjustRightInd w:val="0"/>
              <w:ind w:left="266" w:hanging="266"/>
              <w:textAlignment w:val="baseline"/>
            </w:pPr>
            <w:r>
              <w:t>Antonio GARCÍA DEL RIEGO (Munkáltatók/ES)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Hivatkozások:</w:t>
            </w:r>
          </w:p>
        </w:tc>
        <w:tc>
          <w:tcPr>
            <w:tcW w:w="3893" w:type="pct"/>
          </w:tcPr>
          <w:p w14:paraId="672746B6" w14:textId="5B30DBFB"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Főbb pontok</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Az EGSZB:</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856176">
      <w:pPr>
        <w:numPr>
          <w:ilvl w:val="0"/>
          <w:numId w:val="41"/>
        </w:numPr>
        <w:overflowPunct w:val="0"/>
        <w:autoSpaceDE w:val="0"/>
        <w:autoSpaceDN w:val="0"/>
        <w:adjustRightInd w:val="0"/>
        <w:ind w:left="284" w:hanging="284"/>
        <w:textAlignment w:val="baseline"/>
      </w:pPr>
      <w:r>
        <w:t xml:space="preserve">megjegyzi, hogy az EU Inc. javaslat célja, hogy </w:t>
      </w:r>
      <w:proofErr w:type="spellStart"/>
      <w:r>
        <w:t>integráltabb</w:t>
      </w:r>
      <w:proofErr w:type="spellEnd"/>
      <w:r>
        <w:t>, digitális és határokon átnyúló módon alkalmazott irányítási és finanszírozási eszközök alkalmazásával vonzóbbá tegye az EU-t vállalkozások elindításához, bővítéséhez és megtartásához,</w:t>
      </w:r>
    </w:p>
    <w:p w14:paraId="74D81577" w14:textId="77777777" w:rsidR="00F10883" w:rsidRPr="00F10883" w:rsidRDefault="00F10883" w:rsidP="00856176">
      <w:pPr>
        <w:numPr>
          <w:ilvl w:val="0"/>
          <w:numId w:val="41"/>
        </w:numPr>
        <w:overflowPunct w:val="0"/>
        <w:autoSpaceDE w:val="0"/>
        <w:autoSpaceDN w:val="0"/>
        <w:adjustRightInd w:val="0"/>
        <w:ind w:left="284" w:hanging="284"/>
        <w:textAlignment w:val="baseline"/>
      </w:pPr>
      <w:r>
        <w:t>kiemeli, hogy a hatékony és fenntartható vállalatirányítás a sikeres vállalatok kulcsfontosságú eleme, és bármely vállalati jogi struktúra részét kell, hogy képezze, ahogy az arányos biztosítékoknak is,</w:t>
      </w:r>
    </w:p>
    <w:p w14:paraId="20BC79A8" w14:textId="77777777" w:rsidR="00F10883" w:rsidRPr="00F10883" w:rsidRDefault="00F10883" w:rsidP="00856176">
      <w:pPr>
        <w:numPr>
          <w:ilvl w:val="0"/>
          <w:numId w:val="41"/>
        </w:numPr>
        <w:overflowPunct w:val="0"/>
        <w:autoSpaceDE w:val="0"/>
        <w:autoSpaceDN w:val="0"/>
        <w:adjustRightInd w:val="0"/>
        <w:ind w:left="284" w:hanging="284"/>
        <w:textAlignment w:val="baseline"/>
      </w:pPr>
      <w:r>
        <w:t>megjegyzi, hogy egy EU Inc. létesítő okirat szerinti székhelye és üzleti tevékenységének fő helye különböző tagállamokban is lehet, és rámutat arra, hogy az EU Inc. keretnek hatékony biztosítékokat kell nyújtania a csalással, a pénzmosással, a visszaélésszerű vállalati megállapodásokkal és a munkavállalók részvételi jogainak kijátszásával szemben,</w:t>
      </w:r>
    </w:p>
    <w:p w14:paraId="7993EC95" w14:textId="77777777" w:rsidR="00F10883" w:rsidRPr="00F10883" w:rsidRDefault="00F10883" w:rsidP="00856176">
      <w:pPr>
        <w:numPr>
          <w:ilvl w:val="0"/>
          <w:numId w:val="41"/>
        </w:numPr>
        <w:overflowPunct w:val="0"/>
        <w:autoSpaceDE w:val="0"/>
        <w:autoSpaceDN w:val="0"/>
        <w:adjustRightInd w:val="0"/>
        <w:ind w:left="284" w:hanging="284"/>
        <w:textAlignment w:val="baseline"/>
      </w:pPr>
      <w:r>
        <w:t>úgy véli, hogy az EU Inc.-</w:t>
      </w:r>
      <w:proofErr w:type="spellStart"/>
      <w:r>
        <w:t>nek</w:t>
      </w:r>
      <w:proofErr w:type="spellEnd"/>
      <w:r>
        <w:t xml:space="preserve"> az induló innovatív és a gyorsan növekvő innovatív vállalkozásoktól eltérő vállalkozástípusok számára is hozzáférhetőnek kellene lennie, amennyiben használata hozzájárul a határokon átnyúló tevékenységhez, az innovációhoz, a beruházásokhoz, a növekedéshez és a munkahelyteremtéshez,</w:t>
      </w:r>
    </w:p>
    <w:p w14:paraId="3AE80611" w14:textId="77777777" w:rsidR="00F10883" w:rsidRPr="00F10883" w:rsidRDefault="00F10883" w:rsidP="00856176">
      <w:pPr>
        <w:numPr>
          <w:ilvl w:val="0"/>
          <w:numId w:val="41"/>
        </w:numPr>
        <w:overflowPunct w:val="0"/>
        <w:autoSpaceDE w:val="0"/>
        <w:autoSpaceDN w:val="0"/>
        <w:adjustRightInd w:val="0"/>
        <w:ind w:left="284" w:hanging="284"/>
        <w:textAlignment w:val="baseline"/>
      </w:pPr>
      <w:r>
        <w:t xml:space="preserve">hangsúlyozza, hogy az alternatív tulajdonosi struktúrák – beleértve a felelős tulajdonosi modell szerint működő vállalkozást („steward </w:t>
      </w:r>
      <w:proofErr w:type="spellStart"/>
      <w:r>
        <w:t>ownership</w:t>
      </w:r>
      <w:proofErr w:type="spellEnd"/>
      <w:r>
        <w:t>”), a szövetkezeteket és az alapítványokat – az innováció és a hosszú távú orientáció potenciális forrásai lehetnek,</w:t>
      </w:r>
    </w:p>
    <w:p w14:paraId="723D906A" w14:textId="77777777" w:rsidR="00F10883" w:rsidRPr="00F10883" w:rsidRDefault="00F10883" w:rsidP="00856176">
      <w:pPr>
        <w:numPr>
          <w:ilvl w:val="0"/>
          <w:numId w:val="41"/>
        </w:numPr>
        <w:overflowPunct w:val="0"/>
        <w:autoSpaceDE w:val="0"/>
        <w:autoSpaceDN w:val="0"/>
        <w:adjustRightInd w:val="0"/>
        <w:ind w:left="284" w:hanging="284"/>
        <w:textAlignment w:val="baseline"/>
      </w:pPr>
      <w:r>
        <w:t>arra ösztönzi az Európai Bizottságot, hogy dolgozzon ki egy olyan harmonizált számviteli keretet az induló és a növekvő innovatív vállalkozásokra vonatkozóan, amely egységes uniós szintű szabályokat állapítana meg a pénzügyi beszámolás kapcsán,</w:t>
      </w:r>
    </w:p>
    <w:p w14:paraId="3EDA3555" w14:textId="77777777" w:rsidR="00F10883" w:rsidRPr="00F10883" w:rsidRDefault="00F10883" w:rsidP="00856176">
      <w:pPr>
        <w:widowControl w:val="0"/>
        <w:numPr>
          <w:ilvl w:val="0"/>
          <w:numId w:val="41"/>
        </w:numPr>
        <w:overflowPunct w:val="0"/>
        <w:autoSpaceDE w:val="0"/>
        <w:autoSpaceDN w:val="0"/>
        <w:adjustRightInd w:val="0"/>
        <w:ind w:left="284" w:hanging="284"/>
        <w:textAlignment w:val="baseline"/>
        <w:rPr>
          <w:rFonts w:ascii="Calibri" w:hAnsi="Calibri"/>
        </w:rPr>
      </w:pPr>
      <w:r>
        <w:t>hangsúlyozza, hogy a javaslat nem sértheti a szerződéses kötelezettségekre alkalmazandó jogról szóló Róma I. rendeletben foglalt elveket, különösen az egyéni munkavállalói jogokat.</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Kapcsolattartó:</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 xml:space="preserve">Marco </w:t>
            </w:r>
            <w:proofErr w:type="spellStart"/>
            <w:r>
              <w:rPr>
                <w:i/>
              </w:rPr>
              <w:t>Manfroni</w:t>
            </w:r>
            <w:proofErr w:type="spellEnd"/>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Tel.:</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+32 25469140</w:t>
            </w:r>
          </w:p>
        </w:tc>
      </w:tr>
      <w:tr w:rsidR="00F10883" w:rsidRPr="00F10883" w14:paraId="25FEC539" w14:textId="77777777" w:rsidTr="003D7491">
        <w:tc>
          <w:tcPr>
            <w:tcW w:w="1090" w:type="pct"/>
          </w:tcPr>
          <w:p w14:paraId="1470476B" w14:textId="0E2E36C8" w:rsidR="00F10883" w:rsidRPr="00F10883" w:rsidRDefault="006E2D6A" w:rsidP="00F10883">
            <w:pPr>
              <w:overflowPunct w:val="0"/>
              <w:autoSpaceDE w:val="0"/>
              <w:autoSpaceDN w:val="0"/>
              <w:adjustRightInd w:val="0"/>
              <w:textAlignment w:val="baseline"/>
              <w:rPr>
                <w:i/>
              </w:rPr>
            </w:pPr>
            <w:r>
              <w:rPr>
                <w:i/>
              </w:rPr>
              <w:t>E-mail:</w:t>
            </w:r>
          </w:p>
        </w:tc>
        <w:tc>
          <w:tcPr>
            <w:tcW w:w="3910" w:type="pct"/>
          </w:tcPr>
          <w:p w14:paraId="3270A1DF" w14:textId="4C3C7BA1" w:rsidR="00F10883" w:rsidRPr="00F10883" w:rsidRDefault="00E9555B" w:rsidP="00F10883">
            <w:pPr>
              <w:overflowPunct w:val="0"/>
              <w:autoSpaceDE w:val="0"/>
              <w:autoSpaceDN w:val="0"/>
              <w:adjustRightInd w:val="0"/>
              <w:textAlignment w:val="baseline"/>
              <w:rPr>
                <w:i/>
                <w:iCs/>
              </w:rPr>
            </w:pPr>
            <w:hyperlink r:id="rId47" w:history="1">
              <w:r>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18" w:name="_Toc70322234"/>
      <w:bookmarkStart w:id="19" w:name="_Toc75527084"/>
      <w:bookmarkStart w:id="20" w:name="_Toc238802274"/>
      <w:r>
        <w:rPr>
          <w:b/>
        </w:rPr>
        <w:lastRenderedPageBreak/>
        <w:t>MEZŐGAZDASÁG, VIDÉKFEJLESZTÉS ÉS KÖRNYEZETVÉDELEM</w:t>
      </w:r>
      <w:bookmarkEnd w:id="18"/>
      <w:bookmarkEnd w:id="19"/>
      <w:bookmarkEnd w:id="20"/>
    </w:p>
    <w:p w14:paraId="4982DE20" w14:textId="77777777" w:rsidR="004D7AC0" w:rsidRDefault="004D7AC0" w:rsidP="001766B2"/>
    <w:p w14:paraId="2962F1BD" w14:textId="3D291F17" w:rsidR="00706116" w:rsidRPr="00706116" w:rsidRDefault="00E9555B" w:rsidP="00706116">
      <w:pPr>
        <w:widowControl w:val="0"/>
        <w:numPr>
          <w:ilvl w:val="0"/>
          <w:numId w:val="4"/>
        </w:numPr>
        <w:overflowPunct w:val="0"/>
        <w:autoSpaceDE w:val="0"/>
        <w:autoSpaceDN w:val="0"/>
        <w:adjustRightInd w:val="0"/>
        <w:ind w:hanging="567"/>
        <w:textAlignment w:val="baseline"/>
        <w:rPr>
          <w:b/>
          <w:bCs/>
          <w:szCs w:val="20"/>
        </w:rPr>
      </w:pPr>
      <w:hyperlink r:id="rId48" w:history="1">
        <w:r>
          <w:rPr>
            <w:b/>
            <w:i/>
            <w:color w:val="0000FF"/>
            <w:sz w:val="28"/>
            <w:u w:val="single"/>
          </w:rPr>
          <w:t>Célzott módosítás – A műtrágyákra vonatkozó uniós cselekvési terv</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„C” kategóriás vélemény</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 xml:space="preserve">COM(2026) 282 </w:t>
            </w:r>
            <w:proofErr w:type="spellStart"/>
            <w:r>
              <w:t>final</w:t>
            </w:r>
            <w:proofErr w:type="spellEnd"/>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589FD344"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Főbb pontok</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6FEAC471" w:rsidR="00706116" w:rsidRPr="00706116" w:rsidRDefault="00706116" w:rsidP="00856176">
      <w:pPr>
        <w:overflowPunct w:val="0"/>
        <w:autoSpaceDE w:val="0"/>
        <w:autoSpaceDN w:val="0"/>
        <w:adjustRightInd w:val="0"/>
        <w:textAlignment w:val="baseline"/>
        <w:rPr>
          <w:szCs w:val="20"/>
        </w:rPr>
      </w:pPr>
      <w:r>
        <w:t xml:space="preserve">Az EGSZB a 2026. március 19-én elfogadott, </w:t>
      </w:r>
      <w:hyperlink r:id="rId49" w:history="1">
        <w:r>
          <w:rPr>
            <w:color w:val="0000FF"/>
            <w:u w:val="single"/>
          </w:rPr>
          <w:t>A CBAM felülvizsgálata</w:t>
        </w:r>
      </w:hyperlink>
      <w:r>
        <w:t xml:space="preserve"> című véleményében</w:t>
      </w:r>
      <w:r w:rsidRPr="00706116">
        <w:rPr>
          <w:sz w:val="24"/>
          <w:szCs w:val="20"/>
          <w:vertAlign w:val="superscript"/>
          <w:lang w:val="en-GB"/>
        </w:rPr>
        <w:footnoteReference w:id="1"/>
      </w:r>
      <w:r>
        <w:t xml:space="preserve"> és a 2023. március 22-én elfogadott,</w:t>
      </w:r>
      <w:hyperlink r:id="rId50" w:history="1">
        <w:r>
          <w:rPr>
            <w:color w:val="0000FF"/>
            <w:u w:val="single"/>
          </w:rPr>
          <w:t xml:space="preserve"> A műtrágyákra vonatkozó uniós stratégia</w:t>
        </w:r>
      </w:hyperlink>
      <w:r>
        <w:t xml:space="preserve"> című véleményében</w:t>
      </w:r>
      <w:r w:rsidRPr="00706116">
        <w:rPr>
          <w:sz w:val="24"/>
          <w:szCs w:val="20"/>
          <w:vertAlign w:val="superscript"/>
          <w:lang w:val="en-GB"/>
        </w:rPr>
        <w:footnoteReference w:id="2"/>
      </w:r>
      <w:r>
        <w:t xml:space="preserve"> már nyilatkozott a fenti javaslat tárgyában, úgy határozott, hogy nem </w:t>
      </w:r>
      <w:proofErr w:type="spellStart"/>
      <w:r>
        <w:t>dolgoz</w:t>
      </w:r>
      <w:proofErr w:type="spellEnd"/>
      <w:r>
        <w:t xml:space="preserve"> ki újabb véleményt a témában, hanem az említett dokumentumokban kifejtett álláspontjára hivatkozik.</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Kapcsolattartó:</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proofErr w:type="spellStart"/>
            <w:r>
              <w:rPr>
                <w:i/>
              </w:rPr>
              <w:t>Martine</w:t>
            </w:r>
            <w:proofErr w:type="spellEnd"/>
            <w:r>
              <w:rPr>
                <w:i/>
              </w:rPr>
              <w:t xml:space="preserve"> </w:t>
            </w:r>
            <w:proofErr w:type="spellStart"/>
            <w:r>
              <w:rPr>
                <w:i/>
              </w:rPr>
              <w:t>Delanoy</w:t>
            </w:r>
            <w:proofErr w:type="spellEnd"/>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Tel.:</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+32 25469802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E-mail:</w:t>
            </w:r>
          </w:p>
        </w:tc>
        <w:tc>
          <w:tcPr>
            <w:tcW w:w="3922" w:type="pct"/>
          </w:tcPr>
          <w:p w14:paraId="2522737B" w14:textId="5102EE31" w:rsidR="00706116" w:rsidRPr="00706116" w:rsidRDefault="00E9555B" w:rsidP="00706116">
            <w:pPr>
              <w:overflowPunct w:val="0"/>
              <w:autoSpaceDE w:val="0"/>
              <w:autoSpaceDN w:val="0"/>
              <w:adjustRightInd w:val="0"/>
              <w:textAlignment w:val="baseline"/>
              <w:rPr>
                <w:i/>
                <w:iCs/>
              </w:rPr>
            </w:pPr>
            <w:hyperlink r:id="rId51" w:history="1">
              <w:r>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096EA705" w14:textId="2E11C1DE" w:rsidR="00E101E2" w:rsidRPr="00E101E2" w:rsidRDefault="00E9555B" w:rsidP="00E101E2">
      <w:pPr>
        <w:widowControl w:val="0"/>
        <w:numPr>
          <w:ilvl w:val="0"/>
          <w:numId w:val="21"/>
        </w:numPr>
        <w:overflowPunct w:val="0"/>
        <w:autoSpaceDE w:val="0"/>
        <w:autoSpaceDN w:val="0"/>
        <w:adjustRightInd w:val="0"/>
        <w:ind w:hanging="567"/>
        <w:textAlignment w:val="baseline"/>
        <w:rPr>
          <w:b/>
          <w:bCs/>
          <w:i/>
          <w:iCs/>
          <w:sz w:val="28"/>
          <w:szCs w:val="28"/>
        </w:rPr>
      </w:pPr>
      <w:hyperlink r:id="rId52">
        <w:r>
          <w:rPr>
            <w:b/>
            <w:i/>
            <w:color w:val="0000FF"/>
            <w:sz w:val="28"/>
            <w:u w:val="single"/>
          </w:rPr>
          <w:t>Fenntartható állattenyésztési stratégi</w:t>
        </w:r>
        <w:r w:rsidR="00AB011B">
          <w:rPr>
            <w:b/>
            <w:i/>
            <w:color w:val="0000FF"/>
            <w:sz w:val="28"/>
            <w:u w:val="single"/>
          </w:rPr>
          <w:t xml:space="preserve">a </w:t>
        </w:r>
        <w:r w:rsidR="00090DE9">
          <w:rPr>
            <w:b/>
            <w:i/>
            <w:color w:val="0000FF"/>
            <w:sz w:val="28"/>
            <w:u w:val="single"/>
          </w:rPr>
          <w:t xml:space="preserve">- </w:t>
        </w:r>
        <w:r w:rsidR="00AB011B">
          <w:rPr>
            <w:b/>
            <w:i/>
            <w:color w:val="0000FF"/>
            <w:sz w:val="28"/>
            <w:u w:val="single"/>
          </w:rPr>
          <w:t>2026</w:t>
        </w:r>
      </w:hyperlink>
    </w:p>
    <w:p w14:paraId="750A1F6A" w14:textId="77777777" w:rsidR="00E101E2" w:rsidRDefault="00E101E2" w:rsidP="00E101E2">
      <w:pPr>
        <w:tabs>
          <w:tab w:val="center" w:pos="284"/>
        </w:tabs>
        <w:overflowPunct w:val="0"/>
        <w:autoSpaceDE w:val="0"/>
        <w:autoSpaceDN w:val="0"/>
        <w:adjustRightInd w:val="0"/>
        <w:ind w:left="266" w:hanging="266"/>
        <w:textAlignment w:val="baseline"/>
        <w:rPr>
          <w:b/>
          <w:lang w:val="en-GB"/>
        </w:rPr>
      </w:pPr>
    </w:p>
    <w:p w14:paraId="3F3C6A45" w14:textId="77777777" w:rsidR="00E529F6" w:rsidRPr="00E101E2" w:rsidRDefault="00E529F6" w:rsidP="00E101E2">
      <w:pPr>
        <w:tabs>
          <w:tab w:val="center" w:pos="284"/>
        </w:tabs>
        <w:overflowPunct w:val="0"/>
        <w:autoSpaceDE w:val="0"/>
        <w:autoSpaceDN w:val="0"/>
        <w:adjustRightInd w:val="0"/>
        <w:ind w:left="266" w:hanging="266"/>
        <w:textAlignment w:val="baseline"/>
        <w:rPr>
          <w:b/>
          <w:lang w:val="en-GB"/>
        </w:rPr>
      </w:pPr>
    </w:p>
    <w:tbl>
      <w:tblPr>
        <w:tblStyle w:val="TableGrid1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D38E3" w:rsidRPr="00ED38E3" w14:paraId="3456FDFA" w14:textId="77777777" w:rsidTr="003D7491">
        <w:tc>
          <w:tcPr>
            <w:tcW w:w="1077" w:type="pct"/>
          </w:tcPr>
          <w:p w14:paraId="206412FB" w14:textId="77777777" w:rsidR="00E101E2" w:rsidRPr="00ED38E3" w:rsidRDefault="00E101E2" w:rsidP="00E101E2">
            <w:pPr>
              <w:tabs>
                <w:tab w:val="center" w:pos="284"/>
              </w:tabs>
              <w:overflowPunct w:val="0"/>
              <w:autoSpaceDE w:val="0"/>
              <w:autoSpaceDN w:val="0"/>
              <w:adjustRightInd w:val="0"/>
              <w:ind w:left="266" w:hanging="266"/>
              <w:textAlignment w:val="baseline"/>
              <w:rPr>
                <w:b/>
              </w:rPr>
            </w:pPr>
            <w:r>
              <w:rPr>
                <w:b/>
              </w:rPr>
              <w:t>Előadó:</w:t>
            </w:r>
          </w:p>
        </w:tc>
        <w:tc>
          <w:tcPr>
            <w:tcW w:w="3923" w:type="pct"/>
          </w:tcPr>
          <w:p w14:paraId="3A38E932" w14:textId="77777777" w:rsidR="00E101E2" w:rsidRPr="00ED38E3" w:rsidRDefault="00E101E2" w:rsidP="00E101E2">
            <w:pPr>
              <w:tabs>
                <w:tab w:val="center" w:pos="284"/>
              </w:tabs>
              <w:overflowPunct w:val="0"/>
              <w:autoSpaceDE w:val="0"/>
              <w:autoSpaceDN w:val="0"/>
              <w:adjustRightInd w:val="0"/>
              <w:ind w:left="266" w:right="-3091" w:hanging="266"/>
              <w:textAlignment w:val="baseline"/>
            </w:pPr>
            <w:r>
              <w:t>Joe HEALY (Civil társadalmi szervezetek/IE)</w:t>
            </w:r>
          </w:p>
        </w:tc>
      </w:tr>
      <w:tr w:rsidR="00ED38E3" w:rsidRPr="00ED38E3" w14:paraId="103C0742" w14:textId="77777777" w:rsidTr="003D7491">
        <w:tc>
          <w:tcPr>
            <w:tcW w:w="1077" w:type="pct"/>
          </w:tcPr>
          <w:p w14:paraId="085A3F5C" w14:textId="77777777" w:rsidR="00E101E2" w:rsidRPr="00ED38E3" w:rsidRDefault="00E101E2" w:rsidP="00E101E2">
            <w:pPr>
              <w:tabs>
                <w:tab w:val="center" w:pos="284"/>
              </w:tabs>
              <w:overflowPunct w:val="0"/>
              <w:autoSpaceDE w:val="0"/>
              <w:autoSpaceDN w:val="0"/>
              <w:adjustRightInd w:val="0"/>
              <w:ind w:left="266" w:hanging="266"/>
              <w:textAlignment w:val="baseline"/>
              <w:rPr>
                <w:b/>
              </w:rPr>
            </w:pPr>
            <w:r>
              <w:rPr>
                <w:b/>
              </w:rPr>
              <w:t>Társelőadó:</w:t>
            </w:r>
          </w:p>
        </w:tc>
        <w:tc>
          <w:tcPr>
            <w:tcW w:w="3923" w:type="pct"/>
          </w:tcPr>
          <w:p w14:paraId="0B48E63E" w14:textId="50A76B14" w:rsidR="00E101E2" w:rsidRPr="00ED38E3" w:rsidRDefault="00E101E2" w:rsidP="00E101E2">
            <w:pPr>
              <w:tabs>
                <w:tab w:val="center" w:pos="284"/>
              </w:tabs>
              <w:overflowPunct w:val="0"/>
              <w:autoSpaceDE w:val="0"/>
              <w:autoSpaceDN w:val="0"/>
              <w:adjustRightInd w:val="0"/>
              <w:ind w:left="266" w:right="-3091" w:hanging="266"/>
              <w:textAlignment w:val="baseline"/>
            </w:pPr>
            <w:proofErr w:type="spellStart"/>
            <w:r>
              <w:t>Florian</w:t>
            </w:r>
            <w:proofErr w:type="spellEnd"/>
            <w:r>
              <w:t xml:space="preserve"> DALSTEIN (Munkavállalók/DE)</w:t>
            </w:r>
          </w:p>
          <w:p w14:paraId="093D503E" w14:textId="01E99C97" w:rsidR="002D2A28" w:rsidRPr="00ED38E3" w:rsidRDefault="002D2A28" w:rsidP="00E101E2">
            <w:pPr>
              <w:tabs>
                <w:tab w:val="center" w:pos="284"/>
              </w:tabs>
              <w:overflowPunct w:val="0"/>
              <w:autoSpaceDE w:val="0"/>
              <w:autoSpaceDN w:val="0"/>
              <w:adjustRightInd w:val="0"/>
              <w:ind w:left="266" w:right="-3091" w:hanging="266"/>
              <w:textAlignment w:val="baseline"/>
              <w:rPr>
                <w:lang w:val="en-GB"/>
              </w:rPr>
            </w:pPr>
          </w:p>
        </w:tc>
      </w:tr>
      <w:tr w:rsidR="00ED38E3" w:rsidRPr="00ED38E3" w14:paraId="73754F59" w14:textId="77777777" w:rsidTr="003D7491">
        <w:tc>
          <w:tcPr>
            <w:tcW w:w="1077" w:type="pct"/>
          </w:tcPr>
          <w:p w14:paraId="69EF334F" w14:textId="77777777" w:rsidR="00E101E2" w:rsidRPr="00ED38E3" w:rsidRDefault="00E101E2" w:rsidP="00E101E2">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60B980E1" w14:textId="25794C71" w:rsidR="002D2A28" w:rsidRPr="00ED38E3" w:rsidRDefault="00F50DAA" w:rsidP="00E101E2">
            <w:pPr>
              <w:tabs>
                <w:tab w:val="center" w:pos="284"/>
              </w:tabs>
              <w:overflowPunct w:val="0"/>
              <w:autoSpaceDE w:val="0"/>
              <w:autoSpaceDN w:val="0"/>
              <w:adjustRightInd w:val="0"/>
              <w:ind w:left="266" w:right="-3091" w:hanging="266"/>
              <w:textAlignment w:val="baseline"/>
            </w:pPr>
            <w:r>
              <w:t>Feltáró vélemény az EU Tanácsa ír elnökségének felkérésére</w:t>
            </w:r>
          </w:p>
          <w:p w14:paraId="189050B8" w14:textId="0ACC7537" w:rsidR="00E101E2" w:rsidRPr="00ED38E3" w:rsidRDefault="00E101E2" w:rsidP="00E101E2">
            <w:pPr>
              <w:tabs>
                <w:tab w:val="center" w:pos="284"/>
              </w:tabs>
              <w:overflowPunct w:val="0"/>
              <w:autoSpaceDE w:val="0"/>
              <w:autoSpaceDN w:val="0"/>
              <w:adjustRightInd w:val="0"/>
              <w:ind w:left="266" w:right="-3091" w:hanging="266"/>
              <w:textAlignment w:val="baseline"/>
            </w:pPr>
            <w:r>
              <w:t>EESC-2026-01422-00-00-AC</w:t>
            </w:r>
          </w:p>
        </w:tc>
      </w:tr>
    </w:tbl>
    <w:p w14:paraId="7672057C" w14:textId="77777777" w:rsidR="00E101E2" w:rsidRPr="00E101E2" w:rsidRDefault="00E101E2" w:rsidP="00E101E2">
      <w:pPr>
        <w:tabs>
          <w:tab w:val="center" w:pos="284"/>
        </w:tabs>
        <w:overflowPunct w:val="0"/>
        <w:autoSpaceDE w:val="0"/>
        <w:autoSpaceDN w:val="0"/>
        <w:adjustRightInd w:val="0"/>
        <w:ind w:left="266" w:hanging="266"/>
        <w:textAlignment w:val="baseline"/>
        <w:rPr>
          <w:b/>
          <w:lang w:val="en-GB"/>
        </w:rPr>
      </w:pPr>
    </w:p>
    <w:p w14:paraId="0F496581" w14:textId="77777777" w:rsidR="00E101E2" w:rsidRPr="00E101E2" w:rsidRDefault="00E101E2" w:rsidP="00E101E2">
      <w:pPr>
        <w:keepNext/>
        <w:keepLines/>
        <w:tabs>
          <w:tab w:val="center" w:pos="284"/>
        </w:tabs>
        <w:overflowPunct w:val="0"/>
        <w:autoSpaceDE w:val="0"/>
        <w:autoSpaceDN w:val="0"/>
        <w:adjustRightInd w:val="0"/>
        <w:ind w:left="266" w:hanging="266"/>
        <w:textAlignment w:val="baseline"/>
        <w:rPr>
          <w:b/>
        </w:rPr>
      </w:pPr>
      <w:r>
        <w:rPr>
          <w:b/>
        </w:rPr>
        <w:t>Főbb pontok</w:t>
      </w:r>
    </w:p>
    <w:p w14:paraId="0DC7B84B" w14:textId="77777777" w:rsidR="00E101E2" w:rsidRPr="00E101E2" w:rsidRDefault="00E101E2" w:rsidP="00E101E2">
      <w:pPr>
        <w:keepNext/>
        <w:keepLines/>
        <w:tabs>
          <w:tab w:val="center" w:pos="284"/>
        </w:tabs>
        <w:overflowPunct w:val="0"/>
        <w:autoSpaceDE w:val="0"/>
        <w:autoSpaceDN w:val="0"/>
        <w:adjustRightInd w:val="0"/>
        <w:ind w:left="266" w:hanging="266"/>
        <w:textAlignment w:val="baseline"/>
        <w:rPr>
          <w:b/>
          <w:lang w:val="en-GB"/>
        </w:rPr>
      </w:pPr>
    </w:p>
    <w:p w14:paraId="41F5D217" w14:textId="77777777" w:rsidR="00E101E2" w:rsidRDefault="00E101E2" w:rsidP="00E101E2">
      <w:pPr>
        <w:overflowPunct w:val="0"/>
        <w:autoSpaceDE w:val="0"/>
        <w:autoSpaceDN w:val="0"/>
        <w:adjustRightInd w:val="0"/>
        <w:textAlignment w:val="baseline"/>
        <w:rPr>
          <w:bCs/>
          <w:iCs/>
        </w:rPr>
      </w:pPr>
      <w:r>
        <w:t>Az EGSZB:</w:t>
      </w:r>
    </w:p>
    <w:p w14:paraId="0E8982B7"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felkéri az Európai Bizottságot, hogy fogadjon el egy olyan pozitív uniós állattenyésztési stratégiát, amely a fenntartható terjeszkedés, a növekedés és a termelési hatékonyság optimalizálásán, valamint az uniós családi gazdálkodási modell védelmén alapul, és amelyet a legmagasabb szintű termelési, környezetvédelmi, etikai és szociális normák támasztanak alá,</w:t>
      </w:r>
    </w:p>
    <w:p w14:paraId="4C686F76"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 xml:space="preserve">hangsúlyozza, hogy egy új uniós állattenyésztési stratégiának pozitív módon kell támogatnia a mezőgazdasági termelőket annak elismerésével, hogy a fenntartható állattenyésztés kulcsfontosságú eleme a társadalom előtt álló gazdasági, környezeti és társadalmi kihívások megoldásának, </w:t>
      </w:r>
    </w:p>
    <w:p w14:paraId="5D88D88F"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kéri, hogy a KAP költségvetését állítsák vissza az uniós GDP 0,5%-ára, ami kritikus kiindulópont az állattenyésztési ágazat fenntartható átállásának finanszírozásához,</w:t>
      </w:r>
    </w:p>
    <w:p w14:paraId="65E8C5DB"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a szigorúbb uniós normák védelme érdekében annak garantálását sürgeti, hogy a normák egyenértékűsége valamennyi jövőbeli uniós kereskedelmi megállapodás alku tárgyát nem képező eleme legyen,</w:t>
      </w:r>
    </w:p>
    <w:p w14:paraId="2DFB4F95"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hangsúlyozza, hogy támogatni kell a külterjes, regeneratív, agrárerdészeti és ökológiai alapú állattenyésztési rendszereket,</w:t>
      </w:r>
    </w:p>
    <w:p w14:paraId="1D28C59F"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hangsúlyozza, hogy az élelmezési és takarmányozási célú uniós növényifehérje-termelés támogatásának növelni kell, elismerve az állattenyésztési stratégia és a fehérjékre vonatkozóan készülő cselekvési terv közötti szoros kapcsolatot,</w:t>
      </w:r>
    </w:p>
    <w:p w14:paraId="40322AF8"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a fenntartható termelés legmagasabb szintű normáin alapuló állatifehérje-kiviteli stratégia elfogadását kéri, amely a globális ÜHG-kibocsátás csökkentésére, a piacra jutás és a harmadik országokba irányuló kivitel növelésére, valamint az egészségügyi és növényegészségügyi vonatkozású piacra jutási korlátozások csökkentésére összpontosít,</w:t>
      </w:r>
    </w:p>
    <w:p w14:paraId="5FA74D80"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elismeri, hogy az állatjólét a készülő állattenyésztési stratégia egyik alappillére, és az uniós állatjóléti jogszabályoknak a legújabb tudományos eredményekkel összhangban történő felülvizsgálatát szorgalmazza,</w:t>
      </w:r>
    </w:p>
    <w:p w14:paraId="3055066F"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az összes állati eredetű élelmiszeripari termék uniós / nem uniós eredete kötelező megjelölésének bevezetését sürgeti, valamint a származási ország feltüntetése lehetőségének és a gazdaság nyújtotta környezet (ketrec / zárt tér / szabad levegő) megjelölésére vonatkozó szakpolitikai lehetőségeknek a vizsgálata,</w:t>
      </w:r>
    </w:p>
    <w:p w14:paraId="48E4AF7C"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hangsúlyozza, hogy meg kell erősíteni a mezőgazdasági termelők pozícióját, és helyre kell állítani az erőegyensúlyt az élelmiszerláncban,</w:t>
      </w:r>
    </w:p>
    <w:p w14:paraId="082CF5C0" w14:textId="77777777" w:rsidR="00E101E2" w:rsidRPr="00E101E2" w:rsidRDefault="00E101E2" w:rsidP="00856176">
      <w:pPr>
        <w:widowControl w:val="0"/>
        <w:numPr>
          <w:ilvl w:val="0"/>
          <w:numId w:val="42"/>
        </w:numPr>
        <w:overflowPunct w:val="0"/>
        <w:autoSpaceDE w:val="0"/>
        <w:autoSpaceDN w:val="0"/>
        <w:adjustRightInd w:val="0"/>
        <w:ind w:left="284" w:hanging="284"/>
        <w:textAlignment w:val="baseline"/>
        <w:rPr>
          <w:szCs w:val="20"/>
        </w:rPr>
      </w:pPr>
      <w:r>
        <w:t xml:space="preserve">megismétli, hogy támogatja az „egy egészség” megközelítést, és hogy hatékonyabb uniós finanszírozásra van szükség az egészségügyi válságok kezeléséhez. </w:t>
      </w:r>
    </w:p>
    <w:p w14:paraId="3FDC8816" w14:textId="77777777" w:rsidR="00E101E2" w:rsidRPr="00E101E2" w:rsidRDefault="00E101E2" w:rsidP="00E101E2">
      <w:pPr>
        <w:widowControl w:val="0"/>
        <w:overflowPunct w:val="0"/>
        <w:autoSpaceDE w:val="0"/>
        <w:autoSpaceDN w:val="0"/>
        <w:adjustRightInd w:val="0"/>
        <w:textAlignment w:val="baseline"/>
        <w:rPr>
          <w:rFonts w:asciiTheme="minorHAnsi" w:hAnsiTheme="minorHAnsi"/>
          <w:szCs w:val="20"/>
          <w:lang w:val="en-GB"/>
        </w:rPr>
      </w:pPr>
    </w:p>
    <w:tbl>
      <w:tblPr>
        <w:tblStyle w:val="TableGrid1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101E2" w:rsidRPr="00E101E2" w14:paraId="16FD1151" w14:textId="77777777" w:rsidTr="003D7491">
        <w:tc>
          <w:tcPr>
            <w:tcW w:w="1077" w:type="pct"/>
          </w:tcPr>
          <w:p w14:paraId="4455DC30" w14:textId="77777777" w:rsidR="00E101E2" w:rsidRPr="00E101E2" w:rsidRDefault="00E101E2" w:rsidP="00E101E2">
            <w:pPr>
              <w:overflowPunct w:val="0"/>
              <w:autoSpaceDE w:val="0"/>
              <w:autoSpaceDN w:val="0"/>
              <w:adjustRightInd w:val="0"/>
              <w:textAlignment w:val="baseline"/>
              <w:rPr>
                <w:i/>
              </w:rPr>
            </w:pPr>
            <w:r>
              <w:rPr>
                <w:b/>
                <w:i/>
              </w:rPr>
              <w:lastRenderedPageBreak/>
              <w:t>Kapcsolattartó:</w:t>
            </w:r>
          </w:p>
        </w:tc>
        <w:tc>
          <w:tcPr>
            <w:tcW w:w="3923" w:type="pct"/>
          </w:tcPr>
          <w:p w14:paraId="2CECE43F" w14:textId="435D5EF4" w:rsidR="00E101E2" w:rsidRPr="00E101E2" w:rsidRDefault="00E101E2" w:rsidP="00E101E2">
            <w:pPr>
              <w:overflowPunct w:val="0"/>
              <w:autoSpaceDE w:val="0"/>
              <w:autoSpaceDN w:val="0"/>
              <w:adjustRightInd w:val="0"/>
              <w:textAlignment w:val="baseline"/>
            </w:pPr>
            <w:proofErr w:type="spellStart"/>
            <w:r>
              <w:rPr>
                <w:i/>
              </w:rPr>
              <w:t>Arturo</w:t>
            </w:r>
            <w:proofErr w:type="spellEnd"/>
            <w:r>
              <w:rPr>
                <w:i/>
              </w:rPr>
              <w:t xml:space="preserve"> </w:t>
            </w:r>
            <w:proofErr w:type="spellStart"/>
            <w:r>
              <w:rPr>
                <w:i/>
              </w:rPr>
              <w:t>Iniguez</w:t>
            </w:r>
            <w:proofErr w:type="spellEnd"/>
          </w:p>
        </w:tc>
      </w:tr>
      <w:tr w:rsidR="00E101E2" w:rsidRPr="00E101E2" w14:paraId="461210F0" w14:textId="77777777" w:rsidTr="003D7491">
        <w:tc>
          <w:tcPr>
            <w:tcW w:w="1077" w:type="pct"/>
          </w:tcPr>
          <w:p w14:paraId="058E0E65" w14:textId="77777777" w:rsidR="00E101E2" w:rsidRPr="00E101E2" w:rsidRDefault="00E101E2" w:rsidP="00E101E2">
            <w:pPr>
              <w:overflowPunct w:val="0"/>
              <w:autoSpaceDE w:val="0"/>
              <w:autoSpaceDN w:val="0"/>
              <w:adjustRightInd w:val="0"/>
              <w:textAlignment w:val="baseline"/>
              <w:rPr>
                <w:i/>
              </w:rPr>
            </w:pPr>
            <w:r>
              <w:rPr>
                <w:i/>
              </w:rPr>
              <w:t>Tel.:</w:t>
            </w:r>
          </w:p>
        </w:tc>
        <w:tc>
          <w:tcPr>
            <w:tcW w:w="3923" w:type="pct"/>
          </w:tcPr>
          <w:p w14:paraId="35CAF47C" w14:textId="77777777" w:rsidR="00E101E2" w:rsidRPr="00E101E2" w:rsidRDefault="00E101E2" w:rsidP="00E101E2">
            <w:pPr>
              <w:overflowPunct w:val="0"/>
              <w:autoSpaceDE w:val="0"/>
              <w:autoSpaceDN w:val="0"/>
              <w:adjustRightInd w:val="0"/>
              <w:textAlignment w:val="baseline"/>
            </w:pPr>
            <w:r>
              <w:rPr>
                <w:i/>
              </w:rPr>
              <w:t>+32 25468768</w:t>
            </w:r>
          </w:p>
        </w:tc>
      </w:tr>
      <w:tr w:rsidR="00E101E2" w:rsidRPr="00E101E2" w14:paraId="32A1CCC3" w14:textId="77777777" w:rsidTr="003D7491">
        <w:tc>
          <w:tcPr>
            <w:tcW w:w="1077" w:type="pct"/>
          </w:tcPr>
          <w:p w14:paraId="3E20A380" w14:textId="77777777" w:rsidR="00E101E2" w:rsidRPr="00E101E2" w:rsidRDefault="00E101E2" w:rsidP="00E101E2">
            <w:pPr>
              <w:overflowPunct w:val="0"/>
              <w:autoSpaceDE w:val="0"/>
              <w:autoSpaceDN w:val="0"/>
              <w:adjustRightInd w:val="0"/>
              <w:textAlignment w:val="baseline"/>
              <w:rPr>
                <w:i/>
              </w:rPr>
            </w:pPr>
            <w:r>
              <w:rPr>
                <w:i/>
              </w:rPr>
              <w:t>E-mail:</w:t>
            </w:r>
          </w:p>
        </w:tc>
        <w:tc>
          <w:tcPr>
            <w:tcW w:w="3923" w:type="pct"/>
          </w:tcPr>
          <w:p w14:paraId="052D36F3" w14:textId="7FBC8C3C" w:rsidR="00E101E2" w:rsidRPr="00E101E2" w:rsidRDefault="00E9555B" w:rsidP="00E101E2">
            <w:pPr>
              <w:overflowPunct w:val="0"/>
              <w:autoSpaceDE w:val="0"/>
              <w:autoSpaceDN w:val="0"/>
              <w:adjustRightInd w:val="0"/>
              <w:textAlignment w:val="baseline"/>
            </w:pPr>
            <w:hyperlink r:id="rId53" w:history="1">
              <w:r>
                <w:rPr>
                  <w:i/>
                  <w:color w:val="0000FF"/>
                  <w:u w:val="single"/>
                </w:rPr>
                <w:t>Arturo.Iniguez@eesc.europa.eu</w:t>
              </w:r>
            </w:hyperlink>
            <w:r>
              <w:rPr>
                <w:i/>
              </w:rPr>
              <w:t xml:space="preserve"> </w:t>
            </w:r>
          </w:p>
        </w:tc>
      </w:tr>
    </w:tbl>
    <w:p w14:paraId="0D8D1586" w14:textId="2C194A0E" w:rsidR="00E101E2" w:rsidRDefault="00E101E2" w:rsidP="001766B2">
      <w:pPr>
        <w:jc w:val="left"/>
      </w:pPr>
    </w:p>
    <w:p w14:paraId="613AC723" w14:textId="77777777" w:rsidR="00E101E2" w:rsidRDefault="00E101E2">
      <w:pPr>
        <w:spacing w:after="160" w:line="259" w:lineRule="auto"/>
        <w:jc w:val="left"/>
      </w:pPr>
      <w:r>
        <w:br w:type="page"/>
      </w:r>
    </w:p>
    <w:p w14:paraId="59D6E358" w14:textId="254424DB" w:rsidR="008913FF" w:rsidRPr="008913FF" w:rsidRDefault="00E9555B" w:rsidP="008913FF">
      <w:pPr>
        <w:widowControl w:val="0"/>
        <w:numPr>
          <w:ilvl w:val="0"/>
          <w:numId w:val="22"/>
        </w:numPr>
        <w:overflowPunct w:val="0"/>
        <w:autoSpaceDE w:val="0"/>
        <w:autoSpaceDN w:val="0"/>
        <w:adjustRightInd w:val="0"/>
        <w:ind w:left="567" w:hanging="567"/>
        <w:textAlignment w:val="baseline"/>
        <w:rPr>
          <w:sz w:val="20"/>
          <w:szCs w:val="20"/>
        </w:rPr>
      </w:pPr>
      <w:hyperlink r:id="rId54">
        <w:r>
          <w:rPr>
            <w:b/>
            <w:i/>
            <w:color w:val="0000FF"/>
            <w:sz w:val="28"/>
            <w:u w:val="single"/>
          </w:rPr>
          <w:t>Az integrált vegetációtűzkockázat-kezelés uniós megközelítése</w:t>
        </w:r>
      </w:hyperlink>
    </w:p>
    <w:p w14:paraId="23DC842E" w14:textId="77777777" w:rsidR="008913FF" w:rsidRPr="008913FF" w:rsidRDefault="008913FF" w:rsidP="003A1461">
      <w:pPr>
        <w:tabs>
          <w:tab w:val="center" w:pos="284"/>
        </w:tabs>
        <w:overflowPunct w:val="0"/>
        <w:autoSpaceDE w:val="0"/>
        <w:autoSpaceDN w:val="0"/>
        <w:adjustRightInd w:val="0"/>
        <w:spacing w:line="240" w:lineRule="auto"/>
        <w:ind w:left="266" w:hanging="266"/>
        <w:textAlignment w:val="baseline"/>
        <w:rPr>
          <w:b/>
          <w:sz w:val="18"/>
          <w:szCs w:val="18"/>
          <w:lang w:val="en-GB"/>
        </w:rPr>
      </w:pPr>
    </w:p>
    <w:tbl>
      <w:tblPr>
        <w:tblStyle w:val="TableGrid1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8913FF" w:rsidRPr="008913FF" w14:paraId="412490C5" w14:textId="77777777" w:rsidTr="003D7491">
        <w:tc>
          <w:tcPr>
            <w:tcW w:w="1077" w:type="pct"/>
          </w:tcPr>
          <w:p w14:paraId="5DC7B10D" w14:textId="77777777" w:rsidR="008913FF" w:rsidRPr="008913FF" w:rsidRDefault="008913FF" w:rsidP="008913FF">
            <w:pPr>
              <w:tabs>
                <w:tab w:val="center" w:pos="284"/>
              </w:tabs>
              <w:overflowPunct w:val="0"/>
              <w:autoSpaceDE w:val="0"/>
              <w:autoSpaceDN w:val="0"/>
              <w:adjustRightInd w:val="0"/>
              <w:ind w:left="266" w:hanging="266"/>
              <w:textAlignment w:val="baseline"/>
              <w:rPr>
                <w:b/>
              </w:rPr>
            </w:pPr>
            <w:r>
              <w:rPr>
                <w:b/>
              </w:rPr>
              <w:t>Előadó:</w:t>
            </w:r>
          </w:p>
        </w:tc>
        <w:tc>
          <w:tcPr>
            <w:tcW w:w="3923" w:type="pct"/>
          </w:tcPr>
          <w:p w14:paraId="000FFB4F" w14:textId="0F6EB379" w:rsidR="008913FF" w:rsidRDefault="008913FF" w:rsidP="008913FF">
            <w:pPr>
              <w:tabs>
                <w:tab w:val="center" w:pos="284"/>
              </w:tabs>
              <w:overflowPunct w:val="0"/>
              <w:autoSpaceDE w:val="0"/>
              <w:autoSpaceDN w:val="0"/>
              <w:adjustRightInd w:val="0"/>
              <w:ind w:left="266" w:right="-3091" w:hanging="266"/>
              <w:textAlignment w:val="baseline"/>
            </w:pPr>
            <w:r>
              <w:t>Luis MIRA (Munkáltatók/PT)</w:t>
            </w:r>
          </w:p>
          <w:p w14:paraId="50E01F7B" w14:textId="77777777" w:rsidR="0012504F" w:rsidRPr="008913FF" w:rsidRDefault="0012504F" w:rsidP="003A1461">
            <w:pPr>
              <w:tabs>
                <w:tab w:val="center" w:pos="284"/>
              </w:tabs>
              <w:overflowPunct w:val="0"/>
              <w:autoSpaceDE w:val="0"/>
              <w:autoSpaceDN w:val="0"/>
              <w:adjustRightInd w:val="0"/>
              <w:spacing w:line="240" w:lineRule="auto"/>
              <w:ind w:left="266" w:right="-3091" w:hanging="266"/>
              <w:textAlignment w:val="baseline"/>
            </w:pPr>
          </w:p>
        </w:tc>
      </w:tr>
      <w:tr w:rsidR="008913FF" w:rsidRPr="008913FF" w14:paraId="57349369" w14:textId="77777777" w:rsidTr="003D7491">
        <w:tc>
          <w:tcPr>
            <w:tcW w:w="1077" w:type="pct"/>
          </w:tcPr>
          <w:p w14:paraId="32D29C4D" w14:textId="245577D9" w:rsidR="008913FF" w:rsidRPr="008913FF" w:rsidRDefault="008913FF" w:rsidP="008913FF">
            <w:pPr>
              <w:tabs>
                <w:tab w:val="center" w:pos="284"/>
              </w:tabs>
              <w:overflowPunct w:val="0"/>
              <w:autoSpaceDE w:val="0"/>
              <w:autoSpaceDN w:val="0"/>
              <w:adjustRightInd w:val="0"/>
              <w:ind w:left="266" w:hanging="266"/>
              <w:textAlignment w:val="baseline"/>
              <w:rPr>
                <w:b/>
              </w:rPr>
            </w:pPr>
            <w:r>
              <w:rPr>
                <w:b/>
              </w:rPr>
              <w:t>Hivatkozások:</w:t>
            </w:r>
          </w:p>
        </w:tc>
        <w:tc>
          <w:tcPr>
            <w:tcW w:w="3923" w:type="pct"/>
          </w:tcPr>
          <w:p w14:paraId="62871C55" w14:textId="71A98B2C" w:rsidR="0012504F" w:rsidRDefault="006A4A3E" w:rsidP="008913FF">
            <w:pPr>
              <w:tabs>
                <w:tab w:val="center" w:pos="284"/>
              </w:tabs>
              <w:overflowPunct w:val="0"/>
              <w:autoSpaceDE w:val="0"/>
              <w:autoSpaceDN w:val="0"/>
              <w:adjustRightInd w:val="0"/>
              <w:ind w:left="266" w:right="-3091" w:hanging="266"/>
              <w:textAlignment w:val="baseline"/>
            </w:pPr>
            <w:r>
              <w:t xml:space="preserve">COM(2026) 330 </w:t>
            </w:r>
            <w:proofErr w:type="spellStart"/>
            <w:r>
              <w:t>final</w:t>
            </w:r>
            <w:proofErr w:type="spellEnd"/>
          </w:p>
          <w:p w14:paraId="54C2FB6E" w14:textId="5433CE88" w:rsidR="008913FF" w:rsidRPr="008913FF" w:rsidRDefault="008913FF" w:rsidP="008913FF">
            <w:pPr>
              <w:tabs>
                <w:tab w:val="center" w:pos="284"/>
              </w:tabs>
              <w:overflowPunct w:val="0"/>
              <w:autoSpaceDE w:val="0"/>
              <w:autoSpaceDN w:val="0"/>
              <w:adjustRightInd w:val="0"/>
              <w:ind w:left="266" w:right="-3091" w:hanging="266"/>
              <w:textAlignment w:val="baseline"/>
            </w:pPr>
            <w:r>
              <w:t>EESC-2026-01150-00-00-AC</w:t>
            </w:r>
          </w:p>
        </w:tc>
      </w:tr>
    </w:tbl>
    <w:p w14:paraId="170804EE" w14:textId="77777777" w:rsidR="008913FF" w:rsidRPr="008913FF" w:rsidRDefault="008913FF" w:rsidP="003A1461">
      <w:pPr>
        <w:tabs>
          <w:tab w:val="center" w:pos="284"/>
        </w:tabs>
        <w:overflowPunct w:val="0"/>
        <w:autoSpaceDE w:val="0"/>
        <w:autoSpaceDN w:val="0"/>
        <w:adjustRightInd w:val="0"/>
        <w:spacing w:line="240" w:lineRule="auto"/>
        <w:ind w:left="266" w:hanging="266"/>
        <w:textAlignment w:val="baseline"/>
        <w:rPr>
          <w:b/>
          <w:sz w:val="16"/>
          <w:szCs w:val="16"/>
          <w:lang w:val="en-GB"/>
        </w:rPr>
      </w:pPr>
    </w:p>
    <w:p w14:paraId="29B1D383" w14:textId="77777777" w:rsidR="008913FF" w:rsidRPr="008913FF" w:rsidRDefault="008913FF" w:rsidP="008913FF">
      <w:pPr>
        <w:keepNext/>
        <w:keepLines/>
        <w:tabs>
          <w:tab w:val="center" w:pos="284"/>
        </w:tabs>
        <w:overflowPunct w:val="0"/>
        <w:autoSpaceDE w:val="0"/>
        <w:autoSpaceDN w:val="0"/>
        <w:adjustRightInd w:val="0"/>
        <w:ind w:left="266" w:hanging="266"/>
        <w:textAlignment w:val="baseline"/>
        <w:rPr>
          <w:b/>
        </w:rPr>
      </w:pPr>
      <w:r>
        <w:rPr>
          <w:b/>
        </w:rPr>
        <w:t>Főbb pontok</w:t>
      </w:r>
    </w:p>
    <w:p w14:paraId="260C1325" w14:textId="77777777" w:rsidR="008913FF" w:rsidRPr="008913FF" w:rsidRDefault="008913FF" w:rsidP="003A1461">
      <w:pPr>
        <w:keepNext/>
        <w:keepLines/>
        <w:tabs>
          <w:tab w:val="center" w:pos="284"/>
        </w:tabs>
        <w:overflowPunct w:val="0"/>
        <w:autoSpaceDE w:val="0"/>
        <w:autoSpaceDN w:val="0"/>
        <w:adjustRightInd w:val="0"/>
        <w:spacing w:line="240" w:lineRule="auto"/>
        <w:ind w:left="266" w:hanging="266"/>
        <w:textAlignment w:val="baseline"/>
        <w:rPr>
          <w:b/>
          <w:sz w:val="16"/>
          <w:szCs w:val="16"/>
          <w:lang w:val="en-GB"/>
        </w:rPr>
      </w:pPr>
    </w:p>
    <w:p w14:paraId="38474204" w14:textId="77777777" w:rsidR="008913FF" w:rsidRDefault="008913FF" w:rsidP="008913FF">
      <w:pPr>
        <w:overflowPunct w:val="0"/>
        <w:autoSpaceDE w:val="0"/>
        <w:autoSpaceDN w:val="0"/>
        <w:adjustRightInd w:val="0"/>
        <w:textAlignment w:val="baseline"/>
        <w:rPr>
          <w:szCs w:val="20"/>
        </w:rPr>
      </w:pPr>
      <w:r>
        <w:t>Az EGSZB:</w:t>
      </w:r>
    </w:p>
    <w:p w14:paraId="2644D897" w14:textId="77777777" w:rsidR="006A4A3E" w:rsidRPr="003A1461" w:rsidRDefault="006A4A3E" w:rsidP="003A1461">
      <w:pPr>
        <w:overflowPunct w:val="0"/>
        <w:autoSpaceDE w:val="0"/>
        <w:autoSpaceDN w:val="0"/>
        <w:adjustRightInd w:val="0"/>
        <w:spacing w:line="240" w:lineRule="auto"/>
        <w:textAlignment w:val="baseline"/>
        <w:rPr>
          <w:bCs/>
          <w:iCs/>
          <w:sz w:val="16"/>
          <w:szCs w:val="16"/>
          <w:lang w:val="en-GB"/>
        </w:rPr>
      </w:pPr>
    </w:p>
    <w:p w14:paraId="20BC698C" w14:textId="77777777" w:rsidR="008913FF" w:rsidRPr="00B31BE5" w:rsidRDefault="008913FF" w:rsidP="00B31BE5">
      <w:pPr>
        <w:pStyle w:val="ListParagraph"/>
        <w:numPr>
          <w:ilvl w:val="0"/>
          <w:numId w:val="48"/>
        </w:numPr>
        <w:ind w:left="425" w:hanging="425"/>
        <w:rPr>
          <w:szCs w:val="20"/>
        </w:rPr>
      </w:pPr>
      <w:bookmarkStart w:id="21" w:name="_Toc235200296"/>
      <w:r>
        <w:t>üdvözli a vegetációtűz kockázatának integrált kezeléséről szóló európai bizottsági közleményt, amely elismeri, hogy ez a jelenség egyre súlyosabb és gyakoribb az Európai Unióban;</w:t>
      </w:r>
      <w:bookmarkEnd w:id="21"/>
    </w:p>
    <w:p w14:paraId="7729EE62" w14:textId="77777777" w:rsidR="008913FF" w:rsidRPr="00B31BE5" w:rsidRDefault="008913FF" w:rsidP="00B31BE5">
      <w:pPr>
        <w:pStyle w:val="ListParagraph"/>
        <w:numPr>
          <w:ilvl w:val="0"/>
          <w:numId w:val="48"/>
        </w:numPr>
        <w:ind w:left="425" w:hanging="425"/>
        <w:rPr>
          <w:szCs w:val="20"/>
        </w:rPr>
      </w:pPr>
      <w:bookmarkStart w:id="22" w:name="_Toc235200297"/>
      <w:r>
        <w:t>úgy véli azonban, hogy a megelőzési dimenzió még mindig nem kap kellő prioritást, ami miatt strukturális egyensúlyhiány áll fenn a megelőzésre és a tűz elleni küzdelemre irányuló politikák között, ezért kéri az Európai Bizottságot, hogy jelentős mértékben erősítse meg a megelőzési pillért. Kéri, hogy a következő többéves pénzügyi keretben hozzanak létre egy külön vegetációtűz-megelőzési alapot, amelyet szigorúan függetlenítenek a KAP költségvetésétől,</w:t>
      </w:r>
      <w:bookmarkEnd w:id="22"/>
    </w:p>
    <w:p w14:paraId="1EAB0D3B" w14:textId="77777777" w:rsidR="008913FF" w:rsidRPr="00B31BE5" w:rsidRDefault="008913FF" w:rsidP="00B31BE5">
      <w:pPr>
        <w:pStyle w:val="ListParagraph"/>
        <w:numPr>
          <w:ilvl w:val="0"/>
          <w:numId w:val="48"/>
        </w:numPr>
        <w:ind w:left="425" w:hanging="425"/>
        <w:rPr>
          <w:szCs w:val="20"/>
        </w:rPr>
      </w:pPr>
      <w:bookmarkStart w:id="23" w:name="_Toc235200298"/>
      <w:r>
        <w:t>hangsúlyozza, hogy a mezőgazdasági és erdészeti tevékenységek (legeltetés, növénytermesztés) jövedelmezőségének hiánya fontos szerepet játszik abban, hogy kivonnak a termelésből földterületeket, ami pedig hozzájárul a gyúlékony anyagok felhalmozódásához, valamint a tüzek kockázatának és intenzitásának növekedéséhez. Ezért elengedhetetlennek tartja e gazdasági dimenzió beépítését az európai politikákba,</w:t>
      </w:r>
      <w:bookmarkEnd w:id="23"/>
    </w:p>
    <w:p w14:paraId="23274C01" w14:textId="77777777" w:rsidR="008913FF" w:rsidRPr="00B31BE5" w:rsidRDefault="008913FF" w:rsidP="00B31BE5">
      <w:pPr>
        <w:pStyle w:val="ListParagraph"/>
        <w:numPr>
          <w:ilvl w:val="0"/>
          <w:numId w:val="48"/>
        </w:numPr>
        <w:ind w:left="425" w:hanging="425"/>
        <w:rPr>
          <w:szCs w:val="20"/>
        </w:rPr>
      </w:pPr>
      <w:bookmarkStart w:id="24" w:name="_Toc235200299"/>
      <w:r>
        <w:t>megjegyzi, hogy a tüzek által érintett területek jelentős része állami tulajdonú, például védett terület vagy művelés alatt nem álló földterület, ami rávilágít arra, hogy meg kell erősíteni a tagállamok felelősségét és irányítási mechanizmusait;</w:t>
      </w:r>
      <w:bookmarkEnd w:id="24"/>
    </w:p>
    <w:p w14:paraId="359B855A" w14:textId="77777777" w:rsidR="008913FF" w:rsidRPr="00B31BE5" w:rsidRDefault="008913FF" w:rsidP="00B31BE5">
      <w:pPr>
        <w:pStyle w:val="ListParagraph"/>
        <w:numPr>
          <w:ilvl w:val="0"/>
          <w:numId w:val="48"/>
        </w:numPr>
        <w:ind w:left="425" w:hanging="425"/>
        <w:rPr>
          <w:szCs w:val="20"/>
        </w:rPr>
      </w:pPr>
      <w:bookmarkStart w:id="25" w:name="_Toc235200300"/>
      <w:r>
        <w:t>fenntartja, hogy – különösen Európa déli régióiban – sürgősen szükség van a vegetációtüzekre vonatkozó közös európai stratégiára, amely összehangolt, integrált és megfelelő pénzügyi forrásokkal rendelkező megközelítést, valamint az önvédelemhez szükséges eszközöket, a vidéki térségek és erdők tulajdonosai és munkásai számára pedig képzést biztosít, és kihasználja a kettős felhasználású berendezéseket, például az öntözőtartályokat,</w:t>
      </w:r>
      <w:bookmarkEnd w:id="25"/>
    </w:p>
    <w:p w14:paraId="2A579002" w14:textId="77777777" w:rsidR="008913FF" w:rsidRPr="00B31BE5" w:rsidRDefault="008913FF" w:rsidP="00B31BE5">
      <w:pPr>
        <w:pStyle w:val="ListParagraph"/>
        <w:numPr>
          <w:ilvl w:val="0"/>
          <w:numId w:val="48"/>
        </w:numPr>
        <w:ind w:left="425" w:hanging="425"/>
        <w:rPr>
          <w:szCs w:val="20"/>
        </w:rPr>
      </w:pPr>
      <w:bookmarkStart w:id="26" w:name="_Toc235200301"/>
      <w:r>
        <w:t>kiemeli a vegetációtüzek gazdasági, környezeti, társadalmi és területi hatásait, amelyek aránytalan mértékben sújtják a vidéki térségeket, aláásva a területi kohéziót, a foglalkoztatást, a mezőgazdasági és erdészeti tevékenységek életképességét és a környezetvédelmi célok elérését,</w:t>
      </w:r>
      <w:bookmarkEnd w:id="26"/>
    </w:p>
    <w:p w14:paraId="7C3C6D0C" w14:textId="77777777" w:rsidR="008913FF" w:rsidRPr="00B31BE5" w:rsidRDefault="008913FF" w:rsidP="00B31BE5">
      <w:pPr>
        <w:pStyle w:val="ListParagraph"/>
        <w:numPr>
          <w:ilvl w:val="0"/>
          <w:numId w:val="48"/>
        </w:numPr>
        <w:ind w:left="425" w:hanging="425"/>
        <w:rPr>
          <w:szCs w:val="20"/>
        </w:rPr>
      </w:pPr>
      <w:bookmarkStart w:id="27" w:name="_Toc235200302"/>
      <w:r>
        <w:t xml:space="preserve">hangsúlyozza, hogy a vegetációtüzek közvetlen hatással vannak az Unió éghajlat-politikai célkitűzéseire, többek között a </w:t>
      </w:r>
      <w:proofErr w:type="spellStart"/>
      <w:r>
        <w:t>dekarbonizációra</w:t>
      </w:r>
      <w:proofErr w:type="spellEnd"/>
      <w:r>
        <w:t xml:space="preserve"> azáltal, hogy jelentős szén-dioxid-kibocsátást okoznak és elpusztítják a természetes szénelnyelőket;</w:t>
      </w:r>
      <w:bookmarkEnd w:id="27"/>
    </w:p>
    <w:p w14:paraId="35305AC6" w14:textId="77777777" w:rsidR="008913FF" w:rsidRPr="00B31BE5" w:rsidRDefault="008913FF" w:rsidP="00B31BE5">
      <w:pPr>
        <w:pStyle w:val="ListParagraph"/>
        <w:numPr>
          <w:ilvl w:val="0"/>
          <w:numId w:val="48"/>
        </w:numPr>
        <w:ind w:left="425" w:hanging="425"/>
        <w:rPr>
          <w:szCs w:val="20"/>
        </w:rPr>
      </w:pPr>
      <w:bookmarkStart w:id="28" w:name="_Toc235200303"/>
      <w:r>
        <w:t xml:space="preserve">rámutat, hogy a vegetációtüzek az élőhelyek leromlása, a fajok eltűnése és az ökoszisztéma pusztulása révén károkat okoznak a biológiai sokféleségben, amelyek aláássák a környezeti </w:t>
      </w:r>
      <w:proofErr w:type="spellStart"/>
      <w:r>
        <w:t>rezilienciát</w:t>
      </w:r>
      <w:proofErr w:type="spellEnd"/>
      <w:r>
        <w:t xml:space="preserve"> és az Unió természetvédelmi célkitűzéseit,</w:t>
      </w:r>
      <w:bookmarkEnd w:id="28"/>
    </w:p>
    <w:p w14:paraId="1B1729AF" w14:textId="77777777" w:rsidR="008913FF" w:rsidRPr="00B31BE5" w:rsidRDefault="008913FF" w:rsidP="00B31BE5">
      <w:pPr>
        <w:pStyle w:val="ListParagraph"/>
        <w:numPr>
          <w:ilvl w:val="0"/>
          <w:numId w:val="48"/>
        </w:numPr>
        <w:ind w:left="425" w:hanging="425"/>
        <w:rPr>
          <w:szCs w:val="20"/>
        </w:rPr>
      </w:pPr>
      <w:bookmarkStart w:id="29" w:name="_Toc235200304"/>
      <w:r>
        <w:t>úgy véli, hogy felül kell vizsgálni az erdőgazdálkodásra vonatkozó szabályokat annak érdekében, hogy megszűnjenek azok a korlátok, amelyek akadályozhatják az aktív és megelőző jellegű területgazdálkodást, különösen a tűzvészeknek leginkább kitett régiókban.</w:t>
      </w:r>
      <w:bookmarkEnd w:id="29"/>
    </w:p>
    <w:p w14:paraId="62A6EA8D" w14:textId="77777777" w:rsidR="008913FF" w:rsidRPr="008913FF" w:rsidRDefault="008913FF" w:rsidP="008913FF">
      <w:pPr>
        <w:widowControl w:val="0"/>
        <w:overflowPunct w:val="0"/>
        <w:autoSpaceDE w:val="0"/>
        <w:autoSpaceDN w:val="0"/>
        <w:adjustRightInd w:val="0"/>
        <w:textAlignment w:val="baseline"/>
        <w:rPr>
          <w:sz w:val="16"/>
          <w:szCs w:val="16"/>
          <w:lang w:val="en-GB"/>
        </w:rPr>
      </w:pPr>
    </w:p>
    <w:tbl>
      <w:tblPr>
        <w:tblStyle w:val="TableGrid1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8913FF" w:rsidRPr="008913FF" w14:paraId="0ABAF02A" w14:textId="77777777" w:rsidTr="003D7491">
        <w:tc>
          <w:tcPr>
            <w:tcW w:w="1077" w:type="pct"/>
          </w:tcPr>
          <w:p w14:paraId="3881041B" w14:textId="77777777" w:rsidR="008913FF" w:rsidRPr="008913FF" w:rsidRDefault="008913FF" w:rsidP="008913FF">
            <w:pPr>
              <w:overflowPunct w:val="0"/>
              <w:autoSpaceDE w:val="0"/>
              <w:autoSpaceDN w:val="0"/>
              <w:adjustRightInd w:val="0"/>
              <w:textAlignment w:val="baseline"/>
              <w:rPr>
                <w:i/>
              </w:rPr>
            </w:pPr>
            <w:r>
              <w:rPr>
                <w:b/>
                <w:i/>
              </w:rPr>
              <w:t>Kapcsolattartó:</w:t>
            </w:r>
          </w:p>
        </w:tc>
        <w:tc>
          <w:tcPr>
            <w:tcW w:w="3923" w:type="pct"/>
          </w:tcPr>
          <w:p w14:paraId="48875454" w14:textId="4B3C305C" w:rsidR="008913FF" w:rsidRPr="008913FF" w:rsidRDefault="008913FF" w:rsidP="008913FF">
            <w:pPr>
              <w:overflowPunct w:val="0"/>
              <w:autoSpaceDE w:val="0"/>
              <w:autoSpaceDN w:val="0"/>
              <w:adjustRightInd w:val="0"/>
              <w:textAlignment w:val="baseline"/>
              <w:rPr>
                <w:i/>
              </w:rPr>
            </w:pPr>
            <w:proofErr w:type="spellStart"/>
            <w:r>
              <w:rPr>
                <w:i/>
              </w:rPr>
              <w:t>Arturo</w:t>
            </w:r>
            <w:proofErr w:type="spellEnd"/>
            <w:r>
              <w:rPr>
                <w:i/>
              </w:rPr>
              <w:t xml:space="preserve"> </w:t>
            </w:r>
            <w:proofErr w:type="spellStart"/>
            <w:r>
              <w:rPr>
                <w:i/>
              </w:rPr>
              <w:t>Iniguez</w:t>
            </w:r>
            <w:proofErr w:type="spellEnd"/>
          </w:p>
        </w:tc>
      </w:tr>
      <w:tr w:rsidR="008913FF" w:rsidRPr="008913FF" w14:paraId="0D0A8E07" w14:textId="77777777" w:rsidTr="003D7491">
        <w:tc>
          <w:tcPr>
            <w:tcW w:w="1077" w:type="pct"/>
          </w:tcPr>
          <w:p w14:paraId="409C1FF9" w14:textId="77777777" w:rsidR="008913FF" w:rsidRPr="008913FF" w:rsidRDefault="008913FF" w:rsidP="008913FF">
            <w:pPr>
              <w:overflowPunct w:val="0"/>
              <w:autoSpaceDE w:val="0"/>
              <w:autoSpaceDN w:val="0"/>
              <w:adjustRightInd w:val="0"/>
              <w:textAlignment w:val="baseline"/>
              <w:rPr>
                <w:i/>
              </w:rPr>
            </w:pPr>
            <w:r>
              <w:rPr>
                <w:i/>
              </w:rPr>
              <w:t>Tel.:</w:t>
            </w:r>
          </w:p>
        </w:tc>
        <w:tc>
          <w:tcPr>
            <w:tcW w:w="3923" w:type="pct"/>
          </w:tcPr>
          <w:p w14:paraId="40836D72" w14:textId="77777777" w:rsidR="008913FF" w:rsidRPr="008913FF" w:rsidRDefault="008913FF" w:rsidP="008913FF">
            <w:pPr>
              <w:overflowPunct w:val="0"/>
              <w:autoSpaceDE w:val="0"/>
              <w:autoSpaceDN w:val="0"/>
              <w:adjustRightInd w:val="0"/>
              <w:textAlignment w:val="baseline"/>
              <w:rPr>
                <w:i/>
              </w:rPr>
            </w:pPr>
            <w:r>
              <w:rPr>
                <w:i/>
              </w:rPr>
              <w:t>+32 25468768</w:t>
            </w:r>
          </w:p>
        </w:tc>
      </w:tr>
      <w:tr w:rsidR="008913FF" w:rsidRPr="008913FF" w14:paraId="295BCC7C" w14:textId="77777777" w:rsidTr="003D7491">
        <w:tc>
          <w:tcPr>
            <w:tcW w:w="1077" w:type="pct"/>
          </w:tcPr>
          <w:p w14:paraId="68F74D53" w14:textId="77777777" w:rsidR="008913FF" w:rsidRPr="008913FF" w:rsidRDefault="008913FF" w:rsidP="008913FF">
            <w:pPr>
              <w:overflowPunct w:val="0"/>
              <w:autoSpaceDE w:val="0"/>
              <w:autoSpaceDN w:val="0"/>
              <w:adjustRightInd w:val="0"/>
              <w:textAlignment w:val="baseline"/>
              <w:rPr>
                <w:i/>
              </w:rPr>
            </w:pPr>
            <w:r>
              <w:rPr>
                <w:i/>
              </w:rPr>
              <w:t>E-mail:</w:t>
            </w:r>
          </w:p>
        </w:tc>
        <w:tc>
          <w:tcPr>
            <w:tcW w:w="3923" w:type="pct"/>
          </w:tcPr>
          <w:p w14:paraId="725E5E7D" w14:textId="2D469374" w:rsidR="008913FF" w:rsidRPr="008913FF" w:rsidRDefault="00E9555B" w:rsidP="008913FF">
            <w:pPr>
              <w:overflowPunct w:val="0"/>
              <w:autoSpaceDE w:val="0"/>
              <w:autoSpaceDN w:val="0"/>
              <w:adjustRightInd w:val="0"/>
              <w:textAlignment w:val="baseline"/>
              <w:rPr>
                <w:i/>
              </w:rPr>
            </w:pPr>
            <w:hyperlink r:id="rId55" w:history="1">
              <w:r>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30" w:name="_Toc238802275"/>
      <w:r>
        <w:rPr>
          <w:b/>
          <w:color w:val="222A35" w:themeColor="text2" w:themeShade="80"/>
        </w:rPr>
        <w:lastRenderedPageBreak/>
        <w:t>IPARI SZERKEZETVÁLTÁS KONZULTATÍV BIZOTTSÁGA</w:t>
      </w:r>
      <w:bookmarkEnd w:id="30"/>
    </w:p>
    <w:p w14:paraId="713E272F" w14:textId="77777777" w:rsidR="006D2C8A" w:rsidRDefault="006D2C8A" w:rsidP="001766B2"/>
    <w:p w14:paraId="7DECE423" w14:textId="46140687" w:rsidR="00975017" w:rsidRPr="00856176" w:rsidRDefault="00457E80"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Pr>
            <w:b/>
            <w:i/>
            <w:color w:val="0000FF"/>
            <w:sz w:val="28"/>
            <w:u w:val="single"/>
          </w:rPr>
          <w:t>Az EU tengeripari stratégiája</w:t>
        </w:r>
      </w:hyperlink>
    </w:p>
    <w:p w14:paraId="03F8FD44" w14:textId="77777777" w:rsidR="00975017" w:rsidRPr="00856176"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Előadó:</w:t>
            </w:r>
          </w:p>
        </w:tc>
        <w:tc>
          <w:tcPr>
            <w:tcW w:w="7681" w:type="dxa"/>
          </w:tcPr>
          <w:p w14:paraId="0E391BBB" w14:textId="3AEDA99D" w:rsidR="00757A71" w:rsidRPr="00975017" w:rsidRDefault="002D0A85" w:rsidP="00D82806">
            <w:pPr>
              <w:tabs>
                <w:tab w:val="center" w:pos="284"/>
              </w:tabs>
              <w:overflowPunct w:val="0"/>
              <w:autoSpaceDE w:val="0"/>
              <w:autoSpaceDN w:val="0"/>
              <w:adjustRightInd w:val="0"/>
              <w:ind w:left="266" w:hanging="266"/>
            </w:pPr>
            <w:proofErr w:type="spellStart"/>
            <w:r>
              <w:t>Konstantinos</w:t>
            </w:r>
            <w:proofErr w:type="spellEnd"/>
            <w:r>
              <w:t xml:space="preserve"> DIAMANTOUROS (Munkáltatók/EL)</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Társelőadó:</w:t>
            </w:r>
          </w:p>
        </w:tc>
        <w:tc>
          <w:tcPr>
            <w:tcW w:w="7681" w:type="dxa"/>
            <w:hideMark/>
          </w:tcPr>
          <w:p w14:paraId="7225C620" w14:textId="4A90B17F" w:rsidR="00975017" w:rsidRDefault="00975017" w:rsidP="00975017">
            <w:pPr>
              <w:tabs>
                <w:tab w:val="center" w:pos="284"/>
              </w:tabs>
              <w:overflowPunct w:val="0"/>
              <w:autoSpaceDE w:val="0"/>
              <w:autoSpaceDN w:val="0"/>
              <w:adjustRightInd w:val="0"/>
              <w:ind w:left="266" w:hanging="266"/>
            </w:pPr>
            <w:proofErr w:type="spellStart"/>
            <w:r>
              <w:t>Franck</w:t>
            </w:r>
            <w:proofErr w:type="spellEnd"/>
            <w:r>
              <w:t xml:space="preserve"> UHLIG (FR/2. kat.)</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Hivatkozások:</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r>
              <w:t xml:space="preserve">COM(2026) 111 </w:t>
            </w:r>
            <w:proofErr w:type="spellStart"/>
            <w:r>
              <w:t>final</w:t>
            </w:r>
            <w:proofErr w:type="spellEnd"/>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Főbb pontok</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Az EGSZB:</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856176">
      <w:pPr>
        <w:numPr>
          <w:ilvl w:val="0"/>
          <w:numId w:val="44"/>
        </w:numPr>
        <w:overflowPunct w:val="0"/>
        <w:autoSpaceDE w:val="0"/>
        <w:autoSpaceDN w:val="0"/>
        <w:adjustRightInd w:val="0"/>
        <w:ind w:left="284" w:hanging="284"/>
        <w:textAlignment w:val="baseline"/>
      </w:pPr>
      <w:r>
        <w:t>üdvözli az EU tengerhasznosítási iparstratégiájának elfogadását, amely példa nélküli eredmény a tengerhasznosítási ágazat számára,</w:t>
      </w:r>
    </w:p>
    <w:p w14:paraId="42EE55A6" w14:textId="77777777" w:rsidR="00975017" w:rsidRPr="00975017" w:rsidRDefault="00975017" w:rsidP="00856176">
      <w:pPr>
        <w:numPr>
          <w:ilvl w:val="0"/>
          <w:numId w:val="44"/>
        </w:numPr>
        <w:overflowPunct w:val="0"/>
        <w:autoSpaceDE w:val="0"/>
        <w:autoSpaceDN w:val="0"/>
        <w:adjustRightInd w:val="0"/>
        <w:ind w:left="284" w:hanging="284"/>
        <w:textAlignment w:val="baseline"/>
      </w:pPr>
      <w:r>
        <w:t>üdvözli a Tengerhasznosítási Értékláncok Uniós Szövetsége és a tengeripari ágazatokkal és kikötőkkel foglalkozó magas szintű testület létrehozására irányuló javaslatot. Ennek a szövetségnek ki kell terjednie a teljes tengerhasznosítási értékláncra, és érdekelt félként be kell vonnia a hajótulajdonosokat és a munkavállalók képviselőit annak érdekében, hogy a lehető legnagyobb mértékben részt vegyenek a döntéshozatalban,</w:t>
      </w:r>
    </w:p>
    <w:p w14:paraId="4C5898AC" w14:textId="77777777" w:rsidR="00975017" w:rsidRPr="00975017" w:rsidRDefault="00975017" w:rsidP="00856176">
      <w:pPr>
        <w:numPr>
          <w:ilvl w:val="0"/>
          <w:numId w:val="44"/>
        </w:numPr>
        <w:overflowPunct w:val="0"/>
        <w:autoSpaceDE w:val="0"/>
        <w:autoSpaceDN w:val="0"/>
        <w:adjustRightInd w:val="0"/>
        <w:ind w:left="284" w:hanging="284"/>
        <w:textAlignment w:val="baseline"/>
      </w:pPr>
      <w:r>
        <w:t xml:space="preserve">üdvözli a stratégia azon célkitűzését, hogy meg kívánja erősíteni az uniós gazdaság stratégiai pillérét alkotó európai hajózás versenyképességét, fenntarthatóságát és </w:t>
      </w:r>
      <w:proofErr w:type="spellStart"/>
      <w:r>
        <w:t>rezilienciáját</w:t>
      </w:r>
      <w:proofErr w:type="spellEnd"/>
      <w:r>
        <w:t>,</w:t>
      </w:r>
    </w:p>
    <w:p w14:paraId="7DE5D061" w14:textId="77777777" w:rsidR="00975017" w:rsidRPr="00975017" w:rsidRDefault="00975017" w:rsidP="00856176">
      <w:pPr>
        <w:numPr>
          <w:ilvl w:val="0"/>
          <w:numId w:val="44"/>
        </w:numPr>
        <w:overflowPunct w:val="0"/>
        <w:autoSpaceDE w:val="0"/>
        <w:autoSpaceDN w:val="0"/>
        <w:adjustRightInd w:val="0"/>
        <w:ind w:left="284" w:hanging="284"/>
        <w:textAlignment w:val="baseline"/>
      </w:pPr>
      <w:r>
        <w:t>kiemeli az európai hajózás alapvető szerepét az energia-, élelmiszer- és ellátási lánc biztonságának garantálását illetően, és hangsúlyozza globális versenyképessége megőrzésének, a nyitott piacok fenntartásának és a viszonosságon alapuló tisztességes kereskedelmi feltételek biztosításának fontosságát, elkerülve ugyanakkor a protekcionista intézkedéseket,</w:t>
      </w:r>
    </w:p>
    <w:p w14:paraId="74780788" w14:textId="77777777" w:rsidR="00975017" w:rsidRPr="00975017" w:rsidRDefault="00975017" w:rsidP="00856176">
      <w:pPr>
        <w:numPr>
          <w:ilvl w:val="0"/>
          <w:numId w:val="44"/>
        </w:numPr>
        <w:overflowPunct w:val="0"/>
        <w:autoSpaceDE w:val="0"/>
        <w:autoSpaceDN w:val="0"/>
        <w:adjustRightInd w:val="0"/>
        <w:ind w:left="284" w:hanging="284"/>
        <w:textAlignment w:val="baseline"/>
      </w:pPr>
      <w:r>
        <w:t>támogatja a stratégia azon elképzelését, hogy meg kell szilárdítani Európa globális vezető szerepét a csúcstechnológiát alkalmazó hajók, tengerészeti berendezések, technológiák és hajózás terén, és Európának vezető szerepet kell betöltenie a feltörekvő szegmensekben, valamint meg kell erősítenie ipari pozícióját a stratégiai szegmensekben,</w:t>
      </w:r>
    </w:p>
    <w:p w14:paraId="3BC5D4A2" w14:textId="77777777" w:rsidR="00975017" w:rsidRPr="00975017" w:rsidRDefault="00975017" w:rsidP="00856176">
      <w:pPr>
        <w:numPr>
          <w:ilvl w:val="0"/>
          <w:numId w:val="44"/>
        </w:numPr>
        <w:overflowPunct w:val="0"/>
        <w:autoSpaceDE w:val="0"/>
        <w:autoSpaceDN w:val="0"/>
        <w:adjustRightInd w:val="0"/>
        <w:ind w:left="284" w:hanging="284"/>
        <w:textAlignment w:val="baseline"/>
      </w:pPr>
      <w:r>
        <w:t xml:space="preserve">hangsúlyozza annak fontosságát, hogy az uniós kikötőkben biztonságos, fenntartható, megfizethető, méretezhető és a szabályoknak megfelelő, tengeri hajózásban használatos üzemanyagok álljanak rendelkezésre, és kéri az Európai Bizottságot, hogy vezessen be kötelező </w:t>
      </w:r>
      <w:proofErr w:type="spellStart"/>
      <w:r>
        <w:t>erejű</w:t>
      </w:r>
      <w:proofErr w:type="spellEnd"/>
      <w:r>
        <w:t xml:space="preserve"> előírásokat az üzemanyag-forgalmazók számára a megfelelő üzemanyagokkal való ellátás biztosítása érdekében,</w:t>
      </w:r>
    </w:p>
    <w:p w14:paraId="2F7B17CE" w14:textId="77777777" w:rsidR="00975017" w:rsidRPr="00975017" w:rsidRDefault="00975017" w:rsidP="00856176">
      <w:pPr>
        <w:numPr>
          <w:ilvl w:val="0"/>
          <w:numId w:val="44"/>
        </w:numPr>
        <w:overflowPunct w:val="0"/>
        <w:autoSpaceDE w:val="0"/>
        <w:autoSpaceDN w:val="0"/>
        <w:adjustRightInd w:val="0"/>
        <w:ind w:left="284" w:hanging="284"/>
        <w:textAlignment w:val="baseline"/>
      </w:pPr>
      <w:r>
        <w:t xml:space="preserve">teljes mértékben támogatja azt a felhívást, hogy az uniós kibocsátáskereskedelmi </w:t>
      </w:r>
      <w:proofErr w:type="spellStart"/>
      <w:r>
        <w:t>rendszerés</w:t>
      </w:r>
      <w:proofErr w:type="spellEnd"/>
      <w:r>
        <w:t xml:space="preserve"> és a </w:t>
      </w:r>
      <w:proofErr w:type="spellStart"/>
      <w:r>
        <w:t>FuelEU</w:t>
      </w:r>
      <w:proofErr w:type="spellEnd"/>
      <w:r>
        <w:t xml:space="preserve"> </w:t>
      </w:r>
      <w:proofErr w:type="spellStart"/>
      <w:r>
        <w:t>Maritime</w:t>
      </w:r>
      <w:proofErr w:type="spellEnd"/>
      <w:r>
        <w:t xml:space="preserve"> kezdeményezés keretében keletkező bevételeket újra fektessék be a tengerhasznosítási ágazatba, és támogatja egy célzott finanszírozási mechanizmus létrehozását a </w:t>
      </w:r>
      <w:proofErr w:type="spellStart"/>
      <w:r>
        <w:t>dekarbonizáció</w:t>
      </w:r>
      <w:proofErr w:type="spellEnd"/>
      <w:r>
        <w:t xml:space="preserve"> felgyorsítása érdekében,</w:t>
      </w:r>
    </w:p>
    <w:p w14:paraId="204D0238" w14:textId="77777777" w:rsidR="00975017" w:rsidRPr="00975017" w:rsidRDefault="00975017" w:rsidP="00856176">
      <w:pPr>
        <w:numPr>
          <w:ilvl w:val="0"/>
          <w:numId w:val="44"/>
        </w:numPr>
        <w:overflowPunct w:val="0"/>
        <w:autoSpaceDE w:val="0"/>
        <w:autoSpaceDN w:val="0"/>
        <w:adjustRightInd w:val="0"/>
        <w:ind w:left="284" w:hanging="284"/>
        <w:textAlignment w:val="baseline"/>
      </w:pPr>
      <w:r>
        <w:t xml:space="preserve">hangsúlyozza, hogy a szabályozási korlátok – kiváltképp az uniós taxonómia keretében történő – csökkentésével, valamint az adminisztratív és pénzügyi </w:t>
      </w:r>
      <w:proofErr w:type="spellStart"/>
      <w:r>
        <w:t>terheknek</w:t>
      </w:r>
      <w:proofErr w:type="spellEnd"/>
      <w:r>
        <w:t xml:space="preserve"> – a kkv-k esetében is történő – korlátozásával meg kell könnyíteni a versenyképes hajófinanszírozáshoz való hozzáférést,</w:t>
      </w:r>
    </w:p>
    <w:p w14:paraId="455AE3A7" w14:textId="77777777" w:rsidR="00975017" w:rsidRPr="00975017" w:rsidRDefault="00975017" w:rsidP="00856176">
      <w:pPr>
        <w:numPr>
          <w:ilvl w:val="0"/>
          <w:numId w:val="44"/>
        </w:numPr>
        <w:overflowPunct w:val="0"/>
        <w:autoSpaceDE w:val="0"/>
        <w:autoSpaceDN w:val="0"/>
        <w:adjustRightInd w:val="0"/>
        <w:ind w:left="284" w:hanging="284"/>
        <w:textAlignment w:val="baseline"/>
      </w:pPr>
      <w:r>
        <w:t>kitart amellett, hogy meg kell könnyíteni mind a köz-, mind a magánfinanszírozáshoz való hozzáférést annak érdekében, hogy kezelni lehessen azokat a jelenlegi nehézségeket, amelyekkel a tengerhasznosítási ágazat a finanszírozáshoz való hozzáférés terén szembesül,</w:t>
      </w:r>
    </w:p>
    <w:p w14:paraId="4ADC582E" w14:textId="77777777" w:rsidR="00975017" w:rsidRPr="00975017" w:rsidRDefault="00975017" w:rsidP="00856176">
      <w:pPr>
        <w:numPr>
          <w:ilvl w:val="0"/>
          <w:numId w:val="44"/>
        </w:numPr>
        <w:overflowPunct w:val="0"/>
        <w:autoSpaceDE w:val="0"/>
        <w:autoSpaceDN w:val="0"/>
        <w:adjustRightInd w:val="0"/>
        <w:ind w:left="284" w:hanging="284"/>
        <w:textAlignment w:val="baseline"/>
      </w:pPr>
      <w:r>
        <w:lastRenderedPageBreak/>
        <w:t>támogatja, hogy a stratégia elő kívánja segíteni az uniós/EGT-</w:t>
      </w:r>
      <w:proofErr w:type="spellStart"/>
      <w:r>
        <w:t>beli</w:t>
      </w:r>
      <w:proofErr w:type="spellEnd"/>
      <w:r>
        <w:t xml:space="preserve"> vevők számára a közbeszerzési megrendelések hosszú távú portfólióját, miközben felkészíti a tengerészeti gyártási ágazatot e kereslet kielégítésére,</w:t>
      </w:r>
    </w:p>
    <w:p w14:paraId="022FC6BD" w14:textId="77777777" w:rsidR="00975017" w:rsidRPr="00975017" w:rsidRDefault="00975017" w:rsidP="00856176">
      <w:pPr>
        <w:numPr>
          <w:ilvl w:val="0"/>
          <w:numId w:val="44"/>
        </w:numPr>
        <w:overflowPunct w:val="0"/>
        <w:autoSpaceDE w:val="0"/>
        <w:autoSpaceDN w:val="0"/>
        <w:adjustRightInd w:val="0"/>
        <w:ind w:left="284" w:hanging="284"/>
        <w:textAlignment w:val="baseline"/>
      </w:pPr>
      <w:r>
        <w:t>kiemeli a tengeri szállításban, valamint a hajógyártásban és -javításban működő ágazati párbeszédbizottságok a tekintetben betöltött szerepét, hogy kezeljék a munkaügyi, szociális és szabályozási kérdések, többek között a készségek, a munkakörülmények és a munkaerő-fejlesztés kérdéseit,</w:t>
      </w:r>
    </w:p>
    <w:p w14:paraId="7DE7F4F5" w14:textId="77777777" w:rsidR="00975017" w:rsidRPr="00975017" w:rsidRDefault="00975017" w:rsidP="00856176">
      <w:pPr>
        <w:numPr>
          <w:ilvl w:val="0"/>
          <w:numId w:val="44"/>
        </w:numPr>
        <w:overflowPunct w:val="0"/>
        <w:autoSpaceDE w:val="0"/>
        <w:autoSpaceDN w:val="0"/>
        <w:adjustRightInd w:val="0"/>
        <w:ind w:left="284" w:hanging="284"/>
        <w:textAlignment w:val="baseline"/>
      </w:pPr>
      <w:r>
        <w:t>nagyra értékeli, hogy a stratégia a készségekhez és a minőségi munkahelyekhez való hozzáférésre összpontosít, és teljes mértékben támogatja a stratégia készséghiányok azonosítására, az át- és továbbképzési programok kidolgozására, a tengerészeti szakmák feltérképezésére, valamint a tengerészeti felsőoktatási intézmények és szakképzési központok hálózatának Unió-szerte történő létrehozásának támogatására irányuló javaslatait,</w:t>
      </w:r>
    </w:p>
    <w:p w14:paraId="46AD52F7" w14:textId="77777777" w:rsidR="00975017" w:rsidRPr="00975017" w:rsidRDefault="00975017" w:rsidP="00856176">
      <w:pPr>
        <w:numPr>
          <w:ilvl w:val="0"/>
          <w:numId w:val="44"/>
        </w:numPr>
        <w:overflowPunct w:val="0"/>
        <w:autoSpaceDE w:val="0"/>
        <w:autoSpaceDN w:val="0"/>
        <w:adjustRightInd w:val="0"/>
        <w:ind w:left="284" w:hanging="284"/>
        <w:textAlignment w:val="baseline"/>
      </w:pPr>
      <w:r>
        <w:t>kéri, hogy az uniós szabályokat hangolják össze az IMO szintjén bekövetkező nemzetközi fejleményekkel, amint globális megállapodás születik, mivel az összehangolás hiánya a szabályozás széttagoltságához, ugyanazon kibocsátásokért járó kettős kifizetésekhez és tisztességtelen versenyhez vezethet, ami végső soron gyengítheti mind az éghajlat-hatékonyságot, mind az uniós hajózás globális versenyképességét.</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Kapcsolattartó:</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proofErr w:type="spellStart"/>
            <w:r>
              <w:rPr>
                <w:i/>
              </w:rPr>
              <w:t>Ioannis</w:t>
            </w:r>
            <w:proofErr w:type="spellEnd"/>
            <w:r>
              <w:rPr>
                <w:i/>
              </w:rPr>
              <w:t xml:space="preserve"> </w:t>
            </w:r>
            <w:proofErr w:type="spellStart"/>
            <w:r>
              <w:rPr>
                <w:i/>
              </w:rPr>
              <w:t>Diamantopoulos</w:t>
            </w:r>
            <w:proofErr w:type="spellEnd"/>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Tel.:</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+32 25469170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E-mail:</w:t>
            </w:r>
          </w:p>
        </w:tc>
        <w:tc>
          <w:tcPr>
            <w:tcW w:w="3923" w:type="pct"/>
          </w:tcPr>
          <w:p w14:paraId="612E6715" w14:textId="27A22627" w:rsidR="00975017" w:rsidRPr="00975017" w:rsidRDefault="00E9555B" w:rsidP="00975017">
            <w:pPr>
              <w:overflowPunct w:val="0"/>
              <w:autoSpaceDE w:val="0"/>
              <w:autoSpaceDN w:val="0"/>
              <w:adjustRightInd w:val="0"/>
              <w:textAlignment w:val="baseline"/>
              <w:rPr>
                <w:i/>
                <w:iCs/>
              </w:rPr>
            </w:pPr>
            <w:hyperlink r:id="rId57" w:history="1">
              <w:r>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3F4C88">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60602" w14:textId="77777777" w:rsidR="009B7956" w:rsidRDefault="009B7956" w:rsidP="00B518C9">
      <w:pPr>
        <w:spacing w:line="240" w:lineRule="auto"/>
      </w:pPr>
      <w:r>
        <w:separator/>
      </w:r>
    </w:p>
  </w:endnote>
  <w:endnote w:type="continuationSeparator" w:id="0">
    <w:p w14:paraId="6C3279EF" w14:textId="77777777" w:rsidR="009B7956" w:rsidRDefault="009B7956"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C978" w14:textId="77777777" w:rsidR="00FC0E06" w:rsidRPr="003F4C88" w:rsidRDefault="00FC0E06" w:rsidP="003F4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0153020B" w:rsidR="00B518C9" w:rsidRPr="003F4C88" w:rsidRDefault="003F4C88" w:rsidP="003F4C88">
    <w:pPr>
      <w:pStyle w:val="Footer"/>
    </w:pPr>
    <w:r>
      <w:t xml:space="preserve">EESC-2026-01865-00-01-TCD-TRA (EN) </w:t>
    </w:r>
    <w:r>
      <w:fldChar w:fldCharType="begin"/>
    </w:r>
    <w:r>
      <w:instrText xml:space="preserve"> PAGE  \* Arabic  \* MERGEFORMAT </w:instrText>
    </w:r>
    <w:r>
      <w:fldChar w:fldCharType="separate"/>
    </w:r>
    <w:r>
      <w:rPr>
        <w:noProof/>
      </w:rPr>
      <w:t>1</w:t>
    </w:r>
    <w:r>
      <w:fldChar w:fldCharType="end"/>
    </w:r>
    <w:r>
      <w:t>/</w:t>
    </w:r>
    <w:r>
      <w:fldChar w:fldCharType="begin"/>
    </w:r>
    <w:r>
      <w:instrText xml:space="preserve"> = </w:instrText>
    </w:r>
    <w:fldSimple w:instr=" NUMPAGES ">
      <w:r w:rsidR="00090DE9">
        <w:rPr>
          <w:noProof/>
        </w:rPr>
        <w:instrText>27</w:instrText>
      </w:r>
    </w:fldSimple>
    <w:r>
      <w:instrText xml:space="preserve"> -0 </w:instrText>
    </w:r>
    <w:r>
      <w:fldChar w:fldCharType="separate"/>
    </w:r>
    <w:r w:rsidR="00090DE9">
      <w:rPr>
        <w:noProof/>
      </w:rPr>
      <w:t>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2BF0" w14:textId="77777777" w:rsidR="00FC0E06" w:rsidRPr="003F4C88" w:rsidRDefault="00FC0E06" w:rsidP="003F4C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56D6" w14:textId="77777777" w:rsidR="00FC0E06" w:rsidRPr="003F4C88" w:rsidRDefault="00FC0E06" w:rsidP="003F4C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6433" w14:textId="27E45AEF" w:rsidR="00FC0E06" w:rsidRPr="003F4C88" w:rsidRDefault="003F4C88" w:rsidP="003F4C88">
    <w:pPr>
      <w:pStyle w:val="Footer"/>
    </w:pPr>
    <w:r>
      <w:t xml:space="preserve">EESC-2026-01865-00-01-TCD-TRA (EN) </w:t>
    </w:r>
    <w:r>
      <w:fldChar w:fldCharType="begin"/>
    </w:r>
    <w:r>
      <w:instrText xml:space="preserve"> PAGE  \* Arabic  \* MERGEFORMAT </w:instrText>
    </w:r>
    <w:r>
      <w:fldChar w:fldCharType="separate"/>
    </w:r>
    <w:r>
      <w:rPr>
        <w:noProof/>
      </w:rPr>
      <w:t>3</w:t>
    </w:r>
    <w:r>
      <w:fldChar w:fldCharType="end"/>
    </w:r>
    <w:r>
      <w:t>/</w:t>
    </w:r>
    <w:r>
      <w:fldChar w:fldCharType="begin"/>
    </w:r>
    <w:r>
      <w:instrText xml:space="preserve"> = </w:instrText>
    </w:r>
    <w:fldSimple w:instr=" NUMPAGES ">
      <w:r w:rsidR="00090DE9">
        <w:rPr>
          <w:noProof/>
        </w:rPr>
        <w:instrText>27</w:instrText>
      </w:r>
    </w:fldSimple>
    <w:r>
      <w:instrText xml:space="preserve"> -0 </w:instrText>
    </w:r>
    <w:r>
      <w:fldChar w:fldCharType="separate"/>
    </w:r>
    <w:r w:rsidR="00090DE9">
      <w:rPr>
        <w:noProof/>
      </w:rPr>
      <w:t>27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8F9E" w14:textId="77777777" w:rsidR="00FC0E06" w:rsidRPr="003F4C88" w:rsidRDefault="00FC0E06" w:rsidP="003F4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7758" w14:textId="77777777" w:rsidR="009B7956" w:rsidRDefault="009B7956" w:rsidP="00B518C9">
      <w:pPr>
        <w:spacing w:line="240" w:lineRule="auto"/>
      </w:pPr>
      <w:r>
        <w:separator/>
      </w:r>
    </w:p>
  </w:footnote>
  <w:footnote w:type="continuationSeparator" w:id="0">
    <w:p w14:paraId="7D38E2EC" w14:textId="77777777" w:rsidR="009B7956" w:rsidRDefault="009B7956" w:rsidP="00B518C9">
      <w:pPr>
        <w:spacing w:line="240" w:lineRule="auto"/>
      </w:pPr>
      <w:r>
        <w:continuationSeparator/>
      </w:r>
    </w:p>
  </w:footnote>
  <w:footnote w:id="1">
    <w:p w14:paraId="7A27C721" w14:textId="6584DFB1" w:rsidR="00706116" w:rsidRPr="00F85301" w:rsidRDefault="00706116" w:rsidP="00706116">
      <w:pPr>
        <w:pStyle w:val="FootnoteText"/>
      </w:pPr>
      <w:r>
        <w:rPr>
          <w:rStyle w:val="FootnoteReference"/>
        </w:rPr>
        <w:footnoteRef/>
      </w:r>
      <w:r>
        <w:tab/>
        <w:t xml:space="preserve">OJ C, C/2026/3243, 2026.7.2., ELI: </w:t>
      </w:r>
      <w:hyperlink r:id="rId1" w:history="1">
        <w:r>
          <w:rPr>
            <w:rStyle w:val="Hyperlink"/>
          </w:rPr>
          <w:t>http://data.europa.eu/eli/C/2026/3243/oj</w:t>
        </w:r>
      </w:hyperlink>
      <w:r>
        <w:t>.</w:t>
      </w:r>
    </w:p>
  </w:footnote>
  <w:footnote w:id="2">
    <w:p w14:paraId="630F3DCA" w14:textId="7FF2299C" w:rsidR="00706116" w:rsidRPr="00F85301" w:rsidRDefault="00706116" w:rsidP="00706116">
      <w:pPr>
        <w:pStyle w:val="FootnoteText"/>
      </w:pPr>
      <w:r>
        <w:rPr>
          <w:rStyle w:val="FootnoteReference"/>
        </w:rPr>
        <w:footnoteRef/>
      </w:r>
      <w:r>
        <w:tab/>
      </w:r>
      <w:hyperlink r:id="rId2" w:history="1">
        <w:r>
          <w:rPr>
            <w:rStyle w:val="Hyperlink"/>
          </w:rPr>
          <w:t>HL C 184., 2023.5.25., 109. 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306E" w14:textId="77777777" w:rsidR="00FC0E06" w:rsidRPr="003F4C88" w:rsidRDefault="00FC0E06" w:rsidP="003F4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541A" w14:textId="00BD7768" w:rsidR="00FC0E06" w:rsidRPr="003F4C88" w:rsidRDefault="00FC0E06" w:rsidP="003F4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2ED8" w14:textId="77777777" w:rsidR="00FC0E06" w:rsidRPr="003F4C88" w:rsidRDefault="00FC0E06" w:rsidP="003F4C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D659" w14:textId="77777777" w:rsidR="00FC0E06" w:rsidRPr="003F4C88" w:rsidRDefault="00FC0E06" w:rsidP="003F4C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C5B" w14:textId="63D6C069" w:rsidR="00FC0E06" w:rsidRPr="003F4C88" w:rsidRDefault="00FC0E06" w:rsidP="003F4C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57F" w14:textId="77777777" w:rsidR="00FC0E06" w:rsidRPr="003F4C88" w:rsidRDefault="00FC0E06" w:rsidP="003F4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2604ABC"/>
    <w:multiLevelType w:val="hybridMultilevel"/>
    <w:tmpl w:val="A8AC6EEE"/>
    <w:lvl w:ilvl="0" w:tplc="8E864B0C">
      <w:start w:val="1"/>
      <w:numFmt w:val="bullet"/>
      <w:lvlText w:val=""/>
      <w:lvlJc w:val="left"/>
      <w:pPr>
        <w:ind w:left="644"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E1932"/>
    <w:multiLevelType w:val="hybridMultilevel"/>
    <w:tmpl w:val="B9F8F99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0"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8CA08EA"/>
    <w:multiLevelType w:val="hybridMultilevel"/>
    <w:tmpl w:val="3EDAC360"/>
    <w:lvl w:ilvl="0" w:tplc="8E864B0C">
      <w:start w:val="1"/>
      <w:numFmt w:val="bullet"/>
      <w:lvlText w:val=""/>
      <w:lvlJc w:val="left"/>
      <w:pPr>
        <w:ind w:left="644"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29"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19C59FF"/>
    <w:multiLevelType w:val="hybridMultilevel"/>
    <w:tmpl w:val="985A1C84"/>
    <w:lvl w:ilvl="0" w:tplc="8E864B0C">
      <w:start w:val="1"/>
      <w:numFmt w:val="bullet"/>
      <w:lvlText w:val=""/>
      <w:lvlJc w:val="left"/>
      <w:pPr>
        <w:ind w:left="644"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47725050">
    <w:abstractNumId w:val="0"/>
  </w:num>
  <w:num w:numId="2" w16cid:durableId="1942565719">
    <w:abstractNumId w:val="37"/>
  </w:num>
  <w:num w:numId="3" w16cid:durableId="1244873128">
    <w:abstractNumId w:val="40"/>
  </w:num>
  <w:num w:numId="4" w16cid:durableId="191845691">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16cid:durableId="1458184320">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16cid:durableId="1693873623">
    <w:abstractNumId w:val="4"/>
  </w:num>
  <w:num w:numId="7" w16cid:durableId="807935799">
    <w:abstractNumId w:val="35"/>
  </w:num>
  <w:num w:numId="8" w16cid:durableId="967972463">
    <w:abstractNumId w:val="14"/>
  </w:num>
  <w:num w:numId="9" w16cid:durableId="875191871">
    <w:abstractNumId w:val="12"/>
  </w:num>
  <w:num w:numId="10" w16cid:durableId="1992176895">
    <w:abstractNumId w:val="8"/>
  </w:num>
  <w:num w:numId="11" w16cid:durableId="788747389">
    <w:abstractNumId w:val="30"/>
  </w:num>
  <w:num w:numId="12" w16cid:durableId="826289109">
    <w:abstractNumId w:val="34"/>
  </w:num>
  <w:num w:numId="13" w16cid:durableId="672030457">
    <w:abstractNumId w:val="28"/>
  </w:num>
  <w:num w:numId="14" w16cid:durableId="1960143656">
    <w:abstractNumId w:val="17"/>
  </w:num>
  <w:num w:numId="15" w16cid:durableId="603266812">
    <w:abstractNumId w:val="31"/>
  </w:num>
  <w:num w:numId="16" w16cid:durableId="55668009">
    <w:abstractNumId w:val="23"/>
  </w:num>
  <w:num w:numId="17" w16cid:durableId="496455263">
    <w:abstractNumId w:val="36"/>
  </w:num>
  <w:num w:numId="18" w16cid:durableId="457338022">
    <w:abstractNumId w:val="21"/>
  </w:num>
  <w:num w:numId="19" w16cid:durableId="1215503241">
    <w:abstractNumId w:val="29"/>
  </w:num>
  <w:num w:numId="20" w16cid:durableId="1671180212">
    <w:abstractNumId w:val="25"/>
  </w:num>
  <w:num w:numId="21" w16cid:durableId="1338003551">
    <w:abstractNumId w:val="2"/>
  </w:num>
  <w:num w:numId="22" w16cid:durableId="2061316592">
    <w:abstractNumId w:val="27"/>
  </w:num>
  <w:num w:numId="23" w16cid:durableId="25908067">
    <w:abstractNumId w:val="13"/>
  </w:num>
  <w:num w:numId="24" w16cid:durableId="340010363">
    <w:abstractNumId w:val="39"/>
  </w:num>
  <w:num w:numId="25" w16cid:durableId="385495872">
    <w:abstractNumId w:val="7"/>
  </w:num>
  <w:num w:numId="26" w16cid:durableId="1448697197">
    <w:abstractNumId w:val="6"/>
  </w:num>
  <w:num w:numId="27" w16cid:durableId="1747798624">
    <w:abstractNumId w:val="15"/>
  </w:num>
  <w:num w:numId="28" w16cid:durableId="308174465">
    <w:abstractNumId w:val="18"/>
  </w:num>
  <w:num w:numId="29" w16cid:durableId="1271661361">
    <w:abstractNumId w:val="20"/>
  </w:num>
  <w:num w:numId="30" w16cid:durableId="964852633">
    <w:abstractNumId w:val="10"/>
  </w:num>
  <w:num w:numId="31" w16cid:durableId="550775696">
    <w:abstractNumId w:val="43"/>
  </w:num>
  <w:num w:numId="32" w16cid:durableId="211962235">
    <w:abstractNumId w:val="42"/>
  </w:num>
  <w:num w:numId="33" w16cid:durableId="1179852217">
    <w:abstractNumId w:val="26"/>
  </w:num>
  <w:num w:numId="34" w16cid:durableId="934746385">
    <w:abstractNumId w:val="16"/>
  </w:num>
  <w:num w:numId="35" w16cid:durableId="472210438">
    <w:abstractNumId w:val="38"/>
  </w:num>
  <w:num w:numId="36" w16cid:durableId="1291983350">
    <w:abstractNumId w:val="44"/>
  </w:num>
  <w:num w:numId="37" w16cid:durableId="398944652">
    <w:abstractNumId w:val="46"/>
  </w:num>
  <w:num w:numId="38" w16cid:durableId="2122258742">
    <w:abstractNumId w:val="19"/>
  </w:num>
  <w:num w:numId="39" w16cid:durableId="1870757848">
    <w:abstractNumId w:val="9"/>
  </w:num>
  <w:num w:numId="40" w16cid:durableId="78329603">
    <w:abstractNumId w:val="24"/>
  </w:num>
  <w:num w:numId="41" w16cid:durableId="313417384">
    <w:abstractNumId w:val="22"/>
  </w:num>
  <w:num w:numId="42" w16cid:durableId="1265768425">
    <w:abstractNumId w:val="32"/>
  </w:num>
  <w:num w:numId="43" w16cid:durableId="694622919">
    <w:abstractNumId w:val="45"/>
  </w:num>
  <w:num w:numId="44" w16cid:durableId="1932351717">
    <w:abstractNumId w:val="41"/>
  </w:num>
  <w:num w:numId="45" w16cid:durableId="2110000019">
    <w:abstractNumId w:val="5"/>
  </w:num>
  <w:num w:numId="46" w16cid:durableId="1374498041">
    <w:abstractNumId w:val="3"/>
  </w:num>
  <w:num w:numId="47" w16cid:durableId="1148090296">
    <w:abstractNumId w:val="11"/>
  </w:num>
  <w:num w:numId="48" w16cid:durableId="70845448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42A3"/>
    <w:rsid w:val="0001077B"/>
    <w:rsid w:val="00010A4D"/>
    <w:rsid w:val="00014657"/>
    <w:rsid w:val="000501F7"/>
    <w:rsid w:val="000527A4"/>
    <w:rsid w:val="0005726E"/>
    <w:rsid w:val="00063DFF"/>
    <w:rsid w:val="0006799C"/>
    <w:rsid w:val="00090DE9"/>
    <w:rsid w:val="00096124"/>
    <w:rsid w:val="000D28B8"/>
    <w:rsid w:val="000D394D"/>
    <w:rsid w:val="000E2189"/>
    <w:rsid w:val="000F4242"/>
    <w:rsid w:val="00105B77"/>
    <w:rsid w:val="00124F05"/>
    <w:rsid w:val="0012504F"/>
    <w:rsid w:val="00132F2C"/>
    <w:rsid w:val="00151EB1"/>
    <w:rsid w:val="001718CB"/>
    <w:rsid w:val="0017611A"/>
    <w:rsid w:val="001766B2"/>
    <w:rsid w:val="001A693F"/>
    <w:rsid w:val="001C292B"/>
    <w:rsid w:val="001C51C7"/>
    <w:rsid w:val="001D0FAE"/>
    <w:rsid w:val="001D20DA"/>
    <w:rsid w:val="001E1E31"/>
    <w:rsid w:val="001E391D"/>
    <w:rsid w:val="001F0AAB"/>
    <w:rsid w:val="001F38DB"/>
    <w:rsid w:val="002061EC"/>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F20C9"/>
    <w:rsid w:val="00303B3B"/>
    <w:rsid w:val="00304438"/>
    <w:rsid w:val="003066BE"/>
    <w:rsid w:val="003227CC"/>
    <w:rsid w:val="0032309C"/>
    <w:rsid w:val="003472F1"/>
    <w:rsid w:val="0035208D"/>
    <w:rsid w:val="00380D25"/>
    <w:rsid w:val="00391378"/>
    <w:rsid w:val="003A1461"/>
    <w:rsid w:val="003A5F20"/>
    <w:rsid w:val="003B1D4E"/>
    <w:rsid w:val="003B514C"/>
    <w:rsid w:val="003C5092"/>
    <w:rsid w:val="003D7003"/>
    <w:rsid w:val="003E07BA"/>
    <w:rsid w:val="003E12EE"/>
    <w:rsid w:val="003E15B5"/>
    <w:rsid w:val="003F2FE4"/>
    <w:rsid w:val="003F326D"/>
    <w:rsid w:val="003F4C88"/>
    <w:rsid w:val="003F79EF"/>
    <w:rsid w:val="00411C65"/>
    <w:rsid w:val="00427E56"/>
    <w:rsid w:val="0043191A"/>
    <w:rsid w:val="00435642"/>
    <w:rsid w:val="00451CB4"/>
    <w:rsid w:val="00457E80"/>
    <w:rsid w:val="00481696"/>
    <w:rsid w:val="00487F97"/>
    <w:rsid w:val="0049725E"/>
    <w:rsid w:val="004974DC"/>
    <w:rsid w:val="004A5CD7"/>
    <w:rsid w:val="004D7A6D"/>
    <w:rsid w:val="004D7AC0"/>
    <w:rsid w:val="004E5233"/>
    <w:rsid w:val="004E56D5"/>
    <w:rsid w:val="004F69E3"/>
    <w:rsid w:val="005220EA"/>
    <w:rsid w:val="00525840"/>
    <w:rsid w:val="00532089"/>
    <w:rsid w:val="005339AA"/>
    <w:rsid w:val="00542D3C"/>
    <w:rsid w:val="00543B23"/>
    <w:rsid w:val="00567A6B"/>
    <w:rsid w:val="005708BD"/>
    <w:rsid w:val="00575F9C"/>
    <w:rsid w:val="00583D65"/>
    <w:rsid w:val="00586B4B"/>
    <w:rsid w:val="005A0BDA"/>
    <w:rsid w:val="005B32CD"/>
    <w:rsid w:val="005B6782"/>
    <w:rsid w:val="005E0F1F"/>
    <w:rsid w:val="005E7651"/>
    <w:rsid w:val="00604CA5"/>
    <w:rsid w:val="0060716D"/>
    <w:rsid w:val="00625CA3"/>
    <w:rsid w:val="00632186"/>
    <w:rsid w:val="00641262"/>
    <w:rsid w:val="00650B14"/>
    <w:rsid w:val="0065274D"/>
    <w:rsid w:val="00656B39"/>
    <w:rsid w:val="0065734A"/>
    <w:rsid w:val="00660F17"/>
    <w:rsid w:val="00661EFC"/>
    <w:rsid w:val="00676953"/>
    <w:rsid w:val="00683573"/>
    <w:rsid w:val="006850E1"/>
    <w:rsid w:val="006A456B"/>
    <w:rsid w:val="006A4A3E"/>
    <w:rsid w:val="006B08E4"/>
    <w:rsid w:val="006C2F7C"/>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B25D2"/>
    <w:rsid w:val="007B7820"/>
    <w:rsid w:val="007C626E"/>
    <w:rsid w:val="007D0E9F"/>
    <w:rsid w:val="007D229E"/>
    <w:rsid w:val="007D72DC"/>
    <w:rsid w:val="007E224A"/>
    <w:rsid w:val="007E5777"/>
    <w:rsid w:val="007E738F"/>
    <w:rsid w:val="007F5784"/>
    <w:rsid w:val="00845F24"/>
    <w:rsid w:val="008464CD"/>
    <w:rsid w:val="00852D74"/>
    <w:rsid w:val="00856176"/>
    <w:rsid w:val="0086135A"/>
    <w:rsid w:val="0087087E"/>
    <w:rsid w:val="00873235"/>
    <w:rsid w:val="008818C6"/>
    <w:rsid w:val="0088219D"/>
    <w:rsid w:val="00886414"/>
    <w:rsid w:val="008913FF"/>
    <w:rsid w:val="00893434"/>
    <w:rsid w:val="00895E6D"/>
    <w:rsid w:val="00896D14"/>
    <w:rsid w:val="008A248B"/>
    <w:rsid w:val="008B1767"/>
    <w:rsid w:val="008B1C9B"/>
    <w:rsid w:val="008C16AF"/>
    <w:rsid w:val="008C19D9"/>
    <w:rsid w:val="008D36CC"/>
    <w:rsid w:val="008D43BD"/>
    <w:rsid w:val="008D4848"/>
    <w:rsid w:val="008F7215"/>
    <w:rsid w:val="00912558"/>
    <w:rsid w:val="00921830"/>
    <w:rsid w:val="00921C33"/>
    <w:rsid w:val="00924F56"/>
    <w:rsid w:val="009379BF"/>
    <w:rsid w:val="00956AF3"/>
    <w:rsid w:val="00960594"/>
    <w:rsid w:val="00975017"/>
    <w:rsid w:val="00993B57"/>
    <w:rsid w:val="009954CA"/>
    <w:rsid w:val="009A1425"/>
    <w:rsid w:val="009A749E"/>
    <w:rsid w:val="009B5B73"/>
    <w:rsid w:val="009B7956"/>
    <w:rsid w:val="009C5AB1"/>
    <w:rsid w:val="00A20E9D"/>
    <w:rsid w:val="00A22B00"/>
    <w:rsid w:val="00A235B9"/>
    <w:rsid w:val="00A258F1"/>
    <w:rsid w:val="00A26A8C"/>
    <w:rsid w:val="00A26B80"/>
    <w:rsid w:val="00A26D39"/>
    <w:rsid w:val="00A272B2"/>
    <w:rsid w:val="00A42947"/>
    <w:rsid w:val="00A50553"/>
    <w:rsid w:val="00A60406"/>
    <w:rsid w:val="00A65ACC"/>
    <w:rsid w:val="00A665C5"/>
    <w:rsid w:val="00A9421F"/>
    <w:rsid w:val="00AA059B"/>
    <w:rsid w:val="00AB011B"/>
    <w:rsid w:val="00AB35AE"/>
    <w:rsid w:val="00AB456B"/>
    <w:rsid w:val="00AB6794"/>
    <w:rsid w:val="00AC1D30"/>
    <w:rsid w:val="00AC3F48"/>
    <w:rsid w:val="00AD2E08"/>
    <w:rsid w:val="00AE28F8"/>
    <w:rsid w:val="00B07E1C"/>
    <w:rsid w:val="00B07E34"/>
    <w:rsid w:val="00B203DA"/>
    <w:rsid w:val="00B2184A"/>
    <w:rsid w:val="00B31BE5"/>
    <w:rsid w:val="00B366CF"/>
    <w:rsid w:val="00B44C66"/>
    <w:rsid w:val="00B47E19"/>
    <w:rsid w:val="00B518C9"/>
    <w:rsid w:val="00B55621"/>
    <w:rsid w:val="00B57211"/>
    <w:rsid w:val="00B65099"/>
    <w:rsid w:val="00B657C1"/>
    <w:rsid w:val="00B66E2B"/>
    <w:rsid w:val="00B91186"/>
    <w:rsid w:val="00BA13D1"/>
    <w:rsid w:val="00BA32C9"/>
    <w:rsid w:val="00BA4F70"/>
    <w:rsid w:val="00BB21A2"/>
    <w:rsid w:val="00BC2A56"/>
    <w:rsid w:val="00BD6F5E"/>
    <w:rsid w:val="00BE54B3"/>
    <w:rsid w:val="00BE7162"/>
    <w:rsid w:val="00BE7D8F"/>
    <w:rsid w:val="00BF0E17"/>
    <w:rsid w:val="00BF1E42"/>
    <w:rsid w:val="00C008B4"/>
    <w:rsid w:val="00C04F14"/>
    <w:rsid w:val="00C10CF0"/>
    <w:rsid w:val="00C17ABD"/>
    <w:rsid w:val="00C2084A"/>
    <w:rsid w:val="00C247A4"/>
    <w:rsid w:val="00C26C67"/>
    <w:rsid w:val="00C43A4D"/>
    <w:rsid w:val="00C510D4"/>
    <w:rsid w:val="00C5280E"/>
    <w:rsid w:val="00C5409C"/>
    <w:rsid w:val="00C61111"/>
    <w:rsid w:val="00C664BD"/>
    <w:rsid w:val="00C76949"/>
    <w:rsid w:val="00C821A5"/>
    <w:rsid w:val="00C93393"/>
    <w:rsid w:val="00CB7C9F"/>
    <w:rsid w:val="00CC2214"/>
    <w:rsid w:val="00CC3F9E"/>
    <w:rsid w:val="00CD6E00"/>
    <w:rsid w:val="00CF4A6F"/>
    <w:rsid w:val="00D06D8D"/>
    <w:rsid w:val="00D17759"/>
    <w:rsid w:val="00D225B6"/>
    <w:rsid w:val="00D239FA"/>
    <w:rsid w:val="00D43613"/>
    <w:rsid w:val="00D4491F"/>
    <w:rsid w:val="00D56BE3"/>
    <w:rsid w:val="00D7076A"/>
    <w:rsid w:val="00D81F5E"/>
    <w:rsid w:val="00D82806"/>
    <w:rsid w:val="00D84FEA"/>
    <w:rsid w:val="00D92269"/>
    <w:rsid w:val="00D92438"/>
    <w:rsid w:val="00D9576A"/>
    <w:rsid w:val="00DB4368"/>
    <w:rsid w:val="00DB48A1"/>
    <w:rsid w:val="00DC5749"/>
    <w:rsid w:val="00DD14E3"/>
    <w:rsid w:val="00DD2196"/>
    <w:rsid w:val="00DD4133"/>
    <w:rsid w:val="00DE176A"/>
    <w:rsid w:val="00E00A6B"/>
    <w:rsid w:val="00E012C7"/>
    <w:rsid w:val="00E02E88"/>
    <w:rsid w:val="00E101E2"/>
    <w:rsid w:val="00E2329B"/>
    <w:rsid w:val="00E373CE"/>
    <w:rsid w:val="00E529F6"/>
    <w:rsid w:val="00E66922"/>
    <w:rsid w:val="00E705CD"/>
    <w:rsid w:val="00E77899"/>
    <w:rsid w:val="00E8684F"/>
    <w:rsid w:val="00E93F3C"/>
    <w:rsid w:val="00E9555B"/>
    <w:rsid w:val="00EA4BD8"/>
    <w:rsid w:val="00EA6225"/>
    <w:rsid w:val="00EB41F2"/>
    <w:rsid w:val="00EB6ABC"/>
    <w:rsid w:val="00EC2727"/>
    <w:rsid w:val="00EC4CF6"/>
    <w:rsid w:val="00ED38E3"/>
    <w:rsid w:val="00EE594E"/>
    <w:rsid w:val="00F10883"/>
    <w:rsid w:val="00F11844"/>
    <w:rsid w:val="00F17A5D"/>
    <w:rsid w:val="00F2035F"/>
    <w:rsid w:val="00F209DD"/>
    <w:rsid w:val="00F2714A"/>
    <w:rsid w:val="00F308A9"/>
    <w:rsid w:val="00F50DAA"/>
    <w:rsid w:val="00F55F11"/>
    <w:rsid w:val="00F77731"/>
    <w:rsid w:val="00F823FC"/>
    <w:rsid w:val="00F83C17"/>
    <w:rsid w:val="00F96D7F"/>
    <w:rsid w:val="00FA4DB7"/>
    <w:rsid w:val="00FB4E2D"/>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hu/our-work/opinions-information-reports/opinions/quality-jobs-roadmap"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hu/our-work/opinions-information-reports/opinions/european-union-space-services-agency" TargetMode="External"/><Relationship Id="rId42" Type="http://schemas.openxmlformats.org/officeDocument/2006/relationships/hyperlink" Target="https://www.eesc.europa.eu/hu/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hu/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Bartek.Bednarowicz@eesc.europa.eu" TargetMode="External"/><Relationship Id="rId11" Type="http://schemas.openxmlformats.org/officeDocument/2006/relationships/image" Target="media/image1.jpeg"/><Relationship Id="rId24" Type="http://schemas.openxmlformats.org/officeDocument/2006/relationships/hyperlink" Target="https://www.eesc.europa.eu/hu/our-work/opinions-information-reports/opinions/gender-equality-strategy-2026-2030" TargetMode="External"/><Relationship Id="rId32" Type="http://schemas.openxmlformats.org/officeDocument/2006/relationships/hyperlink" Target="https://www.eesc.europa.eu/hu/our-work/opinions-information-reports/opinions/action-plan-drone-and-counter-drone-security" TargetMode="External"/><Relationship Id="rId37" Type="http://schemas.openxmlformats.org/officeDocument/2006/relationships/hyperlink" Target="https://www.eesc.europa.eu/hu/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hu/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hu/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hu/our-work/opinions-information-reports/opinions/targeted-amendment-eu-fertiliser-action-plan" TargetMode="External"/><Relationship Id="rId56" Type="http://schemas.openxmlformats.org/officeDocument/2006/relationships/hyperlink" Target="https://www.eesc.europa.eu/hu/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en/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hu/our-work/opinions-information-reports/opinions/eu-inc-single-harmonised-set-rules-innovative-companies-throughout-eu-0" TargetMode="External"/><Relationship Id="rId59" Type="http://schemas.openxmlformats.org/officeDocument/2006/relationships/header" Target="header5.xml"/><Relationship Id="rId20" Type="http://schemas.openxmlformats.org/officeDocument/2006/relationships/hyperlink" Target="https://www.eesc.europa.eu/hu/our-work/opinions-information-reports/opinions/anti-racism-strategy"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hu/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hu/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hu/our-work/opinions-information-reports/opinions/revision-carbon-border-adjustment-mechanism-cbam" TargetMode="External"/><Relationship Id="rId57" Type="http://schemas.openxmlformats.org/officeDocument/2006/relationships/hyperlink" Target="mailto:Ioannis.Diamantopoulos@eesc.europa.eu" TargetMode="External"/><Relationship Id="rId10" Type="http://schemas.openxmlformats.org/officeDocument/2006/relationships/endnotes" Target="endnotes.xml"/><Relationship Id="rId31" Type="http://schemas.openxmlformats.org/officeDocument/2006/relationships/hyperlink" Target="mailto:Maja.Radman@eesc.europa.eu" TargetMode="External"/><Relationship Id="rId44" Type="http://schemas.openxmlformats.org/officeDocument/2006/relationships/hyperlink" Target="https://www.eesc.europa.eu/en/our-work/opinions-information-reports/opinions/industrial-accelerator-act-0" TargetMode="External"/><Relationship Id="rId52" Type="http://schemas.openxmlformats.org/officeDocument/2006/relationships/hyperlink" Target="https://www.eesc.europa.eu/hu/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https://www.eesc.europa.eu/hu/our-work/opinions-information-reports/opinions/european-high-speed-railways-network-2040-strategic-social-and-industrial-project-european-un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HU/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VP3JK3XSEPRV-1795132703-8901</_dlc_DocId>
    <_dlc_DocIdUrl xmlns="7d640e6d-779c-472f-a269-6b546787f1c9">
      <Url>http://dm/eesc/2026/_layouts/15/DocIdRedir.aspx?ID=VP3JK3XSEPRV-1795132703-8901</Url>
      <Description>VP3JK3XSEPRV-1795132703-8901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HU</TermName>
          <TermId xmlns="http://schemas.microsoft.com/office/infopath/2007/PartnerControls">6b229040-c589-4408-b4c1-4285663d20a8</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Maszlag Andrea</DisplayName>
        <AccountId>1470</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3.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4.xml><?xml version="1.0" encoding="utf-8"?>
<ds:datastoreItem xmlns:ds="http://schemas.openxmlformats.org/officeDocument/2006/customXml" ds:itemID="{7F72CE6E-69B2-4DA9-AFE5-87F01B286D53}"/>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6242</Words>
  <Characters>47442</Characters>
  <Application>Microsoft Office Word</Application>
  <DocSecurity>0</DocSecurity>
  <Lines>1009</Lines>
  <Paragraphs>492</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elfogadott vélemények összefoglalása - 607. Plenáris ülésszak - 2026. július</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2026-09-01T07:45:00Z</dcterms:created>
  <dcterms:modified xsi:type="dcterms:W3CDTF">2026-09-01T09:09:00Z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25/08/2026, 02/05/2022, 02/05/2022, 28/06/2021</vt:lpwstr>
  </property>
  <property fmtid="{D5CDD505-2E9C-101B-9397-08002B2CF9AE}" pid="4" name="Pref_Time">
    <vt:lpwstr>15:00:43, 12:28:29, 12:25:37, 08:41:48</vt:lpwstr>
  </property>
  <property fmtid="{D5CDD505-2E9C-101B-9397-08002B2CF9AE}" pid="5" name="Pref_User">
    <vt:lpwstr>pacup, enied, enied, enied</vt:lpwstr>
  </property>
  <property fmtid="{D5CDD505-2E9C-101B-9397-08002B2CF9AE}" pid="6" name="Pref_FileName">
    <vt:lpwstr>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a1298392-9edb-442e-b936-a49b6609e80a</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31;#SL|98a412ae-eb01-49e9-ae3d-585a81724cfc;#30;#SK|46d9fce0-ef79-4f71-b89b-cd6aa82426b8;#25;#FI|87606a43-d45f-42d6-b8c9-e1a3457db5b7;#59;#SPL-CES|32d8cb1f-c9ec-4365-95c7-8385a18618ac;#19;#Unrestricted|826e22d7-d029-4ec0-a450-0c28ff673572;#18;#TCD|cd9d6eb6-3f4f-424a-b2d1-57c9d450eaaf;#13;#IT|0774613c-01ed-4e5d-a25d-11d2388de825;#12;#ES|e7a6b05b-ae16-40c8-add9-68b64b03aeba;#9;#TRA|150d2a88-1431-44e6-a8ca-0bb753ab8672;#45;#SV|c2ed69e7-a339-43d7-8f22-d93680a92aa0;#7;#Final|ea5e6674-7b27-4bac-b091-73adbb394efe;#43;#BG|1a1b3951-7821-4e6a-85f5-5673fc08bd2c;#4;#EN|f2175f21-25d7-44a3-96da-d6a61b075e1b;#1;#EESC|422833ec-8d7e-4e65-8e4e-8bed07ffb729</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37;#HU|6b229040-c589-4408-b4c1-4285663d20a8</vt:lpwstr>
  </property>
  <property fmtid="{D5CDD505-2E9C-101B-9397-08002B2CF9AE}" pid="33" name="AvailableTranslations_0">
    <vt:lpwstr>EN|f2175f21-25d7-44a3-96da-d6a61b075e1b;IT|0774613c-01ed-4e5d-a25d-11d2388de825;ES|e7a6b05b-ae16-40c8-add9-68b64b03aeba;SV|c2ed69e7-a339-43d7-8f22-d93680a92aa0;SK|46d9fce0-ef79-4f71-b89b-cd6aa82426b8;FI|87606a43-d45f-42d6-b8c9-e1a3457db5b7;SL|98a412ae-eb01-49e9-ae3d-585a81724cfc;HR|2f555653-ed1a-4fe6-8362-9082d95989e5;BG|1a1b3951-7821-4e6a-85f5-5673fc08bd2c</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