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2B9F12B6" w:rsidR="004D7AC0" w:rsidRDefault="00E519ED" w:rsidP="001766B2">
      <w:pPr>
        <w:jc w:val="center"/>
      </w:pPr>
      <w:r>
        <w:rPr>
          <w:noProof/>
        </w:rPr>
        <w:drawing>
          <wp:inline distT="0" distB="0" distL="0" distR="0" wp14:anchorId="359882CE" wp14:editId="1E227995">
            <wp:extent cx="1792605" cy="1239520"/>
            <wp:effectExtent l="0" t="0" r="0" b="0"/>
            <wp:docPr id="1" name="Picture 1" title="EESCLogo_ES"/>
            <wp:cNvGraphicFramePr/>
            <a:graphic xmlns:a="http://schemas.openxmlformats.org/drawingml/2006/main">
              <a:graphicData uri="http://schemas.openxmlformats.org/drawingml/2006/picture">
                <pic:pic xmlns:pic="http://schemas.openxmlformats.org/drawingml/2006/picture">
                  <pic:nvPicPr>
                    <pic:cNvPr id="1" name="Picture 1" title="EESCLogo_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109D91D5">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ES</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Bruselas, 1 de septiembre de 2026</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607.º PLENO</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15 y 16 de julio de 2026</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SÍNTESIS DE LOS DICTÁMENES APROBADOS</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 xml:space="preserve">Este documento puede consultarse en todas las lenguas oficiales de la Unión Europea en el sitio internet del CESE en la siguiente dirección: </w:t>
            </w:r>
            <w:r>
              <w:br/>
            </w:r>
            <w:r>
              <w:br/>
            </w:r>
            <w:hyperlink r:id="rId12" w:history="1">
              <w:r>
                <w:rPr>
                  <w:rStyle w:val="Hyperlink"/>
                </w:rPr>
                <w:t>https://www.eesc.europa.eu/es/our-work/opinions-information-reports/plenary-session-summaries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 xml:space="preserve">Los dictámenes mencionados pueden consultarse en línea </w:t>
            </w:r>
            <w:r>
              <w:br/>
              <w:t>utilizando el motor de búsqueda del CESE:</w:t>
            </w:r>
            <w:r>
              <w:br/>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Índice:</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37A68365" w14:textId="4B7527FB" w:rsidR="00B654D5" w:rsidRDefault="004D7AC0">
          <w:pPr>
            <w:pStyle w:val="TOC1"/>
            <w:tabs>
              <w:tab w:val="left" w:pos="440"/>
              <w:tab w:val="right" w:leader="dot" w:pos="9063"/>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239145863" w:history="1">
            <w:r w:rsidR="00B654D5" w:rsidRPr="002D4602">
              <w:rPr>
                <w:rStyle w:val="Hyperlink"/>
                <w:bCs/>
                <w:noProof/>
              </w:rPr>
              <w:t>1.</w:t>
            </w:r>
            <w:r w:rsidR="00B654D5">
              <w:rPr>
                <w:rFonts w:asciiTheme="minorHAnsi" w:eastAsiaTheme="minorEastAsia" w:hAnsiTheme="minorHAnsi" w:cstheme="minorBidi"/>
                <w:noProof/>
                <w:lang w:val="en-US"/>
              </w:rPr>
              <w:tab/>
            </w:r>
            <w:r w:rsidR="00B654D5" w:rsidRPr="002D4602">
              <w:rPr>
                <w:rStyle w:val="Hyperlink"/>
                <w:b/>
                <w:noProof/>
              </w:rPr>
              <w:t>EMPLEO, ASUNTOS SOCIALES Y CIUDADANÍA</w:t>
            </w:r>
            <w:r w:rsidR="00B654D5">
              <w:rPr>
                <w:noProof/>
                <w:webHidden/>
              </w:rPr>
              <w:tab/>
            </w:r>
            <w:r w:rsidR="00B654D5">
              <w:rPr>
                <w:noProof/>
                <w:webHidden/>
              </w:rPr>
              <w:fldChar w:fldCharType="begin"/>
            </w:r>
            <w:r w:rsidR="00B654D5">
              <w:rPr>
                <w:noProof/>
                <w:webHidden/>
              </w:rPr>
              <w:instrText xml:space="preserve"> PAGEREF _Toc239145863 \h </w:instrText>
            </w:r>
            <w:r w:rsidR="00B654D5">
              <w:rPr>
                <w:noProof/>
                <w:webHidden/>
              </w:rPr>
            </w:r>
            <w:r w:rsidR="00B654D5">
              <w:rPr>
                <w:noProof/>
                <w:webHidden/>
              </w:rPr>
              <w:fldChar w:fldCharType="separate"/>
            </w:r>
            <w:r w:rsidR="00B654D5">
              <w:rPr>
                <w:noProof/>
                <w:webHidden/>
              </w:rPr>
              <w:t>6</w:t>
            </w:r>
            <w:r w:rsidR="00B654D5">
              <w:rPr>
                <w:noProof/>
                <w:webHidden/>
              </w:rPr>
              <w:fldChar w:fldCharType="end"/>
            </w:r>
          </w:hyperlink>
        </w:p>
        <w:p w14:paraId="22C7C66A" w14:textId="542F550B" w:rsidR="00B654D5" w:rsidRDefault="00B654D5">
          <w:pPr>
            <w:pStyle w:val="TOC1"/>
            <w:tabs>
              <w:tab w:val="left" w:pos="440"/>
              <w:tab w:val="right" w:leader="dot" w:pos="9063"/>
            </w:tabs>
            <w:rPr>
              <w:rFonts w:asciiTheme="minorHAnsi" w:eastAsiaTheme="minorEastAsia" w:hAnsiTheme="minorHAnsi" w:cstheme="minorBidi"/>
              <w:noProof/>
              <w:lang w:val="en-US"/>
            </w:rPr>
          </w:pPr>
          <w:hyperlink w:anchor="_Toc239145882" w:history="1">
            <w:r w:rsidRPr="002D4602">
              <w:rPr>
                <w:rStyle w:val="Hyperlink"/>
                <w:bCs/>
                <w:noProof/>
              </w:rPr>
              <w:t>2.</w:t>
            </w:r>
            <w:r>
              <w:rPr>
                <w:rFonts w:asciiTheme="minorHAnsi" w:eastAsiaTheme="minorEastAsia" w:hAnsiTheme="minorHAnsi" w:cstheme="minorBidi"/>
                <w:noProof/>
                <w:lang w:val="en-US"/>
              </w:rPr>
              <w:tab/>
            </w:r>
            <w:r w:rsidRPr="002D4602">
              <w:rPr>
                <w:rStyle w:val="Hyperlink"/>
                <w:b/>
                <w:noProof/>
              </w:rPr>
              <w:t>TRANSPORTE, ENERGÍA, INFRAESTRUCTURAS Y SOCIEDAD DE LA INFORMACIÓN</w:t>
            </w:r>
            <w:r>
              <w:rPr>
                <w:noProof/>
                <w:webHidden/>
              </w:rPr>
              <w:tab/>
            </w:r>
            <w:r>
              <w:rPr>
                <w:noProof/>
                <w:webHidden/>
              </w:rPr>
              <w:fldChar w:fldCharType="begin"/>
            </w:r>
            <w:r>
              <w:rPr>
                <w:noProof/>
                <w:webHidden/>
              </w:rPr>
              <w:instrText xml:space="preserve"> PAGEREF _Toc239145882 \h </w:instrText>
            </w:r>
            <w:r>
              <w:rPr>
                <w:noProof/>
                <w:webHidden/>
              </w:rPr>
            </w:r>
            <w:r>
              <w:rPr>
                <w:noProof/>
                <w:webHidden/>
              </w:rPr>
              <w:fldChar w:fldCharType="separate"/>
            </w:r>
            <w:r>
              <w:rPr>
                <w:noProof/>
                <w:webHidden/>
              </w:rPr>
              <w:t>14</w:t>
            </w:r>
            <w:r>
              <w:rPr>
                <w:noProof/>
                <w:webHidden/>
              </w:rPr>
              <w:fldChar w:fldCharType="end"/>
            </w:r>
          </w:hyperlink>
        </w:p>
        <w:p w14:paraId="6513936B" w14:textId="1D5AE4D9" w:rsidR="00B654D5" w:rsidRDefault="00B654D5">
          <w:pPr>
            <w:pStyle w:val="TOC1"/>
            <w:tabs>
              <w:tab w:val="left" w:pos="440"/>
              <w:tab w:val="right" w:leader="dot" w:pos="9063"/>
            </w:tabs>
            <w:rPr>
              <w:rFonts w:asciiTheme="minorHAnsi" w:eastAsiaTheme="minorEastAsia" w:hAnsiTheme="minorHAnsi" w:cstheme="minorBidi"/>
              <w:noProof/>
              <w:lang w:val="en-US"/>
            </w:rPr>
          </w:pPr>
          <w:hyperlink w:anchor="_Toc239145883" w:history="1">
            <w:r w:rsidRPr="002D4602">
              <w:rPr>
                <w:rStyle w:val="Hyperlink"/>
                <w:bCs/>
                <w:noProof/>
              </w:rPr>
              <w:t>3.</w:t>
            </w:r>
            <w:r>
              <w:rPr>
                <w:rFonts w:asciiTheme="minorHAnsi" w:eastAsiaTheme="minorEastAsia" w:hAnsiTheme="minorHAnsi" w:cstheme="minorBidi"/>
                <w:noProof/>
                <w:lang w:val="en-US"/>
              </w:rPr>
              <w:tab/>
            </w:r>
            <w:r w:rsidRPr="002D4602">
              <w:rPr>
                <w:rStyle w:val="Hyperlink"/>
                <w:b/>
                <w:noProof/>
              </w:rPr>
              <w:t>MERCADO ÚNICO, PRODUCCIÓN Y CONSUMO</w:t>
            </w:r>
            <w:r>
              <w:rPr>
                <w:noProof/>
                <w:webHidden/>
              </w:rPr>
              <w:tab/>
            </w:r>
            <w:r>
              <w:rPr>
                <w:noProof/>
                <w:webHidden/>
              </w:rPr>
              <w:fldChar w:fldCharType="begin"/>
            </w:r>
            <w:r>
              <w:rPr>
                <w:noProof/>
                <w:webHidden/>
              </w:rPr>
              <w:instrText xml:space="preserve"> PAGEREF _Toc239145883 \h </w:instrText>
            </w:r>
            <w:r>
              <w:rPr>
                <w:noProof/>
                <w:webHidden/>
              </w:rPr>
            </w:r>
            <w:r>
              <w:rPr>
                <w:noProof/>
                <w:webHidden/>
              </w:rPr>
              <w:fldChar w:fldCharType="separate"/>
            </w:r>
            <w:r>
              <w:rPr>
                <w:noProof/>
                <w:webHidden/>
              </w:rPr>
              <w:t>25</w:t>
            </w:r>
            <w:r>
              <w:rPr>
                <w:noProof/>
                <w:webHidden/>
              </w:rPr>
              <w:fldChar w:fldCharType="end"/>
            </w:r>
          </w:hyperlink>
        </w:p>
        <w:p w14:paraId="3B0B5194" w14:textId="4EF85117" w:rsidR="00B654D5" w:rsidRDefault="00B654D5">
          <w:pPr>
            <w:pStyle w:val="TOC1"/>
            <w:tabs>
              <w:tab w:val="left" w:pos="440"/>
              <w:tab w:val="right" w:leader="dot" w:pos="9063"/>
            </w:tabs>
            <w:rPr>
              <w:rFonts w:asciiTheme="minorHAnsi" w:eastAsiaTheme="minorEastAsia" w:hAnsiTheme="minorHAnsi" w:cstheme="minorBidi"/>
              <w:noProof/>
              <w:lang w:val="en-US"/>
            </w:rPr>
          </w:pPr>
          <w:hyperlink w:anchor="_Toc239145884" w:history="1">
            <w:r w:rsidRPr="002D4602">
              <w:rPr>
                <w:rStyle w:val="Hyperlink"/>
                <w:bCs/>
                <w:noProof/>
              </w:rPr>
              <w:t>4.</w:t>
            </w:r>
            <w:r>
              <w:rPr>
                <w:rFonts w:asciiTheme="minorHAnsi" w:eastAsiaTheme="minorEastAsia" w:hAnsiTheme="minorHAnsi" w:cstheme="minorBidi"/>
                <w:noProof/>
                <w:lang w:val="en-US"/>
              </w:rPr>
              <w:tab/>
            </w:r>
            <w:r w:rsidRPr="002D4602">
              <w:rPr>
                <w:rStyle w:val="Hyperlink"/>
                <w:b/>
                <w:noProof/>
              </w:rPr>
              <w:t>AGRICULTURA, DESARROLLO RURAL Y MEDIO AMBIENTE</w:t>
            </w:r>
            <w:r>
              <w:rPr>
                <w:noProof/>
                <w:webHidden/>
              </w:rPr>
              <w:tab/>
            </w:r>
            <w:r>
              <w:rPr>
                <w:noProof/>
                <w:webHidden/>
              </w:rPr>
              <w:fldChar w:fldCharType="begin"/>
            </w:r>
            <w:r>
              <w:rPr>
                <w:noProof/>
                <w:webHidden/>
              </w:rPr>
              <w:instrText xml:space="preserve"> PAGEREF _Toc239145884 \h </w:instrText>
            </w:r>
            <w:r>
              <w:rPr>
                <w:noProof/>
                <w:webHidden/>
              </w:rPr>
            </w:r>
            <w:r>
              <w:rPr>
                <w:noProof/>
                <w:webHidden/>
              </w:rPr>
              <w:fldChar w:fldCharType="separate"/>
            </w:r>
            <w:r>
              <w:rPr>
                <w:noProof/>
                <w:webHidden/>
              </w:rPr>
              <w:t>27</w:t>
            </w:r>
            <w:r>
              <w:rPr>
                <w:noProof/>
                <w:webHidden/>
              </w:rPr>
              <w:fldChar w:fldCharType="end"/>
            </w:r>
          </w:hyperlink>
        </w:p>
        <w:p w14:paraId="2BA513E5" w14:textId="52559202" w:rsidR="00B654D5" w:rsidRDefault="00B654D5">
          <w:pPr>
            <w:pStyle w:val="TOC1"/>
            <w:tabs>
              <w:tab w:val="left" w:pos="440"/>
              <w:tab w:val="right" w:leader="dot" w:pos="9063"/>
            </w:tabs>
            <w:rPr>
              <w:rFonts w:asciiTheme="minorHAnsi" w:eastAsiaTheme="minorEastAsia" w:hAnsiTheme="minorHAnsi" w:cstheme="minorBidi"/>
              <w:noProof/>
              <w:lang w:val="en-US"/>
            </w:rPr>
          </w:pPr>
          <w:hyperlink w:anchor="_Toc239145894" w:history="1">
            <w:r w:rsidRPr="002D4602">
              <w:rPr>
                <w:rStyle w:val="Hyperlink"/>
                <w:bCs/>
                <w:noProof/>
              </w:rPr>
              <w:t>5.</w:t>
            </w:r>
            <w:r>
              <w:rPr>
                <w:rFonts w:asciiTheme="minorHAnsi" w:eastAsiaTheme="minorEastAsia" w:hAnsiTheme="minorHAnsi" w:cstheme="minorBidi"/>
                <w:noProof/>
                <w:lang w:val="en-US"/>
              </w:rPr>
              <w:tab/>
            </w:r>
            <w:r w:rsidRPr="002D4602">
              <w:rPr>
                <w:rStyle w:val="Hyperlink"/>
                <w:b/>
                <w:noProof/>
              </w:rPr>
              <w:t>COMISIÓN CONSULTIVA DE LAS TRANSFORMACIONES INDU</w:t>
            </w:r>
            <w:r w:rsidRPr="002D4602">
              <w:rPr>
                <w:rStyle w:val="Hyperlink"/>
                <w:b/>
                <w:noProof/>
              </w:rPr>
              <w:t>S</w:t>
            </w:r>
            <w:r w:rsidRPr="002D4602">
              <w:rPr>
                <w:rStyle w:val="Hyperlink"/>
                <w:b/>
                <w:noProof/>
              </w:rPr>
              <w:t>TRIALES</w:t>
            </w:r>
            <w:r>
              <w:rPr>
                <w:noProof/>
                <w:webHidden/>
              </w:rPr>
              <w:tab/>
            </w:r>
            <w:r>
              <w:rPr>
                <w:noProof/>
                <w:webHidden/>
              </w:rPr>
              <w:fldChar w:fldCharType="begin"/>
            </w:r>
            <w:r>
              <w:rPr>
                <w:noProof/>
                <w:webHidden/>
              </w:rPr>
              <w:instrText xml:space="preserve"> PAGEREF _Toc239145894 \h </w:instrText>
            </w:r>
            <w:r>
              <w:rPr>
                <w:noProof/>
                <w:webHidden/>
              </w:rPr>
            </w:r>
            <w:r>
              <w:rPr>
                <w:noProof/>
                <w:webHidden/>
              </w:rPr>
              <w:fldChar w:fldCharType="separate"/>
            </w:r>
            <w:r>
              <w:rPr>
                <w:noProof/>
                <w:webHidden/>
              </w:rPr>
              <w:t>32</w:t>
            </w:r>
            <w:r>
              <w:rPr>
                <w:noProof/>
                <w:webHidden/>
              </w:rPr>
              <w:fldChar w:fldCharType="end"/>
            </w:r>
          </w:hyperlink>
        </w:p>
        <w:p w14:paraId="4982DD6A" w14:textId="76F8F10F"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9145863"/>
      <w:r>
        <w:rPr>
          <w:b/>
        </w:rPr>
        <w:lastRenderedPageBreak/>
        <w:t>EMPLEO, ASUNTOS SOCIALES Y CIUDADANÍA</w:t>
      </w:r>
      <w:bookmarkEnd w:id="0"/>
      <w:bookmarkEnd w:id="1"/>
    </w:p>
    <w:p w14:paraId="4982DD9A" w14:textId="77777777" w:rsidR="004D7AC0" w:rsidRDefault="004D7AC0" w:rsidP="001766B2"/>
    <w:p w14:paraId="79191CF8" w14:textId="5D2708BE" w:rsidR="00B91186" w:rsidRPr="00B91186" w:rsidRDefault="00A54D93"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sidR="00E519ED">
          <w:rPr>
            <w:b/>
            <w:i/>
            <w:color w:val="0000FF"/>
            <w:sz w:val="28"/>
            <w:u w:val="single"/>
          </w:rPr>
          <w:t>Estrategia de Lucha contra el Racismo</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Ponente</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(Grupo de Trabajadores – 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COM(2026)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Puntos clave</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El CESE:</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insiste en que la aplicación de la Estrategia de Lucha contra el Racismo 2026-2030 cuente con el respaldo de una verdadera voluntad política, dada la gravedad de la evolución del racismo en la UE;</w:t>
      </w:r>
    </w:p>
    <w:p w14:paraId="20218099"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espera que la Estrategia ayude tanto a las instituciones de la UE como a las de los Estados miembros a intensificar la lucha contra el racismo y la discriminación estructural, y que sus iniciativas y resultados sean objeto de una evaluación minuciosa;</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expresa su profunda preocupación por el aumento de los actos racistas, la hostilidad alimentada por el discurso político, la incitación al odio y la xenofobia, que afectan en particular a minorías, migrantes y grupos vulnerables;</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considera que los objetivos basados en incentivos sin ninguna obligación ni seguimiento limitaron la eficiencia de la anterior estrategia contra el racismo, e insta a dotar a la nueva estrategia de mecanismos vinculantes: incluidos indicadores comunes, informes periódicos y condicionalidad de los fondos;</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toma nota del refuerzo de la aplicación de la legislación vigente en materia de lucha contra la discriminación y pide sanciones efectivas, proporcionadas y disuasorias, y que la Comisión utilice los procedimientos de infracción de manera proactiva;</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anima a los Estados miembros a adoptar planes nacionales que incluyan un calendario, indicadores comunes e informes, y a designar coordinadores nacionales dotados de recursos y con mandatos claros;</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destaca la necesidad de integrar la lucha contra el racismo en toda la sociedad garantizando financiación a largo plazo e inversiones específicas que permitan abordar las causas profundas del racismo;</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apoya nuevas medidas basadas en datos contrastados, incluidos estudios sobre los riesgos de discriminación en materia de vivienda, y pide acciones de «prueba» sobre discriminación y políticas para prevenir y sancionar la desigualdad en el acceso a la vivienda;</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pide que se preste mayor atención a las desigualdades en materia de salud, con el fin de garantizar la igualdad de acceso a una asistencia sanitaria de calidad, en particular para los grupos vulnerables y minoritarios, sobre todo las mujeres migrantes;</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hace hincapié en la importancia de la educación a la hora de abordar las raíces históricas del racismo y recomienda la elaboración de planes de estudios actualizados, formación del profesorado y un enfoque abierto de la historia europea del colonialismo y la esclavitud;</w:t>
      </w:r>
    </w:p>
    <w:p w14:paraId="6D1BDA1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 xml:space="preserve">apoya el refuerzo de la recogida y el análisis de datos, también a través de Eurostat, la Agencia de </w:t>
      </w:r>
      <w:r>
        <w:lastRenderedPageBreak/>
        <w:t>los Derechos Fundamentales y la cooperación con las instituciones nacionales de derechos humanos, para supervisar tendencias y anticipar riesgos;</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pide una acción más firme contra el racismo en el lugar de trabajo, promoviendo la negociación colectiva para abordar las medidas contra la discriminación, las normas empresariales y las iniciativas de formación;</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acoge con satisfacción el aumento de la financiación de la Unión para la lucha contra el racismo, al tiempo que pide una asignación más clara, o incluso una aportación adicional, en el próximo presupuesto de la Unión;</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apoya la equidad intergeneracional y los derechos de los niños, y pide políticas que promuevan la igualdad de oportunidades y la movilidad social para los jóvenes pertenecientes a minorías;</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expresa su preocupación por el aumento del odio en línea y pide reforzar la vigilancia de las plataformas, medidas contra los algoritmos que facilitan la viralidad del odio y una aplicación más estricta de la legislación digital de la Unión.</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Contacto:</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Jean-Marie ROGUE</w:t>
            </w:r>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Teléfono:</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+32 25468909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Correo electrónico:</w:t>
            </w:r>
          </w:p>
        </w:tc>
        <w:tc>
          <w:tcPr>
            <w:tcW w:w="3923" w:type="pct"/>
          </w:tcPr>
          <w:p w14:paraId="1E50F806" w14:textId="77777777" w:rsidR="00B91186" w:rsidRPr="00B91186" w:rsidRDefault="00A54D93" w:rsidP="00B91186">
            <w:pPr>
              <w:overflowPunct w:val="0"/>
              <w:autoSpaceDE w:val="0"/>
              <w:autoSpaceDN w:val="0"/>
              <w:adjustRightInd w:val="0"/>
              <w:textAlignment w:val="baseline"/>
              <w:rPr>
                <w:i/>
              </w:rPr>
            </w:pPr>
            <w:hyperlink r:id="rId21" w:history="1">
              <w:r w:rsidR="00E519ED">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A54D93" w:rsidP="003E07BA">
      <w:pPr>
        <w:widowControl w:val="0"/>
        <w:numPr>
          <w:ilvl w:val="0"/>
          <w:numId w:val="5"/>
        </w:numPr>
        <w:overflowPunct w:val="0"/>
        <w:autoSpaceDE w:val="0"/>
        <w:autoSpaceDN w:val="0"/>
        <w:adjustRightInd w:val="0"/>
        <w:ind w:left="567" w:hanging="567"/>
        <w:textAlignment w:val="baseline"/>
        <w:rPr>
          <w:b/>
        </w:rPr>
      </w:pPr>
      <w:hyperlink r:id="rId22" w:history="1">
        <w:r w:rsidR="00E519ED">
          <w:rPr>
            <w:b/>
            <w:i/>
            <w:color w:val="0000FF"/>
            <w:sz w:val="28"/>
            <w:u w:val="single"/>
          </w:rPr>
          <w:t>Estrategia Europea de Migración y Asilo</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3E07BA" w14:paraId="67B49237" w14:textId="77777777" w:rsidTr="005F46FA">
        <w:tc>
          <w:tcPr>
            <w:tcW w:w="1834"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Ponente</w:t>
            </w:r>
          </w:p>
        </w:tc>
        <w:tc>
          <w:tcPr>
            <w:tcW w:w="6237" w:type="dxa"/>
          </w:tcPr>
          <w:p w14:paraId="18D61371" w14:textId="77777777" w:rsidR="003E07BA" w:rsidRPr="003E07BA" w:rsidRDefault="003E07BA" w:rsidP="003E07BA">
            <w:pPr>
              <w:overflowPunct w:val="0"/>
              <w:autoSpaceDE w:val="0"/>
              <w:autoSpaceDN w:val="0"/>
              <w:adjustRightInd w:val="0"/>
              <w:ind w:left="567" w:hanging="567"/>
              <w:textAlignment w:val="baseline"/>
            </w:pPr>
            <w:r>
              <w:t>José Antonio MORENO DÍAZ (Grupo de Trabajadores – ES)</w:t>
            </w:r>
          </w:p>
        </w:tc>
      </w:tr>
      <w:tr w:rsidR="003E07BA" w:rsidRPr="003E07BA" w14:paraId="14FEBAC3" w14:textId="77777777" w:rsidTr="005F46FA">
        <w:tc>
          <w:tcPr>
            <w:tcW w:w="1834" w:type="dxa"/>
          </w:tcPr>
          <w:p w14:paraId="155A42B7" w14:textId="77777777" w:rsidR="003E07BA" w:rsidRPr="00231BDA" w:rsidRDefault="003E07BA" w:rsidP="003E07BA">
            <w:pPr>
              <w:tabs>
                <w:tab w:val="center" w:pos="284"/>
              </w:tabs>
              <w:overflowPunct w:val="0"/>
              <w:autoSpaceDE w:val="0"/>
              <w:autoSpaceDN w:val="0"/>
              <w:adjustRightInd w:val="0"/>
              <w:ind w:left="567" w:hanging="567"/>
              <w:textAlignment w:val="baseline"/>
              <w:rPr>
                <w:b/>
                <w:sz w:val="14"/>
                <w:szCs w:val="14"/>
              </w:rPr>
            </w:pPr>
          </w:p>
        </w:tc>
        <w:tc>
          <w:tcPr>
            <w:tcW w:w="6237" w:type="dxa"/>
          </w:tcPr>
          <w:p w14:paraId="42BE2E30" w14:textId="77777777" w:rsidR="003E07BA" w:rsidRPr="00231BDA" w:rsidRDefault="003E07BA" w:rsidP="003E07BA">
            <w:pPr>
              <w:overflowPunct w:val="0"/>
              <w:autoSpaceDE w:val="0"/>
              <w:autoSpaceDN w:val="0"/>
              <w:adjustRightInd w:val="0"/>
              <w:ind w:left="567" w:hanging="567"/>
              <w:textAlignment w:val="baseline"/>
              <w:rPr>
                <w:sz w:val="14"/>
                <w:szCs w:val="14"/>
              </w:rPr>
            </w:pPr>
          </w:p>
        </w:tc>
      </w:tr>
      <w:tr w:rsidR="003E07BA" w:rsidRPr="003E07BA" w14:paraId="77CA798F" w14:textId="77777777" w:rsidTr="005F46FA">
        <w:tc>
          <w:tcPr>
            <w:tcW w:w="1834"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Referencias</w:t>
            </w:r>
          </w:p>
        </w:tc>
        <w:tc>
          <w:tcPr>
            <w:tcW w:w="6237"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r>
              <w:t>COM(2026) 45 final</w:t>
            </w:r>
          </w:p>
          <w:p w14:paraId="48BC3859" w14:textId="0CBE0A5A" w:rsidR="003E07BA" w:rsidRPr="003E07BA" w:rsidRDefault="003E07BA" w:rsidP="003E07BA">
            <w:pPr>
              <w:tabs>
                <w:tab w:val="center" w:pos="284"/>
              </w:tabs>
              <w:overflowPunct w:val="0"/>
              <w:autoSpaceDE w:val="0"/>
              <w:autoSpaceDN w:val="0"/>
              <w:adjustRightInd w:val="0"/>
              <w:ind w:left="567" w:hanging="567"/>
              <w:textAlignment w:val="baseline"/>
            </w:pPr>
            <w:r>
              <w:t>EESC-2026-00703-00-00-AC</w:t>
            </w:r>
          </w:p>
        </w:tc>
      </w:tr>
      <w:tr w:rsidR="003E07BA" w:rsidRPr="003E07BA" w14:paraId="30AA0CCB" w14:textId="77777777" w:rsidTr="005F46FA">
        <w:tc>
          <w:tcPr>
            <w:tcW w:w="1834"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lang w:val="pt-PT"/>
              </w:rPr>
            </w:pPr>
          </w:p>
        </w:tc>
        <w:tc>
          <w:tcPr>
            <w:tcW w:w="6237"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lang w:val="pt-PT"/>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Puntos clave</w:t>
      </w:r>
    </w:p>
    <w:p w14:paraId="172BAF30" w14:textId="77777777" w:rsidR="003E07BA" w:rsidRPr="003E07BA" w:rsidRDefault="003E07BA" w:rsidP="003E07BA">
      <w:pPr>
        <w:spacing w:before="100" w:beforeAutospacing="1" w:after="100" w:afterAutospacing="1" w:line="240" w:lineRule="auto"/>
        <w:jc w:val="left"/>
        <w:rPr>
          <w:b/>
          <w:bCs/>
        </w:rPr>
      </w:pPr>
      <w:r>
        <w:t>El CESE:</w:t>
      </w:r>
    </w:p>
    <w:p w14:paraId="01EC8DCC"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2" w:name="_Toc235200275"/>
      <w:bookmarkStart w:id="3" w:name="_Toc239145864"/>
      <w:r>
        <w:rPr>
          <w:b/>
        </w:rPr>
        <w:t>toma nota</w:t>
      </w:r>
      <w:r>
        <w:t xml:space="preserve"> de la </w:t>
      </w:r>
      <w:r>
        <w:rPr>
          <w:b/>
        </w:rPr>
        <w:t>primera Estrategia Europea de Gestión del Asilo y la Migración</w:t>
      </w:r>
      <w:r>
        <w:t xml:space="preserve"> y </w:t>
      </w:r>
      <w:r>
        <w:rPr>
          <w:b/>
        </w:rPr>
        <w:t>reconoce</w:t>
      </w:r>
      <w:r>
        <w:t xml:space="preserve"> que </w:t>
      </w:r>
      <w:r>
        <w:rPr>
          <w:b/>
        </w:rPr>
        <w:t>su objetivo es proporcionar un marco general</w:t>
      </w:r>
      <w:r>
        <w:t xml:space="preserve"> para la acción de la UE en los próximos cinco años. Sin embargo, considera que </w:t>
      </w:r>
      <w:r>
        <w:rPr>
          <w:b/>
        </w:rPr>
        <w:t>el enfoque de la Estrategia no es equilibrado, porque da prioridad al control, la contención y el retorno</w:t>
      </w:r>
      <w:r>
        <w:t xml:space="preserve"> frente a una política migratoria </w:t>
      </w:r>
      <w:r>
        <w:rPr>
          <w:b/>
        </w:rPr>
        <w:t>de carácter verdaderamente general y basada en los derechos</w:t>
      </w:r>
      <w:r>
        <w:t>;</w:t>
      </w:r>
      <w:bookmarkEnd w:id="2"/>
      <w:bookmarkEnd w:id="3"/>
    </w:p>
    <w:p w14:paraId="6B0877EA"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4" w:name="_Toc235200276"/>
      <w:bookmarkStart w:id="5" w:name="_Toc239145865"/>
      <w:r>
        <w:rPr>
          <w:b/>
        </w:rPr>
        <w:t>recomienda</w:t>
      </w:r>
      <w:r>
        <w:t xml:space="preserve"> a la Comisión Europea que </w:t>
      </w:r>
      <w:r>
        <w:rPr>
          <w:b/>
        </w:rPr>
        <w:t>reequilibre la estrategia</w:t>
      </w:r>
      <w:r>
        <w:t xml:space="preserve"> prestando </w:t>
      </w:r>
      <w:r>
        <w:rPr>
          <w:b/>
        </w:rPr>
        <w:t>la misma atención a las vías de migración regular, las políticas de integración e inclusión y la protección de los derechos fundamentales.</w:t>
      </w:r>
      <w:r>
        <w:t xml:space="preserve"> </w:t>
      </w:r>
      <w:r>
        <w:rPr>
          <w:b/>
        </w:rPr>
        <w:t>La migración</w:t>
      </w:r>
      <w:r>
        <w:t xml:space="preserve"> debe abordarse como un </w:t>
      </w:r>
      <w:r>
        <w:rPr>
          <w:b/>
        </w:rPr>
        <w:t>fenómeno estructural y polifacético que presenta una dimensión social, económica y humanitaria</w:t>
      </w:r>
      <w:r>
        <w:t xml:space="preserve">, en lugar de tratarla principalmente como </w:t>
      </w:r>
      <w:r>
        <w:rPr>
          <w:b/>
        </w:rPr>
        <w:t>un reto para la seguridad</w:t>
      </w:r>
      <w:r>
        <w:t>;</w:t>
      </w:r>
      <w:bookmarkEnd w:id="4"/>
      <w:bookmarkEnd w:id="5"/>
    </w:p>
    <w:p w14:paraId="3EED3DAD"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6" w:name="_Toc235200277"/>
      <w:bookmarkStart w:id="7" w:name="_Toc239145866"/>
      <w:r>
        <w:rPr>
          <w:b/>
        </w:rPr>
        <w:t>pide que se establezcan vías legales claras, accesibles y diversificadas</w:t>
      </w:r>
      <w:r>
        <w:t xml:space="preserve"> para la migración a la UE, que engloben todos los niveles de cualificación y todos los fines, incluidos la migración laboral, la reagrupación familiar y la admisión humanitaria;</w:t>
      </w:r>
      <w:bookmarkEnd w:id="6"/>
      <w:bookmarkEnd w:id="7"/>
    </w:p>
    <w:p w14:paraId="2E63F562"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8" w:name="_Toc235200278"/>
      <w:bookmarkStart w:id="9" w:name="_Toc239145867"/>
      <w:r>
        <w:rPr>
          <w:b/>
        </w:rPr>
        <w:t>insta</w:t>
      </w:r>
      <w:r>
        <w:t xml:space="preserve"> a la </w:t>
      </w:r>
      <w:r>
        <w:rPr>
          <w:b/>
        </w:rPr>
        <w:t>Comisión y a los Estados miembros</w:t>
      </w:r>
      <w:r>
        <w:t xml:space="preserve"> a que velen por que </w:t>
      </w:r>
      <w:r>
        <w:rPr>
          <w:b/>
        </w:rPr>
        <w:t>todas las medidas relacionadas con la migración se ajusten plenamente</w:t>
      </w:r>
      <w:r>
        <w:t xml:space="preserve"> a la </w:t>
      </w:r>
      <w:r>
        <w:rPr>
          <w:b/>
        </w:rPr>
        <w:t>Carta de los Derechos Fundamentales de la Unión Europea</w:t>
      </w:r>
      <w:r>
        <w:t xml:space="preserve">, lo que requiere establecer </w:t>
      </w:r>
      <w:r>
        <w:rPr>
          <w:b/>
        </w:rPr>
        <w:t>mecanismos de supervisión vinculantes, independientes y transparentes</w:t>
      </w:r>
      <w:r>
        <w:t>, en particular en las fronteras exteriores y los procedimientos de retorno;</w:t>
      </w:r>
      <w:bookmarkEnd w:id="8"/>
      <w:bookmarkEnd w:id="9"/>
    </w:p>
    <w:p w14:paraId="4BC97AC8"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10" w:name="_Toc235200279"/>
      <w:bookmarkStart w:id="11" w:name="_Toc239145868"/>
      <w:r>
        <w:rPr>
          <w:b/>
        </w:rPr>
        <w:t>recomienda encarecidamente reforzar las garantías procesales en los sistemas de asilo</w:t>
      </w:r>
      <w:r>
        <w:t xml:space="preserve">, incluido el derecho a una </w:t>
      </w:r>
      <w:r>
        <w:rPr>
          <w:b/>
        </w:rPr>
        <w:t>evaluación individual, el acceso a una asistencia jurídica gratuita</w:t>
      </w:r>
      <w:r>
        <w:t xml:space="preserve"> y </w:t>
      </w:r>
      <w:r>
        <w:rPr>
          <w:b/>
        </w:rPr>
        <w:t>la tutela judicial efectiva</w:t>
      </w:r>
      <w:r>
        <w:t>;</w:t>
      </w:r>
      <w:bookmarkEnd w:id="10"/>
      <w:bookmarkEnd w:id="11"/>
    </w:p>
    <w:p w14:paraId="0B781DC1"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12" w:name="_Toc235200280"/>
      <w:bookmarkStart w:id="13" w:name="_Toc239145869"/>
      <w:r>
        <w:rPr>
          <w:b/>
        </w:rPr>
        <w:t>pide</w:t>
      </w:r>
      <w:r>
        <w:t xml:space="preserve"> un </w:t>
      </w:r>
      <w:r>
        <w:rPr>
          <w:b/>
        </w:rPr>
        <w:t>enfoque más equilibrado en materia de retornos</w:t>
      </w:r>
      <w:r>
        <w:t xml:space="preserve"> que garantice que estos sigan siendo </w:t>
      </w:r>
      <w:r>
        <w:rPr>
          <w:b/>
        </w:rPr>
        <w:t>una medida de último recurso</w:t>
      </w:r>
      <w:r>
        <w:t xml:space="preserve"> en el marco de una </w:t>
      </w:r>
      <w:r>
        <w:rPr>
          <w:b/>
        </w:rPr>
        <w:t>política migratoria</w:t>
      </w:r>
      <w:r>
        <w:t xml:space="preserve"> más amplia, </w:t>
      </w:r>
      <w:r>
        <w:rPr>
          <w:b/>
        </w:rPr>
        <w:t>humana y eficaz</w:t>
      </w:r>
      <w:r>
        <w:t>;</w:t>
      </w:r>
      <w:bookmarkEnd w:id="12"/>
      <w:bookmarkEnd w:id="13"/>
    </w:p>
    <w:p w14:paraId="1A1A3973"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14" w:name="_Toc235200281"/>
      <w:bookmarkStart w:id="15" w:name="_Toc239145870"/>
      <w:r>
        <w:rPr>
          <w:b/>
        </w:rPr>
        <w:t>insta</w:t>
      </w:r>
      <w:r>
        <w:t xml:space="preserve"> a la Comisión a que </w:t>
      </w:r>
      <w:r>
        <w:rPr>
          <w:b/>
        </w:rPr>
        <w:t>refuerce significativamente</w:t>
      </w:r>
      <w:r>
        <w:t xml:space="preserve"> la </w:t>
      </w:r>
      <w:r>
        <w:rPr>
          <w:b/>
        </w:rPr>
        <w:t>dimensión relativa a la integración</w:t>
      </w:r>
      <w:r>
        <w:t xml:space="preserve"> de la Estrategia mediante la </w:t>
      </w:r>
      <w:r>
        <w:rPr>
          <w:b/>
        </w:rPr>
        <w:t>asignación de recursos financieros adecuados</w:t>
      </w:r>
      <w:r>
        <w:t xml:space="preserve">, el establecimiento de </w:t>
      </w:r>
      <w:r>
        <w:rPr>
          <w:b/>
        </w:rPr>
        <w:t>objetivos mensurables</w:t>
      </w:r>
      <w:r>
        <w:t xml:space="preserve"> y el fomento de la </w:t>
      </w:r>
      <w:r>
        <w:rPr>
          <w:b/>
        </w:rPr>
        <w:t>participación activa</w:t>
      </w:r>
      <w:r>
        <w:t xml:space="preserve"> </w:t>
      </w:r>
      <w:r>
        <w:rPr>
          <w:b/>
        </w:rPr>
        <w:t>de los interlocutores sociales, los entes locales y las organizaciones de la sociedad civil</w:t>
      </w:r>
      <w:r>
        <w:t>;</w:t>
      </w:r>
      <w:bookmarkEnd w:id="14"/>
      <w:bookmarkEnd w:id="15"/>
    </w:p>
    <w:p w14:paraId="7B1ABD6D" w14:textId="77777777" w:rsidR="003E07BA" w:rsidRPr="003E07BA" w:rsidRDefault="003E07BA" w:rsidP="00231BDA">
      <w:pPr>
        <w:numPr>
          <w:ilvl w:val="0"/>
          <w:numId w:val="24"/>
        </w:numPr>
        <w:overflowPunct w:val="0"/>
        <w:autoSpaceDE w:val="0"/>
        <w:autoSpaceDN w:val="0"/>
        <w:adjustRightInd w:val="0"/>
        <w:spacing w:line="276" w:lineRule="auto"/>
        <w:ind w:left="426" w:hanging="426"/>
        <w:textAlignment w:val="baseline"/>
        <w:outlineLvl w:val="1"/>
        <w:rPr>
          <w:szCs w:val="20"/>
        </w:rPr>
      </w:pPr>
      <w:bookmarkStart w:id="16" w:name="_Toc235200282"/>
      <w:bookmarkStart w:id="17" w:name="_Toc239145871"/>
      <w:r>
        <w:rPr>
          <w:b/>
        </w:rPr>
        <w:t>expresa su preocupación</w:t>
      </w:r>
      <w:r>
        <w:t xml:space="preserve"> por la posibilidad de que la </w:t>
      </w:r>
      <w:r>
        <w:rPr>
          <w:b/>
        </w:rPr>
        <w:t>aplicación de la Estrategia</w:t>
      </w:r>
      <w:r>
        <w:t xml:space="preserve"> no se </w:t>
      </w:r>
      <w:r>
        <w:rPr>
          <w:b/>
        </w:rPr>
        <w:t>ajuste plenamente a los valores fundamentales de la Unión</w:t>
      </w:r>
      <w:r>
        <w:t xml:space="preserve">, en particular el respeto de </w:t>
      </w:r>
      <w:r>
        <w:rPr>
          <w:b/>
        </w:rPr>
        <w:t>los derechos fundamentales, la dignidad humana, la solidaridad y el Estado de Derecho</w:t>
      </w:r>
      <w:r>
        <w:t xml:space="preserve">. Subraya que la </w:t>
      </w:r>
      <w:r>
        <w:rPr>
          <w:b/>
        </w:rPr>
        <w:t>credibilidad</w:t>
      </w:r>
      <w:r>
        <w:t xml:space="preserve"> y la </w:t>
      </w:r>
      <w:r>
        <w:rPr>
          <w:b/>
        </w:rPr>
        <w:t>legitimidad de la política migratoria de la UE</w:t>
      </w:r>
      <w:r>
        <w:t xml:space="preserve"> dependerán de la medida en que estos </w:t>
      </w:r>
      <w:r>
        <w:rPr>
          <w:b/>
        </w:rPr>
        <w:t>principios</w:t>
      </w:r>
      <w:r>
        <w:t xml:space="preserve"> </w:t>
      </w:r>
      <w:r>
        <w:rPr>
          <w:b/>
        </w:rPr>
        <w:t>se respeten efectivamente</w:t>
      </w:r>
      <w:r>
        <w:t xml:space="preserve"> en la práctica.</w:t>
      </w:r>
      <w:bookmarkEnd w:id="16"/>
      <w:bookmarkEnd w:id="17"/>
    </w:p>
    <w:p w14:paraId="4BE1F7D5" w14:textId="77777777" w:rsidR="003E07BA" w:rsidRPr="00231BDA" w:rsidRDefault="003E07BA" w:rsidP="005339AA">
      <w:pPr>
        <w:widowControl w:val="0"/>
        <w:overflowPunct w:val="0"/>
        <w:autoSpaceDE w:val="0"/>
        <w:autoSpaceDN w:val="0"/>
        <w:adjustRightInd w:val="0"/>
        <w:ind w:left="426" w:hanging="426"/>
        <w:textAlignment w:val="baseline"/>
        <w:rPr>
          <w:bCs/>
          <w:iCs/>
          <w:sz w:val="14"/>
          <w:szCs w:val="14"/>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3752"/>
      </w:tblGrid>
      <w:tr w:rsidR="003E07BA" w:rsidRPr="003E07BA" w14:paraId="29720E88" w14:textId="77777777" w:rsidTr="00231BDA">
        <w:tc>
          <w:tcPr>
            <w:tcW w:w="1951"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t>Contacto:</w:t>
            </w:r>
          </w:p>
        </w:tc>
        <w:tc>
          <w:tcPr>
            <w:tcW w:w="3752"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r>
              <w:rPr>
                <w:i/>
              </w:rPr>
              <w:t>Triin AASMAA GOMES</w:t>
            </w:r>
          </w:p>
        </w:tc>
      </w:tr>
      <w:tr w:rsidR="003E07BA" w:rsidRPr="003E07BA" w14:paraId="4AAF31B7" w14:textId="77777777" w:rsidTr="00231BDA">
        <w:tc>
          <w:tcPr>
            <w:tcW w:w="1951"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Teléfono:</w:t>
            </w:r>
          </w:p>
        </w:tc>
        <w:tc>
          <w:tcPr>
            <w:tcW w:w="3752"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+32 25469524</w:t>
            </w:r>
          </w:p>
        </w:tc>
      </w:tr>
      <w:tr w:rsidR="003E07BA" w:rsidRPr="003E07BA" w14:paraId="4630FA28" w14:textId="77777777" w:rsidTr="00231BDA">
        <w:tc>
          <w:tcPr>
            <w:tcW w:w="1951"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Correo electrónico:</w:t>
            </w:r>
          </w:p>
        </w:tc>
        <w:tc>
          <w:tcPr>
            <w:tcW w:w="3752" w:type="dxa"/>
          </w:tcPr>
          <w:p w14:paraId="7ACDD9FF" w14:textId="77777777" w:rsidR="003E07BA" w:rsidRPr="003E07BA" w:rsidRDefault="00A54D93" w:rsidP="003E07BA">
            <w:pPr>
              <w:overflowPunct w:val="0"/>
              <w:autoSpaceDE w:val="0"/>
              <w:autoSpaceDN w:val="0"/>
              <w:adjustRightInd w:val="0"/>
              <w:spacing w:line="240" w:lineRule="auto"/>
              <w:textAlignment w:val="baseline"/>
              <w:rPr>
                <w:i/>
              </w:rPr>
            </w:pPr>
            <w:hyperlink r:id="rId23" w:history="1">
              <w:r w:rsidR="00E519ED">
                <w:rPr>
                  <w:i/>
                  <w:color w:val="0000FF"/>
                  <w:u w:val="single"/>
                </w:rPr>
                <w:t>Triin.AasmaaGomes@eesc.europa.eu</w:t>
              </w:r>
            </w:hyperlink>
          </w:p>
        </w:tc>
      </w:tr>
    </w:tbl>
    <w:p w14:paraId="4982DDC4" w14:textId="3E23A47D" w:rsidR="00D17759" w:rsidRPr="00231BDA" w:rsidRDefault="00D17759">
      <w:pPr>
        <w:spacing w:after="160" w:line="259" w:lineRule="auto"/>
        <w:jc w:val="left"/>
        <w:rPr>
          <w:sz w:val="2"/>
          <w:szCs w:val="2"/>
        </w:rPr>
      </w:pPr>
      <w:r w:rsidRPr="00231BDA">
        <w:rPr>
          <w:sz w:val="2"/>
          <w:szCs w:val="2"/>
        </w:rPr>
        <w:br w:type="page"/>
      </w:r>
    </w:p>
    <w:p w14:paraId="669A60F6" w14:textId="23C970FC" w:rsidR="00DC5749" w:rsidRPr="00DC5749" w:rsidRDefault="00A54D93" w:rsidP="00DC5749">
      <w:pPr>
        <w:widowControl w:val="0"/>
        <w:numPr>
          <w:ilvl w:val="0"/>
          <w:numId w:val="4"/>
        </w:numPr>
        <w:overflowPunct w:val="0"/>
        <w:autoSpaceDE w:val="0"/>
        <w:autoSpaceDN w:val="0"/>
        <w:adjustRightInd w:val="0"/>
        <w:ind w:hanging="567"/>
        <w:textAlignment w:val="baseline"/>
        <w:rPr>
          <w:b/>
        </w:rPr>
      </w:pPr>
      <w:hyperlink r:id="rId24" w:history="1">
        <w:r w:rsidR="00E519ED">
          <w:rPr>
            <w:b/>
            <w:i/>
            <w:color w:val="0000FF"/>
            <w:sz w:val="28"/>
            <w:u w:val="single"/>
          </w:rPr>
          <w:t>Estrategia para la Igualdad de Género 2026-2030</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Ponente</w:t>
            </w:r>
          </w:p>
        </w:tc>
        <w:tc>
          <w:tcPr>
            <w:tcW w:w="3910" w:type="pct"/>
          </w:tcPr>
          <w:p w14:paraId="3D8EF8DD" w14:textId="020047FF" w:rsidR="00DC5749" w:rsidRDefault="00DC5749" w:rsidP="00DC5749">
            <w:pPr>
              <w:overflowPunct w:val="0"/>
              <w:autoSpaceDE w:val="0"/>
              <w:autoSpaceDN w:val="0"/>
              <w:adjustRightInd w:val="0"/>
              <w:ind w:left="-113"/>
              <w:textAlignment w:val="baseline"/>
            </w:pPr>
            <w:r>
              <w:t>Juliane Marie NEIIENDAM (Grupo de Organizaciones de la Sociedad Civil – DK)</w:t>
            </w:r>
          </w:p>
          <w:p w14:paraId="3F605744" w14:textId="3A01AE40" w:rsidR="00D4491F" w:rsidRPr="00DC5749" w:rsidRDefault="00D4491F" w:rsidP="00DC5749">
            <w:pPr>
              <w:overflowPunct w:val="0"/>
              <w:autoSpaceDE w:val="0"/>
              <w:autoSpaceDN w:val="0"/>
              <w:adjustRightInd w:val="0"/>
              <w:ind w:left="-113"/>
              <w:textAlignment w:val="baseline"/>
              <w:rPr>
                <w:lang w:val="en-GB"/>
              </w:rPr>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Referencias</w:t>
            </w:r>
          </w:p>
        </w:tc>
        <w:tc>
          <w:tcPr>
            <w:tcW w:w="3910" w:type="pct"/>
          </w:tcPr>
          <w:p w14:paraId="72020464" w14:textId="280784CA" w:rsidR="00921C33" w:rsidRDefault="000E2189" w:rsidP="00DC5749">
            <w:pPr>
              <w:overflowPunct w:val="0"/>
              <w:autoSpaceDE w:val="0"/>
              <w:autoSpaceDN w:val="0"/>
              <w:adjustRightInd w:val="0"/>
              <w:ind w:left="-113"/>
              <w:textAlignment w:val="baseline"/>
            </w:pPr>
            <w:r>
              <w:t>COM(2026) 113 final</w:t>
            </w:r>
          </w:p>
          <w:p w14:paraId="799F64CC" w14:textId="5FD6A9F2"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Puntos clave</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r>
        <w:t>El CESE:</w:t>
      </w:r>
    </w:p>
    <w:p w14:paraId="647D858C" w14:textId="77777777" w:rsidR="007D229E" w:rsidRPr="00DC5749" w:rsidRDefault="007D229E" w:rsidP="00DC5749">
      <w:pPr>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w:t>
      </w:r>
      <w:r>
        <w:tab/>
        <w:t>acoge con satisfacción la Estrategia para la Igualdad de Género 2026-2030 como un compromiso renovado para fomentar la igualdad en la Unión Europea, especialmente en un momento de creciente retroceso en esos objetivos;</w:t>
      </w:r>
    </w:p>
    <w:p w14:paraId="42F102F5" w14:textId="77777777" w:rsidR="00DC5749" w:rsidRPr="00DC5749" w:rsidRDefault="00DC5749" w:rsidP="00D3388B">
      <w:pPr>
        <w:numPr>
          <w:ilvl w:val="0"/>
          <w:numId w:val="25"/>
        </w:numPr>
        <w:overflowPunct w:val="0"/>
        <w:autoSpaceDE w:val="0"/>
        <w:autoSpaceDN w:val="0"/>
        <w:adjustRightInd w:val="0"/>
        <w:textAlignment w:val="baseline"/>
        <w:rPr>
          <w:sz w:val="24"/>
          <w:szCs w:val="24"/>
        </w:rPr>
      </w:pPr>
      <w:r>
        <w:t>apoya el marco de rendimiento e información de la UE propuesto en el marco financiero plurianual (MFP), que integra la igualdad de género como principio horizontal en todos los programas de financiación de la UE, al tiempo que garantiza unos requisitos proporcionados y evita cargas administrativas innecesarias, en particular para las pymes;</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reitera la necesidad de reforzar el marco de igualdad de la UE, en particular avanzando en la propuesta de Directiva horizontal sobre igualdad de trato, y pide parámetros de referencia más claros, un seguimiento eficaz y vínculos más sólidos entre los objetivos de igualdad y los instrumentos políticos de la UE;</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subraya la importancia de la claridad y la coherencia en la aplicación de conceptos clave, como la igualdad de género, la interseccionalidad y la incorporación de la perspectiva de género;</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pide que se protejan los espacios cívicos, también los espacios en línea, y que se siga apoyando y financiando a las organizaciones de la sociedad civil que trabajan en favor de la igualdad y los derechos fundamentales;</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anima a que se apoye a los profesores y a todos los niveles de los sistemas educativos a la hora de abordar la discriminación, el odio en línea, la desinformación y los estereotipos de género;</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apoya los esfuerzos para aumentar la participación de los hombres en sectores en los que predominan las mujeres, como el trabajo asistencial, junto con medidas para mejorar las condiciones de trabajo, las perspectivas profesionales y el atractivo de estos sectores;</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pide a la Comisión Europea que garantice la transposición y aplicación plena y efectiva de la Directiva sobre transparencia retributiva en todos los Estados miembros;</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reconoce que debe reforzarse la participación de las mujeres en la toma de decisiones a todos los niveles, como la vida política, económica y pública, así como en los procesos de consolidación de la paz y la seguridad.</w:t>
      </w:r>
    </w:p>
    <w:p w14:paraId="05EBEDD4" w14:textId="77777777" w:rsidR="00DC5749" w:rsidRPr="00DC5749"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Contacto:</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Gabriela GRASU</w:t>
            </w:r>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Teléfono:</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+32 25469162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Correo electrónico:</w:t>
            </w:r>
          </w:p>
        </w:tc>
        <w:tc>
          <w:tcPr>
            <w:tcW w:w="3925" w:type="pct"/>
          </w:tcPr>
          <w:p w14:paraId="39D9FC56" w14:textId="77777777" w:rsidR="00DC5749" w:rsidRPr="00DC5749" w:rsidRDefault="00A54D93" w:rsidP="00DC5749">
            <w:pPr>
              <w:overflowPunct w:val="0"/>
              <w:autoSpaceDE w:val="0"/>
              <w:autoSpaceDN w:val="0"/>
              <w:adjustRightInd w:val="0"/>
              <w:textAlignment w:val="baseline"/>
              <w:rPr>
                <w:i/>
                <w:iCs/>
              </w:rPr>
            </w:pPr>
            <w:hyperlink r:id="rId25" w:history="1">
              <w:r w:rsidR="00E519ED">
                <w:rPr>
                  <w:i/>
                  <w:color w:val="0000FF"/>
                  <w:u w:val="single"/>
                </w:rPr>
                <w:t>Gabriela.Grasu@eesc.europa.eu</w:t>
              </w:r>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07785FA" w14:textId="0BD82A0C" w:rsidR="00B44C66" w:rsidRPr="00B44C66" w:rsidRDefault="00A54D93"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sidR="00E519ED">
          <w:rPr>
            <w:b/>
            <w:i/>
            <w:color w:val="0000FF"/>
            <w:sz w:val="28"/>
            <w:u w:val="single"/>
          </w:rPr>
          <w:t>Hoja de ruta para el empleo de calidad</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B44C66" w14:paraId="2CE87C59" w14:textId="77777777" w:rsidTr="003D7491">
        <w:tc>
          <w:tcPr>
            <w:tcW w:w="1701"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Ponente</w:t>
            </w:r>
          </w:p>
        </w:tc>
        <w:tc>
          <w:tcPr>
            <w:tcW w:w="5387"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(Grupo de Trabajadores – BE)</w:t>
            </w:r>
          </w:p>
        </w:tc>
      </w:tr>
      <w:tr w:rsidR="00B44C66" w:rsidRPr="00B44C66" w14:paraId="75526499" w14:textId="77777777" w:rsidTr="003D7491">
        <w:tc>
          <w:tcPr>
            <w:tcW w:w="1701"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3D7491">
        <w:tc>
          <w:tcPr>
            <w:tcW w:w="1701"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Referencias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COM(2025) 944 final</w:t>
            </w:r>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Puntos clave</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El CESE:</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acoge con satisfacción la Comunicación de la Comisión «Hoja de ruta para el empleo de calidad» y subraya que la competitividad sostenible de la UE, la productividad, la innovación y el progreso social deben reforzarse mutuamente. En un contexto marcado por las transiciones ecológica, digital, demográfica y geoeconómica, la calidad del empleo constituye un elemento esencial de la resiliencia del modelo económico y social europeo;</w:t>
      </w:r>
    </w:p>
    <w:p w14:paraId="7299D6BE" w14:textId="4A24854F"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8" w:name="_Toc235200283"/>
      <w:bookmarkStart w:id="19" w:name="_Toc239145872"/>
      <w:r>
        <w:t>considera que esta iniciativa debe ser coherente con el marco vigente, en particular con el pilar europeo de derechos sociales, las directivas vigentes de la Unión, los instrumentos de coordinación y la financiación de la UE. Recomienda garantizar la comprensibilidad, la proporcionalidad y la seguridad jurídica en cualquier actuación futura, sin caer en duplicidades con los mecanismos ya existentes y teniendo en cuenta la diversidad de los sistemas nacionales de relaciones laborales y las realidades sectoriales;</w:t>
      </w:r>
      <w:bookmarkEnd w:id="18"/>
      <w:bookmarkEnd w:id="19"/>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aboga por promover un enfoque común en relación con la calidad del empleo, basado en indicadores compartidos que pueden integrarse en el cuadro de indicadores sociales, y fundamentándose para ello en el trabajo de la Organización de Cooperación y Desarrollo Económicos (OCDE), la Organización Internacional del Trabajo (OIT) y Eurofound, sin añadir cargas administrativas innecesarias. Entre estos indicadores podrían figurar la remuneración, la salud y la seguridad, la formación y las capacidades, la calidad del tiempo de trabajo, la autonomía, la igualdad y la no discriminación, el diálogo social y la representación de los trabajadores;</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subraya que unos puestos de trabajo de calidad implican un entorno favorable para la inversión, la innovación, las transiciones y las capacidades. Debe prestarse especial atención a las pymes, la economía social y los sectores que se enfrentan a una escasez de mano de obra, a fin de conciliar la calidad del empleo, la competitividad y la cohesión territorial;</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considera que el diálogo social y la negociación colectiva deben ocupar un lugar prominente en cualquier iniciativa europea, a fin de adaptar las respuestas a la realidad, acompañar las transformaciones, aumentar la previsibilidad e implicar a los trabajadores en los cambios.</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995"/>
      </w:tblGrid>
      <w:tr w:rsidR="00B44C66" w:rsidRPr="00B44C66" w14:paraId="069F9E78" w14:textId="77777777" w:rsidTr="0046353C">
        <w:tc>
          <w:tcPr>
            <w:tcW w:w="2093"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Contacto:</w:t>
            </w:r>
          </w:p>
        </w:tc>
        <w:tc>
          <w:tcPr>
            <w:tcW w:w="4995"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Ana DUMITRACHE</w:t>
            </w:r>
          </w:p>
        </w:tc>
      </w:tr>
      <w:tr w:rsidR="00B44C66" w:rsidRPr="00B44C66" w14:paraId="6AC1C3C1" w14:textId="77777777" w:rsidTr="0046353C">
        <w:tc>
          <w:tcPr>
            <w:tcW w:w="2093"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Teléfono:</w:t>
            </w:r>
          </w:p>
        </w:tc>
        <w:tc>
          <w:tcPr>
            <w:tcW w:w="4995"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+32 25468131</w:t>
            </w:r>
          </w:p>
        </w:tc>
      </w:tr>
      <w:tr w:rsidR="00B44C66" w:rsidRPr="00B44C66" w14:paraId="6569EA0E" w14:textId="77777777" w:rsidTr="0046353C">
        <w:tc>
          <w:tcPr>
            <w:tcW w:w="2093"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Correo electrónico:</w:t>
            </w:r>
          </w:p>
        </w:tc>
        <w:tc>
          <w:tcPr>
            <w:tcW w:w="4995" w:type="dxa"/>
          </w:tcPr>
          <w:p w14:paraId="0BD42A5D" w14:textId="77777777" w:rsidR="00B44C66" w:rsidRPr="00B44C66" w:rsidRDefault="00A54D93" w:rsidP="00B44C66">
            <w:pPr>
              <w:overflowPunct w:val="0"/>
              <w:autoSpaceDE w:val="0"/>
              <w:autoSpaceDN w:val="0"/>
              <w:adjustRightInd w:val="0"/>
              <w:spacing w:line="276" w:lineRule="auto"/>
              <w:textAlignment w:val="baseline"/>
              <w:rPr>
                <w:i/>
                <w:iCs/>
              </w:rPr>
            </w:pPr>
            <w:hyperlink r:id="rId27" w:history="1">
              <w:r w:rsidR="00E519ED">
                <w:rPr>
                  <w:i/>
                  <w:color w:val="0000FF"/>
                  <w:u w:val="single"/>
                </w:rPr>
                <w:t>Ana.Dumitrache@eesc.europa.eu</w:t>
              </w:r>
            </w:hyperlink>
            <w:r w:rsidR="00E519ED">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2F6DB052" w:rsidR="004F69E3" w:rsidRPr="004F69E3" w:rsidRDefault="00A54D93"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sidR="00E519ED">
          <w:rPr>
            <w:b/>
            <w:i/>
            <w:color w:val="0000FF"/>
            <w:sz w:val="28"/>
            <w:u w:val="single"/>
          </w:rPr>
          <w:t>Hacia un marco claro de la UE en materia de desplazamiento de nacionales de terceros países: asegurarse de que los desplazamientos se produzcan realmente y de la seguridad jurídica y la competencia leal</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4F69E3" w:rsidRPr="004F69E3" w14:paraId="26FFE8BB" w14:textId="77777777" w:rsidTr="003D7491">
        <w:tc>
          <w:tcPr>
            <w:tcW w:w="1701" w:type="dxa"/>
          </w:tcPr>
          <w:p w14:paraId="6BDAB905"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Ponente</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3BB1D016" w14:textId="77777777" w:rsidR="004F69E3" w:rsidRPr="004F69E3" w:rsidRDefault="004F69E3" w:rsidP="004F69E3">
            <w:pPr>
              <w:overflowPunct w:val="0"/>
              <w:autoSpaceDE w:val="0"/>
              <w:autoSpaceDN w:val="0"/>
              <w:adjustRightInd w:val="0"/>
              <w:ind w:left="567" w:hanging="567"/>
              <w:textAlignment w:val="baseline"/>
              <w:rPr>
                <w:lang w:val="en-IE"/>
              </w:rPr>
            </w:pPr>
          </w:p>
          <w:p w14:paraId="2F889D1B" w14:textId="1C0F9607" w:rsidR="004F69E3" w:rsidRPr="004F69E3" w:rsidRDefault="004F69E3" w:rsidP="004F69E3">
            <w:pPr>
              <w:overflowPunct w:val="0"/>
              <w:autoSpaceDE w:val="0"/>
              <w:autoSpaceDN w:val="0"/>
              <w:adjustRightInd w:val="0"/>
              <w:ind w:left="567" w:hanging="567"/>
              <w:textAlignment w:val="baseline"/>
            </w:pPr>
            <w:r>
              <w:t>David HAFNER (Grupo de Trabajadores – AT)</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Referencia</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Dictamen de iniciativa</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Puntos clave</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El CESE:</w:t>
      </w:r>
    </w:p>
    <w:p w14:paraId="069A98D2" w14:textId="77777777" w:rsidR="00303B3B" w:rsidRPr="004F69E3" w:rsidRDefault="00303B3B" w:rsidP="004F69E3">
      <w:pPr>
        <w:rPr>
          <w:b/>
          <w:bCs/>
          <w:sz w:val="24"/>
          <w:szCs w:val="24"/>
          <w:lang w:val="en-IE" w:eastAsia="fr-BE"/>
        </w:rPr>
      </w:pPr>
    </w:p>
    <w:p w14:paraId="31DADD1A" w14:textId="54C1867D"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0" w:name="_Toc235200284"/>
      <w:bookmarkStart w:id="21" w:name="_Toc239145873"/>
      <w:r>
        <w:t>destaca la vulnerabilidad inherente de los trabajadores nacionales de terceros países desplazados, que se ve agravada por problemas relacionados con la interpretación y aplicación del marco jurídico vigente y la aplicación insuficiente en todos los Estados miembros;</w:t>
      </w:r>
      <w:bookmarkEnd w:id="20"/>
      <w:bookmarkEnd w:id="21"/>
    </w:p>
    <w:p w14:paraId="3460EA50" w14:textId="235B3F32"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2" w:name="_Toc235200285"/>
      <w:bookmarkStart w:id="23" w:name="_Toc239145874"/>
      <w:r>
        <w:t>pide una mayor claridad en la interpretación y la ejecución, así como una aplicación más coherente del marco vigente de la Unión y, en particular, una orientación más clara y accesible a la jurisprudencia pertinente, con el fin de garantizar la seguridad jurídica, la igualdad de condiciones y la protección efectiva de los trabajadores y las empresas;</w:t>
      </w:r>
      <w:bookmarkEnd w:id="22"/>
      <w:bookmarkEnd w:id="23"/>
    </w:p>
    <w:p w14:paraId="0509DDED" w14:textId="28C825F0"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4" w:name="_Toc235200286"/>
      <w:bookmarkStart w:id="25" w:name="_Toc239145875"/>
      <w:r>
        <w:t>hace hincapié en que el desplazamiento de nacionales de terceros países debe corresponder a una prestación transfronteriza de servicios efectiva, por lo que en ningún caso puede conceder acceso al mercado laboral del Estado miembro de destino ni poner a los trabajadores a disposición de otra empresa;</w:t>
      </w:r>
      <w:bookmarkEnd w:id="24"/>
      <w:bookmarkEnd w:id="25"/>
    </w:p>
    <w:p w14:paraId="66937EEC" w14:textId="22767993"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6" w:name="_Toc235200287"/>
      <w:bookmarkStart w:id="27" w:name="_Toc239145876"/>
      <w:r>
        <w:t>acoge con satisfacción el reciente acuerdo político sobre la revisión de las normas de coordinación de la seguridad social, en el que se exigen tres meses de afiliación al sistema de seguridad social del Estado miembro de origen previos al desplazamiento. El acuerdo constituye un importante punto de referencia para valorar el vínculo con el mercado laboral del Estado miembro de origen;</w:t>
      </w:r>
      <w:bookmarkEnd w:id="26"/>
      <w:bookmarkEnd w:id="27"/>
    </w:p>
    <w:p w14:paraId="43791BEB" w14:textId="35706A12"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28" w:name="_Toc235200288"/>
      <w:bookmarkStart w:id="29" w:name="_Toc239145877"/>
      <w:r>
        <w:t>subraya que un desplazamiento real presupone un vínculo auténtico y verificable entre el trabajador y el mercado laboral del Estado miembro de origen, y pide que se fijen criterios claros y operativos para valorar dicho vínculo, como el empleo efectivo, la cobertura de los sistemas de seguridad social y, en su caso, que el empleador cumpla con sus obligaciones fiscales y desempeñe una actividad económica real en el Estado miembro de origen, con el fin de evitar sociedades fantasma;</w:t>
      </w:r>
      <w:bookmarkEnd w:id="28"/>
      <w:bookmarkEnd w:id="29"/>
    </w:p>
    <w:p w14:paraId="1830EDB3" w14:textId="12CC8C34"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0" w:name="_Toc235200289"/>
      <w:bookmarkStart w:id="31" w:name="_Toc239145878"/>
      <w:r>
        <w:t>destaca el papel cada vez más importante de los intermediarios, las cadenas de contratación y las agencias de trabajo temporal en el desplazamiento de nacionales de terceros países, y pide que se mejore el control del cumplimiento de las normas, para garantizar que dichas modalidades correspondan a una prestación efectiva de servicios y no se utilicen indebidamente para facilitar la migración irregular ni representen una simple oferta de mano de obra, en particular mediante una aplicación más estricta de los criterios relativos a las actividades sustantivas y la prevención de sociedades fantasma;</w:t>
      </w:r>
      <w:bookmarkEnd w:id="30"/>
      <w:bookmarkEnd w:id="31"/>
    </w:p>
    <w:p w14:paraId="281BB203" w14:textId="0008EF4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2" w:name="_Toc235200290"/>
      <w:bookmarkStart w:id="33" w:name="_Toc239145879"/>
      <w:r>
        <w:t>destaca la importancia de reforzar el papel de la Autoridad Laboral Europea, por ejemplo, ampliando su mandato y velando por que cuente con recursos suficientes y haga un mejor uso de las herramientas digitales para detectar y prevenir los abusos;</w:t>
      </w:r>
      <w:bookmarkEnd w:id="32"/>
      <w:bookmarkEnd w:id="33"/>
    </w:p>
    <w:p w14:paraId="4988E997" w14:textId="4733C4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4" w:name="_Toc235200291"/>
      <w:bookmarkStart w:id="35" w:name="_Toc239145880"/>
      <w:r>
        <w:lastRenderedPageBreak/>
        <w:t>acoge con satisfacción el próximo paquete de movilidad laboral justa como una oportunidad para seguir reforzándola, en particular mediante el desarrollo de la tarjeta europea de seguridad social para apoyar la digitalización y la verificación transfronteriza de los certificados de la seguridad social, en particular de los documentos portátiles A1;</w:t>
      </w:r>
      <w:bookmarkEnd w:id="34"/>
      <w:bookmarkEnd w:id="35"/>
    </w:p>
    <w:p w14:paraId="24763128" w14:textId="3C77768E"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36" w:name="_Toc235200292"/>
      <w:bookmarkStart w:id="37" w:name="_Toc239145881"/>
      <w:r>
        <w:t>insta a que se mejore el acceso a la información sobre sus derechos y obligaciones, en particular mediante medidas de información específicas y la cooperación con los interlocutores sociales, y pide un apoyo suficiente de la Unión, en particular a través de financiación y programas, para garantizar una información y orientación eficaces y accesibles para los trabajadores nacionales de terceros países desplazados, con la participación activa de los interlocutores sociales, y medidas de apoyo adecuadas para facilitar el ejercicio efectivo de los derechos de estos trabajadores.</w:t>
      </w:r>
      <w:bookmarkEnd w:id="36"/>
      <w:bookmarkEnd w:id="37"/>
    </w:p>
    <w:p w14:paraId="65488333" w14:textId="77777777" w:rsidR="004F69E3" w:rsidRPr="004F69E3" w:rsidRDefault="004F69E3" w:rsidP="004F69E3">
      <w:pPr>
        <w:overflowPunct w:val="0"/>
        <w:autoSpaceDE w:val="0"/>
        <w:autoSpaceDN w:val="0"/>
        <w:adjustRightInd w:val="0"/>
        <w:textAlignment w:val="baseline"/>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796"/>
      </w:tblGrid>
      <w:tr w:rsidR="004F69E3" w:rsidRPr="004F69E3" w14:paraId="7328D1FE" w14:textId="77777777" w:rsidTr="0046353C">
        <w:tc>
          <w:tcPr>
            <w:tcW w:w="2093" w:type="dxa"/>
          </w:tcPr>
          <w:p w14:paraId="29DE3A28" w14:textId="77777777" w:rsidR="004F69E3" w:rsidRPr="004F69E3" w:rsidRDefault="004F69E3" w:rsidP="004F69E3">
            <w:pPr>
              <w:overflowPunct w:val="0"/>
              <w:autoSpaceDE w:val="0"/>
              <w:autoSpaceDN w:val="0"/>
              <w:adjustRightInd w:val="0"/>
              <w:textAlignment w:val="baseline"/>
              <w:rPr>
                <w:i/>
              </w:rPr>
            </w:pPr>
            <w:r>
              <w:rPr>
                <w:b/>
                <w:i/>
              </w:rPr>
              <w:t>Contacto:</w:t>
            </w:r>
          </w:p>
        </w:tc>
        <w:tc>
          <w:tcPr>
            <w:tcW w:w="7796" w:type="dxa"/>
          </w:tcPr>
          <w:p w14:paraId="4D69E952" w14:textId="77777777" w:rsidR="004F69E3" w:rsidRPr="004F69E3" w:rsidRDefault="004F69E3" w:rsidP="004F69E3">
            <w:pPr>
              <w:overflowPunct w:val="0"/>
              <w:autoSpaceDE w:val="0"/>
              <w:autoSpaceDN w:val="0"/>
              <w:adjustRightInd w:val="0"/>
              <w:ind w:hanging="12"/>
              <w:textAlignment w:val="baseline"/>
              <w:rPr>
                <w:i/>
              </w:rPr>
            </w:pPr>
            <w:r>
              <w:rPr>
                <w:i/>
              </w:rPr>
              <w:t>Bartek BEDNAROWICZ</w:t>
            </w:r>
          </w:p>
        </w:tc>
      </w:tr>
      <w:tr w:rsidR="004F69E3" w:rsidRPr="004F69E3" w14:paraId="77AFF7F6" w14:textId="77777777" w:rsidTr="0046353C">
        <w:tc>
          <w:tcPr>
            <w:tcW w:w="2093" w:type="dxa"/>
          </w:tcPr>
          <w:p w14:paraId="000CEA00" w14:textId="77777777" w:rsidR="004F69E3" w:rsidRPr="004F69E3" w:rsidRDefault="004F69E3" w:rsidP="004F69E3">
            <w:pPr>
              <w:overflowPunct w:val="0"/>
              <w:autoSpaceDE w:val="0"/>
              <w:autoSpaceDN w:val="0"/>
              <w:adjustRightInd w:val="0"/>
              <w:textAlignment w:val="baseline"/>
              <w:rPr>
                <w:i/>
              </w:rPr>
            </w:pPr>
            <w:r>
              <w:rPr>
                <w:i/>
              </w:rPr>
              <w:t>Teléfono:</w:t>
            </w:r>
          </w:p>
        </w:tc>
        <w:tc>
          <w:tcPr>
            <w:tcW w:w="7796" w:type="dxa"/>
          </w:tcPr>
          <w:p w14:paraId="0A79A4B2" w14:textId="77777777" w:rsidR="004F69E3" w:rsidRPr="00ED38E3" w:rsidRDefault="004F69E3" w:rsidP="004F69E3">
            <w:pPr>
              <w:overflowPunct w:val="0"/>
              <w:autoSpaceDE w:val="0"/>
              <w:autoSpaceDN w:val="0"/>
              <w:adjustRightInd w:val="0"/>
              <w:textAlignment w:val="baseline"/>
              <w:rPr>
                <w:i/>
              </w:rPr>
            </w:pPr>
            <w:r>
              <w:rPr>
                <w:i/>
              </w:rPr>
              <w:t>+32 25469229</w:t>
            </w:r>
          </w:p>
        </w:tc>
      </w:tr>
      <w:tr w:rsidR="004F69E3" w:rsidRPr="004F69E3" w14:paraId="36DF04FE" w14:textId="77777777" w:rsidTr="0046353C">
        <w:tc>
          <w:tcPr>
            <w:tcW w:w="2093" w:type="dxa"/>
          </w:tcPr>
          <w:p w14:paraId="34C881D0" w14:textId="77777777" w:rsidR="004F69E3" w:rsidRPr="004F69E3" w:rsidRDefault="004F69E3" w:rsidP="004F69E3">
            <w:pPr>
              <w:overflowPunct w:val="0"/>
              <w:autoSpaceDE w:val="0"/>
              <w:autoSpaceDN w:val="0"/>
              <w:adjustRightInd w:val="0"/>
              <w:textAlignment w:val="baseline"/>
              <w:rPr>
                <w:i/>
              </w:rPr>
            </w:pPr>
            <w:r>
              <w:rPr>
                <w:i/>
              </w:rPr>
              <w:t>Correo electrónico:</w:t>
            </w:r>
          </w:p>
        </w:tc>
        <w:tc>
          <w:tcPr>
            <w:tcW w:w="7796" w:type="dxa"/>
          </w:tcPr>
          <w:p w14:paraId="0B28CA21" w14:textId="77777777" w:rsidR="004F69E3" w:rsidRPr="004F69E3" w:rsidRDefault="00A54D93" w:rsidP="004F69E3">
            <w:pPr>
              <w:overflowPunct w:val="0"/>
              <w:autoSpaceDE w:val="0"/>
              <w:autoSpaceDN w:val="0"/>
              <w:adjustRightInd w:val="0"/>
              <w:textAlignment w:val="baseline"/>
              <w:rPr>
                <w:i/>
                <w:iCs/>
              </w:rPr>
            </w:pPr>
            <w:hyperlink r:id="rId29" w:history="1">
              <w:r w:rsidR="00E519ED">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56A0712B" w:rsidR="004D7AC0" w:rsidRDefault="004D7AC0" w:rsidP="001766B2">
      <w:pPr>
        <w:pStyle w:val="Heading1"/>
        <w:rPr>
          <w:b/>
        </w:rPr>
      </w:pPr>
      <w:bookmarkStart w:id="38" w:name="_Toc24617160"/>
      <w:bookmarkStart w:id="39" w:name="_Toc75527082"/>
      <w:bookmarkStart w:id="40" w:name="_Toc239145882"/>
      <w:r>
        <w:rPr>
          <w:b/>
        </w:rPr>
        <w:lastRenderedPageBreak/>
        <w:t>TRANSPORTE, ENERGÍA, INFRAESTRUCTURAS Y SOCIEDAD DE LA INFORMACIÓN</w:t>
      </w:r>
      <w:bookmarkEnd w:id="38"/>
      <w:bookmarkEnd w:id="39"/>
      <w:bookmarkEnd w:id="40"/>
    </w:p>
    <w:p w14:paraId="72D285EC" w14:textId="77777777" w:rsidR="00956AF3" w:rsidRPr="00956AF3" w:rsidRDefault="00956AF3" w:rsidP="00956AF3"/>
    <w:p w14:paraId="10B9014C" w14:textId="5F933A57" w:rsidR="00956AF3" w:rsidRPr="00956AF3" w:rsidRDefault="00A54D93"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sidR="00E519ED">
          <w:rPr>
            <w:b/>
            <w:i/>
            <w:color w:val="0000FF"/>
            <w:sz w:val="28"/>
            <w:u w:val="single"/>
          </w:rPr>
          <w:t>Estrategia portuaria de la UE</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Ponente</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Coponente</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(Grupo de Empresarios – 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r>
              <w:t>Baiba MILTOVIČA (Grupo de Organizaciones de la Sociedad Civil – LV)</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69DE16D3"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COM(2026)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46353C" w:rsidRDefault="00956AF3" w:rsidP="00956AF3">
      <w:pPr>
        <w:tabs>
          <w:tab w:val="center" w:pos="284"/>
        </w:tabs>
        <w:overflowPunct w:val="0"/>
        <w:autoSpaceDE w:val="0"/>
        <w:autoSpaceDN w:val="0"/>
        <w:adjustRightInd w:val="0"/>
        <w:ind w:left="266" w:hanging="266"/>
        <w:textAlignment w:val="baseline"/>
        <w:rPr>
          <w:b/>
          <w:sz w:val="14"/>
          <w:szCs w:val="14"/>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Puntos clave</w:t>
      </w:r>
    </w:p>
    <w:p w14:paraId="49C3CE06" w14:textId="77777777" w:rsidR="00956AF3" w:rsidRPr="0046353C" w:rsidRDefault="00956AF3" w:rsidP="00956AF3">
      <w:pPr>
        <w:keepNext/>
        <w:keepLines/>
        <w:tabs>
          <w:tab w:val="center" w:pos="284"/>
        </w:tabs>
        <w:overflowPunct w:val="0"/>
        <w:autoSpaceDE w:val="0"/>
        <w:autoSpaceDN w:val="0"/>
        <w:adjustRightInd w:val="0"/>
        <w:ind w:left="266" w:hanging="266"/>
        <w:textAlignment w:val="baseline"/>
        <w:rPr>
          <w:b/>
          <w:sz w:val="14"/>
          <w:szCs w:val="12"/>
          <w:lang w:val="fr-FR"/>
        </w:rPr>
      </w:pPr>
    </w:p>
    <w:p w14:paraId="77C3A860" w14:textId="6D9616B3" w:rsidR="00956AF3" w:rsidRDefault="00956AF3" w:rsidP="00956AF3">
      <w:pPr>
        <w:keepNext/>
        <w:keepLines/>
        <w:tabs>
          <w:tab w:val="center" w:pos="284"/>
        </w:tabs>
        <w:overflowPunct w:val="0"/>
        <w:autoSpaceDE w:val="0"/>
        <w:autoSpaceDN w:val="0"/>
        <w:adjustRightInd w:val="0"/>
        <w:ind w:left="266" w:hanging="266"/>
        <w:textAlignment w:val="baseline"/>
      </w:pPr>
      <w:r>
        <w:t>El CESE:</w:t>
      </w:r>
    </w:p>
    <w:p w14:paraId="31F1D26E" w14:textId="77777777" w:rsidR="0046353C" w:rsidRPr="0046353C" w:rsidRDefault="0046353C" w:rsidP="00956AF3">
      <w:pPr>
        <w:keepNext/>
        <w:keepLines/>
        <w:tabs>
          <w:tab w:val="center" w:pos="284"/>
        </w:tabs>
        <w:overflowPunct w:val="0"/>
        <w:autoSpaceDE w:val="0"/>
        <w:autoSpaceDN w:val="0"/>
        <w:adjustRightInd w:val="0"/>
        <w:ind w:left="266" w:hanging="266"/>
        <w:textAlignment w:val="baseline"/>
        <w:rPr>
          <w:sz w:val="16"/>
          <w:szCs w:val="16"/>
        </w:rPr>
      </w:pP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 el éxito de la Estrategia portuaria de la UE dependerá de una gobernanza integrada, una planificación de las inversiones a largo plazo, la coordinación entre múltiples ámbitos políticos y una base social sólida que garantice el trabajo digno, la competencia leal y un diálogo social activo, teniendo también en cuenta los derechos de los pasajeros;</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pide una evaluación minuciosa del posible impacto de las medidas reglamentarias en la competitividad de los puertos de la UE, evitando crear distorsiones con respecto a los puertos no pertenecientes a la UE;</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 los puertos son importantes centros de trabajo, resultan fundamentales para la economía y el comercio europeos y contribuyen de manera sustancial al bienestar de las sociedades y a una adecuada distribución de bienes, servicios y energía;</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recomienda un apoyo financiero decidido y una aclaración de sus condiciones; pide una asignación equitativa de los fondos de la UE en materia de clima y energía, incluidos los ingresos del régimen de comercio de derechos de emisión de la UE (RCDE), para apoyar la descarbonización y el desarrollo de capacidades, evitando al mismo tiempo una carga desproporcionada de costes; pide un apoyo más específico a las pymes del sector, los puertos más pequeños y las empresas que explotan buques de líneas no regulares, y que se incluya explícitamente el sector pesquero en los próximos instrumentos de inversión, en particular el Plan de Inversiones para un Transporte Sostenible;</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destaca la necesidad de controlar la financiación y la propiedad de los puertos, también la integración vertical y las adquisiciones estratégicas; pide una mayor transparencia en las estructuras de propiedad y el control de los activos portuarios;</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aboga por una aplicación más rigurosa y una mayor interoperabilidad en el entorno europeo de ventanilla única marítima (EMSWe);</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considera que</w:t>
      </w:r>
    </w:p>
    <w:p w14:paraId="555A0231"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la competitividad de los puertos de la UE debe reforzarse mediante la digitalización y la inteligencia artificial;</w:t>
      </w:r>
    </w:p>
    <w:p w14:paraId="7912EA96"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debe garantizarse el suministro de energía limpia; </w:t>
      </w:r>
    </w:p>
    <w:p w14:paraId="65BE860F"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las políticas de seguridad deben abordar las condiciones de trabajo y la seguridad laboral;</w:t>
      </w:r>
    </w:p>
    <w:p w14:paraId="5929DA2B"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la conectividad marítima de las islas y las regiones periféricas es fundamental para la cohesión territorial, la resiliencia económica y la asequibilidad, y debe reflejarse en las políticas portuaria y de transporte de la UE.</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4"/>
        <w:gridCol w:w="6645"/>
      </w:tblGrid>
      <w:tr w:rsidR="00956AF3" w:rsidRPr="00956AF3" w14:paraId="3F32C919" w14:textId="77777777" w:rsidTr="0046353C">
        <w:tc>
          <w:tcPr>
            <w:tcW w:w="1198" w:type="pct"/>
          </w:tcPr>
          <w:p w14:paraId="5F49E46C" w14:textId="77777777" w:rsidR="00956AF3" w:rsidRPr="00956AF3" w:rsidRDefault="00956AF3" w:rsidP="00956AF3">
            <w:pPr>
              <w:overflowPunct w:val="0"/>
              <w:autoSpaceDE w:val="0"/>
              <w:autoSpaceDN w:val="0"/>
              <w:adjustRightInd w:val="0"/>
              <w:textAlignment w:val="baseline"/>
              <w:rPr>
                <w:i/>
              </w:rPr>
            </w:pPr>
            <w:r>
              <w:rPr>
                <w:b/>
                <w:i/>
              </w:rPr>
              <w:t>Contacto:</w:t>
            </w:r>
          </w:p>
        </w:tc>
        <w:tc>
          <w:tcPr>
            <w:tcW w:w="3802" w:type="pct"/>
          </w:tcPr>
          <w:p w14:paraId="30CCE325" w14:textId="67205D1C" w:rsidR="00956AF3" w:rsidRPr="00956AF3" w:rsidRDefault="00956AF3" w:rsidP="00956AF3">
            <w:pPr>
              <w:overflowPunct w:val="0"/>
              <w:autoSpaceDE w:val="0"/>
              <w:autoSpaceDN w:val="0"/>
              <w:adjustRightInd w:val="0"/>
              <w:textAlignment w:val="baseline"/>
              <w:rPr>
                <w:i/>
              </w:rPr>
            </w:pPr>
            <w:r>
              <w:rPr>
                <w:i/>
              </w:rPr>
              <w:t>Maja RADMAN</w:t>
            </w:r>
          </w:p>
        </w:tc>
      </w:tr>
      <w:tr w:rsidR="00956AF3" w:rsidRPr="00956AF3" w14:paraId="714B9518" w14:textId="77777777" w:rsidTr="0046353C">
        <w:tc>
          <w:tcPr>
            <w:tcW w:w="1198" w:type="pct"/>
          </w:tcPr>
          <w:p w14:paraId="1A59A8F0" w14:textId="77777777" w:rsidR="00956AF3" w:rsidRPr="00956AF3" w:rsidRDefault="00956AF3" w:rsidP="00956AF3">
            <w:pPr>
              <w:overflowPunct w:val="0"/>
              <w:autoSpaceDE w:val="0"/>
              <w:autoSpaceDN w:val="0"/>
              <w:adjustRightInd w:val="0"/>
              <w:textAlignment w:val="baseline"/>
              <w:rPr>
                <w:i/>
              </w:rPr>
            </w:pPr>
            <w:r>
              <w:rPr>
                <w:i/>
              </w:rPr>
              <w:t>Teléfono:</w:t>
            </w:r>
          </w:p>
        </w:tc>
        <w:tc>
          <w:tcPr>
            <w:tcW w:w="3802" w:type="pct"/>
          </w:tcPr>
          <w:p w14:paraId="7CB2C564" w14:textId="77777777" w:rsidR="00956AF3" w:rsidRPr="00956AF3" w:rsidRDefault="00956AF3" w:rsidP="00956AF3">
            <w:pPr>
              <w:overflowPunct w:val="0"/>
              <w:autoSpaceDE w:val="0"/>
              <w:autoSpaceDN w:val="0"/>
              <w:adjustRightInd w:val="0"/>
              <w:textAlignment w:val="baseline"/>
              <w:rPr>
                <w:i/>
              </w:rPr>
            </w:pPr>
            <w:r>
              <w:rPr>
                <w:i/>
              </w:rPr>
              <w:t>+32 25469051</w:t>
            </w:r>
          </w:p>
        </w:tc>
      </w:tr>
      <w:tr w:rsidR="00956AF3" w:rsidRPr="00956AF3" w14:paraId="676FC3AE" w14:textId="77777777" w:rsidTr="0046353C">
        <w:tc>
          <w:tcPr>
            <w:tcW w:w="1198" w:type="pct"/>
          </w:tcPr>
          <w:p w14:paraId="7BA3BF03" w14:textId="77777777" w:rsidR="00956AF3" w:rsidRPr="00956AF3" w:rsidRDefault="00956AF3" w:rsidP="00956AF3">
            <w:pPr>
              <w:overflowPunct w:val="0"/>
              <w:autoSpaceDE w:val="0"/>
              <w:autoSpaceDN w:val="0"/>
              <w:adjustRightInd w:val="0"/>
              <w:textAlignment w:val="baseline"/>
              <w:rPr>
                <w:i/>
              </w:rPr>
            </w:pPr>
            <w:r>
              <w:rPr>
                <w:i/>
              </w:rPr>
              <w:t>Correo electrónico:</w:t>
            </w:r>
          </w:p>
        </w:tc>
        <w:tc>
          <w:tcPr>
            <w:tcW w:w="3802" w:type="pct"/>
          </w:tcPr>
          <w:p w14:paraId="53E3DBB0" w14:textId="77777777" w:rsidR="00956AF3" w:rsidRPr="00956AF3" w:rsidRDefault="00A54D93" w:rsidP="00956AF3">
            <w:pPr>
              <w:overflowPunct w:val="0"/>
              <w:autoSpaceDE w:val="0"/>
              <w:autoSpaceDN w:val="0"/>
              <w:adjustRightInd w:val="0"/>
              <w:textAlignment w:val="baseline"/>
              <w:rPr>
                <w:i/>
              </w:rPr>
            </w:pPr>
            <w:hyperlink r:id="rId31" w:history="1">
              <w:r w:rsidR="00E519ED">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1757E78C" w:rsidR="00FD7052" w:rsidRPr="00FD7052" w:rsidRDefault="00A54D93" w:rsidP="00FD7052">
      <w:pPr>
        <w:widowControl w:val="0"/>
        <w:numPr>
          <w:ilvl w:val="0"/>
          <w:numId w:val="4"/>
        </w:numPr>
        <w:overflowPunct w:val="0"/>
        <w:autoSpaceDE w:val="0"/>
        <w:autoSpaceDN w:val="0"/>
        <w:adjustRightInd w:val="0"/>
        <w:ind w:hanging="567"/>
        <w:textAlignment w:val="baseline"/>
        <w:rPr>
          <w:b/>
        </w:rPr>
      </w:pPr>
      <w:hyperlink r:id="rId32" w:history="1">
        <w:r w:rsidR="00E519ED">
          <w:rPr>
            <w:b/>
            <w:i/>
            <w:color w:val="0000FF"/>
            <w:sz w:val="28"/>
            <w:u w:val="single"/>
          </w:rPr>
          <w:t>Plan de acción sobre seguridad de drones y defensa antidrones</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Ponente</w:t>
            </w:r>
          </w:p>
        </w:tc>
        <w:tc>
          <w:tcPr>
            <w:tcW w:w="7371"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Miroslav HAJNOŠ (Grupo de Trabajadores – 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Referencias</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COM(2026)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Puntos clave</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El CESE:</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apoya los objetivos de reforzar las capacidades de preparación, detección y respuesta y de disuadir del uso malintencionado de drones, al tiempo que subraya que todas las medidas deben seguir siendo proporcionadas y coherentes con los derechos fundamentales, la privacidad, la protección de datos, la seguridad jurídica y una rendición de cuentas democrática;</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subraya el carácter urgente que reviste la evolución del entorno de amenazas relacionadas con los drones y los sistemas antidrones, a la luz de los rápidos avances tecnológicos observados en los conflictos recientes y en las operaciones híbridas;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destaca que la seguridad aérea y pública debe seguir siendo la prioridad absoluta a la hora de diseñar y aplicar medidas de defensa contra los drones, y que debe preservarse la integridad operativa del sistema europeo de gestión del tránsito aéreo;</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hace hincapié en la dimensión humana, de gestión y operativa de los drones y los sistemas antidrones;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acoge con satisfacción el refuerzo de la base industrial y tecnológica europea en materia de drones y sistemas antidrones y reconoce que la economía de baja altitud constituye una oportunidad para forjar futuras ventajas económicas europeas y un motor de innovación, competitividad y oportunidades de exportación;</w:t>
      </w:r>
    </w:p>
    <w:p w14:paraId="0C9B1F4B"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apoya las medidas destinadas a proteger las infraestructuras críticas, incluidas las pruebas de resistencia, el despliegue de sistemas antidrones y la adquisición conjunta, al tiempo que destaca que deben evaluarse las repercusiones económicas, operativas, jurídicas, de responsabilidad y de personal, especialmente para los operadores más pequeños.</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p w14:paraId="0F315A79" w14:textId="77777777" w:rsidR="00FD7052" w:rsidRPr="00FD7052"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945"/>
      </w:tblGrid>
      <w:tr w:rsidR="00FD7052" w:rsidRPr="00FD7052" w14:paraId="04723D9A" w14:textId="77777777" w:rsidTr="0046353C">
        <w:tc>
          <w:tcPr>
            <w:tcW w:w="2235" w:type="dxa"/>
          </w:tcPr>
          <w:p w14:paraId="73689C56" w14:textId="77777777" w:rsidR="00FD7052" w:rsidRPr="00FD7052" w:rsidRDefault="00FD7052" w:rsidP="00FD7052">
            <w:pPr>
              <w:overflowPunct w:val="0"/>
              <w:autoSpaceDE w:val="0"/>
              <w:autoSpaceDN w:val="0"/>
              <w:adjustRightInd w:val="0"/>
              <w:textAlignment w:val="baseline"/>
              <w:rPr>
                <w:i/>
              </w:rPr>
            </w:pPr>
            <w:r>
              <w:rPr>
                <w:b/>
                <w:i/>
              </w:rPr>
              <w:t>Contacto:</w:t>
            </w:r>
          </w:p>
        </w:tc>
        <w:tc>
          <w:tcPr>
            <w:tcW w:w="6945" w:type="dxa"/>
          </w:tcPr>
          <w:p w14:paraId="0F427AEB" w14:textId="62A9D75B" w:rsidR="00FD7052" w:rsidRPr="00FD7052" w:rsidRDefault="00FD7052" w:rsidP="00FD7052">
            <w:pPr>
              <w:overflowPunct w:val="0"/>
              <w:autoSpaceDE w:val="0"/>
              <w:autoSpaceDN w:val="0"/>
              <w:adjustRightInd w:val="0"/>
              <w:textAlignment w:val="baseline"/>
              <w:rPr>
                <w:i/>
              </w:rPr>
            </w:pPr>
            <w:r>
              <w:rPr>
                <w:i/>
              </w:rPr>
              <w:t>Albert PRECUP</w:t>
            </w:r>
          </w:p>
        </w:tc>
      </w:tr>
      <w:tr w:rsidR="00FD7052" w:rsidRPr="00FD7052" w14:paraId="1FC815DE" w14:textId="77777777" w:rsidTr="0046353C">
        <w:tc>
          <w:tcPr>
            <w:tcW w:w="2235" w:type="dxa"/>
          </w:tcPr>
          <w:p w14:paraId="2DB1E136" w14:textId="77777777" w:rsidR="00FD7052" w:rsidRPr="00FD7052" w:rsidRDefault="00FD7052" w:rsidP="00FD7052">
            <w:pPr>
              <w:overflowPunct w:val="0"/>
              <w:autoSpaceDE w:val="0"/>
              <w:autoSpaceDN w:val="0"/>
              <w:adjustRightInd w:val="0"/>
              <w:textAlignment w:val="baseline"/>
              <w:rPr>
                <w:i/>
              </w:rPr>
            </w:pPr>
            <w:r>
              <w:rPr>
                <w:i/>
              </w:rPr>
              <w:t>Teléfono:</w:t>
            </w:r>
          </w:p>
        </w:tc>
        <w:tc>
          <w:tcPr>
            <w:tcW w:w="6945" w:type="dxa"/>
          </w:tcPr>
          <w:p w14:paraId="1C19AB29" w14:textId="77777777" w:rsidR="00FD7052" w:rsidRPr="00FD7052" w:rsidRDefault="00FD7052" w:rsidP="00FD7052">
            <w:pPr>
              <w:overflowPunct w:val="0"/>
              <w:autoSpaceDE w:val="0"/>
              <w:autoSpaceDN w:val="0"/>
              <w:adjustRightInd w:val="0"/>
              <w:textAlignment w:val="baseline"/>
              <w:rPr>
                <w:i/>
              </w:rPr>
            </w:pPr>
            <w:r>
              <w:rPr>
                <w:i/>
              </w:rPr>
              <w:t>+32 25469326</w:t>
            </w:r>
          </w:p>
        </w:tc>
      </w:tr>
      <w:tr w:rsidR="00FD7052" w:rsidRPr="00FD7052" w14:paraId="43F7CAFB" w14:textId="77777777" w:rsidTr="0046353C">
        <w:tc>
          <w:tcPr>
            <w:tcW w:w="2235" w:type="dxa"/>
          </w:tcPr>
          <w:p w14:paraId="59FBB48C" w14:textId="77777777" w:rsidR="00FD7052" w:rsidRPr="00FD7052" w:rsidRDefault="00FD7052" w:rsidP="00FD7052">
            <w:pPr>
              <w:overflowPunct w:val="0"/>
              <w:autoSpaceDE w:val="0"/>
              <w:autoSpaceDN w:val="0"/>
              <w:adjustRightInd w:val="0"/>
              <w:textAlignment w:val="baseline"/>
              <w:rPr>
                <w:i/>
              </w:rPr>
            </w:pPr>
            <w:r>
              <w:rPr>
                <w:i/>
              </w:rPr>
              <w:t>Correo electrónico:</w:t>
            </w:r>
          </w:p>
        </w:tc>
        <w:tc>
          <w:tcPr>
            <w:tcW w:w="6945" w:type="dxa"/>
          </w:tcPr>
          <w:p w14:paraId="284A42F7" w14:textId="77777777" w:rsidR="00FD7052" w:rsidRPr="00FD7052" w:rsidRDefault="00A54D93" w:rsidP="00FD7052">
            <w:pPr>
              <w:overflowPunct w:val="0"/>
              <w:autoSpaceDE w:val="0"/>
              <w:autoSpaceDN w:val="0"/>
              <w:adjustRightInd w:val="0"/>
              <w:textAlignment w:val="baseline"/>
              <w:rPr>
                <w:i/>
                <w:iCs/>
              </w:rPr>
            </w:pPr>
            <w:hyperlink r:id="rId33" w:history="1">
              <w:r w:rsidR="00E519ED">
                <w:rPr>
                  <w:i/>
                  <w:color w:val="0000FF"/>
                  <w:u w:val="single"/>
                </w:rPr>
                <w:t>Albert.Precup@eesc.europa.eu</w:t>
              </w:r>
            </w:hyperlink>
            <w:r w:rsidR="00E519ED">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A54D93" w:rsidP="00D3388B">
      <w:pPr>
        <w:widowControl w:val="0"/>
        <w:numPr>
          <w:ilvl w:val="0"/>
          <w:numId w:val="31"/>
        </w:numPr>
        <w:overflowPunct w:val="0"/>
        <w:autoSpaceDE w:val="0"/>
        <w:autoSpaceDN w:val="0"/>
        <w:adjustRightInd w:val="0"/>
        <w:ind w:hanging="720"/>
        <w:textAlignment w:val="baseline"/>
        <w:rPr>
          <w:b/>
          <w:bCs/>
          <w:szCs w:val="20"/>
        </w:rPr>
      </w:pPr>
      <w:hyperlink r:id="rId34">
        <w:r w:rsidR="00E519ED">
          <w:rPr>
            <w:b/>
            <w:i/>
            <w:color w:val="0000FF"/>
            <w:sz w:val="28"/>
            <w:u w:val="single"/>
          </w:rPr>
          <w:t>Agencia de Servicios Espaciales de la Unión Europea</w:t>
        </w:r>
      </w:hyperlink>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Ponente</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Miroslav HAJNOŠ (Grupo de Trabajadores – SK)</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Referencias</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COM(2026)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Puntos clave</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El CESE:</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acoge con satisfacción la creación de la Agencia de Servicios Espaciales de la Unión Europea mediante un acto constitutivo autónomo, lo que refuerza significativamente la seguridad jurídica, la continuidad operativa y la estabilidad institucional de las infraestructuras espaciales de la UE;</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hace hincapié en que los servicios de posicionamiento, navegación y temporización por satélite, junto con los servicios de observación de la Tierra, son bazas esenciales para el mercado único de la UE;</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recomienda que la Agencia se prepare para la futura cooperación con el Fondo Europeo de Competitividad, que se pondrá en marcha próximamente, mediante el diseño de procedimientos de acceso simplificados y medidas de apoyo específicas para las pymes y las empresas emergentes;</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manifiesta su preocupación por la creciente escasez estructural de ingenieros cualificados, analistas de datos y especialistas en ciberseguridad. La Agencia debe colaborar estrechamente con las instituciones académicas y los interlocutores sociales para fomentar la educación en CTIM y las iniciativas de reciclaje y perfeccionamiento profesional;</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apoya la introducción de mecanismos operativos y de gestión de crisis que protejan de manera ininterrumpida los activos espaciales de la Unión frente a las amenazas híbridas, cibernéticas y de meteorología espacial. No obstante, estas medidas deben velar por el estricto cumplimiento de las normas laborales de la UE y las relativas al tiempo de trabajo;</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insiste en que el marco propuesto, según el cual la Agencia cobrará tasas y derechos por los servicios prestados, debe diseñarse con cautela, a fin de evitar que se creen obstáculos financieros para los innovadores europeos más pequeños;</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subraya la importancia de la estricta independencia estructural del Consejo de Acreditación de Seguridad en el seno de la Agencia, acoge con cautela el mecanismo propuesto de aprobación tácita al cabo de tres meses para evitar bloqueos de procedimiento, e insiste en que dicho mecanismo no debe comprometer la seguridad técnica ni la independencia de las decisiones de acreditación;</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hace hincapié en que las tareas de la Agencia deben definirse con suficiente seguridad jurídica, evitando formulaciones imprecisas que puedan difuminar las responsabilidades o debilitar el mandato operativo de la Agencia. </w:t>
      </w:r>
    </w:p>
    <w:p w14:paraId="6CF7EA2F" w14:textId="77777777" w:rsidR="00B07E34" w:rsidRDefault="00B07E34" w:rsidP="00B07E34">
      <w:pPr>
        <w:widowControl w:val="0"/>
        <w:overflowPunct w:val="0"/>
        <w:autoSpaceDE w:val="0"/>
        <w:autoSpaceDN w:val="0"/>
        <w:adjustRightInd w:val="0"/>
        <w:ind w:left="709"/>
        <w:textAlignment w:val="baseline"/>
        <w:rPr>
          <w:szCs w:val="20"/>
          <w:lang w:val="en-GB"/>
        </w:rPr>
      </w:pPr>
    </w:p>
    <w:p w14:paraId="2EF1ACC5" w14:textId="77777777" w:rsidR="00C664BD" w:rsidRPr="00B07E34"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46"/>
      </w:tblGrid>
      <w:tr w:rsidR="00B07E34" w:rsidRPr="00B07E34" w14:paraId="752EBFE8" w14:textId="77777777" w:rsidTr="0046353C">
        <w:tc>
          <w:tcPr>
            <w:tcW w:w="2376" w:type="dxa"/>
          </w:tcPr>
          <w:p w14:paraId="7DE00DB9" w14:textId="77777777" w:rsidR="00B07E34" w:rsidRPr="00B07E34" w:rsidRDefault="00B07E34" w:rsidP="00B07E34">
            <w:pPr>
              <w:overflowPunct w:val="0"/>
              <w:autoSpaceDE w:val="0"/>
              <w:autoSpaceDN w:val="0"/>
              <w:adjustRightInd w:val="0"/>
              <w:textAlignment w:val="baseline"/>
              <w:rPr>
                <w:i/>
              </w:rPr>
            </w:pPr>
            <w:r>
              <w:rPr>
                <w:b/>
                <w:i/>
              </w:rPr>
              <w:t>Contacto:</w:t>
            </w:r>
          </w:p>
        </w:tc>
        <w:tc>
          <w:tcPr>
            <w:tcW w:w="6946" w:type="dxa"/>
          </w:tcPr>
          <w:p w14:paraId="177B6DC4" w14:textId="0F2B93BB" w:rsidR="00B07E34" w:rsidRPr="00B07E34" w:rsidRDefault="00B07E34" w:rsidP="00B07E34">
            <w:pPr>
              <w:overflowPunct w:val="0"/>
              <w:autoSpaceDE w:val="0"/>
              <w:autoSpaceDN w:val="0"/>
              <w:adjustRightInd w:val="0"/>
              <w:textAlignment w:val="baseline"/>
              <w:rPr>
                <w:i/>
              </w:rPr>
            </w:pPr>
            <w:r>
              <w:rPr>
                <w:i/>
              </w:rPr>
              <w:t>Giorgia Andrea BORDIGNON</w:t>
            </w:r>
          </w:p>
        </w:tc>
      </w:tr>
      <w:tr w:rsidR="00B07E34" w:rsidRPr="00B07E34" w14:paraId="391D1CBF" w14:textId="77777777" w:rsidTr="0046353C">
        <w:tc>
          <w:tcPr>
            <w:tcW w:w="2376" w:type="dxa"/>
          </w:tcPr>
          <w:p w14:paraId="1D8520F8" w14:textId="77777777" w:rsidR="00B07E34" w:rsidRPr="00B07E34" w:rsidRDefault="00B07E34" w:rsidP="00B07E34">
            <w:pPr>
              <w:overflowPunct w:val="0"/>
              <w:autoSpaceDE w:val="0"/>
              <w:autoSpaceDN w:val="0"/>
              <w:adjustRightInd w:val="0"/>
              <w:textAlignment w:val="baseline"/>
              <w:rPr>
                <w:i/>
              </w:rPr>
            </w:pPr>
            <w:r>
              <w:rPr>
                <w:i/>
              </w:rPr>
              <w:t>Teléfono:</w:t>
            </w:r>
          </w:p>
        </w:tc>
        <w:tc>
          <w:tcPr>
            <w:tcW w:w="6946" w:type="dxa"/>
          </w:tcPr>
          <w:p w14:paraId="174E7CF9" w14:textId="77777777" w:rsidR="00B07E34" w:rsidRPr="00B07E34" w:rsidRDefault="00B07E34" w:rsidP="00B07E34">
            <w:pPr>
              <w:overflowPunct w:val="0"/>
              <w:autoSpaceDE w:val="0"/>
              <w:autoSpaceDN w:val="0"/>
              <w:adjustRightInd w:val="0"/>
              <w:textAlignment w:val="baseline"/>
              <w:rPr>
                <w:i/>
              </w:rPr>
            </w:pPr>
            <w:r>
              <w:rPr>
                <w:i/>
              </w:rPr>
              <w:t>+32 25468535</w:t>
            </w:r>
          </w:p>
        </w:tc>
      </w:tr>
      <w:tr w:rsidR="00B07E34" w:rsidRPr="00B07E34" w14:paraId="3227D5F1" w14:textId="77777777" w:rsidTr="0046353C">
        <w:tc>
          <w:tcPr>
            <w:tcW w:w="2376" w:type="dxa"/>
          </w:tcPr>
          <w:p w14:paraId="2CE49F62" w14:textId="77777777" w:rsidR="00B07E34" w:rsidRPr="00B07E34" w:rsidRDefault="00B07E34" w:rsidP="00B07E34">
            <w:pPr>
              <w:overflowPunct w:val="0"/>
              <w:autoSpaceDE w:val="0"/>
              <w:autoSpaceDN w:val="0"/>
              <w:adjustRightInd w:val="0"/>
              <w:textAlignment w:val="baseline"/>
              <w:rPr>
                <w:i/>
              </w:rPr>
            </w:pPr>
            <w:r>
              <w:rPr>
                <w:i/>
              </w:rPr>
              <w:t>Correo electrónico:</w:t>
            </w:r>
          </w:p>
        </w:tc>
        <w:tc>
          <w:tcPr>
            <w:tcW w:w="6946" w:type="dxa"/>
          </w:tcPr>
          <w:p w14:paraId="59C33DD4" w14:textId="77777777" w:rsidR="00B07E34" w:rsidRPr="00B07E34" w:rsidRDefault="00A54D93" w:rsidP="00B07E34">
            <w:pPr>
              <w:overflowPunct w:val="0"/>
              <w:autoSpaceDE w:val="0"/>
              <w:autoSpaceDN w:val="0"/>
              <w:adjustRightInd w:val="0"/>
              <w:textAlignment w:val="baseline"/>
              <w:rPr>
                <w:i/>
                <w:iCs/>
              </w:rPr>
            </w:pPr>
            <w:hyperlink r:id="rId35" w:history="1">
              <w:r w:rsidR="00E519ED">
                <w:rPr>
                  <w:i/>
                  <w:color w:val="0000FF"/>
                  <w:u w:val="single"/>
                </w:rPr>
                <w:t>GiorgiaAndrea.Bordignon@eesc.europa.eu</w:t>
              </w:r>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"https://www.eesc.europa.eu/es/our-work/opinions-information-reports/opinions/ensuring-affordable-and-stable-energy-european-energy-intensive-industries-using-example-chemical-sector"</w:instrText>
      </w:r>
      <w:r w:rsidRPr="00886414">
        <w:rPr>
          <w:b/>
          <w:i/>
          <w:sz w:val="28"/>
        </w:rPr>
        <w:fldChar w:fldCharType="separate"/>
      </w:r>
      <w:r>
        <w:rPr>
          <w:b/>
          <w:i/>
          <w:color w:val="0000FF"/>
          <w:sz w:val="28"/>
          <w:u w:val="single"/>
        </w:rPr>
        <w:t>Garantizar un suministro de energía asequible y estable para las industrias europeas de gran consumo de energía – El ejemplo del sector químico</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Ponente</w:t>
            </w:r>
          </w:p>
        </w:tc>
        <w:tc>
          <w:tcPr>
            <w:tcW w:w="7621"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SZYMAŃSKI (Grupo de Trabajadores – PL)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Referencia</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Dictamen de iniciativa</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Puntos clave</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El CESE:</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destaca que la industria europea de gran consumo de energía, y en particular el sector químico, se enfrenta a una profunda crisis estructural provocada principalmente por la volatilidad y las subidas constantes del precio de la energía, la baja inversión y la competencia a escala mundial;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hace hincapié en que, en consonancia con el nuevo objetivo de la UE de producción industrial, es esencial preservar y desarrollar la base industrial existente para impedir la pérdida de conocimientos técnicos y capacidades de fabricación y evitar dependencias tecnológicas estructurales en sectores estratégicos;</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considera que es hora de reequilibrar los cinco pilares clave de la Unión de la Energía: la seguridad, el mercado interior de la energía, la eficiencia energética, la descarbonización y la competitividad;</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señala que las políticas deben armonizarse y dar prioridad a la protección del empleo y a puestos de trabajo de alta calidad, con arreglo a la normativa laboral y social pertinente y a los convenios colectivos aplicables;</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subraya que una medida adicional clave es la reforma del RCDE UE y de la reserva de estabilidad del mercado para reducir la volatilidad excesiva de los precios y la incertidumbre de las inversiones con medidas como limitar las operaciones especulativas;</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considera necesario garantizar una transición energética realista y flexible que tenga en cuenta las realidades nacionales, incluidas las condiciones geomorfológicas.</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371"/>
      </w:tblGrid>
      <w:tr w:rsidR="00886414" w:rsidRPr="00886414" w14:paraId="33D630FF" w14:textId="77777777" w:rsidTr="0046353C">
        <w:tc>
          <w:tcPr>
            <w:tcW w:w="1951" w:type="dxa"/>
          </w:tcPr>
          <w:p w14:paraId="35E3F141" w14:textId="77777777" w:rsidR="00886414" w:rsidRPr="00886414" w:rsidRDefault="00886414" w:rsidP="00886414">
            <w:pPr>
              <w:overflowPunct w:val="0"/>
              <w:autoSpaceDE w:val="0"/>
              <w:autoSpaceDN w:val="0"/>
              <w:adjustRightInd w:val="0"/>
              <w:textAlignment w:val="baseline"/>
              <w:rPr>
                <w:i/>
              </w:rPr>
            </w:pPr>
            <w:r>
              <w:rPr>
                <w:b/>
                <w:i/>
              </w:rPr>
              <w:t>Contacto:</w:t>
            </w:r>
          </w:p>
        </w:tc>
        <w:tc>
          <w:tcPr>
            <w:tcW w:w="7371" w:type="dxa"/>
          </w:tcPr>
          <w:p w14:paraId="04AB1F23" w14:textId="77777777" w:rsidR="00886414" w:rsidRPr="00886414" w:rsidRDefault="00886414" w:rsidP="00886414">
            <w:pPr>
              <w:overflowPunct w:val="0"/>
              <w:autoSpaceDE w:val="0"/>
              <w:autoSpaceDN w:val="0"/>
              <w:adjustRightInd w:val="0"/>
              <w:textAlignment w:val="baseline"/>
              <w:rPr>
                <w:i/>
              </w:rPr>
            </w:pPr>
            <w:r>
              <w:rPr>
                <w:i/>
              </w:rPr>
              <w:t>Albert PRECUP</w:t>
            </w:r>
          </w:p>
        </w:tc>
      </w:tr>
      <w:tr w:rsidR="00886414" w:rsidRPr="00886414" w14:paraId="1D9C0234" w14:textId="77777777" w:rsidTr="0046353C">
        <w:tc>
          <w:tcPr>
            <w:tcW w:w="1951" w:type="dxa"/>
          </w:tcPr>
          <w:p w14:paraId="3B2271B7" w14:textId="77777777" w:rsidR="00886414" w:rsidRPr="00886414" w:rsidRDefault="00886414" w:rsidP="00886414">
            <w:pPr>
              <w:overflowPunct w:val="0"/>
              <w:autoSpaceDE w:val="0"/>
              <w:autoSpaceDN w:val="0"/>
              <w:adjustRightInd w:val="0"/>
              <w:textAlignment w:val="baseline"/>
              <w:rPr>
                <w:i/>
              </w:rPr>
            </w:pPr>
            <w:r>
              <w:rPr>
                <w:i/>
              </w:rPr>
              <w:t>Teléfono:</w:t>
            </w:r>
          </w:p>
        </w:tc>
        <w:tc>
          <w:tcPr>
            <w:tcW w:w="7371" w:type="dxa"/>
          </w:tcPr>
          <w:p w14:paraId="33715378" w14:textId="77777777" w:rsidR="00886414" w:rsidRPr="00886414" w:rsidRDefault="00886414" w:rsidP="00886414">
            <w:pPr>
              <w:overflowPunct w:val="0"/>
              <w:autoSpaceDE w:val="0"/>
              <w:autoSpaceDN w:val="0"/>
              <w:adjustRightInd w:val="0"/>
              <w:textAlignment w:val="baseline"/>
              <w:rPr>
                <w:i/>
              </w:rPr>
            </w:pPr>
            <w:r>
              <w:rPr>
                <w:i/>
              </w:rPr>
              <w:t>+32 25469326</w:t>
            </w:r>
          </w:p>
        </w:tc>
      </w:tr>
      <w:tr w:rsidR="00886414" w:rsidRPr="00886414" w14:paraId="08E10163" w14:textId="77777777" w:rsidTr="0046353C">
        <w:tc>
          <w:tcPr>
            <w:tcW w:w="1951" w:type="dxa"/>
          </w:tcPr>
          <w:p w14:paraId="050D560B" w14:textId="2171CA3C" w:rsidR="00886414" w:rsidRPr="00886414" w:rsidRDefault="006A456B" w:rsidP="00886414">
            <w:pPr>
              <w:overflowPunct w:val="0"/>
              <w:autoSpaceDE w:val="0"/>
              <w:autoSpaceDN w:val="0"/>
              <w:adjustRightInd w:val="0"/>
              <w:textAlignment w:val="baseline"/>
              <w:rPr>
                <w:i/>
              </w:rPr>
            </w:pPr>
            <w:r>
              <w:rPr>
                <w:i/>
              </w:rPr>
              <w:t>Correo electrónico:</w:t>
            </w:r>
          </w:p>
        </w:tc>
        <w:tc>
          <w:tcPr>
            <w:tcW w:w="7371" w:type="dxa"/>
          </w:tcPr>
          <w:p w14:paraId="6BAA8C9B" w14:textId="77777777" w:rsidR="00886414" w:rsidRPr="00886414" w:rsidRDefault="00A54D93" w:rsidP="00886414">
            <w:pPr>
              <w:overflowPunct w:val="0"/>
              <w:autoSpaceDE w:val="0"/>
              <w:autoSpaceDN w:val="0"/>
              <w:adjustRightInd w:val="0"/>
              <w:textAlignment w:val="baseline"/>
              <w:rPr>
                <w:i/>
                <w:iCs/>
              </w:rPr>
            </w:pPr>
            <w:hyperlink r:id="rId36" w:history="1">
              <w:r w:rsidR="00E519ED">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A54D93"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sidR="00E519ED">
          <w:rPr>
            <w:b/>
            <w:i/>
            <w:color w:val="0000FF"/>
            <w:sz w:val="28"/>
            <w:u w:val="single"/>
          </w:rPr>
          <w:t>Reactores modulares pequeños</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Ponente</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Coponente</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Christophe BÉGUINET (Grupo de Trabajadores – FR)</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r>
              <w:t>Domantas TRACEVIČIUS (Grupo de Organizaciones de la Sociedad Civil – LT)</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COM(2026)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Puntos clave</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El CESE:</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reconoce el valor de la Estrategia para el desarrollo y el despliegue de reactores modulares pequeños en Europa;</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considera que la estrategia europea para los reactores modulares pequeños debe basarse en requisitos de normalización por familia de productos, siempre que se respeten las normas de seguridad más estrictas;</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señala que las decisiones relativas a las tecnologías de reactores deben ir acompañadas de la correspondiente evaluación de los requisitos de suministro de combustible, fabricación, transporte, almacenamiento, reciclado y gestión de residuos;</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hace hincapié en que la estrategia para estas cadenas de valor de los reactores modulares pequeños debe dar prioridad al fomento de los puestos de trabajo necesarios, en particular al reciclaje profesional de la mano de obra;</w:t>
      </w:r>
    </w:p>
    <w:p w14:paraId="5719196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subraya que los Estados miembros deben converger hacia una oferta muy limitada de soluciones de reactores modulares pequeños —probablemente no más de cuatro o cinco en total—, velando al mismo tiempo por preservar la diversidad tecnológica cuando sea necesario, con el fin de reducir los riesgos sistémicos y evitar la dependencia;</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pide iniciar inmediatamente una hoja de ruta de financiación con una distribución equitativa de la asunción de riesgos y de la carga entre los inversores privados y el sector público, que incluya mecanismos estrictos de control de costes, transparencia y reparto de riesgos con los inversores privados.</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Contacto:</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Albert PRECUP</w:t>
            </w:r>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Teléfono:</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+32 25469326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Correo electrónico:</w:t>
            </w:r>
          </w:p>
        </w:tc>
        <w:tc>
          <w:tcPr>
            <w:tcW w:w="3922" w:type="pct"/>
          </w:tcPr>
          <w:p w14:paraId="294B9995" w14:textId="77777777" w:rsidR="00BB21A2" w:rsidRPr="00BB21A2" w:rsidRDefault="00A54D93" w:rsidP="00BB21A2">
            <w:pPr>
              <w:overflowPunct w:val="0"/>
              <w:autoSpaceDE w:val="0"/>
              <w:autoSpaceDN w:val="0"/>
              <w:adjustRightInd w:val="0"/>
              <w:textAlignment w:val="baseline"/>
              <w:rPr>
                <w:i/>
              </w:rPr>
            </w:pPr>
            <w:hyperlink r:id="rId38" w:history="1">
              <w:r w:rsidR="00E519ED">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A54D93"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sidR="00E519ED">
          <w:rPr>
            <w:b/>
            <w:i/>
            <w:color w:val="0000FF"/>
            <w:sz w:val="28"/>
            <w:u w:val="single"/>
          </w:rPr>
          <w:t>Una red ferroviaria europea de alta velocidad para 2040</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Ponente</w:t>
            </w:r>
          </w:p>
        </w:tc>
        <w:tc>
          <w:tcPr>
            <w:tcW w:w="7371"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r>
              <w:t>Dumitru FORNEA (Grupo de Trabajadores – 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Referencia</w:t>
            </w:r>
          </w:p>
        </w:tc>
        <w:tc>
          <w:tcPr>
            <w:tcW w:w="7371"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Dictamen de iniciativa</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Puntos clave</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El CESE:</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considera que el desarrollo de una verdadera red ferroviaria europea de alta velocidad para 2040 debe convertirse en una prioridad estratégica para la Unión, tan ambiciosa como el mercado único, el euro y el Pacto Verde;</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cree que reforzar la conectividad oeste-este y norte-sur, en particular en las regiones centrales y periféricas, es esencial para fortalecer la cohesión económica, social y territorial en toda la UE;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destaca que un enfoque coordinado a escala de la UE puede fortalecer los ecosistemas industriales, estimular la innovación y garantizar un empleo de alta calidad a lo largo de toda la cadena de valor;</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considera que</w:t>
      </w:r>
    </w:p>
    <w:p w14:paraId="41533C7A"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debe darse prioridad a los corredores transfronterizos con un elevado valor añadido europeo;</w:t>
      </w:r>
    </w:p>
    <w:p w14:paraId="3143F56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la gobernanza debe ser transparente y es necesario desarrollar instrumentos de financiación innovadores, que incluyan un uso estratégico de los ingresos procedentes del régimen de comercio de derechos de emisión, para apoyar tanto la conectividad transfronteriza como la modernización de las redes ferroviarias nacionales;</w:t>
      </w:r>
    </w:p>
    <w:p w14:paraId="172B400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la interoperabilidad debe convertirse en un objetivo innegociable, y la digitalización y la inteligencia artificial deben integrarse plenamente; </w:t>
      </w:r>
    </w:p>
    <w:p w14:paraId="7143EF75"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la red ferroviaria de alta velocidad debe seguir siendo accesible, inclusiva y orientada al usuario, y Europa debe invertir urgentemente en capacidades, formación profesional, períodos de prácticas, reciclaje profesional y fomento del empleo cualificado.</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087"/>
      </w:tblGrid>
      <w:tr w:rsidR="003C5092" w:rsidRPr="003C5092" w14:paraId="2566D320" w14:textId="77777777" w:rsidTr="0046353C">
        <w:tc>
          <w:tcPr>
            <w:tcW w:w="2093" w:type="dxa"/>
          </w:tcPr>
          <w:p w14:paraId="622DD809" w14:textId="77777777" w:rsidR="003C5092" w:rsidRPr="003C5092" w:rsidRDefault="003C5092" w:rsidP="003C5092">
            <w:pPr>
              <w:overflowPunct w:val="0"/>
              <w:autoSpaceDE w:val="0"/>
              <w:autoSpaceDN w:val="0"/>
              <w:adjustRightInd w:val="0"/>
              <w:textAlignment w:val="baseline"/>
              <w:rPr>
                <w:i/>
              </w:rPr>
            </w:pPr>
            <w:r>
              <w:rPr>
                <w:b/>
                <w:i/>
              </w:rPr>
              <w:t>Contacto:</w:t>
            </w:r>
          </w:p>
        </w:tc>
        <w:tc>
          <w:tcPr>
            <w:tcW w:w="7087" w:type="dxa"/>
          </w:tcPr>
          <w:p w14:paraId="13C5C6C3" w14:textId="7F6EF920" w:rsidR="003C5092" w:rsidRPr="003C5092" w:rsidRDefault="003C5092" w:rsidP="003C5092">
            <w:pPr>
              <w:overflowPunct w:val="0"/>
              <w:autoSpaceDE w:val="0"/>
              <w:autoSpaceDN w:val="0"/>
              <w:adjustRightInd w:val="0"/>
              <w:textAlignment w:val="baseline"/>
              <w:rPr>
                <w:i/>
              </w:rPr>
            </w:pPr>
            <w:r>
              <w:rPr>
                <w:i/>
              </w:rPr>
              <w:t>Maja RADMAN</w:t>
            </w:r>
          </w:p>
        </w:tc>
      </w:tr>
      <w:tr w:rsidR="003C5092" w:rsidRPr="003C5092" w14:paraId="6BE3B3CA" w14:textId="77777777" w:rsidTr="0046353C">
        <w:tc>
          <w:tcPr>
            <w:tcW w:w="2093" w:type="dxa"/>
          </w:tcPr>
          <w:p w14:paraId="74BE3383" w14:textId="77777777" w:rsidR="003C5092" w:rsidRPr="003C5092" w:rsidRDefault="003C5092" w:rsidP="003C5092">
            <w:pPr>
              <w:overflowPunct w:val="0"/>
              <w:autoSpaceDE w:val="0"/>
              <w:autoSpaceDN w:val="0"/>
              <w:adjustRightInd w:val="0"/>
              <w:textAlignment w:val="baseline"/>
              <w:rPr>
                <w:i/>
              </w:rPr>
            </w:pPr>
            <w:r>
              <w:rPr>
                <w:i/>
              </w:rPr>
              <w:t>Teléfono:</w:t>
            </w:r>
          </w:p>
        </w:tc>
        <w:tc>
          <w:tcPr>
            <w:tcW w:w="7087" w:type="dxa"/>
          </w:tcPr>
          <w:p w14:paraId="3FCB0DF8" w14:textId="77777777" w:rsidR="003C5092" w:rsidRPr="003C5092" w:rsidRDefault="003C5092" w:rsidP="003C5092">
            <w:pPr>
              <w:overflowPunct w:val="0"/>
              <w:autoSpaceDE w:val="0"/>
              <w:autoSpaceDN w:val="0"/>
              <w:adjustRightInd w:val="0"/>
              <w:textAlignment w:val="baseline"/>
              <w:rPr>
                <w:i/>
              </w:rPr>
            </w:pPr>
            <w:r>
              <w:rPr>
                <w:i/>
              </w:rPr>
              <w:t>+32 25469051</w:t>
            </w:r>
          </w:p>
        </w:tc>
      </w:tr>
      <w:tr w:rsidR="003C5092" w:rsidRPr="003C5092" w14:paraId="37D96B88" w14:textId="77777777" w:rsidTr="0046353C">
        <w:tc>
          <w:tcPr>
            <w:tcW w:w="2093" w:type="dxa"/>
          </w:tcPr>
          <w:p w14:paraId="19753E47" w14:textId="77777777" w:rsidR="003C5092" w:rsidRPr="003C5092" w:rsidRDefault="003C5092" w:rsidP="003C5092">
            <w:pPr>
              <w:overflowPunct w:val="0"/>
              <w:autoSpaceDE w:val="0"/>
              <w:autoSpaceDN w:val="0"/>
              <w:adjustRightInd w:val="0"/>
              <w:textAlignment w:val="baseline"/>
              <w:rPr>
                <w:i/>
              </w:rPr>
            </w:pPr>
            <w:r>
              <w:rPr>
                <w:i/>
              </w:rPr>
              <w:t>Correo electrónico:</w:t>
            </w:r>
          </w:p>
        </w:tc>
        <w:tc>
          <w:tcPr>
            <w:tcW w:w="7087" w:type="dxa"/>
          </w:tcPr>
          <w:p w14:paraId="41E2E0DE" w14:textId="77777777" w:rsidR="003C5092" w:rsidRPr="003C5092" w:rsidRDefault="00A54D93" w:rsidP="003C5092">
            <w:pPr>
              <w:overflowPunct w:val="0"/>
              <w:autoSpaceDE w:val="0"/>
              <w:autoSpaceDN w:val="0"/>
              <w:adjustRightInd w:val="0"/>
              <w:textAlignment w:val="baseline"/>
              <w:rPr>
                <w:i/>
                <w:iCs/>
              </w:rPr>
            </w:pPr>
            <w:hyperlink r:id="rId40" w:history="1">
              <w:r w:rsidR="00E519ED">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"https://www.eesc.europa.eu/es/our-work/opinions-information-reports/opinions/eu-strategy-housing-construction"</w:instrText>
      </w:r>
      <w:r w:rsidRPr="003F2FE4">
        <w:rPr>
          <w:b/>
          <w:i/>
          <w:sz w:val="28"/>
        </w:rPr>
        <w:fldChar w:fldCharType="separate"/>
      </w:r>
      <w:r>
        <w:rPr>
          <w:b/>
          <w:i/>
          <w:color w:val="0000FF"/>
          <w:sz w:val="28"/>
          <w:u w:val="single"/>
        </w:rPr>
        <w:t>Estrategia Europea para la Construcción de Viviendas</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Ponente</w:t>
            </w:r>
          </w:p>
        </w:tc>
        <w:tc>
          <w:tcPr>
            <w:tcW w:w="7621"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Thomas KATTNIG (Grupo de Trabajadores – 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Referencias</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COM(2025) 991 final</w:t>
            </w:r>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Puntos clave</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El CESE:</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acoge favorablemente la Estrategia Europea para la Construcción de Viviendas en el marco del Plan Europeo de Vivienda Asequible, pero insta a la Comisión a que presente con celeridad las iniciativas anunciadas y a que adopte medidas mucho más ambiciosas para hacer frente a la crisis estructural de la vivienda: las condiciones marco necesarias para que la construcción sirva de catalizador para una vivienda asequible, sostenible y de alta calidad, un derecho a una vivienda adecuada y asequible en el Derecho primario de la Unión, financiación suficiente y una mayor atención a grupos vulnerables y a la sostenibilidad. Las ayudas a la vivienda deben dar prioridad, dependiendo del caso, a las reconversiones, las renovaciones y las nuevas construcciones, y promover métodos de construcción climáticamente neutros y eficientes en el uso de los recursos, viviendas colectivas y enfoques de movilidad alternativa que mejoren la calidad de vida de las personas;</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se muestra crítico con la ausencia de directrices claras sobre el uso del suelo y la ordenación del territorio, y pide una estrategia de desarrollo rural eficaz y herramientas con capacidad demostrada, entre las que se incluyan cuotas obligatorias de viviendas de alquiler social y de viviendas asequibles;</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considera que la innovación es esencial para una construcción más rápida, sostenible, fiable y asequible, al tiempo que aumenta el atractivo de los oficios cualificados. Por ello, acoge con satisfacción la aceleración del desarrollo de normas en el marco del nuevo Reglamento sobre Productos de Construcción y aboga por que la UE desempeñe un papel más destacado en los organismos internacionales de normalización. La digitalización no debe limitarse a proyectos de construcción, sino que debe aprovecharse también para reforzar el respeto de los derechos laborales, la calidad del empleo, las condiciones de trabajo y el interés de los consumidores.</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371"/>
      </w:tblGrid>
      <w:tr w:rsidR="003F2FE4" w:rsidRPr="003F2FE4" w14:paraId="45E46466" w14:textId="77777777" w:rsidTr="0046353C">
        <w:tc>
          <w:tcPr>
            <w:tcW w:w="1951" w:type="dxa"/>
          </w:tcPr>
          <w:p w14:paraId="09641944" w14:textId="77777777" w:rsidR="003F2FE4" w:rsidRPr="003F2FE4" w:rsidRDefault="003F2FE4" w:rsidP="003F2FE4">
            <w:pPr>
              <w:overflowPunct w:val="0"/>
              <w:autoSpaceDE w:val="0"/>
              <w:autoSpaceDN w:val="0"/>
              <w:adjustRightInd w:val="0"/>
              <w:textAlignment w:val="baseline"/>
              <w:rPr>
                <w:i/>
              </w:rPr>
            </w:pPr>
            <w:r>
              <w:rPr>
                <w:b/>
                <w:i/>
              </w:rPr>
              <w:t>Contacto:</w:t>
            </w:r>
          </w:p>
        </w:tc>
        <w:tc>
          <w:tcPr>
            <w:tcW w:w="7371"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46353C">
        <w:tc>
          <w:tcPr>
            <w:tcW w:w="1951" w:type="dxa"/>
          </w:tcPr>
          <w:p w14:paraId="65EC7E16" w14:textId="77777777" w:rsidR="003F2FE4" w:rsidRPr="003F2FE4" w:rsidRDefault="003F2FE4" w:rsidP="003F2FE4">
            <w:pPr>
              <w:overflowPunct w:val="0"/>
              <w:autoSpaceDE w:val="0"/>
              <w:autoSpaceDN w:val="0"/>
              <w:adjustRightInd w:val="0"/>
              <w:textAlignment w:val="baseline"/>
              <w:rPr>
                <w:i/>
              </w:rPr>
            </w:pPr>
            <w:r>
              <w:rPr>
                <w:i/>
              </w:rPr>
              <w:t>Teléfono:</w:t>
            </w:r>
          </w:p>
        </w:tc>
        <w:tc>
          <w:tcPr>
            <w:tcW w:w="7371" w:type="dxa"/>
          </w:tcPr>
          <w:p w14:paraId="3CADF473" w14:textId="77777777" w:rsidR="003F2FE4" w:rsidRPr="003F2FE4" w:rsidRDefault="003F2FE4" w:rsidP="003F2FE4">
            <w:pPr>
              <w:overflowPunct w:val="0"/>
              <w:autoSpaceDE w:val="0"/>
              <w:autoSpaceDN w:val="0"/>
              <w:adjustRightInd w:val="0"/>
              <w:textAlignment w:val="baseline"/>
              <w:rPr>
                <w:i/>
              </w:rPr>
            </w:pPr>
            <w:r>
              <w:rPr>
                <w:i/>
              </w:rPr>
              <w:t>+32 25468921</w:t>
            </w:r>
          </w:p>
        </w:tc>
      </w:tr>
      <w:tr w:rsidR="003F2FE4" w:rsidRPr="003F2FE4" w14:paraId="7B954A06" w14:textId="77777777" w:rsidTr="0046353C">
        <w:tc>
          <w:tcPr>
            <w:tcW w:w="1951" w:type="dxa"/>
          </w:tcPr>
          <w:p w14:paraId="080B898B" w14:textId="44C24F45" w:rsidR="003F2FE4" w:rsidRPr="003F2FE4" w:rsidRDefault="00A258F1" w:rsidP="003F2FE4">
            <w:pPr>
              <w:overflowPunct w:val="0"/>
              <w:autoSpaceDE w:val="0"/>
              <w:autoSpaceDN w:val="0"/>
              <w:adjustRightInd w:val="0"/>
              <w:textAlignment w:val="baseline"/>
              <w:rPr>
                <w:i/>
              </w:rPr>
            </w:pPr>
            <w:r>
              <w:rPr>
                <w:i/>
              </w:rPr>
              <w:t>Correo electrónico:</w:t>
            </w:r>
          </w:p>
        </w:tc>
        <w:tc>
          <w:tcPr>
            <w:tcW w:w="7371" w:type="dxa"/>
          </w:tcPr>
          <w:p w14:paraId="3DA84614" w14:textId="77777777" w:rsidR="003F2FE4" w:rsidRPr="003F2FE4" w:rsidRDefault="00A54D93" w:rsidP="003F2FE4">
            <w:pPr>
              <w:overflowPunct w:val="0"/>
              <w:autoSpaceDE w:val="0"/>
              <w:autoSpaceDN w:val="0"/>
              <w:adjustRightInd w:val="0"/>
              <w:textAlignment w:val="baseline"/>
              <w:rPr>
                <w:i/>
                <w:iCs/>
              </w:rPr>
            </w:pPr>
            <w:hyperlink r:id="rId41" w:history="1">
              <w:r w:rsidR="00E519ED">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A54D93" w:rsidP="00BF0E17">
      <w:pPr>
        <w:widowControl w:val="0"/>
        <w:numPr>
          <w:ilvl w:val="0"/>
          <w:numId w:val="4"/>
        </w:numPr>
        <w:overflowPunct w:val="0"/>
        <w:autoSpaceDE w:val="0"/>
        <w:autoSpaceDN w:val="0"/>
        <w:adjustRightInd w:val="0"/>
        <w:ind w:hanging="567"/>
        <w:textAlignment w:val="baseline"/>
        <w:rPr>
          <w:b/>
        </w:rPr>
      </w:pPr>
      <w:hyperlink r:id="rId42" w:history="1">
        <w:r w:rsidR="00E519ED">
          <w:rPr>
            <w:b/>
            <w:i/>
            <w:color w:val="0000FF"/>
            <w:sz w:val="28"/>
            <w:u w:val="single"/>
          </w:rPr>
          <w:t>Almacenamiento estratégico de energía para una Unión Europea de la Energía</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Ponente</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(Grupo de Trabajadores – AT)</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Coponente</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Konstantinos MOUSOUROULIS (Grupo de Empresarios - 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Referencia</w:t>
            </w:r>
          </w:p>
        </w:tc>
        <w:tc>
          <w:tcPr>
            <w:tcW w:w="7262"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Dictamen de iniciativa</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Puntos clave</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62B86B3C" w:rsidR="00BF0E17" w:rsidRDefault="00BF0E17" w:rsidP="00BF0E17">
      <w:pPr>
        <w:overflowPunct w:val="0"/>
        <w:autoSpaceDE w:val="0"/>
        <w:autoSpaceDN w:val="0"/>
        <w:adjustRightInd w:val="0"/>
        <w:textAlignment w:val="baseline"/>
      </w:pPr>
      <w:r>
        <w:t>El CESE:</w:t>
      </w:r>
    </w:p>
    <w:p w14:paraId="57F6D308" w14:textId="77777777" w:rsidR="0046353C" w:rsidRDefault="0046353C" w:rsidP="00BF0E17">
      <w:pPr>
        <w:overflowPunct w:val="0"/>
        <w:autoSpaceDE w:val="0"/>
        <w:autoSpaceDN w:val="0"/>
        <w:adjustRightInd w:val="0"/>
        <w:textAlignment w:val="baseline"/>
        <w:rPr>
          <w:bCs/>
          <w:iCs/>
        </w:rPr>
      </w:pP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considera que el almacenamiento de energía es necesario para garantizar que la transición energética sea viable, asequible, socialmente justa y territorialmente equilibrada. No obstante, la UE carece de una estrategia integral al respecto;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pide a la Comisión que presente directrices y estrategias comunes para: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incorporar los planes de almacenamiento en los planes nacionales integrados de energía y clima y garantizar un desarrollo del almacenamiento que guarde proporción con el de las fuentes de energía renovables;</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producir e importar materiales fundamentales sin generar nuevas dependencias;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mantener el sistema de almacenamiento de baterías, la prolongación de su vida útil, su reutilización y su reciclado;</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integrar el almacenamiento en las políticas relativas a soluciones descentralizadas, comunidades de energía y consumidores vulnerables;</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interconectar el almacenamiento con la digitalización y la ciberseguridad de las infraestructuras energéticas, que abarque también la resiliencia frente a ciberataques y amenazas híbridas, así como la ordenación territorial de los nuevos centros de datos, sobre la base de criterios como la disponibilidad de capacidad de red, la eficiencia energética, la flexibilidad, la seguridad del suministro y la asignación justa de los costes;</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acoge con satisfacción el anuncio de la Comisión sobre la viabilidad de ampliar el ámbito de aplicación de la actual cláusula de salvaguardia nacional para el gasto en defensa a fin de reducir la dependencia de los combustibles fósiles importados, contribuyendo así a la seguridad y la defensa de Europa, y la posibilidad que esto ofrece de utilizar esta flexibilidad adicional para invertir en tecnología de almacenamiento y otras infraestructuras de energía verde;</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considera que la inversión basada en el mercado no garantizará por sí sola la escala, el calendario y el tipo de almacenamiento necesarios. En consecuencia, una planificación estratégica pública, una financiación pública complementaria, el apoyo del Banco Europeo de Inversiones, los mercados regulados, la propiedad pública, los modelos de activos regulados, las asociaciones público-comunitarias, los marcos reguladores y los modelos de inversión a largo plazo son esenciales;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subraya que las infraestructuras de almacenamiento de energía forman parte de los servicios de interés general, por lo que deben recibir la consideración que merecen, también mediante instrumentos de planificación y financiación y, en su caso, mediante la propiedad o el control públicos;</w:t>
      </w:r>
    </w:p>
    <w:p w14:paraId="72C2CFED"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lastRenderedPageBreak/>
        <w:t xml:space="preserve">pide que las políticas de almacenamiento de la UE impulsen la creación de empleo de calidad, el perfeccionamiento profesional, la educación técnica y el diálogo social: la UE debe vincular el progreso tecnológico a unas normas laborales y sociales estrictas.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80"/>
      </w:tblGrid>
      <w:tr w:rsidR="00BF0E17" w:rsidRPr="00BF0E17" w14:paraId="0F83A60E" w14:textId="77777777" w:rsidTr="0046353C">
        <w:tc>
          <w:tcPr>
            <w:tcW w:w="2093" w:type="dxa"/>
          </w:tcPr>
          <w:p w14:paraId="0E515423" w14:textId="77777777" w:rsidR="00BF0E17" w:rsidRPr="00BF0E17" w:rsidRDefault="00BF0E17" w:rsidP="00BF0E17">
            <w:pPr>
              <w:overflowPunct w:val="0"/>
              <w:autoSpaceDE w:val="0"/>
              <w:autoSpaceDN w:val="0"/>
              <w:adjustRightInd w:val="0"/>
              <w:textAlignment w:val="baseline"/>
              <w:rPr>
                <w:i/>
              </w:rPr>
            </w:pPr>
            <w:r>
              <w:rPr>
                <w:b/>
                <w:i/>
              </w:rPr>
              <w:t>Contacto:</w:t>
            </w:r>
          </w:p>
        </w:tc>
        <w:tc>
          <w:tcPr>
            <w:tcW w:w="6980" w:type="dxa"/>
          </w:tcPr>
          <w:p w14:paraId="61157703" w14:textId="3C81BD0A" w:rsidR="00BF0E17" w:rsidRPr="00BF0E17" w:rsidRDefault="00BF0E17" w:rsidP="00BF0E17">
            <w:pPr>
              <w:overflowPunct w:val="0"/>
              <w:autoSpaceDE w:val="0"/>
              <w:autoSpaceDN w:val="0"/>
              <w:adjustRightInd w:val="0"/>
              <w:textAlignment w:val="baseline"/>
              <w:rPr>
                <w:i/>
              </w:rPr>
            </w:pPr>
            <w:r>
              <w:rPr>
                <w:i/>
              </w:rPr>
              <w:t>Giorgia Andrea BORDIGNON</w:t>
            </w:r>
          </w:p>
        </w:tc>
      </w:tr>
      <w:tr w:rsidR="00BF0E17" w:rsidRPr="00BF0E17" w14:paraId="44F0C4C3" w14:textId="77777777" w:rsidTr="0046353C">
        <w:tc>
          <w:tcPr>
            <w:tcW w:w="2093" w:type="dxa"/>
          </w:tcPr>
          <w:p w14:paraId="48861325" w14:textId="77777777" w:rsidR="00BF0E17" w:rsidRPr="00BF0E17" w:rsidRDefault="00BF0E17" w:rsidP="00BF0E17">
            <w:pPr>
              <w:overflowPunct w:val="0"/>
              <w:autoSpaceDE w:val="0"/>
              <w:autoSpaceDN w:val="0"/>
              <w:adjustRightInd w:val="0"/>
              <w:textAlignment w:val="baseline"/>
              <w:rPr>
                <w:i/>
              </w:rPr>
            </w:pPr>
            <w:r>
              <w:rPr>
                <w:i/>
              </w:rPr>
              <w:t>Teléfono:</w:t>
            </w:r>
          </w:p>
        </w:tc>
        <w:tc>
          <w:tcPr>
            <w:tcW w:w="6980" w:type="dxa"/>
          </w:tcPr>
          <w:p w14:paraId="5A9944C9" w14:textId="77777777" w:rsidR="00BF0E17" w:rsidRPr="00BF0E17" w:rsidRDefault="00BF0E17" w:rsidP="00BF0E17">
            <w:pPr>
              <w:overflowPunct w:val="0"/>
              <w:autoSpaceDE w:val="0"/>
              <w:autoSpaceDN w:val="0"/>
              <w:adjustRightInd w:val="0"/>
              <w:textAlignment w:val="baseline"/>
              <w:rPr>
                <w:i/>
              </w:rPr>
            </w:pPr>
            <w:r>
              <w:rPr>
                <w:i/>
              </w:rPr>
              <w:t>+32 25468535</w:t>
            </w:r>
          </w:p>
        </w:tc>
      </w:tr>
      <w:tr w:rsidR="00BF0E17" w:rsidRPr="00BF0E17" w14:paraId="1B586C95" w14:textId="77777777" w:rsidTr="0046353C">
        <w:tc>
          <w:tcPr>
            <w:tcW w:w="2093" w:type="dxa"/>
          </w:tcPr>
          <w:p w14:paraId="63B93C56" w14:textId="77777777" w:rsidR="00BF0E17" w:rsidRPr="00BF0E17" w:rsidRDefault="00BF0E17" w:rsidP="00BF0E17">
            <w:pPr>
              <w:overflowPunct w:val="0"/>
              <w:autoSpaceDE w:val="0"/>
              <w:autoSpaceDN w:val="0"/>
              <w:adjustRightInd w:val="0"/>
              <w:textAlignment w:val="baseline"/>
              <w:rPr>
                <w:i/>
              </w:rPr>
            </w:pPr>
            <w:r>
              <w:rPr>
                <w:i/>
              </w:rPr>
              <w:t>Correo electrónico:</w:t>
            </w:r>
          </w:p>
        </w:tc>
        <w:tc>
          <w:tcPr>
            <w:tcW w:w="6980" w:type="dxa"/>
          </w:tcPr>
          <w:p w14:paraId="544CA4BB" w14:textId="77777777" w:rsidR="00BF0E17" w:rsidRPr="00BF0E17" w:rsidRDefault="00A54D93" w:rsidP="00BF0E17">
            <w:pPr>
              <w:overflowPunct w:val="0"/>
              <w:autoSpaceDE w:val="0"/>
              <w:autoSpaceDN w:val="0"/>
              <w:adjustRightInd w:val="0"/>
              <w:textAlignment w:val="baseline"/>
              <w:rPr>
                <w:i/>
                <w:iCs/>
              </w:rPr>
            </w:pPr>
            <w:hyperlink r:id="rId43" w:history="1">
              <w:r w:rsidR="00E519ED">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2" w14:textId="1D0F332A" w:rsidR="004D7AC0" w:rsidRDefault="004D7AC0" w:rsidP="001766B2">
      <w:pPr>
        <w:jc w:val="left"/>
      </w:pPr>
    </w:p>
    <w:p w14:paraId="4982DDF3" w14:textId="6E3A5707" w:rsidR="004D7AC0" w:rsidRDefault="004D7AC0" w:rsidP="001766B2">
      <w:pPr>
        <w:pStyle w:val="Heading1"/>
        <w:rPr>
          <w:b/>
        </w:rPr>
      </w:pPr>
      <w:bookmarkStart w:id="41" w:name="_Toc75527083"/>
      <w:bookmarkStart w:id="42" w:name="_Toc239145883"/>
      <w:r>
        <w:rPr>
          <w:b/>
        </w:rPr>
        <w:t>MERCADO ÚNICO, PRODUCCIÓN Y CONSUMO</w:t>
      </w:r>
      <w:bookmarkEnd w:id="41"/>
      <w:bookmarkEnd w:id="42"/>
    </w:p>
    <w:p w14:paraId="4982DDF4" w14:textId="77777777" w:rsidR="004D7AC0" w:rsidRDefault="004D7AC0" w:rsidP="001766B2"/>
    <w:p w14:paraId="08F1C502" w14:textId="6B2AA008" w:rsidR="00DB48A1" w:rsidRPr="00DB48A1" w:rsidRDefault="00A54D93"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sidR="00E519ED">
          <w:rPr>
            <w:b/>
            <w:i/>
            <w:color w:val="0000FF"/>
            <w:sz w:val="28"/>
            <w:u w:val="single"/>
          </w:rPr>
          <w:t>Ley de Aceleración Industrial</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Ponente</w:t>
            </w:r>
          </w:p>
        </w:tc>
        <w:tc>
          <w:tcPr>
            <w:tcW w:w="3923"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Konstantinos DIAMANTOUROS (Grupo de Empresarios – EL)</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r>
              <w:t>COM(2026)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Puntos clave</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El CESE:</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acoge con satisfacción la Ley de Aceleración Industrial como respuesta oportuna a la disminución de la competitividad industrial, la presión económica externa y la necesidad de reforzar la base industrial estratégica de Europa;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apoya el objetivo de aumentar la cuota de la industria manufacturera en el PIB de la UE hasta el 20 % de aquí a 2035, al tiempo que pide </w:t>
      </w:r>
      <w:r>
        <w:rPr>
          <w:b/>
        </w:rPr>
        <w:t>indicadores complementarios en materia de descarbonización, electrificación, eficiencia en el uso de los recursos, empleo de calidad y autonomía estratégica</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respalda un </w:t>
      </w:r>
      <w:r>
        <w:rPr>
          <w:b/>
        </w:rPr>
        <w:t>proceso de concesión de autorizaciones más rápido y eficaz</w:t>
      </w:r>
      <w:r>
        <w:t xml:space="preserve">, que incluya procedimientos digitales y zonas de aceleración, siempre que se respeten plenamente las salvaguardias medioambientales, la participación pública, el acceso a la justicia y el equilibrio regional;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apoya la introducción de </w:t>
      </w:r>
      <w:r>
        <w:rPr>
          <w:b/>
        </w:rPr>
        <w:t>requisitos en materia de bajas emisiones de carbono y fabricación en la UE</w:t>
      </w:r>
      <w:r>
        <w:t xml:space="preserve">, al tiempo que pide </w:t>
      </w:r>
      <w:r>
        <w:rPr>
          <w:b/>
        </w:rPr>
        <w:t>salvaguardias más sólidas en materia de reciprocidad</w:t>
      </w:r>
      <w:r>
        <w:t xml:space="preserve">, una protección eficaz de las cadenas de valor europeas y la inclusión del </w:t>
      </w:r>
      <w:r>
        <w:rPr>
          <w:b/>
        </w:rPr>
        <w:t>acero</w:t>
      </w:r>
      <w:r>
        <w:t xml:space="preserve"> al mismo nivel que el </w:t>
      </w:r>
      <w:r>
        <w:rPr>
          <w:b/>
        </w:rPr>
        <w:t>cemento</w:t>
      </w:r>
      <w:r>
        <w:t xml:space="preserve"> y el </w:t>
      </w:r>
      <w:r>
        <w:rPr>
          <w:b/>
        </w:rPr>
        <w:t>aluminio</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subraya que la transformación industrial debe ir acompañada de infraestructuras adecuadas, una </w:t>
      </w:r>
      <w:r>
        <w:rPr>
          <w:b/>
        </w:rPr>
        <w:t>mano de obra</w:t>
      </w:r>
      <w:r>
        <w:t xml:space="preserve"> cualificada, </w:t>
      </w:r>
      <w:r>
        <w:rPr>
          <w:b/>
        </w:rPr>
        <w:t>medidas de transición justa, reciclaje y perfeccionamiento profesionales</w:t>
      </w:r>
      <w:r>
        <w:t xml:space="preserve">, y </w:t>
      </w:r>
      <w:r>
        <w:rPr>
          <w:b/>
        </w:rPr>
        <w:t>condiciones sociales</w:t>
      </w:r>
      <w:r>
        <w:t xml:space="preserve"> vinculadas a la ayuda pública.</w:t>
      </w:r>
    </w:p>
    <w:p w14:paraId="23B38209"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Contacto:</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Silvia STAFFA</w:t>
            </w:r>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Teléfono:</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+32 25468378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Correo electrónico:</w:t>
            </w:r>
          </w:p>
        </w:tc>
        <w:tc>
          <w:tcPr>
            <w:tcW w:w="3923" w:type="pct"/>
          </w:tcPr>
          <w:p w14:paraId="320D2446" w14:textId="77777777" w:rsidR="00DB48A1" w:rsidRPr="00DB48A1" w:rsidRDefault="00A54D93" w:rsidP="00DB48A1">
            <w:pPr>
              <w:overflowPunct w:val="0"/>
              <w:autoSpaceDE w:val="0"/>
              <w:autoSpaceDN w:val="0"/>
              <w:adjustRightInd w:val="0"/>
              <w:textAlignment w:val="baseline"/>
              <w:rPr>
                <w:i/>
              </w:rPr>
            </w:pPr>
            <w:hyperlink r:id="rId45" w:history="1">
              <w:r w:rsidR="00E519ED">
                <w:rPr>
                  <w:i/>
                  <w:color w:val="0000FF"/>
                  <w:u w:val="single"/>
                </w:rPr>
                <w:t>Silvia.Staffa@eesc.europa.eu</w:t>
              </w:r>
            </w:hyperlink>
            <w:r w:rsidR="00E519ED">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A54D93" w:rsidP="00F10883">
      <w:pPr>
        <w:widowControl w:val="0"/>
        <w:numPr>
          <w:ilvl w:val="0"/>
          <w:numId w:val="4"/>
        </w:numPr>
        <w:overflowPunct w:val="0"/>
        <w:autoSpaceDE w:val="0"/>
        <w:autoSpaceDN w:val="0"/>
        <w:adjustRightInd w:val="0"/>
        <w:ind w:hanging="567"/>
        <w:textAlignment w:val="baseline"/>
        <w:rPr>
          <w:b/>
        </w:rPr>
      </w:pPr>
      <w:hyperlink r:id="rId46" w:history="1">
        <w:r w:rsidR="00E519ED">
          <w:rPr>
            <w:b/>
            <w:i/>
            <w:color w:val="0000FF"/>
            <w:sz w:val="28"/>
            <w:u w:val="single"/>
          </w:rPr>
          <w:t>EU Inc.: un conjunto único y armonizado de normas para las empresas innovadoras de toda la UE</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7148"/>
      </w:tblGrid>
      <w:tr w:rsidR="00F10883" w:rsidRPr="00F10883"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Ponente</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Coponente</w:t>
            </w:r>
          </w:p>
        </w:tc>
        <w:tc>
          <w:tcPr>
            <w:tcW w:w="3893"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Maxi Katharina LEUCHTERS (Grupo de Trabajadores – DE)</w:t>
            </w:r>
          </w:p>
          <w:p w14:paraId="334B0AFE" w14:textId="35FC26A2" w:rsidR="00F10883" w:rsidRDefault="00F10883" w:rsidP="00F10883">
            <w:pPr>
              <w:tabs>
                <w:tab w:val="center" w:pos="284"/>
              </w:tabs>
              <w:overflowPunct w:val="0"/>
              <w:autoSpaceDE w:val="0"/>
              <w:autoSpaceDN w:val="0"/>
              <w:adjustRightInd w:val="0"/>
              <w:ind w:left="266" w:hanging="266"/>
              <w:textAlignment w:val="baseline"/>
            </w:pPr>
            <w:r>
              <w:t>Antonio GARCÍA DEL RIEGO (Grupo de Empresarios – 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Referencias</w:t>
            </w:r>
          </w:p>
        </w:tc>
        <w:tc>
          <w:tcPr>
            <w:tcW w:w="3893"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 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Puntos clave</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El CESE:</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toma nota de que la propuesta de EU Inc. tiene por objeto hacer de la UE un lugar más atractivo para crear, expandir y retener empresas, utilizando un conjunto de herramientas de gobernanza y financiación desplegadas de manera más integrada, digital y transfronteriza;</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destaca que una gobernanza empresarial eficaz y sostenible es un componente clave del éxito de las empresas y debe formar parte de cualquier estructura jurídica empresarial, incluyendo salvaguardias proporcionadas;</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señala que el domicilio social y el centro de actividad principal de una sociedad EU Inc. pueden estar situados en diferentes Estados miembros y que el marco EU Inc. debe prever salvaguardias eficaces contra el fraude, el blanqueo de capitales, los acuerdos societarios abusivos y la elusión de los derechos de participación de los trabajadores;</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considera que el marco EU Inc. debe seguir siendo accesible a otras empresas, cuando su utilización favorezca la actividad transfronteriza, la innovación, la inversión, el crecimiento y la creación de empleo;</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subraya que las estructuras de propiedad alternativas, incluida la propiedad responsable, las cooperativas y las fundaciones, pueden ser una fuente potencial de innovación y orientación a largo plazo;</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anima a la Comisión Europea a que trabaje en un marco contable armonizado —aplicable a las empresas emergentes y en expansión— que establezca un conjunto único de normas a escala de la UE para la presentación de informes financieros;</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hace hincapié en que la propuesta debe entenderse sin perjuicio de los principios consagrados en el Reglamento Roma I sobre la ley aplicable a las obligaciones contractuales, en particular los derechos laborales individuales.</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Contacto:</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Marco MANFRONI</w:t>
            </w:r>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Teléfono:</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+32 25469140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Correo electrónico:</w:t>
            </w:r>
          </w:p>
        </w:tc>
        <w:tc>
          <w:tcPr>
            <w:tcW w:w="3910" w:type="pct"/>
          </w:tcPr>
          <w:p w14:paraId="3270A1DF" w14:textId="77777777" w:rsidR="00F10883" w:rsidRPr="00F10883" w:rsidRDefault="00A54D93" w:rsidP="00F10883">
            <w:pPr>
              <w:overflowPunct w:val="0"/>
              <w:autoSpaceDE w:val="0"/>
              <w:autoSpaceDN w:val="0"/>
              <w:adjustRightInd w:val="0"/>
              <w:textAlignment w:val="baseline"/>
              <w:rPr>
                <w:i/>
                <w:iCs/>
              </w:rPr>
            </w:pPr>
            <w:hyperlink r:id="rId47" w:history="1">
              <w:r w:rsidR="00E519ED">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5268A0E0" w:rsidR="004D7AC0" w:rsidRDefault="004D7AC0" w:rsidP="001766B2">
      <w:pPr>
        <w:pStyle w:val="Heading1"/>
        <w:rPr>
          <w:b/>
        </w:rPr>
      </w:pPr>
      <w:bookmarkStart w:id="43" w:name="_Toc70322234"/>
      <w:bookmarkStart w:id="44" w:name="_Toc75527084"/>
      <w:bookmarkStart w:id="45" w:name="_Toc239145884"/>
      <w:r>
        <w:rPr>
          <w:b/>
        </w:rPr>
        <w:lastRenderedPageBreak/>
        <w:t>AGRICULTURA, DESARROLLO RURAL Y MEDIO AMBIENTE</w:t>
      </w:r>
      <w:bookmarkEnd w:id="43"/>
      <w:bookmarkEnd w:id="44"/>
      <w:bookmarkEnd w:id="45"/>
    </w:p>
    <w:p w14:paraId="4982DE20" w14:textId="77777777" w:rsidR="004D7AC0" w:rsidRDefault="004D7AC0" w:rsidP="001766B2"/>
    <w:p w14:paraId="2962F1BD" w14:textId="09CC7FAE" w:rsidR="00706116" w:rsidRPr="00706116" w:rsidRDefault="00A54D93" w:rsidP="00706116">
      <w:pPr>
        <w:widowControl w:val="0"/>
        <w:numPr>
          <w:ilvl w:val="0"/>
          <w:numId w:val="4"/>
        </w:numPr>
        <w:overflowPunct w:val="0"/>
        <w:autoSpaceDE w:val="0"/>
        <w:autoSpaceDN w:val="0"/>
        <w:adjustRightInd w:val="0"/>
        <w:ind w:hanging="567"/>
        <w:textAlignment w:val="baseline"/>
        <w:rPr>
          <w:b/>
          <w:bCs/>
          <w:szCs w:val="20"/>
        </w:rPr>
      </w:pPr>
      <w:hyperlink r:id="rId48" w:history="1">
        <w:r w:rsidR="00E519ED">
          <w:rPr>
            <w:b/>
            <w:i/>
            <w:color w:val="0000FF"/>
            <w:sz w:val="28"/>
            <w:u w:val="single"/>
          </w:rPr>
          <w:t>Modificación específica – Plan de Acción de la UE sobre los Fertilizantes</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Dictamen de categoría C</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COM(2026) 282 final</w:t>
            </w:r>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Puntos clave</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19483D1E" w:rsidR="00706116" w:rsidRPr="00706116" w:rsidRDefault="00706116" w:rsidP="00D3388B">
      <w:pPr>
        <w:overflowPunct w:val="0"/>
        <w:autoSpaceDE w:val="0"/>
        <w:autoSpaceDN w:val="0"/>
        <w:adjustRightInd w:val="0"/>
        <w:textAlignment w:val="baseline"/>
        <w:rPr>
          <w:szCs w:val="20"/>
        </w:rPr>
      </w:pPr>
      <w:r>
        <w:t xml:space="preserve">Considerando que el Comité ya se pronunció sobre el contenido de la propuesta objeto de examen en sus Dictámenes </w:t>
      </w:r>
      <w:hyperlink r:id="rId49" w:history="1">
        <w:r>
          <w:rPr>
            <w:color w:val="0000FF"/>
            <w:u w:val="single"/>
          </w:rPr>
          <w:t>«Revisión del MAFC»</w:t>
        </w:r>
        <w:r w:rsidRPr="00706116">
          <w:rPr>
            <w:sz w:val="24"/>
            <w:szCs w:val="20"/>
            <w:vertAlign w:val="superscript"/>
            <w:lang w:val="en-GB"/>
          </w:rPr>
          <w:footnoteReference w:id="1"/>
        </w:r>
      </w:hyperlink>
      <w:r>
        <w:t xml:space="preserve">, y </w:t>
      </w:r>
      <w:hyperlink r:id="rId50" w:history="1">
        <w:r>
          <w:rPr>
            <w:color w:val="0000FF"/>
            <w:u w:val="single"/>
          </w:rPr>
          <w:t>«Estrategia de la UE sobre fertilizantes»</w:t>
        </w:r>
        <w:r w:rsidRPr="00706116">
          <w:rPr>
            <w:sz w:val="24"/>
            <w:szCs w:val="20"/>
            <w:vertAlign w:val="superscript"/>
            <w:lang w:val="en-GB"/>
          </w:rPr>
          <w:footnoteReference w:id="2"/>
        </w:r>
      </w:hyperlink>
      <w:r>
        <w:t>, aprobados respectivamente el 19 de marzo de 2026 y el 22 de marzo de 2023, el Comité ha decidido no elaborar un nuevo dictamen sobre el asunto y remitirse a la posición mantenida en los documentos anteriormente mencionados.</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Contacto:</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Martine DELANOY</w:t>
            </w:r>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Teléfono:</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+32 25469802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Correo electrónico:</w:t>
            </w:r>
          </w:p>
        </w:tc>
        <w:tc>
          <w:tcPr>
            <w:tcW w:w="3922" w:type="pct"/>
          </w:tcPr>
          <w:p w14:paraId="2522737B" w14:textId="77777777" w:rsidR="00706116" w:rsidRPr="00706116" w:rsidRDefault="00A54D93" w:rsidP="00706116">
            <w:pPr>
              <w:overflowPunct w:val="0"/>
              <w:autoSpaceDE w:val="0"/>
              <w:autoSpaceDN w:val="0"/>
              <w:adjustRightInd w:val="0"/>
              <w:textAlignment w:val="baseline"/>
              <w:rPr>
                <w:i/>
                <w:iCs/>
              </w:rPr>
            </w:pPr>
            <w:hyperlink r:id="rId51" w:history="1">
              <w:r w:rsidR="00E519ED">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A54D93"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sidR="006571B9">
          <w:rPr>
            <w:b/>
            <w:i/>
            <w:color w:val="0000FF"/>
            <w:sz w:val="28"/>
            <w:u w:val="single"/>
          </w:rPr>
          <w:t>Estrategia para una ganadería sostenible 2026</w:t>
        </w:r>
      </w:hyperlink>
    </w:p>
    <w:p w14:paraId="0435B202" w14:textId="77777777" w:rsidR="006571B9" w:rsidRPr="006571B9" w:rsidRDefault="006571B9" w:rsidP="006571B9">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599B93A6" w14:textId="77777777" w:rsidTr="0015475D">
        <w:tc>
          <w:tcPr>
            <w:tcW w:w="1077"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Ponente</w:t>
            </w:r>
          </w:p>
        </w:tc>
        <w:tc>
          <w:tcPr>
            <w:tcW w:w="3923"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Joe HEALY (Grupo de Organizaciones de la Sociedad Civil – IE)</w:t>
            </w:r>
          </w:p>
        </w:tc>
      </w:tr>
      <w:tr w:rsidR="006571B9" w:rsidRPr="006571B9" w14:paraId="07A33691" w14:textId="77777777" w:rsidTr="0015475D">
        <w:tc>
          <w:tcPr>
            <w:tcW w:w="1077"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Coponente</w:t>
            </w:r>
          </w:p>
        </w:tc>
        <w:tc>
          <w:tcPr>
            <w:tcW w:w="3923"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Florian DALSTEIN (Grupo de Trabajadores – DE)</w:t>
            </w:r>
          </w:p>
          <w:p w14:paraId="742D4454" w14:textId="3960EA1F" w:rsidR="00D26BAC" w:rsidRPr="006571B9" w:rsidRDefault="00D26BAC" w:rsidP="006571B9">
            <w:pPr>
              <w:tabs>
                <w:tab w:val="center" w:pos="284"/>
              </w:tabs>
              <w:overflowPunct w:val="0"/>
              <w:autoSpaceDE w:val="0"/>
              <w:autoSpaceDN w:val="0"/>
              <w:adjustRightInd w:val="0"/>
              <w:ind w:left="266" w:right="-3091" w:hanging="266"/>
              <w:textAlignment w:val="baseline"/>
              <w:rPr>
                <w:lang w:val="en-GB"/>
              </w:rPr>
            </w:pPr>
          </w:p>
        </w:tc>
      </w:tr>
      <w:tr w:rsidR="006571B9" w:rsidRPr="006571B9" w14:paraId="29C1FE6F" w14:textId="77777777" w:rsidTr="0015475D">
        <w:tc>
          <w:tcPr>
            <w:tcW w:w="1077"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6CA93D89" w14:textId="604B3B6F" w:rsidR="00B55237" w:rsidRDefault="00B55237" w:rsidP="006571B9">
            <w:pPr>
              <w:tabs>
                <w:tab w:val="center" w:pos="284"/>
              </w:tabs>
              <w:overflowPunct w:val="0"/>
              <w:autoSpaceDE w:val="0"/>
              <w:autoSpaceDN w:val="0"/>
              <w:adjustRightInd w:val="0"/>
              <w:ind w:left="266" w:right="-3091" w:hanging="266"/>
              <w:textAlignment w:val="baseline"/>
            </w:pPr>
            <w:r>
              <w:t>Dictamen exploratorio solicitado por la Presidencia irlandesa del Consejo de la UE</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r>
              <w:t>EESC-2026-01422-00-00-AC</w:t>
            </w:r>
          </w:p>
        </w:tc>
      </w:tr>
    </w:tbl>
    <w:p w14:paraId="124AA911" w14:textId="77777777" w:rsidR="006571B9" w:rsidRPr="006571B9" w:rsidRDefault="006571B9" w:rsidP="006571B9">
      <w:pPr>
        <w:tabs>
          <w:tab w:val="center" w:pos="284"/>
        </w:tabs>
        <w:overflowPunct w:val="0"/>
        <w:autoSpaceDE w:val="0"/>
        <w:autoSpaceDN w:val="0"/>
        <w:adjustRightInd w:val="0"/>
        <w:ind w:left="266" w:hanging="266"/>
        <w:textAlignment w:val="baseline"/>
        <w:rPr>
          <w:b/>
          <w:lang w:val="en-GB"/>
        </w:rPr>
      </w:pPr>
    </w:p>
    <w:p w14:paraId="5544A241" w14:textId="77777777" w:rsidR="006571B9" w:rsidRPr="006571B9" w:rsidRDefault="006571B9" w:rsidP="006571B9">
      <w:pPr>
        <w:keepNext/>
        <w:keepLines/>
        <w:tabs>
          <w:tab w:val="center" w:pos="284"/>
        </w:tabs>
        <w:overflowPunct w:val="0"/>
        <w:autoSpaceDE w:val="0"/>
        <w:autoSpaceDN w:val="0"/>
        <w:adjustRightInd w:val="0"/>
        <w:ind w:left="266" w:hanging="266"/>
        <w:textAlignment w:val="baseline"/>
        <w:rPr>
          <w:b/>
        </w:rPr>
      </w:pPr>
      <w:r>
        <w:rPr>
          <w:b/>
        </w:rPr>
        <w:t>Puntos clave</w:t>
      </w:r>
    </w:p>
    <w:p w14:paraId="4511707A" w14:textId="77777777" w:rsidR="006571B9" w:rsidRPr="006571B9" w:rsidRDefault="006571B9" w:rsidP="006571B9">
      <w:pPr>
        <w:keepNext/>
        <w:keepLines/>
        <w:overflowPunct w:val="0"/>
        <w:autoSpaceDE w:val="0"/>
        <w:autoSpaceDN w:val="0"/>
        <w:adjustRightInd w:val="0"/>
        <w:ind w:left="266" w:hanging="266"/>
        <w:textAlignment w:val="baseline"/>
        <w:rPr>
          <w:b/>
          <w:lang w:val="en-GB"/>
        </w:rPr>
      </w:pPr>
    </w:p>
    <w:p w14:paraId="4914E27E" w14:textId="6F8D646F" w:rsidR="006571B9" w:rsidRDefault="006571B9" w:rsidP="006571B9">
      <w:pPr>
        <w:overflowPunct w:val="0"/>
        <w:autoSpaceDE w:val="0"/>
        <w:autoSpaceDN w:val="0"/>
        <w:adjustRightInd w:val="0"/>
        <w:textAlignment w:val="baseline"/>
      </w:pPr>
      <w:r>
        <w:t>El CESE:</w:t>
      </w:r>
    </w:p>
    <w:p w14:paraId="1E52EE49" w14:textId="77777777" w:rsidR="0046353C" w:rsidRDefault="0046353C" w:rsidP="006571B9">
      <w:pPr>
        <w:overflowPunct w:val="0"/>
        <w:autoSpaceDE w:val="0"/>
        <w:autoSpaceDN w:val="0"/>
        <w:adjustRightInd w:val="0"/>
        <w:textAlignment w:val="baseline"/>
        <w:rPr>
          <w:bCs/>
          <w:iCs/>
        </w:rPr>
      </w:pP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pide a la Comisión Europea que adopte una estrategia ganadera de la UE que sea positiva y se base en la optimización de una expansión sostenible, el crecimiento y la eficiencia de la producción, así como en la protección del modelo de explotación familiar de la UE, fundamentado en las normas de producción, medioambientales, éticas y sociales más estrictas del mundo;</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hace hincapié en que una nueva estrategia ganadera de la UE debe prestar un apoyo positivo a los agricultores y reconocer que la producción ganadera sostenible es un elemento esencial para hacer frente a los retos económicos, medioambientales y sociales a los que se enfrenta la sociedad;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aboga por restablecer el presupuesto de la PAC a un nivel del 0,5 % del PIB de la UE como punto de partida fundamental para financiar la transición sostenible del sector ganadero, así como por crear un fondo específico de la UE para la ganadería, junto a la PAC y al margen de ella, para colmar el déficit de inversión;</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pide que se garantice que la equivalencia de las normas sea un componente no negociable de todos los futuros acuerdos comerciales de la UE, con el fin de proteger las normas más estrictas de la UE;</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destaca la necesidad de apoyar los sistemas ganaderos extensivos, regenerativos, agroforestales y ecológicos, que están llamados a desempeñar un papel especialmente positivo a la hora de satisfacer la demanda de los consumidores y mejorar el medio ambiente, la biodiversidad y la salud del suelo; subraya la necesidad de aumentar el apoyo a la producción de proteínas vegetales en la UE para alimentos y piensos, sin dejar de tener en cuenta los estrechos vínculos entre la estrategia ganadera y el próximo plan de acción en materia de proteínas;</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pide que se adopte una estrategia de exportación de proteínas animales basada en las normas más estrictas de producción sostenible, centrada en reducir las emisiones mundiales de GEI, aumentar el acceso a los mercados y las exportaciones a terceros países, y reducir las restricciones de acceso a los mercados relacionadas con las medidas sanitarias y fitosanitarias;</w:t>
      </w:r>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reconoce que el bienestar animal es un pilar fundamental de la próxima estrategia ganadera y aboga por la revisión de la legislación de la UE en materia de bienestar animal de acuerdo con los datos científicos más recientes;</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pide que se introduzca un etiquetado obligatorio que indique el origen (de la UE o de fuera de la UE) de todos los productos alimenticios de origen animal, así como estudiar la posibilidad de aplicar un etiquetado de origen a escala nacional y opciones políticas para el etiquetado del entorno ganadero (sin jaulas o al aire libre);</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subraya la necesidad de reforzar la posición de los agricultores y reequilibrar la relación de poder en la cadena alimentaria;</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recomienda desarrollar un sólido programa de promoción y educación a escala de la UE para los productos cárnicos y lácteos de la UE, basado en las mejores normas de producción del mundo;</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lastRenderedPageBreak/>
        <w:t xml:space="preserve">reitera su apoyo al enfoque de «Una sola salud» de la UE y la necesidad de mejorar la financiación de la UE para hacer frente a las crisis sanitarias. </w:t>
      </w:r>
    </w:p>
    <w:p w14:paraId="4F5AE706" w14:textId="77777777" w:rsidR="006571B9" w:rsidRPr="006571B9" w:rsidRDefault="006571B9" w:rsidP="006571B9">
      <w:pPr>
        <w:widowControl w:val="0"/>
        <w:overflowPunct w:val="0"/>
        <w:autoSpaceDE w:val="0"/>
        <w:autoSpaceDN w:val="0"/>
        <w:adjustRightInd w:val="0"/>
        <w:ind w:left="709"/>
        <w:textAlignment w:val="baseline"/>
        <w:rPr>
          <w:szCs w:val="20"/>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Contacto:</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Arturo ÍÑIGUEZ</w:t>
            </w:r>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Teléfono:</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+32 25468768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Correo electrónico:</w:t>
            </w:r>
          </w:p>
        </w:tc>
        <w:tc>
          <w:tcPr>
            <w:tcW w:w="3923" w:type="pct"/>
          </w:tcPr>
          <w:p w14:paraId="0C7DF467" w14:textId="77777777" w:rsidR="006571B9" w:rsidRPr="006571B9" w:rsidRDefault="00A54D93" w:rsidP="006571B9">
            <w:pPr>
              <w:overflowPunct w:val="0"/>
              <w:autoSpaceDE w:val="0"/>
              <w:autoSpaceDN w:val="0"/>
              <w:adjustRightInd w:val="0"/>
              <w:textAlignment w:val="baseline"/>
            </w:pPr>
            <w:hyperlink r:id="rId53" w:history="1">
              <w:r w:rsidR="00E519ED">
                <w:rPr>
                  <w:i/>
                  <w:color w:val="0000FF"/>
                  <w:u w:val="single"/>
                </w:rPr>
                <w:t>Arturo.Iniguez@eesc.europa.eu</w:t>
              </w:r>
            </w:hyperlink>
          </w:p>
        </w:tc>
      </w:tr>
    </w:tbl>
    <w:p w14:paraId="613AC723" w14:textId="77777777" w:rsidR="00E101E2" w:rsidRDefault="00E101E2">
      <w:pPr>
        <w:spacing w:after="160" w:line="259" w:lineRule="auto"/>
        <w:jc w:val="left"/>
      </w:pPr>
      <w:r>
        <w:br w:type="page"/>
      </w:r>
    </w:p>
    <w:p w14:paraId="205C9B31" w14:textId="10BCAA1E" w:rsidR="00421BB7" w:rsidRPr="00421BB7" w:rsidRDefault="00A54D93"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sidR="00421BB7">
          <w:rPr>
            <w:b/>
            <w:i/>
            <w:color w:val="0000FF"/>
            <w:sz w:val="28"/>
            <w:u w:val="single"/>
          </w:rPr>
          <w:t>Enfoque de la UE de la gestión integrada del riesgo de incendios forestales</w:t>
        </w:r>
      </w:hyperlink>
    </w:p>
    <w:p w14:paraId="1BBA7122"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21C904D5" w14:textId="77777777" w:rsidTr="0015475D">
        <w:tc>
          <w:tcPr>
            <w:tcW w:w="1077" w:type="pct"/>
          </w:tcPr>
          <w:p w14:paraId="5A92E005" w14:textId="77777777"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Ponente</w:t>
            </w:r>
          </w:p>
        </w:tc>
        <w:tc>
          <w:tcPr>
            <w:tcW w:w="3923" w:type="pct"/>
          </w:tcPr>
          <w:p w14:paraId="6E462578" w14:textId="30D70ADB" w:rsidR="00421BB7" w:rsidRDefault="00421BB7" w:rsidP="00421BB7">
            <w:pPr>
              <w:tabs>
                <w:tab w:val="center" w:pos="284"/>
              </w:tabs>
              <w:overflowPunct w:val="0"/>
              <w:autoSpaceDE w:val="0"/>
              <w:autoSpaceDN w:val="0"/>
              <w:adjustRightInd w:val="0"/>
              <w:ind w:left="266" w:right="-3091" w:hanging="266"/>
              <w:textAlignment w:val="baseline"/>
            </w:pPr>
            <w:r>
              <w:t>Luís MIRA (Grupo de Empresarios – PT)</w:t>
            </w:r>
          </w:p>
          <w:p w14:paraId="4FA90246" w14:textId="4CE972EB" w:rsidR="001801C0" w:rsidRPr="00421BB7" w:rsidRDefault="001801C0" w:rsidP="00421BB7">
            <w:pPr>
              <w:tabs>
                <w:tab w:val="center" w:pos="284"/>
              </w:tabs>
              <w:overflowPunct w:val="0"/>
              <w:autoSpaceDE w:val="0"/>
              <w:autoSpaceDN w:val="0"/>
              <w:adjustRightInd w:val="0"/>
              <w:ind w:left="266" w:right="-3091" w:hanging="266"/>
              <w:textAlignment w:val="baseline"/>
            </w:pPr>
          </w:p>
        </w:tc>
      </w:tr>
      <w:tr w:rsidR="00421BB7" w:rsidRPr="00421BB7" w14:paraId="68FB7849" w14:textId="77777777" w:rsidTr="0015475D">
        <w:tc>
          <w:tcPr>
            <w:tcW w:w="1077"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Referencias</w:t>
            </w:r>
          </w:p>
        </w:tc>
        <w:tc>
          <w:tcPr>
            <w:tcW w:w="3923"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r>
              <w:t>COM(2026)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r>
              <w:t>EESC-2026-01150-00-00-AC</w:t>
            </w:r>
          </w:p>
        </w:tc>
      </w:tr>
    </w:tbl>
    <w:p w14:paraId="124283C8"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6"/>
          <w:szCs w:val="16"/>
          <w:lang w:val="en-GB"/>
        </w:rPr>
      </w:pPr>
    </w:p>
    <w:p w14:paraId="1CC63B6B"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rPr>
      </w:pPr>
      <w:r>
        <w:rPr>
          <w:b/>
        </w:rPr>
        <w:t>Puntos clave</w:t>
      </w:r>
    </w:p>
    <w:p w14:paraId="7BE22E57"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sz w:val="16"/>
          <w:szCs w:val="16"/>
          <w:lang w:val="en-GB"/>
        </w:rPr>
      </w:pPr>
    </w:p>
    <w:p w14:paraId="2F18C1D5" w14:textId="77777777" w:rsidR="00421BB7" w:rsidRDefault="00421BB7" w:rsidP="00421BB7">
      <w:pPr>
        <w:overflowPunct w:val="0"/>
        <w:autoSpaceDE w:val="0"/>
        <w:autoSpaceDN w:val="0"/>
        <w:adjustRightInd w:val="0"/>
        <w:textAlignment w:val="baseline"/>
        <w:rPr>
          <w:szCs w:val="20"/>
        </w:rPr>
      </w:pPr>
      <w:r>
        <w:t>El CESE:</w:t>
      </w:r>
    </w:p>
    <w:p w14:paraId="1924380D" w14:textId="77777777" w:rsidR="0093446D" w:rsidRPr="00421BB7" w:rsidRDefault="0093446D" w:rsidP="00421BB7">
      <w:pPr>
        <w:overflowPunct w:val="0"/>
        <w:autoSpaceDE w:val="0"/>
        <w:autoSpaceDN w:val="0"/>
        <w:adjustRightInd w:val="0"/>
        <w:textAlignment w:val="baseline"/>
        <w:rPr>
          <w:bCs/>
          <w:iCs/>
          <w:lang w:val="en-GB"/>
        </w:rPr>
      </w:pPr>
    </w:p>
    <w:p w14:paraId="63D0D687" w14:textId="7B7D95A8"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6" w:name="_Toc239145885"/>
      <w:r>
        <w:t>acoge con satisfacción la Comunicación de la Comisión sobre la gestión integrada de los incendios forestales, y reconoce la creciente gravedad y frecuencia de este fenómeno en la Unión Europea;</w:t>
      </w:r>
      <w:bookmarkEnd w:id="46"/>
    </w:p>
    <w:p w14:paraId="5DC2E430" w14:textId="0F6F4EC9"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7" w:name="_Toc239145886"/>
      <w:r>
        <w:t>considera, no obstante, que sigue sin darse suficiente prioridad a la dimensión preventiva, lo que pone de manifiesto un desequilibrio estructural entre las políticas de prevención y las extinción de incendios, por lo que insta a la Comisión a que refuerce sustancialmente el pilar de prevención; exige una línea de financiación específica en el próximo MFP a través de un fondo destinado a la prevención de incendios forestales, rigurosamente separada del presupuesto de la PAC;</w:t>
      </w:r>
      <w:bookmarkEnd w:id="47"/>
    </w:p>
    <w:p w14:paraId="18B8FBE7" w14:textId="6C765AAB"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8" w:name="_Toc239145887"/>
      <w:r>
        <w:t>destaca que la falta de rentabilidad de las actividades agrícolas y forestales (pastoreo, cultivos) constituye un factor clave para el abandono de las tierras, lo que contribuye a la acumulación de combustible y el aumento del riesgo y la intensidad de los incendios, por lo que considera esencial incorporar esta dimensión económica en las políticas europeas;</w:t>
      </w:r>
      <w:bookmarkEnd w:id="48"/>
    </w:p>
    <w:p w14:paraId="0BA48711" w14:textId="1B2B4940"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49" w:name="_Toc239145888"/>
      <w:r>
        <w:t>señala que una parte importante de las superficies afectadas por los incendios son terrenos de dominio público, como espacios protegidos y bienes baldíos, lo que pone de manifiesto la necesidad de reforzar las responsabilidades y los mecanismos de gestión de los Estados miembros;</w:t>
      </w:r>
      <w:bookmarkEnd w:id="49"/>
    </w:p>
    <w:p w14:paraId="41DE48DA" w14:textId="6D574799"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0" w:name="_Toc239145889"/>
      <w:r>
        <w:t>subraya la urgente necesidad de una estrategia europea común en materia de incendios forestales que preste especial atención a las regiones meridionales de Europa, vele por que se aplique un enfoque coordinado e integrado, dotado de recursos financieros adecuados, y se centre en medios de autoprotección y formación para los propietarios de tierras y silvicultores, así como para los trabajadores rurales y forestales, recurriendo a equipos de doble uso como las cisternas de riego;</w:t>
      </w:r>
      <w:bookmarkEnd w:id="50"/>
    </w:p>
    <w:p w14:paraId="079DBD73" w14:textId="235A6F1D"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1" w:name="_Toc239145890"/>
      <w:r>
        <w:t>subraya las repercusiones económicas, medioambientales, sociales y territoriales de los incendios forestales, que afectan de manera desproporcionada a las zonas rurales, socavando la cohesión territorial, el empleo y la viabilidad de las actividades agrícolas y forestales, así como la consecución de los objetivos medioambientales;</w:t>
      </w:r>
      <w:bookmarkEnd w:id="51"/>
    </w:p>
    <w:p w14:paraId="4979879E" w14:textId="1033FB50"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2" w:name="_Toc239145891"/>
      <w:r>
        <w:t>destaca que los incendios forestales repercuten directamente sobre los objetivos climáticos de la Unión, en particular en materia de descarbonización, ya que generan importantes emisiones de carbono y destruyen sumideros naturales;</w:t>
      </w:r>
      <w:bookmarkEnd w:id="52"/>
    </w:p>
    <w:p w14:paraId="5654A3FF" w14:textId="3370DEA3"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3" w:name="_Toc239145892"/>
      <w:r>
        <w:t>señala los perjuicios que los incendios forestales suponen para la biodiversidad, al destruir hábitats, provocar la pérdida de especies y degradar los ecosistemas, socavando la resiliencia medioambiental y los objetivos de la Unión en materia de protección de la naturaleza;</w:t>
      </w:r>
      <w:bookmarkEnd w:id="53"/>
    </w:p>
    <w:p w14:paraId="0824412F" w14:textId="2B5EFCCA"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bookmarkStart w:id="54" w:name="_Toc239145893"/>
      <w:r>
        <w:t>considera necesario revisar la normativa aplicable a la gestión forestal, a fin de eliminar las limitaciones que puedan obstaculizar la gestión activa y preventiva de la tierra, en particular en las regiones más propensas a los incendios, garantizando al mismo tiempo que la gestión de la población silvestre se adapte a las condiciones locales.</w:t>
      </w:r>
      <w:bookmarkEnd w:id="54"/>
    </w:p>
    <w:p w14:paraId="71E56FDA" w14:textId="77777777" w:rsidR="00421BB7" w:rsidRPr="00421BB7" w:rsidRDefault="00421BB7" w:rsidP="00421BB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lastRenderedPageBreak/>
              <w:t>Contacto:</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Arturo ÍÑIGUEZ</w:t>
            </w:r>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Teléfono:</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+32 25468768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Correo electrónico:</w:t>
            </w:r>
          </w:p>
        </w:tc>
        <w:tc>
          <w:tcPr>
            <w:tcW w:w="3923" w:type="pct"/>
          </w:tcPr>
          <w:p w14:paraId="40FC3356" w14:textId="77777777" w:rsidR="00421BB7" w:rsidRPr="00421BB7" w:rsidRDefault="00A54D93" w:rsidP="00421BB7">
            <w:pPr>
              <w:overflowPunct w:val="0"/>
              <w:autoSpaceDE w:val="0"/>
              <w:autoSpaceDN w:val="0"/>
              <w:adjustRightInd w:val="0"/>
              <w:textAlignment w:val="baseline"/>
              <w:rPr>
                <w:i/>
              </w:rPr>
            </w:pPr>
            <w:hyperlink r:id="rId55" w:history="1">
              <w:r w:rsidR="00E519ED">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74378F32" w:rsidR="006D2C8A" w:rsidRPr="006D2C8A" w:rsidRDefault="006D2C8A" w:rsidP="001766B2">
      <w:pPr>
        <w:pStyle w:val="Heading1"/>
        <w:rPr>
          <w:b/>
        </w:rPr>
      </w:pPr>
      <w:bookmarkStart w:id="55" w:name="_Toc239145894"/>
      <w:r>
        <w:rPr>
          <w:b/>
          <w:color w:val="222A35" w:themeColor="text2" w:themeShade="80"/>
        </w:rPr>
        <w:lastRenderedPageBreak/>
        <w:t>COMISIÓN CONSULTIVA DE LAS TRANSFORMACIONES INDUSTRIALES</w:t>
      </w:r>
      <w:bookmarkEnd w:id="55"/>
    </w:p>
    <w:p w14:paraId="713E272F" w14:textId="77777777" w:rsidR="006D2C8A" w:rsidRDefault="006D2C8A" w:rsidP="001766B2"/>
    <w:p w14:paraId="7DECE423" w14:textId="1EB2EA8A" w:rsidR="00975017" w:rsidRPr="00D3388B" w:rsidRDefault="00A54D93"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sidR="00E519ED">
          <w:rPr>
            <w:b/>
            <w:i/>
            <w:color w:val="0000FF"/>
            <w:sz w:val="28"/>
            <w:u w:val="single"/>
          </w:rPr>
          <w:t>Estrategia Industrial Marítima de la UE</w:t>
        </w:r>
      </w:hyperlink>
    </w:p>
    <w:p w14:paraId="03F8FD44" w14:textId="77777777" w:rsidR="00975017" w:rsidRPr="00D3388B"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Ponente</w:t>
            </w:r>
          </w:p>
        </w:tc>
        <w:tc>
          <w:tcPr>
            <w:tcW w:w="7681" w:type="dxa"/>
          </w:tcPr>
          <w:p w14:paraId="0E391BBB" w14:textId="33F9F16B" w:rsidR="00757A71" w:rsidRPr="00975017" w:rsidRDefault="002D0A85" w:rsidP="00D82806">
            <w:pPr>
              <w:tabs>
                <w:tab w:val="center" w:pos="284"/>
              </w:tabs>
              <w:overflowPunct w:val="0"/>
              <w:autoSpaceDE w:val="0"/>
              <w:autoSpaceDN w:val="0"/>
              <w:adjustRightInd w:val="0"/>
              <w:ind w:left="266" w:hanging="266"/>
            </w:pPr>
            <w:r>
              <w:t>Stelios NERANTZAKIS (Grupo de Empresarios – EL)</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Coponente</w:t>
            </w:r>
          </w:p>
        </w:tc>
        <w:tc>
          <w:tcPr>
            <w:tcW w:w="7681" w:type="dxa"/>
            <w:hideMark/>
          </w:tcPr>
          <w:p w14:paraId="7225C620" w14:textId="16AF7422" w:rsidR="00975017" w:rsidRDefault="00975017" w:rsidP="00975017">
            <w:pPr>
              <w:tabs>
                <w:tab w:val="center" w:pos="284"/>
              </w:tabs>
              <w:overflowPunct w:val="0"/>
              <w:autoSpaceDE w:val="0"/>
              <w:autoSpaceDN w:val="0"/>
              <w:adjustRightInd w:val="0"/>
              <w:ind w:left="266" w:hanging="266"/>
            </w:pPr>
            <w:r>
              <w:t>Franck UHLIG (Cat. 2 – FR)</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Referencias</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r>
              <w:t>COM(2026)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Puntos clave</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El CESE:</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acoge con satisfacción la aprobación de la Estrategia Industrial Marítima de la UE como un logro sin precedentes para el sector marítimo;</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valora positivamente la propuesta de crear una Alianza de Cadenas de Valor Industriales Marítimas de la UE y un Consejo de Industrias Marítimas y Puertos de Alto Nivel. Esta alianza debe abarcar toda la cadena de valor industrial marítima e incluir a los armadores y a los representantes de los trabajadores como partes interesadas, a fin de que participen en la toma de decisiones desde la fase más temprana posible;</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acoge con satisfacción el objetivo de la Estrategia de reforzar la competitividad, la sostenibilidad y la resiliencia del sector marítimo europeo como pilar estratégico de la economía de la UE;</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destaca el papel esencial del transporte marítimo europeo a la hora de garantizar la seguridad energética, alimentaria y de la cadena de suministro, y subraya la importancia de preservar su competitividad mundial, mantener mercados abiertos y garantizar unas condiciones comerciales justas basadas en la reciprocidad, pero evitando medidas proteccionistas;</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r>
        <w:t>respalda la visión de la Estrategia de consolidar el liderazgo mundial de Europa en el ámbito de los buques de alta tecnología, los equipos marítimos, las tecnologías y el transporte marítimo, situar a Europa como líder en segmentos emergentes y reforzar su posición industrial en segmentos estratégicos;</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subraya la importancia de garantizar la disponibilidad de combustibles marítimos seguros, sostenibles, asequibles, escalables y conformes con la normativa en todos los puertos de la UE, y pide a la Comisión que imponga obligaciones vinculantes para los proveedores de combustible a fin de garantizar el suministro de combustibles que cumplan la normativa;</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apoya plenamente la petición de que los ingresos generados por el transporte marítimo en el marco del RCDE UE y «FuelEU Maritime» se reinviertan en el propio sector marítimo y apoya la creación de un mecanismo de financiación específico para acelerar la descarbonización;</w:t>
      </w:r>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destaca la necesidad de facilitar el acceso a una financiación naval competitiva mediante la reducción de las restricciones legales, en particular en el marco de la taxonomía de la UE, y la limitación de las cargas administrativas y financieras, también para las pymes;</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t>insiste en la necesidad de facilitar el acceso a la financiación, tanto pública como privada, para abordar las dificultades a las que el sector marítimo se enfrenta actualmente a esos efectos;</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apoya el plan de la Estrategia de facilitar una cartera a largo plazo de pedidos públicos para los compradores públicos de la UE y el EEE, al tiempo que se prepara a la industria de fabricación marítima para satisfacer dicha demanda;</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lastRenderedPageBreak/>
        <w:t>destaca el papel del comité de diálogo social sectorial en el transporte marítimo y en la construcción y reparación de buques a la hora de abordar cuestiones laborales, sociales y normativas, como las capacidades, las condiciones de trabajo y el desarrollo de la mano de obra;</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valora positivamente que la Estrategia se centre en el acceso a capacidades y puestos de trabajo de calidad y apoya plenamente sus propuestas para detectar las carencias de capacidades, desarrollar programas de reciclaje y perfeccionamiento profesionales, cartografiar las profesiones marítimas y apoyar la creación de una red de centros de educación superior marítima y de formación profesional en toda la UE;</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pide que la legislación de la UE se armonice conforme a la evolución de las normas internacionales en el seno de la OMI una vez que se alcance un acuerdo mundial, ya que la falta de armonización podría dar lugar a una fragmentación normativa, a la duplicación de los pagos por las mismas emisiones y a distorsiones de la competencia, lo que, en última instancia, menoscabaría tanto la eficacia de la acción por el clima como la competitividad mundial del transporte marítimo de la UE.</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Contacto:</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Ioannis DIAMANTOPOULOS</w:t>
            </w:r>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Teléfono:</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+32 25469170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Correo electrónico:</w:t>
            </w:r>
          </w:p>
        </w:tc>
        <w:tc>
          <w:tcPr>
            <w:tcW w:w="3923" w:type="pct"/>
          </w:tcPr>
          <w:p w14:paraId="612E6715" w14:textId="77777777" w:rsidR="00975017" w:rsidRPr="00975017" w:rsidRDefault="00A54D93" w:rsidP="00975017">
            <w:pPr>
              <w:overflowPunct w:val="0"/>
              <w:autoSpaceDE w:val="0"/>
              <w:autoSpaceDN w:val="0"/>
              <w:adjustRightInd w:val="0"/>
              <w:textAlignment w:val="baseline"/>
              <w:rPr>
                <w:i/>
                <w:iCs/>
              </w:rPr>
            </w:pPr>
            <w:hyperlink r:id="rId57" w:history="1">
              <w:r w:rsidR="00E519ED">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755A" w14:textId="77777777" w:rsidR="005453AA" w:rsidRDefault="005453AA" w:rsidP="00B518C9">
      <w:pPr>
        <w:spacing w:line="240" w:lineRule="auto"/>
      </w:pPr>
      <w:r>
        <w:separator/>
      </w:r>
    </w:p>
    <w:p w14:paraId="1982BEA1" w14:textId="77777777" w:rsidR="00000000" w:rsidRDefault="00A54D93"/>
  </w:endnote>
  <w:endnote w:type="continuationSeparator" w:id="0">
    <w:p w14:paraId="43E0089E" w14:textId="77777777" w:rsidR="005453AA" w:rsidRDefault="005453AA" w:rsidP="00B518C9">
      <w:pPr>
        <w:spacing w:line="240" w:lineRule="auto"/>
      </w:pPr>
      <w:r>
        <w:continuationSeparator/>
      </w:r>
    </w:p>
    <w:p w14:paraId="6CF4E0D7" w14:textId="77777777" w:rsidR="00000000" w:rsidRDefault="00A54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r w:rsidR="00A54D93">
      <w:fldChar w:fldCharType="begin"/>
    </w:r>
    <w:r w:rsidR="00A54D93">
      <w:instrText xml:space="preserve"> NUMPAGES </w:instrText>
    </w:r>
    <w:r w:rsidR="00A54D93">
      <w:fldChar w:fldCharType="separate"/>
    </w:r>
    <w:r w:rsidR="0083361E">
      <w:t>1</w:t>
    </w:r>
    <w:r w:rsidR="00A54D9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56D6" w14:textId="77777777" w:rsidR="00FC0E06" w:rsidRPr="00C8175F" w:rsidRDefault="00FC0E06" w:rsidP="00C8175F">
    <w:pPr>
      <w:pStyle w:val="Footer"/>
    </w:pPr>
  </w:p>
  <w:p w14:paraId="2B1AB1F2" w14:textId="77777777" w:rsidR="00000000" w:rsidRDefault="00A54D9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r w:rsidR="00A54D93">
      <w:fldChar w:fldCharType="begin"/>
    </w:r>
    <w:r w:rsidR="00A54D93">
      <w:instrText xml:space="preserve"> NUMPAGES </w:instrText>
    </w:r>
    <w:r w:rsidR="00A54D93">
      <w:fldChar w:fldCharType="separate"/>
    </w:r>
    <w:r>
      <w:t>26</w:t>
    </w:r>
    <w:r w:rsidR="00A54D93">
      <w:fldChar w:fldCharType="end"/>
    </w:r>
  </w:p>
  <w:p w14:paraId="00E85F90" w14:textId="77777777" w:rsidR="00000000" w:rsidRDefault="00A54D9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E9BE" w14:textId="77777777" w:rsidR="005453AA" w:rsidRDefault="005453AA" w:rsidP="00B518C9">
      <w:pPr>
        <w:spacing w:line="240" w:lineRule="auto"/>
      </w:pPr>
      <w:r>
        <w:separator/>
      </w:r>
    </w:p>
    <w:p w14:paraId="52DC588A" w14:textId="77777777" w:rsidR="00000000" w:rsidRDefault="00A54D93"/>
  </w:footnote>
  <w:footnote w:type="continuationSeparator" w:id="0">
    <w:p w14:paraId="3B27B147" w14:textId="77777777" w:rsidR="005453AA" w:rsidRDefault="005453AA" w:rsidP="00B518C9">
      <w:pPr>
        <w:spacing w:line="240" w:lineRule="auto"/>
      </w:pPr>
      <w:r>
        <w:continuationSeparator/>
      </w:r>
    </w:p>
    <w:p w14:paraId="7EE94A90" w14:textId="77777777" w:rsidR="00000000" w:rsidRDefault="00A54D93"/>
  </w:footnote>
  <w:footnote w:id="1">
    <w:p w14:paraId="7A27C721" w14:textId="24525F22" w:rsidR="00706116" w:rsidRPr="00F85301" w:rsidRDefault="00706116" w:rsidP="00706116">
      <w:pPr>
        <w:pStyle w:val="FootnoteText"/>
      </w:pPr>
      <w:r>
        <w:rPr>
          <w:rStyle w:val="FootnoteReference"/>
        </w:rPr>
        <w:footnoteRef/>
      </w:r>
      <w:r>
        <w:tab/>
        <w:t xml:space="preserve">DO C, C/2026/3243, 2.7.2026, ELI: </w:t>
      </w:r>
      <w:hyperlink r:id="rId1" w:history="1">
        <w:r>
          <w:rPr>
            <w:rStyle w:val="Hyperlink"/>
          </w:rPr>
          <w:t>https://eur-lex.europa.eu/eli/C/202</w:t>
        </w:r>
        <w:r>
          <w:rPr>
            <w:rStyle w:val="Hyperlink"/>
          </w:rPr>
          <w:t>6</w:t>
        </w:r>
        <w:r>
          <w:rPr>
            <w:rStyle w:val="Hyperlink"/>
          </w:rPr>
          <w:t>/3243/oj</w:t>
        </w:r>
      </w:hyperlink>
      <w:r>
        <w:t>.</w:t>
      </w:r>
    </w:p>
  </w:footnote>
  <w:footnote w:id="2">
    <w:p w14:paraId="630F3DCA" w14:textId="2AB6AC01" w:rsidR="00706116" w:rsidRPr="00F85301" w:rsidRDefault="00706116" w:rsidP="00706116">
      <w:pPr>
        <w:pStyle w:val="FootnoteText"/>
      </w:pPr>
      <w:r>
        <w:rPr>
          <w:rStyle w:val="FootnoteReference"/>
        </w:rPr>
        <w:footnoteRef/>
      </w:r>
      <w:r>
        <w:tab/>
      </w:r>
      <w:hyperlink r:id="rId2" w:history="1">
        <w:r>
          <w:rPr>
            <w:rStyle w:val="Hyperlink"/>
          </w:rPr>
          <w:t>DO C 184 de 25.5.20</w:t>
        </w:r>
        <w:r>
          <w:rPr>
            <w:rStyle w:val="Hyperlink"/>
          </w:rPr>
          <w:t>2</w:t>
        </w:r>
        <w:r>
          <w:rPr>
            <w:rStyle w:val="Hyperlink"/>
          </w:rPr>
          <w:t>3, p.109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D659" w14:textId="77777777" w:rsidR="00FC0E06" w:rsidRPr="00C8175F" w:rsidRDefault="00FC0E06" w:rsidP="00C8175F">
    <w:pPr>
      <w:pStyle w:val="Header"/>
    </w:pPr>
  </w:p>
  <w:p w14:paraId="5229F339" w14:textId="77777777" w:rsidR="00000000" w:rsidRDefault="00A54D9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C5B" w14:textId="7E455445" w:rsidR="00FC0E06" w:rsidRPr="00C8175F" w:rsidRDefault="00FC0E06" w:rsidP="00C8175F">
    <w:pPr>
      <w:pStyle w:val="Header"/>
    </w:pPr>
  </w:p>
  <w:p w14:paraId="2FA027DC" w14:textId="77777777" w:rsidR="00000000" w:rsidRDefault="00A54D9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7"/>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abstractNumId w:val="3"/>
  </w:num>
  <w:num w:numId="7">
    <w:abstractNumId w:val="35"/>
  </w:num>
  <w:num w:numId="8">
    <w:abstractNumId w:val="14"/>
  </w:num>
  <w:num w:numId="9">
    <w:abstractNumId w:val="12"/>
  </w:num>
  <w:num w:numId="10">
    <w:abstractNumId w:val="9"/>
  </w:num>
  <w:num w:numId="11">
    <w:abstractNumId w:val="31"/>
  </w:num>
  <w:num w:numId="12">
    <w:abstractNumId w:val="34"/>
  </w:num>
  <w:num w:numId="13">
    <w:abstractNumId w:val="29"/>
  </w:num>
  <w:num w:numId="14">
    <w:abstractNumId w:val="17"/>
  </w:num>
  <w:num w:numId="15">
    <w:abstractNumId w:val="32"/>
  </w:num>
  <w:num w:numId="16">
    <w:abstractNumId w:val="23"/>
  </w:num>
  <w:num w:numId="17">
    <w:abstractNumId w:val="36"/>
  </w:num>
  <w:num w:numId="18">
    <w:abstractNumId w:val="21"/>
  </w:num>
  <w:num w:numId="19">
    <w:abstractNumId w:val="30"/>
  </w:num>
  <w:num w:numId="20">
    <w:abstractNumId w:val="25"/>
  </w:num>
  <w:num w:numId="21">
    <w:abstractNumId w:val="2"/>
  </w:num>
  <w:num w:numId="22">
    <w:abstractNumId w:val="28"/>
  </w:num>
  <w:num w:numId="23">
    <w:abstractNumId w:val="13"/>
  </w:num>
  <w:num w:numId="24">
    <w:abstractNumId w:val="39"/>
  </w:num>
  <w:num w:numId="25">
    <w:abstractNumId w:val="8"/>
  </w:num>
  <w:num w:numId="26">
    <w:abstractNumId w:val="7"/>
  </w:num>
  <w:num w:numId="27">
    <w:abstractNumId w:val="15"/>
  </w:num>
  <w:num w:numId="28">
    <w:abstractNumId w:val="18"/>
  </w:num>
  <w:num w:numId="29">
    <w:abstractNumId w:val="20"/>
  </w:num>
  <w:num w:numId="30">
    <w:abstractNumId w:val="11"/>
  </w:num>
  <w:num w:numId="31">
    <w:abstractNumId w:val="43"/>
  </w:num>
  <w:num w:numId="32">
    <w:abstractNumId w:val="42"/>
  </w:num>
  <w:num w:numId="33">
    <w:abstractNumId w:val="26"/>
  </w:num>
  <w:num w:numId="34">
    <w:abstractNumId w:val="16"/>
  </w:num>
  <w:num w:numId="35">
    <w:abstractNumId w:val="38"/>
  </w:num>
  <w:num w:numId="36">
    <w:abstractNumId w:val="44"/>
  </w:num>
  <w:num w:numId="37">
    <w:abstractNumId w:val="46"/>
  </w:num>
  <w:num w:numId="38">
    <w:abstractNumId w:val="19"/>
  </w:num>
  <w:num w:numId="39">
    <w:abstractNumId w:val="10"/>
  </w:num>
  <w:num w:numId="40">
    <w:abstractNumId w:val="24"/>
  </w:num>
  <w:num w:numId="41">
    <w:abstractNumId w:val="22"/>
  </w:num>
  <w:num w:numId="42">
    <w:abstractNumId w:val="33"/>
  </w:num>
  <w:num w:numId="43">
    <w:abstractNumId w:val="45"/>
  </w:num>
  <w:num w:numId="44">
    <w:abstractNumId w:val="41"/>
  </w:num>
  <w:num w:numId="45">
    <w:abstractNumId w:val="5"/>
  </w:num>
  <w:num w:numId="46">
    <w:abstractNumId w:val="4"/>
  </w:num>
  <w:num w:numId="47">
    <w:abstractNumId w:val="2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1BDA"/>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6353C"/>
    <w:rsid w:val="00481696"/>
    <w:rsid w:val="00487F97"/>
    <w:rsid w:val="0049725E"/>
    <w:rsid w:val="004974DC"/>
    <w:rsid w:val="004A5CD7"/>
    <w:rsid w:val="004B73D8"/>
    <w:rsid w:val="004D7A6D"/>
    <w:rsid w:val="004D7AC0"/>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361E"/>
    <w:rsid w:val="008345C9"/>
    <w:rsid w:val="0083565D"/>
    <w:rsid w:val="00845F24"/>
    <w:rsid w:val="008464CD"/>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54D9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036F"/>
    <w:rsid w:val="00B366CF"/>
    <w:rsid w:val="00B44C66"/>
    <w:rsid w:val="00B47E19"/>
    <w:rsid w:val="00B518C9"/>
    <w:rsid w:val="00B55237"/>
    <w:rsid w:val="00B55621"/>
    <w:rsid w:val="00B57211"/>
    <w:rsid w:val="00B65099"/>
    <w:rsid w:val="00B654D5"/>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19ED"/>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es/our-work/opinions-information-reports/opinions/quality-jobs-roadmap" TargetMode="External"/><Relationship Id="rId39" Type="http://schemas.openxmlformats.org/officeDocument/2006/relationships/hyperlink" Target="https://www.eesc.europa.eu/es/our-work/opinions-information-reports/opinions/european-high-speed-railways-network-2040-strategic-social-and-industrial-project-european-union"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es/our-work/opinions-information-reports/opinions/european-union-space-services-agency" TargetMode="External"/><Relationship Id="rId42" Type="http://schemas.openxmlformats.org/officeDocument/2006/relationships/hyperlink" Target="https://www.eesc.europa.eu/es/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es/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esc.europa.eu/es/our-work/opinions-information-reports/opinions/anti-racism-strategy" TargetMode="External"/><Relationship Id="rId29" Type="http://schemas.openxmlformats.org/officeDocument/2006/relationships/hyperlink" Target="mailto:Bartek.Bednarowicz@eesc.europa.eu"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es/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esc.europa.eu/es/our-work/opinions-information-reports/opinions/gender-equality-strategy-2026-2030" TargetMode="External"/><Relationship Id="rId32" Type="http://schemas.openxmlformats.org/officeDocument/2006/relationships/hyperlink" Target="https://www.eesc.europa.eu/es/our-work/opinions-information-reports/opinions/action-plan-drone-and-counter-drone-security" TargetMode="External"/><Relationship Id="rId37" Type="http://schemas.openxmlformats.org/officeDocument/2006/relationships/hyperlink" Target="https://www.eesc.europa.eu/es/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es/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es/our-work/opinions-information-reports/opinions/revision-carbon-border-adjustment-mechanism-cbam" TargetMode="External"/><Relationship Id="rId57" Type="http://schemas.openxmlformats.org/officeDocument/2006/relationships/hyperlink" Target="mailto:Ioannis.Diamantopoulos@eesc.europa.eu" TargetMode="External"/><Relationship Id="rId61"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Maja.Radman@eesc.europa.eu" TargetMode="External"/><Relationship Id="rId44" Type="http://schemas.openxmlformats.org/officeDocument/2006/relationships/hyperlink" Target="https://www.eesc.europa.eu/es/our-work/opinions-information-reports/opinions/industrial-accelerator-act-0" TargetMode="External"/><Relationship Id="rId52" Type="http://schemas.openxmlformats.org/officeDocument/2006/relationships/hyperlink" Target="https://www.eesc.europa.eu/es/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es/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es/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es/our-work/opinions-information-reports/opinions/targeted-amendment-eu-fertiliser-action-plan" TargetMode="External"/><Relationship Id="rId56" Type="http://schemas.openxmlformats.org/officeDocument/2006/relationships/hyperlink" Target="https://www.eesc.europa.eu/es/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es/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es/our-work/opinions-information-reports/opinions/eu-inc-single-harmonised-set-rules-innovative-companies-throughout-eu-0" TargetMode="External"/><Relationship Id="rId59"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S/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VP3JK3XSEPRV-1795132703-8894</_dlc_DocId>
    <_dlc_DocIdUrl xmlns="7d640e6d-779c-472f-a269-6b546787f1c9">
      <Url>http://dm/eesc/2026/_layouts/15/DocIdRedir.aspx?ID=VP3JK3XSEPRV-1795132703-8894</Url>
      <Description>VP3JK3XSEPRV-1795132703-8894</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ES</TermName>
          <TermId xmlns="http://schemas.microsoft.com/office/infopath/2007/PartnerControls">e7a6b05b-ae16-40c8-add9-68b64b03aeba</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Rosa Garcia Alba</DisplayName>
        <AccountId>1385</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2.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3.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4.xml><?xml version="1.0" encoding="utf-8"?>
<ds:datastoreItem xmlns:ds="http://schemas.openxmlformats.org/officeDocument/2006/customXml" ds:itemID="{D8F5C7AA-91ED-480A-8CF1-CAA9B96917CF}"/>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8206</Words>
  <Characters>46776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Summary of opinions - 607th plenary session - July 2026</vt:lpstr>
    </vt:vector>
  </TitlesOfParts>
  <Manager/>
  <Company/>
  <LinksUpToDate>false</LinksUpToDate>
  <CharactersWithSpaces>54873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Síntesis de los dictámenes - 606.º pleno - Julio de 2026</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2026-08-31T15:20:00Z</dcterms:created>
  <dcterms:modified xsi:type="dcterms:W3CDTF">2026-09-01T07:24:00Z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63b3c313-38fb-454a-b19a-2d8079a3b080</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30;#SK|46d9fce0-ef79-4f71-b89b-cd6aa82426b8;#18;#TCD|cd9d6eb6-3f4f-424a-b2d1-57c9d450eaaf;#45;#SV|c2ed69e7-a339-43d7-8f22-d93680a92aa0;#9;#TRA|150d2a88-1431-44e6-a8ca-0bb753ab8672;#59;#SPL-CES|32d8cb1f-c9ec-4365-95c7-8385a18618ac;#7;#Final|ea5e6674-7b27-4bac-b091-73adbb394efe;#4;#EN|f2175f21-25d7-44a3-96da-d6a61b075e1b;#19;#Unrestricted|826e22d7-d029-4ec0-a450-0c28ff673572;#1;#EESC|422833ec-8d7e-4e65-8e4e-8bed07ffb729</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12;#ES|e7a6b05b-ae16-40c8-add9-68b64b03aeba</vt:lpwstr>
  </property>
  <property fmtid="{D5CDD505-2E9C-101B-9397-08002B2CF9AE}" pid="33" name="AvailableTranslations_0">
    <vt:lpwstr>EN|f2175f21-25d7-44a3-96da-d6a61b075e1b;SV|c2ed69e7-a339-43d7-8f22-d93680a92aa0;SK|46d9fce0-ef79-4f71-b89b-cd6aa82426b8</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