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32A0" w14:textId="77777777" w:rsidR="00077C4F" w:rsidRPr="00554137" w:rsidRDefault="00077C4F" w:rsidP="0F299A68">
      <w:pPr>
        <w:spacing w:after="0" w:line="240" w:lineRule="auto"/>
        <w:ind w:left="-709"/>
        <w:rPr>
          <w:rFonts w:ascii="Times New Roman" w:hAnsi="Times New Roman"/>
          <w:sz w:val="4"/>
          <w:szCs w:val="4"/>
        </w:rPr>
      </w:pPr>
    </w:p>
    <w:p w14:paraId="7A6E40C1" w14:textId="09A4167E" w:rsidR="0F299A68" w:rsidRDefault="0F299A68" w:rsidP="0F299A68">
      <w:pPr>
        <w:spacing w:after="0" w:line="240" w:lineRule="auto"/>
        <w:ind w:left="-709"/>
        <w:rPr>
          <w:rFonts w:ascii="Times New Roman" w:hAnsi="Times New Roman"/>
          <w:sz w:val="4"/>
          <w:szCs w:val="4"/>
        </w:rPr>
      </w:pPr>
    </w:p>
    <w:tbl>
      <w:tblPr>
        <w:tblW w:w="1024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43"/>
      </w:tblGrid>
      <w:tr w:rsidR="001C4138" w:rsidRPr="009D6DA7" w14:paraId="7E6372DC" w14:textId="77777777" w:rsidTr="1D983356">
        <w:trPr>
          <w:jc w:val="center"/>
        </w:trPr>
        <w:tc>
          <w:tcPr>
            <w:tcW w:w="10243" w:type="dxa"/>
          </w:tcPr>
          <w:p w14:paraId="3A4EDC3A" w14:textId="6525A454" w:rsidR="001C4138" w:rsidRPr="00D54574" w:rsidRDefault="00D54574" w:rsidP="00BE3056">
            <w:pPr>
              <w:spacing w:before="120" w:after="120"/>
              <w:rPr>
                <w:rFonts w:ascii="Times New Roman" w:hAnsi="Times New Roman"/>
                <w:b/>
                <w:sz w:val="24"/>
                <w:szCs w:val="24"/>
                <w:lang w:val="en-IE"/>
              </w:rPr>
            </w:pPr>
            <w:r>
              <w:rPr>
                <w:rFonts w:ascii="Times New Roman" w:hAnsi="Times New Roman"/>
                <w:b/>
                <w:sz w:val="24"/>
                <w:szCs w:val="24"/>
              </w:rPr>
              <w:t>Digital Networks Act (DNA)</w:t>
            </w:r>
            <w:r w:rsidR="00BE3056">
              <w:rPr>
                <w:rFonts w:ascii="Times New Roman" w:hAnsi="Times New Roman"/>
                <w:b/>
                <w:sz w:val="24"/>
                <w:szCs w:val="24"/>
              </w:rPr>
              <w:br/>
            </w:r>
            <w:r w:rsidR="00E82A05">
              <w:rPr>
                <w:rFonts w:ascii="Times New Roman" w:hAnsi="Times New Roman"/>
                <w:b/>
                <w:sz w:val="24"/>
                <w:szCs w:val="24"/>
              </w:rPr>
              <w:t>(mandatory o</w:t>
            </w:r>
            <w:r>
              <w:rPr>
                <w:rFonts w:ascii="Times New Roman" w:hAnsi="Times New Roman"/>
                <w:b/>
                <w:sz w:val="24"/>
                <w:szCs w:val="24"/>
              </w:rPr>
              <w:t>pinion</w:t>
            </w:r>
            <w:r w:rsidR="00E82A05">
              <w:rPr>
                <w:rFonts w:ascii="Times New Roman" w:hAnsi="Times New Roman"/>
                <w:b/>
                <w:sz w:val="24"/>
                <w:szCs w:val="24"/>
              </w:rPr>
              <w:t>)</w:t>
            </w:r>
            <w:r w:rsidR="00554137">
              <w:rPr>
                <w:rFonts w:ascii="Times New Roman" w:hAnsi="Times New Roman"/>
                <w:b/>
                <w:sz w:val="24"/>
                <w:szCs w:val="24"/>
              </w:rPr>
              <w:br/>
            </w:r>
            <w:r w:rsidRPr="00D54574">
              <w:rPr>
                <w:rFonts w:ascii="Times New Roman" w:hAnsi="Times New Roman"/>
                <w:b/>
                <w:sz w:val="24"/>
                <w:szCs w:val="24"/>
                <w:lang w:val="en-IE"/>
              </w:rPr>
              <w:t>COM(2026) 16 final</w:t>
            </w:r>
            <w:r w:rsidR="001C4138" w:rsidRPr="00554137">
              <w:rPr>
                <w:rFonts w:ascii="Times New Roman" w:hAnsi="Times New Roman"/>
                <w:b/>
                <w:sz w:val="24"/>
                <w:szCs w:val="24"/>
                <w:lang w:val="en-IE"/>
              </w:rPr>
              <w:br/>
            </w:r>
            <w:r w:rsidR="002D1731" w:rsidRPr="002D1731">
              <w:rPr>
                <w:rFonts w:ascii="Times New Roman" w:hAnsi="Times New Roman"/>
                <w:b/>
                <w:sz w:val="24"/>
                <w:szCs w:val="24"/>
                <w:lang w:val="en-IE"/>
              </w:rPr>
              <w:t>EESC-2026-00515</w:t>
            </w:r>
            <w:r w:rsidR="00E82A05">
              <w:rPr>
                <w:rFonts w:ascii="Times New Roman" w:hAnsi="Times New Roman"/>
                <w:b/>
                <w:sz w:val="24"/>
                <w:szCs w:val="24"/>
                <w:lang w:val="en-IE"/>
              </w:rPr>
              <w:t xml:space="preserve"> </w:t>
            </w:r>
            <w:r w:rsidR="00E82A05" w:rsidRPr="00807B48">
              <w:rPr>
                <w:rFonts w:ascii="Times New Roman" w:hAnsi="Times New Roman"/>
                <w:b/>
                <w:sz w:val="24"/>
                <w:szCs w:val="24"/>
              </w:rPr>
              <w:t xml:space="preserve">– </w:t>
            </w:r>
            <w:r w:rsidR="00E82A05">
              <w:rPr>
                <w:rFonts w:ascii="Times New Roman" w:hAnsi="Times New Roman"/>
                <w:b/>
                <w:sz w:val="24"/>
                <w:szCs w:val="24"/>
              </w:rPr>
              <w:t>TEN/879</w:t>
            </w:r>
            <w:r w:rsidR="001C4138" w:rsidRPr="00807B48">
              <w:rPr>
                <w:rFonts w:ascii="Times New Roman" w:hAnsi="Times New Roman"/>
                <w:b/>
                <w:sz w:val="24"/>
                <w:szCs w:val="24"/>
              </w:rPr>
              <w:br/>
            </w:r>
            <w:r w:rsidR="002D1731">
              <w:rPr>
                <w:rFonts w:ascii="Times New Roman" w:hAnsi="Times New Roman"/>
                <w:b/>
                <w:sz w:val="24"/>
                <w:szCs w:val="24"/>
              </w:rPr>
              <w:t>606</w:t>
            </w:r>
            <w:r w:rsidR="002D1731" w:rsidRPr="002D1731">
              <w:rPr>
                <w:rFonts w:ascii="Times New Roman" w:hAnsi="Times New Roman"/>
                <w:b/>
                <w:sz w:val="24"/>
                <w:szCs w:val="24"/>
                <w:vertAlign w:val="superscript"/>
              </w:rPr>
              <w:t>th</w:t>
            </w:r>
            <w:r w:rsidR="001C4138" w:rsidRPr="00A140A0">
              <w:rPr>
                <w:b/>
                <w:lang w:val="en-IE"/>
              </w:rPr>
              <w:t xml:space="preserve"> </w:t>
            </w:r>
            <w:r w:rsidR="001C4138" w:rsidRPr="00AE3C7C">
              <w:rPr>
                <w:rFonts w:ascii="Times New Roman" w:hAnsi="Times New Roman"/>
                <w:b/>
                <w:sz w:val="24"/>
                <w:szCs w:val="24"/>
              </w:rPr>
              <w:t>Plenary Session –</w:t>
            </w:r>
            <w:r w:rsidR="002D1731">
              <w:rPr>
                <w:rFonts w:ascii="Times New Roman" w:hAnsi="Times New Roman"/>
                <w:b/>
                <w:sz w:val="24"/>
                <w:szCs w:val="24"/>
              </w:rPr>
              <w:t xml:space="preserve"> June 2026</w:t>
            </w:r>
            <w:r w:rsidR="001C4138" w:rsidRPr="00807B48">
              <w:rPr>
                <w:rFonts w:ascii="Times New Roman" w:hAnsi="Times New Roman"/>
                <w:b/>
                <w:sz w:val="24"/>
                <w:szCs w:val="24"/>
              </w:rPr>
              <w:br/>
              <w:t xml:space="preserve">Rapporteur: </w:t>
            </w:r>
            <w:r w:rsidR="002D1731" w:rsidRPr="002D1731">
              <w:rPr>
                <w:rFonts w:ascii="Times New Roman" w:hAnsi="Times New Roman"/>
                <w:b/>
                <w:sz w:val="24"/>
                <w:szCs w:val="24"/>
              </w:rPr>
              <w:t>Maurizio MENSI (IT-</w:t>
            </w:r>
            <w:r w:rsidR="00E82A05">
              <w:rPr>
                <w:rFonts w:ascii="Times New Roman" w:hAnsi="Times New Roman"/>
                <w:b/>
                <w:sz w:val="24"/>
                <w:szCs w:val="24"/>
              </w:rPr>
              <w:t>group: CSO</w:t>
            </w:r>
            <w:r w:rsidR="002D1731" w:rsidRPr="002D1731">
              <w:rPr>
                <w:rFonts w:ascii="Times New Roman" w:hAnsi="Times New Roman"/>
                <w:b/>
                <w:sz w:val="24"/>
                <w:szCs w:val="24"/>
              </w:rPr>
              <w:t>)</w:t>
            </w:r>
            <w:r w:rsidR="001C4138" w:rsidRPr="00807B48">
              <w:rPr>
                <w:rFonts w:ascii="Times New Roman" w:hAnsi="Times New Roman"/>
                <w:b/>
                <w:sz w:val="24"/>
                <w:szCs w:val="24"/>
              </w:rPr>
              <w:br/>
              <w:t xml:space="preserve">DG </w:t>
            </w:r>
            <w:r w:rsidR="002D1731">
              <w:rPr>
                <w:rFonts w:ascii="Times New Roman" w:hAnsi="Times New Roman"/>
                <w:b/>
                <w:sz w:val="24"/>
                <w:szCs w:val="24"/>
              </w:rPr>
              <w:t xml:space="preserve">CNECT </w:t>
            </w:r>
            <w:r w:rsidR="001C4138" w:rsidRPr="00807B48">
              <w:rPr>
                <w:rFonts w:ascii="Times New Roman" w:hAnsi="Times New Roman"/>
                <w:b/>
                <w:sz w:val="24"/>
                <w:szCs w:val="24"/>
              </w:rPr>
              <w:t xml:space="preserve">– </w:t>
            </w:r>
            <w:r w:rsidR="004A7932" w:rsidRPr="009C6EAD">
              <w:rPr>
                <w:rFonts w:ascii="Times New Roman" w:hAnsi="Times New Roman"/>
                <w:b/>
                <w:bCs/>
                <w:kern w:val="28"/>
                <w:sz w:val="24"/>
                <w:szCs w:val="24"/>
              </w:rPr>
              <w:t>Executive Vice-President</w:t>
            </w:r>
            <w:r w:rsidR="001C4138" w:rsidRPr="00807B48">
              <w:rPr>
                <w:rFonts w:ascii="Times New Roman" w:hAnsi="Times New Roman"/>
                <w:b/>
                <w:sz w:val="24"/>
                <w:szCs w:val="24"/>
              </w:rPr>
              <w:t xml:space="preserve"> </w:t>
            </w:r>
            <w:r w:rsidR="002D1731">
              <w:rPr>
                <w:rFonts w:ascii="Times New Roman" w:hAnsi="Times New Roman"/>
                <w:b/>
                <w:sz w:val="24"/>
                <w:szCs w:val="24"/>
              </w:rPr>
              <w:t>VIRKKUNEN</w:t>
            </w:r>
          </w:p>
        </w:tc>
      </w:tr>
      <w:tr w:rsidR="00734613" w:rsidRPr="00442552" w14:paraId="1937071F" w14:textId="77777777" w:rsidTr="1D983356">
        <w:trPr>
          <w:jc w:val="center"/>
        </w:trPr>
        <w:tc>
          <w:tcPr>
            <w:tcW w:w="10243" w:type="dxa"/>
          </w:tcPr>
          <w:p w14:paraId="1E50B4DB" w14:textId="701E1E21" w:rsidR="00734613" w:rsidRPr="00695797" w:rsidRDefault="004F6117" w:rsidP="00BE3056">
            <w:pPr>
              <w:spacing w:before="120" w:after="120"/>
              <w:jc w:val="center"/>
              <w:rPr>
                <w:rFonts w:ascii="Times New Roman" w:hAnsi="Times New Roman"/>
                <w:b/>
                <w:sz w:val="24"/>
                <w:szCs w:val="24"/>
              </w:rPr>
            </w:pPr>
            <w:r w:rsidRPr="004F6117">
              <w:rPr>
                <w:rFonts w:ascii="Times New Roman" w:hAnsi="Times New Roman"/>
                <w:b/>
                <w:sz w:val="24"/>
                <w:szCs w:val="24"/>
              </w:rPr>
              <w:t>European Commission position on points</w:t>
            </w:r>
            <w:r>
              <w:rPr>
                <w:rFonts w:ascii="Times New Roman" w:hAnsi="Times New Roman"/>
                <w:b/>
                <w:sz w:val="24"/>
                <w:szCs w:val="24"/>
              </w:rPr>
              <w:br/>
            </w:r>
            <w:r w:rsidRPr="004F6117">
              <w:rPr>
                <w:rFonts w:ascii="Times New Roman" w:hAnsi="Times New Roman"/>
                <w:b/>
                <w:sz w:val="24"/>
                <w:szCs w:val="24"/>
              </w:rPr>
              <w:t xml:space="preserve">of the European Economic and Social Committee </w:t>
            </w:r>
            <w:r w:rsidR="00554137">
              <w:rPr>
                <w:rFonts w:ascii="Times New Roman" w:hAnsi="Times New Roman"/>
                <w:b/>
                <w:sz w:val="24"/>
                <w:szCs w:val="24"/>
              </w:rPr>
              <w:t xml:space="preserve">(EESC) </w:t>
            </w:r>
            <w:r w:rsidRPr="004F6117">
              <w:rPr>
                <w:rFonts w:ascii="Times New Roman" w:hAnsi="Times New Roman"/>
                <w:b/>
                <w:sz w:val="24"/>
                <w:szCs w:val="24"/>
              </w:rPr>
              <w:t>opinion</w:t>
            </w:r>
            <w:r w:rsidR="00E83C12">
              <w:rPr>
                <w:rFonts w:ascii="Times New Roman" w:hAnsi="Times New Roman"/>
                <w:b/>
                <w:sz w:val="24"/>
                <w:szCs w:val="24"/>
              </w:rPr>
              <w:t xml:space="preserve"> </w:t>
            </w:r>
            <w:r w:rsidR="00E83C12" w:rsidRPr="00E83C12">
              <w:rPr>
                <w:rFonts w:ascii="Times New Roman" w:hAnsi="Times New Roman"/>
                <w:b/>
                <w:sz w:val="24"/>
                <w:szCs w:val="24"/>
              </w:rPr>
              <w:t>considered as essential</w:t>
            </w:r>
          </w:p>
        </w:tc>
      </w:tr>
      <w:tr w:rsidR="00734613" w:rsidRPr="004F6117" w14:paraId="673DDC1B" w14:textId="77777777" w:rsidTr="1D983356">
        <w:trPr>
          <w:jc w:val="center"/>
        </w:trPr>
        <w:tc>
          <w:tcPr>
            <w:tcW w:w="10243" w:type="dxa"/>
          </w:tcPr>
          <w:p w14:paraId="0D080FC8" w14:textId="706DECDF" w:rsidR="0049246C" w:rsidRPr="00BE3056" w:rsidRDefault="7B5945DE" w:rsidP="00BE3056">
            <w:pPr>
              <w:widowControl w:val="0"/>
              <w:spacing w:before="120" w:after="120"/>
              <w:jc w:val="both"/>
              <w:rPr>
                <w:rFonts w:ascii="Times New Roman" w:hAnsi="Times New Roman"/>
                <w:sz w:val="24"/>
                <w:szCs w:val="24"/>
              </w:rPr>
            </w:pPr>
            <w:r w:rsidRPr="00BE3056">
              <w:rPr>
                <w:rFonts w:ascii="Times New Roman" w:eastAsia="Times New Roman" w:hAnsi="Times New Roman"/>
                <w:sz w:val="24"/>
                <w:szCs w:val="24"/>
              </w:rPr>
              <w:t>The Commission welcomes the opinion of the Committee and its support for the overall objectives of the proposal, notably the strengthening of the internal market for digital networks and services,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promotion of investment, and the contribution of the initiative to Europe’s competitiveness, security and digital transition.</w:t>
            </w:r>
          </w:p>
          <w:p w14:paraId="39EC6CDE" w14:textId="5C33CAA1" w:rsidR="0049246C" w:rsidRPr="00BE3056" w:rsidRDefault="7B5945DE" w:rsidP="00BE3056">
            <w:pPr>
              <w:widowControl w:val="0"/>
              <w:spacing w:before="120" w:after="120"/>
              <w:jc w:val="both"/>
              <w:rPr>
                <w:rFonts w:ascii="Times New Roman" w:hAnsi="Times New Roman"/>
                <w:sz w:val="24"/>
                <w:szCs w:val="24"/>
              </w:rPr>
            </w:pPr>
            <w:r w:rsidRPr="00BE3056">
              <w:rPr>
                <w:rFonts w:ascii="Times New Roman" w:eastAsia="Times New Roman" w:hAnsi="Times New Roman"/>
                <w:sz w:val="24"/>
                <w:szCs w:val="24"/>
              </w:rPr>
              <w:t>The Commission also takes note of the Committee’s view that a regulation is the appropriate legal instrument to reduce fragmentation, improve legal certainty and ensure more uniform rules across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Union. In this respect, the Commission notes the Committee’s support for the proposal’s systemic approach covering authorisation, spectrum, copper switch-off and governance as part of a coherent internal-market strategy.</w:t>
            </w:r>
          </w:p>
          <w:p w14:paraId="3CBACE8D" w14:textId="57D11350" w:rsidR="0049246C" w:rsidRPr="00BE3056" w:rsidRDefault="7B5945DE" w:rsidP="00BE3056">
            <w:pPr>
              <w:widowControl w:val="0"/>
              <w:spacing w:before="120" w:after="120"/>
              <w:jc w:val="both"/>
              <w:rPr>
                <w:rFonts w:ascii="Times New Roman" w:hAnsi="Times New Roman"/>
                <w:sz w:val="24"/>
                <w:szCs w:val="24"/>
              </w:rPr>
            </w:pPr>
            <w:r w:rsidRPr="00BE3056">
              <w:rPr>
                <w:rFonts w:ascii="Times New Roman" w:eastAsia="Times New Roman" w:hAnsi="Times New Roman"/>
                <w:sz w:val="24"/>
                <w:szCs w:val="24"/>
              </w:rPr>
              <w:t>On governance and allocation of competences, the Commission takes note of the Committee’s call for a</w:t>
            </w:r>
            <w:r w:rsidR="00BE3056">
              <w:rPr>
                <w:rFonts w:ascii="Times New Roman" w:eastAsia="Times New Roman" w:hAnsi="Times New Roman"/>
                <w:sz w:val="24"/>
                <w:szCs w:val="24"/>
              </w:rPr>
              <w:t> </w:t>
            </w:r>
            <w:r w:rsidRPr="00BE3056">
              <w:rPr>
                <w:rFonts w:ascii="Times New Roman" w:eastAsia="Times New Roman" w:hAnsi="Times New Roman"/>
                <w:sz w:val="24"/>
                <w:szCs w:val="24"/>
              </w:rPr>
              <w:t>clear distribution of tasks between the Office for Digital Networks,</w:t>
            </w:r>
            <w:r w:rsidR="33E7D48A" w:rsidRPr="00BE3056">
              <w:rPr>
                <w:rFonts w:ascii="Times New Roman" w:eastAsia="Times New Roman" w:hAnsi="Times New Roman"/>
                <w:sz w:val="24"/>
                <w:szCs w:val="24"/>
              </w:rPr>
              <w:t xml:space="preserve"> </w:t>
            </w:r>
            <w:r w:rsidR="4A6DFFE4" w:rsidRPr="00BE3056">
              <w:rPr>
                <w:rFonts w:ascii="Times New Roman" w:eastAsia="Times New Roman" w:hAnsi="Times New Roman"/>
                <w:sz w:val="24"/>
                <w:szCs w:val="24"/>
              </w:rPr>
              <w:t xml:space="preserve">the </w:t>
            </w:r>
            <w:r w:rsidR="33E7D48A" w:rsidRPr="00BE3056">
              <w:rPr>
                <w:rFonts w:ascii="Times New Roman" w:eastAsia="Times New Roman" w:hAnsi="Times New Roman"/>
                <w:color w:val="000000"/>
                <w:sz w:val="24"/>
                <w:szCs w:val="24"/>
              </w:rPr>
              <w:t>Body of European Regulators for Electronic Communications</w:t>
            </w:r>
            <w:r w:rsidRPr="00BE3056">
              <w:rPr>
                <w:rFonts w:ascii="Times New Roman" w:eastAsia="Times New Roman" w:hAnsi="Times New Roman"/>
                <w:sz w:val="24"/>
                <w:szCs w:val="24"/>
              </w:rPr>
              <w:t xml:space="preserve"> </w:t>
            </w:r>
            <w:r w:rsidR="697ED603" w:rsidRPr="00BE3056">
              <w:rPr>
                <w:rFonts w:ascii="Times New Roman" w:eastAsia="Times New Roman" w:hAnsi="Times New Roman"/>
                <w:sz w:val="24"/>
                <w:szCs w:val="24"/>
              </w:rPr>
              <w:t>(</w:t>
            </w:r>
            <w:r w:rsidRPr="00BE3056">
              <w:rPr>
                <w:rFonts w:ascii="Times New Roman" w:eastAsia="Times New Roman" w:hAnsi="Times New Roman"/>
                <w:sz w:val="24"/>
                <w:szCs w:val="24"/>
              </w:rPr>
              <w:t>BEREC</w:t>
            </w:r>
            <w:r w:rsidR="3E85299B" w:rsidRPr="00BE3056">
              <w:rPr>
                <w:rFonts w:ascii="Times New Roman" w:eastAsia="Times New Roman" w:hAnsi="Times New Roman"/>
                <w:sz w:val="24"/>
                <w:szCs w:val="24"/>
              </w:rPr>
              <w:t>)</w:t>
            </w:r>
            <w:r w:rsidRPr="00BE3056">
              <w:rPr>
                <w:rFonts w:ascii="Times New Roman" w:eastAsia="Times New Roman" w:hAnsi="Times New Roman"/>
                <w:sz w:val="24"/>
                <w:szCs w:val="24"/>
              </w:rPr>
              <w:t xml:space="preserve">, the Radio Spectrum Policy Body </w:t>
            </w:r>
            <w:r w:rsidR="00E82A05" w:rsidRPr="00BE3056">
              <w:rPr>
                <w:rFonts w:ascii="Times New Roman" w:eastAsia="Times New Roman" w:hAnsi="Times New Roman"/>
                <w:sz w:val="24"/>
                <w:szCs w:val="24"/>
              </w:rPr>
              <w:t xml:space="preserve">(RSPG) </w:t>
            </w:r>
            <w:r w:rsidRPr="00BE3056">
              <w:rPr>
                <w:rFonts w:ascii="Times New Roman" w:eastAsia="Times New Roman" w:hAnsi="Times New Roman"/>
                <w:sz w:val="24"/>
                <w:szCs w:val="24"/>
              </w:rPr>
              <w:t>and the national regulatory authorities, as well as of the importance it attaches to avoiding overlaps and preserving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effective role and independence of national regulators. The Commission acknowledges that clarity in the governance framework is important for legal certainty, effective enforcement and democratic accountability. These elements can usefully be considered in the ongoing legislative process.</w:t>
            </w:r>
          </w:p>
          <w:p w14:paraId="1E8AF5B3" w14:textId="64F03885" w:rsidR="0049246C" w:rsidRPr="00BE3056" w:rsidRDefault="7B5945DE" w:rsidP="00BE3056">
            <w:pPr>
              <w:widowControl w:val="0"/>
              <w:spacing w:before="120" w:after="120"/>
              <w:jc w:val="both"/>
              <w:rPr>
                <w:rFonts w:ascii="Times New Roman" w:hAnsi="Times New Roman"/>
                <w:sz w:val="24"/>
                <w:szCs w:val="24"/>
              </w:rPr>
            </w:pPr>
            <w:r w:rsidRPr="00BE3056">
              <w:rPr>
                <w:rFonts w:ascii="Times New Roman" w:eastAsia="Times New Roman" w:hAnsi="Times New Roman"/>
                <w:sz w:val="24"/>
                <w:szCs w:val="24"/>
              </w:rPr>
              <w:t>The Commission also takes note of the Committee’s recommendation to limit delegated and implementing acts to strictly technical matters and to keep essential elements in the basic act.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Commission recalls the importance of ensuring that the legislative framework remains sufficiently clear and predictable while also allowing the necessary technical adaptation over time.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Committee’s considerations on legal certainty, subsidiarity and proportionality are therefore noted for the interinstitutional discussions.</w:t>
            </w:r>
          </w:p>
          <w:p w14:paraId="627199B3" w14:textId="35FD2041" w:rsidR="00916E68" w:rsidRPr="00BE3056" w:rsidRDefault="7B5945DE" w:rsidP="00BE3056">
            <w:pPr>
              <w:widowControl w:val="0"/>
              <w:spacing w:before="120" w:after="120"/>
              <w:jc w:val="both"/>
              <w:rPr>
                <w:rFonts w:ascii="Times New Roman" w:eastAsia="Times New Roman" w:hAnsi="Times New Roman"/>
                <w:sz w:val="24"/>
                <w:szCs w:val="24"/>
              </w:rPr>
            </w:pPr>
            <w:r w:rsidRPr="00BE3056">
              <w:rPr>
                <w:rFonts w:ascii="Times New Roman" w:eastAsia="Times New Roman" w:hAnsi="Times New Roman"/>
                <w:sz w:val="24"/>
                <w:szCs w:val="24"/>
              </w:rPr>
              <w:t>As regards the internal market framework, the Commission welcomes the Committee’s support for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fully harmonised authorisation regime and the single-passport mechanism. It also takes note of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Committee’s request to clarify the relationship between Union-level notification and residual national obligations and to ensure that any exceptions remain narrowly framed. These points are relevant to the objective of reducing unnecessary burdens while safeguarding legitimate public-interest considerations.</w:t>
            </w:r>
          </w:p>
          <w:p w14:paraId="63C1B2B1" w14:textId="6EAE4ABF" w:rsidR="04F2B3C9" w:rsidRPr="00BE3056" w:rsidRDefault="04F2B3C9" w:rsidP="00BE3056">
            <w:pPr>
              <w:widowControl w:val="0"/>
              <w:spacing w:before="120" w:after="120"/>
              <w:jc w:val="both"/>
              <w:rPr>
                <w:rFonts w:ascii="Times New Roman" w:eastAsia="Aptos" w:hAnsi="Times New Roman"/>
                <w:sz w:val="24"/>
                <w:szCs w:val="24"/>
              </w:rPr>
            </w:pPr>
            <w:r w:rsidRPr="00BE3056">
              <w:rPr>
                <w:rFonts w:ascii="Times New Roman" w:eastAsia="Times New Roman" w:hAnsi="Times New Roman"/>
                <w:sz w:val="24"/>
                <w:szCs w:val="24"/>
              </w:rPr>
              <w:t>On competition and market regulation, the Commission takes note of the Committee's emphasis on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 xml:space="preserve">continued value of the </w:t>
            </w:r>
            <w:r w:rsidRPr="00BE3056">
              <w:rPr>
                <w:rFonts w:ascii="Times New Roman" w:eastAsia="Times New Roman" w:hAnsi="Times New Roman"/>
                <w:i/>
                <w:iCs/>
                <w:sz w:val="24"/>
                <w:szCs w:val="24"/>
              </w:rPr>
              <w:t>ex ante</w:t>
            </w:r>
            <w:r w:rsidRPr="00BE3056">
              <w:rPr>
                <w:rFonts w:ascii="Times New Roman" w:eastAsia="Times New Roman" w:hAnsi="Times New Roman"/>
                <w:sz w:val="24"/>
                <w:szCs w:val="24"/>
              </w:rPr>
              <w:t xml:space="preserve"> regulatory framework and the significant market power regime. It </w:t>
            </w:r>
            <w:r w:rsidRPr="00BE3056">
              <w:rPr>
                <w:rFonts w:ascii="Times New Roman" w:eastAsia="Times New Roman" w:hAnsi="Times New Roman"/>
                <w:sz w:val="24"/>
                <w:szCs w:val="24"/>
              </w:rPr>
              <w:lastRenderedPageBreak/>
              <w:t>also notes the Committee's recommendations on access and infrastructure-sharing obligations to safeguard effective competition and accommodate different business models, including wholesale-only operators, as well as its support for strong powers for national regulatory authorities to mandate access to civil-engineering infrastructure where justified.</w:t>
            </w:r>
          </w:p>
          <w:p w14:paraId="4F83FD6A" w14:textId="0957096A" w:rsidR="0049246C" w:rsidRPr="00BE3056" w:rsidRDefault="4A2CD214" w:rsidP="00BE3056">
            <w:pPr>
              <w:widowControl w:val="0"/>
              <w:spacing w:before="120" w:after="120"/>
              <w:jc w:val="both"/>
              <w:rPr>
                <w:rFonts w:ascii="Times New Roman" w:hAnsi="Times New Roman"/>
                <w:sz w:val="24"/>
                <w:szCs w:val="24"/>
              </w:rPr>
            </w:pPr>
            <w:r w:rsidRPr="00BE3056">
              <w:rPr>
                <w:rFonts w:ascii="Times New Roman" w:eastAsia="Times New Roman" w:hAnsi="Times New Roman"/>
                <w:sz w:val="24"/>
                <w:szCs w:val="24"/>
              </w:rPr>
              <w:t xml:space="preserve">The Commission also </w:t>
            </w:r>
            <w:r w:rsidR="0F45D677" w:rsidRPr="00BE3056">
              <w:rPr>
                <w:rFonts w:ascii="Times New Roman" w:eastAsia="Times New Roman" w:hAnsi="Times New Roman"/>
                <w:sz w:val="24"/>
                <w:szCs w:val="24"/>
              </w:rPr>
              <w:t xml:space="preserve">notices </w:t>
            </w:r>
            <w:r w:rsidRPr="00BE3056">
              <w:rPr>
                <w:rFonts w:ascii="Times New Roman" w:eastAsia="Times New Roman" w:hAnsi="Times New Roman"/>
                <w:sz w:val="24"/>
                <w:szCs w:val="24"/>
              </w:rPr>
              <w:t>the Committee’s support for strong and harmonised end-user rights, including minimum quality-of-service standards and reinforced cross-border claims and redress procedures. These recommendations underline the importance of ensuring that the benefits of market integration and network transformation are matched by effective consumer protection.</w:t>
            </w:r>
          </w:p>
          <w:p w14:paraId="02C5D206" w14:textId="7FC7E169" w:rsidR="0049246C" w:rsidRPr="00BE3056" w:rsidRDefault="12E97E94" w:rsidP="00BE3056">
            <w:pPr>
              <w:widowControl w:val="0"/>
              <w:spacing w:before="120" w:after="120"/>
              <w:jc w:val="both"/>
              <w:rPr>
                <w:rFonts w:ascii="Times New Roman" w:eastAsia="Times New Roman" w:hAnsi="Times New Roman"/>
                <w:sz w:val="24"/>
                <w:szCs w:val="24"/>
              </w:rPr>
            </w:pPr>
            <w:r w:rsidRPr="00BE3056">
              <w:rPr>
                <w:rFonts w:ascii="Times New Roman" w:eastAsia="Times New Roman" w:hAnsi="Times New Roman"/>
                <w:sz w:val="24"/>
                <w:szCs w:val="24"/>
              </w:rPr>
              <w:t xml:space="preserve">Regarding spectrum policy, the Commission welcomes the Committee’s recognition of the investment benefits associated with longer spectrum </w:t>
            </w:r>
            <w:r w:rsidR="72F1A234" w:rsidRPr="00BE3056">
              <w:rPr>
                <w:rFonts w:ascii="Times New Roman" w:eastAsia="Times New Roman" w:hAnsi="Times New Roman"/>
                <w:sz w:val="24"/>
                <w:szCs w:val="24"/>
              </w:rPr>
              <w:t>licences and</w:t>
            </w:r>
            <w:r w:rsidR="66B5790D" w:rsidRPr="00BE3056">
              <w:rPr>
                <w:rFonts w:ascii="Times New Roman" w:eastAsia="Times New Roman" w:hAnsi="Times New Roman"/>
                <w:sz w:val="24"/>
                <w:szCs w:val="24"/>
              </w:rPr>
              <w:t xml:space="preserve"> shares </w:t>
            </w:r>
            <w:r w:rsidR="00246229" w:rsidRPr="00BE3056">
              <w:rPr>
                <w:rFonts w:ascii="Times New Roman" w:eastAsia="Times New Roman" w:hAnsi="Times New Roman"/>
                <w:sz w:val="24"/>
                <w:szCs w:val="24"/>
              </w:rPr>
              <w:t xml:space="preserve">its view of </w:t>
            </w:r>
            <w:r w:rsidR="66B5790D" w:rsidRPr="00BE3056">
              <w:rPr>
                <w:rFonts w:ascii="Times New Roman" w:eastAsia="Times New Roman" w:hAnsi="Times New Roman"/>
                <w:sz w:val="24"/>
                <w:szCs w:val="24"/>
              </w:rPr>
              <w:t>the</w:t>
            </w:r>
            <w:r w:rsidR="246C689D" w:rsidRPr="00BE3056">
              <w:rPr>
                <w:rFonts w:ascii="Times New Roman" w:eastAsia="Times New Roman" w:hAnsi="Times New Roman"/>
                <w:sz w:val="24"/>
                <w:szCs w:val="24"/>
              </w:rPr>
              <w:t xml:space="preserve"> need for</w:t>
            </w:r>
            <w:r w:rsidRPr="00BE3056">
              <w:rPr>
                <w:rFonts w:ascii="Times New Roman" w:eastAsia="Times New Roman" w:hAnsi="Times New Roman"/>
                <w:sz w:val="24"/>
                <w:szCs w:val="24"/>
              </w:rPr>
              <w:t xml:space="preserve"> safeguards related to efficient use and competition</w:t>
            </w:r>
            <w:r w:rsidR="246C689D" w:rsidRPr="00BE3056">
              <w:rPr>
                <w:rFonts w:ascii="Times New Roman" w:eastAsia="Times New Roman" w:hAnsi="Times New Roman"/>
                <w:sz w:val="24"/>
                <w:szCs w:val="24"/>
              </w:rPr>
              <w:t>. The Commission takes</w:t>
            </w:r>
            <w:r w:rsidR="0EF99393" w:rsidRPr="00BE3056">
              <w:rPr>
                <w:rFonts w:ascii="Times New Roman" w:eastAsia="Times New Roman" w:hAnsi="Times New Roman"/>
                <w:sz w:val="24"/>
                <w:szCs w:val="24"/>
              </w:rPr>
              <w:t xml:space="preserve"> into due account </w:t>
            </w:r>
            <w:r w:rsidR="246C689D" w:rsidRPr="00BE3056">
              <w:rPr>
                <w:rFonts w:ascii="Times New Roman" w:eastAsia="Times New Roman" w:hAnsi="Times New Roman"/>
                <w:sz w:val="24"/>
                <w:szCs w:val="24"/>
              </w:rPr>
              <w:t>the Committee’s call</w:t>
            </w:r>
            <w:r w:rsidRPr="00BE3056">
              <w:rPr>
                <w:rFonts w:ascii="Times New Roman" w:eastAsia="Times New Roman" w:hAnsi="Times New Roman"/>
                <w:sz w:val="24"/>
                <w:szCs w:val="24"/>
              </w:rPr>
              <w:t xml:space="preserve"> for </w:t>
            </w:r>
            <w:r w:rsidR="1B9A0269" w:rsidRPr="00BE3056">
              <w:rPr>
                <w:rFonts w:ascii="Times New Roman" w:eastAsia="Times New Roman" w:hAnsi="Times New Roman"/>
                <w:sz w:val="24"/>
                <w:szCs w:val="24"/>
              </w:rPr>
              <w:t>a</w:t>
            </w:r>
            <w:r w:rsidR="00BE3056">
              <w:rPr>
                <w:rFonts w:ascii="Times New Roman" w:eastAsia="Times New Roman" w:hAnsi="Times New Roman"/>
                <w:sz w:val="24"/>
                <w:szCs w:val="24"/>
              </w:rPr>
              <w:t> </w:t>
            </w:r>
            <w:r w:rsidR="302D867E" w:rsidRPr="00BE3056">
              <w:rPr>
                <w:rFonts w:ascii="Times New Roman" w:eastAsia="Times New Roman" w:hAnsi="Times New Roman"/>
                <w:sz w:val="24"/>
                <w:szCs w:val="24"/>
              </w:rPr>
              <w:t>scrutiny</w:t>
            </w:r>
            <w:r w:rsidRPr="00BE3056">
              <w:rPr>
                <w:rFonts w:ascii="Times New Roman" w:eastAsia="Times New Roman" w:hAnsi="Times New Roman"/>
                <w:sz w:val="24"/>
                <w:szCs w:val="24"/>
              </w:rPr>
              <w:t xml:space="preserve"> at Union level that </w:t>
            </w:r>
            <w:r w:rsidR="66B60983" w:rsidRPr="00BE3056">
              <w:rPr>
                <w:rFonts w:ascii="Times New Roman" w:eastAsia="Times New Roman" w:hAnsi="Times New Roman"/>
                <w:sz w:val="24"/>
                <w:szCs w:val="24"/>
              </w:rPr>
              <w:t xml:space="preserve">would </w:t>
            </w:r>
            <w:r w:rsidRPr="00BE3056">
              <w:rPr>
                <w:rFonts w:ascii="Times New Roman" w:eastAsia="Times New Roman" w:hAnsi="Times New Roman"/>
                <w:sz w:val="24"/>
                <w:szCs w:val="24"/>
              </w:rPr>
              <w:t>not replace national responsibilities. These observations contribute constructively to the discussion on how best to reconcile greater consistency across the Union with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respective roles of Member States and Union bodies.</w:t>
            </w:r>
          </w:p>
          <w:p w14:paraId="2B9DCCF0" w14:textId="7BFAE306" w:rsidR="41BA613F" w:rsidRPr="00BE3056" w:rsidRDefault="70473596" w:rsidP="00BE3056">
            <w:pPr>
              <w:widowControl w:val="0"/>
              <w:spacing w:before="120" w:after="120"/>
              <w:jc w:val="both"/>
              <w:rPr>
                <w:rFonts w:ascii="Times New Roman" w:eastAsia="Times New Roman" w:hAnsi="Times New Roman"/>
                <w:sz w:val="24"/>
                <w:szCs w:val="24"/>
              </w:rPr>
            </w:pPr>
            <w:r w:rsidRPr="00BE3056">
              <w:rPr>
                <w:rFonts w:ascii="Times New Roman" w:eastAsia="Times New Roman" w:hAnsi="Times New Roman"/>
                <w:sz w:val="24"/>
                <w:szCs w:val="24"/>
              </w:rPr>
              <w:t>Regarding the copper-to-fibre transition, the Commission welcomes the Committee's support for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proposed framework. It also takes note of the Committee's recommendations concerning the use of Union and national funding instruments to support the fibre transition, as well as its emphasis on maintaining affordable connectivity and ensuring that copper decommissioning takes place only where adequate fibre coverage has been achieved.</w:t>
            </w:r>
          </w:p>
          <w:p w14:paraId="6D479153" w14:textId="37DECC96" w:rsidR="0049246C" w:rsidRPr="00BE3056" w:rsidRDefault="7B5945DE" w:rsidP="00BE3056">
            <w:pPr>
              <w:widowControl w:val="0"/>
              <w:spacing w:before="120" w:after="120"/>
              <w:jc w:val="both"/>
              <w:rPr>
                <w:rFonts w:ascii="Times New Roman" w:hAnsi="Times New Roman"/>
                <w:sz w:val="24"/>
                <w:szCs w:val="24"/>
              </w:rPr>
            </w:pPr>
            <w:r w:rsidRPr="00BE3056">
              <w:rPr>
                <w:rFonts w:ascii="Times New Roman" w:eastAsia="Times New Roman" w:hAnsi="Times New Roman"/>
                <w:sz w:val="24"/>
                <w:szCs w:val="24"/>
              </w:rPr>
              <w:t>On security and resilience, the Commission takes careful note of the Committee’s call for close alignment between the proposal and existing horizontal Union frameworks, in particular the NIS2 Directive</w:t>
            </w:r>
            <w:r w:rsidR="0049246C" w:rsidRPr="00BE3056">
              <w:rPr>
                <w:rStyle w:val="FootnoteReference"/>
                <w:rFonts w:ascii="Times New Roman" w:eastAsia="Times New Roman" w:hAnsi="Times New Roman"/>
                <w:sz w:val="24"/>
                <w:szCs w:val="24"/>
              </w:rPr>
              <w:footnoteReference w:id="1"/>
            </w:r>
            <w:r w:rsidRPr="00BE3056">
              <w:rPr>
                <w:rFonts w:ascii="Times New Roman" w:eastAsia="Times New Roman" w:hAnsi="Times New Roman"/>
                <w:sz w:val="24"/>
                <w:szCs w:val="24"/>
              </w:rPr>
              <w:t xml:space="preserve">, the </w:t>
            </w:r>
            <w:r w:rsidR="2100D5C8" w:rsidRPr="00BE3056">
              <w:rPr>
                <w:rFonts w:ascii="Times New Roman" w:eastAsia="Times New Roman" w:hAnsi="Times New Roman"/>
                <w:sz w:val="24"/>
                <w:szCs w:val="24"/>
              </w:rPr>
              <w:t>proposal for a review of</w:t>
            </w:r>
            <w:r w:rsidR="00313C0D" w:rsidRPr="00BE3056">
              <w:rPr>
                <w:rFonts w:ascii="Times New Roman" w:eastAsia="Times New Roman" w:hAnsi="Times New Roman"/>
                <w:sz w:val="24"/>
                <w:szCs w:val="24"/>
              </w:rPr>
              <w:t xml:space="preserve"> the</w:t>
            </w:r>
            <w:r w:rsidR="2100D5C8" w:rsidRPr="00BE3056">
              <w:rPr>
                <w:rFonts w:ascii="Times New Roman" w:eastAsia="Times New Roman" w:hAnsi="Times New Roman"/>
                <w:sz w:val="24"/>
                <w:szCs w:val="24"/>
              </w:rPr>
              <w:t xml:space="preserve"> </w:t>
            </w:r>
            <w:r w:rsidRPr="00BE3056">
              <w:rPr>
                <w:rFonts w:ascii="Times New Roman" w:eastAsia="Times New Roman" w:hAnsi="Times New Roman"/>
                <w:sz w:val="24"/>
                <w:szCs w:val="24"/>
              </w:rPr>
              <w:t>Cybersecurity Act</w:t>
            </w:r>
            <w:r w:rsidR="0049246C" w:rsidRPr="00BE3056">
              <w:rPr>
                <w:rStyle w:val="FootnoteReference"/>
                <w:rFonts w:ascii="Times New Roman" w:eastAsia="Times New Roman" w:hAnsi="Times New Roman"/>
                <w:sz w:val="24"/>
                <w:szCs w:val="24"/>
              </w:rPr>
              <w:footnoteReference w:id="2"/>
            </w:r>
            <w:r w:rsidRPr="00BE3056">
              <w:rPr>
                <w:rFonts w:ascii="Times New Roman" w:eastAsia="Times New Roman" w:hAnsi="Times New Roman"/>
                <w:sz w:val="24"/>
                <w:szCs w:val="24"/>
              </w:rPr>
              <w:t xml:space="preserve"> and the CER Directive</w:t>
            </w:r>
            <w:r w:rsidR="0049246C" w:rsidRPr="00BE3056">
              <w:rPr>
                <w:rStyle w:val="FootnoteReference"/>
                <w:rFonts w:ascii="Times New Roman" w:eastAsia="Times New Roman" w:hAnsi="Times New Roman"/>
                <w:sz w:val="24"/>
                <w:szCs w:val="24"/>
              </w:rPr>
              <w:footnoteReference w:id="3"/>
            </w:r>
            <w:r w:rsidRPr="00BE3056">
              <w:rPr>
                <w:rFonts w:ascii="Times New Roman" w:eastAsia="Times New Roman" w:hAnsi="Times New Roman"/>
                <w:sz w:val="24"/>
                <w:szCs w:val="24"/>
              </w:rPr>
              <w:t>, so as to avoid duplication, inconsistent obligations or gaps in incident management. The Commission also notes the</w:t>
            </w:r>
            <w:r w:rsidR="00BE3056">
              <w:rPr>
                <w:rFonts w:ascii="Times New Roman" w:eastAsia="Times New Roman" w:hAnsi="Times New Roman"/>
                <w:sz w:val="24"/>
                <w:szCs w:val="24"/>
              </w:rPr>
              <w:t> </w:t>
            </w:r>
            <w:r w:rsidRPr="00BE3056">
              <w:rPr>
                <w:rFonts w:ascii="Times New Roman" w:eastAsia="Times New Roman" w:hAnsi="Times New Roman"/>
                <w:sz w:val="24"/>
                <w:szCs w:val="24"/>
              </w:rPr>
              <w:t>Committee’s recommendation that any additional sector-specific requirements should remain risk-based and proportionate, and that the preparation of the Union Preparedness Plan for Digital Infrastructures should be transparent and participatory. These points are pertinent in view of the need for coherence across the Union’s digital and resilience framework.</w:t>
            </w:r>
          </w:p>
          <w:p w14:paraId="30D14481" w14:textId="22FF043D" w:rsidR="0049246C" w:rsidRPr="004F6117" w:rsidRDefault="7B5945DE" w:rsidP="00BE3056">
            <w:pPr>
              <w:widowControl w:val="0"/>
              <w:spacing w:before="120" w:after="120"/>
              <w:jc w:val="both"/>
              <w:rPr>
                <w:rFonts w:ascii="Times New Roman" w:eastAsia="Times New Roman" w:hAnsi="Times New Roman"/>
                <w:sz w:val="24"/>
                <w:szCs w:val="24"/>
                <w:highlight w:val="yellow"/>
              </w:rPr>
            </w:pPr>
            <w:r w:rsidRPr="00BE3056">
              <w:rPr>
                <w:rFonts w:ascii="Times New Roman" w:eastAsia="Times New Roman" w:hAnsi="Times New Roman"/>
                <w:sz w:val="24"/>
                <w:szCs w:val="24"/>
              </w:rPr>
              <w:t xml:space="preserve">The Commission appreciates the Committee’s constructive engagement and considers that a number of the issues raised, in particular on </w:t>
            </w:r>
            <w:r w:rsidR="0E954FB3" w:rsidRPr="00BE3056">
              <w:rPr>
                <w:rFonts w:ascii="Times New Roman" w:eastAsia="Times New Roman" w:hAnsi="Times New Roman"/>
                <w:sz w:val="24"/>
                <w:szCs w:val="24"/>
              </w:rPr>
              <w:t>legislative instrument,</w:t>
            </w:r>
            <w:r w:rsidRPr="00BE3056">
              <w:rPr>
                <w:rFonts w:ascii="Times New Roman" w:eastAsia="Times New Roman" w:hAnsi="Times New Roman"/>
                <w:sz w:val="24"/>
                <w:szCs w:val="24"/>
              </w:rPr>
              <w:t xml:space="preserve"> regulatory coherence, proportionality and safeguards for effective competition and consumer protection, provide useful input for the legislative negotiations.</w:t>
            </w:r>
          </w:p>
        </w:tc>
      </w:tr>
    </w:tbl>
    <w:p w14:paraId="41D86A3C" w14:textId="77777777" w:rsidR="00554137" w:rsidRPr="003A5C52" w:rsidRDefault="00554137" w:rsidP="00554137">
      <w:pPr>
        <w:ind w:left="-426"/>
        <w:rPr>
          <w:rFonts w:ascii="Times New Roman" w:hAnsi="Times New Roman"/>
          <w:b/>
          <w:sz w:val="2"/>
          <w:szCs w:val="2"/>
          <w:u w:val="single"/>
        </w:rPr>
      </w:pPr>
    </w:p>
    <w:sectPr w:rsidR="00554137" w:rsidRPr="003A5C5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3B4E7" w14:textId="77777777" w:rsidR="00BF65B6" w:rsidRDefault="00BF65B6" w:rsidP="00FF63EA">
      <w:pPr>
        <w:spacing w:after="0" w:line="240" w:lineRule="auto"/>
      </w:pPr>
      <w:r>
        <w:separator/>
      </w:r>
    </w:p>
  </w:endnote>
  <w:endnote w:type="continuationSeparator" w:id="0">
    <w:p w14:paraId="04ED18F9" w14:textId="77777777" w:rsidR="00BF65B6" w:rsidRDefault="00BF65B6"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69A6" w14:textId="77777777" w:rsidR="003E0419" w:rsidRDefault="003E0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AFE4" w14:textId="77777777" w:rsidR="003E0419" w:rsidRDefault="003E04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937E" w14:textId="77777777" w:rsidR="003E0419" w:rsidRDefault="003E0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BEC27" w14:textId="77777777" w:rsidR="00BF65B6" w:rsidRDefault="00BF65B6" w:rsidP="00FF63EA">
      <w:pPr>
        <w:spacing w:after="0" w:line="240" w:lineRule="auto"/>
      </w:pPr>
      <w:r>
        <w:separator/>
      </w:r>
    </w:p>
  </w:footnote>
  <w:footnote w:type="continuationSeparator" w:id="0">
    <w:p w14:paraId="143D281E" w14:textId="77777777" w:rsidR="00BF65B6" w:rsidRDefault="00BF65B6" w:rsidP="00FF63EA">
      <w:pPr>
        <w:spacing w:after="0" w:line="240" w:lineRule="auto"/>
      </w:pPr>
      <w:r>
        <w:continuationSeparator/>
      </w:r>
    </w:p>
  </w:footnote>
  <w:footnote w:id="1">
    <w:p w14:paraId="0DD8716D" w14:textId="33140B37" w:rsidR="65FBFDD5" w:rsidRPr="00BE3056" w:rsidRDefault="65FBFDD5" w:rsidP="00BE3056">
      <w:pPr>
        <w:pStyle w:val="FootnoteText"/>
        <w:widowControl w:val="0"/>
        <w:spacing w:line="240" w:lineRule="auto"/>
        <w:ind w:left="-141" w:right="-425" w:hanging="284"/>
        <w:jc w:val="both"/>
        <w:rPr>
          <w:rFonts w:ascii="Times New Roman" w:eastAsia="Times New Roman" w:hAnsi="Times New Roman"/>
          <w:color w:val="333333"/>
        </w:rPr>
      </w:pPr>
      <w:r w:rsidRPr="00BE3056">
        <w:rPr>
          <w:rStyle w:val="FootnoteReference"/>
          <w:rFonts w:ascii="Times New Roman" w:hAnsi="Times New Roman"/>
        </w:rPr>
        <w:footnoteRef/>
      </w:r>
      <w:r w:rsidRPr="00BE3056">
        <w:rPr>
          <w:rFonts w:ascii="Times New Roman" w:hAnsi="Times New Roman"/>
        </w:rPr>
        <w:t xml:space="preserve"> </w:t>
      </w:r>
      <w:r w:rsidR="00E82A05" w:rsidRPr="00BE3056">
        <w:rPr>
          <w:rFonts w:ascii="Times New Roman" w:hAnsi="Times New Roman"/>
        </w:rPr>
        <w:tab/>
      </w:r>
      <w:r w:rsidRPr="00BE3056">
        <w:rPr>
          <w:rFonts w:ascii="Times New Roman" w:eastAsia="Times New Roman" w:hAnsi="Times New Roman"/>
          <w:color w:val="333333"/>
        </w:rPr>
        <w:t>Directive (EU) 2022/2555 of the European Parliament and of the Council of 14 December 2022 on measures for a high common level of cybersecurity across the Union, amending Regulation (EU) No 910/2014 and Directive (EU)</w:t>
      </w:r>
      <w:r w:rsidR="00BE3056">
        <w:rPr>
          <w:rFonts w:ascii="Times New Roman" w:eastAsia="Times New Roman" w:hAnsi="Times New Roman"/>
          <w:color w:val="333333"/>
        </w:rPr>
        <w:t> </w:t>
      </w:r>
      <w:r w:rsidRPr="00BE3056">
        <w:rPr>
          <w:rFonts w:ascii="Times New Roman" w:eastAsia="Times New Roman" w:hAnsi="Times New Roman"/>
          <w:color w:val="333333"/>
        </w:rPr>
        <w:t>2018/1972, and repealing Directive (EU) 2016/1148 (NIS 2 Directive)</w:t>
      </w:r>
      <w:r w:rsidR="00BE3056">
        <w:rPr>
          <w:rFonts w:ascii="Times New Roman" w:eastAsia="Times New Roman" w:hAnsi="Times New Roman"/>
          <w:color w:val="333333"/>
        </w:rPr>
        <w:t>;</w:t>
      </w:r>
      <w:r w:rsidRPr="00BE3056">
        <w:rPr>
          <w:rFonts w:ascii="Times New Roman" w:eastAsia="Times New Roman" w:hAnsi="Times New Roman"/>
          <w:color w:val="333333"/>
        </w:rPr>
        <w:t xml:space="preserve"> (</w:t>
      </w:r>
      <w:hyperlink r:id="rId1">
        <w:r w:rsidRPr="00BE3056">
          <w:rPr>
            <w:rStyle w:val="Hyperlink"/>
            <w:rFonts w:ascii="Times New Roman" w:eastAsia="Times New Roman" w:hAnsi="Times New Roman"/>
          </w:rPr>
          <w:t>Directive – EU – 2022/2555 - EN – EUR-Lex (europa.eu</w:t>
        </w:r>
      </w:hyperlink>
      <w:r w:rsidRPr="00BE3056">
        <w:rPr>
          <w:rFonts w:ascii="Times New Roman" w:eastAsia="Times New Roman" w:hAnsi="Times New Roman"/>
          <w:color w:val="333333"/>
        </w:rPr>
        <w:t>)</w:t>
      </w:r>
      <w:r w:rsidR="00E82A05" w:rsidRPr="00BE3056">
        <w:rPr>
          <w:rFonts w:ascii="Times New Roman" w:eastAsia="Times New Roman" w:hAnsi="Times New Roman"/>
          <w:color w:val="333333"/>
        </w:rPr>
        <w:t>.</w:t>
      </w:r>
    </w:p>
  </w:footnote>
  <w:footnote w:id="2">
    <w:p w14:paraId="34D5F69C" w14:textId="62E461A7" w:rsidR="65FBFDD5" w:rsidRPr="00BE3056" w:rsidRDefault="65FBFDD5" w:rsidP="00BE3056">
      <w:pPr>
        <w:pStyle w:val="FootnoteText"/>
        <w:widowControl w:val="0"/>
        <w:spacing w:line="240" w:lineRule="auto"/>
        <w:ind w:left="-141" w:right="-425" w:hanging="284"/>
        <w:jc w:val="both"/>
        <w:rPr>
          <w:rFonts w:ascii="Times New Roman" w:hAnsi="Times New Roman"/>
          <w:lang w:val="pt-PT"/>
        </w:rPr>
      </w:pPr>
      <w:r w:rsidRPr="00BE3056">
        <w:rPr>
          <w:rStyle w:val="FootnoteReference"/>
          <w:rFonts w:ascii="Times New Roman" w:hAnsi="Times New Roman"/>
          <w:lang w:val="pt-BR"/>
        </w:rPr>
        <w:footnoteRef/>
      </w:r>
      <w:r w:rsidRPr="00BE3056">
        <w:rPr>
          <w:rFonts w:ascii="Times New Roman" w:hAnsi="Times New Roman"/>
          <w:lang w:val="pt-BR"/>
        </w:rPr>
        <w:t xml:space="preserve"> </w:t>
      </w:r>
      <w:r w:rsidR="00E82A05" w:rsidRPr="00BE3056">
        <w:rPr>
          <w:rFonts w:ascii="Times New Roman" w:hAnsi="Times New Roman"/>
          <w:lang w:val="pt-BR"/>
        </w:rPr>
        <w:tab/>
      </w:r>
      <w:r w:rsidRPr="00BE3056">
        <w:rPr>
          <w:rFonts w:ascii="Times New Roman" w:eastAsia="Times New Roman" w:hAnsi="Times New Roman"/>
          <w:lang w:val="pt-BR"/>
        </w:rPr>
        <w:t>COM(2026) 11 final (</w:t>
      </w:r>
      <w:hyperlink r:id="rId2">
        <w:r w:rsidRPr="00BE3056">
          <w:rPr>
            <w:rStyle w:val="Hyperlink"/>
            <w:rFonts w:ascii="Times New Roman" w:eastAsia="Times New Roman" w:hAnsi="Times New Roman"/>
            <w:lang w:val="pt-BR"/>
          </w:rPr>
          <w:t>https://eur-lex.europa.eu/legal-content/EN/TXT/?uri=celex:52026PC0011</w:t>
        </w:r>
      </w:hyperlink>
      <w:r w:rsidRPr="00BE3056">
        <w:rPr>
          <w:rFonts w:ascii="Times New Roman" w:eastAsia="Times New Roman" w:hAnsi="Times New Roman"/>
          <w:lang w:val="pt-BR"/>
        </w:rPr>
        <w:t>)</w:t>
      </w:r>
      <w:r w:rsidR="00E82A05" w:rsidRPr="00BE3056">
        <w:rPr>
          <w:rFonts w:ascii="Times New Roman" w:eastAsia="Times New Roman" w:hAnsi="Times New Roman"/>
          <w:lang w:val="pt-BR"/>
        </w:rPr>
        <w:t>.</w:t>
      </w:r>
    </w:p>
  </w:footnote>
  <w:footnote w:id="3">
    <w:p w14:paraId="1116C529" w14:textId="3CE79EC6" w:rsidR="65FBFDD5" w:rsidRPr="00BE3056" w:rsidRDefault="65FBFDD5" w:rsidP="00BE3056">
      <w:pPr>
        <w:pStyle w:val="FootnoteText"/>
        <w:widowControl w:val="0"/>
        <w:spacing w:line="240" w:lineRule="auto"/>
        <w:ind w:left="-141" w:right="-425" w:hanging="284"/>
        <w:jc w:val="both"/>
        <w:rPr>
          <w:rFonts w:ascii="Times New Roman" w:hAnsi="Times New Roman"/>
        </w:rPr>
      </w:pPr>
      <w:r w:rsidRPr="00BE3056">
        <w:rPr>
          <w:rStyle w:val="FootnoteReference"/>
          <w:rFonts w:ascii="Times New Roman" w:hAnsi="Times New Roman"/>
        </w:rPr>
        <w:footnoteRef/>
      </w:r>
      <w:r w:rsidRPr="00BE3056">
        <w:rPr>
          <w:rFonts w:ascii="Times New Roman" w:eastAsia="Times New Roman" w:hAnsi="Times New Roman"/>
        </w:rPr>
        <w:t xml:space="preserve"> </w:t>
      </w:r>
      <w:r w:rsidR="00E82A05" w:rsidRPr="00BE3056">
        <w:rPr>
          <w:rFonts w:ascii="Times New Roman" w:eastAsia="Times New Roman" w:hAnsi="Times New Roman"/>
        </w:rPr>
        <w:tab/>
      </w:r>
      <w:r w:rsidRPr="00BE3056">
        <w:rPr>
          <w:rFonts w:ascii="Times New Roman" w:eastAsia="Times New Roman" w:hAnsi="Times New Roman"/>
          <w:color w:val="333333"/>
        </w:rPr>
        <w:t>Directive (EU) 2022/2557 of the European Parliament and of the Council of 14 December 2022 on the resilience of critical entities and repealing Council Directive 2008/114/EC (</w:t>
      </w:r>
      <w:hyperlink r:id="rId3">
        <w:r w:rsidRPr="00BE3056">
          <w:rPr>
            <w:rStyle w:val="Hyperlink"/>
            <w:rFonts w:ascii="Times New Roman" w:eastAsia="Times New Roman" w:hAnsi="Times New Roman"/>
          </w:rPr>
          <w:t>https://eur-lex.europa.eu/eli/dir/2022/2557/oj/eng)</w:t>
        </w:r>
      </w:hyperlink>
      <w:r w:rsidR="00E82A05" w:rsidRPr="00BE3056">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F400" w14:textId="77777777" w:rsidR="003E0419" w:rsidRDefault="003E0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1DD4" w14:textId="77777777" w:rsidR="003E0419" w:rsidRPr="003A5C52" w:rsidRDefault="003E0419">
    <w:pPr>
      <w:pStyle w:val="Header"/>
      <w:rPr>
        <w:sz w:val="2"/>
        <w:szCs w:val="2"/>
        <w:lang w:val="en-I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84695" w14:textId="77777777" w:rsidR="003E0419" w:rsidRDefault="003E04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77C4F"/>
    <w:rsid w:val="00002EB9"/>
    <w:rsid w:val="00010B77"/>
    <w:rsid w:val="00012A37"/>
    <w:rsid w:val="00046B15"/>
    <w:rsid w:val="00050DC7"/>
    <w:rsid w:val="00065AB5"/>
    <w:rsid w:val="00073CCA"/>
    <w:rsid w:val="00076109"/>
    <w:rsid w:val="00077C4F"/>
    <w:rsid w:val="000F0274"/>
    <w:rsid w:val="000F5FD8"/>
    <w:rsid w:val="00103F84"/>
    <w:rsid w:val="001167C0"/>
    <w:rsid w:val="00132145"/>
    <w:rsid w:val="00135C2A"/>
    <w:rsid w:val="001B0E0B"/>
    <w:rsid w:val="001B1517"/>
    <w:rsid w:val="001C4138"/>
    <w:rsid w:val="001F2EC6"/>
    <w:rsid w:val="001F65D0"/>
    <w:rsid w:val="00217E59"/>
    <w:rsid w:val="00230702"/>
    <w:rsid w:val="00246229"/>
    <w:rsid w:val="002A4DA7"/>
    <w:rsid w:val="002D1731"/>
    <w:rsid w:val="002F03FA"/>
    <w:rsid w:val="002F068C"/>
    <w:rsid w:val="003004D2"/>
    <w:rsid w:val="00301CBE"/>
    <w:rsid w:val="00306E50"/>
    <w:rsid w:val="00313C0D"/>
    <w:rsid w:val="003220E7"/>
    <w:rsid w:val="003349A3"/>
    <w:rsid w:val="00336CA0"/>
    <w:rsid w:val="00343D83"/>
    <w:rsid w:val="0036634B"/>
    <w:rsid w:val="00377967"/>
    <w:rsid w:val="00386143"/>
    <w:rsid w:val="003A5C52"/>
    <w:rsid w:val="003B53C1"/>
    <w:rsid w:val="003B58DC"/>
    <w:rsid w:val="003E0334"/>
    <w:rsid w:val="003E0419"/>
    <w:rsid w:val="003F686E"/>
    <w:rsid w:val="00430F02"/>
    <w:rsid w:val="00442552"/>
    <w:rsid w:val="00455A1C"/>
    <w:rsid w:val="004675B5"/>
    <w:rsid w:val="00467F4D"/>
    <w:rsid w:val="004770D6"/>
    <w:rsid w:val="0049246C"/>
    <w:rsid w:val="00495E4D"/>
    <w:rsid w:val="004A1D1B"/>
    <w:rsid w:val="004A7932"/>
    <w:rsid w:val="004C7604"/>
    <w:rsid w:val="004F060F"/>
    <w:rsid w:val="004F6117"/>
    <w:rsid w:val="004F63F1"/>
    <w:rsid w:val="004F651E"/>
    <w:rsid w:val="0052596B"/>
    <w:rsid w:val="00554137"/>
    <w:rsid w:val="00554D8D"/>
    <w:rsid w:val="00573835"/>
    <w:rsid w:val="00581306"/>
    <w:rsid w:val="005B2BCB"/>
    <w:rsid w:val="005C3105"/>
    <w:rsid w:val="005D3ECE"/>
    <w:rsid w:val="005E2FC9"/>
    <w:rsid w:val="005E7268"/>
    <w:rsid w:val="006011D6"/>
    <w:rsid w:val="00617F48"/>
    <w:rsid w:val="00692C2F"/>
    <w:rsid w:val="00695797"/>
    <w:rsid w:val="006959A4"/>
    <w:rsid w:val="00696A5E"/>
    <w:rsid w:val="006B1E21"/>
    <w:rsid w:val="006B3B69"/>
    <w:rsid w:val="006C2702"/>
    <w:rsid w:val="006D2947"/>
    <w:rsid w:val="00711E7E"/>
    <w:rsid w:val="00734442"/>
    <w:rsid w:val="00734613"/>
    <w:rsid w:val="00751910"/>
    <w:rsid w:val="00751E60"/>
    <w:rsid w:val="007547B5"/>
    <w:rsid w:val="00765AFB"/>
    <w:rsid w:val="00773435"/>
    <w:rsid w:val="00795A9E"/>
    <w:rsid w:val="007A606D"/>
    <w:rsid w:val="007C2214"/>
    <w:rsid w:val="007C53F5"/>
    <w:rsid w:val="00800881"/>
    <w:rsid w:val="00807B48"/>
    <w:rsid w:val="008135CA"/>
    <w:rsid w:val="0081584F"/>
    <w:rsid w:val="008703BF"/>
    <w:rsid w:val="008750B3"/>
    <w:rsid w:val="008925CE"/>
    <w:rsid w:val="008925FC"/>
    <w:rsid w:val="008971CA"/>
    <w:rsid w:val="008B56CA"/>
    <w:rsid w:val="008C4D41"/>
    <w:rsid w:val="00901634"/>
    <w:rsid w:val="00916E68"/>
    <w:rsid w:val="009175C1"/>
    <w:rsid w:val="00976866"/>
    <w:rsid w:val="00981F45"/>
    <w:rsid w:val="00994D12"/>
    <w:rsid w:val="009A3524"/>
    <w:rsid w:val="009B128B"/>
    <w:rsid w:val="009D6DA7"/>
    <w:rsid w:val="00A16F07"/>
    <w:rsid w:val="00A276FC"/>
    <w:rsid w:val="00A33CFD"/>
    <w:rsid w:val="00A43A6F"/>
    <w:rsid w:val="00A62C7B"/>
    <w:rsid w:val="00A7709A"/>
    <w:rsid w:val="00AA0D0B"/>
    <w:rsid w:val="00AD61B0"/>
    <w:rsid w:val="00AE16F9"/>
    <w:rsid w:val="00AE1842"/>
    <w:rsid w:val="00AE3C7C"/>
    <w:rsid w:val="00B17F46"/>
    <w:rsid w:val="00B31306"/>
    <w:rsid w:val="00B42814"/>
    <w:rsid w:val="00B83936"/>
    <w:rsid w:val="00BB6BDA"/>
    <w:rsid w:val="00BC7FED"/>
    <w:rsid w:val="00BD6EB7"/>
    <w:rsid w:val="00BE3056"/>
    <w:rsid w:val="00BE7B6B"/>
    <w:rsid w:val="00BF65B6"/>
    <w:rsid w:val="00C1399D"/>
    <w:rsid w:val="00C21621"/>
    <w:rsid w:val="00C27C97"/>
    <w:rsid w:val="00C3034C"/>
    <w:rsid w:val="00C37BDD"/>
    <w:rsid w:val="00C43E0C"/>
    <w:rsid w:val="00C5358C"/>
    <w:rsid w:val="00C54D27"/>
    <w:rsid w:val="00C76EEB"/>
    <w:rsid w:val="00CC0179"/>
    <w:rsid w:val="00CE6DB0"/>
    <w:rsid w:val="00D01F5A"/>
    <w:rsid w:val="00D05F90"/>
    <w:rsid w:val="00D1323B"/>
    <w:rsid w:val="00D1716E"/>
    <w:rsid w:val="00D2255C"/>
    <w:rsid w:val="00D353DA"/>
    <w:rsid w:val="00D5282C"/>
    <w:rsid w:val="00D54574"/>
    <w:rsid w:val="00D610E0"/>
    <w:rsid w:val="00D64E05"/>
    <w:rsid w:val="00D72CFB"/>
    <w:rsid w:val="00D92FD3"/>
    <w:rsid w:val="00DA3B6E"/>
    <w:rsid w:val="00DA68B8"/>
    <w:rsid w:val="00DA7CDA"/>
    <w:rsid w:val="00DB7581"/>
    <w:rsid w:val="00DC70C1"/>
    <w:rsid w:val="00E04025"/>
    <w:rsid w:val="00E05790"/>
    <w:rsid w:val="00E755D8"/>
    <w:rsid w:val="00E82A05"/>
    <w:rsid w:val="00E83C12"/>
    <w:rsid w:val="00E904C8"/>
    <w:rsid w:val="00EA1BBF"/>
    <w:rsid w:val="00EB29A9"/>
    <w:rsid w:val="00EB77D2"/>
    <w:rsid w:val="00F103AC"/>
    <w:rsid w:val="00F2228D"/>
    <w:rsid w:val="00F316C8"/>
    <w:rsid w:val="00F632DE"/>
    <w:rsid w:val="00F735E4"/>
    <w:rsid w:val="00F82F4D"/>
    <w:rsid w:val="00FB7834"/>
    <w:rsid w:val="00FD4B6A"/>
    <w:rsid w:val="00FF03A8"/>
    <w:rsid w:val="00FF63EA"/>
    <w:rsid w:val="01BC203B"/>
    <w:rsid w:val="02817440"/>
    <w:rsid w:val="04F2B3C9"/>
    <w:rsid w:val="056811B9"/>
    <w:rsid w:val="059E9806"/>
    <w:rsid w:val="06C26220"/>
    <w:rsid w:val="06EA62DC"/>
    <w:rsid w:val="0861D01E"/>
    <w:rsid w:val="09724018"/>
    <w:rsid w:val="0A5404FC"/>
    <w:rsid w:val="0E954FB3"/>
    <w:rsid w:val="0EF99393"/>
    <w:rsid w:val="0F299A68"/>
    <w:rsid w:val="0F3E9B8C"/>
    <w:rsid w:val="0F45D677"/>
    <w:rsid w:val="0FE0D862"/>
    <w:rsid w:val="10A10CE0"/>
    <w:rsid w:val="12E97E94"/>
    <w:rsid w:val="14BADAD3"/>
    <w:rsid w:val="16F85BE3"/>
    <w:rsid w:val="1953C86C"/>
    <w:rsid w:val="1B2FD484"/>
    <w:rsid w:val="1B9A0269"/>
    <w:rsid w:val="1D983356"/>
    <w:rsid w:val="1EDA6791"/>
    <w:rsid w:val="1F857F12"/>
    <w:rsid w:val="2100D5C8"/>
    <w:rsid w:val="22C479D9"/>
    <w:rsid w:val="22ED7379"/>
    <w:rsid w:val="246C689D"/>
    <w:rsid w:val="2AA1D7EF"/>
    <w:rsid w:val="2CFC3E25"/>
    <w:rsid w:val="302D867E"/>
    <w:rsid w:val="33E7D48A"/>
    <w:rsid w:val="3BA12E94"/>
    <w:rsid w:val="3BC14158"/>
    <w:rsid w:val="3DB0F216"/>
    <w:rsid w:val="3E85299B"/>
    <w:rsid w:val="40ECD172"/>
    <w:rsid w:val="41BA613F"/>
    <w:rsid w:val="44AB2A6A"/>
    <w:rsid w:val="4608D375"/>
    <w:rsid w:val="48C02AE1"/>
    <w:rsid w:val="4A2CD214"/>
    <w:rsid w:val="4A6DFFE4"/>
    <w:rsid w:val="4CA46D82"/>
    <w:rsid w:val="5274A8D7"/>
    <w:rsid w:val="5914A98A"/>
    <w:rsid w:val="5AA1B207"/>
    <w:rsid w:val="5E0579E0"/>
    <w:rsid w:val="6090F2FD"/>
    <w:rsid w:val="65AE97A4"/>
    <w:rsid w:val="65FBFDD5"/>
    <w:rsid w:val="66B5790D"/>
    <w:rsid w:val="66B60983"/>
    <w:rsid w:val="697ED603"/>
    <w:rsid w:val="69D04C2E"/>
    <w:rsid w:val="70473596"/>
    <w:rsid w:val="71613180"/>
    <w:rsid w:val="72F1A234"/>
    <w:rsid w:val="7B5945DE"/>
    <w:rsid w:val="7CDF82E0"/>
    <w:rsid w:val="7E8438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C3DF9CB5-951B-4656-AD28-1FD54DBE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semiHidden/>
    <w:unhideWhenUsed/>
    <w:rsid w:val="65FBFDD5"/>
    <w:pPr>
      <w:spacing w:after="0"/>
    </w:pPr>
    <w:rPr>
      <w:sz w:val="20"/>
      <w:szCs w:val="20"/>
    </w:rPr>
  </w:style>
  <w:style w:type="character" w:styleId="FootnoteReference">
    <w:name w:val="footnote reference"/>
    <w:uiPriority w:val="99"/>
    <w:semiHidden/>
    <w:unhideWhenUsed/>
    <w:rsid w:val="65FBFDD5"/>
    <w:rPr>
      <w:vertAlign w:val="superscript"/>
    </w:rPr>
  </w:style>
  <w:style w:type="character" w:styleId="Hyperlink">
    <w:name w:val="Hyperlink"/>
    <w:uiPriority w:val="99"/>
    <w:unhideWhenUsed/>
    <w:rsid w:val="65FBFDD5"/>
    <w:rPr>
      <w:color w:val="0563C1"/>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val="en-GB" w:eastAsia="en-US"/>
    </w:rPr>
  </w:style>
  <w:style w:type="character" w:styleId="CommentReference">
    <w:name w:val="annotation reference"/>
    <w:uiPriority w:val="99"/>
    <w:semiHidden/>
    <w:unhideWhenUsed/>
    <w:rPr>
      <w:sz w:val="16"/>
      <w:szCs w:val="16"/>
    </w:rPr>
  </w:style>
  <w:style w:type="paragraph" w:styleId="Revision">
    <w:name w:val="Revision"/>
    <w:hidden/>
    <w:uiPriority w:val="99"/>
    <w:semiHidden/>
    <w:rsid w:val="00CC0179"/>
    <w:rPr>
      <w:sz w:val="22"/>
      <w:szCs w:val="22"/>
      <w:lang w:val="en-GB" w:eastAsia="en-US"/>
    </w:rPr>
  </w:style>
  <w:style w:type="paragraph" w:styleId="Header">
    <w:name w:val="header"/>
    <w:basedOn w:val="Normal"/>
    <w:link w:val="HeaderChar"/>
    <w:uiPriority w:val="99"/>
    <w:unhideWhenUsed/>
    <w:rsid w:val="00E05790"/>
    <w:pPr>
      <w:tabs>
        <w:tab w:val="center" w:pos="4680"/>
        <w:tab w:val="right" w:pos="9360"/>
      </w:tabs>
    </w:pPr>
  </w:style>
  <w:style w:type="character" w:customStyle="1" w:styleId="HeaderChar">
    <w:name w:val="Header Char"/>
    <w:link w:val="Header"/>
    <w:uiPriority w:val="99"/>
    <w:rsid w:val="00976866"/>
    <w:rPr>
      <w:sz w:val="22"/>
      <w:szCs w:val="22"/>
      <w:lang w:val="en-GB" w:eastAsia="en-US"/>
    </w:rPr>
  </w:style>
  <w:style w:type="paragraph" w:styleId="Footer">
    <w:name w:val="footer"/>
    <w:basedOn w:val="Normal"/>
    <w:link w:val="FooterChar"/>
    <w:uiPriority w:val="99"/>
    <w:unhideWhenUsed/>
    <w:rsid w:val="00E05790"/>
    <w:pPr>
      <w:tabs>
        <w:tab w:val="center" w:pos="4680"/>
        <w:tab w:val="right" w:pos="9360"/>
      </w:tabs>
    </w:pPr>
  </w:style>
  <w:style w:type="character" w:customStyle="1" w:styleId="FooterChar">
    <w:name w:val="Footer Char"/>
    <w:link w:val="Footer"/>
    <w:uiPriority w:val="99"/>
    <w:rsid w:val="00976866"/>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665416">
      <w:bodyDiv w:val="1"/>
      <w:marLeft w:val="0"/>
      <w:marRight w:val="0"/>
      <w:marTop w:val="0"/>
      <w:marBottom w:val="0"/>
      <w:divBdr>
        <w:top w:val="none" w:sz="0" w:space="0" w:color="auto"/>
        <w:left w:val="none" w:sz="0" w:space="0" w:color="auto"/>
        <w:bottom w:val="none" w:sz="0" w:space="0" w:color="auto"/>
        <w:right w:val="none" w:sz="0" w:space="0" w:color="auto"/>
      </w:divBdr>
    </w:div>
    <w:div w:id="853231676">
      <w:bodyDiv w:val="1"/>
      <w:marLeft w:val="0"/>
      <w:marRight w:val="0"/>
      <w:marTop w:val="0"/>
      <w:marBottom w:val="0"/>
      <w:divBdr>
        <w:top w:val="none" w:sz="0" w:space="0" w:color="auto"/>
        <w:left w:val="none" w:sz="0" w:space="0" w:color="auto"/>
        <w:bottom w:val="none" w:sz="0" w:space="0" w:color="auto"/>
        <w:right w:val="none" w:sz="0" w:space="0" w:color="auto"/>
      </w:divBdr>
    </w:div>
    <w:div w:id="1653367952">
      <w:bodyDiv w:val="1"/>
      <w:marLeft w:val="0"/>
      <w:marRight w:val="0"/>
      <w:marTop w:val="0"/>
      <w:marBottom w:val="0"/>
      <w:divBdr>
        <w:top w:val="none" w:sz="0" w:space="0" w:color="auto"/>
        <w:left w:val="none" w:sz="0" w:space="0" w:color="auto"/>
        <w:bottom w:val="none" w:sz="0" w:space="0" w:color="auto"/>
        <w:right w:val="none" w:sz="0" w:space="0" w:color="auto"/>
      </w:divBdr>
    </w:div>
    <w:div w:id="198635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dir/2022/2557/oj/eng" TargetMode="External"/><Relationship Id="rId2" Type="http://schemas.openxmlformats.org/officeDocument/2006/relationships/hyperlink" Target="https://eur-lex.europa.eu/legal-content/EN/TXT/?uri=celex:52026PC0011" TargetMode="External"/><Relationship Id="rId1" Type="http://schemas.openxmlformats.org/officeDocument/2006/relationships/hyperlink" Target="https://eur-lex.europa.eu/eli/dir/2022/25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788</Words>
  <Characters>5011</Characters>
  <Application>Microsoft Office Word</Application>
  <DocSecurity>0</DocSecurity>
  <Lines>71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Links>
    <vt:vector size="18" baseType="variant">
      <vt:variant>
        <vt:i4>7602278</vt:i4>
      </vt:variant>
      <vt:variant>
        <vt:i4>6</vt:i4>
      </vt:variant>
      <vt:variant>
        <vt:i4>0</vt:i4>
      </vt:variant>
      <vt:variant>
        <vt:i4>5</vt:i4>
      </vt:variant>
      <vt:variant>
        <vt:lpwstr>https://eur-lex.europa.eu/eli/dir/2022/2557/oj/eng</vt:lpwstr>
      </vt:variant>
      <vt:variant>
        <vt:lpwstr/>
      </vt:variant>
      <vt:variant>
        <vt:i4>1376274</vt:i4>
      </vt:variant>
      <vt:variant>
        <vt:i4>3</vt:i4>
      </vt:variant>
      <vt:variant>
        <vt:i4>0</vt:i4>
      </vt:variant>
      <vt:variant>
        <vt:i4>5</vt:i4>
      </vt:variant>
      <vt:variant>
        <vt:lpwstr>https://eur-lex.europa.eu/legal-content/EN/TXT/?uri=celex:52026PC0011</vt:lpwstr>
      </vt:variant>
      <vt:variant>
        <vt:lpwstr/>
      </vt:variant>
      <vt:variant>
        <vt:i4>3342463</vt:i4>
      </vt:variant>
      <vt:variant>
        <vt:i4>0</vt:i4>
      </vt:variant>
      <vt:variant>
        <vt:i4>0</vt:i4>
      </vt:variant>
      <vt:variant>
        <vt:i4>5</vt:i4>
      </vt:variant>
      <vt:variant>
        <vt:lpwstr>https://eur-lex.europa.eu/eli/dir/2022/2555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ROSSI Simona (SG)</dc:creator>
  <cp:keywords/>
  <cp:lastModifiedBy>STEPIEN Beata (SG)</cp:lastModifiedBy>
  <cp:revision>3</cp:revision>
  <dcterms:created xsi:type="dcterms:W3CDTF">2026-09-07T13:34:00Z</dcterms:created>
  <dcterms:modified xsi:type="dcterms:W3CDTF">2026-09-07T13:40:00Z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2026-07-23T09:04:01Z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1f4e6426-aaf6-4a6d-a866-ff5d034b7099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