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33"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9733"/>
      </w:tblGrid>
      <w:tr w:rsidR="00A878D3" w:rsidRPr="00442552" w14:paraId="1F5798D6" w14:textId="77777777" w:rsidTr="00750944">
        <w:trPr>
          <w:trHeight w:val="1670"/>
          <w:jc w:val="center"/>
        </w:trPr>
        <w:tc>
          <w:tcPr>
            <w:tcW w:w="9733" w:type="dxa"/>
          </w:tcPr>
          <w:p w14:paraId="050B58BA" w14:textId="3B58F5BD" w:rsidR="00A878D3" w:rsidRPr="007B4F38" w:rsidRDefault="00A878D3" w:rsidP="003B531C">
            <w:pPr>
              <w:widowControl w:val="0"/>
              <w:spacing w:before="120" w:after="120"/>
              <w:rPr>
                <w:rFonts w:ascii="Times New Roman" w:hAnsi="Times New Roman"/>
                <w:b/>
                <w:sz w:val="24"/>
                <w:szCs w:val="24"/>
              </w:rPr>
            </w:pPr>
            <w:r w:rsidRPr="76B4EC5F">
              <w:rPr>
                <w:rFonts w:ascii="Times New Roman" w:hAnsi="Times New Roman"/>
                <w:b/>
                <w:bCs/>
                <w:sz w:val="24"/>
                <w:szCs w:val="24"/>
              </w:rPr>
              <w:t xml:space="preserve">Strategic Foresight Report 2025 – Resilience 2.0: Empowering the EU to thrive amid turbulence and uncertainty </w:t>
            </w:r>
            <w:r>
              <w:rPr>
                <w:rFonts w:ascii="Times New Roman" w:hAnsi="Times New Roman"/>
                <w:b/>
                <w:bCs/>
                <w:sz w:val="24"/>
                <w:szCs w:val="24"/>
              </w:rPr>
              <w:br/>
            </w:r>
            <w:r w:rsidRPr="003B531C">
              <w:rPr>
                <w:rFonts w:ascii="Times New Roman" w:hAnsi="Times New Roman"/>
                <w:b/>
                <w:bCs/>
                <w:sz w:val="24"/>
                <w:szCs w:val="24"/>
              </w:rPr>
              <w:t>(optional opinion)</w:t>
            </w:r>
            <w:r>
              <w:br/>
            </w:r>
            <w:proofErr w:type="gramStart"/>
            <w:r w:rsidRPr="76B4EC5F">
              <w:rPr>
                <w:rFonts w:ascii="Times New Roman" w:hAnsi="Times New Roman"/>
                <w:b/>
                <w:bCs/>
                <w:sz w:val="24"/>
                <w:szCs w:val="24"/>
                <w:lang w:val="en-IE"/>
              </w:rPr>
              <w:t>COM(</w:t>
            </w:r>
            <w:proofErr w:type="gramEnd"/>
            <w:r w:rsidRPr="76B4EC5F">
              <w:rPr>
                <w:rFonts w:ascii="Times New Roman" w:hAnsi="Times New Roman"/>
                <w:b/>
                <w:bCs/>
                <w:sz w:val="24"/>
                <w:szCs w:val="24"/>
                <w:lang w:val="en-IE"/>
              </w:rPr>
              <w:t>2025) 484 final</w:t>
            </w:r>
            <w:r>
              <w:br/>
            </w:r>
            <w:r w:rsidRPr="76B4EC5F">
              <w:rPr>
                <w:rFonts w:ascii="Times New Roman" w:hAnsi="Times New Roman"/>
                <w:b/>
                <w:bCs/>
                <w:sz w:val="24"/>
                <w:szCs w:val="24"/>
                <w:lang w:val="en-IE"/>
              </w:rPr>
              <w:t>EESC-</w:t>
            </w:r>
            <w:r w:rsidRPr="76B4EC5F">
              <w:rPr>
                <w:rFonts w:ascii="Arial" w:hAnsi="Arial" w:cs="Arial"/>
                <w:color w:val="333333"/>
                <w:sz w:val="21"/>
                <w:szCs w:val="21"/>
              </w:rPr>
              <w:t xml:space="preserve"> </w:t>
            </w:r>
            <w:r w:rsidRPr="76B4EC5F">
              <w:rPr>
                <w:rFonts w:ascii="Times New Roman" w:hAnsi="Times New Roman"/>
                <w:b/>
                <w:bCs/>
                <w:sz w:val="24"/>
                <w:szCs w:val="24"/>
              </w:rPr>
              <w:t>2025-03385 ‒ INT/1099</w:t>
            </w:r>
            <w:r>
              <w:br/>
            </w:r>
            <w:r w:rsidRPr="76B4EC5F">
              <w:rPr>
                <w:rFonts w:ascii="Times New Roman" w:hAnsi="Times New Roman"/>
                <w:b/>
                <w:bCs/>
                <w:sz w:val="24"/>
                <w:szCs w:val="24"/>
              </w:rPr>
              <w:t>604</w:t>
            </w:r>
            <w:r w:rsidRPr="76B4EC5F">
              <w:rPr>
                <w:rFonts w:ascii="Times New Roman" w:hAnsi="Times New Roman"/>
                <w:b/>
                <w:bCs/>
                <w:sz w:val="24"/>
                <w:szCs w:val="24"/>
                <w:vertAlign w:val="superscript"/>
              </w:rPr>
              <w:t>th</w:t>
            </w:r>
            <w:r w:rsidRPr="76B4EC5F">
              <w:rPr>
                <w:b/>
                <w:bCs/>
                <w:lang w:val="en-IE"/>
              </w:rPr>
              <w:t xml:space="preserve"> </w:t>
            </w:r>
            <w:r w:rsidRPr="76B4EC5F">
              <w:rPr>
                <w:rFonts w:ascii="Times New Roman" w:hAnsi="Times New Roman"/>
                <w:b/>
                <w:bCs/>
                <w:sz w:val="24"/>
                <w:szCs w:val="24"/>
              </w:rPr>
              <w:t>Plenary Session – March 2026</w:t>
            </w:r>
            <w:r>
              <w:br/>
            </w:r>
            <w:r w:rsidRPr="76B4EC5F">
              <w:rPr>
                <w:rFonts w:ascii="Times New Roman" w:hAnsi="Times New Roman"/>
                <w:b/>
                <w:bCs/>
                <w:sz w:val="24"/>
                <w:szCs w:val="24"/>
              </w:rPr>
              <w:t>Rapporteur: Philip VON BROCKDORFF (MT - II)</w:t>
            </w:r>
            <w:r>
              <w:br/>
            </w:r>
            <w:r w:rsidRPr="76B4EC5F">
              <w:rPr>
                <w:rFonts w:ascii="Times New Roman" w:hAnsi="Times New Roman"/>
                <w:b/>
                <w:bCs/>
                <w:sz w:val="24"/>
                <w:szCs w:val="24"/>
              </w:rPr>
              <w:t xml:space="preserve">SG – Commissioner </w:t>
            </w:r>
            <w:r>
              <w:rPr>
                <w:rFonts w:ascii="Times New Roman" w:hAnsi="Times New Roman"/>
                <w:b/>
                <w:bCs/>
                <w:sz w:val="24"/>
                <w:szCs w:val="24"/>
              </w:rPr>
              <w:t>MICALLEF</w:t>
            </w:r>
          </w:p>
        </w:tc>
      </w:tr>
      <w:tr w:rsidR="00A878D3" w:rsidRPr="00442552" w14:paraId="4FC8B12D" w14:textId="77777777" w:rsidTr="00750944">
        <w:trPr>
          <w:trHeight w:val="534"/>
          <w:jc w:val="center"/>
        </w:trPr>
        <w:tc>
          <w:tcPr>
            <w:tcW w:w="9733" w:type="dxa"/>
          </w:tcPr>
          <w:p w14:paraId="7E8F053B" w14:textId="77777777" w:rsidR="00A878D3" w:rsidRDefault="00A878D3" w:rsidP="003B531C">
            <w:pPr>
              <w:widowControl w:val="0"/>
              <w:spacing w:before="120" w:after="120"/>
              <w:jc w:val="center"/>
              <w:rPr>
                <w:rFonts w:ascii="Times New Roman" w:hAnsi="Times New Roman"/>
                <w:sz w:val="24"/>
                <w:szCs w:val="24"/>
              </w:rPr>
            </w:pPr>
            <w:r>
              <w:rPr>
                <w:rFonts w:ascii="Times New Roman" w:hAnsi="Times New Roman"/>
                <w:b/>
                <w:sz w:val="24"/>
                <w:szCs w:val="24"/>
              </w:rPr>
              <w:t xml:space="preserve">European </w:t>
            </w:r>
            <w:r w:rsidRPr="00442552">
              <w:rPr>
                <w:rFonts w:ascii="Times New Roman" w:hAnsi="Times New Roman"/>
                <w:b/>
                <w:sz w:val="24"/>
                <w:szCs w:val="24"/>
              </w:rPr>
              <w:t>Commission position</w:t>
            </w:r>
            <w:r>
              <w:rPr>
                <w:rFonts w:ascii="Times New Roman" w:hAnsi="Times New Roman"/>
                <w:b/>
                <w:sz w:val="24"/>
                <w:szCs w:val="24"/>
              </w:rPr>
              <w:t xml:space="preserve"> on points </w:t>
            </w:r>
            <w:r w:rsidRPr="00573835">
              <w:rPr>
                <w:rFonts w:ascii="Times New Roman" w:hAnsi="Times New Roman"/>
                <w:b/>
                <w:sz w:val="24"/>
                <w:szCs w:val="24"/>
              </w:rPr>
              <w:t xml:space="preserve">of the </w:t>
            </w:r>
            <w:r w:rsidRPr="00AE3C7C">
              <w:rPr>
                <w:rFonts w:ascii="Times New Roman" w:hAnsi="Times New Roman"/>
                <w:b/>
                <w:sz w:val="24"/>
                <w:szCs w:val="24"/>
              </w:rPr>
              <w:t xml:space="preserve">European </w:t>
            </w:r>
            <w:r>
              <w:rPr>
                <w:rFonts w:ascii="Times New Roman" w:hAnsi="Times New Roman"/>
                <w:b/>
                <w:sz w:val="24"/>
                <w:szCs w:val="24"/>
              </w:rPr>
              <w:t>Economic and Social Committee</w:t>
            </w:r>
            <w:r w:rsidRPr="00573835">
              <w:rPr>
                <w:rFonts w:ascii="Times New Roman" w:hAnsi="Times New Roman"/>
                <w:b/>
                <w:sz w:val="24"/>
                <w:szCs w:val="24"/>
              </w:rPr>
              <w:t xml:space="preserve"> </w:t>
            </w:r>
            <w:r>
              <w:rPr>
                <w:rFonts w:ascii="Times New Roman" w:hAnsi="Times New Roman"/>
                <w:b/>
                <w:sz w:val="24"/>
                <w:szCs w:val="24"/>
              </w:rPr>
              <w:t xml:space="preserve">(EESC) </w:t>
            </w:r>
            <w:r w:rsidRPr="00573835">
              <w:rPr>
                <w:rFonts w:ascii="Times New Roman" w:hAnsi="Times New Roman"/>
                <w:b/>
                <w:sz w:val="24"/>
                <w:szCs w:val="24"/>
              </w:rPr>
              <w:t>opinion</w:t>
            </w:r>
            <w:r>
              <w:rPr>
                <w:rFonts w:ascii="Times New Roman" w:hAnsi="Times New Roman"/>
                <w:b/>
                <w:sz w:val="24"/>
                <w:szCs w:val="24"/>
              </w:rPr>
              <w:t xml:space="preserve"> considered as essential</w:t>
            </w:r>
          </w:p>
        </w:tc>
      </w:tr>
      <w:tr w:rsidR="00042A0E" w:rsidRPr="00442552" w14:paraId="3172FFCA" w14:textId="77777777" w:rsidTr="00750944">
        <w:trPr>
          <w:trHeight w:val="5363"/>
          <w:jc w:val="center"/>
        </w:trPr>
        <w:tc>
          <w:tcPr>
            <w:tcW w:w="9733" w:type="dxa"/>
          </w:tcPr>
          <w:p w14:paraId="6141F837" w14:textId="4BB6727E" w:rsidR="00042A0E" w:rsidRPr="00E05EE9" w:rsidRDefault="00042A0E" w:rsidP="00E05EE9">
            <w:pPr>
              <w:widowControl w:val="0"/>
              <w:spacing w:before="120" w:after="120" w:line="276" w:lineRule="auto"/>
              <w:jc w:val="both"/>
              <w:rPr>
                <w:rFonts w:ascii="Times New Roman" w:hAnsi="Times New Roman" w:cs="Times New Roman"/>
                <w:sz w:val="24"/>
                <w:szCs w:val="24"/>
              </w:rPr>
            </w:pPr>
            <w:r w:rsidRPr="00A877C0">
              <w:rPr>
                <w:rFonts w:ascii="Times New Roman" w:hAnsi="Times New Roman"/>
                <w:sz w:val="24"/>
                <w:szCs w:val="24"/>
              </w:rPr>
              <w:t>The Commission welcomes the</w:t>
            </w:r>
            <w:r>
              <w:rPr>
                <w:rFonts w:ascii="Times New Roman" w:hAnsi="Times New Roman"/>
                <w:sz w:val="24"/>
                <w:szCs w:val="24"/>
              </w:rPr>
              <w:t xml:space="preserve"> Committee’s</w:t>
            </w:r>
            <w:r w:rsidRPr="00A877C0">
              <w:rPr>
                <w:rFonts w:ascii="Times New Roman" w:hAnsi="Times New Roman"/>
                <w:sz w:val="24"/>
                <w:szCs w:val="24"/>
              </w:rPr>
              <w:t xml:space="preserve"> </w:t>
            </w:r>
            <w:r w:rsidRPr="00D63B75">
              <w:rPr>
                <w:rFonts w:ascii="Times New Roman" w:hAnsi="Times New Roman"/>
                <w:sz w:val="24"/>
                <w:szCs w:val="24"/>
              </w:rPr>
              <w:t xml:space="preserve">support </w:t>
            </w:r>
            <w:r>
              <w:rPr>
                <w:rFonts w:ascii="Times New Roman" w:hAnsi="Times New Roman"/>
                <w:sz w:val="24"/>
                <w:szCs w:val="24"/>
              </w:rPr>
              <w:t>for the Strategic Foresight Report 2025.</w:t>
            </w:r>
            <w:r w:rsidRPr="00D63B75">
              <w:rPr>
                <w:rFonts w:ascii="Times New Roman" w:hAnsi="Times New Roman"/>
                <w:sz w:val="24"/>
                <w:szCs w:val="24"/>
              </w:rPr>
              <w:t xml:space="preserve"> </w:t>
            </w:r>
            <w:r w:rsidRPr="00360776">
              <w:rPr>
                <w:rFonts w:ascii="Times New Roman" w:hAnsi="Times New Roman" w:cs="Times New Roman"/>
                <w:sz w:val="24"/>
                <w:szCs w:val="24"/>
                <w:lang w:val="en-IE"/>
              </w:rPr>
              <w:t>For future opinions on the Strategic Foresight Reports, the Commission invites the Committee to include also elements related to the upcoming Commission Strategic Foresight report which are discussed within the Committee. That would allow to further reinforce the Committee’s input.</w:t>
            </w:r>
          </w:p>
          <w:p w14:paraId="71259BB0" w14:textId="72D4C186" w:rsidR="00042A0E" w:rsidRPr="00A861C4" w:rsidRDefault="00042A0E" w:rsidP="003B531C">
            <w:pPr>
              <w:widowControl w:val="0"/>
              <w:spacing w:before="120" w:after="120"/>
              <w:jc w:val="both"/>
              <w:rPr>
                <w:rFonts w:ascii="Times New Roman" w:hAnsi="Times New Roman"/>
                <w:sz w:val="24"/>
                <w:szCs w:val="24"/>
              </w:rPr>
            </w:pPr>
            <w:r>
              <w:rPr>
                <w:rFonts w:ascii="Times New Roman" w:hAnsi="Times New Roman"/>
                <w:sz w:val="24"/>
                <w:szCs w:val="24"/>
              </w:rPr>
              <w:t xml:space="preserve">The Commission would like to respond in more depth to the following points of the </w:t>
            </w:r>
            <w:r w:rsidR="00DA5632">
              <w:rPr>
                <w:rFonts w:ascii="Times New Roman" w:hAnsi="Times New Roman"/>
                <w:sz w:val="24"/>
                <w:szCs w:val="24"/>
              </w:rPr>
              <w:br/>
            </w:r>
            <w:r>
              <w:rPr>
                <w:rFonts w:ascii="Times New Roman" w:hAnsi="Times New Roman"/>
                <w:sz w:val="24"/>
                <w:szCs w:val="24"/>
              </w:rPr>
              <w:t xml:space="preserve">Committee’s opinion. </w:t>
            </w:r>
          </w:p>
          <w:p w14:paraId="4AD29A02" w14:textId="77777777" w:rsidR="00042A0E" w:rsidRDefault="00042A0E" w:rsidP="003B531C">
            <w:pPr>
              <w:pStyle w:val="ListParagraph"/>
              <w:widowControl w:val="0"/>
              <w:spacing w:before="120" w:after="120" w:line="276" w:lineRule="auto"/>
              <w:ind w:left="0"/>
              <w:jc w:val="both"/>
              <w:rPr>
                <w:rFonts w:ascii="Times New Roman" w:eastAsia="Times New Roman" w:hAnsi="Times New Roman"/>
                <w:b/>
                <w:bCs/>
                <w:sz w:val="24"/>
                <w:szCs w:val="24"/>
                <w:lang w:val="en-IE"/>
              </w:rPr>
            </w:pPr>
            <w:r>
              <w:rPr>
                <w:rFonts w:ascii="Times New Roman" w:eastAsia="Times New Roman" w:hAnsi="Times New Roman"/>
                <w:b/>
                <w:bCs/>
                <w:sz w:val="24"/>
                <w:szCs w:val="24"/>
                <w:lang w:val="en-IE"/>
              </w:rPr>
              <w:t>Recommendations 1.1. and 1.3.</w:t>
            </w:r>
          </w:p>
          <w:p w14:paraId="2C88BC67" w14:textId="77777777" w:rsidR="00042A0E" w:rsidRPr="00A861C4" w:rsidRDefault="00042A0E" w:rsidP="003B531C">
            <w:pPr>
              <w:widowControl w:val="0"/>
              <w:spacing w:before="120" w:after="120" w:line="276" w:lineRule="auto"/>
              <w:jc w:val="both"/>
              <w:rPr>
                <w:rFonts w:ascii="Times New Roman" w:hAnsi="Times New Roman"/>
                <w:sz w:val="24"/>
                <w:szCs w:val="24"/>
              </w:rPr>
            </w:pPr>
            <w:r w:rsidRPr="00A878D3">
              <w:rPr>
                <w:rFonts w:ascii="Times New Roman" w:eastAsia="Times New Roman" w:hAnsi="Times New Roman"/>
                <w:sz w:val="24"/>
                <w:szCs w:val="24"/>
                <w:lang w:val="en-IE"/>
              </w:rPr>
              <w:t>The 2025 Commission Strategic Foresight Report was the first under the new Commission mandate 2024-2029. It served not only to provide a comprehensive and new approach to resilience that is transformative, proactive and forward-looking. It also set up a framework for the new generation of reports, which as of 2026 will be informed by robust foresight process, including exploring alternative possible future scenarios.</w:t>
            </w:r>
          </w:p>
          <w:p w14:paraId="14B08740" w14:textId="77777777" w:rsidR="00042A0E" w:rsidRPr="0003219C" w:rsidRDefault="00042A0E" w:rsidP="003B531C">
            <w:pPr>
              <w:pStyle w:val="ListParagraph"/>
              <w:widowControl w:val="0"/>
              <w:spacing w:before="120" w:after="120" w:line="276" w:lineRule="auto"/>
              <w:ind w:left="0"/>
              <w:jc w:val="both"/>
              <w:rPr>
                <w:rFonts w:ascii="Times New Roman" w:eastAsia="Times New Roman" w:hAnsi="Times New Roman"/>
                <w:b/>
                <w:bCs/>
                <w:sz w:val="24"/>
                <w:szCs w:val="24"/>
                <w:lang w:val="en-IE"/>
              </w:rPr>
            </w:pPr>
            <w:r w:rsidRPr="0003219C">
              <w:rPr>
                <w:rFonts w:ascii="Times New Roman" w:eastAsia="Times New Roman" w:hAnsi="Times New Roman"/>
                <w:b/>
                <w:bCs/>
                <w:sz w:val="24"/>
                <w:szCs w:val="24"/>
                <w:lang w:val="en-IE"/>
              </w:rPr>
              <w:t>Recommendation 1.</w:t>
            </w:r>
            <w:r>
              <w:rPr>
                <w:rFonts w:ascii="Times New Roman" w:eastAsia="Times New Roman" w:hAnsi="Times New Roman"/>
                <w:b/>
                <w:bCs/>
                <w:sz w:val="24"/>
                <w:szCs w:val="24"/>
                <w:lang w:val="en-IE"/>
              </w:rPr>
              <w:t>2.</w:t>
            </w:r>
          </w:p>
          <w:p w14:paraId="3ADC5343" w14:textId="53414ED5" w:rsidR="00042A0E" w:rsidRPr="00A861C4" w:rsidRDefault="00042A0E" w:rsidP="003B531C">
            <w:pPr>
              <w:widowControl w:val="0"/>
              <w:spacing w:before="120" w:after="120" w:line="276" w:lineRule="auto"/>
              <w:jc w:val="both"/>
              <w:rPr>
                <w:rFonts w:ascii="Times New Roman" w:hAnsi="Times New Roman"/>
                <w:sz w:val="24"/>
                <w:szCs w:val="24"/>
              </w:rPr>
            </w:pPr>
            <w:r w:rsidRPr="00360776">
              <w:rPr>
                <w:rFonts w:ascii="Times New Roman" w:hAnsi="Times New Roman" w:cs="Times New Roman"/>
                <w:sz w:val="24"/>
                <w:szCs w:val="24"/>
              </w:rPr>
              <w:t xml:space="preserve">The Commission welcomes ongoing efforts of the Committee to support the </w:t>
            </w:r>
            <w:proofErr w:type="gramStart"/>
            <w:r w:rsidRPr="00360776">
              <w:rPr>
                <w:rFonts w:ascii="Times New Roman" w:hAnsi="Times New Roman" w:cs="Times New Roman"/>
                <w:sz w:val="24"/>
                <w:szCs w:val="24"/>
              </w:rPr>
              <w:t>process</w:t>
            </w:r>
            <w:proofErr w:type="gramEnd"/>
            <w:r w:rsidRPr="00360776">
              <w:rPr>
                <w:rFonts w:ascii="Times New Roman" w:hAnsi="Times New Roman" w:cs="Times New Roman"/>
                <w:sz w:val="24"/>
                <w:szCs w:val="24"/>
              </w:rPr>
              <w:t xml:space="preserve"> informing the annual Strategic Foresight Reports. </w:t>
            </w:r>
            <w:r>
              <w:rPr>
                <w:rFonts w:ascii="Times New Roman" w:hAnsi="Times New Roman" w:cs="Times New Roman"/>
                <w:sz w:val="24"/>
                <w:szCs w:val="24"/>
              </w:rPr>
              <w:t>These efforts</w:t>
            </w:r>
            <w:r w:rsidRPr="00360776">
              <w:rPr>
                <w:rFonts w:ascii="Times New Roman" w:hAnsi="Times New Roman" w:cs="Times New Roman"/>
                <w:sz w:val="24"/>
                <w:szCs w:val="24"/>
              </w:rPr>
              <w:t xml:space="preserve"> allow for timely and concrete inputs presenting views of the </w:t>
            </w:r>
            <w:proofErr w:type="spellStart"/>
            <w:r w:rsidRPr="00360776">
              <w:rPr>
                <w:rFonts w:ascii="Times New Roman" w:hAnsi="Times New Roman" w:cs="Times New Roman"/>
                <w:sz w:val="24"/>
                <w:szCs w:val="24"/>
              </w:rPr>
              <w:t>organised</w:t>
            </w:r>
            <w:proofErr w:type="spellEnd"/>
            <w:r w:rsidRPr="00360776">
              <w:rPr>
                <w:rFonts w:ascii="Times New Roman" w:hAnsi="Times New Roman" w:cs="Times New Roman"/>
                <w:sz w:val="24"/>
                <w:szCs w:val="24"/>
              </w:rPr>
              <w:t xml:space="preserve"> civil society in Europe, including employers, workers and civil society </w:t>
            </w:r>
            <w:proofErr w:type="spellStart"/>
            <w:r w:rsidRPr="00360776">
              <w:rPr>
                <w:rFonts w:ascii="Times New Roman" w:hAnsi="Times New Roman" w:cs="Times New Roman"/>
                <w:sz w:val="24"/>
                <w:szCs w:val="24"/>
              </w:rPr>
              <w:t>organisations</w:t>
            </w:r>
            <w:proofErr w:type="spellEnd"/>
            <w:r w:rsidRPr="00360776">
              <w:rPr>
                <w:rFonts w:ascii="Times New Roman" w:hAnsi="Times New Roman" w:cs="Times New Roman"/>
                <w:sz w:val="24"/>
                <w:szCs w:val="24"/>
              </w:rPr>
              <w:t xml:space="preserve">. That adds to the broad and inclusive participative process within the Commission. In addition, the process informing the annual Strategic Foresight Reports already includes a call for evidence and consultations with EU institutional partners through the European Strategy and Policy Analysis System (ESPAS), the foresight network of the </w:t>
            </w:r>
            <w:proofErr w:type="spellStart"/>
            <w:r w:rsidRPr="00360776">
              <w:rPr>
                <w:rFonts w:ascii="Times New Roman" w:hAnsi="Times New Roman" w:cs="Times New Roman"/>
                <w:sz w:val="24"/>
                <w:szCs w:val="24"/>
              </w:rPr>
              <w:t>decentralised</w:t>
            </w:r>
            <w:proofErr w:type="spellEnd"/>
            <w:r w:rsidRPr="00360776">
              <w:rPr>
                <w:rFonts w:ascii="Times New Roman" w:hAnsi="Times New Roman" w:cs="Times New Roman"/>
                <w:sz w:val="24"/>
                <w:szCs w:val="24"/>
              </w:rPr>
              <w:t xml:space="preserve"> EU agencies, think tanks, and Member States through the EU-wide F</w:t>
            </w:r>
            <w:r w:rsidRPr="00360776">
              <w:rPr>
                <w:rFonts w:ascii="Times New Roman" w:eastAsia="Times New Roman" w:hAnsi="Times New Roman" w:cs="Times New Roman"/>
                <w:sz w:val="24"/>
                <w:szCs w:val="24"/>
              </w:rPr>
              <w:t xml:space="preserve">oresight Network. The Protocol on cooperation between the Commission and the </w:t>
            </w:r>
            <w:r>
              <w:rPr>
                <w:rFonts w:ascii="Times New Roman" w:eastAsia="Times New Roman" w:hAnsi="Times New Roman" w:cs="Times New Roman"/>
                <w:sz w:val="24"/>
                <w:szCs w:val="24"/>
              </w:rPr>
              <w:t>EESC</w:t>
            </w:r>
            <w:r w:rsidRPr="00360776">
              <w:rPr>
                <w:rStyle w:val="FootnoteReference"/>
                <w:rFonts w:ascii="Times New Roman" w:eastAsia="Times New Roman" w:hAnsi="Times New Roman" w:cs="Times New Roman"/>
                <w:color w:val="467886"/>
                <w:sz w:val="24"/>
                <w:szCs w:val="24"/>
                <w:u w:val="single"/>
              </w:rPr>
              <w:footnoteReference w:id="1"/>
            </w:r>
            <w:r w:rsidRPr="00360776">
              <w:rPr>
                <w:rFonts w:ascii="Times New Roman" w:eastAsia="Times New Roman" w:hAnsi="Times New Roman" w:cs="Times New Roman"/>
                <w:sz w:val="24"/>
                <w:szCs w:val="24"/>
              </w:rPr>
              <w:t> sets out the framework for the collaboration between the two institutions.</w:t>
            </w:r>
          </w:p>
        </w:tc>
      </w:tr>
      <w:tr w:rsidR="00042A0E" w:rsidRPr="00442552" w14:paraId="7B4B8A24" w14:textId="77777777" w:rsidTr="00750944">
        <w:trPr>
          <w:trHeight w:val="4966"/>
          <w:jc w:val="center"/>
        </w:trPr>
        <w:tc>
          <w:tcPr>
            <w:tcW w:w="9733" w:type="dxa"/>
          </w:tcPr>
          <w:p w14:paraId="16AC0AF5" w14:textId="323B215B" w:rsidR="00042A0E" w:rsidRDefault="00042A0E" w:rsidP="003B531C">
            <w:pPr>
              <w:pStyle w:val="ListParagraph"/>
              <w:widowControl w:val="0"/>
              <w:spacing w:before="120" w:after="120" w:line="276" w:lineRule="auto"/>
              <w:ind w:left="0"/>
              <w:jc w:val="both"/>
              <w:rPr>
                <w:rFonts w:ascii="Times New Roman" w:eastAsia="Times New Roman" w:hAnsi="Times New Roman"/>
                <w:b/>
                <w:bCs/>
                <w:sz w:val="24"/>
                <w:szCs w:val="24"/>
                <w:lang w:val="en-IE"/>
              </w:rPr>
            </w:pPr>
            <w:r w:rsidRPr="002027ED">
              <w:rPr>
                <w:rFonts w:ascii="Times New Roman" w:eastAsia="Times New Roman" w:hAnsi="Times New Roman"/>
                <w:b/>
                <w:bCs/>
                <w:sz w:val="24"/>
                <w:szCs w:val="24"/>
                <w:lang w:val="en-IE"/>
              </w:rPr>
              <w:lastRenderedPageBreak/>
              <w:t>Recommendation 1.4</w:t>
            </w:r>
            <w:r>
              <w:rPr>
                <w:rFonts w:ascii="Times New Roman" w:eastAsia="Times New Roman" w:hAnsi="Times New Roman"/>
                <w:b/>
                <w:bCs/>
                <w:sz w:val="24"/>
                <w:szCs w:val="24"/>
                <w:lang w:val="en-IE"/>
              </w:rPr>
              <w:t>.</w:t>
            </w:r>
          </w:p>
          <w:p w14:paraId="32DE5428" w14:textId="5AB9BD2E" w:rsidR="00042A0E" w:rsidRPr="00A861C4" w:rsidRDefault="00042A0E" w:rsidP="003B531C">
            <w:pPr>
              <w:widowControl w:val="0"/>
              <w:spacing w:before="120" w:after="120" w:line="276" w:lineRule="auto"/>
              <w:jc w:val="both"/>
              <w:rPr>
                <w:rFonts w:ascii="Times New Roman" w:eastAsia="Times New Roman" w:hAnsi="Times New Roman"/>
                <w:sz w:val="24"/>
                <w:szCs w:val="24"/>
                <w:lang w:val="en-IE"/>
              </w:rPr>
            </w:pPr>
            <w:r w:rsidRPr="00360776">
              <w:rPr>
                <w:rFonts w:ascii="Times New Roman" w:eastAsia="Times New Roman" w:hAnsi="Times New Roman" w:cs="Times New Roman"/>
                <w:sz w:val="24"/>
                <w:szCs w:val="24"/>
              </w:rPr>
              <w:t xml:space="preserve">The Commission agrees </w:t>
            </w:r>
            <w:r>
              <w:rPr>
                <w:rFonts w:ascii="Times New Roman" w:eastAsia="Times New Roman" w:hAnsi="Times New Roman" w:cs="Times New Roman"/>
                <w:sz w:val="24"/>
                <w:szCs w:val="24"/>
              </w:rPr>
              <w:t>with</w:t>
            </w:r>
            <w:r w:rsidRPr="00360776">
              <w:rPr>
                <w:rFonts w:ascii="Times New Roman" w:eastAsia="Times New Roman" w:hAnsi="Times New Roman" w:cs="Times New Roman"/>
                <w:sz w:val="24"/>
                <w:szCs w:val="24"/>
              </w:rPr>
              <w:t xml:space="preserve"> the importance of evidence-based policies, which should be underpinned by relevant indicators. In this spirit, </w:t>
            </w:r>
            <w:r>
              <w:rPr>
                <w:rFonts w:ascii="Times New Roman" w:eastAsia="Times New Roman" w:hAnsi="Times New Roman" w:cs="Times New Roman"/>
                <w:sz w:val="24"/>
                <w:szCs w:val="24"/>
              </w:rPr>
              <w:t>the Commission</w:t>
            </w:r>
            <w:r w:rsidRPr="00360776">
              <w:rPr>
                <w:rFonts w:ascii="Times New Roman" w:eastAsia="Times New Roman" w:hAnsi="Times New Roman" w:cs="Times New Roman"/>
                <w:sz w:val="24"/>
                <w:szCs w:val="24"/>
              </w:rPr>
              <w:t xml:space="preserve"> has worked on EU-wide comprehensive metric</w:t>
            </w:r>
            <w:r>
              <w:rPr>
                <w:rFonts w:ascii="Times New Roman" w:eastAsia="Times New Roman" w:hAnsi="Times New Roman" w:cs="Times New Roman"/>
                <w:sz w:val="24"/>
                <w:szCs w:val="24"/>
              </w:rPr>
              <w:t>s</w:t>
            </w:r>
            <w:r w:rsidRPr="00360776">
              <w:rPr>
                <w:rFonts w:ascii="Times New Roman" w:eastAsia="Times New Roman" w:hAnsi="Times New Roman" w:cs="Times New Roman"/>
                <w:sz w:val="24"/>
                <w:szCs w:val="24"/>
              </w:rPr>
              <w:t xml:space="preserve"> for sustainable and inclusive wellbeing that can be used to monitor progress in wellbeing in the EU over time</w:t>
            </w:r>
            <w:r>
              <w:rPr>
                <w:rFonts w:ascii="Times New Roman" w:eastAsia="Times New Roman" w:hAnsi="Times New Roman" w:cs="Times New Roman"/>
                <w:sz w:val="24"/>
                <w:szCs w:val="24"/>
              </w:rPr>
              <w:t xml:space="preserve"> </w:t>
            </w:r>
            <w:r w:rsidRPr="00360776">
              <w:rPr>
                <w:rFonts w:ascii="Times New Roman" w:eastAsia="Times New Roman" w:hAnsi="Times New Roman" w:cs="Times New Roman"/>
                <w:sz w:val="24"/>
                <w:szCs w:val="24"/>
              </w:rPr>
              <w:t xml:space="preserve">in a systematic and cross-cutting way. In addition, Commission services have explored </w:t>
            </w:r>
            <w:proofErr w:type="gramStart"/>
            <w:r w:rsidRPr="00360776">
              <w:rPr>
                <w:rFonts w:ascii="Times New Roman" w:eastAsia="Times New Roman" w:hAnsi="Times New Roman" w:cs="Times New Roman"/>
                <w:sz w:val="24"/>
                <w:szCs w:val="24"/>
              </w:rPr>
              <w:t>a number of</w:t>
            </w:r>
            <w:proofErr w:type="gramEnd"/>
            <w:r w:rsidRPr="00360776">
              <w:rPr>
                <w:rFonts w:ascii="Times New Roman" w:eastAsia="Times New Roman" w:hAnsi="Times New Roman" w:cs="Times New Roman"/>
                <w:sz w:val="24"/>
                <w:szCs w:val="24"/>
              </w:rPr>
              <w:t xml:space="preserve"> less comprehensive alternatives or complements to established GDP metrics to capture better the real benefits and costs of economic activity for and on society and the environment. The recent Strategy on Intergenerational Fairness</w:t>
            </w:r>
            <w:r w:rsidRPr="00360776">
              <w:rPr>
                <w:rStyle w:val="FootnoteReference"/>
                <w:rFonts w:ascii="Times New Roman" w:eastAsia="Times New Roman" w:hAnsi="Times New Roman" w:cs="Times New Roman"/>
                <w:sz w:val="24"/>
                <w:szCs w:val="24"/>
              </w:rPr>
              <w:footnoteReference w:id="2"/>
            </w:r>
            <w:r w:rsidRPr="00360776">
              <w:rPr>
                <w:rFonts w:ascii="Times New Roman" w:eastAsia="Times New Roman" w:hAnsi="Times New Roman" w:cs="Times New Roman"/>
                <w:sz w:val="24"/>
                <w:szCs w:val="24"/>
              </w:rPr>
              <w:t xml:space="preserve"> also proposes to compile</w:t>
            </w:r>
            <w:r w:rsidR="00227B63">
              <w:rPr>
                <w:rFonts w:ascii="Times New Roman" w:eastAsia="Times New Roman" w:hAnsi="Times New Roman" w:cs="Times New Roman"/>
                <w:sz w:val="24"/>
                <w:szCs w:val="24"/>
              </w:rPr>
              <w:br/>
            </w:r>
            <w:r w:rsidRPr="00360776">
              <w:rPr>
                <w:rFonts w:ascii="Times New Roman" w:eastAsia="Times New Roman" w:hAnsi="Times New Roman" w:cs="Times New Roman"/>
                <w:sz w:val="24"/>
                <w:szCs w:val="24"/>
              </w:rPr>
              <w:t>a dedicated Intergenerational Fairness Index, to capture inequalities in opportunities across current generations and over time.</w:t>
            </w:r>
          </w:p>
          <w:p w14:paraId="164F5C00" w14:textId="77777777" w:rsidR="00042A0E" w:rsidRPr="002027ED" w:rsidRDefault="00042A0E" w:rsidP="003B531C">
            <w:pPr>
              <w:pStyle w:val="ListParagraph"/>
              <w:widowControl w:val="0"/>
              <w:spacing w:before="120" w:after="120" w:line="276" w:lineRule="auto"/>
              <w:ind w:left="0"/>
              <w:contextualSpacing w:val="0"/>
              <w:jc w:val="both"/>
              <w:rPr>
                <w:rFonts w:ascii="Times New Roman" w:eastAsia="Times New Roman" w:hAnsi="Times New Roman"/>
                <w:b/>
                <w:bCs/>
                <w:sz w:val="24"/>
                <w:szCs w:val="24"/>
                <w:lang w:val="en-IE"/>
              </w:rPr>
            </w:pPr>
            <w:r w:rsidRPr="002027ED">
              <w:rPr>
                <w:rFonts w:ascii="Times New Roman" w:eastAsia="Times New Roman" w:hAnsi="Times New Roman"/>
                <w:b/>
                <w:bCs/>
                <w:sz w:val="24"/>
                <w:szCs w:val="24"/>
                <w:lang w:val="en-IE"/>
              </w:rPr>
              <w:t>Recommendation 1.5</w:t>
            </w:r>
            <w:r>
              <w:rPr>
                <w:rFonts w:ascii="Times New Roman" w:eastAsia="Times New Roman" w:hAnsi="Times New Roman"/>
                <w:b/>
                <w:bCs/>
                <w:sz w:val="24"/>
                <w:szCs w:val="24"/>
                <w:lang w:val="en-IE"/>
              </w:rPr>
              <w:t>. to 1.10.</w:t>
            </w:r>
          </w:p>
          <w:p w14:paraId="7D891AD4" w14:textId="77777777" w:rsidR="00042A0E" w:rsidRPr="00C738CF" w:rsidRDefault="00042A0E" w:rsidP="003B531C">
            <w:pPr>
              <w:widowControl w:val="0"/>
              <w:spacing w:before="120" w:after="120" w:line="276" w:lineRule="auto"/>
              <w:jc w:val="both"/>
              <w:rPr>
                <w:rFonts w:ascii="Times New Roman" w:eastAsia="Times New Roman" w:hAnsi="Times New Roman"/>
                <w:sz w:val="24"/>
                <w:szCs w:val="24"/>
                <w:lang w:val="en-IE"/>
              </w:rPr>
            </w:pPr>
            <w:r w:rsidRPr="00360776">
              <w:rPr>
                <w:rFonts w:ascii="Times New Roman" w:hAnsi="Times New Roman" w:cs="Times New Roman"/>
                <w:sz w:val="24"/>
                <w:szCs w:val="24"/>
              </w:rPr>
              <w:t>The Commission takes note of the areas mentioned</w:t>
            </w:r>
            <w:r>
              <w:rPr>
                <w:rFonts w:ascii="Times New Roman" w:hAnsi="Times New Roman" w:cs="Times New Roman"/>
                <w:sz w:val="24"/>
                <w:szCs w:val="24"/>
              </w:rPr>
              <w:t xml:space="preserve"> in the Committee’s opinion</w:t>
            </w:r>
            <w:r w:rsidRPr="00360776">
              <w:rPr>
                <w:rFonts w:ascii="Times New Roman" w:hAnsi="Times New Roman" w:cs="Times New Roman"/>
                <w:sz w:val="24"/>
                <w:szCs w:val="24"/>
              </w:rPr>
              <w:t xml:space="preserve">. </w:t>
            </w:r>
            <w:proofErr w:type="gramStart"/>
            <w:r w:rsidRPr="00360776">
              <w:rPr>
                <w:rFonts w:ascii="Times New Roman" w:hAnsi="Times New Roman" w:cs="Times New Roman"/>
                <w:sz w:val="24"/>
                <w:szCs w:val="24"/>
                <w:lang w:val="en-IE"/>
              </w:rPr>
              <w:t>In light of</w:t>
            </w:r>
            <w:proofErr w:type="gramEnd"/>
            <w:r w:rsidRPr="00360776">
              <w:rPr>
                <w:rFonts w:ascii="Times New Roman" w:hAnsi="Times New Roman" w:cs="Times New Roman"/>
                <w:sz w:val="24"/>
                <w:szCs w:val="24"/>
                <w:lang w:val="en-IE"/>
              </w:rPr>
              <w:t> global megatrends, the report analyses key EU-specific challenges that affect resilience. To address these challenges, the report also outlines a non-exhaustive set of key areas for action that can significantly enhance the EU’s long-term resilience. </w:t>
            </w:r>
          </w:p>
          <w:p w14:paraId="0FD72503" w14:textId="77777777" w:rsidR="00042A0E" w:rsidRDefault="00042A0E" w:rsidP="00A878D3">
            <w:pPr>
              <w:pStyle w:val="ListParagraph"/>
              <w:widowControl w:val="0"/>
              <w:spacing w:before="120" w:after="120" w:line="276" w:lineRule="auto"/>
              <w:ind w:left="0"/>
              <w:contextualSpacing w:val="0"/>
              <w:jc w:val="both"/>
              <w:rPr>
                <w:rFonts w:ascii="Times New Roman" w:eastAsia="Times New Roman" w:hAnsi="Times New Roman"/>
                <w:b/>
                <w:bCs/>
                <w:sz w:val="24"/>
                <w:szCs w:val="24"/>
                <w:lang w:val="en-IE"/>
              </w:rPr>
            </w:pPr>
            <w:r w:rsidRPr="002027ED">
              <w:rPr>
                <w:rFonts w:ascii="Times New Roman" w:eastAsia="Times New Roman" w:hAnsi="Times New Roman"/>
                <w:b/>
                <w:bCs/>
                <w:sz w:val="24"/>
                <w:szCs w:val="24"/>
                <w:lang w:val="en-IE"/>
              </w:rPr>
              <w:t>Recommendation 1.</w:t>
            </w:r>
            <w:r>
              <w:rPr>
                <w:rFonts w:ascii="Times New Roman" w:eastAsia="Times New Roman" w:hAnsi="Times New Roman"/>
                <w:b/>
                <w:bCs/>
                <w:sz w:val="24"/>
                <w:szCs w:val="24"/>
                <w:lang w:val="en-IE"/>
              </w:rPr>
              <w:t xml:space="preserve">11. </w:t>
            </w:r>
          </w:p>
          <w:p w14:paraId="1A8F01FA" w14:textId="4BB3B071" w:rsidR="00042A0E" w:rsidRPr="00A861C4" w:rsidRDefault="00042A0E" w:rsidP="00A878D3">
            <w:pPr>
              <w:widowControl w:val="0"/>
              <w:spacing w:before="120" w:after="120" w:line="276" w:lineRule="auto"/>
              <w:jc w:val="both"/>
              <w:rPr>
                <w:rFonts w:ascii="Times New Roman" w:eastAsia="Times New Roman" w:hAnsi="Times New Roman"/>
                <w:sz w:val="24"/>
                <w:szCs w:val="24"/>
                <w:lang w:val="en-IE"/>
              </w:rPr>
            </w:pPr>
            <w:r w:rsidRPr="00360776">
              <w:rPr>
                <w:rFonts w:ascii="Times New Roman" w:hAnsi="Times New Roman" w:cs="Times New Roman"/>
                <w:sz w:val="24"/>
                <w:szCs w:val="24"/>
                <w:lang w:val="en-IE"/>
              </w:rPr>
              <w:t xml:space="preserve">The Commission agrees on the importance of close cooperation on foresight between all EU institutions, including the </w:t>
            </w:r>
            <w:r>
              <w:rPr>
                <w:rFonts w:ascii="Times New Roman" w:hAnsi="Times New Roman" w:cs="Times New Roman"/>
                <w:sz w:val="24"/>
                <w:szCs w:val="24"/>
                <w:lang w:val="en-IE"/>
              </w:rPr>
              <w:t>EESC</w:t>
            </w:r>
            <w:r w:rsidRPr="00360776">
              <w:rPr>
                <w:rFonts w:ascii="Times New Roman" w:hAnsi="Times New Roman" w:cs="Times New Roman"/>
                <w:sz w:val="24"/>
                <w:szCs w:val="24"/>
                <w:lang w:val="en-IE"/>
              </w:rPr>
              <w:t>, under the framework of ESPAS. This cooperation includes, not only Horizon Scanning and an annual high-level ESPAS Conference, but also the Global Trends Reports</w:t>
            </w:r>
            <w:r w:rsidRPr="00360776">
              <w:rPr>
                <w:rStyle w:val="FootnoteReference"/>
                <w:rFonts w:ascii="Times New Roman" w:hAnsi="Times New Roman" w:cs="Times New Roman"/>
                <w:sz w:val="24"/>
                <w:szCs w:val="24"/>
                <w:lang w:val="en-IE"/>
              </w:rPr>
              <w:footnoteReference w:id="3"/>
            </w:r>
            <w:r w:rsidRPr="00360776">
              <w:rPr>
                <w:rFonts w:ascii="Times New Roman" w:hAnsi="Times New Roman" w:cs="Times New Roman"/>
                <w:sz w:val="24"/>
                <w:szCs w:val="24"/>
                <w:lang w:val="en-IE"/>
              </w:rPr>
              <w:t>. Every 5 years the ESPAS Global Trend report allows to propose a common long-term vision ahead of the new EU political cycle.</w:t>
            </w:r>
          </w:p>
        </w:tc>
      </w:tr>
    </w:tbl>
    <w:p w14:paraId="57CD4FC4" w14:textId="77777777" w:rsidR="00A878D3" w:rsidRDefault="00A878D3" w:rsidP="00A878D3">
      <w:pPr>
        <w:jc w:val="both"/>
      </w:pPr>
    </w:p>
    <w:p w14:paraId="20653859" w14:textId="77777777" w:rsidR="000302F3" w:rsidRDefault="000302F3"/>
    <w:sectPr w:rsidR="000302F3" w:rsidSect="00A878D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E2AC6" w14:textId="77777777" w:rsidR="00924250" w:rsidRDefault="00924250" w:rsidP="00A878D3">
      <w:pPr>
        <w:spacing w:after="0" w:line="240" w:lineRule="auto"/>
      </w:pPr>
      <w:r>
        <w:separator/>
      </w:r>
    </w:p>
  </w:endnote>
  <w:endnote w:type="continuationSeparator" w:id="0">
    <w:p w14:paraId="1FF3F0FC" w14:textId="77777777" w:rsidR="00924250" w:rsidRDefault="00924250" w:rsidP="00A87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21866" w14:textId="77777777" w:rsidR="00924250" w:rsidRDefault="00924250" w:rsidP="00A878D3">
      <w:pPr>
        <w:spacing w:after="0" w:line="240" w:lineRule="auto"/>
      </w:pPr>
      <w:r>
        <w:separator/>
      </w:r>
    </w:p>
  </w:footnote>
  <w:footnote w:type="continuationSeparator" w:id="0">
    <w:p w14:paraId="63D951A5" w14:textId="77777777" w:rsidR="00924250" w:rsidRDefault="00924250" w:rsidP="00A878D3">
      <w:pPr>
        <w:spacing w:after="0" w:line="240" w:lineRule="auto"/>
      </w:pPr>
      <w:r>
        <w:continuationSeparator/>
      </w:r>
    </w:p>
  </w:footnote>
  <w:footnote w:id="1">
    <w:p w14:paraId="0B7A1E25" w14:textId="74506612" w:rsidR="00042A0E" w:rsidRPr="00360776" w:rsidRDefault="00042A0E" w:rsidP="00A878D3">
      <w:pPr>
        <w:pStyle w:val="FootnoteText"/>
        <w:widowControl w:val="0"/>
        <w:jc w:val="both"/>
        <w:rPr>
          <w:rFonts w:ascii="Times New Roman" w:hAnsi="Times New Roman" w:cs="Times New Roman"/>
          <w:lang w:val="fr-BE"/>
        </w:rPr>
      </w:pPr>
      <w:r w:rsidRPr="003B531C">
        <w:rPr>
          <w:rStyle w:val="FootnoteReference"/>
          <w:rFonts w:ascii="Times New Roman" w:hAnsi="Times New Roman" w:cs="Times New Roman"/>
        </w:rPr>
        <w:footnoteRef/>
      </w:r>
      <w:r w:rsidRPr="003B531C">
        <w:rPr>
          <w:rFonts w:ascii="Times New Roman" w:hAnsi="Times New Roman" w:cs="Times New Roman"/>
          <w:lang w:val="fr-BE"/>
        </w:rPr>
        <w:t xml:space="preserve"> </w:t>
      </w:r>
      <w:r w:rsidRPr="003B531C">
        <w:rPr>
          <w:rFonts w:ascii="Times New Roman" w:hAnsi="Times New Roman" w:cs="Times New Roman"/>
          <w:lang w:val="fr-BE"/>
        </w:rPr>
        <w:tab/>
      </w:r>
      <w:hyperlink r:id="rId1" w:tooltip="Gives access to this document through its ELI URI." w:history="1">
        <w:r w:rsidR="003A60C8" w:rsidRPr="003A60C8">
          <w:rPr>
            <w:rStyle w:val="Hyperlink"/>
            <w:rFonts w:ascii="Times New Roman" w:hAnsi="Times New Roman" w:cs="Times New Roman"/>
            <w:sz w:val="20"/>
            <w:szCs w:val="20"/>
            <w:lang w:val="en-US"/>
          </w:rPr>
          <w:t>http://data.europa.eu/eli/C/2024/2206/oj</w:t>
        </w:r>
      </w:hyperlink>
      <w:r w:rsidR="003A60C8" w:rsidRPr="003A60C8">
        <w:rPr>
          <w:rFonts w:ascii="Times New Roman" w:hAnsi="Times New Roman" w:cs="Times New Roman"/>
          <w:sz w:val="20"/>
          <w:szCs w:val="20"/>
          <w:lang w:val="fr-BE"/>
        </w:rPr>
        <w:t xml:space="preserve">. </w:t>
      </w:r>
    </w:p>
  </w:footnote>
  <w:footnote w:id="2">
    <w:p w14:paraId="6F8732AF" w14:textId="73568AB4" w:rsidR="00042A0E" w:rsidRPr="003A60C8" w:rsidRDefault="00042A0E" w:rsidP="00E05EE9">
      <w:pPr>
        <w:pStyle w:val="FootnoteText"/>
        <w:widowControl w:val="0"/>
        <w:rPr>
          <w:rFonts w:ascii="Times New Roman" w:hAnsi="Times New Roman" w:cs="Times New Roman"/>
          <w:sz w:val="20"/>
          <w:szCs w:val="20"/>
          <w:lang w:val="en-IE"/>
        </w:rPr>
      </w:pPr>
      <w:r w:rsidRPr="003A60C8">
        <w:rPr>
          <w:rStyle w:val="FootnoteReference"/>
          <w:rFonts w:ascii="Times New Roman" w:hAnsi="Times New Roman" w:cs="Times New Roman"/>
          <w:sz w:val="20"/>
          <w:szCs w:val="20"/>
        </w:rPr>
        <w:footnoteRef/>
      </w:r>
      <w:r w:rsidRPr="003A60C8">
        <w:rPr>
          <w:rFonts w:ascii="Times New Roman" w:hAnsi="Times New Roman" w:cs="Times New Roman"/>
          <w:sz w:val="20"/>
          <w:szCs w:val="20"/>
          <w:lang w:val="en-IE"/>
        </w:rPr>
        <w:t xml:space="preserve"> </w:t>
      </w:r>
      <w:r w:rsidRPr="003A60C8">
        <w:rPr>
          <w:rFonts w:ascii="Times New Roman" w:hAnsi="Times New Roman" w:cs="Times New Roman"/>
          <w:sz w:val="20"/>
          <w:szCs w:val="20"/>
          <w:lang w:val="en-IE"/>
        </w:rPr>
        <w:tab/>
      </w:r>
      <w:proofErr w:type="gramStart"/>
      <w:r w:rsidRPr="003A60C8">
        <w:rPr>
          <w:rFonts w:ascii="Times New Roman" w:hAnsi="Times New Roman" w:cs="Times New Roman"/>
          <w:sz w:val="20"/>
          <w:szCs w:val="20"/>
          <w:lang w:val="en-IE"/>
        </w:rPr>
        <w:t>COM(</w:t>
      </w:r>
      <w:proofErr w:type="gramEnd"/>
      <w:r w:rsidRPr="003A60C8">
        <w:rPr>
          <w:rFonts w:ascii="Times New Roman" w:hAnsi="Times New Roman" w:cs="Times New Roman"/>
          <w:sz w:val="20"/>
          <w:szCs w:val="20"/>
          <w:lang w:val="en-IE"/>
        </w:rPr>
        <w:t>2026)110 final</w:t>
      </w:r>
      <w:r w:rsidR="00933AC6">
        <w:rPr>
          <w:rFonts w:ascii="Times New Roman" w:hAnsi="Times New Roman" w:cs="Times New Roman"/>
          <w:sz w:val="20"/>
          <w:szCs w:val="20"/>
          <w:lang w:val="en-IE"/>
        </w:rPr>
        <w:t xml:space="preserve"> </w:t>
      </w:r>
      <w:r w:rsidRPr="003A60C8">
        <w:rPr>
          <w:rFonts w:ascii="Times New Roman" w:hAnsi="Times New Roman" w:cs="Times New Roman"/>
          <w:sz w:val="20"/>
          <w:szCs w:val="20"/>
          <w:lang w:val="en-IE"/>
        </w:rPr>
        <w:t>(</w:t>
      </w:r>
      <w:hyperlink r:id="rId2">
        <w:r w:rsidRPr="003A60C8">
          <w:rPr>
            <w:rStyle w:val="Hyperlink"/>
            <w:rFonts w:ascii="Times New Roman" w:hAnsi="Times New Roman" w:cs="Times New Roman"/>
            <w:sz w:val="20"/>
            <w:szCs w:val="20"/>
            <w:lang w:val="en-IE"/>
          </w:rPr>
          <w:t>IMMC.COM%282026%29110%20final.ENG.xhtml.1_EN_ACT_part1_v9.docx</w:t>
        </w:r>
      </w:hyperlink>
      <w:r w:rsidRPr="003A60C8">
        <w:rPr>
          <w:rFonts w:ascii="Times New Roman" w:hAnsi="Times New Roman" w:cs="Times New Roman"/>
          <w:sz w:val="20"/>
          <w:szCs w:val="20"/>
          <w:lang w:val="en-IE"/>
        </w:rPr>
        <w:t>).</w:t>
      </w:r>
    </w:p>
  </w:footnote>
  <w:footnote w:id="3">
    <w:p w14:paraId="4784BC69" w14:textId="38806477" w:rsidR="00042A0E" w:rsidRPr="00360776" w:rsidRDefault="00042A0E" w:rsidP="00E05EE9">
      <w:pPr>
        <w:pStyle w:val="FootnoteText"/>
        <w:widowControl w:val="0"/>
        <w:rPr>
          <w:rFonts w:ascii="Times New Roman" w:hAnsi="Times New Roman" w:cs="Times New Roman"/>
          <w:lang w:val="fr-BE"/>
        </w:rPr>
      </w:pPr>
      <w:r w:rsidRPr="003A60C8">
        <w:rPr>
          <w:rStyle w:val="FootnoteReference"/>
          <w:rFonts w:ascii="Times New Roman" w:hAnsi="Times New Roman" w:cs="Times New Roman"/>
          <w:sz w:val="20"/>
          <w:szCs w:val="20"/>
        </w:rPr>
        <w:footnoteRef/>
      </w:r>
      <w:r w:rsidRPr="003A60C8">
        <w:rPr>
          <w:rFonts w:ascii="Times New Roman" w:hAnsi="Times New Roman" w:cs="Times New Roman"/>
          <w:sz w:val="20"/>
          <w:szCs w:val="20"/>
          <w:lang w:val="fr-BE"/>
        </w:rPr>
        <w:t xml:space="preserve"> </w:t>
      </w:r>
      <w:r w:rsidRPr="003A60C8">
        <w:rPr>
          <w:rFonts w:ascii="Times New Roman" w:hAnsi="Times New Roman" w:cs="Times New Roman"/>
          <w:sz w:val="20"/>
          <w:szCs w:val="20"/>
          <w:lang w:val="fr-BE"/>
        </w:rPr>
        <w:tab/>
      </w:r>
      <w:hyperlink r:id="rId3" w:history="1">
        <w:r w:rsidRPr="003A60C8">
          <w:rPr>
            <w:rStyle w:val="Hyperlink"/>
            <w:rFonts w:ascii="Times New Roman" w:hAnsi="Times New Roman" w:cs="Times New Roman"/>
            <w:sz w:val="20"/>
            <w:szCs w:val="20"/>
            <w:lang w:val="fr-BE"/>
          </w:rPr>
          <w:t>ESPAS Global Trends Reports | ESPAS</w:t>
        </w:r>
      </w:hyperlink>
      <w:r w:rsidRPr="003A60C8">
        <w:rPr>
          <w:rFonts w:ascii="Times New Roman" w:hAnsi="Times New Roman" w:cs="Times New Roman"/>
          <w:sz w:val="20"/>
          <w:szCs w:val="20"/>
          <w:lang w:val="fr-BE"/>
        </w:rPr>
        <w:t xml:space="preserve">  (</w:t>
      </w:r>
      <w:hyperlink r:id="rId4" w:history="1">
        <w:r w:rsidRPr="003A60C8">
          <w:rPr>
            <w:rStyle w:val="Hyperlink"/>
            <w:rFonts w:ascii="Times New Roman" w:hAnsi="Times New Roman" w:cs="Times New Roman"/>
            <w:sz w:val="20"/>
            <w:szCs w:val="20"/>
            <w:lang w:val="fr-BE"/>
          </w:rPr>
          <w:t>https://espas.eu/gtr.html</w:t>
        </w:r>
      </w:hyperlink>
      <w:r w:rsidRPr="003A60C8">
        <w:rPr>
          <w:rFonts w:ascii="Times New Roman" w:hAnsi="Times New Roman" w:cs="Times New Roman"/>
          <w:sz w:val="20"/>
          <w:szCs w:val="20"/>
          <w:lang w:val="fr-B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A878D3"/>
    <w:rsid w:val="00003C4F"/>
    <w:rsid w:val="000302F3"/>
    <w:rsid w:val="00033D96"/>
    <w:rsid w:val="00042A0E"/>
    <w:rsid w:val="000E3221"/>
    <w:rsid w:val="00227B63"/>
    <w:rsid w:val="00354177"/>
    <w:rsid w:val="003A60C8"/>
    <w:rsid w:val="0060036D"/>
    <w:rsid w:val="00650509"/>
    <w:rsid w:val="0066351E"/>
    <w:rsid w:val="00750944"/>
    <w:rsid w:val="00770D9E"/>
    <w:rsid w:val="0077530E"/>
    <w:rsid w:val="007C2A17"/>
    <w:rsid w:val="00853A71"/>
    <w:rsid w:val="00924250"/>
    <w:rsid w:val="00933AC6"/>
    <w:rsid w:val="00A878D3"/>
    <w:rsid w:val="00D07F31"/>
    <w:rsid w:val="00D55DD9"/>
    <w:rsid w:val="00DA5632"/>
    <w:rsid w:val="00E05EE9"/>
    <w:rsid w:val="680AB512"/>
    <w:rsid w:val="6E877A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D39DA"/>
  <w15:chartTrackingRefBased/>
  <w15:docId w15:val="{DB09D9F9-0A9A-4023-B375-9CDDE7428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8D3"/>
    <w:rPr>
      <w:lang w:val="en-US"/>
    </w:rPr>
  </w:style>
  <w:style w:type="paragraph" w:styleId="Heading1">
    <w:name w:val="heading 1"/>
    <w:basedOn w:val="Normal"/>
    <w:next w:val="Normal"/>
    <w:link w:val="Heading1Char"/>
    <w:uiPriority w:val="9"/>
    <w:qFormat/>
    <w:rsid w:val="00A878D3"/>
    <w:pPr>
      <w:keepNext/>
      <w:keepLines/>
      <w:spacing w:before="360" w:after="80"/>
      <w:outlineLvl w:val="0"/>
    </w:pPr>
    <w:rPr>
      <w:rFonts w:asciiTheme="majorHAnsi" w:eastAsiaTheme="majorEastAsia" w:hAnsiTheme="majorHAnsi" w:cstheme="majorBidi"/>
      <w:color w:val="0F4761" w:themeColor="accent1" w:themeShade="BF"/>
      <w:sz w:val="40"/>
      <w:szCs w:val="40"/>
      <w:lang w:val="en-GB"/>
    </w:rPr>
  </w:style>
  <w:style w:type="paragraph" w:styleId="Heading2">
    <w:name w:val="heading 2"/>
    <w:basedOn w:val="Normal"/>
    <w:next w:val="Normal"/>
    <w:link w:val="Heading2Char"/>
    <w:uiPriority w:val="9"/>
    <w:semiHidden/>
    <w:unhideWhenUsed/>
    <w:qFormat/>
    <w:rsid w:val="00A878D3"/>
    <w:pPr>
      <w:keepNext/>
      <w:keepLines/>
      <w:spacing w:before="160" w:after="80"/>
      <w:outlineLvl w:val="1"/>
    </w:pPr>
    <w:rPr>
      <w:rFonts w:asciiTheme="majorHAnsi" w:eastAsiaTheme="majorEastAsia" w:hAnsiTheme="majorHAnsi" w:cstheme="majorBidi"/>
      <w:color w:val="0F4761" w:themeColor="accent1" w:themeShade="BF"/>
      <w:sz w:val="32"/>
      <w:szCs w:val="32"/>
      <w:lang w:val="en-GB"/>
    </w:rPr>
  </w:style>
  <w:style w:type="paragraph" w:styleId="Heading3">
    <w:name w:val="heading 3"/>
    <w:basedOn w:val="Normal"/>
    <w:next w:val="Normal"/>
    <w:link w:val="Heading3Char"/>
    <w:uiPriority w:val="9"/>
    <w:semiHidden/>
    <w:unhideWhenUsed/>
    <w:qFormat/>
    <w:rsid w:val="00A878D3"/>
    <w:pPr>
      <w:keepNext/>
      <w:keepLines/>
      <w:spacing w:before="160" w:after="80"/>
      <w:outlineLvl w:val="2"/>
    </w:pPr>
    <w:rPr>
      <w:rFonts w:eastAsiaTheme="majorEastAsia" w:cstheme="majorBidi"/>
      <w:color w:val="0F4761" w:themeColor="accent1" w:themeShade="BF"/>
      <w:sz w:val="28"/>
      <w:szCs w:val="28"/>
      <w:lang w:val="en-GB"/>
    </w:rPr>
  </w:style>
  <w:style w:type="paragraph" w:styleId="Heading4">
    <w:name w:val="heading 4"/>
    <w:basedOn w:val="Normal"/>
    <w:next w:val="Normal"/>
    <w:link w:val="Heading4Char"/>
    <w:uiPriority w:val="9"/>
    <w:semiHidden/>
    <w:unhideWhenUsed/>
    <w:qFormat/>
    <w:rsid w:val="00A878D3"/>
    <w:pPr>
      <w:keepNext/>
      <w:keepLines/>
      <w:spacing w:before="80" w:after="40"/>
      <w:outlineLvl w:val="3"/>
    </w:pPr>
    <w:rPr>
      <w:rFonts w:eastAsiaTheme="majorEastAsia" w:cstheme="majorBidi"/>
      <w:i/>
      <w:iCs/>
      <w:color w:val="0F4761" w:themeColor="accent1" w:themeShade="BF"/>
      <w:lang w:val="en-GB"/>
    </w:rPr>
  </w:style>
  <w:style w:type="paragraph" w:styleId="Heading5">
    <w:name w:val="heading 5"/>
    <w:basedOn w:val="Normal"/>
    <w:next w:val="Normal"/>
    <w:link w:val="Heading5Char"/>
    <w:uiPriority w:val="9"/>
    <w:semiHidden/>
    <w:unhideWhenUsed/>
    <w:qFormat/>
    <w:rsid w:val="00A878D3"/>
    <w:pPr>
      <w:keepNext/>
      <w:keepLines/>
      <w:spacing w:before="80" w:after="40"/>
      <w:outlineLvl w:val="4"/>
    </w:pPr>
    <w:rPr>
      <w:rFonts w:eastAsiaTheme="majorEastAsia" w:cstheme="majorBidi"/>
      <w:color w:val="0F4761" w:themeColor="accent1" w:themeShade="BF"/>
      <w:lang w:val="en-GB"/>
    </w:rPr>
  </w:style>
  <w:style w:type="paragraph" w:styleId="Heading6">
    <w:name w:val="heading 6"/>
    <w:basedOn w:val="Normal"/>
    <w:next w:val="Normal"/>
    <w:link w:val="Heading6Char"/>
    <w:uiPriority w:val="9"/>
    <w:semiHidden/>
    <w:unhideWhenUsed/>
    <w:qFormat/>
    <w:rsid w:val="00A878D3"/>
    <w:pPr>
      <w:keepNext/>
      <w:keepLines/>
      <w:spacing w:before="40" w:after="0"/>
      <w:outlineLvl w:val="5"/>
    </w:pPr>
    <w:rPr>
      <w:rFonts w:eastAsiaTheme="majorEastAsia" w:cstheme="majorBidi"/>
      <w:i/>
      <w:iCs/>
      <w:color w:val="595959" w:themeColor="text1" w:themeTint="A6"/>
      <w:lang w:val="en-GB"/>
    </w:rPr>
  </w:style>
  <w:style w:type="paragraph" w:styleId="Heading7">
    <w:name w:val="heading 7"/>
    <w:basedOn w:val="Normal"/>
    <w:next w:val="Normal"/>
    <w:link w:val="Heading7Char"/>
    <w:uiPriority w:val="9"/>
    <w:semiHidden/>
    <w:unhideWhenUsed/>
    <w:qFormat/>
    <w:rsid w:val="00A878D3"/>
    <w:pPr>
      <w:keepNext/>
      <w:keepLines/>
      <w:spacing w:before="40" w:after="0"/>
      <w:outlineLvl w:val="6"/>
    </w:pPr>
    <w:rPr>
      <w:rFonts w:eastAsiaTheme="majorEastAsia" w:cstheme="majorBidi"/>
      <w:color w:val="595959" w:themeColor="text1" w:themeTint="A6"/>
      <w:lang w:val="en-GB"/>
    </w:rPr>
  </w:style>
  <w:style w:type="paragraph" w:styleId="Heading8">
    <w:name w:val="heading 8"/>
    <w:basedOn w:val="Normal"/>
    <w:next w:val="Normal"/>
    <w:link w:val="Heading8Char"/>
    <w:uiPriority w:val="9"/>
    <w:semiHidden/>
    <w:unhideWhenUsed/>
    <w:qFormat/>
    <w:rsid w:val="00A878D3"/>
    <w:pPr>
      <w:keepNext/>
      <w:keepLines/>
      <w:spacing w:after="0"/>
      <w:outlineLvl w:val="7"/>
    </w:pPr>
    <w:rPr>
      <w:rFonts w:eastAsiaTheme="majorEastAsia" w:cstheme="majorBidi"/>
      <w:i/>
      <w:iCs/>
      <w:color w:val="272727" w:themeColor="text1" w:themeTint="D8"/>
      <w:lang w:val="en-GB"/>
    </w:rPr>
  </w:style>
  <w:style w:type="paragraph" w:styleId="Heading9">
    <w:name w:val="heading 9"/>
    <w:basedOn w:val="Normal"/>
    <w:next w:val="Normal"/>
    <w:link w:val="Heading9Char"/>
    <w:uiPriority w:val="9"/>
    <w:semiHidden/>
    <w:unhideWhenUsed/>
    <w:qFormat/>
    <w:rsid w:val="00A878D3"/>
    <w:pPr>
      <w:keepNext/>
      <w:keepLines/>
      <w:spacing w:after="0"/>
      <w:outlineLvl w:val="8"/>
    </w:pPr>
    <w:rPr>
      <w:rFonts w:eastAsiaTheme="majorEastAsia" w:cstheme="majorBidi"/>
      <w:color w:val="272727" w:themeColor="text1" w:themeTint="D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8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78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78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78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78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78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78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78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78D3"/>
    <w:rPr>
      <w:rFonts w:eastAsiaTheme="majorEastAsia" w:cstheme="majorBidi"/>
      <w:color w:val="272727" w:themeColor="text1" w:themeTint="D8"/>
    </w:rPr>
  </w:style>
  <w:style w:type="paragraph" w:styleId="Title">
    <w:name w:val="Title"/>
    <w:basedOn w:val="Normal"/>
    <w:next w:val="Normal"/>
    <w:link w:val="TitleChar"/>
    <w:uiPriority w:val="10"/>
    <w:qFormat/>
    <w:rsid w:val="00A878D3"/>
    <w:pPr>
      <w:spacing w:after="80" w:line="240" w:lineRule="auto"/>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A878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78D3"/>
    <w:pPr>
      <w:numPr>
        <w:ilvl w:val="1"/>
      </w:numPr>
    </w:pPr>
    <w:rPr>
      <w:rFonts w:eastAsiaTheme="majorEastAsia" w:cstheme="majorBidi"/>
      <w:color w:val="595959" w:themeColor="text1" w:themeTint="A6"/>
      <w:spacing w:val="15"/>
      <w:sz w:val="28"/>
      <w:szCs w:val="28"/>
      <w:lang w:val="en-GB"/>
    </w:rPr>
  </w:style>
  <w:style w:type="character" w:customStyle="1" w:styleId="SubtitleChar">
    <w:name w:val="Subtitle Char"/>
    <w:basedOn w:val="DefaultParagraphFont"/>
    <w:link w:val="Subtitle"/>
    <w:uiPriority w:val="11"/>
    <w:rsid w:val="00A878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78D3"/>
    <w:pPr>
      <w:spacing w:before="160"/>
      <w:jc w:val="center"/>
    </w:pPr>
    <w:rPr>
      <w:i/>
      <w:iCs/>
      <w:color w:val="404040" w:themeColor="text1" w:themeTint="BF"/>
      <w:lang w:val="en-GB"/>
    </w:rPr>
  </w:style>
  <w:style w:type="character" w:customStyle="1" w:styleId="QuoteChar">
    <w:name w:val="Quote Char"/>
    <w:basedOn w:val="DefaultParagraphFont"/>
    <w:link w:val="Quote"/>
    <w:uiPriority w:val="29"/>
    <w:rsid w:val="00A878D3"/>
    <w:rPr>
      <w:i/>
      <w:iCs/>
      <w:color w:val="404040" w:themeColor="text1" w:themeTint="BF"/>
    </w:rPr>
  </w:style>
  <w:style w:type="paragraph" w:styleId="ListParagraph">
    <w:name w:val="List Paragraph"/>
    <w:aliases w:val="Resume Title,Listes,Citation List,Ha,List Paragraph1,Body,List Paragraph_Table bullets,Bullet List Paragraph,1st level - Bullet List Paragraph,Lettre d'introduction,Paragrafo elenco,Medium Grid 1 - Accent 21,AFW Body,Normal bullet 2"/>
    <w:basedOn w:val="Normal"/>
    <w:link w:val="ListParagraphChar"/>
    <w:uiPriority w:val="34"/>
    <w:qFormat/>
    <w:rsid w:val="00A878D3"/>
    <w:pPr>
      <w:ind w:left="720"/>
      <w:contextualSpacing/>
    </w:pPr>
    <w:rPr>
      <w:lang w:val="en-GB"/>
    </w:rPr>
  </w:style>
  <w:style w:type="character" w:styleId="IntenseEmphasis">
    <w:name w:val="Intense Emphasis"/>
    <w:basedOn w:val="DefaultParagraphFont"/>
    <w:uiPriority w:val="21"/>
    <w:qFormat/>
    <w:rsid w:val="00A878D3"/>
    <w:rPr>
      <w:i/>
      <w:iCs/>
      <w:color w:val="0F4761" w:themeColor="accent1" w:themeShade="BF"/>
    </w:rPr>
  </w:style>
  <w:style w:type="paragraph" w:styleId="IntenseQuote">
    <w:name w:val="Intense Quote"/>
    <w:basedOn w:val="Normal"/>
    <w:next w:val="Normal"/>
    <w:link w:val="IntenseQuoteChar"/>
    <w:uiPriority w:val="30"/>
    <w:qFormat/>
    <w:rsid w:val="00A878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GB"/>
    </w:rPr>
  </w:style>
  <w:style w:type="character" w:customStyle="1" w:styleId="IntenseQuoteChar">
    <w:name w:val="Intense Quote Char"/>
    <w:basedOn w:val="DefaultParagraphFont"/>
    <w:link w:val="IntenseQuote"/>
    <w:uiPriority w:val="30"/>
    <w:rsid w:val="00A878D3"/>
    <w:rPr>
      <w:i/>
      <w:iCs/>
      <w:color w:val="0F4761" w:themeColor="accent1" w:themeShade="BF"/>
    </w:rPr>
  </w:style>
  <w:style w:type="character" w:styleId="IntenseReference">
    <w:name w:val="Intense Reference"/>
    <w:basedOn w:val="DefaultParagraphFont"/>
    <w:uiPriority w:val="32"/>
    <w:qFormat/>
    <w:rsid w:val="00A878D3"/>
    <w:rPr>
      <w:b/>
      <w:bCs/>
      <w:smallCaps/>
      <w:color w:val="0F4761" w:themeColor="accent1" w:themeShade="BF"/>
      <w:spacing w:val="5"/>
    </w:rPr>
  </w:style>
  <w:style w:type="character" w:customStyle="1" w:styleId="ListParagraphChar">
    <w:name w:val="List Paragraph Char"/>
    <w:aliases w:val="Resume Title Char,Listes Char,Citation List Char,Ha Char,List Paragraph1 Char,Body Char,List Paragraph_Table bullets Char,Bullet List Paragraph Char,1st level - Bullet List Paragraph Char,Lettre d'introduction Char,AFW Body Char"/>
    <w:link w:val="ListParagraph"/>
    <w:uiPriority w:val="34"/>
    <w:locked/>
    <w:rsid w:val="00A878D3"/>
  </w:style>
  <w:style w:type="character" w:styleId="FootnoteReference">
    <w:name w:val="footnote reference"/>
    <w:uiPriority w:val="99"/>
    <w:semiHidden/>
    <w:unhideWhenUsed/>
    <w:rsid w:val="00A878D3"/>
    <w:rPr>
      <w:vertAlign w:val="superscript"/>
    </w:rPr>
  </w:style>
  <w:style w:type="character" w:styleId="Hyperlink">
    <w:name w:val="Hyperlink"/>
    <w:uiPriority w:val="99"/>
    <w:unhideWhenUsed/>
    <w:rsid w:val="00A878D3"/>
    <w:rPr>
      <w:color w:val="0563C1"/>
      <w:u w:val="single"/>
    </w:rPr>
  </w:style>
  <w:style w:type="character" w:customStyle="1" w:styleId="FootnoteTextChar">
    <w:name w:val="Footnote Text Char"/>
    <w:link w:val="FootnoteText"/>
    <w:uiPriority w:val="99"/>
    <w:semiHidden/>
    <w:rsid w:val="00A878D3"/>
  </w:style>
  <w:style w:type="paragraph" w:styleId="FootnoteText">
    <w:name w:val="footnote text"/>
    <w:basedOn w:val="Normal"/>
    <w:link w:val="FootnoteTextChar"/>
    <w:uiPriority w:val="99"/>
    <w:semiHidden/>
    <w:unhideWhenUsed/>
    <w:rsid w:val="00A878D3"/>
    <w:pPr>
      <w:spacing w:after="0" w:line="240" w:lineRule="auto"/>
    </w:pPr>
    <w:rPr>
      <w:lang w:val="en-GB"/>
    </w:rPr>
  </w:style>
  <w:style w:type="character" w:customStyle="1" w:styleId="FootnoteTextChar1">
    <w:name w:val="Footnote Text Char1"/>
    <w:basedOn w:val="DefaultParagraphFont"/>
    <w:uiPriority w:val="99"/>
    <w:semiHidden/>
    <w:rsid w:val="00A878D3"/>
    <w:rPr>
      <w:sz w:val="20"/>
      <w:szCs w:val="20"/>
      <w:lang w:val="en-US"/>
    </w:rPr>
  </w:style>
  <w:style w:type="character" w:styleId="CommentReference">
    <w:name w:val="annotation reference"/>
    <w:basedOn w:val="DefaultParagraphFont"/>
    <w:uiPriority w:val="99"/>
    <w:semiHidden/>
    <w:unhideWhenUsed/>
    <w:rsid w:val="00A878D3"/>
    <w:rPr>
      <w:sz w:val="16"/>
      <w:szCs w:val="16"/>
    </w:rPr>
  </w:style>
  <w:style w:type="paragraph" w:styleId="CommentText">
    <w:name w:val="annotation text"/>
    <w:basedOn w:val="Normal"/>
    <w:link w:val="CommentTextChar"/>
    <w:uiPriority w:val="99"/>
    <w:unhideWhenUsed/>
    <w:rsid w:val="00A878D3"/>
    <w:pPr>
      <w:spacing w:line="240" w:lineRule="auto"/>
    </w:pPr>
    <w:rPr>
      <w:sz w:val="20"/>
      <w:szCs w:val="20"/>
    </w:rPr>
  </w:style>
  <w:style w:type="character" w:customStyle="1" w:styleId="CommentTextChar">
    <w:name w:val="Comment Text Char"/>
    <w:basedOn w:val="DefaultParagraphFont"/>
    <w:link w:val="CommentText"/>
    <w:uiPriority w:val="99"/>
    <w:rsid w:val="00A878D3"/>
    <w:rPr>
      <w:sz w:val="20"/>
      <w:szCs w:val="20"/>
      <w:lang w:val="en-US"/>
    </w:rPr>
  </w:style>
  <w:style w:type="paragraph" w:styleId="Revision">
    <w:name w:val="Revision"/>
    <w:hidden/>
    <w:uiPriority w:val="99"/>
    <w:semiHidden/>
    <w:rsid w:val="003A60C8"/>
    <w:pPr>
      <w:spacing w:after="0" w:line="240" w:lineRule="auto"/>
    </w:pPr>
    <w:rPr>
      <w:lang w:val="en-US"/>
    </w:rPr>
  </w:style>
  <w:style w:type="character" w:styleId="UnresolvedMention">
    <w:name w:val="Unresolved Mention"/>
    <w:basedOn w:val="DefaultParagraphFont"/>
    <w:uiPriority w:val="99"/>
    <w:semiHidden/>
    <w:unhideWhenUsed/>
    <w:rsid w:val="003A60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file:///C:/Users/verboro/AppData/Local/Microsoft/Windows/INetCache/Content.Outlook/FQYQELL8/ESPAS%20Global%20Trends%20Reports%20|%20ESPAS" TargetMode="External"/><Relationship Id="rId2" Type="http://schemas.openxmlformats.org/officeDocument/2006/relationships/hyperlink" Target="https://eur-lex.europa.eu/legal-content/EN/TXT/HTML/?uri=CELEX:52026DC0110" TargetMode="External"/><Relationship Id="rId1" Type="http://schemas.openxmlformats.org/officeDocument/2006/relationships/hyperlink" Target="http://data.europa.eu/eli/C/2024/2206/oj" TargetMode="External"/><Relationship Id="rId4" Type="http://schemas.openxmlformats.org/officeDocument/2006/relationships/hyperlink" Target="https://espas.eu/gt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7aaeadd-d48d-4a16-a0c7-5d3828504017" xsi:nil="true"/>
    <lcf76f155ced4ddcb4097134ff3c332f xmlns="ef177354-7228-49a8-a77a-ec5cf31ec94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69B6B0AB801B48B5C3F8BDACA955BF" ma:contentTypeVersion="11" ma:contentTypeDescription="Create a new document." ma:contentTypeScope="" ma:versionID="b5e09a91d90ee1964197073f1590bfe9">
  <xsd:schema xmlns:xsd="http://www.w3.org/2001/XMLSchema" xmlns:xs="http://www.w3.org/2001/XMLSchema" xmlns:p="http://schemas.microsoft.com/office/2006/metadata/properties" xmlns:ns2="ef177354-7228-49a8-a77a-ec5cf31ec945" xmlns:ns3="57aaeadd-d48d-4a16-a0c7-5d3828504017" targetNamespace="http://schemas.microsoft.com/office/2006/metadata/properties" ma:root="true" ma:fieldsID="3ffc3b4de185aab17df8c2fae43fac21" ns2:_="" ns3:_="">
    <xsd:import namespace="ef177354-7228-49a8-a77a-ec5cf31ec945"/>
    <xsd:import namespace="57aaeadd-d48d-4a16-a0c7-5d38285040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177354-7228-49a8-a77a-ec5cf31ec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aaeadd-d48d-4a16-a0c7-5d382850401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83273c0-7404-4cc2-b653-cbf42ab1cc2e}" ma:internalName="TaxCatchAll" ma:showField="CatchAllData" ma:web="57aaeadd-d48d-4a16-a0c7-5d38285040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E89C7F-A372-4159-B631-E0FFE4AB6D83}">
  <ds:schemaRefs>
    <ds:schemaRef ds:uri="http://schemas.microsoft.com/office/2006/metadata/properties"/>
    <ds:schemaRef ds:uri="http://schemas.microsoft.com/office/infopath/2007/PartnerControls"/>
    <ds:schemaRef ds:uri="57aaeadd-d48d-4a16-a0c7-5d3828504017"/>
    <ds:schemaRef ds:uri="ef177354-7228-49a8-a77a-ec5cf31ec945"/>
  </ds:schemaRefs>
</ds:datastoreItem>
</file>

<file path=customXml/itemProps2.xml><?xml version="1.0" encoding="utf-8"?>
<ds:datastoreItem xmlns:ds="http://schemas.openxmlformats.org/officeDocument/2006/customXml" ds:itemID="{F93277E7-0BEB-4925-ABE8-96F9F13136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177354-7228-49a8-a77a-ec5cf31ec945"/>
    <ds:schemaRef ds:uri="57aaeadd-d48d-4a16-a0c7-5d38285040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DB0A7B-4DB8-43EE-B93E-E0A753E8DC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557</Words>
  <Characters>3295</Characters>
  <Application>Microsoft Office Word</Application>
  <DocSecurity>0</DocSecurity>
  <Lines>55</Lines>
  <Paragraphs>16</Paragraphs>
  <ScaleCrop>false</ScaleCrop>
  <Company>European Commission</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MACEK Christian (SG)</dc:creator>
  <cp:keywords/>
  <dc:description/>
  <cp:lastModifiedBy>ROSSI Simona (SG)</cp:lastModifiedBy>
  <cp:revision>3</cp:revision>
  <dcterms:created xsi:type="dcterms:W3CDTF">2026-07-28T07:52:00Z</dcterms:created>
  <dcterms:modified xsi:type="dcterms:W3CDTF">2026-07-28T07:52:00Z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2026-04-27T06:49:32Z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5059ece2-b502-4632-a919-91607e26c0fc</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ContentTypeId">
    <vt:lpwstr>0x0101007669B6B0AB801B48B5C3F8BDACA955BF</vt:lpwstr>
  </property>
  <property fmtid="{D5CDD505-2E9C-101B-9397-08002B2CF9AE}" pid="11" name="MediaServiceImageTags">
    <vt:lpwstr/>
  </property>
</Properties>
</file>