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241D3F" w:rsidRDefault="00077C4F" w:rsidP="00241D3F">
      <w:pPr>
        <w:spacing w:after="0" w:line="240" w:lineRule="auto"/>
        <w:rPr>
          <w:rFonts w:ascii="Times New Roman" w:hAnsi="Times New Roman"/>
          <w:bCs/>
          <w:sz w:val="2"/>
          <w:szCs w:val="2"/>
        </w:rPr>
      </w:pPr>
    </w:p>
    <w:tbl>
      <w:tblPr>
        <w:tblW w:w="1010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101"/>
      </w:tblGrid>
      <w:tr w:rsidR="001C4138" w:rsidRPr="00442552" w14:paraId="7E6372DC" w14:textId="77777777" w:rsidTr="59DA9EE8">
        <w:trPr>
          <w:jc w:val="center"/>
        </w:trPr>
        <w:tc>
          <w:tcPr>
            <w:tcW w:w="10101" w:type="dxa"/>
          </w:tcPr>
          <w:p w14:paraId="3A4EDC3A" w14:textId="4BA63AE1" w:rsidR="001C4138" w:rsidRPr="00400863" w:rsidRDefault="00D538FC" w:rsidP="00883239">
            <w:pPr>
              <w:spacing w:before="120" w:after="120"/>
              <w:rPr>
                <w:rFonts w:ascii="Times New Roman" w:hAnsi="Times New Roman"/>
                <w:b/>
                <w:sz w:val="24"/>
                <w:szCs w:val="24"/>
              </w:rPr>
            </w:pPr>
            <w:r w:rsidRPr="00D538FC">
              <w:rPr>
                <w:rFonts w:ascii="Times New Roman" w:hAnsi="Times New Roman"/>
                <w:b/>
                <w:sz w:val="24"/>
                <w:szCs w:val="24"/>
              </w:rPr>
              <w:t>Revision of the carbon border adjustment mechanism (CBAM)</w:t>
            </w:r>
            <w:r w:rsidR="001C4138" w:rsidRPr="00807B48">
              <w:rPr>
                <w:rFonts w:ascii="Times New Roman" w:hAnsi="Times New Roman"/>
                <w:b/>
                <w:sz w:val="24"/>
                <w:szCs w:val="24"/>
              </w:rPr>
              <w:br/>
            </w:r>
            <w:proofErr w:type="gramStart"/>
            <w:r w:rsidR="00400863" w:rsidRPr="00400863">
              <w:rPr>
                <w:rFonts w:ascii="Times New Roman" w:hAnsi="Times New Roman"/>
                <w:b/>
                <w:sz w:val="24"/>
                <w:szCs w:val="24"/>
              </w:rPr>
              <w:t>COM(</w:t>
            </w:r>
            <w:proofErr w:type="gramEnd"/>
            <w:r w:rsidR="00400863" w:rsidRPr="00400863">
              <w:rPr>
                <w:rFonts w:ascii="Times New Roman" w:hAnsi="Times New Roman"/>
                <w:b/>
                <w:sz w:val="24"/>
                <w:szCs w:val="24"/>
              </w:rPr>
              <w:t>202</w:t>
            </w:r>
            <w:r w:rsidR="003A50E2">
              <w:rPr>
                <w:rFonts w:ascii="Times New Roman" w:hAnsi="Times New Roman"/>
                <w:b/>
                <w:sz w:val="24"/>
                <w:szCs w:val="24"/>
              </w:rPr>
              <w:t>5</w:t>
            </w:r>
            <w:r w:rsidR="00400863" w:rsidRPr="00400863">
              <w:rPr>
                <w:rFonts w:ascii="Times New Roman" w:hAnsi="Times New Roman"/>
                <w:b/>
                <w:sz w:val="24"/>
                <w:szCs w:val="24"/>
              </w:rPr>
              <w:t xml:space="preserve">) </w:t>
            </w:r>
            <w:r w:rsidR="00CD54BB">
              <w:rPr>
                <w:rFonts w:ascii="Times New Roman" w:hAnsi="Times New Roman"/>
                <w:b/>
                <w:sz w:val="24"/>
                <w:szCs w:val="24"/>
              </w:rPr>
              <w:t>989</w:t>
            </w:r>
            <w:r w:rsidR="00400863" w:rsidRPr="00400863">
              <w:rPr>
                <w:rFonts w:ascii="Times New Roman" w:hAnsi="Times New Roman"/>
                <w:b/>
                <w:sz w:val="24"/>
                <w:szCs w:val="24"/>
              </w:rPr>
              <w:t xml:space="preserve"> final</w:t>
            </w:r>
            <w:r>
              <w:rPr>
                <w:rFonts w:ascii="Times New Roman" w:hAnsi="Times New Roman"/>
                <w:b/>
                <w:sz w:val="24"/>
                <w:szCs w:val="24"/>
              </w:rPr>
              <w:t>,</w:t>
            </w:r>
            <w:r>
              <w:rPr>
                <w:rFonts w:ascii="Times New Roman" w:hAnsi="Times New Roman"/>
                <w:b/>
                <w:sz w:val="24"/>
                <w:szCs w:val="24"/>
              </w:rPr>
              <w:br/>
            </w:r>
            <w:r w:rsidR="009013CF" w:rsidRPr="00400863">
              <w:rPr>
                <w:rFonts w:ascii="Times New Roman" w:hAnsi="Times New Roman"/>
                <w:b/>
                <w:sz w:val="24"/>
                <w:szCs w:val="24"/>
              </w:rPr>
              <w:t>COM(202</w:t>
            </w:r>
            <w:r w:rsidR="009013CF">
              <w:rPr>
                <w:rFonts w:ascii="Times New Roman" w:hAnsi="Times New Roman"/>
                <w:b/>
                <w:sz w:val="24"/>
                <w:szCs w:val="24"/>
              </w:rPr>
              <w:t>5</w:t>
            </w:r>
            <w:r w:rsidR="009013CF" w:rsidRPr="00400863">
              <w:rPr>
                <w:rFonts w:ascii="Times New Roman" w:hAnsi="Times New Roman"/>
                <w:b/>
                <w:sz w:val="24"/>
                <w:szCs w:val="24"/>
              </w:rPr>
              <w:t xml:space="preserve">) </w:t>
            </w:r>
            <w:r w:rsidR="00CD54BB">
              <w:rPr>
                <w:rFonts w:ascii="Times New Roman" w:hAnsi="Times New Roman"/>
                <w:b/>
                <w:sz w:val="24"/>
                <w:szCs w:val="24"/>
              </w:rPr>
              <w:t>990</w:t>
            </w:r>
            <w:r w:rsidR="009013CF">
              <w:rPr>
                <w:rFonts w:ascii="Times New Roman" w:hAnsi="Times New Roman"/>
                <w:b/>
                <w:sz w:val="24"/>
                <w:szCs w:val="24"/>
              </w:rPr>
              <w:t xml:space="preserve"> </w:t>
            </w:r>
            <w:r w:rsidR="009013CF" w:rsidRPr="00400863">
              <w:rPr>
                <w:rFonts w:ascii="Times New Roman" w:hAnsi="Times New Roman"/>
                <w:b/>
                <w:sz w:val="24"/>
                <w:szCs w:val="24"/>
              </w:rPr>
              <w:t>final</w:t>
            </w:r>
            <w:r w:rsidR="001C4138" w:rsidRPr="00455A1C">
              <w:rPr>
                <w:rFonts w:ascii="Times New Roman" w:hAnsi="Times New Roman"/>
                <w:b/>
                <w:sz w:val="24"/>
                <w:szCs w:val="24"/>
              </w:rPr>
              <w:br/>
            </w:r>
            <w:r w:rsidR="00400863" w:rsidRPr="00400863">
              <w:rPr>
                <w:rFonts w:ascii="Times New Roman" w:hAnsi="Times New Roman"/>
                <w:b/>
                <w:sz w:val="24"/>
                <w:szCs w:val="24"/>
              </w:rPr>
              <w:t>EESC-202</w:t>
            </w:r>
            <w:r w:rsidR="003A50E2">
              <w:rPr>
                <w:rFonts w:ascii="Times New Roman" w:hAnsi="Times New Roman"/>
                <w:b/>
                <w:sz w:val="24"/>
                <w:szCs w:val="24"/>
              </w:rPr>
              <w:t>5</w:t>
            </w:r>
            <w:r w:rsidR="00400863" w:rsidRPr="00400863">
              <w:rPr>
                <w:rFonts w:ascii="Times New Roman" w:hAnsi="Times New Roman"/>
                <w:b/>
                <w:sz w:val="24"/>
                <w:szCs w:val="24"/>
              </w:rPr>
              <w:t>-0</w:t>
            </w:r>
            <w:r w:rsidR="00CD54BB">
              <w:rPr>
                <w:rFonts w:ascii="Times New Roman" w:hAnsi="Times New Roman"/>
                <w:b/>
                <w:sz w:val="24"/>
                <w:szCs w:val="24"/>
              </w:rPr>
              <w:t>4390</w:t>
            </w:r>
            <w:r w:rsidR="00400863">
              <w:rPr>
                <w:rFonts w:ascii="Times New Roman" w:hAnsi="Times New Roman"/>
                <w:b/>
                <w:sz w:val="24"/>
                <w:szCs w:val="24"/>
              </w:rPr>
              <w:t xml:space="preserve"> </w:t>
            </w:r>
            <w:r w:rsidR="00171678" w:rsidRPr="00400863">
              <w:rPr>
                <w:rFonts w:ascii="Times New Roman" w:hAnsi="Times New Roman"/>
                <w:b/>
                <w:sz w:val="24"/>
                <w:szCs w:val="24"/>
              </w:rPr>
              <w:t>–</w:t>
            </w:r>
            <w:r w:rsidR="00400863">
              <w:rPr>
                <w:rFonts w:ascii="Times New Roman" w:hAnsi="Times New Roman"/>
                <w:b/>
                <w:sz w:val="24"/>
                <w:szCs w:val="24"/>
              </w:rPr>
              <w:t xml:space="preserve"> </w:t>
            </w:r>
            <w:r w:rsidR="00CD54BB">
              <w:rPr>
                <w:rFonts w:ascii="Times New Roman" w:hAnsi="Times New Roman"/>
                <w:b/>
                <w:sz w:val="24"/>
                <w:szCs w:val="24"/>
              </w:rPr>
              <w:t>NAT</w:t>
            </w:r>
            <w:r w:rsidR="00400863" w:rsidRPr="00400863">
              <w:rPr>
                <w:rFonts w:ascii="Times New Roman" w:hAnsi="Times New Roman"/>
                <w:b/>
                <w:sz w:val="24"/>
                <w:szCs w:val="24"/>
              </w:rPr>
              <w:t>/</w:t>
            </w:r>
            <w:r w:rsidR="00CD54BB">
              <w:rPr>
                <w:rFonts w:ascii="Times New Roman" w:hAnsi="Times New Roman"/>
                <w:b/>
                <w:sz w:val="24"/>
                <w:szCs w:val="24"/>
              </w:rPr>
              <w:t>976</w:t>
            </w:r>
            <w:r w:rsidR="001C4138" w:rsidRPr="00807B48">
              <w:rPr>
                <w:rFonts w:ascii="Times New Roman" w:hAnsi="Times New Roman"/>
                <w:b/>
                <w:sz w:val="24"/>
                <w:szCs w:val="24"/>
              </w:rPr>
              <w:br/>
            </w:r>
            <w:r w:rsidR="00C978E1">
              <w:rPr>
                <w:rFonts w:ascii="Times New Roman" w:hAnsi="Times New Roman"/>
                <w:b/>
                <w:sz w:val="24"/>
                <w:szCs w:val="24"/>
              </w:rPr>
              <w:t>60</w:t>
            </w:r>
            <w:r w:rsidR="00CD54BB">
              <w:rPr>
                <w:rFonts w:ascii="Times New Roman" w:hAnsi="Times New Roman"/>
                <w:b/>
                <w:sz w:val="24"/>
                <w:szCs w:val="24"/>
              </w:rPr>
              <w:t>4</w:t>
            </w:r>
            <w:r w:rsidR="00CD54BB">
              <w:rPr>
                <w:rFonts w:ascii="Times New Roman" w:hAnsi="Times New Roman"/>
                <w:b/>
                <w:sz w:val="24"/>
                <w:szCs w:val="24"/>
                <w:vertAlign w:val="superscript"/>
              </w:rPr>
              <w:t>th</w:t>
            </w:r>
            <w:r w:rsidR="00C978E1">
              <w:rPr>
                <w:rFonts w:ascii="Times New Roman" w:hAnsi="Times New Roman"/>
                <w:b/>
                <w:sz w:val="24"/>
                <w:szCs w:val="24"/>
              </w:rPr>
              <w:t xml:space="preserve"> </w:t>
            </w:r>
            <w:r w:rsidR="001C4138" w:rsidRPr="00400863">
              <w:rPr>
                <w:rFonts w:ascii="Times New Roman" w:hAnsi="Times New Roman"/>
                <w:b/>
                <w:sz w:val="24"/>
                <w:szCs w:val="24"/>
              </w:rPr>
              <w:t xml:space="preserve">Plenary Session – </w:t>
            </w:r>
            <w:r w:rsidR="00CD54BB">
              <w:rPr>
                <w:rFonts w:ascii="Times New Roman" w:hAnsi="Times New Roman"/>
                <w:b/>
                <w:sz w:val="24"/>
                <w:szCs w:val="24"/>
              </w:rPr>
              <w:t>March</w:t>
            </w:r>
            <w:r w:rsidR="00400863" w:rsidRPr="00400863">
              <w:rPr>
                <w:rFonts w:ascii="Times New Roman" w:hAnsi="Times New Roman"/>
                <w:b/>
                <w:sz w:val="24"/>
                <w:szCs w:val="24"/>
              </w:rPr>
              <w:t xml:space="preserve"> 202</w:t>
            </w:r>
            <w:r w:rsidR="00C978E1">
              <w:rPr>
                <w:rFonts w:ascii="Times New Roman" w:hAnsi="Times New Roman"/>
                <w:b/>
                <w:sz w:val="24"/>
                <w:szCs w:val="24"/>
              </w:rPr>
              <w:t>6</w:t>
            </w:r>
            <w:r w:rsidR="001C4138" w:rsidRPr="00807B48">
              <w:rPr>
                <w:rFonts w:ascii="Times New Roman" w:hAnsi="Times New Roman"/>
                <w:b/>
                <w:sz w:val="24"/>
                <w:szCs w:val="24"/>
              </w:rPr>
              <w:br/>
              <w:t xml:space="preserve">Rapporteur: </w:t>
            </w:r>
            <w:r w:rsidR="00CD54BB" w:rsidRPr="0045467F">
              <w:rPr>
                <w:rFonts w:ascii="Times New Roman" w:hAnsi="Times New Roman"/>
                <w:b/>
                <w:sz w:val="24"/>
                <w:szCs w:val="24"/>
              </w:rPr>
              <w:t>Teppo SÄKKINEN (FI-I)</w:t>
            </w:r>
            <w:r w:rsidR="001C4138" w:rsidRPr="00807B48">
              <w:rPr>
                <w:rFonts w:ascii="Times New Roman" w:hAnsi="Times New Roman"/>
                <w:b/>
                <w:sz w:val="24"/>
                <w:szCs w:val="24"/>
              </w:rPr>
              <w:br/>
              <w:t xml:space="preserve">DG </w:t>
            </w:r>
            <w:r w:rsidR="00400863" w:rsidRPr="00400863">
              <w:rPr>
                <w:rFonts w:ascii="Times New Roman" w:hAnsi="Times New Roman"/>
                <w:b/>
                <w:sz w:val="24"/>
                <w:szCs w:val="24"/>
              </w:rPr>
              <w:t>TAXUD</w:t>
            </w:r>
            <w:r w:rsidR="001C4138" w:rsidRPr="00400863">
              <w:rPr>
                <w:rFonts w:ascii="Times New Roman" w:hAnsi="Times New Roman"/>
                <w:b/>
                <w:sz w:val="24"/>
                <w:szCs w:val="24"/>
              </w:rPr>
              <w:t xml:space="preserve"> –</w:t>
            </w:r>
            <w:r w:rsidR="001C4138" w:rsidRPr="00807B48">
              <w:rPr>
                <w:rFonts w:ascii="Times New Roman" w:hAnsi="Times New Roman"/>
                <w:b/>
                <w:sz w:val="24"/>
                <w:szCs w:val="24"/>
              </w:rPr>
              <w:t xml:space="preserve"> Commissioner </w:t>
            </w:r>
            <w:r w:rsidR="00400863">
              <w:rPr>
                <w:rFonts w:ascii="Times New Roman" w:hAnsi="Times New Roman"/>
                <w:b/>
                <w:sz w:val="24"/>
                <w:szCs w:val="24"/>
              </w:rPr>
              <w:t>HOEKSTRA</w:t>
            </w:r>
          </w:p>
        </w:tc>
      </w:tr>
      <w:tr w:rsidR="00734613" w:rsidRPr="00442552" w14:paraId="1937071F" w14:textId="77777777" w:rsidTr="59DA9EE8">
        <w:trPr>
          <w:jc w:val="center"/>
        </w:trPr>
        <w:tc>
          <w:tcPr>
            <w:tcW w:w="10101" w:type="dxa"/>
          </w:tcPr>
          <w:p w14:paraId="1E50B4DB" w14:textId="14984E0F" w:rsidR="00734613" w:rsidRPr="00695797" w:rsidRDefault="004F6117" w:rsidP="001C1EB5">
            <w:pPr>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D13BB4">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59DA9EE8">
        <w:trPr>
          <w:jc w:val="center"/>
        </w:trPr>
        <w:tc>
          <w:tcPr>
            <w:tcW w:w="10101" w:type="dxa"/>
          </w:tcPr>
          <w:p w14:paraId="39A95607" w14:textId="4AF7B219" w:rsidR="003A50E2" w:rsidRPr="004F6117" w:rsidRDefault="4AD4B858" w:rsidP="1ABC878A">
            <w:pPr>
              <w:spacing w:before="120" w:after="120"/>
              <w:jc w:val="both"/>
            </w:pPr>
            <w:r w:rsidRPr="5CA3B123">
              <w:rPr>
                <w:rFonts w:ascii="Times New Roman" w:eastAsia="Times New Roman" w:hAnsi="Times New Roman"/>
                <w:sz w:val="24"/>
                <w:szCs w:val="24"/>
              </w:rPr>
              <w:t>The Commission welcomes the report adopted by the Committee regarding the legislative proposal to amend the Carbon Border Adjustment Mechanism (CBAM) Regulation</w:t>
            </w:r>
            <w:r w:rsidR="007D6C6F">
              <w:rPr>
                <w:rStyle w:val="FootnoteReference"/>
                <w:rFonts w:ascii="Times New Roman" w:eastAsia="Times New Roman" w:hAnsi="Times New Roman"/>
                <w:sz w:val="24"/>
                <w:szCs w:val="24"/>
              </w:rPr>
              <w:footnoteReference w:id="2"/>
            </w:r>
            <w:r w:rsidRPr="5CA3B123">
              <w:rPr>
                <w:rFonts w:ascii="Times New Roman" w:eastAsia="Times New Roman" w:hAnsi="Times New Roman"/>
                <w:sz w:val="24"/>
                <w:szCs w:val="24"/>
              </w:rPr>
              <w:t xml:space="preserve"> as regards the extension of the scope to downstream goods and anti-circumvention measures</w:t>
            </w:r>
            <w:r w:rsidR="007D6C6F">
              <w:rPr>
                <w:rStyle w:val="FootnoteReference"/>
                <w:rFonts w:ascii="Times New Roman" w:eastAsia="Times New Roman" w:hAnsi="Times New Roman"/>
                <w:sz w:val="24"/>
                <w:szCs w:val="24"/>
              </w:rPr>
              <w:footnoteReference w:id="3"/>
            </w:r>
            <w:r w:rsidRPr="5CA3B123">
              <w:rPr>
                <w:rFonts w:ascii="Times New Roman" w:eastAsia="Times New Roman" w:hAnsi="Times New Roman"/>
                <w:sz w:val="24"/>
                <w:szCs w:val="24"/>
              </w:rPr>
              <w:t xml:space="preserve"> (and the legislative proposal establishing the Temporary Decarbonisation Fund</w:t>
            </w:r>
            <w:r w:rsidR="005A6B57">
              <w:rPr>
                <w:rFonts w:ascii="Times New Roman" w:eastAsia="Times New Roman" w:hAnsi="Times New Roman"/>
                <w:sz w:val="24"/>
                <w:szCs w:val="24"/>
              </w:rPr>
              <w:t>)</w:t>
            </w:r>
            <w:r w:rsidR="007D6C6F">
              <w:rPr>
                <w:rStyle w:val="FootnoteReference"/>
                <w:rFonts w:ascii="Times New Roman" w:eastAsia="Times New Roman" w:hAnsi="Times New Roman"/>
                <w:sz w:val="24"/>
                <w:szCs w:val="24"/>
              </w:rPr>
              <w:footnoteReference w:id="4"/>
            </w:r>
            <w:r w:rsidRPr="5CA3B123">
              <w:rPr>
                <w:rFonts w:ascii="Times New Roman" w:eastAsia="Times New Roman" w:hAnsi="Times New Roman"/>
                <w:sz w:val="24"/>
                <w:szCs w:val="24"/>
              </w:rPr>
              <w:t>.</w:t>
            </w:r>
          </w:p>
          <w:p w14:paraId="2746CA49" w14:textId="5BF13C8D" w:rsidR="003A50E2" w:rsidRPr="004F6117" w:rsidRDefault="4AD4B858" w:rsidP="1ABC878A">
            <w:pPr>
              <w:spacing w:before="120" w:after="120"/>
              <w:jc w:val="both"/>
            </w:pPr>
            <w:r w:rsidRPr="1ABC878A">
              <w:rPr>
                <w:rFonts w:ascii="Times New Roman" w:eastAsia="Times New Roman" w:hAnsi="Times New Roman"/>
                <w:sz w:val="24"/>
                <w:szCs w:val="24"/>
              </w:rPr>
              <w:t>The Commission acknowledges that an effective and efficient implementation of the CBAM requires sufficient time for all stakeholder to prepare for its implementation. To this end, the proposal includes an entry into force date for the extension to downstream products of 1 January 2028. This balances the need to give all stakeholders involved sufficient time to prepare for the downstream extension while ensuring that the risk of carbon leakage is addressed in a timely manner. To support the implementation of the downstream extension, the proposal will facilitate the use of default emission intensities by introducing a zero mark-up for complex downstream goods. In addition, the Commission co-legislators in 2025 already adopted a significant simplification of the CBAM. Notably, companies importing less than a certain threshold (currently set at 50 tonnes) on a yearly basis are exempt from CBAM obligations.</w:t>
            </w:r>
            <w:r w:rsidR="003A50E2" w:rsidRPr="1ABC878A">
              <w:rPr>
                <w:rStyle w:val="FootnoteReference"/>
                <w:rFonts w:ascii="Times New Roman" w:eastAsia="Times New Roman" w:hAnsi="Times New Roman"/>
                <w:sz w:val="24"/>
                <w:szCs w:val="24"/>
              </w:rPr>
              <w:footnoteReference w:id="5"/>
            </w:r>
            <w:r w:rsidR="78F1469E" w:rsidRPr="1ABC878A">
              <w:rPr>
                <w:rFonts w:ascii="Times New Roman" w:eastAsia="Times New Roman" w:hAnsi="Times New Roman"/>
                <w:sz w:val="24"/>
                <w:szCs w:val="24"/>
              </w:rPr>
              <w:t xml:space="preserve"> </w:t>
            </w:r>
            <w:r w:rsidRPr="1ABC878A">
              <w:rPr>
                <w:rFonts w:ascii="Times New Roman" w:eastAsia="Times New Roman" w:hAnsi="Times New Roman"/>
                <w:sz w:val="24"/>
                <w:szCs w:val="24"/>
              </w:rPr>
              <w:t xml:space="preserve">This is expected to especially benefit small and medium-sized enterprises (SMEs) importing only limited quantities of CBAM goods. </w:t>
            </w:r>
          </w:p>
          <w:p w14:paraId="0E76465D" w14:textId="59479F00" w:rsidR="003A50E2" w:rsidRPr="004F6117" w:rsidRDefault="4AD4B858" w:rsidP="1ABC878A">
            <w:pPr>
              <w:spacing w:before="120" w:after="120"/>
              <w:jc w:val="both"/>
            </w:pPr>
            <w:r w:rsidRPr="1ABC878A">
              <w:rPr>
                <w:rFonts w:ascii="Times New Roman" w:eastAsia="Times New Roman" w:hAnsi="Times New Roman"/>
                <w:sz w:val="24"/>
                <w:szCs w:val="24"/>
              </w:rPr>
              <w:t>Regarding the 50 tonnes threshold applying to the whole weight of products, the Commission does not support the EESC</w:t>
            </w:r>
            <w:r w:rsidR="00B82F70">
              <w:rPr>
                <w:rFonts w:ascii="Times New Roman" w:eastAsia="Times New Roman" w:hAnsi="Times New Roman"/>
                <w:sz w:val="24"/>
                <w:szCs w:val="24"/>
              </w:rPr>
              <w:t>’s</w:t>
            </w:r>
            <w:r w:rsidRPr="1ABC878A">
              <w:rPr>
                <w:rFonts w:ascii="Times New Roman" w:eastAsia="Times New Roman" w:hAnsi="Times New Roman"/>
                <w:sz w:val="24"/>
                <w:szCs w:val="24"/>
              </w:rPr>
              <w:t xml:space="preserve"> suggestion to allow importers to deviate from this and only consider the steel and aluminium content in imported products. The Commission is of the view that this would increase complexity and administrative burden for all stakeholders involved, notably for small importers, but also for national competent authorities.</w:t>
            </w:r>
          </w:p>
          <w:p w14:paraId="51E74CCF" w14:textId="284BAB5B" w:rsidR="003A50E2" w:rsidRPr="004F6117" w:rsidRDefault="4AD4B858" w:rsidP="1ABC878A">
            <w:pPr>
              <w:spacing w:before="120" w:after="120"/>
              <w:jc w:val="both"/>
            </w:pPr>
            <w:r w:rsidRPr="1ABC878A">
              <w:rPr>
                <w:rFonts w:ascii="Times New Roman" w:eastAsia="Times New Roman" w:hAnsi="Times New Roman"/>
                <w:sz w:val="24"/>
                <w:szCs w:val="24"/>
              </w:rPr>
              <w:t xml:space="preserve">The Commission notes that Member States’ national accreditation bodies have </w:t>
            </w:r>
            <w:r w:rsidR="002F2569" w:rsidRPr="1ABC878A">
              <w:rPr>
                <w:rFonts w:ascii="Times New Roman" w:eastAsia="Times New Roman" w:hAnsi="Times New Roman"/>
                <w:sz w:val="24"/>
                <w:szCs w:val="24"/>
              </w:rPr>
              <w:t>opened</w:t>
            </w:r>
            <w:r w:rsidR="002F2569">
              <w:rPr>
                <w:rFonts w:ascii="Times New Roman" w:eastAsia="Times New Roman" w:hAnsi="Times New Roman"/>
                <w:sz w:val="24"/>
                <w:szCs w:val="24"/>
              </w:rPr>
              <w:t xml:space="preserve"> or</w:t>
            </w:r>
            <w:r w:rsidRPr="1ABC878A">
              <w:rPr>
                <w:rFonts w:ascii="Times New Roman" w:eastAsia="Times New Roman" w:hAnsi="Times New Roman"/>
                <w:sz w:val="24"/>
                <w:szCs w:val="24"/>
              </w:rPr>
              <w:t xml:space="preserve"> are in the process of opening applications for CBAM accreditation. The first verifiers should be accredited for CBAM in September 2026, and they should issue the first verification reports in early 2027, well in time for the submission of the first CBAM declarations by 30 September 2027. Commission services are in regular contacts with Member States’ national accreditation bodies to monitor this issue.</w:t>
            </w:r>
          </w:p>
          <w:p w14:paraId="2F3459E1" w14:textId="1B6E5F67" w:rsidR="003A50E2" w:rsidRPr="004F6117" w:rsidRDefault="4AD4B858" w:rsidP="1ABC878A">
            <w:pPr>
              <w:spacing w:before="120" w:after="120"/>
              <w:jc w:val="both"/>
            </w:pPr>
            <w:r w:rsidRPr="1ABC878A">
              <w:rPr>
                <w:rFonts w:ascii="Times New Roman" w:eastAsia="Times New Roman" w:hAnsi="Times New Roman"/>
                <w:sz w:val="24"/>
                <w:szCs w:val="24"/>
              </w:rPr>
              <w:lastRenderedPageBreak/>
              <w:t xml:space="preserve">The Commission furthermore takes note of the EESC’s recommendation regarding article 27a, which the EESC stresses must be clearly defined, governed by transparent and predictable criteria and processes and be evidence-based.  </w:t>
            </w:r>
          </w:p>
          <w:p w14:paraId="1B5DB4FB" w14:textId="355C87E1" w:rsidR="003A50E2" w:rsidRPr="004F6117" w:rsidRDefault="4AD4B858" w:rsidP="1ABC878A">
            <w:pPr>
              <w:spacing w:before="120" w:after="120"/>
              <w:jc w:val="both"/>
            </w:pPr>
            <w:r w:rsidRPr="59DA9EE8">
              <w:rPr>
                <w:rFonts w:ascii="Times New Roman" w:eastAsia="Times New Roman" w:hAnsi="Times New Roman"/>
                <w:sz w:val="24"/>
                <w:szCs w:val="24"/>
              </w:rPr>
              <w:t>The Commission supports the capacity of developing countries to comply with the CBAM, report actual emissions data</w:t>
            </w:r>
            <w:r w:rsidR="00B82F70">
              <w:rPr>
                <w:rFonts w:ascii="Times New Roman" w:eastAsia="Times New Roman" w:hAnsi="Times New Roman"/>
                <w:sz w:val="24"/>
                <w:szCs w:val="24"/>
              </w:rPr>
              <w:t>,</w:t>
            </w:r>
            <w:r w:rsidRPr="59DA9EE8">
              <w:rPr>
                <w:rFonts w:ascii="Times New Roman" w:eastAsia="Times New Roman" w:hAnsi="Times New Roman"/>
                <w:sz w:val="24"/>
                <w:szCs w:val="24"/>
              </w:rPr>
              <w:t xml:space="preserve"> and adopt carbon pricing schemes. The Commission is furthermore committed to supporting third countries in developing carbon pricing instrument</w:t>
            </w:r>
            <w:r w:rsidR="05E12B37" w:rsidRPr="59DA9EE8">
              <w:rPr>
                <w:rFonts w:ascii="Times New Roman" w:eastAsia="Times New Roman" w:hAnsi="Times New Roman"/>
                <w:sz w:val="24"/>
                <w:szCs w:val="24"/>
              </w:rPr>
              <w:t>s</w:t>
            </w:r>
            <w:r w:rsidR="00B82F70">
              <w:rPr>
                <w:rFonts w:ascii="Times New Roman" w:eastAsia="Times New Roman" w:hAnsi="Times New Roman"/>
                <w:sz w:val="24"/>
                <w:szCs w:val="24"/>
              </w:rPr>
              <w:t>. It</w:t>
            </w:r>
            <w:r w:rsidRPr="59DA9EE8">
              <w:rPr>
                <w:rFonts w:ascii="Times New Roman" w:eastAsia="Times New Roman" w:hAnsi="Times New Roman"/>
                <w:sz w:val="24"/>
                <w:szCs w:val="24"/>
              </w:rPr>
              <w:t xml:space="preserve"> has set up a dedicated taskforce for International Carbon Pricing and Markets Diplomacy to intensify its support to other jurisdictions willing to introduce or improve their own carbon pricing mechanisms. The Commission confirms that the deduction of a carbon price effectively paid under the CBAM, including international carbon credits under Article 6 of the Paris agreement will be based on a monetary value effectively paid and converted into euro.</w:t>
            </w:r>
          </w:p>
          <w:p w14:paraId="32D5B48F" w14:textId="696600FB" w:rsidR="008A56B0" w:rsidRDefault="008A56B0" w:rsidP="008A56B0">
            <w:pPr>
              <w:spacing w:before="120" w:after="120"/>
              <w:jc w:val="both"/>
              <w:rPr>
                <w:rFonts w:ascii="Times New Roman" w:eastAsia="Times New Roman" w:hAnsi="Times New Roman"/>
                <w:sz w:val="24"/>
                <w:szCs w:val="24"/>
              </w:rPr>
            </w:pPr>
            <w:r w:rsidRPr="59DA9EE8">
              <w:rPr>
                <w:rFonts w:ascii="Times New Roman" w:eastAsia="Times New Roman" w:hAnsi="Times New Roman"/>
                <w:sz w:val="24"/>
                <w:szCs w:val="24"/>
              </w:rPr>
              <w:t xml:space="preserve">In relation to the collection of own resources, the Commission confirms that </w:t>
            </w:r>
            <w:r>
              <w:rPr>
                <w:rFonts w:ascii="Times New Roman" w:eastAsia="Times New Roman" w:hAnsi="Times New Roman"/>
                <w:sz w:val="24"/>
                <w:szCs w:val="24"/>
              </w:rPr>
              <w:t xml:space="preserve">revenue generation </w:t>
            </w:r>
            <w:r w:rsidRPr="59DA9EE8">
              <w:rPr>
                <w:rFonts w:ascii="Times New Roman" w:eastAsia="Times New Roman" w:hAnsi="Times New Roman"/>
                <w:sz w:val="24"/>
                <w:szCs w:val="24"/>
              </w:rPr>
              <w:t xml:space="preserve">for the EU budget is not the objective of </w:t>
            </w:r>
            <w:r>
              <w:rPr>
                <w:rFonts w:ascii="Times New Roman" w:eastAsia="Times New Roman" w:hAnsi="Times New Roman"/>
                <w:sz w:val="24"/>
                <w:szCs w:val="24"/>
              </w:rPr>
              <w:t xml:space="preserve">the </w:t>
            </w:r>
            <w:r w:rsidRPr="59DA9EE8">
              <w:rPr>
                <w:rFonts w:ascii="Times New Roman" w:eastAsia="Times New Roman" w:hAnsi="Times New Roman"/>
                <w:sz w:val="24"/>
                <w:szCs w:val="24"/>
              </w:rPr>
              <w:t>CBAM. The proposal for a CBAM own resource does not alter in any way the volume of CBAM revenue that is expected to be generated exclusively from the mechanism adopted in the Regulation</w:t>
            </w:r>
            <w:r w:rsidR="00BF4699">
              <w:rPr>
                <w:rFonts w:ascii="Times New Roman" w:eastAsia="Times New Roman" w:hAnsi="Times New Roman"/>
                <w:sz w:val="24"/>
                <w:szCs w:val="24"/>
              </w:rPr>
              <w:t xml:space="preserve"> establi</w:t>
            </w:r>
            <w:r w:rsidR="00B82F70">
              <w:rPr>
                <w:rFonts w:ascii="Times New Roman" w:eastAsia="Times New Roman" w:hAnsi="Times New Roman"/>
                <w:sz w:val="24"/>
                <w:szCs w:val="24"/>
              </w:rPr>
              <w:t>s</w:t>
            </w:r>
            <w:r w:rsidR="00BF4699">
              <w:rPr>
                <w:rFonts w:ascii="Times New Roman" w:eastAsia="Times New Roman" w:hAnsi="Times New Roman"/>
                <w:sz w:val="24"/>
                <w:szCs w:val="24"/>
              </w:rPr>
              <w:t>hing a carbon border adjustment mechanism.</w:t>
            </w:r>
          </w:p>
          <w:p w14:paraId="3DE6A269" w14:textId="68B12134" w:rsidR="003A50E2" w:rsidRPr="004F6117" w:rsidRDefault="4AD4B858" w:rsidP="1ABC878A">
            <w:pPr>
              <w:spacing w:before="120" w:after="120"/>
              <w:jc w:val="both"/>
            </w:pPr>
            <w:r w:rsidRPr="1ABC878A">
              <w:rPr>
                <w:rFonts w:ascii="Times New Roman" w:eastAsia="Times New Roman" w:hAnsi="Times New Roman"/>
                <w:sz w:val="24"/>
                <w:szCs w:val="24"/>
              </w:rPr>
              <w:t xml:space="preserve">Regarding the Temporary Decarbonisation Fund (TDF), the Commission recalls that its objective is to support the production of goods associated with an increased remaining carbon leakage risk in 2026 and 2027, under the condition of decarbonisation measures being taken. A more permanent solution will be proposed as part of the upcoming revision of the </w:t>
            </w:r>
            <w:r w:rsidR="00EE396C">
              <w:rPr>
                <w:rFonts w:ascii="Times New Roman" w:eastAsia="Times New Roman" w:hAnsi="Times New Roman"/>
                <w:sz w:val="24"/>
                <w:szCs w:val="24"/>
              </w:rPr>
              <w:t>Emissions Trading System (</w:t>
            </w:r>
            <w:r w:rsidRPr="1ABC878A">
              <w:rPr>
                <w:rFonts w:ascii="Times New Roman" w:eastAsia="Times New Roman" w:hAnsi="Times New Roman"/>
                <w:sz w:val="24"/>
                <w:szCs w:val="24"/>
              </w:rPr>
              <w:t>ETS</w:t>
            </w:r>
            <w:r w:rsidR="00EE396C">
              <w:rPr>
                <w:rFonts w:ascii="Times New Roman" w:eastAsia="Times New Roman" w:hAnsi="Times New Roman"/>
                <w:sz w:val="24"/>
                <w:szCs w:val="24"/>
              </w:rPr>
              <w:t>)</w:t>
            </w:r>
            <w:r w:rsidRPr="1ABC878A">
              <w:rPr>
                <w:rFonts w:ascii="Times New Roman" w:eastAsia="Times New Roman" w:hAnsi="Times New Roman"/>
                <w:sz w:val="24"/>
                <w:szCs w:val="24"/>
              </w:rPr>
              <w:t xml:space="preserve"> Directive</w:t>
            </w:r>
            <w:r w:rsidR="00EE396C">
              <w:rPr>
                <w:rStyle w:val="FootnoteReference"/>
                <w:rFonts w:ascii="Times New Roman" w:eastAsia="Times New Roman" w:hAnsi="Times New Roman"/>
                <w:sz w:val="24"/>
                <w:szCs w:val="24"/>
              </w:rPr>
              <w:footnoteReference w:id="6"/>
            </w:r>
            <w:r w:rsidRPr="1ABC878A">
              <w:rPr>
                <w:rFonts w:ascii="Times New Roman" w:eastAsia="Times New Roman" w:hAnsi="Times New Roman"/>
                <w:sz w:val="24"/>
                <w:szCs w:val="24"/>
              </w:rPr>
              <w:t>.</w:t>
            </w:r>
          </w:p>
          <w:p w14:paraId="30C3E014" w14:textId="09E7EC1B" w:rsidR="003A50E2" w:rsidRPr="004F6117" w:rsidRDefault="4AD4B858" w:rsidP="1ABC878A">
            <w:pPr>
              <w:spacing w:before="120" w:after="120"/>
              <w:jc w:val="both"/>
            </w:pPr>
            <w:r w:rsidRPr="1ABC878A">
              <w:rPr>
                <w:rFonts w:ascii="Times New Roman" w:eastAsia="Times New Roman" w:hAnsi="Times New Roman"/>
                <w:sz w:val="24"/>
                <w:szCs w:val="24"/>
              </w:rPr>
              <w:t xml:space="preserve">On the nature of companies covered by the TDF, the Commission takes note of the EESC’s views. The TDF will provide temporary decarbonisation support to EU producers of certain CBAM goods to reduce their exposure to a remaining carbon leakage risk. The TDF is targeted at operators of EU ETS installations producing CBAM goods identified as being at increased risk of remaining carbon leakage in relation to the EU ETS carbon price that they themselves are subject to. It should be noted that the phase-out of EU ETS allowances is limited for the production years that the TDF covers. </w:t>
            </w:r>
          </w:p>
          <w:p w14:paraId="074FBEC6" w14:textId="5C880770" w:rsidR="003A50E2" w:rsidRPr="004F6117" w:rsidRDefault="4AD4B858" w:rsidP="1ABC878A">
            <w:pPr>
              <w:spacing w:before="120" w:after="120"/>
              <w:jc w:val="both"/>
            </w:pPr>
            <w:r w:rsidRPr="1ABC878A">
              <w:rPr>
                <w:rFonts w:ascii="Times New Roman" w:eastAsia="Times New Roman" w:hAnsi="Times New Roman"/>
                <w:sz w:val="24"/>
                <w:szCs w:val="24"/>
              </w:rPr>
              <w:t>The Commission welcomes the EESC’s support regarding the decarbonisation criteria. Robust decarbonisation conditionality is a central feature of the TDF. The Commission takes note of the EESC’s suggestion regarding the inclusion of social criteria. However, to limit administrative burden, the management of the Fund will use existing reporting infrastructure and processes of the EU ETS as much as possible.</w:t>
            </w:r>
          </w:p>
          <w:p w14:paraId="30D14481" w14:textId="6FC3A5CB" w:rsidR="003A50E2" w:rsidRPr="004F6117" w:rsidRDefault="4AD4B858" w:rsidP="1ABC878A">
            <w:pPr>
              <w:spacing w:before="120" w:after="120"/>
              <w:jc w:val="both"/>
              <w:rPr>
                <w:rFonts w:ascii="Times New Roman" w:eastAsia="Times New Roman" w:hAnsi="Times New Roman"/>
                <w:sz w:val="24"/>
                <w:szCs w:val="24"/>
              </w:rPr>
            </w:pPr>
            <w:r w:rsidRPr="1ABC878A">
              <w:rPr>
                <w:rFonts w:ascii="Times New Roman" w:eastAsia="Times New Roman" w:hAnsi="Times New Roman"/>
                <w:sz w:val="24"/>
                <w:szCs w:val="24"/>
              </w:rPr>
              <w:t xml:space="preserve">The Commission acknowledges the call by the EESC to address the availability and affordability of fertilisers. In the context of the current legislative proposal, it should be noted that </w:t>
            </w:r>
            <w:r w:rsidRPr="1ABC878A">
              <w:rPr>
                <w:rFonts w:ascii="Times New Roman" w:eastAsia="Times New Roman" w:hAnsi="Times New Roman"/>
                <w:sz w:val="24"/>
                <w:szCs w:val="24"/>
                <w:lang w:val="en-GB"/>
              </w:rPr>
              <w:t xml:space="preserve">the fertiliser sector is eligible to receive support under the Temporary Decarbonisation Fund. </w:t>
            </w:r>
            <w:r w:rsidR="000964B1" w:rsidRPr="00F27786">
              <w:rPr>
                <w:rFonts w:ascii="Times New Roman" w:eastAsia="Times New Roman" w:hAnsi="Times New Roman"/>
                <w:sz w:val="24"/>
                <w:szCs w:val="24"/>
              </w:rPr>
              <w:t>Furthermore, the Commission has introduced a reduced mark-up for CBAM default values for fertiliser products.</w:t>
            </w:r>
            <w:r w:rsidR="000964B1">
              <w:rPr>
                <w:rFonts w:ascii="Times New Roman" w:eastAsia="Times New Roman" w:hAnsi="Times New Roman"/>
                <w:sz w:val="24"/>
                <w:szCs w:val="24"/>
              </w:rPr>
              <w:t xml:space="preserve"> </w:t>
            </w:r>
            <w:r w:rsidRPr="1ABC878A">
              <w:rPr>
                <w:rFonts w:ascii="Times New Roman" w:eastAsia="Times New Roman" w:hAnsi="Times New Roman"/>
                <w:sz w:val="24"/>
                <w:szCs w:val="24"/>
                <w:lang w:val="en-GB"/>
              </w:rPr>
              <w:t xml:space="preserve">Beyond the remit of the CBAM, the Commission is furthermore taking a wide set of measures to support the affordability and availability of fertilisers and </w:t>
            </w:r>
            <w:r w:rsidR="001D01D1">
              <w:rPr>
                <w:rFonts w:ascii="Times New Roman" w:eastAsia="Times New Roman" w:hAnsi="Times New Roman"/>
                <w:sz w:val="24"/>
                <w:szCs w:val="24"/>
                <w:lang w:val="en-GB"/>
              </w:rPr>
              <w:t xml:space="preserve">has adopted </w:t>
            </w:r>
            <w:r w:rsidRPr="1ABC878A">
              <w:rPr>
                <w:rFonts w:ascii="Times New Roman" w:eastAsia="Times New Roman" w:hAnsi="Times New Roman"/>
                <w:sz w:val="24"/>
                <w:szCs w:val="24"/>
                <w:lang w:val="en-GB"/>
              </w:rPr>
              <w:t>a Fertiliser Action Plan</w:t>
            </w:r>
            <w:r w:rsidR="00030086">
              <w:rPr>
                <w:rFonts w:ascii="Times New Roman" w:eastAsia="Times New Roman" w:hAnsi="Times New Roman"/>
                <w:sz w:val="24"/>
                <w:szCs w:val="24"/>
                <w:lang w:val="en-GB"/>
              </w:rPr>
              <w:t xml:space="preserve"> on 19 </w:t>
            </w:r>
            <w:r w:rsidR="00030086">
              <w:rPr>
                <w:rFonts w:ascii="Times New Roman" w:eastAsia="Times New Roman" w:hAnsi="Times New Roman"/>
                <w:sz w:val="24"/>
                <w:szCs w:val="24"/>
                <w:lang w:val="en-GB"/>
              </w:rPr>
              <w:lastRenderedPageBreak/>
              <w:t>May 2026</w:t>
            </w:r>
            <w:r w:rsidRPr="1ABC878A">
              <w:rPr>
                <w:rFonts w:ascii="Times New Roman" w:eastAsia="Times New Roman" w:hAnsi="Times New Roman"/>
                <w:sz w:val="24"/>
                <w:szCs w:val="24"/>
                <w:lang w:val="en-GB"/>
              </w:rPr>
              <w:t>.</w:t>
            </w:r>
            <w:r w:rsidR="000964B1">
              <w:rPr>
                <w:rFonts w:ascii="Times New Roman" w:eastAsia="Times New Roman" w:hAnsi="Times New Roman"/>
                <w:sz w:val="24"/>
                <w:szCs w:val="24"/>
                <w:lang w:val="en-GB"/>
              </w:rPr>
              <w:t xml:space="preserve"> </w:t>
            </w:r>
            <w:r w:rsidR="000964B1" w:rsidRPr="00F27786">
              <w:rPr>
                <w:rFonts w:ascii="Times New Roman" w:eastAsia="Times New Roman" w:hAnsi="Times New Roman"/>
                <w:sz w:val="24"/>
                <w:szCs w:val="24"/>
              </w:rPr>
              <w:t>In April 2026</w:t>
            </w:r>
            <w:r w:rsidR="000964B1">
              <w:rPr>
                <w:rFonts w:ascii="Times New Roman" w:eastAsia="Times New Roman" w:hAnsi="Times New Roman"/>
                <w:sz w:val="24"/>
                <w:szCs w:val="24"/>
              </w:rPr>
              <w:t>,</w:t>
            </w:r>
            <w:r w:rsidR="000964B1" w:rsidRPr="00F27786">
              <w:rPr>
                <w:rFonts w:ascii="Times New Roman" w:eastAsia="Times New Roman" w:hAnsi="Times New Roman"/>
                <w:sz w:val="24"/>
                <w:szCs w:val="24"/>
              </w:rPr>
              <w:t xml:space="preserve"> the Commission hosted a High-Level Dialogue on Fertilisers to exchange and explore policy options with key actors across the fertiliser supply chain, ahead of the adoption of the Action Plan.</w:t>
            </w:r>
          </w:p>
        </w:tc>
      </w:tr>
    </w:tbl>
    <w:p w14:paraId="6AF07B14" w14:textId="26AEAB66" w:rsidR="004F6117" w:rsidRPr="00D13BB4" w:rsidRDefault="004F6117" w:rsidP="00D13BB4">
      <w:pPr>
        <w:spacing w:after="0" w:line="240" w:lineRule="auto"/>
        <w:ind w:left="-284"/>
        <w:rPr>
          <w:rFonts w:ascii="Times New Roman" w:hAnsi="Times New Roman"/>
          <w:bCs/>
          <w:strike/>
          <w:sz w:val="16"/>
          <w:szCs w:val="16"/>
        </w:rPr>
      </w:pPr>
    </w:p>
    <w:sectPr w:rsidR="004F6117" w:rsidRPr="00D13BB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6D80A" w14:textId="77777777" w:rsidR="00390541" w:rsidRDefault="00390541" w:rsidP="00FF63EA">
      <w:pPr>
        <w:spacing w:after="0" w:line="240" w:lineRule="auto"/>
      </w:pPr>
      <w:r>
        <w:separator/>
      </w:r>
    </w:p>
  </w:endnote>
  <w:endnote w:type="continuationSeparator" w:id="0">
    <w:p w14:paraId="7B784B3F" w14:textId="77777777" w:rsidR="00390541" w:rsidRDefault="00390541" w:rsidP="00FF63EA">
      <w:pPr>
        <w:spacing w:after="0" w:line="240" w:lineRule="auto"/>
      </w:pPr>
      <w:r>
        <w:continuationSeparator/>
      </w:r>
    </w:p>
  </w:endnote>
  <w:endnote w:type="continuationNotice" w:id="1">
    <w:p w14:paraId="7CA415F7" w14:textId="77777777" w:rsidR="00390541" w:rsidRDefault="003905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840A" w14:textId="77777777" w:rsidR="006956AE" w:rsidRDefault="006956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0C352" w14:textId="77777777" w:rsidR="006956AE" w:rsidRDefault="006956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0374" w14:textId="77777777" w:rsidR="006956AE" w:rsidRDefault="00695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95518" w14:textId="77777777" w:rsidR="00390541" w:rsidRDefault="00390541" w:rsidP="00FF63EA">
      <w:pPr>
        <w:spacing w:after="0" w:line="240" w:lineRule="auto"/>
      </w:pPr>
      <w:r>
        <w:separator/>
      </w:r>
    </w:p>
  </w:footnote>
  <w:footnote w:type="continuationSeparator" w:id="0">
    <w:p w14:paraId="76C5558E" w14:textId="77777777" w:rsidR="00390541" w:rsidRDefault="00390541" w:rsidP="00FF63EA">
      <w:pPr>
        <w:spacing w:after="0" w:line="240" w:lineRule="auto"/>
      </w:pPr>
      <w:r>
        <w:continuationSeparator/>
      </w:r>
    </w:p>
  </w:footnote>
  <w:footnote w:type="continuationNotice" w:id="1">
    <w:p w14:paraId="64C90DF2" w14:textId="77777777" w:rsidR="00390541" w:rsidRDefault="00390541">
      <w:pPr>
        <w:spacing w:after="0" w:line="240" w:lineRule="auto"/>
      </w:pPr>
    </w:p>
  </w:footnote>
  <w:footnote w:id="2">
    <w:p w14:paraId="6F28B76D" w14:textId="5BB25AA6" w:rsidR="007D6C6F" w:rsidRPr="00AC0313" w:rsidRDefault="007D6C6F" w:rsidP="00AC0313">
      <w:pPr>
        <w:pStyle w:val="FootnoteText"/>
        <w:widowControl w:val="0"/>
        <w:jc w:val="both"/>
        <w:rPr>
          <w:rFonts w:ascii="Times New Roman" w:hAnsi="Times New Roman"/>
        </w:rPr>
      </w:pPr>
      <w:r w:rsidRPr="00AC0313">
        <w:rPr>
          <w:rStyle w:val="FootnoteReference"/>
          <w:rFonts w:ascii="Times New Roman" w:hAnsi="Times New Roman"/>
        </w:rPr>
        <w:footnoteRef/>
      </w:r>
      <w:r w:rsidRPr="00AC0313">
        <w:rPr>
          <w:rFonts w:ascii="Times New Roman" w:hAnsi="Times New Roman"/>
        </w:rPr>
        <w:t xml:space="preserve"> </w:t>
      </w:r>
      <w:r w:rsidRPr="00AC0313">
        <w:rPr>
          <w:rFonts w:ascii="Times New Roman" w:hAnsi="Times New Roman"/>
        </w:rPr>
        <w:tab/>
        <w:t>Regulation (EU) 2023/956 of the European Parliament and of the Council of 10 May 2023 establishing a carbon border adjustment mechanism (</w:t>
      </w:r>
      <w:hyperlink r:id="rId1" w:tooltip="Gives access to this document through its ELI URI." w:history="1">
        <w:r w:rsidRPr="00AC0313">
          <w:rPr>
            <w:rStyle w:val="Hyperlink"/>
            <w:rFonts w:ascii="Times New Roman" w:hAnsi="Times New Roman"/>
          </w:rPr>
          <w:t>http://data.europa.eu/eli/reg/2023/956/oj</w:t>
        </w:r>
      </w:hyperlink>
      <w:r w:rsidRPr="007D6C6F">
        <w:rPr>
          <w:rFonts w:ascii="Times New Roman" w:hAnsi="Times New Roman"/>
        </w:rPr>
        <w:t xml:space="preserve"> </w:t>
      </w:r>
      <w:r w:rsidRPr="00AC0313">
        <w:rPr>
          <w:rFonts w:ascii="Times New Roman" w:hAnsi="Times New Roman"/>
        </w:rPr>
        <w:t>).</w:t>
      </w:r>
    </w:p>
  </w:footnote>
  <w:footnote w:id="3">
    <w:p w14:paraId="4B3A4D21" w14:textId="4857A9CC" w:rsidR="007D6C6F" w:rsidRPr="00AC0313" w:rsidRDefault="007D6C6F" w:rsidP="00AC0313">
      <w:pPr>
        <w:pStyle w:val="FootnoteText"/>
        <w:jc w:val="both"/>
        <w:rPr>
          <w:rFonts w:ascii="Times New Roman" w:hAnsi="Times New Roman"/>
          <w:lang w:val="pt-PT"/>
        </w:rPr>
      </w:pPr>
      <w:r w:rsidRPr="00AC0313">
        <w:rPr>
          <w:rStyle w:val="FootnoteReference"/>
          <w:rFonts w:ascii="Times New Roman" w:hAnsi="Times New Roman"/>
        </w:rPr>
        <w:footnoteRef/>
      </w:r>
      <w:r w:rsidRPr="00AC0313">
        <w:rPr>
          <w:rFonts w:ascii="Times New Roman" w:hAnsi="Times New Roman"/>
          <w:lang w:val="pt-PT"/>
        </w:rPr>
        <w:t xml:space="preserve"> </w:t>
      </w:r>
      <w:r w:rsidRPr="00AC0313">
        <w:rPr>
          <w:rFonts w:ascii="Times New Roman" w:hAnsi="Times New Roman"/>
          <w:lang w:val="pt-PT"/>
        </w:rPr>
        <w:tab/>
      </w:r>
      <w:proofErr w:type="gramStart"/>
      <w:r w:rsidRPr="00AC0313">
        <w:rPr>
          <w:rFonts w:ascii="Times New Roman" w:hAnsi="Times New Roman"/>
          <w:lang w:val="pt-PT"/>
        </w:rPr>
        <w:t>COM(</w:t>
      </w:r>
      <w:proofErr w:type="gramEnd"/>
      <w:r w:rsidRPr="00AC0313">
        <w:rPr>
          <w:rFonts w:ascii="Times New Roman" w:hAnsi="Times New Roman"/>
          <w:lang w:val="pt-PT"/>
        </w:rPr>
        <w:t>2025)989 final (</w:t>
      </w:r>
      <w:hyperlink r:id="rId2" w:history="1">
        <w:r w:rsidRPr="00AC0313">
          <w:rPr>
            <w:rStyle w:val="Hyperlink"/>
            <w:rFonts w:ascii="Times New Roman" w:hAnsi="Times New Roman"/>
            <w:lang w:val="pt-PT"/>
          </w:rPr>
          <w:t>EUR-</w:t>
        </w:r>
        <w:proofErr w:type="spellStart"/>
        <w:r w:rsidRPr="00AC0313">
          <w:rPr>
            <w:rStyle w:val="Hyperlink"/>
            <w:rFonts w:ascii="Times New Roman" w:hAnsi="Times New Roman"/>
            <w:lang w:val="pt-PT"/>
          </w:rPr>
          <w:t>Lex</w:t>
        </w:r>
        <w:proofErr w:type="spellEnd"/>
        <w:r w:rsidRPr="00AC0313">
          <w:rPr>
            <w:rStyle w:val="Hyperlink"/>
            <w:rFonts w:ascii="Times New Roman" w:hAnsi="Times New Roman"/>
            <w:lang w:val="pt-PT"/>
          </w:rPr>
          <w:t xml:space="preserve"> - 52025PC0989 - EN - EUR-</w:t>
        </w:r>
        <w:proofErr w:type="spellStart"/>
        <w:r w:rsidRPr="00AC0313">
          <w:rPr>
            <w:rStyle w:val="Hyperlink"/>
            <w:rFonts w:ascii="Times New Roman" w:hAnsi="Times New Roman"/>
            <w:lang w:val="pt-PT"/>
          </w:rPr>
          <w:t>Lex</w:t>
        </w:r>
        <w:proofErr w:type="spellEnd"/>
      </w:hyperlink>
      <w:r w:rsidRPr="00AC0313">
        <w:rPr>
          <w:rFonts w:ascii="Times New Roman" w:hAnsi="Times New Roman"/>
          <w:lang w:val="pt-PT"/>
        </w:rPr>
        <w:t>).</w:t>
      </w:r>
    </w:p>
  </w:footnote>
  <w:footnote w:id="4">
    <w:p w14:paraId="095B7F82" w14:textId="4592BF3B" w:rsidR="007D6C6F" w:rsidRPr="00AC0313" w:rsidRDefault="007D6C6F" w:rsidP="00AC0313">
      <w:pPr>
        <w:pStyle w:val="FootnoteText"/>
        <w:jc w:val="both"/>
        <w:rPr>
          <w:rFonts w:ascii="Times New Roman" w:hAnsi="Times New Roman"/>
          <w:lang w:val="pt-PT"/>
        </w:rPr>
      </w:pPr>
      <w:r w:rsidRPr="00AC0313">
        <w:rPr>
          <w:rStyle w:val="FootnoteReference"/>
          <w:rFonts w:ascii="Times New Roman" w:hAnsi="Times New Roman"/>
        </w:rPr>
        <w:footnoteRef/>
      </w:r>
      <w:r w:rsidRPr="00AC0313">
        <w:rPr>
          <w:rFonts w:ascii="Times New Roman" w:hAnsi="Times New Roman"/>
          <w:lang w:val="pt-PT"/>
        </w:rPr>
        <w:t xml:space="preserve"> </w:t>
      </w:r>
      <w:r w:rsidRPr="00AC0313">
        <w:rPr>
          <w:rFonts w:ascii="Times New Roman" w:hAnsi="Times New Roman"/>
          <w:lang w:val="pt-PT"/>
        </w:rPr>
        <w:tab/>
      </w:r>
      <w:proofErr w:type="gramStart"/>
      <w:r w:rsidRPr="00AC0313">
        <w:rPr>
          <w:rFonts w:ascii="Times New Roman" w:hAnsi="Times New Roman"/>
          <w:lang w:val="pt-PT"/>
        </w:rPr>
        <w:t>COM(</w:t>
      </w:r>
      <w:proofErr w:type="gramEnd"/>
      <w:r w:rsidRPr="00AC0313">
        <w:rPr>
          <w:rFonts w:ascii="Times New Roman" w:hAnsi="Times New Roman"/>
          <w:lang w:val="pt-PT"/>
        </w:rPr>
        <w:t>2025)990 final (</w:t>
      </w:r>
      <w:hyperlink r:id="rId3" w:tooltip="Gives access to this document through its ELI URI." w:history="1">
        <w:r w:rsidRPr="00AC0313">
          <w:rPr>
            <w:rStyle w:val="Hyperlink"/>
            <w:rFonts w:ascii="Times New Roman" w:hAnsi="Times New Roman"/>
            <w:lang w:val="pt-PT"/>
          </w:rPr>
          <w:t>http://data.europa.eu/eli/C/2026/2586/oj</w:t>
        </w:r>
      </w:hyperlink>
      <w:r w:rsidRPr="00AC0313">
        <w:rPr>
          <w:rFonts w:ascii="Times New Roman" w:hAnsi="Times New Roman"/>
          <w:lang w:val="pt-PT"/>
        </w:rPr>
        <w:t>).</w:t>
      </w:r>
    </w:p>
  </w:footnote>
  <w:footnote w:id="5">
    <w:p w14:paraId="6574CD46" w14:textId="274776FE" w:rsidR="1ABC878A" w:rsidRPr="00AC0313" w:rsidRDefault="1ABC878A" w:rsidP="00AC0313">
      <w:pPr>
        <w:pStyle w:val="FootnoteText"/>
        <w:widowControl w:val="0"/>
        <w:jc w:val="both"/>
        <w:rPr>
          <w:rFonts w:ascii="Times New Roman" w:hAnsi="Times New Roman"/>
          <w:lang w:val="pt-PT"/>
        </w:rPr>
      </w:pPr>
      <w:r w:rsidRPr="00AC0313">
        <w:rPr>
          <w:rStyle w:val="FootnoteReference"/>
          <w:rFonts w:ascii="Times New Roman" w:hAnsi="Times New Roman"/>
        </w:rPr>
        <w:footnoteRef/>
      </w:r>
      <w:r w:rsidRPr="00AC0313">
        <w:rPr>
          <w:rFonts w:ascii="Times New Roman" w:hAnsi="Times New Roman"/>
          <w:lang w:val="pt-PT"/>
        </w:rPr>
        <w:t xml:space="preserve"> </w:t>
      </w:r>
      <w:r w:rsidR="00D538FC" w:rsidRPr="00AC0313">
        <w:rPr>
          <w:rFonts w:ascii="Times New Roman" w:hAnsi="Times New Roman"/>
          <w:lang w:val="pt-PT"/>
        </w:rPr>
        <w:tab/>
      </w:r>
      <w:hyperlink r:id="rId4" w:history="1">
        <w:r w:rsidR="00D538FC" w:rsidRPr="00AC0313">
          <w:rPr>
            <w:rStyle w:val="Hyperlink"/>
            <w:rFonts w:ascii="Times New Roman" w:hAnsi="Times New Roman"/>
            <w:lang w:val="pt-PT"/>
          </w:rPr>
          <w:t>https://eur-lex.europa.eu/eli/reg/2025/2083/oj/eng</w:t>
        </w:r>
      </w:hyperlink>
      <w:r w:rsidR="00D538FC" w:rsidRPr="00AC0313">
        <w:rPr>
          <w:rFonts w:ascii="Times New Roman" w:hAnsi="Times New Roman"/>
          <w:lang w:val="pt-PT"/>
        </w:rPr>
        <w:t>.</w:t>
      </w:r>
    </w:p>
  </w:footnote>
  <w:footnote w:id="6">
    <w:p w14:paraId="54E874FD" w14:textId="08109EB6" w:rsidR="00EE396C" w:rsidRPr="00AC0313" w:rsidRDefault="00EE396C" w:rsidP="00AC0313">
      <w:pPr>
        <w:pStyle w:val="FootnoteText"/>
        <w:widowControl w:val="0"/>
        <w:jc w:val="both"/>
        <w:rPr>
          <w:rFonts w:ascii="Times New Roman" w:hAnsi="Times New Roman"/>
        </w:rPr>
      </w:pPr>
      <w:r w:rsidRPr="00AC0313">
        <w:rPr>
          <w:rStyle w:val="FootnoteReference"/>
          <w:rFonts w:ascii="Times New Roman" w:hAnsi="Times New Roman"/>
        </w:rPr>
        <w:footnoteRef/>
      </w:r>
      <w:r w:rsidRPr="00AC0313">
        <w:rPr>
          <w:rFonts w:ascii="Times New Roman" w:hAnsi="Times New Roman"/>
        </w:rPr>
        <w:t xml:space="preserve"> </w:t>
      </w:r>
      <w:r w:rsidRPr="00AC0313">
        <w:rPr>
          <w:rFonts w:ascii="Times New Roman" w:hAnsi="Times New Roman"/>
        </w:rPr>
        <w:tab/>
        <w:t>Directive (EU) 2023/959 of the European Parliament and of the Council of 10 May 2023 amending Directive 2003/87/EC establishing a system for greenhouse gas emission allowance trading within the Union and Decision (EU) 2015/1814 concerning the establishment and operation of a market stability reserve for the Union greenhouse gas emission trading system  ( </w:t>
      </w:r>
      <w:hyperlink r:id="rId5" w:tooltip="Gives access to this document through its ELI URI." w:history="1">
        <w:r w:rsidRPr="00AC0313">
          <w:rPr>
            <w:rStyle w:val="Hyperlink"/>
            <w:rFonts w:ascii="Times New Roman" w:hAnsi="Times New Roman"/>
          </w:rPr>
          <w:t>http://data.europa.eu/eli/dir/2023/959/oj</w:t>
        </w:r>
      </w:hyperlink>
      <w:r w:rsidRPr="00AC0313">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823C" w14:textId="77777777" w:rsidR="006956AE" w:rsidRDefault="00695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053D" w14:textId="77777777" w:rsidR="006956AE" w:rsidRDefault="006956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F1BE" w14:textId="77777777" w:rsidR="006956AE" w:rsidRDefault="006956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03DDD"/>
    <w:rsid w:val="00010269"/>
    <w:rsid w:val="00012A37"/>
    <w:rsid w:val="00030086"/>
    <w:rsid w:val="00031AF4"/>
    <w:rsid w:val="00034C73"/>
    <w:rsid w:val="00046938"/>
    <w:rsid w:val="00046B15"/>
    <w:rsid w:val="00050DC7"/>
    <w:rsid w:val="000748D3"/>
    <w:rsid w:val="00076109"/>
    <w:rsid w:val="00077C4F"/>
    <w:rsid w:val="00081292"/>
    <w:rsid w:val="00081EE0"/>
    <w:rsid w:val="0008257E"/>
    <w:rsid w:val="000830C5"/>
    <w:rsid w:val="00087C9E"/>
    <w:rsid w:val="00093060"/>
    <w:rsid w:val="000964B1"/>
    <w:rsid w:val="000A1378"/>
    <w:rsid w:val="000B31AD"/>
    <w:rsid w:val="000C56BF"/>
    <w:rsid w:val="000C7FFC"/>
    <w:rsid w:val="000E6E5A"/>
    <w:rsid w:val="000F0274"/>
    <w:rsid w:val="000F5FD8"/>
    <w:rsid w:val="00104B17"/>
    <w:rsid w:val="001167C0"/>
    <w:rsid w:val="001218BA"/>
    <w:rsid w:val="00126970"/>
    <w:rsid w:val="00135C2A"/>
    <w:rsid w:val="00151635"/>
    <w:rsid w:val="0015571D"/>
    <w:rsid w:val="001643BE"/>
    <w:rsid w:val="00171678"/>
    <w:rsid w:val="00184DA7"/>
    <w:rsid w:val="0018692E"/>
    <w:rsid w:val="001B0E0B"/>
    <w:rsid w:val="001B55D4"/>
    <w:rsid w:val="001C1EB5"/>
    <w:rsid w:val="001C4138"/>
    <w:rsid w:val="001C7F87"/>
    <w:rsid w:val="001D01D1"/>
    <w:rsid w:val="001E6DF1"/>
    <w:rsid w:val="001F2EC6"/>
    <w:rsid w:val="001F4299"/>
    <w:rsid w:val="001F65D0"/>
    <w:rsid w:val="0021255D"/>
    <w:rsid w:val="002177C0"/>
    <w:rsid w:val="00217E59"/>
    <w:rsid w:val="00241D3F"/>
    <w:rsid w:val="00245F60"/>
    <w:rsid w:val="002522F6"/>
    <w:rsid w:val="00256F03"/>
    <w:rsid w:val="00263E01"/>
    <w:rsid w:val="00280F83"/>
    <w:rsid w:val="002A49AB"/>
    <w:rsid w:val="002B10A2"/>
    <w:rsid w:val="002D12D4"/>
    <w:rsid w:val="002D6CB7"/>
    <w:rsid w:val="002E6D63"/>
    <w:rsid w:val="002F03FA"/>
    <w:rsid w:val="002F2569"/>
    <w:rsid w:val="003004D2"/>
    <w:rsid w:val="00301C2D"/>
    <w:rsid w:val="00331DB6"/>
    <w:rsid w:val="0033368F"/>
    <w:rsid w:val="00334164"/>
    <w:rsid w:val="003349A3"/>
    <w:rsid w:val="0035062A"/>
    <w:rsid w:val="00377967"/>
    <w:rsid w:val="00386143"/>
    <w:rsid w:val="00390541"/>
    <w:rsid w:val="0039700F"/>
    <w:rsid w:val="003A50E2"/>
    <w:rsid w:val="003B58DC"/>
    <w:rsid w:val="003C00D4"/>
    <w:rsid w:val="003D08F7"/>
    <w:rsid w:val="003D5F51"/>
    <w:rsid w:val="003F15DF"/>
    <w:rsid w:val="003F686E"/>
    <w:rsid w:val="00400863"/>
    <w:rsid w:val="0040136E"/>
    <w:rsid w:val="004051D9"/>
    <w:rsid w:val="00442552"/>
    <w:rsid w:val="00455A1C"/>
    <w:rsid w:val="0046729F"/>
    <w:rsid w:val="004675B5"/>
    <w:rsid w:val="0047490E"/>
    <w:rsid w:val="004770D6"/>
    <w:rsid w:val="00478174"/>
    <w:rsid w:val="0049246C"/>
    <w:rsid w:val="004958C0"/>
    <w:rsid w:val="004A5999"/>
    <w:rsid w:val="004C0127"/>
    <w:rsid w:val="004C7604"/>
    <w:rsid w:val="004D0DA6"/>
    <w:rsid w:val="004E367F"/>
    <w:rsid w:val="004E482E"/>
    <w:rsid w:val="004F4ADD"/>
    <w:rsid w:val="004F6117"/>
    <w:rsid w:val="004F63F1"/>
    <w:rsid w:val="004F651E"/>
    <w:rsid w:val="0052596B"/>
    <w:rsid w:val="0054497F"/>
    <w:rsid w:val="00554D8D"/>
    <w:rsid w:val="00565021"/>
    <w:rsid w:val="00573835"/>
    <w:rsid w:val="0057724E"/>
    <w:rsid w:val="00581306"/>
    <w:rsid w:val="00584AA3"/>
    <w:rsid w:val="005907B0"/>
    <w:rsid w:val="00596179"/>
    <w:rsid w:val="005A6B57"/>
    <w:rsid w:val="005C2CEF"/>
    <w:rsid w:val="005C3105"/>
    <w:rsid w:val="005C6A59"/>
    <w:rsid w:val="005E174A"/>
    <w:rsid w:val="005E186C"/>
    <w:rsid w:val="005E56C5"/>
    <w:rsid w:val="006206E8"/>
    <w:rsid w:val="0064356F"/>
    <w:rsid w:val="00645AD4"/>
    <w:rsid w:val="00646B93"/>
    <w:rsid w:val="00650F53"/>
    <w:rsid w:val="00660DD8"/>
    <w:rsid w:val="00671527"/>
    <w:rsid w:val="00692C2F"/>
    <w:rsid w:val="006956AE"/>
    <w:rsid w:val="00695797"/>
    <w:rsid w:val="00696A5E"/>
    <w:rsid w:val="006A58B7"/>
    <w:rsid w:val="006B3B69"/>
    <w:rsid w:val="006D1B57"/>
    <w:rsid w:val="006E0888"/>
    <w:rsid w:val="0071100D"/>
    <w:rsid w:val="00725ED8"/>
    <w:rsid w:val="00734613"/>
    <w:rsid w:val="0074501A"/>
    <w:rsid w:val="00751910"/>
    <w:rsid w:val="00751E60"/>
    <w:rsid w:val="007547B5"/>
    <w:rsid w:val="00774B0C"/>
    <w:rsid w:val="0078310F"/>
    <w:rsid w:val="00795A9E"/>
    <w:rsid w:val="007A235C"/>
    <w:rsid w:val="007A4AF4"/>
    <w:rsid w:val="007A606D"/>
    <w:rsid w:val="007B1430"/>
    <w:rsid w:val="007B276D"/>
    <w:rsid w:val="007C2214"/>
    <w:rsid w:val="007D6C6F"/>
    <w:rsid w:val="008039FC"/>
    <w:rsid w:val="00807B48"/>
    <w:rsid w:val="008135CA"/>
    <w:rsid w:val="008153F7"/>
    <w:rsid w:val="0081584F"/>
    <w:rsid w:val="00826A3E"/>
    <w:rsid w:val="00830E13"/>
    <w:rsid w:val="00846483"/>
    <w:rsid w:val="008571C3"/>
    <w:rsid w:val="00857968"/>
    <w:rsid w:val="008703BF"/>
    <w:rsid w:val="008704B2"/>
    <w:rsid w:val="008750B3"/>
    <w:rsid w:val="00883239"/>
    <w:rsid w:val="0088346F"/>
    <w:rsid w:val="008860BD"/>
    <w:rsid w:val="0088636E"/>
    <w:rsid w:val="008925CE"/>
    <w:rsid w:val="00893AF9"/>
    <w:rsid w:val="008A4EDF"/>
    <w:rsid w:val="008A56B0"/>
    <w:rsid w:val="008A6048"/>
    <w:rsid w:val="008B4A06"/>
    <w:rsid w:val="008C075F"/>
    <w:rsid w:val="008C4D41"/>
    <w:rsid w:val="008E7097"/>
    <w:rsid w:val="009013CF"/>
    <w:rsid w:val="00941B02"/>
    <w:rsid w:val="0094564C"/>
    <w:rsid w:val="009611A3"/>
    <w:rsid w:val="009669EB"/>
    <w:rsid w:val="00981F45"/>
    <w:rsid w:val="00994D12"/>
    <w:rsid w:val="009A3D2D"/>
    <w:rsid w:val="009B128B"/>
    <w:rsid w:val="009B6844"/>
    <w:rsid w:val="009D49E0"/>
    <w:rsid w:val="009E4A54"/>
    <w:rsid w:val="009E6AB9"/>
    <w:rsid w:val="00A0756D"/>
    <w:rsid w:val="00A10C86"/>
    <w:rsid w:val="00A16F07"/>
    <w:rsid w:val="00A27672"/>
    <w:rsid w:val="00A62C7B"/>
    <w:rsid w:val="00A67989"/>
    <w:rsid w:val="00A7709A"/>
    <w:rsid w:val="00A864F6"/>
    <w:rsid w:val="00A927D7"/>
    <w:rsid w:val="00A958AC"/>
    <w:rsid w:val="00AC0313"/>
    <w:rsid w:val="00AC2F7D"/>
    <w:rsid w:val="00AC5935"/>
    <w:rsid w:val="00AC7D43"/>
    <w:rsid w:val="00AD2D78"/>
    <w:rsid w:val="00AE1842"/>
    <w:rsid w:val="00AE1D33"/>
    <w:rsid w:val="00AE3C7C"/>
    <w:rsid w:val="00AF523D"/>
    <w:rsid w:val="00AF6D14"/>
    <w:rsid w:val="00B059F3"/>
    <w:rsid w:val="00B22B82"/>
    <w:rsid w:val="00B31306"/>
    <w:rsid w:val="00B36B3F"/>
    <w:rsid w:val="00B42814"/>
    <w:rsid w:val="00B82F70"/>
    <w:rsid w:val="00B83936"/>
    <w:rsid w:val="00B96234"/>
    <w:rsid w:val="00B96E33"/>
    <w:rsid w:val="00B96EAF"/>
    <w:rsid w:val="00BA5F25"/>
    <w:rsid w:val="00BB365A"/>
    <w:rsid w:val="00BC59EA"/>
    <w:rsid w:val="00BD6EB7"/>
    <w:rsid w:val="00BF1043"/>
    <w:rsid w:val="00BF4699"/>
    <w:rsid w:val="00BF78BE"/>
    <w:rsid w:val="00C03B03"/>
    <w:rsid w:val="00C07C88"/>
    <w:rsid w:val="00C13960"/>
    <w:rsid w:val="00C168A2"/>
    <w:rsid w:val="00C25C45"/>
    <w:rsid w:val="00C4462E"/>
    <w:rsid w:val="00C54D27"/>
    <w:rsid w:val="00C5750B"/>
    <w:rsid w:val="00C76EEB"/>
    <w:rsid w:val="00C978E1"/>
    <w:rsid w:val="00CA6F4E"/>
    <w:rsid w:val="00CD19D9"/>
    <w:rsid w:val="00CD54BB"/>
    <w:rsid w:val="00CE2268"/>
    <w:rsid w:val="00CE6AA0"/>
    <w:rsid w:val="00CE721F"/>
    <w:rsid w:val="00CF6441"/>
    <w:rsid w:val="00D01F5A"/>
    <w:rsid w:val="00D13BB4"/>
    <w:rsid w:val="00D15F31"/>
    <w:rsid w:val="00D1716E"/>
    <w:rsid w:val="00D228FB"/>
    <w:rsid w:val="00D362BA"/>
    <w:rsid w:val="00D434ED"/>
    <w:rsid w:val="00D45D54"/>
    <w:rsid w:val="00D52CD0"/>
    <w:rsid w:val="00D538FC"/>
    <w:rsid w:val="00D64E05"/>
    <w:rsid w:val="00D749DF"/>
    <w:rsid w:val="00D86A08"/>
    <w:rsid w:val="00D873F5"/>
    <w:rsid w:val="00D879F3"/>
    <w:rsid w:val="00D92FD3"/>
    <w:rsid w:val="00D93B4F"/>
    <w:rsid w:val="00DA0744"/>
    <w:rsid w:val="00DA1F44"/>
    <w:rsid w:val="00DA3B6E"/>
    <w:rsid w:val="00DB7581"/>
    <w:rsid w:val="00DC70C1"/>
    <w:rsid w:val="00DD644A"/>
    <w:rsid w:val="00DE3DAA"/>
    <w:rsid w:val="00E40311"/>
    <w:rsid w:val="00E52877"/>
    <w:rsid w:val="00E60290"/>
    <w:rsid w:val="00E66369"/>
    <w:rsid w:val="00E81368"/>
    <w:rsid w:val="00E83C12"/>
    <w:rsid w:val="00E904C8"/>
    <w:rsid w:val="00EA0EA9"/>
    <w:rsid w:val="00EA1BBF"/>
    <w:rsid w:val="00EB29A9"/>
    <w:rsid w:val="00EB4A50"/>
    <w:rsid w:val="00EB77D2"/>
    <w:rsid w:val="00ED0A53"/>
    <w:rsid w:val="00EE0521"/>
    <w:rsid w:val="00EE396C"/>
    <w:rsid w:val="00EE3A79"/>
    <w:rsid w:val="00EF7FBE"/>
    <w:rsid w:val="00F06CDF"/>
    <w:rsid w:val="00F22D3F"/>
    <w:rsid w:val="00F316C8"/>
    <w:rsid w:val="00F32D8C"/>
    <w:rsid w:val="00F368A8"/>
    <w:rsid w:val="00F41A97"/>
    <w:rsid w:val="00F43B07"/>
    <w:rsid w:val="00F505AF"/>
    <w:rsid w:val="00F6235C"/>
    <w:rsid w:val="00F632DE"/>
    <w:rsid w:val="00F66C98"/>
    <w:rsid w:val="00F735E4"/>
    <w:rsid w:val="00F82119"/>
    <w:rsid w:val="00F845E7"/>
    <w:rsid w:val="00FB50C3"/>
    <w:rsid w:val="00FB7834"/>
    <w:rsid w:val="00FC2ADC"/>
    <w:rsid w:val="00FD1CB4"/>
    <w:rsid w:val="00FD4B6A"/>
    <w:rsid w:val="00FF03A8"/>
    <w:rsid w:val="00FF63EA"/>
    <w:rsid w:val="02867542"/>
    <w:rsid w:val="02B67F6D"/>
    <w:rsid w:val="0308F9F1"/>
    <w:rsid w:val="05E12B37"/>
    <w:rsid w:val="07F7BC00"/>
    <w:rsid w:val="08A8E11D"/>
    <w:rsid w:val="097D4004"/>
    <w:rsid w:val="0BB28645"/>
    <w:rsid w:val="0D1363A1"/>
    <w:rsid w:val="0F1F440F"/>
    <w:rsid w:val="0F75DE7C"/>
    <w:rsid w:val="0FFFE965"/>
    <w:rsid w:val="10863053"/>
    <w:rsid w:val="109BFF51"/>
    <w:rsid w:val="11275F74"/>
    <w:rsid w:val="12BE3020"/>
    <w:rsid w:val="16DF16F5"/>
    <w:rsid w:val="17E5E72C"/>
    <w:rsid w:val="18549AE9"/>
    <w:rsid w:val="1863AC93"/>
    <w:rsid w:val="18F80C22"/>
    <w:rsid w:val="197B7951"/>
    <w:rsid w:val="19E9DC44"/>
    <w:rsid w:val="1A559868"/>
    <w:rsid w:val="1ABC878A"/>
    <w:rsid w:val="1AC2FB1F"/>
    <w:rsid w:val="1B6CA457"/>
    <w:rsid w:val="1C5D288C"/>
    <w:rsid w:val="1D3F69B5"/>
    <w:rsid w:val="1EDE7751"/>
    <w:rsid w:val="1EF937A1"/>
    <w:rsid w:val="1F7378DA"/>
    <w:rsid w:val="1FD44C65"/>
    <w:rsid w:val="206DF351"/>
    <w:rsid w:val="2140C0EB"/>
    <w:rsid w:val="21568F06"/>
    <w:rsid w:val="21821A99"/>
    <w:rsid w:val="2282325F"/>
    <w:rsid w:val="2417EF1B"/>
    <w:rsid w:val="242E038A"/>
    <w:rsid w:val="24679650"/>
    <w:rsid w:val="24A66C65"/>
    <w:rsid w:val="24AC0170"/>
    <w:rsid w:val="24CCFAAD"/>
    <w:rsid w:val="250C8C27"/>
    <w:rsid w:val="25275A08"/>
    <w:rsid w:val="254FFE1A"/>
    <w:rsid w:val="26802CC4"/>
    <w:rsid w:val="26F26758"/>
    <w:rsid w:val="277C7E63"/>
    <w:rsid w:val="29A6B632"/>
    <w:rsid w:val="2ABDD0B7"/>
    <w:rsid w:val="2D30E846"/>
    <w:rsid w:val="2FF7D95B"/>
    <w:rsid w:val="30EACD9B"/>
    <w:rsid w:val="313DDA9C"/>
    <w:rsid w:val="323340A4"/>
    <w:rsid w:val="336D6BE6"/>
    <w:rsid w:val="340DD0E9"/>
    <w:rsid w:val="35806405"/>
    <w:rsid w:val="372EB28E"/>
    <w:rsid w:val="37D877D7"/>
    <w:rsid w:val="3865A8B3"/>
    <w:rsid w:val="391CD346"/>
    <w:rsid w:val="39D06A1F"/>
    <w:rsid w:val="3A58B3D1"/>
    <w:rsid w:val="3A8E9152"/>
    <w:rsid w:val="3B5F09EA"/>
    <w:rsid w:val="3EBA8137"/>
    <w:rsid w:val="3F088003"/>
    <w:rsid w:val="41422ACF"/>
    <w:rsid w:val="425B9FD8"/>
    <w:rsid w:val="4317A1B7"/>
    <w:rsid w:val="45C49726"/>
    <w:rsid w:val="46C24ABF"/>
    <w:rsid w:val="484F6FD2"/>
    <w:rsid w:val="4857312C"/>
    <w:rsid w:val="49327ABE"/>
    <w:rsid w:val="4AD02A67"/>
    <w:rsid w:val="4AD4B858"/>
    <w:rsid w:val="4C60D889"/>
    <w:rsid w:val="4C7DB8A7"/>
    <w:rsid w:val="4CD1F5A4"/>
    <w:rsid w:val="4DB015A5"/>
    <w:rsid w:val="4F41D2AE"/>
    <w:rsid w:val="4F6D9F1D"/>
    <w:rsid w:val="505D6421"/>
    <w:rsid w:val="5474A0CF"/>
    <w:rsid w:val="5561F74D"/>
    <w:rsid w:val="59DA9EE8"/>
    <w:rsid w:val="59E2B44A"/>
    <w:rsid w:val="5BC83060"/>
    <w:rsid w:val="5BE8F919"/>
    <w:rsid w:val="5CA3B123"/>
    <w:rsid w:val="5D0E61A9"/>
    <w:rsid w:val="5FDB4E4C"/>
    <w:rsid w:val="5FECEA26"/>
    <w:rsid w:val="603CEAD7"/>
    <w:rsid w:val="6121BC4A"/>
    <w:rsid w:val="61E7B308"/>
    <w:rsid w:val="643BFCB1"/>
    <w:rsid w:val="650A2F1C"/>
    <w:rsid w:val="65ED7F59"/>
    <w:rsid w:val="674E66B4"/>
    <w:rsid w:val="68EB877D"/>
    <w:rsid w:val="696E3469"/>
    <w:rsid w:val="69C9E9FF"/>
    <w:rsid w:val="6B4925EA"/>
    <w:rsid w:val="6C48B076"/>
    <w:rsid w:val="6D201F82"/>
    <w:rsid w:val="6D9D0794"/>
    <w:rsid w:val="6DB4F90F"/>
    <w:rsid w:val="6ECB3D83"/>
    <w:rsid w:val="6EE9B879"/>
    <w:rsid w:val="6EF8A761"/>
    <w:rsid w:val="6F442040"/>
    <w:rsid w:val="6F65ED27"/>
    <w:rsid w:val="6F9E68F0"/>
    <w:rsid w:val="700E69D9"/>
    <w:rsid w:val="70775147"/>
    <w:rsid w:val="729AA407"/>
    <w:rsid w:val="752E7478"/>
    <w:rsid w:val="7755D738"/>
    <w:rsid w:val="77D6DAD9"/>
    <w:rsid w:val="78279A42"/>
    <w:rsid w:val="78F1469E"/>
    <w:rsid w:val="79CAB43B"/>
    <w:rsid w:val="7BB5FF16"/>
    <w:rsid w:val="7BCFA3A3"/>
    <w:rsid w:val="7C1E8066"/>
    <w:rsid w:val="7E967C7B"/>
    <w:rsid w:val="7EF9BD52"/>
    <w:rsid w:val="7FC2315E"/>
    <w:rsid w:val="7FE8CC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79998C6F-7B5F-4219-A89C-2C9984A9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F60"/>
    <w:pPr>
      <w:tabs>
        <w:tab w:val="center" w:pos="4513"/>
        <w:tab w:val="right" w:pos="9026"/>
      </w:tabs>
    </w:pPr>
  </w:style>
  <w:style w:type="character" w:customStyle="1" w:styleId="HeaderChar">
    <w:name w:val="Header Char"/>
    <w:link w:val="Header"/>
    <w:uiPriority w:val="99"/>
    <w:rsid w:val="00245F60"/>
    <w:rPr>
      <w:sz w:val="22"/>
      <w:szCs w:val="22"/>
      <w:lang w:eastAsia="en-US"/>
    </w:rPr>
  </w:style>
  <w:style w:type="paragraph" w:styleId="Footer">
    <w:name w:val="footer"/>
    <w:basedOn w:val="Normal"/>
    <w:link w:val="FooterChar"/>
    <w:uiPriority w:val="99"/>
    <w:unhideWhenUsed/>
    <w:rsid w:val="00245F60"/>
    <w:pPr>
      <w:tabs>
        <w:tab w:val="center" w:pos="4513"/>
        <w:tab w:val="right" w:pos="9026"/>
      </w:tabs>
    </w:pPr>
  </w:style>
  <w:style w:type="character" w:customStyle="1" w:styleId="FooterChar">
    <w:name w:val="Footer Char"/>
    <w:link w:val="Footer"/>
    <w:uiPriority w:val="99"/>
    <w:rsid w:val="00245F60"/>
    <w:rPr>
      <w:sz w:val="22"/>
      <w:szCs w:val="22"/>
      <w:lang w:eastAsia="en-US"/>
    </w:rPr>
  </w:style>
  <w:style w:type="paragraph" w:customStyle="1" w:styleId="Text1">
    <w:name w:val="Text 1"/>
    <w:basedOn w:val="Normal"/>
    <w:link w:val="Text1Char"/>
    <w:qFormat/>
    <w:rsid w:val="00F43B07"/>
    <w:pPr>
      <w:spacing w:after="240" w:line="240" w:lineRule="auto"/>
      <w:ind w:left="482"/>
      <w:jc w:val="both"/>
    </w:pPr>
    <w:rPr>
      <w:rFonts w:ascii="Times New Roman" w:eastAsia="Times New Roman" w:hAnsi="Times New Roman"/>
      <w:sz w:val="24"/>
      <w:szCs w:val="20"/>
    </w:rPr>
  </w:style>
  <w:style w:type="character" w:customStyle="1" w:styleId="Text1Char">
    <w:name w:val="Text 1 Char"/>
    <w:link w:val="Text1"/>
    <w:locked/>
    <w:rsid w:val="00F43B07"/>
    <w:rPr>
      <w:rFonts w:ascii="Times New Roman" w:eastAsia="Times New Roman" w:hAnsi="Times New Roman"/>
      <w:sz w:val="24"/>
      <w:lang w:eastAsia="en-US"/>
    </w:rPr>
  </w:style>
  <w:style w:type="character" w:styleId="CommentReference">
    <w:name w:val="annotation reference"/>
    <w:uiPriority w:val="99"/>
    <w:semiHidden/>
    <w:unhideWhenUsed/>
    <w:rsid w:val="00003DDD"/>
    <w:rPr>
      <w:sz w:val="16"/>
      <w:szCs w:val="16"/>
    </w:rPr>
  </w:style>
  <w:style w:type="paragraph" w:styleId="CommentText">
    <w:name w:val="annotation text"/>
    <w:basedOn w:val="Normal"/>
    <w:link w:val="CommentTextChar"/>
    <w:uiPriority w:val="99"/>
    <w:unhideWhenUsed/>
    <w:rsid w:val="00003DDD"/>
    <w:rPr>
      <w:sz w:val="20"/>
      <w:szCs w:val="20"/>
    </w:rPr>
  </w:style>
  <w:style w:type="character" w:customStyle="1" w:styleId="CommentTextChar">
    <w:name w:val="Comment Text Char"/>
    <w:link w:val="CommentText"/>
    <w:uiPriority w:val="99"/>
    <w:rsid w:val="00003DDD"/>
    <w:rPr>
      <w:lang w:eastAsia="en-US"/>
    </w:rPr>
  </w:style>
  <w:style w:type="paragraph" w:styleId="CommentSubject">
    <w:name w:val="annotation subject"/>
    <w:basedOn w:val="CommentText"/>
    <w:next w:val="CommentText"/>
    <w:link w:val="CommentSubjectChar"/>
    <w:uiPriority w:val="99"/>
    <w:semiHidden/>
    <w:unhideWhenUsed/>
    <w:rsid w:val="00003DDD"/>
    <w:rPr>
      <w:b/>
      <w:bCs/>
    </w:rPr>
  </w:style>
  <w:style w:type="character" w:customStyle="1" w:styleId="CommentSubjectChar">
    <w:name w:val="Comment Subject Char"/>
    <w:link w:val="CommentSubject"/>
    <w:uiPriority w:val="99"/>
    <w:semiHidden/>
    <w:rsid w:val="00003DDD"/>
    <w:rPr>
      <w:b/>
      <w:bCs/>
      <w:lang w:eastAsia="en-US"/>
    </w:rPr>
  </w:style>
  <w:style w:type="paragraph" w:styleId="Revision">
    <w:name w:val="Revision"/>
    <w:hidden/>
    <w:uiPriority w:val="99"/>
    <w:semiHidden/>
    <w:rsid w:val="00AD2D78"/>
    <w:rPr>
      <w:sz w:val="22"/>
      <w:szCs w:val="22"/>
      <w:lang w:eastAsia="en-US"/>
    </w:rPr>
  </w:style>
  <w:style w:type="character" w:styleId="Hyperlink">
    <w:name w:val="Hyperlink"/>
    <w:uiPriority w:val="99"/>
    <w:unhideWhenUsed/>
    <w:rsid w:val="1ABC878A"/>
    <w:rPr>
      <w:color w:val="0563C1"/>
      <w:u w:val="single"/>
    </w:rPr>
  </w:style>
  <w:style w:type="character" w:styleId="FootnoteReference">
    <w:name w:val="footnote reference"/>
    <w:uiPriority w:val="99"/>
    <w:semiHidden/>
    <w:unhideWhenUsed/>
    <w:rPr>
      <w:vertAlign w:val="superscript"/>
    </w:rPr>
  </w:style>
  <w:style w:type="character" w:customStyle="1" w:styleId="FootnoteTextChar">
    <w:name w:val="Footnote Text Char"/>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UnresolvedMention">
    <w:name w:val="Unresolved Mention"/>
    <w:basedOn w:val="DefaultParagraphFont"/>
    <w:uiPriority w:val="99"/>
    <w:semiHidden/>
    <w:unhideWhenUsed/>
    <w:rsid w:val="00D53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9140">
      <w:bodyDiv w:val="1"/>
      <w:marLeft w:val="0"/>
      <w:marRight w:val="0"/>
      <w:marTop w:val="0"/>
      <w:marBottom w:val="0"/>
      <w:divBdr>
        <w:top w:val="none" w:sz="0" w:space="0" w:color="auto"/>
        <w:left w:val="none" w:sz="0" w:space="0" w:color="auto"/>
        <w:bottom w:val="none" w:sz="0" w:space="0" w:color="auto"/>
        <w:right w:val="none" w:sz="0" w:space="0" w:color="auto"/>
      </w:divBdr>
      <w:divsChild>
        <w:div w:id="1120682605">
          <w:marLeft w:val="0"/>
          <w:marRight w:val="0"/>
          <w:marTop w:val="0"/>
          <w:marBottom w:val="0"/>
          <w:divBdr>
            <w:top w:val="none" w:sz="0" w:space="0" w:color="auto"/>
            <w:left w:val="none" w:sz="0" w:space="0" w:color="auto"/>
            <w:bottom w:val="none" w:sz="0" w:space="0" w:color="auto"/>
            <w:right w:val="none" w:sz="0" w:space="0" w:color="auto"/>
          </w:divBdr>
        </w:div>
        <w:div w:id="2001154642">
          <w:marLeft w:val="0"/>
          <w:marRight w:val="0"/>
          <w:marTop w:val="0"/>
          <w:marBottom w:val="0"/>
          <w:divBdr>
            <w:top w:val="none" w:sz="0" w:space="0" w:color="auto"/>
            <w:left w:val="none" w:sz="0" w:space="0" w:color="auto"/>
            <w:bottom w:val="none" w:sz="0" w:space="0" w:color="auto"/>
            <w:right w:val="none" w:sz="0" w:space="0" w:color="auto"/>
          </w:divBdr>
        </w:div>
      </w:divsChild>
    </w:div>
    <w:div w:id="942031310">
      <w:bodyDiv w:val="1"/>
      <w:marLeft w:val="0"/>
      <w:marRight w:val="0"/>
      <w:marTop w:val="0"/>
      <w:marBottom w:val="0"/>
      <w:divBdr>
        <w:top w:val="none" w:sz="0" w:space="0" w:color="auto"/>
        <w:left w:val="none" w:sz="0" w:space="0" w:color="auto"/>
        <w:bottom w:val="none" w:sz="0" w:space="0" w:color="auto"/>
        <w:right w:val="none" w:sz="0" w:space="0" w:color="auto"/>
      </w:divBdr>
      <w:divsChild>
        <w:div w:id="853803857">
          <w:marLeft w:val="0"/>
          <w:marRight w:val="0"/>
          <w:marTop w:val="0"/>
          <w:marBottom w:val="0"/>
          <w:divBdr>
            <w:top w:val="none" w:sz="0" w:space="0" w:color="auto"/>
            <w:left w:val="none" w:sz="0" w:space="0" w:color="auto"/>
            <w:bottom w:val="none" w:sz="0" w:space="0" w:color="auto"/>
            <w:right w:val="none" w:sz="0" w:space="0" w:color="auto"/>
          </w:divBdr>
        </w:div>
        <w:div w:id="1047799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C/2026/2586/oj" TargetMode="External"/><Relationship Id="rId2" Type="http://schemas.openxmlformats.org/officeDocument/2006/relationships/hyperlink" Target="https://eur-lex.europa.eu/legal-content/EN/ALL/?uri=COM:2025:0989:FIN" TargetMode="External"/><Relationship Id="rId1" Type="http://schemas.openxmlformats.org/officeDocument/2006/relationships/hyperlink" Target="http://data.europa.eu/eli/reg/2023/956/oj" TargetMode="External"/><Relationship Id="rId5" Type="http://schemas.openxmlformats.org/officeDocument/2006/relationships/hyperlink" Target="http://data.europa.eu/eli/dir/2023/959/oj" TargetMode="External"/><Relationship Id="rId4" Type="http://schemas.openxmlformats.org/officeDocument/2006/relationships/hyperlink" Target="https://eur-lex.europa.eu/eli/reg/2025/2083/oj/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93F8E-1BC4-404D-8626-E12787D04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933</Words>
  <Characters>5258</Characters>
  <Application>Microsoft Office Word</Application>
  <DocSecurity>0</DocSecurity>
  <Lines>75</Lines>
  <Paragraphs>15</Paragraphs>
  <ScaleCrop>false</ScaleCrop>
  <Manager/>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GOEGER Estelle (CAB-SEJOURNE)</dc:creator>
  <cp:keywords/>
  <cp:lastModifiedBy>ROSSI Simona (SG)</cp:lastModifiedBy>
  <cp:revision>2</cp:revision>
  <dcterms:created xsi:type="dcterms:W3CDTF">2026-07-10T12:23:00Z</dcterms:created>
  <dcterms:modified xsi:type="dcterms:W3CDTF">2026-07-10T12:23:00Z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2026-05-11T12:12:14Z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422c8c0d-0290-4144-a93c-b3d0eadc6c18</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