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32A0" w14:textId="77777777" w:rsidR="00077C4F" w:rsidRPr="00554137" w:rsidRDefault="00077C4F" w:rsidP="00554137">
      <w:pPr>
        <w:spacing w:after="0" w:line="240" w:lineRule="auto"/>
        <w:ind w:left="-709"/>
        <w:rPr>
          <w:rFonts w:ascii="Times New Roman" w:hAnsi="Times New Roman"/>
          <w:bCs/>
          <w:sz w:val="4"/>
          <w:szCs w:val="4"/>
        </w:rPr>
      </w:pPr>
    </w:p>
    <w:tbl>
      <w:tblPr>
        <w:tblW w:w="1024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243"/>
      </w:tblGrid>
      <w:tr w:rsidR="001C4138" w:rsidRPr="00442552" w14:paraId="7E6372DC" w14:textId="77777777" w:rsidTr="125B546F">
        <w:trPr>
          <w:jc w:val="center"/>
        </w:trPr>
        <w:tc>
          <w:tcPr>
            <w:tcW w:w="10243" w:type="dxa"/>
          </w:tcPr>
          <w:p w14:paraId="3A4EDC3A" w14:textId="083701F2" w:rsidR="001C4138" w:rsidRPr="004F6117" w:rsidRDefault="004C6C1B" w:rsidP="001C4138">
            <w:pPr>
              <w:spacing w:before="120" w:after="120"/>
              <w:rPr>
                <w:rFonts w:ascii="Times New Roman" w:hAnsi="Times New Roman"/>
                <w:b/>
                <w:sz w:val="24"/>
                <w:szCs w:val="24"/>
              </w:rPr>
            </w:pPr>
            <w:r w:rsidRPr="004C6C1B">
              <w:rPr>
                <w:rFonts w:ascii="Times New Roman" w:hAnsi="Times New Roman"/>
                <w:b/>
                <w:sz w:val="24"/>
                <w:szCs w:val="24"/>
              </w:rPr>
              <w:t>EU policy agenda for liveable cities</w:t>
            </w:r>
            <w:r w:rsidR="00554137">
              <w:rPr>
                <w:rFonts w:ascii="Times New Roman" w:hAnsi="Times New Roman"/>
                <w:b/>
                <w:sz w:val="24"/>
                <w:szCs w:val="24"/>
              </w:rPr>
              <w:br/>
            </w:r>
            <w:r w:rsidRPr="004C6C1B">
              <w:rPr>
                <w:rFonts w:ascii="Times New Roman" w:hAnsi="Times New Roman"/>
                <w:b/>
                <w:sz w:val="24"/>
                <w:szCs w:val="24"/>
              </w:rPr>
              <w:t>COM(2025) 739 final</w:t>
            </w:r>
            <w:r w:rsidR="001C4138" w:rsidRPr="00554137">
              <w:rPr>
                <w:rFonts w:ascii="Times New Roman" w:hAnsi="Times New Roman"/>
                <w:b/>
                <w:sz w:val="24"/>
                <w:szCs w:val="24"/>
              </w:rPr>
              <w:br/>
              <w:t>E</w:t>
            </w:r>
            <w:r w:rsidRPr="004C6C1B">
              <w:rPr>
                <w:rFonts w:ascii="Times New Roman" w:hAnsi="Times New Roman"/>
                <w:b/>
                <w:sz w:val="24"/>
                <w:szCs w:val="24"/>
              </w:rPr>
              <w:t xml:space="preserve">ESC-2025-04288 </w:t>
            </w:r>
            <w:r w:rsidR="001C4138" w:rsidRPr="00807B48">
              <w:rPr>
                <w:rFonts w:ascii="Times New Roman" w:hAnsi="Times New Roman"/>
                <w:b/>
                <w:sz w:val="24"/>
                <w:szCs w:val="24"/>
              </w:rPr>
              <w:t xml:space="preserve">‒ </w:t>
            </w:r>
            <w:r>
              <w:rPr>
                <w:rFonts w:ascii="Times New Roman" w:hAnsi="Times New Roman"/>
                <w:b/>
                <w:sz w:val="24"/>
                <w:szCs w:val="24"/>
              </w:rPr>
              <w:t>ECO/696</w:t>
            </w:r>
            <w:r w:rsidR="001C4138" w:rsidRPr="00807B48">
              <w:rPr>
                <w:rFonts w:ascii="Times New Roman" w:hAnsi="Times New Roman"/>
                <w:b/>
                <w:sz w:val="24"/>
                <w:szCs w:val="24"/>
              </w:rPr>
              <w:br/>
            </w:r>
            <w:r>
              <w:rPr>
                <w:rFonts w:ascii="Times New Roman" w:hAnsi="Times New Roman"/>
                <w:b/>
                <w:sz w:val="24"/>
                <w:szCs w:val="24"/>
              </w:rPr>
              <w:t>605</w:t>
            </w:r>
            <w:r w:rsidR="001C4138" w:rsidRPr="00E04BE4">
              <w:rPr>
                <w:b/>
                <w:vertAlign w:val="superscript"/>
              </w:rPr>
              <w:t>th</w:t>
            </w:r>
            <w:r w:rsidR="001C4138" w:rsidRPr="00A140A0">
              <w:rPr>
                <w:b/>
              </w:rPr>
              <w:t xml:space="preserve"> </w:t>
            </w:r>
            <w:r w:rsidR="001C4138" w:rsidRPr="00AE3C7C">
              <w:rPr>
                <w:rFonts w:ascii="Times New Roman" w:hAnsi="Times New Roman"/>
                <w:b/>
                <w:sz w:val="24"/>
                <w:szCs w:val="24"/>
              </w:rPr>
              <w:t xml:space="preserve">Plenary Session – </w:t>
            </w:r>
            <w:r>
              <w:rPr>
                <w:rFonts w:ascii="Times New Roman" w:hAnsi="Times New Roman"/>
                <w:b/>
                <w:sz w:val="24"/>
                <w:szCs w:val="24"/>
              </w:rPr>
              <w:t>April 2026</w:t>
            </w:r>
            <w:r w:rsidR="001C4138" w:rsidRPr="00807B48">
              <w:rPr>
                <w:rFonts w:ascii="Times New Roman" w:hAnsi="Times New Roman"/>
                <w:b/>
                <w:sz w:val="24"/>
                <w:szCs w:val="24"/>
              </w:rPr>
              <w:br/>
              <w:t xml:space="preserve">Rapporteur: </w:t>
            </w:r>
            <w:r w:rsidRPr="004C6C1B">
              <w:rPr>
                <w:rFonts w:ascii="Times New Roman" w:hAnsi="Times New Roman"/>
                <w:b/>
                <w:sz w:val="24"/>
                <w:szCs w:val="24"/>
              </w:rPr>
              <w:t xml:space="preserve">Florian MARIN </w:t>
            </w:r>
            <w:r w:rsidR="001C4138">
              <w:rPr>
                <w:rFonts w:ascii="Times New Roman" w:hAnsi="Times New Roman"/>
                <w:b/>
                <w:sz w:val="24"/>
                <w:szCs w:val="24"/>
              </w:rPr>
              <w:t>(</w:t>
            </w:r>
            <w:r w:rsidRPr="004C6C1B">
              <w:rPr>
                <w:rFonts w:ascii="Times New Roman" w:hAnsi="Times New Roman"/>
                <w:b/>
                <w:sz w:val="24"/>
                <w:szCs w:val="24"/>
              </w:rPr>
              <w:t>(RO-II)</w:t>
            </w:r>
            <w:r w:rsidR="003456DA">
              <w:br/>
            </w:r>
            <w:r w:rsidR="00A23C99" w:rsidRPr="00A23C99">
              <w:rPr>
                <w:b/>
                <w:bCs/>
              </w:rPr>
              <w:t>C</w:t>
            </w:r>
            <w:r w:rsidR="00A23C99" w:rsidRPr="00A23C99">
              <w:rPr>
                <w:rFonts w:ascii="Times New Roman" w:hAnsi="Times New Roman"/>
                <w:b/>
                <w:sz w:val="24"/>
                <w:szCs w:val="24"/>
              </w:rPr>
              <w:t>o-rapporteur: Roman HAKEN (CZ-III)</w:t>
            </w:r>
            <w:r w:rsidR="001C4138" w:rsidRPr="00807B48">
              <w:rPr>
                <w:rFonts w:ascii="Times New Roman" w:hAnsi="Times New Roman"/>
                <w:b/>
                <w:sz w:val="24"/>
                <w:szCs w:val="24"/>
              </w:rPr>
              <w:br/>
              <w:t xml:space="preserve">DG </w:t>
            </w:r>
            <w:r>
              <w:rPr>
                <w:rFonts w:ascii="Times New Roman" w:hAnsi="Times New Roman"/>
                <w:b/>
                <w:sz w:val="24"/>
                <w:szCs w:val="24"/>
              </w:rPr>
              <w:t>REGIO</w:t>
            </w:r>
            <w:r w:rsidR="001C4138" w:rsidRPr="00807B48">
              <w:rPr>
                <w:rFonts w:ascii="Times New Roman" w:hAnsi="Times New Roman"/>
                <w:b/>
                <w:sz w:val="24"/>
                <w:szCs w:val="24"/>
              </w:rPr>
              <w:t xml:space="preserve">– </w:t>
            </w:r>
            <w:r w:rsidR="004A7932" w:rsidRPr="009C6EAD">
              <w:rPr>
                <w:rFonts w:ascii="Times New Roman" w:hAnsi="Times New Roman"/>
                <w:b/>
                <w:bCs/>
                <w:kern w:val="28"/>
                <w:sz w:val="24"/>
                <w:szCs w:val="24"/>
              </w:rPr>
              <w:t>Executive Vice-President</w:t>
            </w:r>
            <w:r w:rsidR="001C4138" w:rsidRPr="00807B48">
              <w:rPr>
                <w:rFonts w:ascii="Times New Roman" w:hAnsi="Times New Roman"/>
                <w:b/>
                <w:sz w:val="24"/>
                <w:szCs w:val="24"/>
              </w:rPr>
              <w:t xml:space="preserve"> </w:t>
            </w:r>
            <w:r>
              <w:rPr>
                <w:rFonts w:ascii="Times New Roman" w:hAnsi="Times New Roman"/>
                <w:b/>
                <w:sz w:val="24"/>
                <w:szCs w:val="24"/>
              </w:rPr>
              <w:t>FITTO</w:t>
            </w:r>
          </w:p>
        </w:tc>
      </w:tr>
      <w:tr w:rsidR="00734613" w:rsidRPr="00442552" w14:paraId="1937071F" w14:textId="77777777" w:rsidTr="125B546F">
        <w:trPr>
          <w:jc w:val="center"/>
        </w:trPr>
        <w:tc>
          <w:tcPr>
            <w:tcW w:w="10243" w:type="dxa"/>
          </w:tcPr>
          <w:p w14:paraId="1E50B4DB" w14:textId="6210B328" w:rsidR="00734613" w:rsidRPr="00695797" w:rsidRDefault="004F6117" w:rsidP="004F6117">
            <w:pPr>
              <w:spacing w:before="120" w:after="120"/>
              <w:jc w:val="center"/>
              <w:rPr>
                <w:rFonts w:ascii="Times New Roman" w:hAnsi="Times New Roman"/>
                <w:b/>
                <w:sz w:val="24"/>
                <w:szCs w:val="24"/>
              </w:rPr>
            </w:pPr>
            <w:r w:rsidRPr="004F6117">
              <w:rPr>
                <w:rFonts w:ascii="Times New Roman" w:hAnsi="Times New Roman"/>
                <w:b/>
                <w:sz w:val="24"/>
                <w:szCs w:val="24"/>
              </w:rPr>
              <w:t xml:space="preserve">European Commission position on points </w:t>
            </w:r>
            <w:r>
              <w:rPr>
                <w:rFonts w:ascii="Times New Roman" w:hAnsi="Times New Roman"/>
                <w:b/>
                <w:sz w:val="24"/>
                <w:szCs w:val="24"/>
              </w:rPr>
              <w:br/>
            </w:r>
            <w:r w:rsidRPr="004F6117">
              <w:rPr>
                <w:rFonts w:ascii="Times New Roman" w:hAnsi="Times New Roman"/>
                <w:b/>
                <w:sz w:val="24"/>
                <w:szCs w:val="24"/>
              </w:rPr>
              <w:t xml:space="preserve">of the European Economic and Social Committee </w:t>
            </w:r>
            <w:r w:rsidR="00554137">
              <w:rPr>
                <w:rFonts w:ascii="Times New Roman" w:hAnsi="Times New Roman"/>
                <w:b/>
                <w:sz w:val="24"/>
                <w:szCs w:val="24"/>
              </w:rPr>
              <w:t xml:space="preserve">(EESC) </w:t>
            </w:r>
            <w:r w:rsidRPr="004F6117">
              <w:rPr>
                <w:rFonts w:ascii="Times New Roman" w:hAnsi="Times New Roman"/>
                <w:b/>
                <w:sz w:val="24"/>
                <w:szCs w:val="24"/>
              </w:rPr>
              <w:t>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734613" w:rsidRPr="004F6117" w14:paraId="673DDC1B" w14:textId="77777777" w:rsidTr="125B546F">
        <w:trPr>
          <w:jc w:val="center"/>
        </w:trPr>
        <w:tc>
          <w:tcPr>
            <w:tcW w:w="10243" w:type="dxa"/>
          </w:tcPr>
          <w:p w14:paraId="6D2390F9" w14:textId="4CBCABA9" w:rsidR="00B80599" w:rsidRPr="00EF0A79" w:rsidRDefault="00BA0EA2" w:rsidP="00D65F65">
            <w:pPr>
              <w:spacing w:before="120" w:after="120"/>
              <w:jc w:val="both"/>
              <w:rPr>
                <w:rFonts w:ascii="Times New Roman" w:hAnsi="Times New Roman"/>
              </w:rPr>
            </w:pPr>
            <w:r w:rsidRPr="00EF0A79">
              <w:rPr>
                <w:rFonts w:ascii="Times New Roman" w:hAnsi="Times New Roman"/>
              </w:rPr>
              <w:t xml:space="preserve">The Commission welcomes the Committee’s opinion on </w:t>
            </w:r>
            <w:r w:rsidR="00681EB5" w:rsidRPr="00EF0A79">
              <w:rPr>
                <w:rFonts w:ascii="Times New Roman" w:hAnsi="Times New Roman"/>
              </w:rPr>
              <w:t>EU policy agenda for liveable cities</w:t>
            </w:r>
            <w:r w:rsidRPr="00EF0A79">
              <w:rPr>
                <w:rFonts w:ascii="Times New Roman" w:hAnsi="Times New Roman"/>
              </w:rPr>
              <w:t>. In li</w:t>
            </w:r>
            <w:r w:rsidR="00D1236D">
              <w:rPr>
                <w:rFonts w:ascii="Times New Roman" w:hAnsi="Times New Roman"/>
              </w:rPr>
              <w:t xml:space="preserve">ne with </w:t>
            </w:r>
            <w:r w:rsidR="6B10F3F7" w:rsidRPr="00EF0A79">
              <w:rPr>
                <w:rFonts w:ascii="Times New Roman" w:hAnsi="Times New Roman"/>
              </w:rPr>
              <w:t xml:space="preserve">the </w:t>
            </w:r>
            <w:r w:rsidRPr="00EF0A79">
              <w:rPr>
                <w:rFonts w:ascii="Times New Roman" w:hAnsi="Times New Roman"/>
              </w:rPr>
              <w:t>mission letter</w:t>
            </w:r>
            <w:r w:rsidRPr="00EF0A79">
              <w:rPr>
                <w:rFonts w:ascii="Times New Roman" w:hAnsi="Times New Roman"/>
                <w:vertAlign w:val="superscript"/>
              </w:rPr>
              <w:footnoteReference w:id="1"/>
            </w:r>
            <w:r w:rsidRPr="00EF0A79">
              <w:rPr>
                <w:rFonts w:ascii="Times New Roman" w:hAnsi="Times New Roman"/>
              </w:rPr>
              <w:t xml:space="preserve"> of Executive Vice-President </w:t>
            </w:r>
            <w:proofErr w:type="spellStart"/>
            <w:r w:rsidRPr="00EF0A79">
              <w:rPr>
                <w:rFonts w:ascii="Times New Roman" w:hAnsi="Times New Roman"/>
              </w:rPr>
              <w:t>Fitto</w:t>
            </w:r>
            <w:proofErr w:type="spellEnd"/>
            <w:r w:rsidRPr="00EF0A79">
              <w:rPr>
                <w:rFonts w:ascii="Times New Roman" w:hAnsi="Times New Roman"/>
              </w:rPr>
              <w:t xml:space="preserve">, the </w:t>
            </w:r>
            <w:r w:rsidR="00A321CB" w:rsidRPr="00EF0A79">
              <w:rPr>
                <w:rFonts w:ascii="Times New Roman" w:hAnsi="Times New Roman"/>
              </w:rPr>
              <w:t>Commission adopted</w:t>
            </w:r>
            <w:r w:rsidR="00681EB5" w:rsidRPr="00EF0A79">
              <w:rPr>
                <w:rFonts w:ascii="Times New Roman" w:hAnsi="Times New Roman"/>
              </w:rPr>
              <w:t xml:space="preserve"> on 3 December 2025 a</w:t>
            </w:r>
            <w:r w:rsidR="005C4065">
              <w:rPr>
                <w:rFonts w:ascii="Times New Roman" w:hAnsi="Times New Roman"/>
              </w:rPr>
              <w:t> </w:t>
            </w:r>
            <w:r w:rsidR="00681EB5" w:rsidRPr="00EF0A79">
              <w:rPr>
                <w:rFonts w:ascii="Times New Roman" w:hAnsi="Times New Roman"/>
              </w:rPr>
              <w:t xml:space="preserve">Communication entitled EU Agenda for </w:t>
            </w:r>
            <w:r w:rsidR="004701DE" w:rsidRPr="00EF0A79">
              <w:rPr>
                <w:rFonts w:ascii="Times New Roman" w:hAnsi="Times New Roman"/>
              </w:rPr>
              <w:t>Cities:</w:t>
            </w:r>
            <w:r w:rsidR="00681EB5" w:rsidRPr="00EF0A79">
              <w:rPr>
                <w:rFonts w:ascii="Times New Roman" w:hAnsi="Times New Roman"/>
              </w:rPr>
              <w:t xml:space="preserve"> Driving Growth and prosperity</w:t>
            </w:r>
            <w:r w:rsidR="00885FA3" w:rsidRPr="00EF0A79">
              <w:rPr>
                <w:rStyle w:val="FootnoteReference"/>
                <w:rFonts w:ascii="Times New Roman" w:hAnsi="Times New Roman"/>
              </w:rPr>
              <w:footnoteReference w:id="2"/>
            </w:r>
            <w:r w:rsidR="00681EB5" w:rsidRPr="00EF0A79">
              <w:rPr>
                <w:rFonts w:ascii="Times New Roman" w:hAnsi="Times New Roman"/>
              </w:rPr>
              <w:t xml:space="preserve">. </w:t>
            </w:r>
            <w:r w:rsidR="00B80599" w:rsidRPr="00EF0A79">
              <w:rPr>
                <w:rFonts w:ascii="Times New Roman" w:hAnsi="Times New Roman"/>
              </w:rPr>
              <w:t xml:space="preserve">The EU Agenda for Cities presents the EU vision, policy and a set of actions for cities of all sizes and sets out a forward-looking perspective for sustainable and integrated urban development. It aims to provide a framework to strengthen the territorial and urban dimension of EU policies. </w:t>
            </w:r>
          </w:p>
          <w:p w14:paraId="153D932D" w14:textId="4A2F008B" w:rsidR="004C6C1B" w:rsidRPr="00EF0A79" w:rsidRDefault="4B4B5243" w:rsidP="00D65F65">
            <w:pPr>
              <w:spacing w:before="120" w:after="120"/>
              <w:jc w:val="both"/>
              <w:rPr>
                <w:rFonts w:ascii="Times New Roman" w:hAnsi="Times New Roman"/>
              </w:rPr>
            </w:pPr>
            <w:r w:rsidRPr="125B546F">
              <w:rPr>
                <w:rFonts w:ascii="Times New Roman" w:hAnsi="Times New Roman"/>
              </w:rPr>
              <w:t xml:space="preserve">The Commission takes note of the opinion of the EESC and its recommendations, that will </w:t>
            </w:r>
            <w:r w:rsidR="628A3B01" w:rsidRPr="125B546F">
              <w:rPr>
                <w:rFonts w:ascii="Times New Roman" w:hAnsi="Times New Roman"/>
              </w:rPr>
              <w:t xml:space="preserve">contribute to </w:t>
            </w:r>
            <w:r w:rsidRPr="125B546F">
              <w:rPr>
                <w:rFonts w:ascii="Times New Roman" w:hAnsi="Times New Roman"/>
              </w:rPr>
              <w:t xml:space="preserve">the implementation process of the </w:t>
            </w:r>
            <w:bookmarkStart w:id="0" w:name="_Int_dsHCwNbC"/>
            <w:r w:rsidRPr="125B546F">
              <w:rPr>
                <w:rFonts w:ascii="Times New Roman" w:hAnsi="Times New Roman"/>
              </w:rPr>
              <w:t>Agenda</w:t>
            </w:r>
            <w:bookmarkEnd w:id="0"/>
            <w:r w:rsidR="00D1236D">
              <w:rPr>
                <w:rFonts w:ascii="Times New Roman" w:hAnsi="Times New Roman"/>
              </w:rPr>
              <w:t xml:space="preserve">. This </w:t>
            </w:r>
            <w:r w:rsidRPr="125B546F">
              <w:rPr>
                <w:rFonts w:ascii="Times New Roman" w:hAnsi="Times New Roman"/>
              </w:rPr>
              <w:t>has started in 2026</w:t>
            </w:r>
            <w:r w:rsidR="7C0BAD0D" w:rsidRPr="125B546F">
              <w:rPr>
                <w:rFonts w:ascii="Times New Roman" w:hAnsi="Times New Roman"/>
              </w:rPr>
              <w:t xml:space="preserve">, in alignment with Annex 1 </w:t>
            </w:r>
            <w:r w:rsidR="65DC2F8F" w:rsidRPr="125B546F">
              <w:rPr>
                <w:rFonts w:ascii="Times New Roman" w:hAnsi="Times New Roman"/>
              </w:rPr>
              <w:t>to the Communication</w:t>
            </w:r>
            <w:r w:rsidR="264BA1D4" w:rsidRPr="125B546F">
              <w:rPr>
                <w:rFonts w:ascii="Times New Roman" w:hAnsi="Times New Roman"/>
              </w:rPr>
              <w:t xml:space="preserve"> </w:t>
            </w:r>
            <w:r w:rsidR="00D1236D">
              <w:rPr>
                <w:rFonts w:ascii="Times New Roman" w:hAnsi="Times New Roman"/>
              </w:rPr>
              <w:t xml:space="preserve">that </w:t>
            </w:r>
            <w:r w:rsidR="7C0BAD0D" w:rsidRPr="125B546F">
              <w:rPr>
                <w:rFonts w:ascii="Times New Roman" w:hAnsi="Times New Roman"/>
              </w:rPr>
              <w:t>present</w:t>
            </w:r>
            <w:r w:rsidR="00D1236D">
              <w:rPr>
                <w:rFonts w:ascii="Times New Roman" w:hAnsi="Times New Roman"/>
              </w:rPr>
              <w:t>s</w:t>
            </w:r>
            <w:r w:rsidR="7C0BAD0D" w:rsidRPr="125B546F">
              <w:rPr>
                <w:rFonts w:ascii="Times New Roman" w:hAnsi="Times New Roman"/>
              </w:rPr>
              <w:t xml:space="preserve"> flagship actions of the EU Agenda for Cities and their delivery timeframe</w:t>
            </w:r>
            <w:r w:rsidR="00D1236D">
              <w:rPr>
                <w:rFonts w:ascii="Times New Roman" w:hAnsi="Times New Roman"/>
              </w:rPr>
              <w:t>s</w:t>
            </w:r>
            <w:r w:rsidRPr="125B546F">
              <w:rPr>
                <w:rFonts w:ascii="Times New Roman" w:hAnsi="Times New Roman"/>
              </w:rPr>
              <w:t xml:space="preserve">. </w:t>
            </w:r>
            <w:r w:rsidR="669B47BB" w:rsidRPr="125B546F">
              <w:rPr>
                <w:rFonts w:ascii="Times New Roman" w:hAnsi="Times New Roman"/>
              </w:rPr>
              <w:t xml:space="preserve">In reference to </w:t>
            </w:r>
            <w:r w:rsidR="669B47BB" w:rsidRPr="125B546F">
              <w:rPr>
                <w:rFonts w:ascii="Times New Roman" w:hAnsi="Times New Roman"/>
                <w:u w:val="single"/>
              </w:rPr>
              <w:t>point 1.1</w:t>
            </w:r>
            <w:r w:rsidR="669B47BB" w:rsidRPr="125B546F">
              <w:rPr>
                <w:rFonts w:ascii="Times New Roman" w:hAnsi="Times New Roman"/>
              </w:rPr>
              <w:t xml:space="preserve">, these actions </w:t>
            </w:r>
            <w:r w:rsidR="78C02DF6" w:rsidRPr="125B546F">
              <w:rPr>
                <w:rFonts w:ascii="Times New Roman" w:hAnsi="Times New Roman"/>
              </w:rPr>
              <w:t xml:space="preserve">represent a series of concrete activities and developments that will be carried out, supported by other levels of governance and </w:t>
            </w:r>
            <w:r w:rsidR="669B47BB" w:rsidRPr="125B546F">
              <w:rPr>
                <w:rFonts w:ascii="Times New Roman" w:hAnsi="Times New Roman"/>
              </w:rPr>
              <w:t xml:space="preserve">EU institutions and bodies in a collaborative process. </w:t>
            </w:r>
            <w:r w:rsidR="78C02DF6" w:rsidRPr="125B546F">
              <w:rPr>
                <w:rFonts w:ascii="Times New Roman" w:hAnsi="Times New Roman"/>
              </w:rPr>
              <w:t>The Commission will monitor the EU Agenda for Cities’ implementation in an integrated and inclusive way.</w:t>
            </w:r>
          </w:p>
          <w:p w14:paraId="414B16EB" w14:textId="0834BA54" w:rsidR="005B66AB" w:rsidRPr="00EF0A79" w:rsidRDefault="005B66AB" w:rsidP="006E6BD0">
            <w:pPr>
              <w:spacing w:before="120" w:after="120"/>
              <w:jc w:val="both"/>
              <w:rPr>
                <w:rFonts w:ascii="Times New Roman" w:hAnsi="Times New Roman"/>
                <w:b/>
              </w:rPr>
            </w:pPr>
            <w:r>
              <w:rPr>
                <w:rFonts w:ascii="Times New Roman" w:hAnsi="Times New Roman"/>
                <w:color w:val="0D0D0D"/>
                <w:u w:val="single"/>
              </w:rPr>
              <w:t>On point 1.2</w:t>
            </w:r>
            <w:r w:rsidR="006E6BD0">
              <w:rPr>
                <w:rFonts w:ascii="Times New Roman" w:hAnsi="Times New Roman"/>
                <w:color w:val="0D0D0D"/>
                <w:u w:val="single"/>
              </w:rPr>
              <w:t xml:space="preserve"> </w:t>
            </w:r>
            <w:r w:rsidR="00D65F65">
              <w:rPr>
                <w:rFonts w:ascii="Times New Roman" w:hAnsi="Times New Roman"/>
                <w:color w:val="0D0D0D"/>
                <w:u w:val="single"/>
              </w:rPr>
              <w:t>and point 3.1</w:t>
            </w:r>
            <w:r w:rsidR="006E6BD0">
              <w:rPr>
                <w:rFonts w:ascii="Times New Roman" w:hAnsi="Times New Roman"/>
                <w:color w:val="0D0D0D"/>
              </w:rPr>
              <w:t>, the Commission</w:t>
            </w:r>
            <w:r w:rsidR="00D1236D">
              <w:rPr>
                <w:rFonts w:ascii="Times New Roman" w:hAnsi="Times New Roman"/>
                <w:color w:val="0D0D0D"/>
              </w:rPr>
              <w:t xml:space="preserve"> would like to</w:t>
            </w:r>
            <w:r w:rsidR="006E6BD0">
              <w:rPr>
                <w:rFonts w:ascii="Times New Roman" w:hAnsi="Times New Roman"/>
                <w:color w:val="0D0D0D"/>
              </w:rPr>
              <w:t xml:space="preserve"> underline the role of the EESC and </w:t>
            </w:r>
            <w:r w:rsidR="00D1236D">
              <w:rPr>
                <w:rFonts w:ascii="Times New Roman" w:hAnsi="Times New Roman"/>
                <w:color w:val="0D0D0D"/>
              </w:rPr>
              <w:t xml:space="preserve">the </w:t>
            </w:r>
            <w:r w:rsidR="00A76C68">
              <w:rPr>
                <w:rFonts w:ascii="Times New Roman" w:hAnsi="Times New Roman"/>
                <w:color w:val="0D0D0D"/>
              </w:rPr>
              <w:t xml:space="preserve">relevance of </w:t>
            </w:r>
            <w:r w:rsidR="006E6BD0">
              <w:rPr>
                <w:rFonts w:ascii="Times New Roman" w:hAnsi="Times New Roman"/>
                <w:color w:val="0D0D0D"/>
              </w:rPr>
              <w:t xml:space="preserve">its contribution for the </w:t>
            </w:r>
            <w:r w:rsidR="00A76C68">
              <w:rPr>
                <w:rFonts w:ascii="Times New Roman" w:hAnsi="Times New Roman"/>
                <w:color w:val="0D0D0D"/>
              </w:rPr>
              <w:t>delivery</w:t>
            </w:r>
            <w:r w:rsidR="006E6BD0">
              <w:rPr>
                <w:rFonts w:ascii="Times New Roman" w:hAnsi="Times New Roman"/>
                <w:color w:val="0D0D0D"/>
              </w:rPr>
              <w:t xml:space="preserve"> of the EU Agenda for Cities</w:t>
            </w:r>
            <w:r>
              <w:rPr>
                <w:rFonts w:ascii="Times New Roman" w:hAnsi="Times New Roman"/>
                <w:color w:val="0D0D0D"/>
              </w:rPr>
              <w:t xml:space="preserve">. This Agenda requires support from all levels of governance, and types of actors that contribute to sustainable, inclusive and resilient urban development. Civil society is a genuine partner at all levels of governance; </w:t>
            </w:r>
            <w:r w:rsidR="006E6BD0">
              <w:rPr>
                <w:rFonts w:ascii="Times New Roman" w:hAnsi="Times New Roman"/>
                <w:color w:val="0D0D0D"/>
              </w:rPr>
              <w:t>the Commission welcomes the EESC’</w:t>
            </w:r>
            <w:r>
              <w:rPr>
                <w:rFonts w:ascii="Times New Roman" w:hAnsi="Times New Roman"/>
                <w:color w:val="0D0D0D"/>
              </w:rPr>
              <w:t xml:space="preserve"> inputs to support the delivery process. Contributions from the EESC will feed the reflection around the deployment of this Agenda and relevant developments on policy areas concerning urban development</w:t>
            </w:r>
            <w:r w:rsidR="00A76C68">
              <w:rPr>
                <w:rFonts w:ascii="Times New Roman" w:hAnsi="Times New Roman"/>
                <w:color w:val="0D0D0D"/>
              </w:rPr>
              <w:t xml:space="preserve">. </w:t>
            </w:r>
            <w:r w:rsidRPr="00EF0A79">
              <w:rPr>
                <w:rFonts w:ascii="Times New Roman" w:hAnsi="Times New Roman"/>
                <w:b/>
              </w:rPr>
              <w:t xml:space="preserve"> </w:t>
            </w:r>
          </w:p>
          <w:p w14:paraId="33E60F3F" w14:textId="18973700" w:rsidR="00F13134" w:rsidRDefault="1108EC2F" w:rsidP="00F739E0">
            <w:pPr>
              <w:spacing w:before="120" w:after="120"/>
              <w:jc w:val="both"/>
              <w:rPr>
                <w:rFonts w:ascii="Times New Roman" w:hAnsi="Times New Roman"/>
                <w:color w:val="0D0D0D"/>
              </w:rPr>
            </w:pPr>
            <w:r w:rsidRPr="125B546F">
              <w:rPr>
                <w:rFonts w:ascii="Times New Roman" w:hAnsi="Times New Roman"/>
                <w:u w:val="single"/>
              </w:rPr>
              <w:t xml:space="preserve">On point </w:t>
            </w:r>
            <w:r w:rsidR="717290FA" w:rsidRPr="125B546F">
              <w:rPr>
                <w:rFonts w:ascii="Times New Roman" w:hAnsi="Times New Roman"/>
                <w:u w:val="single"/>
              </w:rPr>
              <w:t>1.4</w:t>
            </w:r>
            <w:r w:rsidR="717290FA" w:rsidRPr="125B546F">
              <w:rPr>
                <w:rFonts w:ascii="Times New Roman" w:hAnsi="Times New Roman"/>
              </w:rPr>
              <w:t xml:space="preserve"> </w:t>
            </w:r>
            <w:r w:rsidRPr="125B546F">
              <w:rPr>
                <w:rFonts w:ascii="Times New Roman" w:hAnsi="Times New Roman"/>
              </w:rPr>
              <w:t>regarding the reference to</w:t>
            </w:r>
            <w:r w:rsidR="717290FA" w:rsidRPr="125B546F">
              <w:rPr>
                <w:rFonts w:ascii="Times New Roman" w:hAnsi="Times New Roman"/>
              </w:rPr>
              <w:t xml:space="preserve"> access to financing</w:t>
            </w:r>
            <w:r w:rsidRPr="125B546F">
              <w:rPr>
                <w:rFonts w:ascii="Times New Roman" w:hAnsi="Times New Roman"/>
              </w:rPr>
              <w:t xml:space="preserve">, </w:t>
            </w:r>
            <w:r w:rsidR="22B4E95B" w:rsidRPr="125B546F">
              <w:rPr>
                <w:rFonts w:ascii="Times New Roman" w:hAnsi="Times New Roman"/>
              </w:rPr>
              <w:t xml:space="preserve">it is underlined by the Commission that, to respond to the multiple challenges faced by cities today, cities need to strengthen their capacity for action, notably through funding. EU Member States and regions are encouraged to step up their ambition in the resourcing of their urban strategies, including through their </w:t>
            </w:r>
            <w:r w:rsidR="08AE0569" w:rsidRPr="125B546F">
              <w:rPr>
                <w:rFonts w:ascii="Times New Roman" w:hAnsi="Times New Roman"/>
              </w:rPr>
              <w:t>N</w:t>
            </w:r>
            <w:r w:rsidR="22B4E95B" w:rsidRPr="125B546F">
              <w:rPr>
                <w:rFonts w:ascii="Times New Roman" w:hAnsi="Times New Roman"/>
              </w:rPr>
              <w:t xml:space="preserve">ational and </w:t>
            </w:r>
            <w:r w:rsidR="08AE0569" w:rsidRPr="125B546F">
              <w:rPr>
                <w:rFonts w:ascii="Times New Roman" w:hAnsi="Times New Roman"/>
              </w:rPr>
              <w:t>R</w:t>
            </w:r>
            <w:r w:rsidR="22B4E95B" w:rsidRPr="125B546F">
              <w:rPr>
                <w:rFonts w:ascii="Times New Roman" w:hAnsi="Times New Roman"/>
              </w:rPr>
              <w:t xml:space="preserve">egional </w:t>
            </w:r>
            <w:r w:rsidR="08AE0569" w:rsidRPr="125B546F">
              <w:rPr>
                <w:rFonts w:ascii="Times New Roman" w:hAnsi="Times New Roman"/>
              </w:rPr>
              <w:t>P</w:t>
            </w:r>
            <w:r w:rsidR="22B4E95B" w:rsidRPr="125B546F">
              <w:rPr>
                <w:rFonts w:ascii="Times New Roman" w:hAnsi="Times New Roman"/>
              </w:rPr>
              <w:t xml:space="preserve">artnership </w:t>
            </w:r>
            <w:r w:rsidR="08AE0569" w:rsidRPr="125B546F">
              <w:rPr>
                <w:rFonts w:ascii="Times New Roman" w:hAnsi="Times New Roman"/>
              </w:rPr>
              <w:t>P</w:t>
            </w:r>
            <w:r w:rsidR="22B4E95B" w:rsidRPr="125B546F">
              <w:rPr>
                <w:rFonts w:ascii="Times New Roman" w:hAnsi="Times New Roman"/>
              </w:rPr>
              <w:t>lans</w:t>
            </w:r>
            <w:r w:rsidR="001F0FB6">
              <w:rPr>
                <w:rFonts w:ascii="Times New Roman" w:hAnsi="Times New Roman"/>
              </w:rPr>
              <w:t xml:space="preserve"> (NRPPs)</w:t>
            </w:r>
            <w:r w:rsidR="22B4E95B" w:rsidRPr="125B546F">
              <w:rPr>
                <w:rFonts w:ascii="Times New Roman" w:hAnsi="Times New Roman"/>
              </w:rPr>
              <w:t xml:space="preserve"> while taking into account the specificities of cities. Moreover, the EU Facility</w:t>
            </w:r>
            <w:r w:rsidR="00EF0A79" w:rsidRPr="125B546F">
              <w:rPr>
                <w:rStyle w:val="FootnoteReference"/>
                <w:rFonts w:ascii="Times New Roman" w:hAnsi="Times New Roman"/>
              </w:rPr>
              <w:footnoteReference w:id="3"/>
            </w:r>
            <w:r w:rsidR="22B4E95B" w:rsidRPr="125B546F">
              <w:rPr>
                <w:rFonts w:ascii="Times New Roman" w:hAnsi="Times New Roman"/>
              </w:rPr>
              <w:t xml:space="preserve"> will also support urban authorities to develop innovative projects, strengthen capacity building, and provide an environment to share know-how on sustainable urban development. </w:t>
            </w:r>
            <w:r w:rsidR="7EA638AF" w:rsidRPr="125B546F">
              <w:rPr>
                <w:rFonts w:ascii="Times New Roman" w:hAnsi="Times New Roman"/>
              </w:rPr>
              <w:t>In addition, u</w:t>
            </w:r>
            <w:r w:rsidR="22B4E95B" w:rsidRPr="125B546F">
              <w:rPr>
                <w:rFonts w:ascii="Times New Roman" w:hAnsi="Times New Roman"/>
              </w:rPr>
              <w:t>nder the European Competitiveness Fund, cities could potentially benefit, for example via the clean transition and industrial decarbonisation window</w:t>
            </w:r>
            <w:r w:rsidR="7EA638AF" w:rsidRPr="125B546F">
              <w:rPr>
                <w:rFonts w:ascii="Times New Roman" w:hAnsi="Times New Roman"/>
              </w:rPr>
              <w:t xml:space="preserve">, as well as access other EU programmes to address their challenges, including the Horizon Europe </w:t>
            </w:r>
            <w:proofErr w:type="spellStart"/>
            <w:r w:rsidR="7EA638AF" w:rsidRPr="125B546F">
              <w:rPr>
                <w:rFonts w:ascii="Times New Roman" w:hAnsi="Times New Roman"/>
              </w:rPr>
              <w:t>programme.</w:t>
            </w:r>
            <w:r w:rsidR="00D65F65">
              <w:rPr>
                <w:rFonts w:ascii="Times New Roman" w:hAnsi="Times New Roman"/>
                <w:color w:val="0D0D0D"/>
                <w:u w:val="single"/>
              </w:rPr>
              <w:t>On</w:t>
            </w:r>
            <w:proofErr w:type="spellEnd"/>
            <w:r w:rsidR="00D65F65">
              <w:rPr>
                <w:rFonts w:ascii="Times New Roman" w:hAnsi="Times New Roman"/>
                <w:color w:val="0D0D0D"/>
                <w:u w:val="single"/>
              </w:rPr>
              <w:t xml:space="preserve"> point 1.5</w:t>
            </w:r>
            <w:r w:rsidR="00F739E0">
              <w:rPr>
                <w:rFonts w:ascii="Times New Roman" w:hAnsi="Times New Roman"/>
                <w:color w:val="0D0D0D"/>
              </w:rPr>
              <w:t xml:space="preserve">, the Commission highlights that in its </w:t>
            </w:r>
            <w:r w:rsidR="00D65F65">
              <w:rPr>
                <w:rFonts w:ascii="Times New Roman" w:hAnsi="Times New Roman"/>
                <w:color w:val="0D0D0D"/>
              </w:rPr>
              <w:t xml:space="preserve">proposal for the </w:t>
            </w:r>
            <w:r w:rsidR="00343D7A">
              <w:rPr>
                <w:rFonts w:ascii="Times New Roman" w:hAnsi="Times New Roman"/>
                <w:color w:val="0D0D0D"/>
              </w:rPr>
              <w:t>N</w:t>
            </w:r>
            <w:r w:rsidR="00F739E0">
              <w:rPr>
                <w:rFonts w:ascii="Times New Roman" w:hAnsi="Times New Roman"/>
                <w:color w:val="0D0D0D"/>
              </w:rPr>
              <w:t xml:space="preserve">ational and Regional Partnership </w:t>
            </w:r>
            <w:r w:rsidR="00D956EE">
              <w:rPr>
                <w:rFonts w:ascii="Times New Roman" w:hAnsi="Times New Roman"/>
                <w:color w:val="0D0D0D"/>
              </w:rPr>
              <w:t xml:space="preserve">(NRP) </w:t>
            </w:r>
            <w:r w:rsidR="002A224D">
              <w:rPr>
                <w:rFonts w:ascii="Times New Roman" w:hAnsi="Times New Roman"/>
                <w:color w:val="0D0D0D"/>
              </w:rPr>
              <w:t>Regulation</w:t>
            </w:r>
            <w:r w:rsidR="00B01453">
              <w:rPr>
                <w:rStyle w:val="FootnoteReference"/>
                <w:rFonts w:ascii="Times New Roman" w:hAnsi="Times New Roman"/>
                <w:color w:val="0D0D0D"/>
              </w:rPr>
              <w:footnoteReference w:id="4"/>
            </w:r>
            <w:r w:rsidR="00F739E0">
              <w:rPr>
                <w:rFonts w:ascii="Times New Roman" w:hAnsi="Times New Roman"/>
                <w:color w:val="0D0D0D"/>
              </w:rPr>
              <w:t xml:space="preserve"> Community-led Local Development (</w:t>
            </w:r>
            <w:r w:rsidR="00D65F65">
              <w:rPr>
                <w:rFonts w:ascii="Times New Roman" w:hAnsi="Times New Roman"/>
                <w:color w:val="0D0D0D"/>
              </w:rPr>
              <w:t>CLLD</w:t>
            </w:r>
            <w:r w:rsidR="00F739E0">
              <w:rPr>
                <w:rFonts w:ascii="Times New Roman" w:hAnsi="Times New Roman"/>
                <w:color w:val="0D0D0D"/>
              </w:rPr>
              <w:t>)</w:t>
            </w:r>
            <w:r w:rsidR="00D65F65">
              <w:rPr>
                <w:rFonts w:ascii="Times New Roman" w:hAnsi="Times New Roman"/>
                <w:color w:val="0D0D0D"/>
              </w:rPr>
              <w:t xml:space="preserve"> </w:t>
            </w:r>
            <w:r w:rsidR="00F739E0">
              <w:rPr>
                <w:rFonts w:ascii="Times New Roman" w:hAnsi="Times New Roman"/>
                <w:color w:val="0D0D0D"/>
              </w:rPr>
              <w:t>is</w:t>
            </w:r>
            <w:r w:rsidR="00D65F65">
              <w:rPr>
                <w:rFonts w:ascii="Times New Roman" w:hAnsi="Times New Roman"/>
                <w:color w:val="0D0D0D"/>
              </w:rPr>
              <w:t xml:space="preserve"> included </w:t>
            </w:r>
            <w:r w:rsidR="00F739E0">
              <w:rPr>
                <w:rFonts w:ascii="Times New Roman" w:hAnsi="Times New Roman"/>
                <w:color w:val="0D0D0D"/>
              </w:rPr>
              <w:t>in Article 76 as a territorial tool in the continuity of</w:t>
            </w:r>
            <w:r w:rsidR="0079731D">
              <w:rPr>
                <w:rFonts w:ascii="Times New Roman" w:hAnsi="Times New Roman"/>
                <w:color w:val="0D0D0D"/>
              </w:rPr>
              <w:t xml:space="preserve"> the approach for integrated territorial development in Cohesion policy.</w:t>
            </w:r>
            <w:r w:rsidR="00F739E0">
              <w:rPr>
                <w:rFonts w:ascii="Times New Roman" w:hAnsi="Times New Roman"/>
                <w:color w:val="0D0D0D"/>
              </w:rPr>
              <w:t xml:space="preserve"> </w:t>
            </w:r>
            <w:r w:rsidR="003D2C96">
              <w:rPr>
                <w:rFonts w:ascii="Times New Roman" w:hAnsi="Times New Roman"/>
                <w:color w:val="0D0D0D"/>
              </w:rPr>
              <w:t>CLLD can</w:t>
            </w:r>
            <w:r w:rsidR="00D65F65">
              <w:rPr>
                <w:rFonts w:ascii="Times New Roman" w:hAnsi="Times New Roman"/>
                <w:color w:val="0D0D0D"/>
              </w:rPr>
              <w:t xml:space="preserve"> be implemented </w:t>
            </w:r>
            <w:r w:rsidR="00F739E0">
              <w:rPr>
                <w:rFonts w:ascii="Times New Roman" w:hAnsi="Times New Roman"/>
                <w:color w:val="0D0D0D"/>
              </w:rPr>
              <w:t xml:space="preserve">and used </w:t>
            </w:r>
            <w:r w:rsidR="00D65F65">
              <w:rPr>
                <w:rFonts w:ascii="Times New Roman" w:hAnsi="Times New Roman"/>
                <w:color w:val="0D0D0D"/>
              </w:rPr>
              <w:t xml:space="preserve">to support local integrated strategies in </w:t>
            </w:r>
            <w:r w:rsidR="00D65F65">
              <w:rPr>
                <w:rFonts w:ascii="Times New Roman" w:hAnsi="Times New Roman"/>
                <w:color w:val="0D0D0D"/>
              </w:rPr>
              <w:lastRenderedPageBreak/>
              <w:t>urban areas</w:t>
            </w:r>
            <w:r w:rsidR="0079731D">
              <w:rPr>
                <w:rFonts w:ascii="Times New Roman" w:hAnsi="Times New Roman"/>
                <w:color w:val="0D0D0D"/>
              </w:rPr>
              <w:t xml:space="preserve">, building on the </w:t>
            </w:r>
            <w:r w:rsidR="00314D54">
              <w:rPr>
                <w:rFonts w:ascii="Times New Roman" w:hAnsi="Times New Roman"/>
                <w:color w:val="0D0D0D"/>
              </w:rPr>
              <w:t xml:space="preserve">practices and achievements </w:t>
            </w:r>
            <w:r w:rsidR="008439F9">
              <w:rPr>
                <w:rFonts w:ascii="Times New Roman" w:hAnsi="Times New Roman"/>
                <w:color w:val="0D0D0D"/>
              </w:rPr>
              <w:t xml:space="preserve">of the previous programming periods. The </w:t>
            </w:r>
            <w:r w:rsidR="008439F9" w:rsidRPr="00EF0A79">
              <w:rPr>
                <w:rFonts w:ascii="Times New Roman" w:hAnsi="Times New Roman"/>
                <w:bCs/>
              </w:rPr>
              <w:t>Strat-Board tool</w:t>
            </w:r>
            <w:r w:rsidR="00F81A08" w:rsidRPr="00EF0A79">
              <w:rPr>
                <w:rStyle w:val="FootnoteReference"/>
                <w:rFonts w:ascii="Times New Roman" w:hAnsi="Times New Roman"/>
              </w:rPr>
              <w:footnoteReference w:id="5"/>
            </w:r>
            <w:r w:rsidR="008439F9">
              <w:rPr>
                <w:rFonts w:ascii="Times New Roman" w:hAnsi="Times New Roman"/>
                <w:color w:val="0D0D0D"/>
              </w:rPr>
              <w:t xml:space="preserve"> of the Urban Data Platform plus provides indications on the CLLD in place in EU Member States currently. </w:t>
            </w:r>
          </w:p>
          <w:p w14:paraId="2D0BEC80" w14:textId="61620702" w:rsidR="002F4129" w:rsidRDefault="002F4129" w:rsidP="001052B4">
            <w:pPr>
              <w:spacing w:before="120" w:after="120"/>
              <w:jc w:val="both"/>
              <w:rPr>
                <w:rFonts w:ascii="Times New Roman" w:hAnsi="Times New Roman"/>
                <w:color w:val="0D0D0D"/>
                <w:u w:val="single"/>
              </w:rPr>
            </w:pPr>
            <w:r>
              <w:rPr>
                <w:rFonts w:ascii="Times New Roman" w:hAnsi="Times New Roman"/>
                <w:color w:val="0D0D0D"/>
                <w:u w:val="single"/>
              </w:rPr>
              <w:t xml:space="preserve">On point </w:t>
            </w:r>
            <w:r w:rsidR="00D24696">
              <w:rPr>
                <w:rFonts w:ascii="Times New Roman" w:hAnsi="Times New Roman"/>
                <w:color w:val="0D0D0D"/>
                <w:u w:val="single"/>
              </w:rPr>
              <w:t>2.</w:t>
            </w:r>
            <w:r w:rsidR="007C509C">
              <w:rPr>
                <w:rFonts w:ascii="Times New Roman" w:hAnsi="Times New Roman"/>
                <w:color w:val="0D0D0D"/>
                <w:u w:val="single"/>
              </w:rPr>
              <w:t>9</w:t>
            </w:r>
            <w:r w:rsidR="00D24696" w:rsidRPr="006139A9">
              <w:rPr>
                <w:rFonts w:ascii="Times New Roman" w:hAnsi="Times New Roman"/>
                <w:color w:val="0D0D0D"/>
              </w:rPr>
              <w:t xml:space="preserve">, </w:t>
            </w:r>
            <w:r w:rsidR="007F1EF0" w:rsidRPr="006139A9">
              <w:rPr>
                <w:rFonts w:ascii="Times New Roman" w:hAnsi="Times New Roman"/>
                <w:color w:val="0D0D0D"/>
              </w:rPr>
              <w:t>the Commis</w:t>
            </w:r>
            <w:r w:rsidR="008F33A7" w:rsidRPr="006139A9">
              <w:rPr>
                <w:rFonts w:ascii="Times New Roman" w:hAnsi="Times New Roman"/>
                <w:color w:val="0D0D0D"/>
              </w:rPr>
              <w:t>sion agrees on the impor</w:t>
            </w:r>
            <w:r w:rsidR="00413B61" w:rsidRPr="006139A9">
              <w:rPr>
                <w:rFonts w:ascii="Times New Roman" w:hAnsi="Times New Roman"/>
                <w:color w:val="0D0D0D"/>
              </w:rPr>
              <w:t xml:space="preserve">tance to improve </w:t>
            </w:r>
            <w:r w:rsidR="000A066E" w:rsidRPr="006139A9">
              <w:rPr>
                <w:rFonts w:ascii="Times New Roman" w:hAnsi="Times New Roman"/>
                <w:color w:val="0D0D0D"/>
              </w:rPr>
              <w:t xml:space="preserve">the </w:t>
            </w:r>
            <w:r w:rsidR="00413B61" w:rsidRPr="006139A9">
              <w:rPr>
                <w:rFonts w:ascii="Times New Roman" w:hAnsi="Times New Roman"/>
                <w:color w:val="0D0D0D"/>
              </w:rPr>
              <w:t>synergies</w:t>
            </w:r>
            <w:r w:rsidR="00F16E55" w:rsidRPr="006139A9">
              <w:rPr>
                <w:rFonts w:ascii="Times New Roman" w:hAnsi="Times New Roman"/>
                <w:color w:val="0D0D0D"/>
              </w:rPr>
              <w:t xml:space="preserve"> between </w:t>
            </w:r>
            <w:r w:rsidR="00224EFC" w:rsidRPr="006139A9">
              <w:rPr>
                <w:rFonts w:ascii="Times New Roman" w:hAnsi="Times New Roman"/>
                <w:color w:val="0D0D0D"/>
              </w:rPr>
              <w:t>urban mobility</w:t>
            </w:r>
            <w:r w:rsidR="00F16E55" w:rsidRPr="006139A9">
              <w:rPr>
                <w:rFonts w:ascii="Times New Roman" w:hAnsi="Times New Roman"/>
                <w:color w:val="0D0D0D"/>
              </w:rPr>
              <w:t xml:space="preserve">, housing and spatial planning </w:t>
            </w:r>
            <w:r w:rsidR="009008A2" w:rsidRPr="006139A9">
              <w:rPr>
                <w:rFonts w:ascii="Times New Roman" w:hAnsi="Times New Roman"/>
                <w:color w:val="0D0D0D"/>
              </w:rPr>
              <w:t xml:space="preserve">under an </w:t>
            </w:r>
            <w:r w:rsidR="00F16E55" w:rsidRPr="006139A9">
              <w:rPr>
                <w:rFonts w:ascii="Times New Roman" w:hAnsi="Times New Roman"/>
                <w:color w:val="0D0D0D"/>
              </w:rPr>
              <w:t>integrated approach</w:t>
            </w:r>
            <w:r w:rsidR="00561AB2" w:rsidRPr="006139A9">
              <w:rPr>
                <w:rFonts w:ascii="Times New Roman" w:hAnsi="Times New Roman"/>
                <w:color w:val="0D0D0D"/>
              </w:rPr>
              <w:t xml:space="preserve"> as referred to </w:t>
            </w:r>
            <w:r w:rsidR="00F43D6B" w:rsidRPr="006139A9">
              <w:rPr>
                <w:rFonts w:ascii="Times New Roman" w:hAnsi="Times New Roman"/>
                <w:color w:val="0D0D0D"/>
              </w:rPr>
              <w:t xml:space="preserve">in chapter 2.6 of the EU </w:t>
            </w:r>
            <w:r w:rsidR="006139A9" w:rsidRPr="006139A9">
              <w:rPr>
                <w:rFonts w:ascii="Times New Roman" w:hAnsi="Times New Roman"/>
                <w:color w:val="0D0D0D"/>
              </w:rPr>
              <w:t>Agenda for Cities.</w:t>
            </w:r>
            <w:r w:rsidR="00F43D6B" w:rsidRPr="006139A9">
              <w:rPr>
                <w:rFonts w:ascii="Times New Roman" w:hAnsi="Times New Roman"/>
                <w:color w:val="0D0D0D"/>
              </w:rPr>
              <w:t xml:space="preserve"> </w:t>
            </w:r>
            <w:r w:rsidR="00E82104">
              <w:rPr>
                <w:rFonts w:ascii="Times New Roman" w:hAnsi="Times New Roman"/>
                <w:color w:val="0D0D0D"/>
              </w:rPr>
              <w:t xml:space="preserve">To build this approach, </w:t>
            </w:r>
            <w:r w:rsidR="00572824" w:rsidRPr="006139A9">
              <w:rPr>
                <w:rFonts w:ascii="Times New Roman" w:hAnsi="Times New Roman"/>
                <w:color w:val="0D0D0D"/>
              </w:rPr>
              <w:t xml:space="preserve">with a view to </w:t>
            </w:r>
            <w:r w:rsidR="00400F18" w:rsidRPr="006139A9">
              <w:rPr>
                <w:rFonts w:ascii="Times New Roman" w:hAnsi="Times New Roman"/>
                <w:color w:val="0D0D0D"/>
              </w:rPr>
              <w:t xml:space="preserve">aligning </w:t>
            </w:r>
            <w:r w:rsidR="00FB71D9" w:rsidRPr="006139A9">
              <w:rPr>
                <w:rFonts w:ascii="Times New Roman" w:hAnsi="Times New Roman"/>
                <w:color w:val="0D0D0D"/>
              </w:rPr>
              <w:t xml:space="preserve">where people live with </w:t>
            </w:r>
            <w:r w:rsidR="00990435" w:rsidRPr="006139A9">
              <w:rPr>
                <w:rFonts w:ascii="Times New Roman" w:hAnsi="Times New Roman"/>
                <w:color w:val="0D0D0D"/>
              </w:rPr>
              <w:t>high-</w:t>
            </w:r>
            <w:r w:rsidR="00FB71D9" w:rsidRPr="006139A9">
              <w:rPr>
                <w:rFonts w:ascii="Times New Roman" w:hAnsi="Times New Roman"/>
                <w:color w:val="0D0D0D"/>
              </w:rPr>
              <w:t xml:space="preserve">quality </w:t>
            </w:r>
            <w:r w:rsidR="006901F6" w:rsidRPr="006139A9">
              <w:rPr>
                <w:rFonts w:ascii="Times New Roman" w:hAnsi="Times New Roman"/>
                <w:color w:val="0D0D0D"/>
              </w:rPr>
              <w:t xml:space="preserve">multi-modal </w:t>
            </w:r>
            <w:r w:rsidR="00FB71D9" w:rsidRPr="006139A9">
              <w:rPr>
                <w:rFonts w:ascii="Times New Roman" w:hAnsi="Times New Roman"/>
                <w:color w:val="0D0D0D"/>
              </w:rPr>
              <w:t>urban mobility solutions</w:t>
            </w:r>
            <w:r w:rsidR="00990F8A" w:rsidRPr="006139A9">
              <w:rPr>
                <w:rFonts w:ascii="Times New Roman" w:hAnsi="Times New Roman"/>
                <w:color w:val="0D0D0D"/>
              </w:rPr>
              <w:t xml:space="preserve">, with better coordinating land-use decisions </w:t>
            </w:r>
            <w:r w:rsidR="00785962" w:rsidRPr="006139A9">
              <w:rPr>
                <w:rFonts w:ascii="Times New Roman" w:hAnsi="Times New Roman"/>
                <w:color w:val="0D0D0D"/>
              </w:rPr>
              <w:t>vis-à-vis urban mobility investments</w:t>
            </w:r>
            <w:r w:rsidR="004275F7" w:rsidRPr="006139A9">
              <w:rPr>
                <w:rFonts w:ascii="Times New Roman" w:hAnsi="Times New Roman"/>
                <w:color w:val="0D0D0D"/>
              </w:rPr>
              <w:t xml:space="preserve"> and by </w:t>
            </w:r>
            <w:r w:rsidR="00105B93" w:rsidRPr="006139A9">
              <w:rPr>
                <w:rFonts w:ascii="Times New Roman" w:hAnsi="Times New Roman"/>
                <w:color w:val="0D0D0D"/>
              </w:rPr>
              <w:t xml:space="preserve">integrating </w:t>
            </w:r>
            <w:r w:rsidR="00F9591B" w:rsidRPr="006139A9">
              <w:rPr>
                <w:rFonts w:ascii="Times New Roman" w:hAnsi="Times New Roman"/>
                <w:color w:val="0D0D0D"/>
              </w:rPr>
              <w:t>affordability, de</w:t>
            </w:r>
            <w:r w:rsidR="004275F7" w:rsidRPr="006139A9">
              <w:rPr>
                <w:rFonts w:ascii="Times New Roman" w:hAnsi="Times New Roman"/>
                <w:color w:val="0D0D0D"/>
              </w:rPr>
              <w:t>n</w:t>
            </w:r>
            <w:r w:rsidR="00F9591B" w:rsidRPr="006139A9">
              <w:rPr>
                <w:rFonts w:ascii="Times New Roman" w:hAnsi="Times New Roman"/>
                <w:color w:val="0D0D0D"/>
              </w:rPr>
              <w:t>sity and accessibility into one coherent planning framework</w:t>
            </w:r>
            <w:r w:rsidR="006139A9" w:rsidRPr="006139A9">
              <w:rPr>
                <w:rFonts w:ascii="Times New Roman" w:hAnsi="Times New Roman"/>
                <w:color w:val="0D0D0D"/>
              </w:rPr>
              <w:t xml:space="preserve"> will be key</w:t>
            </w:r>
            <w:r w:rsidR="00990435" w:rsidRPr="006139A9">
              <w:rPr>
                <w:rFonts w:ascii="Times New Roman" w:hAnsi="Times New Roman"/>
                <w:color w:val="0D0D0D"/>
              </w:rPr>
              <w:t>.</w:t>
            </w:r>
            <w:r w:rsidR="008E6674" w:rsidRPr="006139A9">
              <w:rPr>
                <w:rFonts w:ascii="Times New Roman" w:hAnsi="Times New Roman"/>
                <w:color w:val="0D0D0D"/>
              </w:rPr>
              <w:t xml:space="preserve"> </w:t>
            </w:r>
            <w:r w:rsidR="00A2522E" w:rsidRPr="00D968F3">
              <w:rPr>
                <w:rFonts w:ascii="Times New Roman" w:hAnsi="Times New Roman"/>
                <w:color w:val="0D0D0D"/>
              </w:rPr>
              <w:t xml:space="preserve">Implementing </w:t>
            </w:r>
            <w:r w:rsidR="004275F7" w:rsidRPr="00D968F3">
              <w:rPr>
                <w:rFonts w:ascii="Times New Roman" w:hAnsi="Times New Roman"/>
                <w:color w:val="0D0D0D"/>
              </w:rPr>
              <w:t xml:space="preserve">the </w:t>
            </w:r>
            <w:r w:rsidR="00FB009F" w:rsidRPr="00D968F3">
              <w:rPr>
                <w:rFonts w:ascii="Times New Roman" w:hAnsi="Times New Roman"/>
                <w:color w:val="0D0D0D"/>
              </w:rPr>
              <w:t xml:space="preserve">EU methodology </w:t>
            </w:r>
            <w:r w:rsidR="00A2522E" w:rsidRPr="00D968F3">
              <w:rPr>
                <w:rFonts w:ascii="Times New Roman" w:hAnsi="Times New Roman"/>
                <w:color w:val="0D0D0D"/>
              </w:rPr>
              <w:t xml:space="preserve">for </w:t>
            </w:r>
            <w:r w:rsidR="00B665B6" w:rsidRPr="00D968F3">
              <w:rPr>
                <w:rFonts w:ascii="Times New Roman" w:hAnsi="Times New Roman"/>
                <w:color w:val="0D0D0D"/>
              </w:rPr>
              <w:t>sustainable urban mobility plans</w:t>
            </w:r>
            <w:r w:rsidR="00A2522E" w:rsidRPr="00D968F3">
              <w:rPr>
                <w:rFonts w:ascii="Times New Roman" w:hAnsi="Times New Roman"/>
                <w:color w:val="0D0D0D"/>
              </w:rPr>
              <w:t xml:space="preserve"> </w:t>
            </w:r>
            <w:r w:rsidR="00C378C2" w:rsidRPr="00D968F3">
              <w:rPr>
                <w:rFonts w:ascii="Times New Roman" w:hAnsi="Times New Roman"/>
                <w:color w:val="0D0D0D"/>
              </w:rPr>
              <w:t xml:space="preserve">will </w:t>
            </w:r>
            <w:r w:rsidR="00A2522E" w:rsidRPr="00D968F3">
              <w:rPr>
                <w:rFonts w:ascii="Times New Roman" w:hAnsi="Times New Roman"/>
                <w:color w:val="0D0D0D"/>
              </w:rPr>
              <w:t>allow</w:t>
            </w:r>
            <w:r w:rsidR="004275F7" w:rsidRPr="00D968F3">
              <w:rPr>
                <w:rFonts w:ascii="Times New Roman" w:hAnsi="Times New Roman"/>
                <w:color w:val="0D0D0D"/>
              </w:rPr>
              <w:t xml:space="preserve"> an integrated appro</w:t>
            </w:r>
            <w:r w:rsidR="000C58FE" w:rsidRPr="00D968F3">
              <w:rPr>
                <w:rFonts w:ascii="Times New Roman" w:hAnsi="Times New Roman"/>
                <w:color w:val="0D0D0D"/>
              </w:rPr>
              <w:t>a</w:t>
            </w:r>
            <w:r w:rsidR="004275F7" w:rsidRPr="00D968F3">
              <w:rPr>
                <w:rFonts w:ascii="Times New Roman" w:hAnsi="Times New Roman"/>
                <w:color w:val="0D0D0D"/>
              </w:rPr>
              <w:t>ch</w:t>
            </w:r>
            <w:r w:rsidR="00C378C2" w:rsidRPr="00D968F3">
              <w:rPr>
                <w:rFonts w:ascii="Times New Roman" w:hAnsi="Times New Roman"/>
                <w:color w:val="0D0D0D"/>
              </w:rPr>
              <w:t>.</w:t>
            </w:r>
          </w:p>
          <w:p w14:paraId="0807021B" w14:textId="50E79ED9" w:rsidR="006A3FC0" w:rsidRDefault="03D64C15" w:rsidP="001052B4">
            <w:pPr>
              <w:spacing w:before="120" w:after="120"/>
              <w:jc w:val="both"/>
              <w:rPr>
                <w:rFonts w:ascii="Times New Roman" w:hAnsi="Times New Roman"/>
                <w:color w:val="0D0D0D"/>
              </w:rPr>
            </w:pPr>
            <w:r w:rsidRPr="125B546F">
              <w:rPr>
                <w:rFonts w:ascii="Times New Roman" w:hAnsi="Times New Roman"/>
                <w:color w:val="0D0D0D" w:themeColor="text1" w:themeTint="F2"/>
                <w:u w:val="single"/>
              </w:rPr>
              <w:t>On point</w:t>
            </w:r>
            <w:r w:rsidR="59C11BBF" w:rsidRPr="125B546F">
              <w:rPr>
                <w:rFonts w:ascii="Times New Roman" w:hAnsi="Times New Roman"/>
                <w:color w:val="0D0D0D" w:themeColor="text1" w:themeTint="F2"/>
                <w:u w:val="single"/>
              </w:rPr>
              <w:t>s 2.8 and</w:t>
            </w:r>
            <w:r w:rsidRPr="125B546F">
              <w:rPr>
                <w:rFonts w:ascii="Times New Roman" w:hAnsi="Times New Roman"/>
                <w:color w:val="0D0D0D" w:themeColor="text1" w:themeTint="F2"/>
                <w:u w:val="single"/>
              </w:rPr>
              <w:t xml:space="preserve"> 2.12</w:t>
            </w:r>
            <w:r w:rsidR="33A941A2" w:rsidRPr="125B546F">
              <w:rPr>
                <w:rFonts w:ascii="Times New Roman" w:hAnsi="Times New Roman"/>
                <w:b/>
                <w:bCs/>
                <w:color w:val="0D0D0D" w:themeColor="text1" w:themeTint="F2"/>
              </w:rPr>
              <w:t xml:space="preserve">, </w:t>
            </w:r>
            <w:r w:rsidR="33A941A2" w:rsidRPr="125B546F">
              <w:rPr>
                <w:rFonts w:ascii="Times New Roman" w:hAnsi="Times New Roman"/>
                <w:color w:val="0D0D0D" w:themeColor="text1" w:themeTint="F2"/>
              </w:rPr>
              <w:t xml:space="preserve">the Commission </w:t>
            </w:r>
            <w:r w:rsidR="2A69E4A2" w:rsidRPr="125B546F">
              <w:rPr>
                <w:rFonts w:ascii="Times New Roman" w:hAnsi="Times New Roman"/>
                <w:color w:val="0D0D0D" w:themeColor="text1" w:themeTint="F2"/>
              </w:rPr>
              <w:t>provides, under</w:t>
            </w:r>
            <w:r w:rsidR="7FCA0762" w:rsidRPr="125B546F">
              <w:rPr>
                <w:rFonts w:ascii="Times New Roman" w:hAnsi="Times New Roman"/>
                <w:color w:val="0D0D0D" w:themeColor="text1" w:themeTint="F2"/>
              </w:rPr>
              <w:t xml:space="preserve"> the Section of the Communication on 'EU funds in the proposed </w:t>
            </w:r>
            <w:r w:rsidR="00D956EE">
              <w:rPr>
                <w:rFonts w:ascii="Times New Roman" w:hAnsi="Times New Roman"/>
                <w:color w:val="0D0D0D" w:themeColor="text1" w:themeTint="F2"/>
              </w:rPr>
              <w:t>M</w:t>
            </w:r>
            <w:r w:rsidR="7FCA0762" w:rsidRPr="125B546F">
              <w:rPr>
                <w:rFonts w:ascii="Times New Roman" w:hAnsi="Times New Roman"/>
                <w:color w:val="0D0D0D" w:themeColor="text1" w:themeTint="F2"/>
              </w:rPr>
              <w:t xml:space="preserve">ultiannual </w:t>
            </w:r>
            <w:r w:rsidR="00D956EE">
              <w:rPr>
                <w:rFonts w:ascii="Times New Roman" w:hAnsi="Times New Roman"/>
                <w:color w:val="0D0D0D" w:themeColor="text1" w:themeTint="F2"/>
              </w:rPr>
              <w:t>F</w:t>
            </w:r>
            <w:r w:rsidR="7FCA0762" w:rsidRPr="125B546F">
              <w:rPr>
                <w:rFonts w:ascii="Times New Roman" w:hAnsi="Times New Roman"/>
                <w:color w:val="0D0D0D" w:themeColor="text1" w:themeTint="F2"/>
              </w:rPr>
              <w:t xml:space="preserve">inancial </w:t>
            </w:r>
            <w:r w:rsidR="00D956EE">
              <w:rPr>
                <w:rFonts w:ascii="Times New Roman" w:hAnsi="Times New Roman"/>
                <w:color w:val="0D0D0D" w:themeColor="text1" w:themeTint="F2"/>
              </w:rPr>
              <w:t>F</w:t>
            </w:r>
            <w:r w:rsidR="7FCA0762" w:rsidRPr="125B546F">
              <w:rPr>
                <w:rFonts w:ascii="Times New Roman" w:hAnsi="Times New Roman"/>
                <w:color w:val="0D0D0D" w:themeColor="text1" w:themeTint="F2"/>
              </w:rPr>
              <w:t xml:space="preserve">ramework </w:t>
            </w:r>
            <w:r w:rsidR="00D956EE">
              <w:rPr>
                <w:rFonts w:ascii="Times New Roman" w:hAnsi="Times New Roman"/>
                <w:color w:val="0D0D0D" w:themeColor="text1" w:themeTint="F2"/>
              </w:rPr>
              <w:t xml:space="preserve">(MFF) </w:t>
            </w:r>
            <w:r w:rsidR="7FCA0762" w:rsidRPr="125B546F">
              <w:rPr>
                <w:rFonts w:ascii="Times New Roman" w:hAnsi="Times New Roman"/>
                <w:color w:val="0D0D0D" w:themeColor="text1" w:themeTint="F2"/>
              </w:rPr>
              <w:t>2028-2034'</w:t>
            </w:r>
            <w:r w:rsidR="2A69E4A2" w:rsidRPr="125B546F">
              <w:rPr>
                <w:rFonts w:ascii="Times New Roman" w:hAnsi="Times New Roman"/>
                <w:color w:val="0D0D0D" w:themeColor="text1" w:themeTint="F2"/>
              </w:rPr>
              <w:t xml:space="preserve">, references </w:t>
            </w:r>
            <w:r w:rsidR="7FCA0762" w:rsidRPr="125B546F">
              <w:rPr>
                <w:rFonts w:ascii="Times New Roman" w:hAnsi="Times New Roman"/>
                <w:color w:val="0D0D0D" w:themeColor="text1" w:themeTint="F2"/>
              </w:rPr>
              <w:t xml:space="preserve">to </w:t>
            </w:r>
            <w:r w:rsidR="2BC016C2" w:rsidRPr="125B546F">
              <w:rPr>
                <w:rFonts w:ascii="Times New Roman" w:hAnsi="Times New Roman"/>
                <w:color w:val="0D0D0D" w:themeColor="text1" w:themeTint="F2"/>
              </w:rPr>
              <w:t xml:space="preserve">urban development and various </w:t>
            </w:r>
            <w:r w:rsidR="7FCA0762" w:rsidRPr="125B546F">
              <w:rPr>
                <w:rFonts w:ascii="Times New Roman" w:hAnsi="Times New Roman"/>
                <w:color w:val="0D0D0D" w:themeColor="text1" w:themeTint="F2"/>
              </w:rPr>
              <w:t xml:space="preserve">opportunities for cities. Efforts to consolidate and simplify instruments are at the core of the Commission proposals for the next programming period. The ambition expressed in the Communication is to continue to provide wide ranging support to cities through the EU Cities </w:t>
            </w:r>
            <w:r w:rsidR="2A69E4A2" w:rsidRPr="125B546F">
              <w:rPr>
                <w:rFonts w:ascii="Times New Roman" w:hAnsi="Times New Roman"/>
                <w:color w:val="0D0D0D" w:themeColor="text1" w:themeTint="F2"/>
              </w:rPr>
              <w:t>p</w:t>
            </w:r>
            <w:r w:rsidR="7FCA0762" w:rsidRPr="125B546F">
              <w:rPr>
                <w:rFonts w:ascii="Times New Roman" w:hAnsi="Times New Roman"/>
                <w:color w:val="0D0D0D" w:themeColor="text1" w:themeTint="F2"/>
              </w:rPr>
              <w:t xml:space="preserve">latform. The platform will host and organise the different types of support provided by the Commission to cities in a consolidated way. It is a structure for policy action and cooperation with cities. It will be composed </w:t>
            </w:r>
            <w:r w:rsidR="00D1236D">
              <w:rPr>
                <w:rFonts w:ascii="Times New Roman" w:hAnsi="Times New Roman"/>
                <w:color w:val="0D0D0D" w:themeColor="text1" w:themeTint="F2"/>
              </w:rPr>
              <w:t>of</w:t>
            </w:r>
            <w:r w:rsidR="00D1236D" w:rsidRPr="125B546F">
              <w:rPr>
                <w:rFonts w:ascii="Times New Roman" w:hAnsi="Times New Roman"/>
                <w:color w:val="0D0D0D" w:themeColor="text1" w:themeTint="F2"/>
              </w:rPr>
              <w:t xml:space="preserve"> </w:t>
            </w:r>
            <w:r w:rsidR="7FCA0762" w:rsidRPr="125B546F">
              <w:rPr>
                <w:rFonts w:ascii="Times New Roman" w:hAnsi="Times New Roman"/>
                <w:color w:val="0D0D0D" w:themeColor="text1" w:themeTint="F2"/>
              </w:rPr>
              <w:t xml:space="preserve">several initiatives and streams of support, built-in in a comprehensive, simplified and accessible way for beneficiaries, providing genuine simplification and EU added value, while facilitating multi-level governance cooperation towards achieving sustainable and integrated urban development. One of the </w:t>
            </w:r>
            <w:r w:rsidR="35595C86" w:rsidRPr="125B546F">
              <w:rPr>
                <w:rFonts w:ascii="Times New Roman" w:hAnsi="Times New Roman"/>
                <w:color w:val="0D0D0D" w:themeColor="text1" w:themeTint="F2"/>
              </w:rPr>
              <w:t>components</w:t>
            </w:r>
            <w:r w:rsidR="7FCA0762" w:rsidRPr="125B546F">
              <w:rPr>
                <w:rFonts w:ascii="Times New Roman" w:hAnsi="Times New Roman"/>
                <w:color w:val="0D0D0D" w:themeColor="text1" w:themeTint="F2"/>
              </w:rPr>
              <w:t xml:space="preserve"> of the future EU Cities Platform is support for innovative projects</w:t>
            </w:r>
            <w:r w:rsidR="502CAD76" w:rsidRPr="125B546F">
              <w:rPr>
                <w:rFonts w:ascii="Times New Roman" w:hAnsi="Times New Roman"/>
                <w:color w:val="0D0D0D" w:themeColor="text1" w:themeTint="F2"/>
              </w:rPr>
              <w:t>, and one is on data and tools repository (in reference to point 3.14)</w:t>
            </w:r>
            <w:r w:rsidR="7FCA0762" w:rsidRPr="125B546F">
              <w:rPr>
                <w:rFonts w:ascii="Times New Roman" w:hAnsi="Times New Roman"/>
                <w:color w:val="0D0D0D" w:themeColor="text1" w:themeTint="F2"/>
              </w:rPr>
              <w:t xml:space="preserve">. </w:t>
            </w:r>
          </w:p>
          <w:p w14:paraId="4D71BAC6" w14:textId="4E46E73A" w:rsidR="00C20ECB" w:rsidRDefault="00D65F65" w:rsidP="007E3F37">
            <w:pPr>
              <w:jc w:val="both"/>
              <w:rPr>
                <w:rFonts w:ascii="Times New Roman" w:hAnsi="Times New Roman"/>
                <w:color w:val="0D0D0D"/>
                <w:lang w:val="en-US"/>
              </w:rPr>
            </w:pPr>
            <w:r>
              <w:rPr>
                <w:rFonts w:ascii="Times New Roman" w:hAnsi="Times New Roman"/>
                <w:color w:val="0D0D0D"/>
                <w:u w:val="single"/>
              </w:rPr>
              <w:t xml:space="preserve">On points </w:t>
            </w:r>
            <w:r w:rsidR="001052B4">
              <w:rPr>
                <w:rFonts w:ascii="Times New Roman" w:hAnsi="Times New Roman"/>
                <w:color w:val="0D0D0D"/>
                <w:u w:val="single"/>
              </w:rPr>
              <w:t xml:space="preserve">2.12 and </w:t>
            </w:r>
            <w:r>
              <w:rPr>
                <w:rFonts w:ascii="Times New Roman" w:hAnsi="Times New Roman"/>
                <w:color w:val="0D0D0D"/>
                <w:u w:val="single"/>
              </w:rPr>
              <w:t>3.3</w:t>
            </w:r>
            <w:r w:rsidR="001052B4">
              <w:rPr>
                <w:rFonts w:ascii="Times New Roman" w:hAnsi="Times New Roman"/>
                <w:color w:val="0D0D0D"/>
              </w:rPr>
              <w:t xml:space="preserve">, </w:t>
            </w:r>
            <w:r w:rsidR="00D1236D">
              <w:rPr>
                <w:rFonts w:ascii="Times New Roman" w:hAnsi="Times New Roman"/>
                <w:color w:val="0D0D0D"/>
              </w:rPr>
              <w:t>the Commission would like to</w:t>
            </w:r>
            <w:r w:rsidR="00C20ECB">
              <w:rPr>
                <w:rFonts w:ascii="Times New Roman" w:hAnsi="Times New Roman"/>
                <w:b/>
                <w:color w:val="0D0D0D"/>
              </w:rPr>
              <w:t xml:space="preserve"> </w:t>
            </w:r>
            <w:r>
              <w:rPr>
                <w:rFonts w:ascii="Times New Roman" w:hAnsi="Times New Roman"/>
                <w:color w:val="0D0D0D"/>
              </w:rPr>
              <w:t>clarify</w:t>
            </w:r>
            <w:r w:rsidRPr="00EF0A79">
              <w:rPr>
                <w:rFonts w:ascii="Times New Roman" w:hAnsi="Times New Roman"/>
                <w:bCs/>
              </w:rPr>
              <w:t xml:space="preserve"> the relationship between the new EU Agenda for Cities and the existing Urban Agenda for the EU</w:t>
            </w:r>
            <w:r w:rsidR="007E3F37" w:rsidRPr="00EF0A79">
              <w:rPr>
                <w:rFonts w:ascii="Times New Roman" w:hAnsi="Times New Roman"/>
                <w:bCs/>
              </w:rPr>
              <w:t xml:space="preserve"> (UAEU)</w:t>
            </w:r>
            <w:r w:rsidR="00C20ECB" w:rsidRPr="00EF0A79">
              <w:rPr>
                <w:rFonts w:ascii="Times New Roman" w:hAnsi="Times New Roman"/>
                <w:bCs/>
              </w:rPr>
              <w:t xml:space="preserve">. </w:t>
            </w:r>
            <w:r w:rsidR="00C20ECB">
              <w:rPr>
                <w:rFonts w:ascii="Times New Roman" w:hAnsi="Times New Roman"/>
                <w:color w:val="0D0D0D"/>
              </w:rPr>
              <w:t xml:space="preserve">The EU Agenda for Cities of the European Commission does not replace the Urban Agenda for the EU; it is the perspective and </w:t>
            </w:r>
            <w:r w:rsidR="00315585">
              <w:rPr>
                <w:rFonts w:ascii="Times New Roman" w:hAnsi="Times New Roman"/>
                <w:color w:val="0D0D0D"/>
              </w:rPr>
              <w:t>frame for</w:t>
            </w:r>
            <w:r w:rsidR="00C20ECB">
              <w:rPr>
                <w:rFonts w:ascii="Times New Roman" w:hAnsi="Times New Roman"/>
                <w:color w:val="0D0D0D"/>
              </w:rPr>
              <w:t xml:space="preserve"> the Commission</w:t>
            </w:r>
            <w:r w:rsidR="00315585">
              <w:rPr>
                <w:rFonts w:ascii="Times New Roman" w:hAnsi="Times New Roman"/>
                <w:color w:val="0D0D0D"/>
              </w:rPr>
              <w:t>’s actions to support sustainable urban development</w:t>
            </w:r>
            <w:r w:rsidR="00C20ECB">
              <w:rPr>
                <w:rFonts w:ascii="Times New Roman" w:hAnsi="Times New Roman"/>
                <w:color w:val="0D0D0D"/>
              </w:rPr>
              <w:t>, and it covers several actions including the connection with the Urban Agenda for the EU. The Urban Agenda for the EU</w:t>
            </w:r>
            <w:r w:rsidR="00315585">
              <w:rPr>
                <w:rFonts w:ascii="Times New Roman" w:hAnsi="Times New Roman"/>
                <w:color w:val="0D0D0D"/>
              </w:rPr>
              <w:t xml:space="preserve"> and its Thematic Partnerships</w:t>
            </w:r>
            <w:r w:rsidR="00C20ECB">
              <w:rPr>
                <w:rFonts w:ascii="Times New Roman" w:hAnsi="Times New Roman"/>
                <w:color w:val="0D0D0D"/>
              </w:rPr>
              <w:t xml:space="preserve"> </w:t>
            </w:r>
            <w:r w:rsidR="00315585">
              <w:rPr>
                <w:rFonts w:ascii="Times New Roman" w:hAnsi="Times New Roman"/>
                <w:color w:val="0D0D0D"/>
              </w:rPr>
              <w:t>are under the</w:t>
            </w:r>
            <w:r w:rsidR="00C20ECB">
              <w:rPr>
                <w:rFonts w:ascii="Times New Roman" w:hAnsi="Times New Roman"/>
                <w:color w:val="0D0D0D"/>
              </w:rPr>
              <w:t xml:space="preserve"> steer</w:t>
            </w:r>
            <w:r w:rsidR="00315585">
              <w:rPr>
                <w:rFonts w:ascii="Times New Roman" w:hAnsi="Times New Roman"/>
                <w:color w:val="0D0D0D"/>
              </w:rPr>
              <w:t>ing role</w:t>
            </w:r>
            <w:r w:rsidR="00C20ECB">
              <w:rPr>
                <w:rFonts w:ascii="Times New Roman" w:hAnsi="Times New Roman"/>
                <w:color w:val="0D0D0D"/>
              </w:rPr>
              <w:t xml:space="preserve"> </w:t>
            </w:r>
            <w:r w:rsidR="00315585">
              <w:rPr>
                <w:rFonts w:ascii="Times New Roman" w:hAnsi="Times New Roman"/>
                <w:color w:val="0D0D0D"/>
              </w:rPr>
              <w:t>of EU</w:t>
            </w:r>
            <w:r w:rsidR="00C20ECB">
              <w:rPr>
                <w:rFonts w:ascii="Times New Roman" w:hAnsi="Times New Roman"/>
                <w:color w:val="0D0D0D"/>
              </w:rPr>
              <w:t xml:space="preserve"> Member States</w:t>
            </w:r>
            <w:r w:rsidR="00315585">
              <w:rPr>
                <w:rFonts w:ascii="Times New Roman" w:hAnsi="Times New Roman"/>
                <w:color w:val="0D0D0D"/>
              </w:rPr>
              <w:t>. It represents</w:t>
            </w:r>
            <w:r w:rsidR="00C20ECB">
              <w:rPr>
                <w:rFonts w:ascii="Times New Roman" w:hAnsi="Times New Roman"/>
                <w:color w:val="0D0D0D"/>
              </w:rPr>
              <w:t xml:space="preserve"> one specific instrument for multi-level governance. Similar forms of partnerships are not planned as part of the EU Agenda for Cities. The two Agendas can concretely interconnect in the following ways: </w:t>
            </w:r>
            <w:proofErr w:type="spellStart"/>
            <w:r w:rsidR="00C20ECB">
              <w:rPr>
                <w:rFonts w:ascii="Times New Roman" w:hAnsi="Times New Roman"/>
                <w:color w:val="0D0D0D"/>
              </w:rPr>
              <w:t>i</w:t>
            </w:r>
            <w:proofErr w:type="spellEnd"/>
            <w:r w:rsidR="00C20ECB">
              <w:rPr>
                <w:rFonts w:ascii="Times New Roman" w:hAnsi="Times New Roman"/>
                <w:color w:val="0D0D0D"/>
              </w:rPr>
              <w:t xml:space="preserve">) </w:t>
            </w:r>
            <w:r w:rsidR="00C20ECB">
              <w:rPr>
                <w:rFonts w:ascii="Times New Roman" w:hAnsi="Times New Roman"/>
                <w:color w:val="0D0D0D"/>
                <w:lang w:val="en-US"/>
              </w:rPr>
              <w:t>subjects raised in EU Agenda for Cities could turn into Thematic Partnerships</w:t>
            </w:r>
            <w:r w:rsidR="007E0F0A">
              <w:rPr>
                <w:rFonts w:ascii="Times New Roman" w:hAnsi="Times New Roman"/>
                <w:color w:val="0D0D0D"/>
                <w:lang w:val="en-US"/>
              </w:rPr>
              <w:t xml:space="preserve"> </w:t>
            </w:r>
            <w:r w:rsidR="00C20ECB">
              <w:rPr>
                <w:rFonts w:ascii="Times New Roman" w:hAnsi="Times New Roman"/>
                <w:color w:val="0D0D0D"/>
                <w:lang w:val="en-US"/>
              </w:rPr>
              <w:t>under</w:t>
            </w:r>
            <w:r w:rsidR="007E0F0A">
              <w:rPr>
                <w:rFonts w:ascii="Times New Roman" w:hAnsi="Times New Roman"/>
                <w:color w:val="0D0D0D"/>
                <w:lang w:val="en-US"/>
              </w:rPr>
              <w:t xml:space="preserve"> the Urban Agenda for the EU</w:t>
            </w:r>
            <w:r w:rsidR="00C20ECB">
              <w:rPr>
                <w:rFonts w:ascii="Times New Roman" w:hAnsi="Times New Roman"/>
                <w:color w:val="0D0D0D"/>
                <w:lang w:val="en-US"/>
              </w:rPr>
              <w:t xml:space="preserve">, ii) </w:t>
            </w:r>
            <w:r w:rsidR="007E0F0A">
              <w:rPr>
                <w:rFonts w:ascii="Times New Roman" w:hAnsi="Times New Roman"/>
                <w:color w:val="0D0D0D"/>
                <w:lang w:val="en-US"/>
              </w:rPr>
              <w:t>o</w:t>
            </w:r>
            <w:r w:rsidR="00C20ECB">
              <w:rPr>
                <w:rFonts w:ascii="Times New Roman" w:hAnsi="Times New Roman"/>
                <w:color w:val="0D0D0D"/>
                <w:lang w:val="en-US"/>
              </w:rPr>
              <w:t>utputs of Partnerships feed into continuous dialogue under EU Agenda for Cities​</w:t>
            </w:r>
            <w:r w:rsidR="00C20ECB">
              <w:rPr>
                <w:rFonts w:ascii="Times New Roman" w:hAnsi="Times New Roman"/>
                <w:color w:val="0D0D0D"/>
              </w:rPr>
              <w:t xml:space="preserve">, iii) </w:t>
            </w:r>
            <w:r w:rsidR="00C20ECB">
              <w:rPr>
                <w:rFonts w:ascii="Times New Roman" w:hAnsi="Times New Roman"/>
                <w:color w:val="0D0D0D"/>
                <w:lang w:val="en-US"/>
              </w:rPr>
              <w:t xml:space="preserve">planning and outcomes of dialogues of EU Agenda for Cities </w:t>
            </w:r>
            <w:r w:rsidR="007E0F0A">
              <w:rPr>
                <w:rFonts w:ascii="Times New Roman" w:hAnsi="Times New Roman"/>
                <w:color w:val="0D0D0D"/>
                <w:lang w:val="en-US"/>
              </w:rPr>
              <w:t xml:space="preserve">will be </w:t>
            </w:r>
            <w:r w:rsidR="00C20ECB">
              <w:rPr>
                <w:rFonts w:ascii="Times New Roman" w:hAnsi="Times New Roman"/>
                <w:color w:val="0D0D0D"/>
                <w:lang w:val="en-US"/>
              </w:rPr>
              <w:t>presented in UAEU governance structure.​</w:t>
            </w:r>
            <w:r w:rsidR="00C20ECB">
              <w:rPr>
                <w:rFonts w:ascii="Times New Roman" w:hAnsi="Times New Roman"/>
                <w:color w:val="0D0D0D"/>
              </w:rPr>
              <w:t xml:space="preserve">, iii) </w:t>
            </w:r>
            <w:r w:rsidR="00C20ECB">
              <w:rPr>
                <w:rFonts w:ascii="Times New Roman" w:hAnsi="Times New Roman"/>
                <w:color w:val="0D0D0D"/>
                <w:lang w:val="en-US"/>
              </w:rPr>
              <w:t xml:space="preserve">the advisory for funding and financing window under the future EU Cities Platform </w:t>
            </w:r>
            <w:r w:rsidR="007E3F37">
              <w:rPr>
                <w:rFonts w:ascii="Times New Roman" w:hAnsi="Times New Roman"/>
                <w:color w:val="0D0D0D"/>
                <w:lang w:val="en-US"/>
              </w:rPr>
              <w:t>will build on the ‘Better funding’ actions of the Urban Agenda for the EU, and iv) the</w:t>
            </w:r>
            <w:r w:rsidR="00C20ECB">
              <w:rPr>
                <w:rFonts w:ascii="Times New Roman" w:hAnsi="Times New Roman"/>
                <w:color w:val="0D0D0D"/>
                <w:lang w:val="en-US"/>
              </w:rPr>
              <w:t xml:space="preserve"> EU Cities Platform </w:t>
            </w:r>
            <w:r w:rsidR="007E3F37">
              <w:rPr>
                <w:rFonts w:ascii="Times New Roman" w:hAnsi="Times New Roman"/>
                <w:color w:val="0D0D0D"/>
                <w:lang w:val="en-US"/>
              </w:rPr>
              <w:t xml:space="preserve">will </w:t>
            </w:r>
            <w:r w:rsidR="00C20ECB">
              <w:rPr>
                <w:rFonts w:ascii="Times New Roman" w:hAnsi="Times New Roman"/>
                <w:color w:val="0D0D0D"/>
                <w:lang w:val="en-US"/>
              </w:rPr>
              <w:t xml:space="preserve">ensure dissemination, </w:t>
            </w:r>
            <w:proofErr w:type="spellStart"/>
            <w:r w:rsidR="00C20ECB">
              <w:rPr>
                <w:rFonts w:ascii="Times New Roman" w:hAnsi="Times New Roman"/>
                <w:color w:val="0D0D0D"/>
                <w:lang w:val="en-US"/>
              </w:rPr>
              <w:t>capitalisation</w:t>
            </w:r>
            <w:proofErr w:type="spellEnd"/>
            <w:r w:rsidR="00C20ECB">
              <w:rPr>
                <w:rFonts w:ascii="Times New Roman" w:hAnsi="Times New Roman"/>
                <w:color w:val="0D0D0D"/>
                <w:lang w:val="en-US"/>
              </w:rPr>
              <w:t xml:space="preserve"> and access to knowledge resources, including outcomes of UAEU Partnerships</w:t>
            </w:r>
            <w:r w:rsidR="007E3F37">
              <w:rPr>
                <w:rFonts w:ascii="Times New Roman" w:hAnsi="Times New Roman"/>
                <w:color w:val="0D0D0D"/>
                <w:lang w:val="en-US"/>
              </w:rPr>
              <w:t xml:space="preserve">. </w:t>
            </w:r>
            <w:r w:rsidR="00C20ECB">
              <w:rPr>
                <w:rFonts w:ascii="Times New Roman" w:hAnsi="Times New Roman"/>
                <w:color w:val="0D0D0D"/>
                <w:lang w:val="en-US"/>
              </w:rPr>
              <w:t>​</w:t>
            </w:r>
          </w:p>
          <w:p w14:paraId="4DDFC011" w14:textId="5220CA0C" w:rsidR="00DC6088" w:rsidRDefault="00DC6088" w:rsidP="007E3F37">
            <w:pPr>
              <w:jc w:val="both"/>
              <w:rPr>
                <w:rFonts w:ascii="Times New Roman" w:hAnsi="Times New Roman"/>
                <w:color w:val="0D0D0D"/>
                <w:lang w:val="en-US"/>
              </w:rPr>
            </w:pPr>
            <w:r w:rsidRPr="00A321CB">
              <w:rPr>
                <w:rFonts w:ascii="Times New Roman" w:hAnsi="Times New Roman"/>
                <w:color w:val="0D0D0D" w:themeColor="text1" w:themeTint="F2"/>
                <w:u w:val="single"/>
                <w:lang w:val="en-US"/>
              </w:rPr>
              <w:t>On point 3.2</w:t>
            </w:r>
            <w:r w:rsidRPr="76744022">
              <w:rPr>
                <w:rFonts w:ascii="Times New Roman" w:hAnsi="Times New Roman"/>
                <w:color w:val="0D0D0D" w:themeColor="text1" w:themeTint="F2"/>
                <w:lang w:val="en-US"/>
              </w:rPr>
              <w:t>, the Commission consider</w:t>
            </w:r>
            <w:r w:rsidR="5FFB87E4" w:rsidRPr="76744022">
              <w:rPr>
                <w:rFonts w:ascii="Times New Roman" w:hAnsi="Times New Roman"/>
                <w:color w:val="0D0D0D" w:themeColor="text1" w:themeTint="F2"/>
                <w:lang w:val="en-US"/>
              </w:rPr>
              <w:t>s</w:t>
            </w:r>
            <w:r w:rsidRPr="76744022">
              <w:rPr>
                <w:rFonts w:ascii="Times New Roman" w:hAnsi="Times New Roman"/>
                <w:color w:val="0D0D0D" w:themeColor="text1" w:themeTint="F2"/>
                <w:lang w:val="en-US"/>
              </w:rPr>
              <w:t xml:space="preserve"> that the EESC’s work in carrying out dialogues and ensuring the involvement of social partners, civil society </w:t>
            </w:r>
            <w:proofErr w:type="spellStart"/>
            <w:r w:rsidRPr="76744022">
              <w:rPr>
                <w:rFonts w:ascii="Times New Roman" w:hAnsi="Times New Roman"/>
                <w:color w:val="0D0D0D" w:themeColor="text1" w:themeTint="F2"/>
                <w:lang w:val="en-US"/>
              </w:rPr>
              <w:t>organisations</w:t>
            </w:r>
            <w:proofErr w:type="spellEnd"/>
            <w:r w:rsidRPr="76744022">
              <w:rPr>
                <w:rFonts w:ascii="Times New Roman" w:hAnsi="Times New Roman"/>
                <w:color w:val="0D0D0D" w:themeColor="text1" w:themeTint="F2"/>
                <w:lang w:val="en-US"/>
              </w:rPr>
              <w:t xml:space="preserve">, other </w:t>
            </w:r>
            <w:proofErr w:type="spellStart"/>
            <w:r w:rsidRPr="76744022">
              <w:rPr>
                <w:rFonts w:ascii="Times New Roman" w:hAnsi="Times New Roman"/>
                <w:color w:val="0D0D0D" w:themeColor="text1" w:themeTint="F2"/>
                <w:lang w:val="en-US"/>
              </w:rPr>
              <w:t>organisations</w:t>
            </w:r>
            <w:proofErr w:type="spellEnd"/>
            <w:r w:rsidR="01F7EE2B" w:rsidRPr="76744022">
              <w:rPr>
                <w:rFonts w:ascii="Times New Roman" w:hAnsi="Times New Roman"/>
                <w:color w:val="0D0D0D" w:themeColor="text1" w:themeTint="F2"/>
                <w:lang w:val="en-US"/>
              </w:rPr>
              <w:t>,</w:t>
            </w:r>
            <w:r w:rsidRPr="76744022">
              <w:rPr>
                <w:rFonts w:ascii="Times New Roman" w:hAnsi="Times New Roman"/>
                <w:color w:val="0D0D0D" w:themeColor="text1" w:themeTint="F2"/>
                <w:lang w:val="en-US"/>
              </w:rPr>
              <w:t xml:space="preserve"> and citizens on the policy areas </w:t>
            </w:r>
            <w:r w:rsidR="00F61627" w:rsidRPr="76744022">
              <w:rPr>
                <w:rFonts w:ascii="Times New Roman" w:hAnsi="Times New Roman"/>
                <w:color w:val="0D0D0D" w:themeColor="text1" w:themeTint="F2"/>
                <w:lang w:val="en-US"/>
              </w:rPr>
              <w:t xml:space="preserve">covered by the EU Agenda for Cities can complement </w:t>
            </w:r>
            <w:r w:rsidR="063A59FD" w:rsidRPr="76744022">
              <w:rPr>
                <w:rFonts w:ascii="Times New Roman" w:hAnsi="Times New Roman"/>
                <w:color w:val="0D0D0D" w:themeColor="text1" w:themeTint="F2"/>
                <w:lang w:val="en-US"/>
              </w:rPr>
              <w:t>high-level</w:t>
            </w:r>
            <w:r w:rsidR="00F61627" w:rsidRPr="76744022">
              <w:rPr>
                <w:rFonts w:ascii="Times New Roman" w:hAnsi="Times New Roman"/>
                <w:color w:val="0D0D0D" w:themeColor="text1" w:themeTint="F2"/>
                <w:lang w:val="en-US"/>
              </w:rPr>
              <w:t xml:space="preserve"> political dialogues and technical dialogues to provide feedback to the EU level. </w:t>
            </w:r>
          </w:p>
          <w:p w14:paraId="53D2D7F1" w14:textId="626CDBBC" w:rsidR="00B82CB3" w:rsidRPr="00EF0A79" w:rsidRDefault="00B82CB3" w:rsidP="23E7A481">
            <w:pPr>
              <w:spacing w:before="120" w:after="120"/>
              <w:jc w:val="both"/>
              <w:rPr>
                <w:rFonts w:ascii="Times New Roman" w:hAnsi="Times New Roman"/>
              </w:rPr>
            </w:pPr>
            <w:r w:rsidRPr="23E7A481">
              <w:rPr>
                <w:rFonts w:ascii="Times New Roman" w:hAnsi="Times New Roman"/>
                <w:u w:val="single"/>
              </w:rPr>
              <w:t>On point 3.4</w:t>
            </w:r>
            <w:r w:rsidRPr="23E7A481">
              <w:rPr>
                <w:rFonts w:ascii="Times New Roman" w:hAnsi="Times New Roman"/>
              </w:rPr>
              <w:t xml:space="preserve">, the Commission recognises the importance of the </w:t>
            </w:r>
            <w:r w:rsidR="00A50EBC">
              <w:rPr>
                <w:rFonts w:ascii="Times New Roman" w:hAnsi="Times New Roman"/>
              </w:rPr>
              <w:t>p</w:t>
            </w:r>
            <w:r w:rsidRPr="23E7A481">
              <w:rPr>
                <w:rFonts w:ascii="Times New Roman" w:hAnsi="Times New Roman"/>
              </w:rPr>
              <w:t>artnership principle and necessary involvement of local authorities and stakeholders. The programming and implementation of the EU policies under shared management are based on the partnership principle.</w:t>
            </w:r>
            <w:r w:rsidR="00343D7A" w:rsidRPr="23E7A481">
              <w:rPr>
                <w:rFonts w:ascii="Times New Roman" w:hAnsi="Times New Roman"/>
              </w:rPr>
              <w:t xml:space="preserve"> </w:t>
            </w:r>
            <w:r w:rsidRPr="23E7A481">
              <w:rPr>
                <w:rFonts w:ascii="Times New Roman" w:hAnsi="Times New Roman"/>
              </w:rPr>
              <w:t xml:space="preserve">Such stakeholder participation enhances the quality, ownership, and effectiveness of interventions, ensuring that actions are better tailored to specific territorial needs of urban areas. This approach is pursued under the </w:t>
            </w:r>
            <w:r w:rsidR="00A321CB" w:rsidRPr="23E7A481">
              <w:rPr>
                <w:rFonts w:ascii="Times New Roman" w:hAnsi="Times New Roman"/>
              </w:rPr>
              <w:t>Commission’s proposal</w:t>
            </w:r>
            <w:r w:rsidRPr="23E7A481">
              <w:rPr>
                <w:rFonts w:ascii="Times New Roman" w:hAnsi="Times New Roman"/>
              </w:rPr>
              <w:t xml:space="preserve"> for the National and Regional Partnership </w:t>
            </w:r>
            <w:r w:rsidR="005031A8">
              <w:rPr>
                <w:rFonts w:ascii="Times New Roman" w:hAnsi="Times New Roman"/>
              </w:rPr>
              <w:t>Regulation</w:t>
            </w:r>
            <w:r w:rsidRPr="23E7A481">
              <w:rPr>
                <w:rFonts w:ascii="Times New Roman" w:hAnsi="Times New Roman"/>
              </w:rPr>
              <w:t xml:space="preserve">. </w:t>
            </w:r>
          </w:p>
          <w:p w14:paraId="1936B3AE" w14:textId="1121820D" w:rsidR="00D65F65" w:rsidRPr="00EF0A79" w:rsidRDefault="007E0F0A" w:rsidP="23E7A481">
            <w:pPr>
              <w:spacing w:before="120" w:after="120"/>
              <w:jc w:val="both"/>
              <w:rPr>
                <w:rFonts w:ascii="Times New Roman" w:hAnsi="Times New Roman"/>
                <w:b/>
                <w:bCs/>
              </w:rPr>
            </w:pPr>
            <w:r w:rsidRPr="23E7A481">
              <w:rPr>
                <w:rFonts w:ascii="Times New Roman" w:hAnsi="Times New Roman"/>
                <w:u w:val="single"/>
              </w:rPr>
              <w:t>On p</w:t>
            </w:r>
            <w:r w:rsidR="00D65F65" w:rsidRPr="23E7A481">
              <w:rPr>
                <w:rFonts w:ascii="Times New Roman" w:hAnsi="Times New Roman"/>
                <w:u w:val="single"/>
              </w:rPr>
              <w:t>oint 3.6</w:t>
            </w:r>
            <w:r w:rsidR="00C677E2" w:rsidRPr="23E7A481">
              <w:rPr>
                <w:rFonts w:ascii="Times New Roman" w:hAnsi="Times New Roman"/>
                <w:u w:val="single"/>
              </w:rPr>
              <w:t xml:space="preserve"> and point 3.9</w:t>
            </w:r>
            <w:r w:rsidRPr="23E7A481">
              <w:rPr>
                <w:rFonts w:ascii="Times New Roman" w:hAnsi="Times New Roman"/>
              </w:rPr>
              <w:t>, it should be specified that t</w:t>
            </w:r>
            <w:r w:rsidR="00D65F65" w:rsidRPr="23E7A481">
              <w:rPr>
                <w:rFonts w:ascii="Times New Roman" w:hAnsi="Times New Roman"/>
              </w:rPr>
              <w:t xml:space="preserve">he consultations and dialogues described in the EU </w:t>
            </w:r>
            <w:r w:rsidR="00D65F65" w:rsidRPr="23E7A481">
              <w:rPr>
                <w:rFonts w:ascii="Times New Roman" w:hAnsi="Times New Roman"/>
              </w:rPr>
              <w:lastRenderedPageBreak/>
              <w:t xml:space="preserve">Agenda for Cities will not replace established consultation mechanisms that are part of the better regulation agenda of the European Commission and institutional cycle. They will provide a specific opportunity for local authorities </w:t>
            </w:r>
            <w:r w:rsidRPr="23E7A481">
              <w:rPr>
                <w:rFonts w:ascii="Times New Roman" w:hAnsi="Times New Roman"/>
              </w:rPr>
              <w:t xml:space="preserve">and other urban stakeholders </w:t>
            </w:r>
            <w:r w:rsidR="00D65F65" w:rsidRPr="23E7A481">
              <w:rPr>
                <w:rFonts w:ascii="Times New Roman" w:hAnsi="Times New Roman"/>
              </w:rPr>
              <w:t xml:space="preserve">to exchange with Commission services on their challenges, solutions, and support the identification of regulatory issues and simplification efforts of </w:t>
            </w:r>
            <w:r w:rsidRPr="23E7A481">
              <w:rPr>
                <w:rFonts w:ascii="Times New Roman" w:hAnsi="Times New Roman"/>
              </w:rPr>
              <w:t>the Commission</w:t>
            </w:r>
            <w:r w:rsidR="00D65F65" w:rsidRPr="23E7A481">
              <w:rPr>
                <w:rFonts w:ascii="Times New Roman" w:hAnsi="Times New Roman"/>
              </w:rPr>
              <w:t>. Through other existing formats such as Implementation dialogues</w:t>
            </w:r>
            <w:r w:rsidR="000C075C" w:rsidRPr="23E7A481">
              <w:rPr>
                <w:rFonts w:ascii="Times New Roman" w:hAnsi="Times New Roman"/>
              </w:rPr>
              <w:t>, reality checks</w:t>
            </w:r>
            <w:r w:rsidR="00D65F65" w:rsidRPr="23E7A481">
              <w:rPr>
                <w:rFonts w:ascii="Times New Roman" w:hAnsi="Times New Roman"/>
              </w:rPr>
              <w:t xml:space="preserve"> and expert groups, consultations are also organised </w:t>
            </w:r>
            <w:r w:rsidR="00C677E2" w:rsidRPr="23E7A481">
              <w:rPr>
                <w:rFonts w:ascii="Times New Roman" w:hAnsi="Times New Roman"/>
              </w:rPr>
              <w:t xml:space="preserve">with different actors from the business sector, civil society organisations and public authorities. They also </w:t>
            </w:r>
            <w:r w:rsidR="00D65F65" w:rsidRPr="23E7A481">
              <w:rPr>
                <w:rFonts w:ascii="Times New Roman" w:hAnsi="Times New Roman"/>
              </w:rPr>
              <w:t xml:space="preserve">allow </w:t>
            </w:r>
            <w:r w:rsidR="00C677E2" w:rsidRPr="23E7A481">
              <w:rPr>
                <w:rFonts w:ascii="Times New Roman" w:hAnsi="Times New Roman"/>
              </w:rPr>
              <w:t xml:space="preserve">various types of </w:t>
            </w:r>
            <w:r w:rsidR="00D65F65" w:rsidRPr="23E7A481">
              <w:rPr>
                <w:rFonts w:ascii="Times New Roman" w:hAnsi="Times New Roman"/>
              </w:rPr>
              <w:t xml:space="preserve">actors to </w:t>
            </w:r>
            <w:r w:rsidR="00C677E2" w:rsidRPr="23E7A481">
              <w:rPr>
                <w:rFonts w:ascii="Times New Roman" w:hAnsi="Times New Roman"/>
              </w:rPr>
              <w:t>provide inputs</w:t>
            </w:r>
            <w:r w:rsidR="00D65F65" w:rsidRPr="23E7A481">
              <w:rPr>
                <w:rFonts w:ascii="Times New Roman" w:hAnsi="Times New Roman"/>
              </w:rPr>
              <w:t>, notably on issues that impact local development</w:t>
            </w:r>
            <w:r w:rsidR="00C677E2" w:rsidRPr="23E7A481">
              <w:rPr>
                <w:rFonts w:ascii="Times New Roman" w:hAnsi="Times New Roman"/>
              </w:rPr>
              <w:t xml:space="preserve">. </w:t>
            </w:r>
            <w:r w:rsidR="00535EDD" w:rsidRPr="00535EDD">
              <w:rPr>
                <w:rFonts w:ascii="Times New Roman" w:hAnsi="Times New Roman"/>
              </w:rPr>
              <w:t xml:space="preserve">The upcoming Voices of the Future initiative, part of the Strategy on Intergenerational Fairness and developed in cooperation with the Committee of the Regions, will invite local and regional authorities to engage in shaping their regions’ future. </w:t>
            </w:r>
          </w:p>
          <w:p w14:paraId="75870944" w14:textId="53D75A4C" w:rsidR="006A3FC0" w:rsidRDefault="001D0239" w:rsidP="006139A9">
            <w:pPr>
              <w:jc w:val="both"/>
              <w:rPr>
                <w:rStyle w:val="eop"/>
                <w:rFonts w:ascii="Times New Roman" w:hAnsi="Times New Roman"/>
                <w:color w:val="0D0D0D"/>
              </w:rPr>
            </w:pPr>
            <w:r>
              <w:rPr>
                <w:rFonts w:ascii="Times New Roman" w:hAnsi="Times New Roman"/>
                <w:color w:val="0D0D0D"/>
                <w:u w:val="single"/>
              </w:rPr>
              <w:t>On point 3.13</w:t>
            </w:r>
            <w:r w:rsidR="00C677E2">
              <w:rPr>
                <w:rFonts w:ascii="Times New Roman" w:hAnsi="Times New Roman"/>
                <w:b/>
                <w:color w:val="0D0D0D"/>
              </w:rPr>
              <w:t xml:space="preserve">, </w:t>
            </w:r>
            <w:r w:rsidR="00C677E2">
              <w:rPr>
                <w:rStyle w:val="normaltextrun"/>
                <w:rFonts w:ascii="Times New Roman" w:hAnsi="Times New Roman"/>
                <w:color w:val="0D0D0D"/>
              </w:rPr>
              <w:t>the Commission</w:t>
            </w:r>
            <w:r w:rsidR="006D248C">
              <w:rPr>
                <w:rStyle w:val="normaltextrun"/>
                <w:rFonts w:ascii="Times New Roman" w:hAnsi="Times New Roman"/>
                <w:color w:val="0D0D0D"/>
              </w:rPr>
              <w:t xml:space="preserve"> recogni</w:t>
            </w:r>
            <w:r w:rsidR="00C677E2">
              <w:rPr>
                <w:rStyle w:val="normaltextrun"/>
                <w:rFonts w:ascii="Times New Roman" w:hAnsi="Times New Roman"/>
                <w:color w:val="0D0D0D"/>
              </w:rPr>
              <w:t>s</w:t>
            </w:r>
            <w:r w:rsidR="006D248C">
              <w:rPr>
                <w:rStyle w:val="normaltextrun"/>
                <w:rFonts w:ascii="Times New Roman" w:hAnsi="Times New Roman"/>
                <w:color w:val="0D0D0D"/>
              </w:rPr>
              <w:t>es that the impacts of Union legislation may be different across local and regional levels and for public authorities. Impact assessments and evaluations should systematically consider territorial impacts when they are relevant</w:t>
            </w:r>
            <w:r w:rsidR="006D248C" w:rsidRPr="00D968F3">
              <w:rPr>
                <w:rStyle w:val="normaltextrun"/>
                <w:rFonts w:ascii="Times New Roman" w:hAnsi="Times New Roman"/>
                <w:color w:val="0D0D0D"/>
              </w:rPr>
              <w:t>.</w:t>
            </w:r>
            <w:r w:rsidR="006D248C">
              <w:rPr>
                <w:rStyle w:val="normaltextrun"/>
                <w:rFonts w:ascii="Times New Roman" w:hAnsi="Times New Roman"/>
                <w:color w:val="0D0D0D"/>
              </w:rPr>
              <w:t> Thanks to territorial impact assessments (TIA), the needs and specificities of different EU territories can be better considered to facilitate cohesion across the Union. </w:t>
            </w:r>
            <w:r w:rsidR="006D248C">
              <w:rPr>
                <w:rStyle w:val="eop"/>
                <w:rFonts w:ascii="Times New Roman" w:hAnsi="Times New Roman"/>
                <w:color w:val="0D0D0D"/>
              </w:rPr>
              <w:t> </w:t>
            </w:r>
          </w:p>
          <w:p w14:paraId="30D14481" w14:textId="07B004CF" w:rsidR="00DE5292" w:rsidRPr="00A321CB" w:rsidRDefault="00DE5292" w:rsidP="006139A9">
            <w:pPr>
              <w:jc w:val="both"/>
              <w:rPr>
                <w:rFonts w:ascii="Times New Roman" w:hAnsi="Times New Roman"/>
                <w:bCs/>
                <w:color w:val="0D0D0D"/>
              </w:rPr>
            </w:pPr>
            <w:r w:rsidRPr="00A321CB">
              <w:rPr>
                <w:rFonts w:ascii="Times New Roman" w:hAnsi="Times New Roman"/>
                <w:bCs/>
                <w:color w:val="0D0D0D"/>
                <w:u w:val="single"/>
              </w:rPr>
              <w:t>On point 3.15</w:t>
            </w:r>
            <w:r w:rsidRPr="00A321CB">
              <w:rPr>
                <w:rFonts w:ascii="Times New Roman" w:hAnsi="Times New Roman"/>
                <w:bCs/>
                <w:color w:val="0D0D0D"/>
              </w:rPr>
              <w:t xml:space="preserve">, the Commission </w:t>
            </w:r>
            <w:r w:rsidR="00FA412F">
              <w:rPr>
                <w:rFonts w:ascii="Times New Roman" w:hAnsi="Times New Roman"/>
                <w:bCs/>
                <w:color w:val="0D0D0D"/>
              </w:rPr>
              <w:t>recognises</w:t>
            </w:r>
            <w:r w:rsidRPr="00A321CB">
              <w:rPr>
                <w:rFonts w:ascii="Times New Roman" w:hAnsi="Times New Roman"/>
                <w:bCs/>
                <w:color w:val="0D0D0D"/>
              </w:rPr>
              <w:t xml:space="preserve"> the importance of a balanced tourism development in the cities</w:t>
            </w:r>
            <w:r w:rsidR="003F041D">
              <w:rPr>
                <w:rFonts w:ascii="Times New Roman" w:hAnsi="Times New Roman"/>
                <w:bCs/>
                <w:color w:val="0D0D0D"/>
              </w:rPr>
              <w:t>.</w:t>
            </w:r>
            <w:r w:rsidRPr="00A321CB">
              <w:rPr>
                <w:rFonts w:ascii="Times New Roman" w:hAnsi="Times New Roman"/>
                <w:bCs/>
                <w:color w:val="0D0D0D"/>
              </w:rPr>
              <w:t xml:space="preserve"> </w:t>
            </w:r>
            <w:r w:rsidR="003F041D">
              <w:rPr>
                <w:rFonts w:ascii="Times New Roman" w:hAnsi="Times New Roman"/>
                <w:bCs/>
                <w:color w:val="0D0D0D"/>
              </w:rPr>
              <w:t>W</w:t>
            </w:r>
            <w:r w:rsidRPr="00A321CB">
              <w:rPr>
                <w:rFonts w:ascii="Times New Roman" w:hAnsi="Times New Roman"/>
                <w:bCs/>
                <w:color w:val="0D0D0D"/>
              </w:rPr>
              <w:t xml:space="preserve">hen managed sustainably, tourism in urban destinations can boost local economy while respecting the interests of the communities. The upcoming EU strategy for sustainable tourism will aim to support tourism destinations, including urban, </w:t>
            </w:r>
            <w:r w:rsidR="005155D7">
              <w:rPr>
                <w:rFonts w:ascii="Times New Roman" w:hAnsi="Times New Roman"/>
                <w:bCs/>
                <w:color w:val="0D0D0D"/>
              </w:rPr>
              <w:t xml:space="preserve">with the objective of making them </w:t>
            </w:r>
            <w:r w:rsidRPr="00A321CB">
              <w:rPr>
                <w:rFonts w:ascii="Times New Roman" w:hAnsi="Times New Roman"/>
                <w:bCs/>
                <w:color w:val="0D0D0D"/>
              </w:rPr>
              <w:t xml:space="preserve">more resilient, balanced and competitive. </w:t>
            </w:r>
          </w:p>
        </w:tc>
      </w:tr>
    </w:tbl>
    <w:p w14:paraId="41D86A3C" w14:textId="77777777" w:rsidR="00554137" w:rsidRPr="00D956EE" w:rsidRDefault="00554137" w:rsidP="004C6C1B">
      <w:pPr>
        <w:spacing w:after="120"/>
        <w:rPr>
          <w:rFonts w:ascii="Times New Roman" w:hAnsi="Times New Roman"/>
          <w:b/>
          <w:sz w:val="2"/>
          <w:szCs w:val="2"/>
          <w:u w:val="single"/>
        </w:rPr>
      </w:pPr>
    </w:p>
    <w:p w14:paraId="3D003512" w14:textId="77777777" w:rsidR="00E103AD" w:rsidRPr="00D956EE" w:rsidRDefault="00E103AD" w:rsidP="004C6C1B">
      <w:pPr>
        <w:spacing w:after="120"/>
        <w:rPr>
          <w:rFonts w:ascii="Times New Roman" w:hAnsi="Times New Roman"/>
          <w:b/>
          <w:sz w:val="2"/>
          <w:szCs w:val="2"/>
          <w:u w:val="single"/>
        </w:rPr>
      </w:pPr>
    </w:p>
    <w:sectPr w:rsidR="00E103AD" w:rsidRPr="00D956E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06036" w14:textId="77777777" w:rsidR="00EA3E55" w:rsidRDefault="00EA3E55" w:rsidP="00FF63EA">
      <w:pPr>
        <w:spacing w:after="0" w:line="240" w:lineRule="auto"/>
      </w:pPr>
      <w:r>
        <w:separator/>
      </w:r>
    </w:p>
  </w:endnote>
  <w:endnote w:type="continuationSeparator" w:id="0">
    <w:p w14:paraId="1EDED517" w14:textId="77777777" w:rsidR="00EA3E55" w:rsidRDefault="00EA3E55" w:rsidP="00FF6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2C22E" w14:textId="77777777" w:rsidR="00EA3E55" w:rsidRDefault="00EA3E55" w:rsidP="00FF63EA">
      <w:pPr>
        <w:spacing w:after="0" w:line="240" w:lineRule="auto"/>
      </w:pPr>
      <w:r>
        <w:separator/>
      </w:r>
    </w:p>
  </w:footnote>
  <w:footnote w:type="continuationSeparator" w:id="0">
    <w:p w14:paraId="1FAFA747" w14:textId="77777777" w:rsidR="00EA3E55" w:rsidRDefault="00EA3E55" w:rsidP="00FF63EA">
      <w:pPr>
        <w:spacing w:after="0" w:line="240" w:lineRule="auto"/>
      </w:pPr>
      <w:r>
        <w:continuationSeparator/>
      </w:r>
    </w:p>
  </w:footnote>
  <w:footnote w:id="1">
    <w:p w14:paraId="0A1D43FE" w14:textId="0A6C4964" w:rsidR="00BA0EA2" w:rsidRPr="00EF0A79" w:rsidRDefault="00885FA3" w:rsidP="00EF0A79">
      <w:pPr>
        <w:pStyle w:val="FootnoteText"/>
        <w:widowControl w:val="0"/>
        <w:spacing w:after="0" w:line="240" w:lineRule="auto"/>
        <w:ind w:left="-141" w:right="-567" w:hanging="284"/>
        <w:jc w:val="both"/>
        <w:rPr>
          <w:rFonts w:ascii="Times New Roman" w:hAnsi="Times New Roman"/>
          <w:sz w:val="18"/>
          <w:szCs w:val="18"/>
        </w:rPr>
      </w:pPr>
      <w:r w:rsidRPr="00EF0A79">
        <w:rPr>
          <w:rFonts w:ascii="Times New Roman" w:hAnsi="Times New Roman"/>
          <w:sz w:val="18"/>
          <w:szCs w:val="18"/>
        </w:rPr>
        <w:t xml:space="preserve">         </w:t>
      </w:r>
      <w:r w:rsidR="00BA0EA2" w:rsidRPr="00EF0A79">
        <w:rPr>
          <w:rStyle w:val="FootnoteReference"/>
          <w:rFonts w:ascii="Times New Roman" w:hAnsi="Times New Roman"/>
          <w:sz w:val="18"/>
          <w:szCs w:val="18"/>
        </w:rPr>
        <w:footnoteRef/>
      </w:r>
      <w:r w:rsidR="00BA0EA2" w:rsidRPr="00EF0A79">
        <w:rPr>
          <w:rFonts w:ascii="Times New Roman" w:hAnsi="Times New Roman"/>
          <w:sz w:val="18"/>
          <w:szCs w:val="18"/>
        </w:rPr>
        <w:t xml:space="preserve"> </w:t>
      </w:r>
      <w:r w:rsidR="003456DA">
        <w:rPr>
          <w:rFonts w:ascii="Times New Roman" w:hAnsi="Times New Roman"/>
          <w:sz w:val="18"/>
          <w:szCs w:val="18"/>
        </w:rPr>
        <w:tab/>
      </w:r>
      <w:hyperlink r:id="rId1" w:history="1">
        <w:r w:rsidR="00BA0EA2" w:rsidRPr="00EF0A79">
          <w:rPr>
            <w:rStyle w:val="Hyperlink"/>
            <w:rFonts w:ascii="Times New Roman" w:hAnsi="Times New Roman"/>
            <w:sz w:val="18"/>
            <w:szCs w:val="18"/>
          </w:rPr>
          <w:t xml:space="preserve">The Mission Letter of EVP </w:t>
        </w:r>
        <w:proofErr w:type="spellStart"/>
        <w:r w:rsidR="00BA0EA2" w:rsidRPr="00EF0A79">
          <w:rPr>
            <w:rStyle w:val="Hyperlink"/>
            <w:rFonts w:ascii="Times New Roman" w:hAnsi="Times New Roman"/>
            <w:sz w:val="18"/>
            <w:szCs w:val="18"/>
          </w:rPr>
          <w:t>Fitto</w:t>
        </w:r>
        <w:proofErr w:type="spellEnd"/>
      </w:hyperlink>
      <w:r w:rsidR="00BA0EA2" w:rsidRPr="00EF0A79">
        <w:rPr>
          <w:rFonts w:ascii="Times New Roman" w:hAnsi="Times New Roman"/>
          <w:sz w:val="18"/>
          <w:szCs w:val="18"/>
        </w:rPr>
        <w:t>.</w:t>
      </w:r>
    </w:p>
  </w:footnote>
  <w:footnote w:id="2">
    <w:p w14:paraId="36D17FCD" w14:textId="77EF17D4" w:rsidR="00885FA3" w:rsidRPr="001476BE" w:rsidRDefault="00885FA3" w:rsidP="00EF0A79">
      <w:pPr>
        <w:pStyle w:val="FootnoteText"/>
        <w:spacing w:after="0"/>
        <w:jc w:val="both"/>
        <w:rPr>
          <w:rFonts w:ascii="Times New Roman" w:hAnsi="Times New Roman"/>
          <w:sz w:val="18"/>
          <w:szCs w:val="18"/>
          <w:lang w:val="fr-BE"/>
        </w:rPr>
      </w:pPr>
      <w:r w:rsidRPr="00EF0A79">
        <w:rPr>
          <w:rStyle w:val="FootnoteReference"/>
          <w:rFonts w:ascii="Times New Roman" w:hAnsi="Times New Roman"/>
          <w:sz w:val="18"/>
          <w:szCs w:val="18"/>
        </w:rPr>
        <w:footnoteRef/>
      </w:r>
      <w:r w:rsidRPr="001476BE">
        <w:rPr>
          <w:rFonts w:ascii="Times New Roman" w:hAnsi="Times New Roman"/>
          <w:sz w:val="18"/>
          <w:szCs w:val="18"/>
          <w:lang w:val="fr-BE"/>
        </w:rPr>
        <w:t xml:space="preserve"> </w:t>
      </w:r>
      <w:r w:rsidR="003456DA" w:rsidRPr="001476BE">
        <w:rPr>
          <w:rFonts w:ascii="Times New Roman" w:hAnsi="Times New Roman"/>
          <w:sz w:val="18"/>
          <w:szCs w:val="18"/>
          <w:lang w:val="fr-BE"/>
        </w:rPr>
        <w:tab/>
      </w:r>
      <w:r w:rsidRPr="001476BE">
        <w:rPr>
          <w:rFonts w:ascii="Times New Roman" w:hAnsi="Times New Roman"/>
          <w:sz w:val="18"/>
          <w:szCs w:val="18"/>
          <w:lang w:val="fr-BE"/>
        </w:rPr>
        <w:t>COM(2025) 739 final</w:t>
      </w:r>
      <w:r w:rsidR="003456DA" w:rsidRPr="001476BE">
        <w:rPr>
          <w:rFonts w:ascii="Times New Roman" w:hAnsi="Times New Roman"/>
          <w:sz w:val="18"/>
          <w:szCs w:val="18"/>
          <w:lang w:val="fr-BE"/>
        </w:rPr>
        <w:t xml:space="preserve"> (</w:t>
      </w:r>
      <w:hyperlink r:id="rId2" w:history="1">
        <w:r w:rsidR="003456DA" w:rsidRPr="001476BE">
          <w:rPr>
            <w:rStyle w:val="Hyperlink"/>
            <w:rFonts w:ascii="Times New Roman" w:hAnsi="Times New Roman"/>
            <w:sz w:val="18"/>
            <w:szCs w:val="18"/>
            <w:lang w:val="fr-BE"/>
          </w:rPr>
          <w:t>EUR-Lex - 52025DC0739 - EN - EUR-Lex</w:t>
        </w:r>
      </w:hyperlink>
      <w:r w:rsidR="003456DA" w:rsidRPr="001476BE">
        <w:rPr>
          <w:rFonts w:ascii="Times New Roman" w:hAnsi="Times New Roman"/>
          <w:sz w:val="18"/>
          <w:szCs w:val="18"/>
          <w:lang w:val="fr-BE"/>
        </w:rPr>
        <w:t>)</w:t>
      </w:r>
      <w:r w:rsidR="003456DA">
        <w:rPr>
          <w:rFonts w:ascii="Times New Roman" w:hAnsi="Times New Roman"/>
          <w:sz w:val="18"/>
          <w:szCs w:val="18"/>
          <w:lang w:val="fr-BE"/>
        </w:rPr>
        <w:t>.</w:t>
      </w:r>
    </w:p>
  </w:footnote>
  <w:footnote w:id="3">
    <w:p w14:paraId="3DB79544" w14:textId="08B3C25A" w:rsidR="00EF0A79" w:rsidRPr="001476BE" w:rsidRDefault="00EF0A79" w:rsidP="00EF0A79">
      <w:pPr>
        <w:pStyle w:val="FootnoteText"/>
        <w:spacing w:after="0"/>
        <w:jc w:val="both"/>
        <w:rPr>
          <w:lang w:val="fr-BE"/>
        </w:rPr>
      </w:pPr>
      <w:r w:rsidRPr="00EF0A79">
        <w:rPr>
          <w:rStyle w:val="FootnoteReference"/>
          <w:rFonts w:ascii="Times New Roman" w:hAnsi="Times New Roman"/>
          <w:sz w:val="18"/>
          <w:szCs w:val="18"/>
        </w:rPr>
        <w:footnoteRef/>
      </w:r>
      <w:r w:rsidRPr="001476BE">
        <w:rPr>
          <w:rFonts w:ascii="Times New Roman" w:hAnsi="Times New Roman"/>
          <w:sz w:val="18"/>
          <w:szCs w:val="18"/>
          <w:lang w:val="fr-BE"/>
        </w:rPr>
        <w:t xml:space="preserve"> </w:t>
      </w:r>
      <w:r w:rsidR="003456DA" w:rsidRPr="001476BE">
        <w:rPr>
          <w:rFonts w:ascii="Times New Roman" w:hAnsi="Times New Roman"/>
          <w:sz w:val="18"/>
          <w:szCs w:val="18"/>
          <w:lang w:val="fr-BE"/>
        </w:rPr>
        <w:tab/>
      </w:r>
      <w:r w:rsidRPr="001476BE">
        <w:rPr>
          <w:rFonts w:ascii="Times New Roman" w:hAnsi="Times New Roman"/>
          <w:sz w:val="18"/>
          <w:szCs w:val="18"/>
          <w:lang w:val="fr-BE"/>
        </w:rPr>
        <w:t>SWD(2025) 565 final</w:t>
      </w:r>
      <w:r w:rsidR="003456DA" w:rsidRPr="001476BE">
        <w:rPr>
          <w:rFonts w:ascii="Times New Roman" w:hAnsi="Times New Roman"/>
          <w:sz w:val="18"/>
          <w:szCs w:val="18"/>
          <w:lang w:val="fr-BE"/>
        </w:rPr>
        <w:t xml:space="preserve"> (</w:t>
      </w:r>
      <w:hyperlink r:id="rId3" w:history="1">
        <w:r w:rsidR="003456DA" w:rsidRPr="001476BE">
          <w:rPr>
            <w:rStyle w:val="Hyperlink"/>
            <w:rFonts w:ascii="Times New Roman" w:hAnsi="Times New Roman"/>
            <w:sz w:val="18"/>
            <w:szCs w:val="18"/>
            <w:lang w:val="fr-BE"/>
          </w:rPr>
          <w:t>EUR-Lex - 52025SC0565 - EN - EUR-Lex</w:t>
        </w:r>
      </w:hyperlink>
      <w:r w:rsidR="003456DA" w:rsidRPr="001476BE" w:rsidDel="003456DA">
        <w:rPr>
          <w:rFonts w:ascii="Times New Roman" w:hAnsi="Times New Roman"/>
          <w:sz w:val="18"/>
          <w:szCs w:val="18"/>
          <w:lang w:val="fr-BE"/>
        </w:rPr>
        <w:t xml:space="preserve"> </w:t>
      </w:r>
      <w:r w:rsidR="003456DA">
        <w:rPr>
          <w:rFonts w:ascii="Times New Roman" w:hAnsi="Times New Roman"/>
          <w:sz w:val="18"/>
          <w:szCs w:val="18"/>
          <w:lang w:val="fr-BE"/>
        </w:rPr>
        <w:t>).</w:t>
      </w:r>
    </w:p>
  </w:footnote>
  <w:footnote w:id="4">
    <w:p w14:paraId="64EE93FF" w14:textId="34252764" w:rsidR="00B01453" w:rsidRPr="00215CFD" w:rsidRDefault="00B01453" w:rsidP="00B01453">
      <w:pPr>
        <w:pStyle w:val="FootnoteText"/>
        <w:spacing w:after="0"/>
        <w:rPr>
          <w:rFonts w:ascii="Times New Roman" w:hAnsi="Times New Roman"/>
        </w:rPr>
      </w:pPr>
      <w:r w:rsidRPr="00B01453">
        <w:rPr>
          <w:rStyle w:val="FootnoteReference"/>
          <w:rFonts w:ascii="Times New Roman" w:hAnsi="Times New Roman"/>
        </w:rPr>
        <w:footnoteRef/>
      </w:r>
      <w:r w:rsidRPr="00215CFD">
        <w:rPr>
          <w:rFonts w:ascii="Times New Roman" w:hAnsi="Times New Roman"/>
        </w:rPr>
        <w:t xml:space="preserve"> </w:t>
      </w:r>
      <w:r w:rsidRPr="00215CFD">
        <w:rPr>
          <w:rFonts w:ascii="Times New Roman" w:hAnsi="Times New Roman"/>
        </w:rPr>
        <w:tab/>
        <w:t>COM(2025)558 final</w:t>
      </w:r>
      <w:r w:rsidRPr="00215CFD" w:rsidDel="00D956EE">
        <w:rPr>
          <w:rFonts w:ascii="Times New Roman" w:hAnsi="Times New Roman"/>
        </w:rPr>
        <w:t xml:space="preserve"> </w:t>
      </w:r>
      <w:r w:rsidRPr="00215CFD">
        <w:rPr>
          <w:rFonts w:ascii="Times New Roman" w:hAnsi="Times New Roman"/>
        </w:rPr>
        <w:t>(</w:t>
      </w:r>
      <w:hyperlink r:id="rId4" w:history="1">
        <w:r w:rsidRPr="00215CFD">
          <w:rPr>
            <w:rStyle w:val="Hyperlink"/>
            <w:rFonts w:ascii="Times New Roman" w:hAnsi="Times New Roman"/>
          </w:rPr>
          <w:t>EUR-Lex - 52025PC0558 - EN - EUR-Lex</w:t>
        </w:r>
      </w:hyperlink>
      <w:r w:rsidRPr="00215CFD" w:rsidDel="00D956EE">
        <w:rPr>
          <w:rFonts w:ascii="Times New Roman" w:hAnsi="Times New Roman"/>
        </w:rPr>
        <w:t xml:space="preserve"> </w:t>
      </w:r>
      <w:r w:rsidRPr="00215CFD">
        <w:rPr>
          <w:rFonts w:ascii="Times New Roman" w:hAnsi="Times New Roman"/>
        </w:rPr>
        <w:t>).</w:t>
      </w:r>
    </w:p>
  </w:footnote>
  <w:footnote w:id="5">
    <w:p w14:paraId="2658B933" w14:textId="0B046670" w:rsidR="00F81A08" w:rsidRPr="00F81A08" w:rsidRDefault="00F81A08" w:rsidP="00B01453">
      <w:pPr>
        <w:pStyle w:val="FootnoteText"/>
        <w:widowControl w:val="0"/>
        <w:spacing w:after="0" w:line="240" w:lineRule="auto"/>
        <w:rPr>
          <w:rFonts w:ascii="Times New Roman" w:hAnsi="Times New Roman"/>
          <w:sz w:val="18"/>
          <w:szCs w:val="18"/>
        </w:rPr>
      </w:pPr>
      <w:r w:rsidRPr="00B01453">
        <w:rPr>
          <w:rStyle w:val="FootnoteReference"/>
          <w:rFonts w:ascii="Times New Roman" w:hAnsi="Times New Roman"/>
        </w:rPr>
        <w:footnoteRef/>
      </w:r>
      <w:r w:rsidRPr="00B01453">
        <w:rPr>
          <w:rFonts w:ascii="Times New Roman" w:hAnsi="Times New Roman"/>
        </w:rPr>
        <w:t xml:space="preserve"> </w:t>
      </w:r>
      <w:r w:rsidR="00D956EE" w:rsidRPr="00B01453">
        <w:rPr>
          <w:rFonts w:ascii="Times New Roman" w:hAnsi="Times New Roman"/>
        </w:rPr>
        <w:tab/>
      </w:r>
      <w:hyperlink r:id="rId5" w:history="1">
        <w:r w:rsidRPr="00B01453">
          <w:rPr>
            <w:rStyle w:val="Hyperlink"/>
            <w:rFonts w:ascii="Times New Roman" w:hAnsi="Times New Roman"/>
            <w:bCs/>
          </w:rPr>
          <w:t>Strat-Board tool</w:t>
        </w:r>
      </w:hyperlink>
      <w:r w:rsidR="00B01453">
        <w:rPr>
          <w:rFonts w:ascii="Times New Roman" w:hAnsi="Times New Roman"/>
          <w:sz w:val="18"/>
          <w:szCs w:val="18"/>
        </w:rPr>
        <w:t>.</w:t>
      </w:r>
    </w:p>
  </w:footnote>
</w:footnotes>
</file>

<file path=word/intelligence2.xml><?xml version="1.0" encoding="utf-8"?>
<int2:intelligence xmlns:int2="http://schemas.microsoft.com/office/intelligence/2020/intelligence" xmlns:oel="http://schemas.microsoft.com/office/2019/extlst">
  <int2:observations>
    <int2:bookmark int2:bookmarkName="_Int_dsHCwNbC" int2:invalidationBookmarkName="" int2:hashCode="iR6dbUfxus/Lot" int2:id="FOcrMsMF">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E308F"/>
    <w:multiLevelType w:val="multilevel"/>
    <w:tmpl w:val="41B08C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FB66B3"/>
    <w:multiLevelType w:val="multilevel"/>
    <w:tmpl w:val="53566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61798A"/>
    <w:multiLevelType w:val="multilevel"/>
    <w:tmpl w:val="D4AE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FC11171"/>
    <w:multiLevelType w:val="hybridMultilevel"/>
    <w:tmpl w:val="BABA2A9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16cid:durableId="994531611">
    <w:abstractNumId w:val="3"/>
  </w:num>
  <w:num w:numId="2" w16cid:durableId="1772778852">
    <w:abstractNumId w:val="1"/>
  </w:num>
  <w:num w:numId="3" w16cid:durableId="1412652575">
    <w:abstractNumId w:val="2"/>
  </w:num>
  <w:num w:numId="4" w16cid:durableId="1261644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077C4F"/>
    <w:rsid w:val="00012A37"/>
    <w:rsid w:val="00046B15"/>
    <w:rsid w:val="00050DC7"/>
    <w:rsid w:val="0005208E"/>
    <w:rsid w:val="00076109"/>
    <w:rsid w:val="00077C4F"/>
    <w:rsid w:val="000843FF"/>
    <w:rsid w:val="00092587"/>
    <w:rsid w:val="000A066E"/>
    <w:rsid w:val="000A6C99"/>
    <w:rsid w:val="000C075C"/>
    <w:rsid w:val="000C58FE"/>
    <w:rsid w:val="000D2F5D"/>
    <w:rsid w:val="000E23D2"/>
    <w:rsid w:val="000F0274"/>
    <w:rsid w:val="000F41A7"/>
    <w:rsid w:val="000F5FD8"/>
    <w:rsid w:val="001052B4"/>
    <w:rsid w:val="00105B93"/>
    <w:rsid w:val="00113765"/>
    <w:rsid w:val="001167C0"/>
    <w:rsid w:val="00126D93"/>
    <w:rsid w:val="00135C2A"/>
    <w:rsid w:val="00142DB7"/>
    <w:rsid w:val="001441B3"/>
    <w:rsid w:val="001476BE"/>
    <w:rsid w:val="0015041D"/>
    <w:rsid w:val="0017288E"/>
    <w:rsid w:val="001B0E0B"/>
    <w:rsid w:val="001C4138"/>
    <w:rsid w:val="001D0239"/>
    <w:rsid w:val="001D4251"/>
    <w:rsid w:val="001F0FB6"/>
    <w:rsid w:val="001F2EC6"/>
    <w:rsid w:val="001F65D0"/>
    <w:rsid w:val="001F7AF0"/>
    <w:rsid w:val="00205508"/>
    <w:rsid w:val="002143DF"/>
    <w:rsid w:val="00215CFD"/>
    <w:rsid w:val="00217E59"/>
    <w:rsid w:val="00224EFC"/>
    <w:rsid w:val="00255715"/>
    <w:rsid w:val="00261255"/>
    <w:rsid w:val="0026183F"/>
    <w:rsid w:val="00275ACC"/>
    <w:rsid w:val="002860D1"/>
    <w:rsid w:val="00293600"/>
    <w:rsid w:val="00293D4F"/>
    <w:rsid w:val="00294BA0"/>
    <w:rsid w:val="002A224D"/>
    <w:rsid w:val="002D217C"/>
    <w:rsid w:val="002F03FA"/>
    <w:rsid w:val="002F4129"/>
    <w:rsid w:val="0030031F"/>
    <w:rsid w:val="003004D2"/>
    <w:rsid w:val="0030420E"/>
    <w:rsid w:val="00310983"/>
    <w:rsid w:val="0031233B"/>
    <w:rsid w:val="00314D54"/>
    <w:rsid w:val="00315585"/>
    <w:rsid w:val="003220E7"/>
    <w:rsid w:val="003349A3"/>
    <w:rsid w:val="003409B5"/>
    <w:rsid w:val="00343D7A"/>
    <w:rsid w:val="003456DA"/>
    <w:rsid w:val="003552CC"/>
    <w:rsid w:val="00377967"/>
    <w:rsid w:val="00386143"/>
    <w:rsid w:val="0039270D"/>
    <w:rsid w:val="00393038"/>
    <w:rsid w:val="003B2BF9"/>
    <w:rsid w:val="003B5662"/>
    <w:rsid w:val="003B58DC"/>
    <w:rsid w:val="003C0F15"/>
    <w:rsid w:val="003C3B09"/>
    <w:rsid w:val="003D2C96"/>
    <w:rsid w:val="003F041D"/>
    <w:rsid w:val="003F520C"/>
    <w:rsid w:val="003F686E"/>
    <w:rsid w:val="00400F18"/>
    <w:rsid w:val="00413B61"/>
    <w:rsid w:val="004275F7"/>
    <w:rsid w:val="00433E87"/>
    <w:rsid w:val="00442552"/>
    <w:rsid w:val="00455A1C"/>
    <w:rsid w:val="004675B5"/>
    <w:rsid w:val="004701DE"/>
    <w:rsid w:val="004770D6"/>
    <w:rsid w:val="0049246C"/>
    <w:rsid w:val="004A7932"/>
    <w:rsid w:val="004C6C1B"/>
    <w:rsid w:val="004C7604"/>
    <w:rsid w:val="004E24A2"/>
    <w:rsid w:val="004E5FA9"/>
    <w:rsid w:val="004F6117"/>
    <w:rsid w:val="004F63F1"/>
    <w:rsid w:val="004F651E"/>
    <w:rsid w:val="004F75AE"/>
    <w:rsid w:val="005031A8"/>
    <w:rsid w:val="005155D7"/>
    <w:rsid w:val="0052596B"/>
    <w:rsid w:val="00535EDD"/>
    <w:rsid w:val="00554137"/>
    <w:rsid w:val="00554D8D"/>
    <w:rsid w:val="005561C1"/>
    <w:rsid w:val="00561AB2"/>
    <w:rsid w:val="00572824"/>
    <w:rsid w:val="00573835"/>
    <w:rsid w:val="00580E3F"/>
    <w:rsid w:val="00581306"/>
    <w:rsid w:val="0058325E"/>
    <w:rsid w:val="00590673"/>
    <w:rsid w:val="005920E2"/>
    <w:rsid w:val="0059501C"/>
    <w:rsid w:val="005B66AB"/>
    <w:rsid w:val="005C3105"/>
    <w:rsid w:val="005C4065"/>
    <w:rsid w:val="005D58F8"/>
    <w:rsid w:val="005E2F67"/>
    <w:rsid w:val="006139A9"/>
    <w:rsid w:val="006254FE"/>
    <w:rsid w:val="00640936"/>
    <w:rsid w:val="00681EB5"/>
    <w:rsid w:val="0068421A"/>
    <w:rsid w:val="006901F6"/>
    <w:rsid w:val="00692C2F"/>
    <w:rsid w:val="00695797"/>
    <w:rsid w:val="00696A5E"/>
    <w:rsid w:val="006A3FC0"/>
    <w:rsid w:val="006B3B69"/>
    <w:rsid w:val="006B65CA"/>
    <w:rsid w:val="006D248C"/>
    <w:rsid w:val="006E6916"/>
    <w:rsid w:val="006E6BD0"/>
    <w:rsid w:val="00734613"/>
    <w:rsid w:val="007358AB"/>
    <w:rsid w:val="00745E8A"/>
    <w:rsid w:val="007472B7"/>
    <w:rsid w:val="00751910"/>
    <w:rsid w:val="00751E60"/>
    <w:rsid w:val="007547B5"/>
    <w:rsid w:val="007717B2"/>
    <w:rsid w:val="00785962"/>
    <w:rsid w:val="00795A9E"/>
    <w:rsid w:val="0079731D"/>
    <w:rsid w:val="007A606D"/>
    <w:rsid w:val="007C2214"/>
    <w:rsid w:val="007C509C"/>
    <w:rsid w:val="007E06E3"/>
    <w:rsid w:val="007E0F0A"/>
    <w:rsid w:val="007E3F37"/>
    <w:rsid w:val="007F0F7D"/>
    <w:rsid w:val="007F1EF0"/>
    <w:rsid w:val="00800E0F"/>
    <w:rsid w:val="00807B48"/>
    <w:rsid w:val="008135CA"/>
    <w:rsid w:val="0081584F"/>
    <w:rsid w:val="008429EF"/>
    <w:rsid w:val="008439F9"/>
    <w:rsid w:val="008703BF"/>
    <w:rsid w:val="008750B3"/>
    <w:rsid w:val="00885FA3"/>
    <w:rsid w:val="008925CE"/>
    <w:rsid w:val="0089283C"/>
    <w:rsid w:val="008C4D41"/>
    <w:rsid w:val="008C6C87"/>
    <w:rsid w:val="008E6674"/>
    <w:rsid w:val="008E6FAB"/>
    <w:rsid w:val="008E7685"/>
    <w:rsid w:val="008F33A7"/>
    <w:rsid w:val="009008A2"/>
    <w:rsid w:val="00902148"/>
    <w:rsid w:val="009175C1"/>
    <w:rsid w:val="00917724"/>
    <w:rsid w:val="00924977"/>
    <w:rsid w:val="00927316"/>
    <w:rsid w:val="0094251F"/>
    <w:rsid w:val="00952C60"/>
    <w:rsid w:val="009539DA"/>
    <w:rsid w:val="00960C89"/>
    <w:rsid w:val="00965499"/>
    <w:rsid w:val="00981F45"/>
    <w:rsid w:val="00985324"/>
    <w:rsid w:val="00990435"/>
    <w:rsid w:val="00990460"/>
    <w:rsid w:val="00990F8A"/>
    <w:rsid w:val="00994D12"/>
    <w:rsid w:val="009A3524"/>
    <w:rsid w:val="009B128B"/>
    <w:rsid w:val="009C160C"/>
    <w:rsid w:val="009F36CE"/>
    <w:rsid w:val="009F3F8B"/>
    <w:rsid w:val="00A11F5D"/>
    <w:rsid w:val="00A16F07"/>
    <w:rsid w:val="00A23C99"/>
    <w:rsid w:val="00A2522E"/>
    <w:rsid w:val="00A321CB"/>
    <w:rsid w:val="00A50EBC"/>
    <w:rsid w:val="00A537F3"/>
    <w:rsid w:val="00A62C7B"/>
    <w:rsid w:val="00A76C68"/>
    <w:rsid w:val="00A7709A"/>
    <w:rsid w:val="00A811BF"/>
    <w:rsid w:val="00A83293"/>
    <w:rsid w:val="00AA0D0B"/>
    <w:rsid w:val="00AB332C"/>
    <w:rsid w:val="00AB6B7E"/>
    <w:rsid w:val="00AD1711"/>
    <w:rsid w:val="00AD473F"/>
    <w:rsid w:val="00AE1842"/>
    <w:rsid w:val="00AE3C7C"/>
    <w:rsid w:val="00AE7AF1"/>
    <w:rsid w:val="00AF0C32"/>
    <w:rsid w:val="00B01453"/>
    <w:rsid w:val="00B04160"/>
    <w:rsid w:val="00B30BF6"/>
    <w:rsid w:val="00B31306"/>
    <w:rsid w:val="00B42814"/>
    <w:rsid w:val="00B5445A"/>
    <w:rsid w:val="00B54B88"/>
    <w:rsid w:val="00B665B6"/>
    <w:rsid w:val="00B80599"/>
    <w:rsid w:val="00B82CB3"/>
    <w:rsid w:val="00B83936"/>
    <w:rsid w:val="00B84858"/>
    <w:rsid w:val="00BA0EA2"/>
    <w:rsid w:val="00BB1A87"/>
    <w:rsid w:val="00BC45A0"/>
    <w:rsid w:val="00BC7539"/>
    <w:rsid w:val="00BD63B2"/>
    <w:rsid w:val="00BD6EB7"/>
    <w:rsid w:val="00BD7D81"/>
    <w:rsid w:val="00BE685D"/>
    <w:rsid w:val="00C20ECB"/>
    <w:rsid w:val="00C24CC1"/>
    <w:rsid w:val="00C265CE"/>
    <w:rsid w:val="00C378C2"/>
    <w:rsid w:val="00C37BDD"/>
    <w:rsid w:val="00C54D27"/>
    <w:rsid w:val="00C5521E"/>
    <w:rsid w:val="00C677E2"/>
    <w:rsid w:val="00C711C1"/>
    <w:rsid w:val="00C76EEB"/>
    <w:rsid w:val="00C776C5"/>
    <w:rsid w:val="00C90E39"/>
    <w:rsid w:val="00CB64B5"/>
    <w:rsid w:val="00CD4752"/>
    <w:rsid w:val="00CE427E"/>
    <w:rsid w:val="00CF40F5"/>
    <w:rsid w:val="00D01F5A"/>
    <w:rsid w:val="00D1236D"/>
    <w:rsid w:val="00D1323B"/>
    <w:rsid w:val="00D143FD"/>
    <w:rsid w:val="00D15BF8"/>
    <w:rsid w:val="00D1716E"/>
    <w:rsid w:val="00D24696"/>
    <w:rsid w:val="00D47765"/>
    <w:rsid w:val="00D5195C"/>
    <w:rsid w:val="00D6250E"/>
    <w:rsid w:val="00D64E05"/>
    <w:rsid w:val="00D65F65"/>
    <w:rsid w:val="00D72D2E"/>
    <w:rsid w:val="00D92FD3"/>
    <w:rsid w:val="00D956EE"/>
    <w:rsid w:val="00D968F3"/>
    <w:rsid w:val="00DA3687"/>
    <w:rsid w:val="00DA3B6E"/>
    <w:rsid w:val="00DB74C3"/>
    <w:rsid w:val="00DB7581"/>
    <w:rsid w:val="00DC6088"/>
    <w:rsid w:val="00DC70C1"/>
    <w:rsid w:val="00DD6A82"/>
    <w:rsid w:val="00DD74BC"/>
    <w:rsid w:val="00DE0E50"/>
    <w:rsid w:val="00DE5292"/>
    <w:rsid w:val="00DF1048"/>
    <w:rsid w:val="00DF6C18"/>
    <w:rsid w:val="00DF73B0"/>
    <w:rsid w:val="00E04BE4"/>
    <w:rsid w:val="00E103AD"/>
    <w:rsid w:val="00E755D8"/>
    <w:rsid w:val="00E808B1"/>
    <w:rsid w:val="00E82104"/>
    <w:rsid w:val="00E83BEF"/>
    <w:rsid w:val="00E83C12"/>
    <w:rsid w:val="00E904C8"/>
    <w:rsid w:val="00E93D08"/>
    <w:rsid w:val="00EA1BBF"/>
    <w:rsid w:val="00EA3E55"/>
    <w:rsid w:val="00EB29A9"/>
    <w:rsid w:val="00EB77D2"/>
    <w:rsid w:val="00EC6E89"/>
    <w:rsid w:val="00EC799D"/>
    <w:rsid w:val="00ED205E"/>
    <w:rsid w:val="00ED336E"/>
    <w:rsid w:val="00ED378A"/>
    <w:rsid w:val="00ED6C0D"/>
    <w:rsid w:val="00ED6D1A"/>
    <w:rsid w:val="00EF0A79"/>
    <w:rsid w:val="00EF0F58"/>
    <w:rsid w:val="00EF43A6"/>
    <w:rsid w:val="00F13134"/>
    <w:rsid w:val="00F16E55"/>
    <w:rsid w:val="00F171BF"/>
    <w:rsid w:val="00F316C8"/>
    <w:rsid w:val="00F43D6B"/>
    <w:rsid w:val="00F448A6"/>
    <w:rsid w:val="00F51230"/>
    <w:rsid w:val="00F61627"/>
    <w:rsid w:val="00F632DE"/>
    <w:rsid w:val="00F735E4"/>
    <w:rsid w:val="00F739E0"/>
    <w:rsid w:val="00F81A08"/>
    <w:rsid w:val="00F9591B"/>
    <w:rsid w:val="00FA412F"/>
    <w:rsid w:val="00FB009F"/>
    <w:rsid w:val="00FB70A2"/>
    <w:rsid w:val="00FB71D9"/>
    <w:rsid w:val="00FB7834"/>
    <w:rsid w:val="00FC5DC1"/>
    <w:rsid w:val="00FD4A24"/>
    <w:rsid w:val="00FD4B6A"/>
    <w:rsid w:val="00FF03A8"/>
    <w:rsid w:val="00FF1307"/>
    <w:rsid w:val="00FF63EA"/>
    <w:rsid w:val="01F7EE2B"/>
    <w:rsid w:val="03D64C15"/>
    <w:rsid w:val="063A59FD"/>
    <w:rsid w:val="08AE0569"/>
    <w:rsid w:val="1108EC2F"/>
    <w:rsid w:val="125B546F"/>
    <w:rsid w:val="22B4E95B"/>
    <w:rsid w:val="23E7A481"/>
    <w:rsid w:val="264BA1D4"/>
    <w:rsid w:val="2A69E4A2"/>
    <w:rsid w:val="2BC016C2"/>
    <w:rsid w:val="33A941A2"/>
    <w:rsid w:val="35595C86"/>
    <w:rsid w:val="3E0DA846"/>
    <w:rsid w:val="41B53669"/>
    <w:rsid w:val="4B4B5243"/>
    <w:rsid w:val="50198540"/>
    <w:rsid w:val="502CAD76"/>
    <w:rsid w:val="59C11BBF"/>
    <w:rsid w:val="5CA6195B"/>
    <w:rsid w:val="5FFB87E4"/>
    <w:rsid w:val="628A3B01"/>
    <w:rsid w:val="628AC411"/>
    <w:rsid w:val="65DC2F8F"/>
    <w:rsid w:val="669B47BB"/>
    <w:rsid w:val="6B10F3F7"/>
    <w:rsid w:val="6F84FC73"/>
    <w:rsid w:val="70CD76A7"/>
    <w:rsid w:val="717290FA"/>
    <w:rsid w:val="75CFBA21"/>
    <w:rsid w:val="76744022"/>
    <w:rsid w:val="78C02DF6"/>
    <w:rsid w:val="7C0BAD0D"/>
    <w:rsid w:val="7EA638AF"/>
    <w:rsid w:val="7FCA07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6B466FBF-C9B0-4C9A-AC9A-D4516D4B7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E103AD"/>
  </w:style>
  <w:style w:type="paragraph" w:customStyle="1" w:styleId="paragraph">
    <w:name w:val="paragraph"/>
    <w:basedOn w:val="Normal"/>
    <w:rsid w:val="006D248C"/>
    <w:pPr>
      <w:spacing w:before="100" w:beforeAutospacing="1" w:after="100" w:afterAutospacing="1" w:line="240" w:lineRule="auto"/>
    </w:pPr>
    <w:rPr>
      <w:rFonts w:ascii="Times New Roman" w:eastAsia="Times New Roman" w:hAnsi="Times New Roman"/>
      <w:sz w:val="24"/>
      <w:szCs w:val="24"/>
      <w:lang w:eastAsia="en-IE"/>
    </w:rPr>
  </w:style>
  <w:style w:type="character" w:customStyle="1" w:styleId="eop">
    <w:name w:val="eop"/>
    <w:basedOn w:val="DefaultParagraphFont"/>
    <w:rsid w:val="006D248C"/>
  </w:style>
  <w:style w:type="character" w:styleId="Hyperlink">
    <w:name w:val="Hyperlink"/>
    <w:uiPriority w:val="99"/>
    <w:unhideWhenUsed/>
    <w:rsid w:val="00BA0EA2"/>
    <w:rPr>
      <w:color w:val="0563C1"/>
      <w:u w:val="single"/>
    </w:rPr>
  </w:style>
  <w:style w:type="paragraph" w:styleId="FootnoteText">
    <w:name w:val="footnote text"/>
    <w:basedOn w:val="Normal"/>
    <w:link w:val="FootnoteTextChar"/>
    <w:uiPriority w:val="99"/>
    <w:unhideWhenUsed/>
    <w:rsid w:val="00BA0EA2"/>
    <w:rPr>
      <w:sz w:val="20"/>
      <w:szCs w:val="20"/>
    </w:rPr>
  </w:style>
  <w:style w:type="character" w:customStyle="1" w:styleId="FootnoteTextChar">
    <w:name w:val="Footnote Text Char"/>
    <w:link w:val="FootnoteText"/>
    <w:uiPriority w:val="99"/>
    <w:rsid w:val="00BA0EA2"/>
    <w:rPr>
      <w:lang w:eastAsia="en-US"/>
    </w:rPr>
  </w:style>
  <w:style w:type="character" w:styleId="FootnoteReference">
    <w:name w:val="footnote reference"/>
    <w:uiPriority w:val="99"/>
    <w:unhideWhenUsed/>
    <w:rsid w:val="00BA0EA2"/>
    <w:rPr>
      <w:vertAlign w:val="superscript"/>
    </w:rPr>
  </w:style>
  <w:style w:type="character" w:styleId="UnresolvedMention">
    <w:name w:val="Unresolved Mention"/>
    <w:uiPriority w:val="99"/>
    <w:semiHidden/>
    <w:unhideWhenUsed/>
    <w:rsid w:val="008439F9"/>
    <w:rPr>
      <w:color w:val="605E5C"/>
      <w:shd w:val="clear" w:color="auto" w:fill="E1DFDD"/>
    </w:rPr>
  </w:style>
  <w:style w:type="character" w:styleId="CommentReference">
    <w:name w:val="annotation reference"/>
    <w:uiPriority w:val="99"/>
    <w:semiHidden/>
    <w:unhideWhenUsed/>
    <w:rsid w:val="00DF6C18"/>
    <w:rPr>
      <w:sz w:val="16"/>
      <w:szCs w:val="16"/>
    </w:rPr>
  </w:style>
  <w:style w:type="paragraph" w:styleId="CommentText">
    <w:name w:val="annotation text"/>
    <w:basedOn w:val="Normal"/>
    <w:link w:val="CommentTextChar"/>
    <w:uiPriority w:val="99"/>
    <w:unhideWhenUsed/>
    <w:rsid w:val="00DF6C18"/>
    <w:rPr>
      <w:sz w:val="20"/>
      <w:szCs w:val="20"/>
    </w:rPr>
  </w:style>
  <w:style w:type="character" w:customStyle="1" w:styleId="CommentTextChar">
    <w:name w:val="Comment Text Char"/>
    <w:link w:val="CommentText"/>
    <w:uiPriority w:val="99"/>
    <w:rsid w:val="00DF6C18"/>
    <w:rPr>
      <w:lang w:eastAsia="en-US"/>
    </w:rPr>
  </w:style>
  <w:style w:type="paragraph" w:styleId="CommentSubject">
    <w:name w:val="annotation subject"/>
    <w:basedOn w:val="CommentText"/>
    <w:next w:val="CommentText"/>
    <w:link w:val="CommentSubjectChar"/>
    <w:uiPriority w:val="99"/>
    <w:semiHidden/>
    <w:unhideWhenUsed/>
    <w:rsid w:val="00DF6C18"/>
    <w:rPr>
      <w:b/>
      <w:bCs/>
    </w:rPr>
  </w:style>
  <w:style w:type="character" w:customStyle="1" w:styleId="CommentSubjectChar">
    <w:name w:val="Comment Subject Char"/>
    <w:link w:val="CommentSubject"/>
    <w:uiPriority w:val="99"/>
    <w:semiHidden/>
    <w:rsid w:val="00DF6C18"/>
    <w:rPr>
      <w:b/>
      <w:bCs/>
      <w:lang w:eastAsia="en-US"/>
    </w:rPr>
  </w:style>
  <w:style w:type="paragraph" w:styleId="Header">
    <w:name w:val="header"/>
    <w:basedOn w:val="Normal"/>
    <w:link w:val="HeaderChar"/>
    <w:uiPriority w:val="99"/>
    <w:semiHidden/>
    <w:unhideWhenUsed/>
    <w:rsid w:val="00AB332C"/>
    <w:pPr>
      <w:tabs>
        <w:tab w:val="center" w:pos="4513"/>
        <w:tab w:val="right" w:pos="9026"/>
      </w:tabs>
    </w:pPr>
  </w:style>
  <w:style w:type="character" w:customStyle="1" w:styleId="HeaderChar">
    <w:name w:val="Header Char"/>
    <w:link w:val="Header"/>
    <w:uiPriority w:val="99"/>
    <w:semiHidden/>
    <w:rsid w:val="00AB332C"/>
    <w:rPr>
      <w:sz w:val="22"/>
      <w:szCs w:val="22"/>
      <w:lang w:eastAsia="en-US"/>
    </w:rPr>
  </w:style>
  <w:style w:type="paragraph" w:styleId="Footer">
    <w:name w:val="footer"/>
    <w:basedOn w:val="Normal"/>
    <w:link w:val="FooterChar"/>
    <w:uiPriority w:val="99"/>
    <w:semiHidden/>
    <w:unhideWhenUsed/>
    <w:rsid w:val="00AB332C"/>
    <w:pPr>
      <w:tabs>
        <w:tab w:val="center" w:pos="4513"/>
        <w:tab w:val="right" w:pos="9026"/>
      </w:tabs>
    </w:pPr>
  </w:style>
  <w:style w:type="character" w:customStyle="1" w:styleId="FooterChar">
    <w:name w:val="Footer Char"/>
    <w:link w:val="Footer"/>
    <w:uiPriority w:val="99"/>
    <w:semiHidden/>
    <w:rsid w:val="00AB332C"/>
    <w:rPr>
      <w:sz w:val="22"/>
      <w:szCs w:val="22"/>
      <w:lang w:eastAsia="en-US"/>
    </w:rPr>
  </w:style>
  <w:style w:type="paragraph" w:styleId="Revision">
    <w:name w:val="Revision"/>
    <w:hidden/>
    <w:uiPriority w:val="99"/>
    <w:semiHidden/>
    <w:rsid w:val="00113765"/>
    <w:rPr>
      <w:sz w:val="22"/>
      <w:szCs w:val="22"/>
      <w:lang w:eastAsia="en-US"/>
    </w:rPr>
  </w:style>
  <w:style w:type="character" w:styleId="FollowedHyperlink">
    <w:name w:val="FollowedHyperlink"/>
    <w:uiPriority w:val="99"/>
    <w:semiHidden/>
    <w:unhideWhenUsed/>
    <w:rsid w:val="00AE7AF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395259">
      <w:bodyDiv w:val="1"/>
      <w:marLeft w:val="0"/>
      <w:marRight w:val="0"/>
      <w:marTop w:val="0"/>
      <w:marBottom w:val="0"/>
      <w:divBdr>
        <w:top w:val="none" w:sz="0" w:space="0" w:color="auto"/>
        <w:left w:val="none" w:sz="0" w:space="0" w:color="auto"/>
        <w:bottom w:val="none" w:sz="0" w:space="0" w:color="auto"/>
        <w:right w:val="none" w:sz="0" w:space="0" w:color="auto"/>
      </w:divBdr>
      <w:divsChild>
        <w:div w:id="418454863">
          <w:marLeft w:val="0"/>
          <w:marRight w:val="0"/>
          <w:marTop w:val="0"/>
          <w:marBottom w:val="0"/>
          <w:divBdr>
            <w:top w:val="none" w:sz="0" w:space="0" w:color="auto"/>
            <w:left w:val="none" w:sz="0" w:space="0" w:color="auto"/>
            <w:bottom w:val="none" w:sz="0" w:space="0" w:color="auto"/>
            <w:right w:val="none" w:sz="0" w:space="0" w:color="auto"/>
          </w:divBdr>
        </w:div>
        <w:div w:id="948663138">
          <w:marLeft w:val="0"/>
          <w:marRight w:val="0"/>
          <w:marTop w:val="0"/>
          <w:marBottom w:val="0"/>
          <w:divBdr>
            <w:top w:val="none" w:sz="0" w:space="0" w:color="auto"/>
            <w:left w:val="none" w:sz="0" w:space="0" w:color="auto"/>
            <w:bottom w:val="none" w:sz="0" w:space="0" w:color="auto"/>
            <w:right w:val="none" w:sz="0" w:space="0" w:color="auto"/>
          </w:divBdr>
        </w:div>
        <w:div w:id="1750342927">
          <w:marLeft w:val="0"/>
          <w:marRight w:val="0"/>
          <w:marTop w:val="0"/>
          <w:marBottom w:val="0"/>
          <w:divBdr>
            <w:top w:val="none" w:sz="0" w:space="0" w:color="auto"/>
            <w:left w:val="none" w:sz="0" w:space="0" w:color="auto"/>
            <w:bottom w:val="none" w:sz="0" w:space="0" w:color="auto"/>
            <w:right w:val="none" w:sz="0" w:space="0" w:color="auto"/>
          </w:divBdr>
        </w:div>
        <w:div w:id="1854566840">
          <w:marLeft w:val="0"/>
          <w:marRight w:val="0"/>
          <w:marTop w:val="0"/>
          <w:marBottom w:val="0"/>
          <w:divBdr>
            <w:top w:val="none" w:sz="0" w:space="0" w:color="auto"/>
            <w:left w:val="none" w:sz="0" w:space="0" w:color="auto"/>
            <w:bottom w:val="none" w:sz="0" w:space="0" w:color="auto"/>
            <w:right w:val="none" w:sz="0" w:space="0" w:color="auto"/>
          </w:divBdr>
        </w:div>
        <w:div w:id="1899246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52025SC0565" TargetMode="External"/><Relationship Id="rId2" Type="http://schemas.openxmlformats.org/officeDocument/2006/relationships/hyperlink" Target="https://eur-lex.europa.eu/legal-content/EN/TXT/?uri=celex:52025DC0739" TargetMode="External"/><Relationship Id="rId1" Type="http://schemas.openxmlformats.org/officeDocument/2006/relationships/hyperlink" Target="https://commission.europa.eu/document/download/1bf50cbe-45a4-4dc5-9922-52c6c2d3959f_en?filename=Mission%20letter%20-%20FITTO.pdf" TargetMode="External"/><Relationship Id="rId5" Type="http://schemas.openxmlformats.org/officeDocument/2006/relationships/hyperlink" Target="https://territorial.ec.europa.eu/sustainable-development/strategies/strat-board/?lng=en" TargetMode="External"/><Relationship Id="rId4" Type="http://schemas.openxmlformats.org/officeDocument/2006/relationships/hyperlink" Target="https://eur-lex.europa.eu/legal-content/EN/TXT/?uri=celex:52025PC0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196DC3F03B3B40AC07EA36E337EF2E" ma:contentTypeVersion="6" ma:contentTypeDescription="Create a new document." ma:contentTypeScope="" ma:versionID="bfd84668e5714b1f2e3f124c679d5a8d">
  <xsd:schema xmlns:xsd="http://www.w3.org/2001/XMLSchema" xmlns:xs="http://www.w3.org/2001/XMLSchema" xmlns:p="http://schemas.microsoft.com/office/2006/metadata/properties" xmlns:ns2="01a0fdfd-ac06-4db1-bb7b-65cdf86bab59" xmlns:ns3="3d773fd8-5df6-4e26-b464-76be9c5c7a6f" targetNamespace="http://schemas.microsoft.com/office/2006/metadata/properties" ma:root="true" ma:fieldsID="94f61e43bec6f66d509ddf81357221c7" ns2:_="" ns3:_="">
    <xsd:import namespace="01a0fdfd-ac06-4db1-bb7b-65cdf86bab59"/>
    <xsd:import namespace="3d773fd8-5df6-4e26-b464-76be9c5c7a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0fdfd-ac06-4db1-bb7b-65cdf86ba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773fd8-5df6-4e26-b464-76be9c5c7a6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CB5FE7-DECC-4862-B26B-2BDD7EC0F4D3}">
  <ds:schemaRef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3d773fd8-5df6-4e26-b464-76be9c5c7a6f"/>
    <ds:schemaRef ds:uri="01a0fdfd-ac06-4db1-bb7b-65cdf86bab59"/>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442357EA-F7B5-4079-AD5A-C854AD20DCEA}">
  <ds:schemaRefs>
    <ds:schemaRef ds:uri="http://schemas.openxmlformats.org/officeDocument/2006/bibliography"/>
  </ds:schemaRefs>
</ds:datastoreItem>
</file>

<file path=customXml/itemProps3.xml><?xml version="1.0" encoding="utf-8"?>
<ds:datastoreItem xmlns:ds="http://schemas.openxmlformats.org/officeDocument/2006/customXml" ds:itemID="{8899E41F-6F37-4D9F-8C3E-DA755238E9D6}">
  <ds:schemaRefs>
    <ds:schemaRef ds:uri="http://schemas.microsoft.com/sharepoint/v3/contenttype/forms"/>
  </ds:schemaRefs>
</ds:datastoreItem>
</file>

<file path=customXml/itemProps4.xml><?xml version="1.0" encoding="utf-8"?>
<ds:datastoreItem xmlns:ds="http://schemas.openxmlformats.org/officeDocument/2006/customXml" ds:itemID="{10D837E8-5CEA-4ECC-B091-E9B8A790B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0fdfd-ac06-4db1-bb7b-65cdf86bab59"/>
    <ds:schemaRef ds:uri="3d773fd8-5df6-4e26-b464-76be9c5c7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1475</Words>
  <Characters>8399</Characters>
  <Application>Microsoft Office Word</Application>
  <DocSecurity>0</DocSecurity>
  <Lines>102</Lines>
  <Paragraphs>16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ROSSI Simona (SG)</cp:lastModifiedBy>
  <cp:revision>3</cp:revision>
  <cp:lastPrinted>2013-02-28T03:02:00Z</cp:lastPrinted>
  <dcterms:created xsi:type="dcterms:W3CDTF">2026-07-01T07:37:00Z</dcterms:created>
  <dcterms:modified xsi:type="dcterms:W3CDTF">2026-07-01T07:38:00Z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0x01010079196DC3F03B3B40AC07EA36E337EF2E</vt:lpwstr>
  </property>
  <property fmtid="{D5CDD505-2E9C-101B-9397-08002B2CF9AE}" pid="10" name="MediaServiceImageTags">
    <vt:lpwstr/>
  </property>
</Properties>
</file>