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6BB7FB3D" w:rsidR="00077C4F" w:rsidRPr="00554137" w:rsidRDefault="7D9E77CF" w:rsidP="00554137">
      <w:pPr>
        <w:spacing w:after="0" w:line="240" w:lineRule="auto"/>
        <w:ind w:left="-709"/>
        <w:rPr>
          <w:rFonts w:ascii="Times New Roman" w:hAnsi="Times New Roman"/>
          <w:bCs/>
          <w:sz w:val="4"/>
          <w:szCs w:val="4"/>
        </w:rPr>
      </w:pPr>
      <w:r w:rsidRPr="22BACA12">
        <w:rPr>
          <w:rFonts w:ascii="Times New Roman" w:hAnsi="Times New Roman"/>
          <w:sz w:val="4"/>
          <w:szCs w:val="4"/>
        </w:rPr>
        <w:t>fhate</w:t>
      </w:r>
    </w:p>
    <w:tbl>
      <w:tblPr>
        <w:tblW w:w="1036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67"/>
      </w:tblGrid>
      <w:tr w:rsidR="001C4138" w:rsidRPr="00442552" w14:paraId="7E6372DC" w14:textId="77777777" w:rsidTr="006A2AEE">
        <w:trPr>
          <w:jc w:val="center"/>
        </w:trPr>
        <w:tc>
          <w:tcPr>
            <w:tcW w:w="10367" w:type="dxa"/>
          </w:tcPr>
          <w:p w14:paraId="3A4EDC3A" w14:textId="017FF135" w:rsidR="001C4138" w:rsidRPr="004F6117" w:rsidRDefault="00D01C92" w:rsidP="001C4138">
            <w:pPr>
              <w:spacing w:before="120" w:after="120"/>
              <w:rPr>
                <w:rFonts w:ascii="Times New Roman" w:hAnsi="Times New Roman"/>
                <w:b/>
                <w:sz w:val="24"/>
                <w:szCs w:val="24"/>
              </w:rPr>
            </w:pPr>
            <w:r w:rsidRPr="00D01C92">
              <w:rPr>
                <w:rFonts w:ascii="Times New Roman" w:hAnsi="Times New Roman"/>
                <w:b/>
                <w:sz w:val="24"/>
                <w:szCs w:val="24"/>
              </w:rPr>
              <w:t>Union of Equality: LGBTIQ+ Equality Strategy 2026-2030</w:t>
            </w:r>
            <w:r w:rsidR="00554137">
              <w:rPr>
                <w:rFonts w:ascii="Times New Roman" w:hAnsi="Times New Roman"/>
                <w:b/>
                <w:sz w:val="24"/>
                <w:szCs w:val="24"/>
              </w:rPr>
              <w:br/>
            </w:r>
            <w:r>
              <w:rPr>
                <w:rFonts w:ascii="Times New Roman" w:hAnsi="Times New Roman"/>
                <w:b/>
                <w:sz w:val="24"/>
                <w:szCs w:val="24"/>
              </w:rPr>
              <w:t>(</w:t>
            </w:r>
            <w:r w:rsidR="00D52CF4">
              <w:rPr>
                <w:rFonts w:ascii="Times New Roman" w:hAnsi="Times New Roman"/>
                <w:b/>
                <w:sz w:val="24"/>
                <w:szCs w:val="24"/>
              </w:rPr>
              <w:t>o</w:t>
            </w:r>
            <w:r>
              <w:rPr>
                <w:rFonts w:ascii="Times New Roman" w:hAnsi="Times New Roman"/>
                <w:b/>
                <w:sz w:val="24"/>
                <w:szCs w:val="24"/>
              </w:rPr>
              <w:t xml:space="preserve">ptional </w:t>
            </w:r>
            <w:r w:rsidR="00554137" w:rsidRPr="00554137">
              <w:rPr>
                <w:rFonts w:ascii="Times New Roman" w:hAnsi="Times New Roman"/>
                <w:b/>
                <w:sz w:val="24"/>
                <w:szCs w:val="24"/>
              </w:rPr>
              <w:t>opinion</w:t>
            </w:r>
            <w:r>
              <w:rPr>
                <w:rFonts w:ascii="Times New Roman" w:hAnsi="Times New Roman"/>
                <w:b/>
                <w:sz w:val="24"/>
                <w:szCs w:val="24"/>
              </w:rPr>
              <w:t>)</w:t>
            </w:r>
            <w:r w:rsidR="001C4138" w:rsidRPr="00554137">
              <w:rPr>
                <w:rFonts w:ascii="Times New Roman" w:hAnsi="Times New Roman"/>
                <w:b/>
                <w:sz w:val="24"/>
                <w:szCs w:val="24"/>
              </w:rPr>
              <w:br/>
            </w:r>
            <w:r w:rsidRPr="00D01C92">
              <w:rPr>
                <w:rFonts w:ascii="Times New Roman" w:hAnsi="Times New Roman"/>
                <w:b/>
                <w:sz w:val="24"/>
                <w:szCs w:val="24"/>
              </w:rPr>
              <w:t>COM(2025) 725 final</w:t>
            </w:r>
            <w:r w:rsidR="001C4138" w:rsidRPr="00554137">
              <w:rPr>
                <w:rFonts w:ascii="Times New Roman" w:hAnsi="Times New Roman"/>
                <w:b/>
                <w:sz w:val="24"/>
                <w:szCs w:val="24"/>
              </w:rPr>
              <w:br/>
            </w:r>
            <w:r w:rsidRPr="00D01C92">
              <w:rPr>
                <w:rFonts w:ascii="Times New Roman" w:hAnsi="Times New Roman"/>
                <w:b/>
                <w:sz w:val="24"/>
                <w:szCs w:val="24"/>
              </w:rPr>
              <w:t>EESC-2025-03887</w:t>
            </w:r>
            <w:r w:rsidR="004A7932" w:rsidRPr="00554137">
              <w:rPr>
                <w:rFonts w:ascii="Times New Roman" w:hAnsi="Times New Roman"/>
                <w:b/>
                <w:sz w:val="24"/>
                <w:szCs w:val="24"/>
              </w:rPr>
              <w:t xml:space="preserve"> </w:t>
            </w:r>
            <w:r w:rsidR="001C4138" w:rsidRPr="00807B48">
              <w:rPr>
                <w:rFonts w:ascii="Times New Roman" w:hAnsi="Times New Roman"/>
                <w:b/>
                <w:sz w:val="24"/>
                <w:szCs w:val="24"/>
              </w:rPr>
              <w:t xml:space="preserve">‒ </w:t>
            </w:r>
            <w:r w:rsidRPr="00D01C92">
              <w:rPr>
                <w:rFonts w:ascii="Times New Roman" w:hAnsi="Times New Roman"/>
                <w:b/>
                <w:sz w:val="24"/>
                <w:szCs w:val="24"/>
              </w:rPr>
              <w:t>SOC/849</w:t>
            </w:r>
            <w:r w:rsidR="004A7932">
              <w:rPr>
                <w:rFonts w:ascii="Times New Roman" w:hAnsi="Times New Roman"/>
                <w:b/>
                <w:sz w:val="24"/>
                <w:szCs w:val="24"/>
              </w:rPr>
              <w:t xml:space="preserve"> </w:t>
            </w:r>
            <w:r w:rsidR="001C4138" w:rsidRPr="00807B48">
              <w:rPr>
                <w:rFonts w:ascii="Times New Roman" w:hAnsi="Times New Roman"/>
                <w:b/>
                <w:sz w:val="24"/>
                <w:szCs w:val="24"/>
              </w:rPr>
              <w:br/>
            </w:r>
            <w:r>
              <w:rPr>
                <w:rFonts w:ascii="Times New Roman" w:hAnsi="Times New Roman"/>
                <w:b/>
                <w:sz w:val="24"/>
                <w:szCs w:val="24"/>
              </w:rPr>
              <w:t>605</w:t>
            </w:r>
            <w:r w:rsidRPr="00D01C92">
              <w:rPr>
                <w:rFonts w:ascii="Times New Roman" w:hAnsi="Times New Roman"/>
                <w:b/>
                <w:sz w:val="24"/>
                <w:szCs w:val="24"/>
                <w:vertAlign w:val="superscript"/>
              </w:rPr>
              <w:t>th</w:t>
            </w:r>
            <w:r>
              <w:rPr>
                <w:rFonts w:ascii="Times New Roman" w:hAnsi="Times New Roman"/>
                <w:b/>
                <w:sz w:val="24"/>
                <w:szCs w:val="24"/>
              </w:rPr>
              <w:t xml:space="preserve"> </w:t>
            </w:r>
            <w:r w:rsidR="001C4138" w:rsidRPr="00AE3C7C">
              <w:rPr>
                <w:rFonts w:ascii="Times New Roman" w:hAnsi="Times New Roman"/>
                <w:b/>
                <w:sz w:val="24"/>
                <w:szCs w:val="24"/>
              </w:rPr>
              <w:t xml:space="preserve">Plenary Session – </w:t>
            </w:r>
            <w:r>
              <w:rPr>
                <w:rFonts w:ascii="Times New Roman" w:hAnsi="Times New Roman"/>
                <w:b/>
                <w:sz w:val="24"/>
                <w:szCs w:val="24"/>
              </w:rPr>
              <w:t>April 2026</w:t>
            </w:r>
            <w:r w:rsidR="001C4138" w:rsidRPr="00807B48">
              <w:rPr>
                <w:rFonts w:ascii="Times New Roman" w:hAnsi="Times New Roman"/>
                <w:b/>
                <w:sz w:val="24"/>
                <w:szCs w:val="24"/>
              </w:rPr>
              <w:br/>
              <w:t xml:space="preserve">Rapporteur: </w:t>
            </w:r>
            <w:r w:rsidRPr="00D01C92">
              <w:rPr>
                <w:rFonts w:ascii="Times New Roman" w:hAnsi="Times New Roman"/>
                <w:b/>
                <w:sz w:val="24"/>
                <w:szCs w:val="24"/>
              </w:rPr>
              <w:t xml:space="preserve">Juliane Marie NEIIENDAM </w:t>
            </w:r>
            <w:r w:rsidR="001C4138">
              <w:rPr>
                <w:rFonts w:ascii="Times New Roman" w:hAnsi="Times New Roman"/>
                <w:b/>
                <w:sz w:val="24"/>
                <w:szCs w:val="24"/>
              </w:rPr>
              <w:t>(</w:t>
            </w:r>
            <w:r>
              <w:rPr>
                <w:rFonts w:ascii="Times New Roman" w:hAnsi="Times New Roman"/>
                <w:b/>
                <w:sz w:val="24"/>
                <w:szCs w:val="24"/>
              </w:rPr>
              <w:t>DK</w:t>
            </w:r>
            <w:r w:rsidR="001C4138">
              <w:rPr>
                <w:rFonts w:ascii="Times New Roman" w:hAnsi="Times New Roman"/>
                <w:b/>
                <w:sz w:val="24"/>
                <w:szCs w:val="24"/>
              </w:rPr>
              <w:t>-</w:t>
            </w:r>
            <w:r>
              <w:rPr>
                <w:rFonts w:ascii="Times New Roman" w:hAnsi="Times New Roman"/>
                <w:b/>
                <w:sz w:val="24"/>
                <w:szCs w:val="24"/>
              </w:rPr>
              <w:t>III</w:t>
            </w:r>
            <w:r w:rsidR="001C4138">
              <w:rPr>
                <w:rFonts w:ascii="Times New Roman" w:hAnsi="Times New Roman"/>
                <w:b/>
                <w:sz w:val="24"/>
                <w:szCs w:val="24"/>
              </w:rPr>
              <w:t>)</w:t>
            </w:r>
            <w:r w:rsidRPr="00807B48">
              <w:rPr>
                <w:rFonts w:ascii="Times New Roman" w:hAnsi="Times New Roman"/>
                <w:b/>
                <w:sz w:val="24"/>
                <w:szCs w:val="24"/>
              </w:rPr>
              <w:t xml:space="preserve"> </w:t>
            </w:r>
            <w:r w:rsidR="001C4138" w:rsidRPr="00807B48">
              <w:rPr>
                <w:rFonts w:ascii="Times New Roman" w:hAnsi="Times New Roman"/>
                <w:b/>
                <w:sz w:val="24"/>
                <w:szCs w:val="24"/>
              </w:rPr>
              <w:br/>
              <w:t xml:space="preserve">DG </w:t>
            </w:r>
            <w:r>
              <w:rPr>
                <w:rFonts w:ascii="Times New Roman" w:hAnsi="Times New Roman"/>
                <w:b/>
                <w:sz w:val="24"/>
                <w:szCs w:val="24"/>
              </w:rPr>
              <w:t>JUST</w:t>
            </w:r>
            <w:r w:rsidR="001C4138" w:rsidRPr="00807B48">
              <w:rPr>
                <w:rFonts w:ascii="Times New Roman" w:hAnsi="Times New Roman"/>
                <w:b/>
                <w:sz w:val="24"/>
                <w:szCs w:val="24"/>
              </w:rPr>
              <w:t xml:space="preserve"> – Commissioner</w:t>
            </w:r>
            <w:r>
              <w:rPr>
                <w:rFonts w:ascii="Times New Roman" w:hAnsi="Times New Roman"/>
                <w:b/>
                <w:sz w:val="24"/>
                <w:szCs w:val="24"/>
              </w:rPr>
              <w:t xml:space="preserve"> </w:t>
            </w:r>
            <w:r w:rsidR="00D52CF4">
              <w:rPr>
                <w:rFonts w:ascii="Times New Roman" w:hAnsi="Times New Roman"/>
                <w:b/>
                <w:sz w:val="24"/>
                <w:szCs w:val="24"/>
              </w:rPr>
              <w:t>LAHBIB</w:t>
            </w:r>
          </w:p>
        </w:tc>
      </w:tr>
      <w:tr w:rsidR="00734613" w:rsidRPr="00442552" w14:paraId="1937071F" w14:textId="77777777" w:rsidTr="006A2AEE">
        <w:trPr>
          <w:jc w:val="center"/>
        </w:trPr>
        <w:tc>
          <w:tcPr>
            <w:tcW w:w="10367" w:type="dxa"/>
          </w:tcPr>
          <w:p w14:paraId="1E50B4DB" w14:textId="6210B328"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 xml:space="preserve">European Commission position on points </w:t>
            </w:r>
            <w:r>
              <w:rPr>
                <w:rFonts w:ascii="Times New Roman" w:hAnsi="Times New Roman"/>
                <w:b/>
                <w:sz w:val="24"/>
                <w:szCs w:val="24"/>
              </w:rPr>
              <w:br/>
            </w:r>
            <w:r w:rsidRPr="004F6117">
              <w:rPr>
                <w:rFonts w:ascii="Times New Roman" w:hAnsi="Times New Roman"/>
                <w:b/>
                <w:sz w:val="24"/>
                <w:szCs w:val="24"/>
              </w:rPr>
              <w:t xml:space="preserve">of the European Economic and Social Committee </w:t>
            </w:r>
            <w:r w:rsidR="00554137">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6A2AEE">
        <w:trPr>
          <w:jc w:val="center"/>
        </w:trPr>
        <w:tc>
          <w:tcPr>
            <w:tcW w:w="10367" w:type="dxa"/>
          </w:tcPr>
          <w:p w14:paraId="219D5FC3" w14:textId="414D257F" w:rsidR="006E78F6" w:rsidRPr="00B41FC1" w:rsidRDefault="004C07BE" w:rsidP="006A2AEE">
            <w:pPr>
              <w:widowControl w:val="0"/>
              <w:spacing w:before="120" w:after="120"/>
              <w:jc w:val="both"/>
              <w:rPr>
                <w:rFonts w:ascii="Times New Roman" w:hAnsi="Times New Roman"/>
                <w:sz w:val="24"/>
                <w:szCs w:val="24"/>
              </w:rPr>
            </w:pPr>
            <w:r w:rsidRPr="00B41FC1">
              <w:rPr>
                <w:rFonts w:ascii="Times New Roman" w:hAnsi="Times New Roman"/>
                <w:i/>
                <w:sz w:val="24"/>
                <w:szCs w:val="24"/>
              </w:rPr>
              <w:t xml:space="preserve">Regarding </w:t>
            </w:r>
            <w:r w:rsidRPr="00B41FC1">
              <w:rPr>
                <w:rFonts w:ascii="Times New Roman" w:hAnsi="Times New Roman"/>
                <w:i/>
                <w:sz w:val="24"/>
                <w:szCs w:val="24"/>
                <w:u w:val="single"/>
              </w:rPr>
              <w:t>point 1.</w:t>
            </w:r>
            <w:r w:rsidR="007B2F88" w:rsidRPr="00B41FC1">
              <w:rPr>
                <w:rFonts w:ascii="Times New Roman" w:hAnsi="Times New Roman"/>
                <w:i/>
                <w:sz w:val="24"/>
                <w:szCs w:val="24"/>
                <w:u w:val="single"/>
              </w:rPr>
              <w:t>2</w:t>
            </w:r>
            <w:r w:rsidRPr="00B41FC1">
              <w:rPr>
                <w:rFonts w:ascii="Times New Roman" w:hAnsi="Times New Roman"/>
                <w:sz w:val="24"/>
                <w:szCs w:val="24"/>
              </w:rPr>
              <w:t xml:space="preserve"> </w:t>
            </w:r>
            <w:r w:rsidRPr="00B41FC1">
              <w:rPr>
                <w:rFonts w:ascii="Times New Roman" w:hAnsi="Times New Roman"/>
                <w:i/>
                <w:sz w:val="24"/>
                <w:szCs w:val="24"/>
              </w:rPr>
              <w:t>of the opinion</w:t>
            </w:r>
            <w:r w:rsidRPr="00B41FC1">
              <w:rPr>
                <w:rFonts w:ascii="Times New Roman" w:hAnsi="Times New Roman"/>
                <w:sz w:val="24"/>
                <w:szCs w:val="24"/>
              </w:rPr>
              <w:t xml:space="preserve">, </w:t>
            </w:r>
            <w:r w:rsidR="009D1B12" w:rsidRPr="00B41FC1">
              <w:rPr>
                <w:rFonts w:ascii="Times New Roman" w:hAnsi="Times New Roman"/>
                <w:sz w:val="24"/>
                <w:szCs w:val="24"/>
              </w:rPr>
              <w:t xml:space="preserve">the Commission acknowledges the importance of robust monitoring, accountability and enforcement mechanisms to ensure the effective implementation of the LGBTIQ+ equality strategy. As regards EU funding, the Commission will continue to monitor compliance with the </w:t>
            </w:r>
            <w:r w:rsidR="002D4F92">
              <w:rPr>
                <w:rFonts w:ascii="Times New Roman" w:hAnsi="Times New Roman"/>
                <w:sz w:val="24"/>
                <w:szCs w:val="24"/>
              </w:rPr>
              <w:t>‘</w:t>
            </w:r>
            <w:r w:rsidR="009D1B12" w:rsidRPr="00B41FC1">
              <w:rPr>
                <w:rFonts w:ascii="Times New Roman" w:hAnsi="Times New Roman"/>
                <w:sz w:val="24"/>
                <w:szCs w:val="24"/>
              </w:rPr>
              <w:t>horizontal enabling condition</w:t>
            </w:r>
            <w:r w:rsidR="002D4F92">
              <w:rPr>
                <w:rFonts w:ascii="Times New Roman" w:hAnsi="Times New Roman"/>
                <w:sz w:val="24"/>
                <w:szCs w:val="24"/>
              </w:rPr>
              <w:t>’</w:t>
            </w:r>
            <w:r w:rsidR="009D1B12" w:rsidRPr="00B41FC1">
              <w:rPr>
                <w:rFonts w:ascii="Times New Roman" w:hAnsi="Times New Roman"/>
                <w:sz w:val="24"/>
                <w:szCs w:val="24"/>
              </w:rPr>
              <w:t xml:space="preserve"> relating to the effective implementation and application of the Charter of Fundamental Rights throughout the 2021–2027 programming period for all funds covered by the Common Provisions Regulation</w:t>
            </w:r>
            <w:r w:rsidR="006F4BCF" w:rsidRPr="00B41FC1">
              <w:rPr>
                <w:rStyle w:val="FootnoteReference"/>
                <w:rFonts w:ascii="Times New Roman" w:hAnsi="Times New Roman"/>
                <w:sz w:val="24"/>
                <w:szCs w:val="24"/>
              </w:rPr>
              <w:footnoteReference w:id="1"/>
            </w:r>
            <w:r w:rsidR="009D1B12" w:rsidRPr="00B41FC1">
              <w:rPr>
                <w:rFonts w:ascii="Times New Roman" w:hAnsi="Times New Roman"/>
                <w:sz w:val="24"/>
                <w:szCs w:val="24"/>
              </w:rPr>
              <w:t xml:space="preserve">. It will also enforce the </w:t>
            </w:r>
            <w:r w:rsidR="009F69A5" w:rsidRPr="00B41FC1">
              <w:rPr>
                <w:rFonts w:ascii="Times New Roman" w:hAnsi="Times New Roman"/>
                <w:sz w:val="24"/>
                <w:szCs w:val="24"/>
              </w:rPr>
              <w:t xml:space="preserve">recast </w:t>
            </w:r>
            <w:r w:rsidR="009D1B12" w:rsidRPr="00B41FC1">
              <w:rPr>
                <w:rFonts w:ascii="Times New Roman" w:hAnsi="Times New Roman"/>
                <w:sz w:val="24"/>
                <w:szCs w:val="24"/>
              </w:rPr>
              <w:t>Financial Regulation</w:t>
            </w:r>
            <w:r w:rsidR="008C63A1" w:rsidRPr="00B41FC1">
              <w:rPr>
                <w:rStyle w:val="FootnoteReference"/>
                <w:rFonts w:ascii="Times New Roman" w:hAnsi="Times New Roman"/>
                <w:sz w:val="24"/>
                <w:szCs w:val="24"/>
              </w:rPr>
              <w:footnoteReference w:id="2"/>
            </w:r>
            <w:r w:rsidR="009D1B12" w:rsidRPr="00B41FC1">
              <w:rPr>
                <w:rFonts w:ascii="Times New Roman" w:hAnsi="Times New Roman"/>
                <w:sz w:val="24"/>
                <w:szCs w:val="24"/>
              </w:rPr>
              <w:t>, which explicitly identifies incitement to discrimination, hatred or violence as grounds for exclusion from EU funding.</w:t>
            </w:r>
          </w:p>
          <w:p w14:paraId="1685F749" w14:textId="47A45779" w:rsidR="006E78F6" w:rsidRPr="006E4945" w:rsidRDefault="009D1B12"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 xml:space="preserve">With respect to Member States, the Commission, in its role as guardian of the Treaties, will continue to monitor compliance with EU law and make full use of the instruments at its disposal to safeguard EU values. Where appropriate, it will not hesitate to take action, as it has done in the past. The Commission will also continue to support the Council Presidencies and Member States in pursuing the adoption of the </w:t>
            </w:r>
            <w:r w:rsidR="006D695D" w:rsidRPr="00B41FC1">
              <w:rPr>
                <w:rFonts w:ascii="Times New Roman" w:hAnsi="Times New Roman"/>
                <w:sz w:val="24"/>
                <w:szCs w:val="24"/>
              </w:rPr>
              <w:t>proposed Equal Treatment Directive</w:t>
            </w:r>
            <w:r w:rsidR="007808D3" w:rsidRPr="00B41FC1">
              <w:rPr>
                <w:rStyle w:val="FootnoteReference"/>
                <w:rFonts w:ascii="Times New Roman" w:hAnsi="Times New Roman"/>
                <w:sz w:val="24"/>
                <w:szCs w:val="24"/>
              </w:rPr>
              <w:footnoteReference w:id="3"/>
            </w:r>
            <w:r w:rsidRPr="00B41FC1">
              <w:rPr>
                <w:rFonts w:ascii="Times New Roman" w:hAnsi="Times New Roman"/>
                <w:sz w:val="24"/>
                <w:szCs w:val="24"/>
              </w:rPr>
              <w:t>.</w:t>
            </w:r>
          </w:p>
          <w:p w14:paraId="573FAEE2" w14:textId="06BC8ABD" w:rsidR="006E78F6" w:rsidRPr="00B41FC1" w:rsidRDefault="009D1B12" w:rsidP="006A2AEE">
            <w:pPr>
              <w:widowControl w:val="0"/>
              <w:spacing w:before="120" w:after="120"/>
              <w:jc w:val="both"/>
              <w:rPr>
                <w:rFonts w:ascii="Times New Roman" w:hAnsi="Times New Roman"/>
                <w:noProof/>
                <w:sz w:val="24"/>
                <w:szCs w:val="24"/>
              </w:rPr>
            </w:pPr>
            <w:r w:rsidRPr="00B41FC1">
              <w:rPr>
                <w:rFonts w:ascii="Times New Roman" w:hAnsi="Times New Roman"/>
                <w:sz w:val="24"/>
                <w:szCs w:val="24"/>
              </w:rPr>
              <w:t xml:space="preserve">Furthermore, the Commission will continue to support </w:t>
            </w:r>
            <w:r w:rsidR="00410572" w:rsidRPr="00B41FC1">
              <w:rPr>
                <w:rFonts w:ascii="Times New Roman" w:hAnsi="Times New Roman"/>
                <w:sz w:val="24"/>
                <w:szCs w:val="24"/>
              </w:rPr>
              <w:t xml:space="preserve">the adoption of national LGBTIQ+ strategies and action plans </w:t>
            </w:r>
            <w:r w:rsidRPr="00B41FC1">
              <w:rPr>
                <w:rFonts w:ascii="Times New Roman" w:hAnsi="Times New Roman"/>
                <w:sz w:val="24"/>
                <w:szCs w:val="24"/>
              </w:rPr>
              <w:t>through the High-Level Group on Non-Discrimination, Equality and Diversity,</w:t>
            </w:r>
            <w:r w:rsidR="00D53122">
              <w:rPr>
                <w:rFonts w:ascii="Times New Roman" w:hAnsi="Times New Roman"/>
                <w:sz w:val="24"/>
                <w:szCs w:val="24"/>
              </w:rPr>
              <w:t xml:space="preserve"> and</w:t>
            </w:r>
            <w:r w:rsidRPr="00B41FC1">
              <w:rPr>
                <w:rFonts w:ascii="Times New Roman" w:hAnsi="Times New Roman"/>
                <w:sz w:val="24"/>
                <w:szCs w:val="24"/>
              </w:rPr>
              <w:t xml:space="preserve"> in particular through its subgroup of experts on LGBTIQ+ equality</w:t>
            </w:r>
            <w:r w:rsidR="006A1FAB" w:rsidRPr="00B41FC1">
              <w:rPr>
                <w:rFonts w:ascii="Times New Roman" w:hAnsi="Times New Roman"/>
                <w:sz w:val="24"/>
                <w:szCs w:val="24"/>
              </w:rPr>
              <w:t>,</w:t>
            </w:r>
            <w:r w:rsidRPr="00B41FC1">
              <w:rPr>
                <w:rFonts w:ascii="Times New Roman" w:hAnsi="Times New Roman"/>
                <w:sz w:val="24"/>
                <w:szCs w:val="24"/>
              </w:rPr>
              <w:t xml:space="preserve"> </w:t>
            </w:r>
            <w:r w:rsidR="006A1FAB" w:rsidRPr="00B41FC1">
              <w:rPr>
                <w:rFonts w:ascii="Times New Roman" w:hAnsi="Times New Roman"/>
                <w:noProof/>
                <w:sz w:val="24"/>
                <w:szCs w:val="24"/>
              </w:rPr>
              <w:t>whose mandate will be strengthened to include representatives from candidate countries and improve cooperation with the Council Presidencies.</w:t>
            </w:r>
          </w:p>
          <w:p w14:paraId="7F8F21C0" w14:textId="7F26F6A5" w:rsidR="00F047D9" w:rsidRPr="00B41FC1" w:rsidRDefault="009D1B12"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 xml:space="preserve">To assess progress and ensure the effective implementation of the strategy, the Commission will establish a new </w:t>
            </w:r>
            <w:r w:rsidR="002D4F92">
              <w:rPr>
                <w:rFonts w:ascii="Times New Roman" w:hAnsi="Times New Roman"/>
                <w:sz w:val="24"/>
                <w:szCs w:val="24"/>
              </w:rPr>
              <w:t>‘</w:t>
            </w:r>
            <w:r w:rsidRPr="00B41FC1">
              <w:rPr>
                <w:rFonts w:ascii="Times New Roman" w:hAnsi="Times New Roman"/>
                <w:sz w:val="24"/>
                <w:szCs w:val="24"/>
              </w:rPr>
              <w:t>LGBTIQ+ Policy Forum</w:t>
            </w:r>
            <w:r w:rsidR="002D4F92">
              <w:rPr>
                <w:rFonts w:ascii="Times New Roman" w:hAnsi="Times New Roman"/>
                <w:sz w:val="24"/>
                <w:szCs w:val="24"/>
              </w:rPr>
              <w:t>’</w:t>
            </w:r>
            <w:r w:rsidRPr="00B41FC1">
              <w:rPr>
                <w:rFonts w:ascii="Times New Roman" w:hAnsi="Times New Roman"/>
                <w:sz w:val="24"/>
                <w:szCs w:val="24"/>
              </w:rPr>
              <w:t xml:space="preserve"> bringing together LGBTIQ+ civil society organisations, social partners and academia. </w:t>
            </w:r>
            <w:r w:rsidR="00410572" w:rsidRPr="00B41FC1">
              <w:rPr>
                <w:rFonts w:ascii="Times New Roman" w:hAnsi="Times New Roman"/>
                <w:sz w:val="24"/>
                <w:szCs w:val="24"/>
              </w:rPr>
              <w:t xml:space="preserve">The first edition of the forum will take place in the last quarter of 2026. </w:t>
            </w:r>
            <w:r w:rsidRPr="00B41FC1">
              <w:rPr>
                <w:rFonts w:ascii="Times New Roman" w:hAnsi="Times New Roman"/>
                <w:sz w:val="24"/>
                <w:szCs w:val="24"/>
              </w:rPr>
              <w:t xml:space="preserve">In addition, </w:t>
            </w:r>
            <w:r w:rsidR="00751E9A">
              <w:rPr>
                <w:rFonts w:ascii="Times New Roman" w:hAnsi="Times New Roman"/>
                <w:sz w:val="24"/>
                <w:szCs w:val="24"/>
              </w:rPr>
              <w:t>the Commission</w:t>
            </w:r>
            <w:r w:rsidRPr="00B41FC1">
              <w:rPr>
                <w:rFonts w:ascii="Times New Roman" w:hAnsi="Times New Roman"/>
                <w:sz w:val="24"/>
                <w:szCs w:val="24"/>
              </w:rPr>
              <w:t xml:space="preserve"> will regularly monitor the implementation of the measures set out in the strategy, drawing in particular on evidence provided by the Fundamental Rights Agency (FRA), and will present a mid-term review in 2028.</w:t>
            </w:r>
          </w:p>
          <w:p w14:paraId="401F6FDA" w14:textId="14D11CF1" w:rsidR="006E78F6" w:rsidRPr="00B41FC1" w:rsidRDefault="009D1B12" w:rsidP="006A2AEE">
            <w:pPr>
              <w:widowControl w:val="0"/>
              <w:spacing w:before="120" w:after="120"/>
              <w:jc w:val="both"/>
              <w:rPr>
                <w:rFonts w:ascii="Times New Roman" w:hAnsi="Times New Roman"/>
                <w:sz w:val="24"/>
                <w:szCs w:val="24"/>
              </w:rPr>
            </w:pPr>
            <w:r w:rsidRPr="00B41FC1">
              <w:rPr>
                <w:rFonts w:ascii="Times New Roman" w:hAnsi="Times New Roman"/>
                <w:i/>
                <w:sz w:val="24"/>
                <w:szCs w:val="24"/>
              </w:rPr>
              <w:t xml:space="preserve">Regarding </w:t>
            </w:r>
            <w:r w:rsidRPr="00B41FC1">
              <w:rPr>
                <w:rFonts w:ascii="Times New Roman" w:hAnsi="Times New Roman"/>
                <w:i/>
                <w:sz w:val="24"/>
                <w:szCs w:val="24"/>
                <w:u w:val="single"/>
              </w:rPr>
              <w:t>point 1.3</w:t>
            </w:r>
            <w:r w:rsidRPr="00B41FC1">
              <w:rPr>
                <w:rFonts w:ascii="Times New Roman" w:hAnsi="Times New Roman"/>
                <w:sz w:val="24"/>
                <w:szCs w:val="24"/>
              </w:rPr>
              <w:t xml:space="preserve">, </w:t>
            </w:r>
            <w:r w:rsidR="00144C36" w:rsidRPr="00B41FC1">
              <w:rPr>
                <w:rFonts w:ascii="Times New Roman" w:hAnsi="Times New Roman"/>
                <w:sz w:val="24"/>
                <w:szCs w:val="24"/>
              </w:rPr>
              <w:t xml:space="preserve">the Commission fully recognises the importance of countering anti-LGBTIQ+ backlash and addressing the shrinking civic space. To tackle these challenges, the new LGBTIQ+ equality strategy includes measures aimed at combating anti-LGBTIQ+ violence and hate </w:t>
            </w:r>
            <w:r w:rsidR="273588AD" w:rsidRPr="00B41FC1">
              <w:rPr>
                <w:rFonts w:ascii="Times New Roman" w:hAnsi="Times New Roman"/>
                <w:sz w:val="24"/>
                <w:szCs w:val="24"/>
              </w:rPr>
              <w:t>offences</w:t>
            </w:r>
            <w:r w:rsidR="00144C36" w:rsidRPr="00B41FC1">
              <w:rPr>
                <w:rFonts w:ascii="Times New Roman" w:hAnsi="Times New Roman"/>
                <w:sz w:val="24"/>
                <w:szCs w:val="24"/>
              </w:rPr>
              <w:t xml:space="preserve">, as </w:t>
            </w:r>
            <w:r w:rsidR="00144C36" w:rsidRPr="00B41FC1">
              <w:rPr>
                <w:rFonts w:ascii="Times New Roman" w:hAnsi="Times New Roman"/>
                <w:sz w:val="24"/>
                <w:szCs w:val="24"/>
              </w:rPr>
              <w:lastRenderedPageBreak/>
              <w:t>well as promoting awareness-raising and fact-based narratives. In this context, the Commission is co-funding a joint project</w:t>
            </w:r>
            <w:r w:rsidR="00BE353D" w:rsidRPr="00B41FC1">
              <w:rPr>
                <w:rStyle w:val="FootnoteReference"/>
                <w:rFonts w:ascii="Times New Roman" w:hAnsi="Times New Roman"/>
                <w:sz w:val="24"/>
                <w:szCs w:val="24"/>
              </w:rPr>
              <w:footnoteReference w:id="4"/>
            </w:r>
            <w:r w:rsidR="00144C36" w:rsidRPr="00B41FC1">
              <w:rPr>
                <w:rFonts w:ascii="Times New Roman" w:hAnsi="Times New Roman"/>
                <w:sz w:val="24"/>
                <w:szCs w:val="24"/>
              </w:rPr>
              <w:t xml:space="preserve"> with the Council of Europe dedicated to these objectives.</w:t>
            </w:r>
          </w:p>
          <w:p w14:paraId="7BA62427" w14:textId="2CABC0BA" w:rsidR="00E90D24" w:rsidRPr="006E4945" w:rsidRDefault="00E90D24"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In November 2025, the Commission also presented the European Democracy Shield</w:t>
            </w:r>
            <w:r w:rsidRPr="00B41FC1">
              <w:rPr>
                <w:rStyle w:val="FootnoteReference"/>
                <w:rFonts w:ascii="Times New Roman" w:hAnsi="Times New Roman"/>
                <w:sz w:val="24"/>
                <w:szCs w:val="24"/>
              </w:rPr>
              <w:footnoteReference w:id="5"/>
            </w:r>
            <w:r w:rsidRPr="00B41FC1">
              <w:rPr>
                <w:rFonts w:ascii="Times New Roman" w:hAnsi="Times New Roman"/>
                <w:sz w:val="24"/>
                <w:szCs w:val="24"/>
              </w:rPr>
              <w:t xml:space="preserve"> and the EU Strategy for Civil Society</w:t>
            </w:r>
            <w:r w:rsidRPr="00B41FC1">
              <w:rPr>
                <w:rStyle w:val="FootnoteReference"/>
                <w:rFonts w:ascii="Times New Roman" w:hAnsi="Times New Roman"/>
                <w:sz w:val="24"/>
                <w:szCs w:val="24"/>
              </w:rPr>
              <w:footnoteReference w:id="6"/>
            </w:r>
            <w:r w:rsidRPr="00B41FC1">
              <w:rPr>
                <w:rFonts w:ascii="Times New Roman" w:hAnsi="Times New Roman"/>
                <w:sz w:val="24"/>
                <w:szCs w:val="24"/>
              </w:rPr>
              <w:t>. The measures envisaged under the European Democracy Shield will reinforce situational awareness and support response capacity to safeguard the integrity of the information space; strengthen democratic institutions, free and fair elections and free and independent media and will also boost societal resilience and citizens’ engagement through a whole</w:t>
            </w:r>
            <w:r w:rsidR="00660F03">
              <w:rPr>
                <w:rFonts w:ascii="Times New Roman" w:hAnsi="Times New Roman"/>
                <w:sz w:val="24"/>
                <w:szCs w:val="24"/>
              </w:rPr>
              <w:t>-</w:t>
            </w:r>
            <w:r w:rsidRPr="00B41FC1">
              <w:rPr>
                <w:rFonts w:ascii="Times New Roman" w:hAnsi="Times New Roman"/>
                <w:sz w:val="24"/>
                <w:szCs w:val="24"/>
              </w:rPr>
              <w:t>of</w:t>
            </w:r>
            <w:r w:rsidR="00660F03">
              <w:rPr>
                <w:rFonts w:ascii="Times New Roman" w:hAnsi="Times New Roman"/>
                <w:sz w:val="24"/>
                <w:szCs w:val="24"/>
              </w:rPr>
              <w:t>-</w:t>
            </w:r>
            <w:r w:rsidRPr="00B41FC1">
              <w:rPr>
                <w:rFonts w:ascii="Times New Roman" w:hAnsi="Times New Roman"/>
                <w:sz w:val="24"/>
                <w:szCs w:val="24"/>
              </w:rPr>
              <w:t xml:space="preserve">government and whole-of-society approach. </w:t>
            </w:r>
            <w:r w:rsidRPr="006E4945">
              <w:rPr>
                <w:rFonts w:ascii="Times New Roman" w:hAnsi="Times New Roman"/>
                <w:sz w:val="24"/>
                <w:szCs w:val="24"/>
              </w:rPr>
              <w:t>In particular,</w:t>
            </w:r>
            <w:r w:rsidR="00D53122">
              <w:rPr>
                <w:rFonts w:ascii="Times New Roman" w:hAnsi="Times New Roman"/>
                <w:sz w:val="24"/>
                <w:szCs w:val="24"/>
              </w:rPr>
              <w:t xml:space="preserve"> </w:t>
            </w:r>
            <w:r w:rsidRPr="006E4945">
              <w:rPr>
                <w:rFonts w:ascii="Times New Roman" w:hAnsi="Times New Roman"/>
                <w:sz w:val="24"/>
                <w:szCs w:val="24"/>
              </w:rPr>
              <w:t>to</w:t>
            </w:r>
            <w:r w:rsidR="00D53122">
              <w:rPr>
                <w:rFonts w:ascii="Times New Roman" w:hAnsi="Times New Roman"/>
                <w:sz w:val="24"/>
                <w:szCs w:val="24"/>
              </w:rPr>
              <w:t xml:space="preserve"> </w:t>
            </w:r>
            <w:r w:rsidRPr="006E4945">
              <w:rPr>
                <w:rFonts w:ascii="Times New Roman" w:hAnsi="Times New Roman"/>
                <w:sz w:val="24"/>
                <w:szCs w:val="24"/>
              </w:rPr>
              <w:t xml:space="preserve">better ensure the safety of political candidates and elected representatives, the Commission will adopt a Recommendation on safety in politics. The Commission will also work, within the framework of the </w:t>
            </w:r>
            <w:r w:rsidR="004623C3" w:rsidRPr="006E4945">
              <w:rPr>
                <w:rFonts w:ascii="Times New Roman" w:hAnsi="Times New Roman"/>
                <w:sz w:val="24"/>
                <w:szCs w:val="24"/>
              </w:rPr>
              <w:t>European Cooperation Network on Elections (</w:t>
            </w:r>
            <w:r w:rsidRPr="006E4945">
              <w:rPr>
                <w:rFonts w:ascii="Times New Roman" w:hAnsi="Times New Roman"/>
                <w:sz w:val="24"/>
                <w:szCs w:val="24"/>
              </w:rPr>
              <w:t>ECNE</w:t>
            </w:r>
            <w:r w:rsidR="004623C3" w:rsidRPr="006E4945">
              <w:rPr>
                <w:rFonts w:ascii="Times New Roman" w:hAnsi="Times New Roman"/>
                <w:sz w:val="24"/>
                <w:szCs w:val="24"/>
              </w:rPr>
              <w:t>)</w:t>
            </w:r>
            <w:r w:rsidRPr="006E4945">
              <w:rPr>
                <w:rFonts w:ascii="Times New Roman" w:hAnsi="Times New Roman"/>
                <w:sz w:val="24"/>
                <w:szCs w:val="24"/>
              </w:rPr>
              <w:t xml:space="preserve"> and in close consultation with relevant stakeholders, on the preparation of a dedicated guide of best practices and support capacity-building, practical support, collection of data and voluntary commitments (e.g. pledges and codes of conduct) and ethical standards in this field.</w:t>
            </w:r>
            <w:r w:rsidR="00660F03">
              <w:rPr>
                <w:rFonts w:ascii="Times New Roman" w:hAnsi="Times New Roman"/>
                <w:sz w:val="24"/>
                <w:szCs w:val="24"/>
              </w:rPr>
              <w:t xml:space="preserve"> </w:t>
            </w:r>
            <w:r w:rsidRPr="006E4945">
              <w:rPr>
                <w:rFonts w:ascii="Times New Roman" w:hAnsi="Times New Roman"/>
                <w:sz w:val="24"/>
                <w:szCs w:val="24"/>
              </w:rPr>
              <w:t>Particular attention</w:t>
            </w:r>
            <w:r w:rsidR="00660F03">
              <w:rPr>
                <w:rFonts w:ascii="Times New Roman" w:hAnsi="Times New Roman"/>
                <w:sz w:val="24"/>
                <w:szCs w:val="24"/>
              </w:rPr>
              <w:t xml:space="preserve"> </w:t>
            </w:r>
            <w:r w:rsidRPr="006E4945">
              <w:rPr>
                <w:rFonts w:ascii="Times New Roman" w:hAnsi="Times New Roman"/>
                <w:sz w:val="24"/>
                <w:szCs w:val="24"/>
              </w:rPr>
              <w:t>will be paid across this workstream to women and other groups at heightened risk of discrimination, and to the situation of local politicians.</w:t>
            </w:r>
          </w:p>
          <w:p w14:paraId="2B5FCAD2" w14:textId="7B87A271" w:rsidR="00E90D24" w:rsidRPr="00B41FC1" w:rsidRDefault="00E90D24"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The Commission also recognises the threats that disinformation poses to LGBTIQ+ people, as it perpetuates harmful stereotypes, fuels stigma and discrimination and undermines the protection and advancement of their human rights and equal participation in society.</w:t>
            </w:r>
            <w:r w:rsidR="001134B1">
              <w:rPr>
                <w:rFonts w:ascii="Times New Roman" w:hAnsi="Times New Roman"/>
                <w:sz w:val="24"/>
                <w:szCs w:val="24"/>
              </w:rPr>
              <w:t xml:space="preserve"> </w:t>
            </w:r>
            <w:r w:rsidRPr="00B41FC1">
              <w:rPr>
                <w:rFonts w:ascii="Times New Roman" w:hAnsi="Times New Roman"/>
                <w:sz w:val="24"/>
                <w:szCs w:val="24"/>
              </w:rPr>
              <w:t>The Commission has recently launched the European Network of Fact-Checkers project, which will support independent fact-checking capacity across the EU, expand coverage to underserved countries and languages, including both EU and Digital Europe associated countries (thus also serving several candidate countries). It will also set up an EU-wide fact-checking repository, which will help contrasting false LGBTIQ+ narratives circulating across the Member States.</w:t>
            </w:r>
            <w:r w:rsidR="001134B1">
              <w:rPr>
                <w:rFonts w:ascii="Times New Roman" w:hAnsi="Times New Roman"/>
                <w:sz w:val="24"/>
                <w:szCs w:val="24"/>
              </w:rPr>
              <w:t xml:space="preserve"> </w:t>
            </w:r>
            <w:r w:rsidRPr="00B41FC1">
              <w:rPr>
                <w:rFonts w:ascii="Times New Roman" w:hAnsi="Times New Roman"/>
                <w:sz w:val="24"/>
                <w:szCs w:val="24"/>
              </w:rPr>
              <w:t>The Commission also provides support to the European Digital Media Observatory (EDMO). EDMO pulls together an independent multidisciplinary community which brings together fact-checkers, researchers and media literacy experts from across the EU and beyond. EDMO has developed trainings on addressing identity-based disinformation, with one of those trainings focusing on disinformation targeting LGBTIQ+ individuals and groups.</w:t>
            </w:r>
          </w:p>
          <w:p w14:paraId="6F40B604" w14:textId="4C22722B" w:rsidR="00E90D24" w:rsidRPr="00B41FC1" w:rsidRDefault="00E90D24"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Through the EU Strategy for Civil Society, the Commission is further reinforcing its engagement with civil society and stepping up support and protection for civil society organisations in carrying out their work, recognising that organisations working on equality, including the LGBTIQ+</w:t>
            </w:r>
            <w:r w:rsidR="006741BA">
              <w:rPr>
                <w:rFonts w:ascii="Times New Roman" w:hAnsi="Times New Roman"/>
                <w:sz w:val="24"/>
                <w:szCs w:val="24"/>
              </w:rPr>
              <w:t xml:space="preserve"> rights</w:t>
            </w:r>
            <w:r w:rsidRPr="00B41FC1">
              <w:rPr>
                <w:rFonts w:ascii="Times New Roman" w:hAnsi="Times New Roman"/>
                <w:sz w:val="24"/>
                <w:szCs w:val="24"/>
              </w:rPr>
              <w:t xml:space="preserve">, are often particularly vulnerable to threats and attacks. As part of the Strategy, </w:t>
            </w:r>
            <w:r w:rsidRPr="006E4945">
              <w:rPr>
                <w:rFonts w:ascii="Times New Roman" w:hAnsi="Times New Roman"/>
                <w:sz w:val="24"/>
                <w:szCs w:val="24"/>
              </w:rPr>
              <w:t>a new Civil Society Platform will be established to facilitate dialogue</w:t>
            </w:r>
            <w:r w:rsidR="00660F03">
              <w:rPr>
                <w:rFonts w:ascii="Times New Roman" w:hAnsi="Times New Roman"/>
                <w:sz w:val="24"/>
                <w:szCs w:val="24"/>
              </w:rPr>
              <w:t xml:space="preserve"> </w:t>
            </w:r>
            <w:r w:rsidRPr="006E4945">
              <w:rPr>
                <w:rFonts w:ascii="Times New Roman" w:hAnsi="Times New Roman"/>
                <w:sz w:val="24"/>
                <w:szCs w:val="24"/>
              </w:rPr>
              <w:t>on the protection and promotion of EU values</w:t>
            </w:r>
            <w:r w:rsidR="00660F03">
              <w:rPr>
                <w:rFonts w:ascii="Times New Roman" w:hAnsi="Times New Roman"/>
                <w:sz w:val="24"/>
                <w:szCs w:val="24"/>
              </w:rPr>
              <w:t xml:space="preserve">, </w:t>
            </w:r>
            <w:r w:rsidRPr="006E4945">
              <w:rPr>
                <w:rFonts w:ascii="Times New Roman" w:hAnsi="Times New Roman"/>
                <w:sz w:val="24"/>
                <w:szCs w:val="24"/>
              </w:rPr>
              <w:t>and</w:t>
            </w:r>
            <w:r w:rsidR="00660F03">
              <w:rPr>
                <w:rFonts w:ascii="Times New Roman" w:hAnsi="Times New Roman"/>
                <w:sz w:val="24"/>
                <w:szCs w:val="24"/>
                <w:u w:val="single"/>
              </w:rPr>
              <w:t xml:space="preserve"> </w:t>
            </w:r>
            <w:r w:rsidRPr="00B41FC1">
              <w:rPr>
                <w:rFonts w:ascii="Times New Roman" w:hAnsi="Times New Roman"/>
                <w:sz w:val="24"/>
                <w:szCs w:val="24"/>
              </w:rPr>
              <w:t xml:space="preserve">an online Knowledge Hub on Civic Space will be developed to improve access to existing projects, tools and available monitoring and protection measures. </w:t>
            </w:r>
            <w:r w:rsidRPr="006E4945">
              <w:rPr>
                <w:rFonts w:ascii="Times New Roman" w:hAnsi="Times New Roman"/>
                <w:sz w:val="24"/>
                <w:szCs w:val="24"/>
              </w:rPr>
              <w:t>The Strategy acknowledges that long-term,</w:t>
            </w:r>
            <w:r w:rsidR="00660F03">
              <w:rPr>
                <w:rFonts w:ascii="Times New Roman" w:hAnsi="Times New Roman"/>
                <w:sz w:val="24"/>
                <w:szCs w:val="24"/>
              </w:rPr>
              <w:t xml:space="preserve"> </w:t>
            </w:r>
            <w:r w:rsidRPr="006E4945">
              <w:rPr>
                <w:rFonts w:ascii="Times New Roman" w:hAnsi="Times New Roman"/>
                <w:sz w:val="24"/>
                <w:szCs w:val="24"/>
              </w:rPr>
              <w:t>predictable</w:t>
            </w:r>
            <w:r w:rsidR="00660F03">
              <w:rPr>
                <w:rFonts w:ascii="Times New Roman" w:hAnsi="Times New Roman"/>
                <w:sz w:val="24"/>
                <w:szCs w:val="24"/>
              </w:rPr>
              <w:t xml:space="preserve">  </w:t>
            </w:r>
            <w:r w:rsidRPr="006E4945">
              <w:rPr>
                <w:rFonts w:ascii="Times New Roman" w:hAnsi="Times New Roman"/>
                <w:sz w:val="24"/>
                <w:szCs w:val="24"/>
              </w:rPr>
              <w:t>and sufficient funding is key to provide</w:t>
            </w:r>
            <w:r w:rsidR="00660F03">
              <w:rPr>
                <w:rFonts w:ascii="Times New Roman" w:hAnsi="Times New Roman"/>
                <w:sz w:val="24"/>
                <w:szCs w:val="24"/>
              </w:rPr>
              <w:t xml:space="preserve"> </w:t>
            </w:r>
            <w:r w:rsidRPr="006E4945">
              <w:rPr>
                <w:rFonts w:ascii="Times New Roman" w:hAnsi="Times New Roman"/>
                <w:sz w:val="24"/>
                <w:szCs w:val="24"/>
              </w:rPr>
              <w:t>stability and predictability to civil society organisations</w:t>
            </w:r>
            <w:r w:rsidR="00660F03">
              <w:rPr>
                <w:rFonts w:ascii="Times New Roman" w:hAnsi="Times New Roman"/>
                <w:sz w:val="24"/>
                <w:szCs w:val="24"/>
              </w:rPr>
              <w:t xml:space="preserve"> </w:t>
            </w:r>
            <w:r w:rsidRPr="006E4945">
              <w:rPr>
                <w:rFonts w:ascii="Times New Roman" w:hAnsi="Times New Roman"/>
                <w:sz w:val="24"/>
                <w:szCs w:val="24"/>
              </w:rPr>
              <w:t>and emphasises that the Commission has proposed to significantly increase the financial support to civil society organisations.</w:t>
            </w:r>
          </w:p>
          <w:p w14:paraId="141DD509" w14:textId="0CC2F80A" w:rsidR="00EA7211" w:rsidRPr="00B41FC1" w:rsidRDefault="203838B8"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 xml:space="preserve">Under the Horizon Europe Programme, Cluster 2 </w:t>
            </w:r>
            <w:r w:rsidR="002D4F92">
              <w:rPr>
                <w:rFonts w:ascii="Times New Roman" w:hAnsi="Times New Roman"/>
                <w:sz w:val="24"/>
                <w:szCs w:val="24"/>
              </w:rPr>
              <w:t>‘</w:t>
            </w:r>
            <w:r w:rsidRPr="00B41FC1">
              <w:rPr>
                <w:rFonts w:ascii="Times New Roman" w:hAnsi="Times New Roman"/>
                <w:sz w:val="24"/>
                <w:szCs w:val="24"/>
              </w:rPr>
              <w:t>Culture, Creativity and Inclusive Society</w:t>
            </w:r>
            <w:r w:rsidR="002D4F92">
              <w:rPr>
                <w:rFonts w:ascii="Times New Roman" w:hAnsi="Times New Roman"/>
                <w:sz w:val="24"/>
                <w:szCs w:val="24"/>
              </w:rPr>
              <w:t>’</w:t>
            </w:r>
            <w:r w:rsidRPr="00B41FC1">
              <w:rPr>
                <w:rFonts w:ascii="Times New Roman" w:hAnsi="Times New Roman"/>
                <w:sz w:val="24"/>
                <w:szCs w:val="24"/>
              </w:rPr>
              <w:t xml:space="preserve">, the Commission will continue to fund projects promoting inclusive and representative governance and societies. These projects address inclusion and representation gaps, including those affecting women and </w:t>
            </w:r>
            <w:r w:rsidRPr="00B41FC1">
              <w:rPr>
                <w:rFonts w:ascii="Times New Roman" w:hAnsi="Times New Roman"/>
                <w:sz w:val="24"/>
                <w:szCs w:val="24"/>
              </w:rPr>
              <w:lastRenderedPageBreak/>
              <w:t>minorities, as well as economic, social, cultural and political polarisation, intergenerational justice and racism, with some projects specifically focusing on the rights of LGBTIQ+ people.</w:t>
            </w:r>
          </w:p>
          <w:p w14:paraId="09E8153E" w14:textId="7FB086C5" w:rsidR="0032759B" w:rsidRPr="00B41FC1" w:rsidRDefault="00144C36"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 xml:space="preserve">Finally, under the Citizens, Equality, Rights and Values (CERV) Programme, the Commission </w:t>
            </w:r>
            <w:r w:rsidR="006A1FAB" w:rsidRPr="00B41FC1">
              <w:rPr>
                <w:rFonts w:ascii="Times New Roman" w:hAnsi="Times New Roman"/>
                <w:sz w:val="24"/>
                <w:szCs w:val="24"/>
              </w:rPr>
              <w:t>will continue to provide</w:t>
            </w:r>
            <w:r w:rsidRPr="00B41FC1">
              <w:rPr>
                <w:rFonts w:ascii="Times New Roman" w:hAnsi="Times New Roman"/>
                <w:sz w:val="24"/>
                <w:szCs w:val="24"/>
              </w:rPr>
              <w:t xml:space="preserve"> financial support for projects aimed </w:t>
            </w:r>
            <w:r w:rsidR="008B5982" w:rsidRPr="00B41FC1">
              <w:rPr>
                <w:rFonts w:ascii="Times New Roman" w:hAnsi="Times New Roman"/>
                <w:sz w:val="24"/>
                <w:szCs w:val="24"/>
              </w:rPr>
              <w:t xml:space="preserve">at </w:t>
            </w:r>
            <w:r w:rsidR="00CB51CC" w:rsidRPr="00B41FC1">
              <w:rPr>
                <w:rFonts w:ascii="Times New Roman" w:hAnsi="Times New Roman"/>
                <w:sz w:val="24"/>
                <w:szCs w:val="24"/>
              </w:rPr>
              <w:t>promoting a thriving civic space, including the protection of civic actors, and projects aimed a</w:t>
            </w:r>
            <w:r w:rsidRPr="00B41FC1">
              <w:rPr>
                <w:rFonts w:ascii="Times New Roman" w:hAnsi="Times New Roman"/>
                <w:sz w:val="24"/>
                <w:szCs w:val="24"/>
              </w:rPr>
              <w:t>t strengthening the expertise and capacity of civil society organisations, practitioners, legal professionals and independent human rights bodies to engage in strategic litigation</w:t>
            </w:r>
            <w:r w:rsidR="00CB51CC" w:rsidRPr="00B41FC1">
              <w:rPr>
                <w:rFonts w:ascii="Times New Roman" w:hAnsi="Times New Roman"/>
                <w:sz w:val="24"/>
                <w:szCs w:val="24"/>
              </w:rPr>
              <w:t xml:space="preserve"> </w:t>
            </w:r>
            <w:r w:rsidR="00F25AB0" w:rsidRPr="00B41FC1">
              <w:rPr>
                <w:rFonts w:ascii="Times New Roman" w:hAnsi="Times New Roman"/>
                <w:sz w:val="24"/>
                <w:szCs w:val="24"/>
              </w:rPr>
              <w:t>around fundamental rights</w:t>
            </w:r>
            <w:r w:rsidRPr="00B41FC1">
              <w:rPr>
                <w:rFonts w:ascii="Times New Roman" w:hAnsi="Times New Roman"/>
                <w:sz w:val="24"/>
                <w:szCs w:val="24"/>
              </w:rPr>
              <w:t xml:space="preserve"> at both national and European level.</w:t>
            </w:r>
          </w:p>
          <w:p w14:paraId="5C4B1695" w14:textId="0A72A39C" w:rsidR="006E78F6" w:rsidRPr="00B41FC1" w:rsidRDefault="2FBEDA34" w:rsidP="006A2AEE">
            <w:pPr>
              <w:widowControl w:val="0"/>
              <w:spacing w:before="120" w:after="120"/>
              <w:jc w:val="both"/>
              <w:rPr>
                <w:rFonts w:ascii="Times New Roman" w:hAnsi="Times New Roman"/>
                <w:sz w:val="24"/>
                <w:szCs w:val="24"/>
              </w:rPr>
            </w:pPr>
            <w:r w:rsidRPr="00B41FC1">
              <w:rPr>
                <w:rFonts w:ascii="Times New Roman" w:hAnsi="Times New Roman"/>
                <w:i/>
                <w:iCs/>
                <w:sz w:val="24"/>
                <w:szCs w:val="24"/>
              </w:rPr>
              <w:t xml:space="preserve">Regarding </w:t>
            </w:r>
            <w:r w:rsidRPr="00B41FC1">
              <w:rPr>
                <w:rFonts w:ascii="Times New Roman" w:hAnsi="Times New Roman"/>
                <w:i/>
                <w:iCs/>
                <w:sz w:val="24"/>
                <w:szCs w:val="24"/>
                <w:u w:val="single"/>
              </w:rPr>
              <w:t>point 1.</w:t>
            </w:r>
            <w:r w:rsidR="634DF308" w:rsidRPr="00B41FC1">
              <w:rPr>
                <w:rFonts w:ascii="Times New Roman" w:hAnsi="Times New Roman"/>
                <w:i/>
                <w:iCs/>
                <w:sz w:val="24"/>
                <w:szCs w:val="24"/>
                <w:u w:val="single"/>
              </w:rPr>
              <w:t>5</w:t>
            </w:r>
            <w:r w:rsidRPr="00B41FC1">
              <w:rPr>
                <w:rFonts w:ascii="Times New Roman" w:hAnsi="Times New Roman"/>
                <w:sz w:val="24"/>
                <w:szCs w:val="24"/>
              </w:rPr>
              <w:t xml:space="preserve">, </w:t>
            </w:r>
            <w:r w:rsidR="152C7D7D" w:rsidRPr="00B41FC1">
              <w:rPr>
                <w:rFonts w:ascii="Times New Roman" w:hAnsi="Times New Roman"/>
                <w:sz w:val="24"/>
                <w:szCs w:val="24"/>
              </w:rPr>
              <w:t>the Commission emphasises the importance of funding inclusion measures, strengthening national equality bodies, and improving the collection and use of equality data. The Commission will continue to promote equality and non-discrimination under the next Multiannual Financial Framework (MFF), notably through the AgoraEU programme</w:t>
            </w:r>
            <w:r w:rsidR="00BC1B8A" w:rsidRPr="00B41FC1">
              <w:rPr>
                <w:rStyle w:val="FootnoteReference"/>
                <w:rFonts w:ascii="Times New Roman" w:hAnsi="Times New Roman"/>
                <w:sz w:val="24"/>
                <w:szCs w:val="24"/>
              </w:rPr>
              <w:footnoteReference w:id="7"/>
            </w:r>
            <w:r w:rsidR="152C7D7D" w:rsidRPr="00B41FC1">
              <w:rPr>
                <w:rFonts w:ascii="Times New Roman" w:hAnsi="Times New Roman"/>
                <w:sz w:val="24"/>
                <w:szCs w:val="24"/>
              </w:rPr>
              <w:t xml:space="preserve">. Within AgoraEU, the Commission has proposed allocating </w:t>
            </w:r>
            <w:r w:rsidR="3317BE7D" w:rsidRPr="00B41FC1">
              <w:rPr>
                <w:rFonts w:ascii="Times New Roman" w:hAnsi="Times New Roman"/>
                <w:sz w:val="24"/>
                <w:szCs w:val="24"/>
              </w:rPr>
              <w:t xml:space="preserve">an indicative amount of </w:t>
            </w:r>
            <w:r w:rsidR="152C7D7D" w:rsidRPr="00B41FC1">
              <w:rPr>
                <w:rFonts w:ascii="Times New Roman" w:hAnsi="Times New Roman"/>
                <w:sz w:val="24"/>
                <w:szCs w:val="24"/>
              </w:rPr>
              <w:t>EUR 3.6 billion to the new Citizens, Equality, Rights and Values+ strand, more than doubling the budget of the current Citizens, Equality, Rights and Values programme.</w:t>
            </w:r>
          </w:p>
          <w:p w14:paraId="2E87F9B1" w14:textId="5C7112EC" w:rsidR="006E78F6" w:rsidRPr="00B41FC1" w:rsidRDefault="152C7D7D" w:rsidP="002D4F92">
            <w:pPr>
              <w:jc w:val="both"/>
              <w:rPr>
                <w:rFonts w:ascii="Times New Roman" w:hAnsi="Times New Roman"/>
                <w:sz w:val="24"/>
                <w:szCs w:val="24"/>
              </w:rPr>
            </w:pPr>
            <w:r w:rsidRPr="00B41FC1">
              <w:rPr>
                <w:rFonts w:ascii="Times New Roman" w:hAnsi="Times New Roman"/>
                <w:sz w:val="24"/>
                <w:szCs w:val="24"/>
              </w:rPr>
              <w:t xml:space="preserve">To enable equality bodies to contribute effectively to the enforcement of the EU equality Directives, the Commission will ensure the correct and full transposition of </w:t>
            </w:r>
            <w:r w:rsidR="002D4F92">
              <w:rPr>
                <w:rFonts w:ascii="Times New Roman" w:hAnsi="Times New Roman"/>
                <w:sz w:val="24"/>
                <w:szCs w:val="24"/>
              </w:rPr>
              <w:t xml:space="preserve">the </w:t>
            </w:r>
            <w:r w:rsidR="1E4266A9" w:rsidRPr="00B41FC1">
              <w:rPr>
                <w:rFonts w:ascii="Times New Roman" w:hAnsi="Times New Roman"/>
                <w:sz w:val="24"/>
                <w:szCs w:val="24"/>
                <w:lang w:val="en-US"/>
              </w:rPr>
              <w:t>Directives</w:t>
            </w:r>
            <w:r w:rsidR="00EC1F74" w:rsidRPr="006E4945">
              <w:rPr>
                <w:rFonts w:ascii="Times New Roman" w:hAnsi="Times New Roman"/>
                <w:sz w:val="24"/>
                <w:szCs w:val="24"/>
                <w:vertAlign w:val="superscript"/>
                <w:lang w:val="en-US"/>
              </w:rPr>
              <w:footnoteReference w:id="8"/>
            </w:r>
            <w:r w:rsidR="1E4266A9" w:rsidRPr="00B41FC1">
              <w:rPr>
                <w:rFonts w:ascii="Times New Roman" w:hAnsi="Times New Roman"/>
                <w:sz w:val="24"/>
                <w:szCs w:val="24"/>
                <w:vertAlign w:val="superscript"/>
                <w:lang w:val="en-US"/>
              </w:rPr>
              <w:t xml:space="preserve"> </w:t>
            </w:r>
            <w:r w:rsidR="002D4F92">
              <w:rPr>
                <w:rFonts w:ascii="Times New Roman" w:hAnsi="Times New Roman"/>
                <w:sz w:val="24"/>
                <w:szCs w:val="24"/>
                <w:lang w:val="en-US"/>
              </w:rPr>
              <w:t>on standards for equality bodies</w:t>
            </w:r>
            <w:r w:rsidRPr="00B41FC1">
              <w:rPr>
                <w:rFonts w:ascii="Times New Roman" w:hAnsi="Times New Roman"/>
                <w:sz w:val="24"/>
                <w:szCs w:val="24"/>
              </w:rPr>
              <w:t xml:space="preserve">. </w:t>
            </w:r>
            <w:r w:rsidR="00A7260F" w:rsidRPr="00B41FC1">
              <w:rPr>
                <w:rFonts w:ascii="Times New Roman" w:hAnsi="Times New Roman"/>
                <w:sz w:val="24"/>
                <w:szCs w:val="24"/>
              </w:rPr>
              <w:t>In</w:t>
            </w:r>
            <w:r w:rsidR="003535E8" w:rsidRPr="00B41FC1">
              <w:rPr>
                <w:rFonts w:ascii="Times New Roman" w:hAnsi="Times New Roman"/>
                <w:sz w:val="24"/>
                <w:szCs w:val="24"/>
              </w:rPr>
              <w:t xml:space="preserve"> June</w:t>
            </w:r>
            <w:r w:rsidR="00A7260F" w:rsidRPr="00B41FC1">
              <w:rPr>
                <w:rFonts w:ascii="Times New Roman" w:hAnsi="Times New Roman"/>
                <w:sz w:val="24"/>
                <w:szCs w:val="24"/>
              </w:rPr>
              <w:t xml:space="preserve"> 2026, </w:t>
            </w:r>
            <w:r w:rsidR="003535E8" w:rsidRPr="00B41FC1">
              <w:rPr>
                <w:rFonts w:ascii="Times New Roman" w:hAnsi="Times New Roman"/>
                <w:sz w:val="24"/>
                <w:szCs w:val="24"/>
              </w:rPr>
              <w:t xml:space="preserve">Commission adopted </w:t>
            </w:r>
            <w:r w:rsidR="00A7260F" w:rsidRPr="00B41FC1">
              <w:rPr>
                <w:rFonts w:ascii="Times New Roman" w:hAnsi="Times New Roman"/>
                <w:sz w:val="24"/>
                <w:szCs w:val="24"/>
              </w:rPr>
              <w:t>an implementing act establishing a list of common indicators to assess the functioning of equality bodies, including their role in combating discrimination</w:t>
            </w:r>
            <w:r w:rsidR="003535E8" w:rsidRPr="00B41FC1">
              <w:rPr>
                <w:rFonts w:ascii="Times New Roman" w:hAnsi="Times New Roman"/>
                <w:sz w:val="24"/>
                <w:szCs w:val="24"/>
              </w:rPr>
              <w:t>, in line with Article 18 of Directive 2024/1499</w:t>
            </w:r>
            <w:r w:rsidR="00A7260F" w:rsidRPr="00B41FC1">
              <w:rPr>
                <w:rFonts w:ascii="Times New Roman" w:hAnsi="Times New Roman"/>
                <w:sz w:val="24"/>
                <w:szCs w:val="24"/>
              </w:rPr>
              <w:t>.</w:t>
            </w:r>
          </w:p>
          <w:p w14:paraId="3096F3F8" w14:textId="012CCB82" w:rsidR="007B2F88" w:rsidRPr="00B41FC1" w:rsidRDefault="006A1FAB" w:rsidP="006A2AEE">
            <w:pPr>
              <w:widowControl w:val="0"/>
              <w:spacing w:before="120" w:after="120"/>
              <w:jc w:val="both"/>
              <w:rPr>
                <w:rFonts w:ascii="Times New Roman" w:hAnsi="Times New Roman"/>
                <w:noProof/>
                <w:sz w:val="24"/>
                <w:szCs w:val="24"/>
              </w:rPr>
            </w:pPr>
            <w:r w:rsidRPr="00B41FC1">
              <w:rPr>
                <w:rFonts w:ascii="Times New Roman" w:hAnsi="Times New Roman"/>
                <w:sz w:val="24"/>
                <w:szCs w:val="24"/>
              </w:rPr>
              <w:t xml:space="preserve">Reliable and comparable equality data are essential for the design and monitoring of evidence-based policies grounded in an intersectional approach. To strengthen the collection and use of such data, the Commission will reinforce the mandate of the Equality </w:t>
            </w:r>
            <w:r w:rsidR="004B410E" w:rsidRPr="00B41FC1">
              <w:rPr>
                <w:rFonts w:ascii="Times New Roman" w:hAnsi="Times New Roman"/>
                <w:sz w:val="24"/>
                <w:szCs w:val="24"/>
              </w:rPr>
              <w:t>d</w:t>
            </w:r>
            <w:r w:rsidRPr="00B41FC1">
              <w:rPr>
                <w:rFonts w:ascii="Times New Roman" w:hAnsi="Times New Roman"/>
                <w:sz w:val="24"/>
                <w:szCs w:val="24"/>
              </w:rPr>
              <w:t xml:space="preserve">ata </w:t>
            </w:r>
            <w:r w:rsidR="004B410E" w:rsidRPr="00B41FC1">
              <w:rPr>
                <w:rFonts w:ascii="Times New Roman" w:hAnsi="Times New Roman"/>
                <w:sz w:val="24"/>
                <w:szCs w:val="24"/>
              </w:rPr>
              <w:t>e</w:t>
            </w:r>
            <w:r w:rsidRPr="00B41FC1">
              <w:rPr>
                <w:rFonts w:ascii="Times New Roman" w:hAnsi="Times New Roman"/>
                <w:sz w:val="24"/>
                <w:szCs w:val="24"/>
              </w:rPr>
              <w:t xml:space="preserve">xpert </w:t>
            </w:r>
            <w:r w:rsidR="004B410E" w:rsidRPr="00B41FC1">
              <w:rPr>
                <w:rFonts w:ascii="Times New Roman" w:hAnsi="Times New Roman"/>
                <w:sz w:val="24"/>
                <w:szCs w:val="24"/>
              </w:rPr>
              <w:t>g</w:t>
            </w:r>
            <w:r w:rsidRPr="00B41FC1">
              <w:rPr>
                <w:rFonts w:ascii="Times New Roman" w:hAnsi="Times New Roman"/>
                <w:sz w:val="24"/>
                <w:szCs w:val="24"/>
              </w:rPr>
              <w:t xml:space="preserve">roup under the High-Level Group on Non-Discrimination, Equality and Diversity. </w:t>
            </w:r>
            <w:r w:rsidR="004B410E" w:rsidRPr="00B41FC1">
              <w:rPr>
                <w:rFonts w:ascii="Times New Roman" w:hAnsi="Times New Roman"/>
                <w:sz w:val="24"/>
                <w:szCs w:val="24"/>
              </w:rPr>
              <w:t>T</w:t>
            </w:r>
            <w:r w:rsidRPr="00B41FC1">
              <w:rPr>
                <w:rFonts w:ascii="Times New Roman" w:hAnsi="Times New Roman"/>
                <w:sz w:val="24"/>
                <w:szCs w:val="24"/>
              </w:rPr>
              <w:t>he Commission will also prepare a Recommendation aimed at improving the collection, analysis, and use of equality data. This initiative will enhance support for Member States and other stakeholders by providing tools to monitor the state of equality in the EU and to strengthen the mainstreaming of equality data across policy areas.</w:t>
            </w:r>
          </w:p>
          <w:p w14:paraId="5DAF905F" w14:textId="37D7CFE1" w:rsidR="006E78F6" w:rsidRPr="00B41FC1" w:rsidRDefault="47304E8E" w:rsidP="006A2AEE">
            <w:pPr>
              <w:widowControl w:val="0"/>
              <w:spacing w:before="120" w:after="120"/>
              <w:jc w:val="both"/>
              <w:rPr>
                <w:rFonts w:ascii="Times New Roman" w:eastAsia="Times New Roman" w:hAnsi="Times New Roman"/>
                <w:sz w:val="24"/>
                <w:szCs w:val="24"/>
              </w:rPr>
            </w:pPr>
            <w:r w:rsidRPr="00B41FC1">
              <w:rPr>
                <w:rFonts w:ascii="Times New Roman" w:hAnsi="Times New Roman"/>
                <w:i/>
                <w:iCs/>
                <w:sz w:val="24"/>
                <w:szCs w:val="24"/>
              </w:rPr>
              <w:t xml:space="preserve">Regarding </w:t>
            </w:r>
            <w:r w:rsidRPr="00B41FC1">
              <w:rPr>
                <w:rFonts w:ascii="Times New Roman" w:hAnsi="Times New Roman"/>
                <w:i/>
                <w:iCs/>
                <w:sz w:val="24"/>
                <w:szCs w:val="24"/>
                <w:u w:val="single"/>
              </w:rPr>
              <w:t>point 1.</w:t>
            </w:r>
            <w:r w:rsidR="018BEDFC" w:rsidRPr="00B41FC1">
              <w:rPr>
                <w:rFonts w:ascii="Times New Roman" w:hAnsi="Times New Roman"/>
                <w:i/>
                <w:iCs/>
                <w:sz w:val="24"/>
                <w:szCs w:val="24"/>
                <w:u w:val="single"/>
              </w:rPr>
              <w:t>6</w:t>
            </w:r>
            <w:r w:rsidRPr="00B41FC1">
              <w:rPr>
                <w:rFonts w:ascii="Times New Roman" w:hAnsi="Times New Roman"/>
                <w:sz w:val="24"/>
                <w:szCs w:val="24"/>
              </w:rPr>
              <w:t xml:space="preserve">, </w:t>
            </w:r>
            <w:r w:rsidR="4F829314" w:rsidRPr="00B41FC1">
              <w:rPr>
                <w:rFonts w:ascii="Times New Roman" w:hAnsi="Times New Roman"/>
                <w:sz w:val="24"/>
                <w:szCs w:val="24"/>
              </w:rPr>
              <w:t>the Commission remains firmly committed to advancing LGBTIQ+ equality in the areas of health and education. In the field of health, the Commission provides practical tools to Member States, including training for healthcare professionals developed under the EU-funded HEALTH4LGBTI</w:t>
            </w:r>
            <w:r w:rsidR="00A20C60" w:rsidRPr="00B41FC1">
              <w:rPr>
                <w:rStyle w:val="FootnoteReference"/>
                <w:rFonts w:ascii="Times New Roman" w:hAnsi="Times New Roman"/>
                <w:sz w:val="24"/>
                <w:szCs w:val="24"/>
              </w:rPr>
              <w:footnoteReference w:id="9"/>
            </w:r>
            <w:r w:rsidR="4F829314" w:rsidRPr="00B41FC1">
              <w:rPr>
                <w:rFonts w:ascii="Times New Roman" w:hAnsi="Times New Roman"/>
                <w:sz w:val="24"/>
                <w:szCs w:val="24"/>
              </w:rPr>
              <w:t xml:space="preserve"> project. It also promotes the exchange of good practices through the EU Health Policy Platform</w:t>
            </w:r>
            <w:r w:rsidR="00A20C60" w:rsidRPr="00B41FC1">
              <w:rPr>
                <w:rStyle w:val="FootnoteReference"/>
                <w:rFonts w:ascii="Times New Roman" w:hAnsi="Times New Roman"/>
                <w:sz w:val="24"/>
                <w:szCs w:val="24"/>
              </w:rPr>
              <w:footnoteReference w:id="10"/>
            </w:r>
            <w:r w:rsidR="4F829314" w:rsidRPr="00B41FC1">
              <w:rPr>
                <w:rFonts w:ascii="Times New Roman" w:hAnsi="Times New Roman"/>
                <w:sz w:val="24"/>
                <w:szCs w:val="24"/>
              </w:rPr>
              <w:t xml:space="preserve"> and the Public Health Best Practice Portal</w:t>
            </w:r>
            <w:r w:rsidR="00A20C60" w:rsidRPr="00B41FC1">
              <w:rPr>
                <w:rStyle w:val="FootnoteReference"/>
                <w:rFonts w:ascii="Times New Roman" w:hAnsi="Times New Roman"/>
                <w:sz w:val="24"/>
                <w:szCs w:val="24"/>
              </w:rPr>
              <w:footnoteReference w:id="11"/>
            </w:r>
            <w:r w:rsidR="4F829314" w:rsidRPr="00B41FC1">
              <w:rPr>
                <w:rFonts w:ascii="Times New Roman" w:hAnsi="Times New Roman"/>
                <w:sz w:val="24"/>
                <w:szCs w:val="24"/>
              </w:rPr>
              <w:t>. In addition, the Commission’s comprehensive approach to mental health</w:t>
            </w:r>
            <w:r w:rsidR="007C47D2" w:rsidRPr="00B41FC1">
              <w:rPr>
                <w:rStyle w:val="FootnoteReference"/>
                <w:rFonts w:ascii="Times New Roman" w:hAnsi="Times New Roman"/>
                <w:sz w:val="24"/>
                <w:szCs w:val="24"/>
              </w:rPr>
              <w:footnoteReference w:id="12"/>
            </w:r>
            <w:r w:rsidR="0068375B">
              <w:rPr>
                <w:rFonts w:ascii="Times New Roman" w:hAnsi="Times New Roman"/>
                <w:sz w:val="24"/>
                <w:szCs w:val="24"/>
              </w:rPr>
              <w:t xml:space="preserve"> </w:t>
            </w:r>
            <w:r w:rsidR="19737F82" w:rsidRPr="00B41FC1">
              <w:rPr>
                <w:rFonts w:ascii="Times New Roman" w:eastAsia="Times New Roman" w:hAnsi="Times New Roman"/>
                <w:sz w:val="24"/>
                <w:szCs w:val="24"/>
              </w:rPr>
              <w:t xml:space="preserve">supports Member States and stakeholders in developing and </w:t>
            </w:r>
            <w:r w:rsidR="19737F82" w:rsidRPr="00B41FC1">
              <w:rPr>
                <w:rFonts w:ascii="Times New Roman" w:eastAsia="Times New Roman" w:hAnsi="Times New Roman"/>
                <w:sz w:val="24"/>
                <w:szCs w:val="24"/>
              </w:rPr>
              <w:lastRenderedPageBreak/>
              <w:t>implementing actions that have a focus on vulnerable population groups, such as LGBTIQ+. The EU package on stigma surrounding mental health was presented at World Mental Health Day 2024, and made available on the Commission website.</w:t>
            </w:r>
            <w:r w:rsidR="00183159" w:rsidRPr="006E4945">
              <w:rPr>
                <w:rFonts w:ascii="Times New Roman" w:eastAsia="Times New Roman" w:hAnsi="Times New Roman"/>
                <w:sz w:val="24"/>
                <w:szCs w:val="24"/>
                <w:vertAlign w:val="superscript"/>
              </w:rPr>
              <w:footnoteReference w:id="13"/>
            </w:r>
          </w:p>
          <w:p w14:paraId="022FE3EA" w14:textId="3C0156E7" w:rsidR="006E78F6" w:rsidRPr="00B41FC1" w:rsidRDefault="4F829314"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As regards trans and intersex persons, while healthcare policies remain primarily a national competence, the Commission will continue to facilitate the exchange of best practices among Member States on strengthening legal protections and establishing legal gender recognition procedures based on the principle of self-determination.</w:t>
            </w:r>
          </w:p>
          <w:p w14:paraId="25DC497F" w14:textId="1DE29390" w:rsidR="006E78F6" w:rsidRPr="00B41FC1" w:rsidRDefault="4F829314"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To support Member States addressing conversion practices, the Commission will publish a study examining the nature, prevalence and impact of such practices on LGBTIQ+ persons. In developing its approach, the Commission will take into account the recent European Citizens’ Initiative “Ban on conversion practices in the European Union”. The Commission responded to this initiative through a</w:t>
            </w:r>
            <w:r w:rsidR="00024DD9">
              <w:rPr>
                <w:rFonts w:ascii="Times New Roman" w:hAnsi="Times New Roman"/>
                <w:sz w:val="24"/>
                <w:szCs w:val="24"/>
              </w:rPr>
              <w:t> </w:t>
            </w:r>
            <w:r w:rsidRPr="00B41FC1">
              <w:rPr>
                <w:rFonts w:ascii="Times New Roman" w:hAnsi="Times New Roman"/>
                <w:sz w:val="24"/>
                <w:szCs w:val="24"/>
              </w:rPr>
              <w:t>Communication</w:t>
            </w:r>
            <w:r w:rsidR="003D4FFC" w:rsidRPr="00B41FC1">
              <w:rPr>
                <w:rStyle w:val="FootnoteReference"/>
                <w:rFonts w:ascii="Times New Roman" w:hAnsi="Times New Roman"/>
                <w:sz w:val="24"/>
                <w:szCs w:val="24"/>
              </w:rPr>
              <w:footnoteReference w:id="14"/>
            </w:r>
            <w:r w:rsidRPr="00B41FC1">
              <w:rPr>
                <w:rFonts w:ascii="Times New Roman" w:hAnsi="Times New Roman"/>
                <w:sz w:val="24"/>
                <w:szCs w:val="24"/>
              </w:rPr>
              <w:t xml:space="preserve"> on 13 May</w:t>
            </w:r>
            <w:r w:rsidR="004E397B">
              <w:rPr>
                <w:rFonts w:ascii="Times New Roman" w:hAnsi="Times New Roman"/>
                <w:sz w:val="24"/>
                <w:szCs w:val="24"/>
              </w:rPr>
              <w:t xml:space="preserve"> 2026</w:t>
            </w:r>
            <w:r w:rsidRPr="00B41FC1">
              <w:rPr>
                <w:rFonts w:ascii="Times New Roman" w:hAnsi="Times New Roman"/>
                <w:sz w:val="24"/>
                <w:szCs w:val="24"/>
              </w:rPr>
              <w:t>, announcing a Commission Recommendation on banning conversion practices.</w:t>
            </w:r>
          </w:p>
          <w:p w14:paraId="025A3547" w14:textId="326A4902" w:rsidR="00BC6AA0" w:rsidRPr="00B41FC1" w:rsidRDefault="00BC6AA0"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In the field of education, the Commission supports mutual learning and the exchange of best practices among Member States through the European Education Area (EEA) Working Groups, with the aim of ensuring safe and inclusive education for all learners. Following the conclusion of the mandates of the EEA Working Groups in December 2025, the Commission is currently preparing the</w:t>
            </w:r>
            <w:r w:rsidR="004E397B">
              <w:rPr>
                <w:rFonts w:ascii="Times New Roman" w:hAnsi="Times New Roman"/>
                <w:sz w:val="24"/>
                <w:szCs w:val="24"/>
              </w:rPr>
              <w:t xml:space="preserve"> </w:t>
            </w:r>
            <w:r w:rsidRPr="00B41FC1">
              <w:rPr>
                <w:rFonts w:ascii="Times New Roman" w:hAnsi="Times New Roman"/>
                <w:sz w:val="24"/>
                <w:szCs w:val="24"/>
              </w:rPr>
              <w:t>Working Group</w:t>
            </w:r>
            <w:r w:rsidR="00B50242" w:rsidRPr="00B41FC1">
              <w:rPr>
                <w:rFonts w:ascii="Times New Roman" w:hAnsi="Times New Roman"/>
                <w:sz w:val="24"/>
                <w:szCs w:val="24"/>
              </w:rPr>
              <w:t xml:space="preserve"> structure</w:t>
            </w:r>
            <w:r w:rsidRPr="00B41FC1">
              <w:rPr>
                <w:rFonts w:ascii="Times New Roman" w:hAnsi="Times New Roman"/>
                <w:sz w:val="24"/>
                <w:szCs w:val="24"/>
              </w:rPr>
              <w:t xml:space="preserve"> for the second EEA cycle (2026–2030) and will continue to facilitate exchanges on best practices related to safe and inclusive education.</w:t>
            </w:r>
          </w:p>
          <w:p w14:paraId="59BA9AD1" w14:textId="1B11D26C" w:rsidR="00BC6AA0" w:rsidRPr="00B41FC1" w:rsidRDefault="00CC51F6" w:rsidP="006A2AEE">
            <w:pPr>
              <w:widowControl w:val="0"/>
              <w:spacing w:before="120" w:after="120"/>
              <w:jc w:val="both"/>
              <w:rPr>
                <w:rFonts w:ascii="Times New Roman" w:hAnsi="Times New Roman"/>
                <w:vanish/>
                <w:sz w:val="24"/>
                <w:szCs w:val="24"/>
              </w:rPr>
            </w:pPr>
            <w:r w:rsidRPr="00B41FC1">
              <w:rPr>
                <w:rFonts w:ascii="Times New Roman" w:hAnsi="Times New Roman"/>
                <w:i/>
                <w:sz w:val="24"/>
                <w:szCs w:val="24"/>
              </w:rPr>
              <w:t xml:space="preserve">Regarding </w:t>
            </w:r>
            <w:r w:rsidRPr="00B41FC1">
              <w:rPr>
                <w:rFonts w:ascii="Times New Roman" w:hAnsi="Times New Roman"/>
                <w:i/>
                <w:sz w:val="24"/>
                <w:szCs w:val="24"/>
                <w:u w:val="single"/>
              </w:rPr>
              <w:t>point 1.7</w:t>
            </w:r>
            <w:r w:rsidRPr="00B41FC1">
              <w:rPr>
                <w:rFonts w:ascii="Times New Roman" w:hAnsi="Times New Roman"/>
                <w:sz w:val="24"/>
                <w:szCs w:val="24"/>
              </w:rPr>
              <w:t xml:space="preserve">, </w:t>
            </w:r>
            <w:r w:rsidR="00AC14B1" w:rsidRPr="00B41FC1">
              <w:rPr>
                <w:rFonts w:ascii="Times New Roman" w:hAnsi="Times New Roman"/>
                <w:sz w:val="24"/>
                <w:szCs w:val="24"/>
              </w:rPr>
              <w:t>the LGBTIQ+ equality strategy acknowledges that LGBTIQ+ people are at heightened risk of homelessness, poverty and social exclusion.</w:t>
            </w:r>
            <w:r w:rsidR="00AE4699">
              <w:rPr>
                <w:rFonts w:ascii="Times New Roman" w:hAnsi="Times New Roman"/>
                <w:sz w:val="24"/>
                <w:szCs w:val="24"/>
              </w:rPr>
              <w:t xml:space="preserve"> </w:t>
            </w:r>
          </w:p>
          <w:p w14:paraId="7FC0BD3E" w14:textId="647027AB" w:rsidR="006E78F6" w:rsidRPr="00B41FC1" w:rsidRDefault="47304E8E" w:rsidP="006A2AEE">
            <w:pPr>
              <w:widowControl w:val="0"/>
              <w:spacing w:before="120" w:after="120"/>
              <w:jc w:val="both"/>
              <w:rPr>
                <w:rFonts w:ascii="Times New Roman" w:hAnsi="Times New Roman"/>
                <w:noProof/>
                <w:sz w:val="24"/>
                <w:szCs w:val="24"/>
              </w:rPr>
            </w:pPr>
            <w:r w:rsidRPr="00B41FC1">
              <w:rPr>
                <w:rStyle w:val="normaltextrun"/>
                <w:rFonts w:ascii="Times New Roman" w:hAnsi="Times New Roman"/>
                <w:noProof/>
                <w:sz w:val="24"/>
                <w:szCs w:val="24"/>
              </w:rPr>
              <w:t xml:space="preserve">To better understand these challenges, the Commission will publish, </w:t>
            </w:r>
            <w:r w:rsidR="2390CAD2" w:rsidRPr="00B41FC1">
              <w:rPr>
                <w:rStyle w:val="normaltextrun"/>
                <w:rFonts w:ascii="Times New Roman" w:hAnsi="Times New Roman"/>
                <w:noProof/>
                <w:sz w:val="24"/>
                <w:szCs w:val="24"/>
              </w:rPr>
              <w:t xml:space="preserve">in </w:t>
            </w:r>
            <w:r w:rsidRPr="00B41FC1">
              <w:rPr>
                <w:rStyle w:val="normaltextrun"/>
                <w:rFonts w:ascii="Times New Roman" w:hAnsi="Times New Roman"/>
                <w:noProof/>
                <w:sz w:val="24"/>
                <w:szCs w:val="24"/>
              </w:rPr>
              <w:t>2027, a study on housing inequality and discrimination with an intersectional approach. Its findings</w:t>
            </w:r>
            <w:r w:rsidRPr="00B41FC1" w:rsidDel="002846CF">
              <w:rPr>
                <w:rStyle w:val="normaltextrun"/>
                <w:rFonts w:ascii="Times New Roman" w:hAnsi="Times New Roman"/>
                <w:noProof/>
                <w:sz w:val="24"/>
                <w:szCs w:val="24"/>
              </w:rPr>
              <w:t xml:space="preserve"> </w:t>
            </w:r>
            <w:r w:rsidRPr="00B41FC1">
              <w:rPr>
                <w:rStyle w:val="normaltextrun"/>
                <w:rFonts w:ascii="Times New Roman" w:hAnsi="Times New Roman"/>
                <w:noProof/>
                <w:sz w:val="24"/>
                <w:szCs w:val="24"/>
              </w:rPr>
              <w:t>will contribute to the implementation of the European affordable housing plan</w:t>
            </w:r>
            <w:r w:rsidR="00841CA6" w:rsidRPr="00B41FC1">
              <w:rPr>
                <w:rStyle w:val="FootnoteReference"/>
                <w:rFonts w:ascii="Times New Roman" w:hAnsi="Times New Roman"/>
                <w:noProof/>
                <w:sz w:val="24"/>
                <w:szCs w:val="24"/>
              </w:rPr>
              <w:footnoteReference w:id="15"/>
            </w:r>
            <w:r w:rsidRPr="00B41FC1">
              <w:rPr>
                <w:rStyle w:val="normaltextrun"/>
                <w:rFonts w:ascii="Times New Roman" w:hAnsi="Times New Roman"/>
                <w:noProof/>
                <w:sz w:val="24"/>
                <w:szCs w:val="24"/>
              </w:rPr>
              <w:t xml:space="preserve"> and allow </w:t>
            </w:r>
            <w:r w:rsidRPr="00B41FC1" w:rsidDel="002846CF">
              <w:rPr>
                <w:rStyle w:val="normaltextrun"/>
                <w:rFonts w:ascii="Times New Roman" w:hAnsi="Times New Roman"/>
                <w:noProof/>
                <w:sz w:val="24"/>
                <w:szCs w:val="24"/>
              </w:rPr>
              <w:t xml:space="preserve">the Commission </w:t>
            </w:r>
            <w:r w:rsidRPr="00B41FC1">
              <w:rPr>
                <w:rStyle w:val="normaltextrun"/>
                <w:rFonts w:ascii="Times New Roman" w:hAnsi="Times New Roman"/>
                <w:noProof/>
                <w:sz w:val="24"/>
                <w:szCs w:val="24"/>
              </w:rPr>
              <w:t xml:space="preserve">to </w:t>
            </w:r>
            <w:r w:rsidRPr="00B41FC1" w:rsidDel="002846CF">
              <w:rPr>
                <w:rStyle w:val="normaltextrun"/>
                <w:rFonts w:ascii="Times New Roman" w:hAnsi="Times New Roman"/>
                <w:noProof/>
                <w:sz w:val="24"/>
                <w:szCs w:val="24"/>
              </w:rPr>
              <w:t>take action to promote safe, accessible and non-</w:t>
            </w:r>
            <w:r w:rsidRPr="00B41FC1" w:rsidDel="002846CF">
              <w:rPr>
                <w:rFonts w:ascii="Times New Roman" w:hAnsi="Times New Roman"/>
                <w:noProof/>
                <w:sz w:val="24"/>
                <w:szCs w:val="24"/>
              </w:rPr>
              <w:t>discriminatory housing, including in cooperation with Member States.</w:t>
            </w:r>
          </w:p>
          <w:p w14:paraId="52979D46" w14:textId="7F826AAC" w:rsidR="007B2F88" w:rsidRPr="00B41FC1" w:rsidRDefault="775C4B73" w:rsidP="006A2AEE">
            <w:pPr>
              <w:widowControl w:val="0"/>
              <w:spacing w:before="120" w:after="120"/>
              <w:jc w:val="both"/>
              <w:rPr>
                <w:rFonts w:ascii="Times New Roman" w:hAnsi="Times New Roman"/>
                <w:noProof/>
                <w:sz w:val="24"/>
                <w:szCs w:val="24"/>
              </w:rPr>
            </w:pPr>
            <w:r w:rsidRPr="00B41FC1">
              <w:rPr>
                <w:rFonts w:ascii="Times New Roman" w:hAnsi="Times New Roman"/>
                <w:noProof/>
                <w:sz w:val="24"/>
                <w:szCs w:val="24"/>
              </w:rPr>
              <w:t>To ensure access to essential protection and services and tackle the root causes of poverty, the Commission launch</w:t>
            </w:r>
            <w:r w:rsidR="0CADBA45" w:rsidRPr="00B41FC1">
              <w:rPr>
                <w:rFonts w:ascii="Times New Roman" w:hAnsi="Times New Roman"/>
                <w:noProof/>
                <w:sz w:val="24"/>
                <w:szCs w:val="24"/>
              </w:rPr>
              <w:t>ed</w:t>
            </w:r>
            <w:r w:rsidRPr="00B41FC1">
              <w:rPr>
                <w:rFonts w:ascii="Times New Roman" w:hAnsi="Times New Roman"/>
                <w:noProof/>
                <w:sz w:val="24"/>
                <w:szCs w:val="24"/>
              </w:rPr>
              <w:t xml:space="preserve"> its first-ever EU anti-poverty strategy, which aims to address the multidimensional nature of poverty and structural inequalities.</w:t>
            </w:r>
            <w:r w:rsidR="0CADBA45" w:rsidRPr="00B41FC1">
              <w:rPr>
                <w:rFonts w:ascii="Times New Roman" w:hAnsi="Times New Roman"/>
                <w:noProof/>
                <w:sz w:val="24"/>
                <w:szCs w:val="24"/>
              </w:rPr>
              <w:t xml:space="preserve"> As part of the Anti-Poverty Strategy</w:t>
            </w:r>
            <w:r w:rsidR="00A965BB" w:rsidRPr="00B41FC1">
              <w:rPr>
                <w:rStyle w:val="FootnoteReference"/>
                <w:rFonts w:ascii="Times New Roman" w:hAnsi="Times New Roman"/>
                <w:noProof/>
                <w:sz w:val="24"/>
                <w:szCs w:val="24"/>
              </w:rPr>
              <w:footnoteReference w:id="16"/>
            </w:r>
            <w:r w:rsidR="0CADBA45" w:rsidRPr="00B41FC1">
              <w:rPr>
                <w:rFonts w:ascii="Times New Roman" w:hAnsi="Times New Roman"/>
                <w:noProof/>
                <w:sz w:val="24"/>
                <w:szCs w:val="24"/>
              </w:rPr>
              <w:t xml:space="preserve">, the Commission proposed a Council Recommendation on fighting housing exclusion, to support vulnerable groups experiencing homelessness and/or living in precarious housing situations, though integrated, person-centered and housing-led approaches. </w:t>
            </w:r>
            <w:r w:rsidRPr="00B41FC1">
              <w:rPr>
                <w:rFonts w:ascii="Times New Roman" w:hAnsi="Times New Roman"/>
                <w:noProof/>
                <w:sz w:val="24"/>
                <w:szCs w:val="24"/>
              </w:rPr>
              <w:t xml:space="preserve">As part of the European Platform on Combating </w:t>
            </w:r>
            <w:r w:rsidRPr="00B41FC1">
              <w:rPr>
                <w:rFonts w:ascii="Times New Roman" w:hAnsi="Times New Roman"/>
                <w:sz w:val="24"/>
                <w:szCs w:val="24"/>
              </w:rPr>
              <w:t>Homelessness</w:t>
            </w:r>
            <w:r w:rsidRPr="00B41FC1">
              <w:rPr>
                <w:rFonts w:ascii="Times New Roman" w:hAnsi="Times New Roman"/>
                <w:noProof/>
                <w:sz w:val="24"/>
                <w:szCs w:val="24"/>
              </w:rPr>
              <w:t>, the Commission will also intensify its efforts to mainstream the needs of vulnerable groups and support evidence-based, integrated and person-centred approaches to combating homelessness.</w:t>
            </w:r>
          </w:p>
          <w:p w14:paraId="5FC4652D" w14:textId="478628B6" w:rsidR="006E78F6" w:rsidRPr="00B41FC1" w:rsidRDefault="00D1166C" w:rsidP="006A2AEE">
            <w:pPr>
              <w:widowControl w:val="0"/>
              <w:spacing w:before="120" w:after="120"/>
              <w:jc w:val="both"/>
              <w:rPr>
                <w:rFonts w:ascii="Times New Roman" w:hAnsi="Times New Roman"/>
                <w:sz w:val="24"/>
                <w:szCs w:val="24"/>
              </w:rPr>
            </w:pPr>
            <w:r w:rsidRPr="00B41FC1">
              <w:rPr>
                <w:rFonts w:ascii="Times New Roman" w:hAnsi="Times New Roman"/>
                <w:i/>
                <w:iCs/>
                <w:sz w:val="24"/>
                <w:szCs w:val="24"/>
              </w:rPr>
              <w:t xml:space="preserve">Regarding </w:t>
            </w:r>
            <w:r w:rsidRPr="00B41FC1">
              <w:rPr>
                <w:rFonts w:ascii="Times New Roman" w:hAnsi="Times New Roman"/>
                <w:i/>
                <w:iCs/>
                <w:sz w:val="24"/>
                <w:szCs w:val="24"/>
                <w:u w:val="single"/>
              </w:rPr>
              <w:t>point 1.8</w:t>
            </w:r>
            <w:r w:rsidRPr="00B41FC1">
              <w:rPr>
                <w:rFonts w:ascii="Times New Roman" w:hAnsi="Times New Roman"/>
                <w:sz w:val="24"/>
                <w:szCs w:val="24"/>
              </w:rPr>
              <w:t>,</w:t>
            </w:r>
            <w:r w:rsidRPr="00B41FC1">
              <w:rPr>
                <w:rStyle w:val="FootnoteReference"/>
                <w:rFonts w:ascii="Times New Roman" w:hAnsi="Times New Roman"/>
                <w:sz w:val="24"/>
                <w:szCs w:val="24"/>
              </w:rPr>
              <w:footnoteReference w:id="17"/>
            </w:r>
            <w:r w:rsidRPr="00B41FC1">
              <w:rPr>
                <w:rFonts w:ascii="Times New Roman" w:hAnsi="Times New Roman"/>
                <w:sz w:val="24"/>
                <w:szCs w:val="24"/>
              </w:rPr>
              <w:t xml:space="preserve"> the </w:t>
            </w:r>
            <w:r w:rsidR="00D17423">
              <w:rPr>
                <w:rFonts w:ascii="Times New Roman" w:hAnsi="Times New Roman"/>
                <w:sz w:val="24"/>
                <w:szCs w:val="24"/>
              </w:rPr>
              <w:t xml:space="preserve">Artificial Intelligence </w:t>
            </w:r>
            <w:r w:rsidRPr="00B41FC1">
              <w:rPr>
                <w:rFonts w:ascii="Times New Roman" w:hAnsi="Times New Roman"/>
                <w:sz w:val="24"/>
                <w:szCs w:val="24"/>
              </w:rPr>
              <w:t xml:space="preserve">Act seeks to prevent and mitigate discriminatory outcomes generated by AI systems, including discrimination affecting individuals on grounds such as sexual orientation or gender identity. The AI Act prohibits certain AI practices, including AI-enabled </w:t>
            </w:r>
            <w:r w:rsidRPr="00B41FC1">
              <w:rPr>
                <w:rFonts w:ascii="Times New Roman" w:hAnsi="Times New Roman"/>
                <w:sz w:val="24"/>
                <w:szCs w:val="24"/>
              </w:rPr>
              <w:lastRenderedPageBreak/>
              <w:t xml:space="preserve">manipulative or deceptive techniques, and AI systems exploiting vulnerabilities, when they are reasonably likely to cause significant harm. Such prohibition encompasses AI practices </w:t>
            </w:r>
            <w:r w:rsidR="00E752CA">
              <w:rPr>
                <w:rFonts w:ascii="Times New Roman" w:hAnsi="Times New Roman"/>
                <w:sz w:val="24"/>
                <w:szCs w:val="24"/>
              </w:rPr>
              <w:t xml:space="preserve">and </w:t>
            </w:r>
            <w:r w:rsidRPr="00B41FC1">
              <w:rPr>
                <w:rFonts w:ascii="Times New Roman" w:hAnsi="Times New Roman"/>
                <w:sz w:val="24"/>
                <w:szCs w:val="24"/>
              </w:rPr>
              <w:t>may include, for instance, AI chatbots used to disseminate hateful or discriminatory content, and systems intentionally designed to manipulate public opinion or incite hatred.</w:t>
            </w:r>
            <w:r w:rsidRPr="00B41FC1" w:rsidDel="54E3ED52">
              <w:rPr>
                <w:rFonts w:ascii="Times New Roman" w:hAnsi="Times New Roman"/>
                <w:sz w:val="24"/>
                <w:szCs w:val="24"/>
              </w:rPr>
              <w:t xml:space="preserve"> </w:t>
            </w:r>
            <w:r w:rsidRPr="00B41FC1">
              <w:rPr>
                <w:rFonts w:ascii="Times New Roman" w:hAnsi="Times New Roman"/>
                <w:sz w:val="24"/>
                <w:szCs w:val="24"/>
              </w:rPr>
              <w:t>For high-risk AI systems, the AI Act requires a risk management system</w:t>
            </w:r>
            <w:r w:rsidR="00F96DDC">
              <w:rPr>
                <w:rFonts w:ascii="Times New Roman" w:hAnsi="Times New Roman"/>
                <w:sz w:val="24"/>
                <w:szCs w:val="24"/>
              </w:rPr>
              <w:t xml:space="preserve"> which ensures</w:t>
            </w:r>
            <w:r w:rsidRPr="00B41FC1">
              <w:rPr>
                <w:rFonts w:ascii="Times New Roman" w:hAnsi="Times New Roman"/>
                <w:sz w:val="24"/>
                <w:szCs w:val="24"/>
              </w:rPr>
              <w:t xml:space="preserve"> that training, validation, and testing data </w:t>
            </w:r>
            <w:r w:rsidR="00F96DDC">
              <w:rPr>
                <w:rFonts w:ascii="Times New Roman" w:hAnsi="Times New Roman"/>
                <w:sz w:val="24"/>
                <w:szCs w:val="24"/>
              </w:rPr>
              <w:t>are</w:t>
            </w:r>
            <w:r w:rsidRPr="00B41FC1">
              <w:rPr>
                <w:rFonts w:ascii="Times New Roman" w:hAnsi="Times New Roman"/>
                <w:sz w:val="24"/>
                <w:szCs w:val="24"/>
              </w:rPr>
              <w:t xml:space="preserve"> subject to appropriate governance and quality management measures. This includes assessing datasets for potential biases that could adversely affect individuals’ health or safety, infringe fundamental rights, or result in discrimination prohibited under EU law. For LGBTQ+ persons, who are often underrepresented or misrepresented in datasets, this provision is important, as developers need to address data gaps and avoid reinforcing stereotypes that can cause them serious psychological, physical or financial harm. </w:t>
            </w:r>
            <w:r w:rsidRPr="00B41FC1">
              <w:rPr>
                <w:rFonts w:ascii="Times New Roman" w:eastAsia="Times New Roman" w:hAnsi="Times New Roman"/>
                <w:sz w:val="24"/>
                <w:szCs w:val="24"/>
              </w:rPr>
              <w:t xml:space="preserve">Furthermore, the AI Act imposes an obligation on providers and deployers of generative AI systems to mark and enable detection when content, such as images, audio, or video, has been artificially generated or manipulated, and </w:t>
            </w:r>
            <w:r w:rsidR="00F96DDC">
              <w:rPr>
                <w:rFonts w:ascii="Times New Roman" w:eastAsia="Times New Roman" w:hAnsi="Times New Roman"/>
                <w:sz w:val="24"/>
                <w:szCs w:val="24"/>
              </w:rPr>
              <w:t xml:space="preserve">to </w:t>
            </w:r>
            <w:r w:rsidRPr="00B41FC1">
              <w:rPr>
                <w:rFonts w:ascii="Times New Roman" w:eastAsia="Times New Roman" w:hAnsi="Times New Roman"/>
                <w:sz w:val="24"/>
                <w:szCs w:val="24"/>
              </w:rPr>
              <w:t xml:space="preserve">label of deepfakes and certain AI generated publications on public matters. </w:t>
            </w:r>
            <w:r w:rsidRPr="00B41FC1">
              <w:rPr>
                <w:rFonts w:ascii="Times New Roman" w:hAnsi="Times New Roman"/>
                <w:sz w:val="24"/>
                <w:szCs w:val="24"/>
              </w:rPr>
              <w:t>Finally, the AI Act addresses risks stemming from general-purpose AI models, including the most advanced models that may pose systemic risks. Alongside transparency obligations, providers of the most powerful models are required to identify, assess, and mitigate systemic risks, including the dissemination of discriminatory content, through a range of mandatory measures.</w:t>
            </w:r>
          </w:p>
          <w:p w14:paraId="66FCACA7" w14:textId="46086CE4" w:rsidR="00762C86" w:rsidRPr="00B41FC1" w:rsidRDefault="00762C86"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 xml:space="preserve">With regard to online platforms, the Digital Services Act (DSA) aims to create a safe, predictable online environment, protecting fundamental rights, including freedom of expression, enshrined in the Charter of Fundamental Rights. The DSA seeks to ensure safer experiences for all online users, including the LGBTIQ+ community, by making online platforms more accountable for how they handle harmful and illegal content, including hate speech, harassment and incitement to violence targeting LGBTIQ+ people. Under the DSA, platforms are required to be transparent on their content moderation policies, and to provide users with a statement of reasons when content is removed, restricted or demoted. All platforms are subject to transparency obligations regarding the functioning of their recommender systems. Furthermore, the DSA requires providers of platforms designated as very large online platforms and very large online search engines to diligently assess and mitigate systemic risks stemming from their services. These risks include for example negative effects </w:t>
            </w:r>
            <w:r w:rsidR="00BE5E7C">
              <w:rPr>
                <w:rFonts w:ascii="Times New Roman" w:hAnsi="Times New Roman"/>
                <w:sz w:val="24"/>
                <w:szCs w:val="24"/>
              </w:rPr>
              <w:t>on</w:t>
            </w:r>
            <w:r w:rsidRPr="00B41FC1">
              <w:rPr>
                <w:rFonts w:ascii="Times New Roman" w:hAnsi="Times New Roman"/>
                <w:sz w:val="24"/>
                <w:szCs w:val="24"/>
              </w:rPr>
              <w:t xml:space="preserve"> the exercise of fundamental rights, such as discrimination based on sexual orientation or restrictions on the freedom of expression. More broadly, by strengthening users’ rights and creating a safer digital environment, the DSA supports the EU’s wider commitment to equality, dignity and non-discrimination.</w:t>
            </w:r>
          </w:p>
          <w:p w14:paraId="06786D98" w14:textId="01190F4C" w:rsidR="00762C86" w:rsidRPr="006E4945" w:rsidRDefault="00762C86" w:rsidP="006A2AEE">
            <w:pPr>
              <w:widowControl w:val="0"/>
              <w:spacing w:before="120" w:after="120"/>
              <w:jc w:val="both"/>
              <w:rPr>
                <w:rFonts w:ascii="Times New Roman" w:hAnsi="Times New Roman"/>
                <w:sz w:val="24"/>
                <w:szCs w:val="24"/>
              </w:rPr>
            </w:pPr>
            <w:r w:rsidRPr="00B41FC1">
              <w:rPr>
                <w:rFonts w:ascii="Times New Roman" w:hAnsi="Times New Roman"/>
                <w:sz w:val="24"/>
                <w:szCs w:val="24"/>
              </w:rPr>
              <w:t>In January 2025 the revised Code of Conduct on Countering Illegal Hate Speech Online+</w:t>
            </w:r>
            <w:r w:rsidRPr="00B41FC1">
              <w:rPr>
                <w:rStyle w:val="FootnoteReference"/>
                <w:rFonts w:ascii="Times New Roman" w:hAnsi="Times New Roman"/>
                <w:sz w:val="24"/>
                <w:szCs w:val="24"/>
              </w:rPr>
              <w:footnoteReference w:id="18"/>
            </w:r>
            <w:r w:rsidRPr="00B41FC1">
              <w:rPr>
                <w:rFonts w:ascii="Times New Roman" w:hAnsi="Times New Roman"/>
                <w:sz w:val="24"/>
                <w:szCs w:val="24"/>
              </w:rPr>
              <w:t xml:space="preserve"> (</w:t>
            </w:r>
            <w:r w:rsidR="008079DA">
              <w:rPr>
                <w:rFonts w:ascii="Times New Roman" w:hAnsi="Times New Roman"/>
                <w:sz w:val="24"/>
                <w:szCs w:val="24"/>
              </w:rPr>
              <w:t>‘</w:t>
            </w:r>
            <w:r w:rsidRPr="00B41FC1">
              <w:rPr>
                <w:rFonts w:ascii="Times New Roman" w:hAnsi="Times New Roman"/>
                <w:sz w:val="24"/>
                <w:szCs w:val="24"/>
              </w:rPr>
              <w:t>Code of Conduct+</w:t>
            </w:r>
            <w:r w:rsidR="008079DA">
              <w:rPr>
                <w:rFonts w:ascii="Times New Roman" w:hAnsi="Times New Roman"/>
                <w:sz w:val="24"/>
                <w:szCs w:val="24"/>
              </w:rPr>
              <w:t>’</w:t>
            </w:r>
            <w:r w:rsidRPr="00B41FC1">
              <w:rPr>
                <w:rFonts w:ascii="Times New Roman" w:hAnsi="Times New Roman"/>
                <w:sz w:val="24"/>
                <w:szCs w:val="24"/>
              </w:rPr>
              <w:t xml:space="preserve">) was integrated into the framework of the Digital Services Act. Signatories to the Code of Conduct+ commit to strengthening industry cooperation and participating in multi-stakeholder initiatives </w:t>
            </w:r>
            <w:r w:rsidRPr="006E4945">
              <w:rPr>
                <w:rFonts w:ascii="Times New Roman" w:hAnsi="Times New Roman"/>
                <w:sz w:val="24"/>
                <w:szCs w:val="24"/>
              </w:rPr>
              <w:t>to better support the DSA’s legal framework in effectively tackling the spread of illegal hate speech online, including hate speech targeting LGBTIQ+</w:t>
            </w:r>
            <w:r w:rsidR="00BE5E7C">
              <w:rPr>
                <w:rFonts w:ascii="Times New Roman" w:hAnsi="Times New Roman"/>
                <w:sz w:val="24"/>
                <w:szCs w:val="24"/>
              </w:rPr>
              <w:t xml:space="preserve"> </w:t>
            </w:r>
            <w:r w:rsidRPr="006E4945">
              <w:rPr>
                <w:rFonts w:ascii="Times New Roman" w:hAnsi="Times New Roman"/>
                <w:sz w:val="24"/>
                <w:szCs w:val="24"/>
              </w:rPr>
              <w:t>persons.</w:t>
            </w:r>
            <w:r w:rsidR="00BE5E7C">
              <w:rPr>
                <w:rFonts w:ascii="Times New Roman" w:hAnsi="Times New Roman"/>
                <w:sz w:val="24"/>
                <w:szCs w:val="24"/>
              </w:rPr>
              <w:t xml:space="preserve"> </w:t>
            </w:r>
            <w:r w:rsidRPr="006E4945">
              <w:rPr>
                <w:rFonts w:ascii="Times New Roman" w:hAnsi="Times New Roman"/>
                <w:sz w:val="24"/>
                <w:szCs w:val="24"/>
                <w:lang w:val="en-GB"/>
              </w:rPr>
              <w:t>The Code aims to tackle illegal hate speech as defined by applicable laws, and a large majority of Member States have expanded their legal framework to</w:t>
            </w:r>
            <w:r w:rsidR="00BE5E7C">
              <w:rPr>
                <w:rFonts w:ascii="Times New Roman" w:hAnsi="Times New Roman"/>
                <w:sz w:val="24"/>
                <w:szCs w:val="24"/>
                <w:lang w:val="en-GB"/>
              </w:rPr>
              <w:t xml:space="preserve"> cover </w:t>
            </w:r>
            <w:r w:rsidRPr="006E4945">
              <w:rPr>
                <w:rFonts w:ascii="Times New Roman" w:hAnsi="Times New Roman"/>
                <w:sz w:val="24"/>
                <w:szCs w:val="24"/>
                <w:lang w:val="en-GB"/>
              </w:rPr>
              <w:t>additional</w:t>
            </w:r>
            <w:r w:rsidR="00BE5E7C">
              <w:rPr>
                <w:rFonts w:ascii="Times New Roman" w:hAnsi="Times New Roman"/>
                <w:sz w:val="24"/>
                <w:szCs w:val="24"/>
                <w:lang w:val="en-GB"/>
              </w:rPr>
              <w:t xml:space="preserve"> </w:t>
            </w:r>
            <w:r w:rsidRPr="006E4945">
              <w:rPr>
                <w:rFonts w:ascii="Times New Roman" w:hAnsi="Times New Roman"/>
                <w:sz w:val="24"/>
                <w:szCs w:val="24"/>
                <w:lang w:val="en-GB"/>
              </w:rPr>
              <w:t>grounds such as sexual orientation and gender identity. The Code will also</w:t>
            </w:r>
            <w:r w:rsidR="00BE5E7C">
              <w:rPr>
                <w:rFonts w:ascii="Times New Roman" w:hAnsi="Times New Roman"/>
                <w:sz w:val="24"/>
                <w:szCs w:val="24"/>
                <w:lang w:val="en-GB"/>
              </w:rPr>
              <w:t xml:space="preserve"> </w:t>
            </w:r>
            <w:r w:rsidRPr="006E4945">
              <w:rPr>
                <w:rFonts w:ascii="Times New Roman" w:hAnsi="Times New Roman"/>
                <w:sz w:val="24"/>
                <w:szCs w:val="24"/>
                <w:lang w:val="en-GB"/>
              </w:rPr>
              <w:t>take into account</w:t>
            </w:r>
            <w:r w:rsidR="00BE5E7C">
              <w:rPr>
                <w:rFonts w:ascii="Times New Roman" w:hAnsi="Times New Roman"/>
                <w:sz w:val="24"/>
                <w:szCs w:val="24"/>
                <w:lang w:val="en-GB"/>
              </w:rPr>
              <w:t xml:space="preserve"> </w:t>
            </w:r>
            <w:r w:rsidRPr="006E4945">
              <w:rPr>
                <w:rFonts w:ascii="Times New Roman" w:hAnsi="Times New Roman"/>
                <w:sz w:val="24"/>
                <w:szCs w:val="24"/>
                <w:lang w:val="en-GB"/>
              </w:rPr>
              <w:t>future legal developments,</w:t>
            </w:r>
            <w:r w:rsidR="00BE5E7C">
              <w:rPr>
                <w:rFonts w:ascii="Times New Roman" w:hAnsi="Times New Roman"/>
                <w:sz w:val="24"/>
                <w:szCs w:val="24"/>
                <w:lang w:val="en-GB"/>
              </w:rPr>
              <w:t xml:space="preserve"> </w:t>
            </w:r>
            <w:r w:rsidRPr="006E4945">
              <w:rPr>
                <w:rFonts w:ascii="Times New Roman" w:hAnsi="Times New Roman"/>
                <w:sz w:val="24"/>
                <w:szCs w:val="24"/>
              </w:rPr>
              <w:t>such as the criminalisation of specific forms of gender-based hate speech (such as</w:t>
            </w:r>
            <w:r w:rsidR="00BE5E7C">
              <w:rPr>
                <w:rFonts w:ascii="Times New Roman" w:hAnsi="Times New Roman"/>
                <w:sz w:val="24"/>
                <w:szCs w:val="24"/>
              </w:rPr>
              <w:t xml:space="preserve"> </w:t>
            </w:r>
            <w:r w:rsidRPr="006E4945">
              <w:rPr>
                <w:rFonts w:ascii="Times New Roman" w:hAnsi="Times New Roman"/>
                <w:sz w:val="24"/>
                <w:szCs w:val="24"/>
              </w:rPr>
              <w:t xml:space="preserve">misogyny online) as defined in the Directive </w:t>
            </w:r>
            <w:r w:rsidR="008079DA">
              <w:rPr>
                <w:rFonts w:ascii="Times New Roman" w:hAnsi="Times New Roman"/>
                <w:sz w:val="24"/>
                <w:szCs w:val="24"/>
              </w:rPr>
              <w:t xml:space="preserve"> </w:t>
            </w:r>
            <w:r w:rsidRPr="006E4945">
              <w:rPr>
                <w:rFonts w:ascii="Times New Roman" w:hAnsi="Times New Roman"/>
                <w:sz w:val="24"/>
                <w:szCs w:val="24"/>
              </w:rPr>
              <w:t>on combating violence against women</w:t>
            </w:r>
            <w:r w:rsidRPr="006E4945">
              <w:rPr>
                <w:rFonts w:ascii="Times New Roman" w:hAnsi="Times New Roman"/>
                <w:sz w:val="24"/>
                <w:szCs w:val="24"/>
                <w:lang w:val="en-GB"/>
              </w:rPr>
              <w:t>.</w:t>
            </w:r>
            <w:r w:rsidR="00BE5E7C">
              <w:rPr>
                <w:rFonts w:ascii="Times New Roman" w:hAnsi="Times New Roman"/>
                <w:sz w:val="24"/>
                <w:szCs w:val="24"/>
                <w:lang w:val="en-GB"/>
              </w:rPr>
              <w:t xml:space="preserve"> </w:t>
            </w:r>
            <w:r w:rsidRPr="006E4945">
              <w:rPr>
                <w:rFonts w:ascii="Times New Roman" w:hAnsi="Times New Roman"/>
                <w:sz w:val="24"/>
                <w:szCs w:val="24"/>
              </w:rPr>
              <w:t xml:space="preserve">The </w:t>
            </w:r>
            <w:r w:rsidRPr="006E4945">
              <w:rPr>
                <w:rFonts w:ascii="Times New Roman" w:hAnsi="Times New Roman"/>
                <w:sz w:val="24"/>
                <w:szCs w:val="24"/>
              </w:rPr>
              <w:lastRenderedPageBreak/>
              <w:t>Commission will continue to monitor</w:t>
            </w:r>
            <w:r w:rsidR="00BE5E7C">
              <w:rPr>
                <w:rFonts w:ascii="Times New Roman" w:hAnsi="Times New Roman"/>
                <w:sz w:val="24"/>
                <w:szCs w:val="24"/>
              </w:rPr>
              <w:t xml:space="preserve"> </w:t>
            </w:r>
            <w:r w:rsidRPr="006E4945">
              <w:rPr>
                <w:rFonts w:ascii="Times New Roman" w:hAnsi="Times New Roman"/>
                <w:sz w:val="24"/>
                <w:szCs w:val="24"/>
              </w:rPr>
              <w:t>and evaluate the achievement of the Code’s</w:t>
            </w:r>
            <w:r w:rsidR="00BE5E7C">
              <w:rPr>
                <w:rFonts w:ascii="Times New Roman" w:hAnsi="Times New Roman"/>
                <w:sz w:val="24"/>
                <w:szCs w:val="24"/>
              </w:rPr>
              <w:t xml:space="preserve"> </w:t>
            </w:r>
            <w:r w:rsidRPr="006E4945">
              <w:rPr>
                <w:rFonts w:ascii="Times New Roman" w:hAnsi="Times New Roman"/>
                <w:sz w:val="24"/>
                <w:szCs w:val="24"/>
              </w:rPr>
              <w:t>objectives</w:t>
            </w:r>
            <w:r w:rsidRPr="00B41FC1">
              <w:rPr>
                <w:rFonts w:ascii="Times New Roman" w:hAnsi="Times New Roman"/>
                <w:sz w:val="24"/>
                <w:szCs w:val="24"/>
              </w:rPr>
              <w:t>, including by facilitating the annual Monitoring Exercise under the Code</w:t>
            </w:r>
            <w:r w:rsidR="009A510B" w:rsidRPr="00B41FC1">
              <w:rPr>
                <w:rFonts w:ascii="Times New Roman" w:hAnsi="Times New Roman"/>
                <w:sz w:val="24"/>
                <w:szCs w:val="24"/>
              </w:rPr>
              <w:t xml:space="preserve"> of Conduct</w:t>
            </w:r>
            <w:r w:rsidRPr="00B41FC1">
              <w:rPr>
                <w:rFonts w:ascii="Times New Roman" w:hAnsi="Times New Roman"/>
                <w:sz w:val="24"/>
                <w:szCs w:val="24"/>
              </w:rPr>
              <w:t>+</w:t>
            </w:r>
            <w:r w:rsidRPr="00B41FC1">
              <w:rPr>
                <w:rStyle w:val="FootnoteReference"/>
                <w:rFonts w:ascii="Times New Roman" w:hAnsi="Times New Roman"/>
                <w:sz w:val="24"/>
                <w:szCs w:val="24"/>
              </w:rPr>
              <w:footnoteReference w:id="19"/>
            </w:r>
            <w:r w:rsidRPr="00B41FC1">
              <w:rPr>
                <w:rFonts w:ascii="Times New Roman" w:hAnsi="Times New Roman"/>
                <w:sz w:val="24"/>
                <w:szCs w:val="24"/>
              </w:rPr>
              <w:t>, and support participating platforms and civil society organisations including through an online knowledge hub bringing together relevant resources on illegal hate speech online.</w:t>
            </w:r>
          </w:p>
          <w:p w14:paraId="66161622" w14:textId="396C74E2" w:rsidR="006E78F6" w:rsidRPr="00B41FC1" w:rsidRDefault="775C4B73" w:rsidP="006A2AEE">
            <w:pPr>
              <w:widowControl w:val="0"/>
              <w:spacing w:before="120" w:after="120"/>
              <w:jc w:val="both"/>
              <w:rPr>
                <w:rFonts w:ascii="Times New Roman" w:hAnsi="Times New Roman"/>
                <w:sz w:val="24"/>
                <w:szCs w:val="24"/>
              </w:rPr>
            </w:pPr>
            <w:r w:rsidRPr="00B41FC1">
              <w:rPr>
                <w:rFonts w:ascii="Times New Roman" w:hAnsi="Times New Roman"/>
                <w:i/>
                <w:iCs/>
                <w:sz w:val="24"/>
                <w:szCs w:val="24"/>
              </w:rPr>
              <w:t xml:space="preserve">Regarding </w:t>
            </w:r>
            <w:r w:rsidRPr="00B41FC1">
              <w:rPr>
                <w:rFonts w:ascii="Times New Roman" w:hAnsi="Times New Roman"/>
                <w:i/>
                <w:iCs/>
                <w:sz w:val="24"/>
                <w:szCs w:val="24"/>
                <w:u w:val="single"/>
              </w:rPr>
              <w:t>point 1.10</w:t>
            </w:r>
            <w:r w:rsidRPr="00B41FC1">
              <w:rPr>
                <w:rFonts w:ascii="Times New Roman" w:hAnsi="Times New Roman"/>
                <w:sz w:val="24"/>
                <w:szCs w:val="24"/>
              </w:rPr>
              <w:t xml:space="preserve">, </w:t>
            </w:r>
            <w:r w:rsidR="22283140" w:rsidRPr="00B41FC1">
              <w:rPr>
                <w:rFonts w:ascii="Times New Roman" w:hAnsi="Times New Roman"/>
                <w:sz w:val="24"/>
                <w:szCs w:val="24"/>
              </w:rPr>
              <w:t>the Commission acknowledges the importance of promoting inclusion in culture, sport, and public life. In the field of culture,</w:t>
            </w:r>
            <w:r w:rsidR="008A2CE8" w:rsidRPr="00B41FC1">
              <w:rPr>
                <w:rFonts w:ascii="Times New Roman" w:hAnsi="Times New Roman"/>
                <w:sz w:val="24"/>
                <w:szCs w:val="24"/>
              </w:rPr>
              <w:t xml:space="preserve"> the Culture Compass for Europe</w:t>
            </w:r>
            <w:r w:rsidR="008A2CE8" w:rsidRPr="00B41FC1">
              <w:rPr>
                <w:rStyle w:val="FootnoteReference"/>
                <w:rFonts w:ascii="Times New Roman" w:hAnsi="Times New Roman"/>
                <w:sz w:val="24"/>
                <w:szCs w:val="24"/>
              </w:rPr>
              <w:footnoteReference w:id="20"/>
            </w:r>
            <w:r w:rsidR="008A2CE8" w:rsidRPr="00B41FC1">
              <w:rPr>
                <w:rFonts w:ascii="Times New Roman" w:hAnsi="Times New Roman"/>
                <w:sz w:val="24"/>
                <w:szCs w:val="24"/>
              </w:rPr>
              <w:t>, the strategy for culture at EU level, emphasises the centrality of cultural rights</w:t>
            </w:r>
            <w:r w:rsidR="004C4BAE" w:rsidRPr="00B41FC1">
              <w:rPr>
                <w:rFonts w:ascii="Times New Roman" w:hAnsi="Times New Roman"/>
                <w:sz w:val="24"/>
                <w:szCs w:val="24"/>
              </w:rPr>
              <w:t xml:space="preserve">, as well as </w:t>
            </w:r>
            <w:r w:rsidR="008A2CE8" w:rsidRPr="00B41FC1">
              <w:rPr>
                <w:rFonts w:ascii="Times New Roman" w:hAnsi="Times New Roman"/>
                <w:sz w:val="24"/>
                <w:szCs w:val="24"/>
              </w:rPr>
              <w:t>the importance of widening participation in culture for all and upholding artistic freedom</w:t>
            </w:r>
            <w:r w:rsidR="00E70B8B" w:rsidRPr="00B41FC1">
              <w:rPr>
                <w:rFonts w:ascii="Times New Roman" w:hAnsi="Times New Roman"/>
                <w:sz w:val="24"/>
                <w:szCs w:val="24"/>
              </w:rPr>
              <w:t>. Furthermore,</w:t>
            </w:r>
            <w:r w:rsidR="22283140" w:rsidRPr="00B41FC1">
              <w:rPr>
                <w:rFonts w:ascii="Times New Roman" w:hAnsi="Times New Roman"/>
                <w:sz w:val="24"/>
                <w:szCs w:val="24"/>
              </w:rPr>
              <w:t xml:space="preserve"> the Commission will continue to promote diversity and inclusion through the Creative Europe programme</w:t>
            </w:r>
            <w:r w:rsidR="00371CFE" w:rsidRPr="00B41FC1">
              <w:rPr>
                <w:rStyle w:val="FootnoteReference"/>
                <w:rFonts w:ascii="Times New Roman" w:hAnsi="Times New Roman"/>
                <w:sz w:val="24"/>
                <w:szCs w:val="24"/>
              </w:rPr>
              <w:footnoteReference w:id="21"/>
            </w:r>
            <w:r w:rsidR="22283140" w:rsidRPr="00B41FC1">
              <w:rPr>
                <w:rFonts w:ascii="Times New Roman" w:hAnsi="Times New Roman"/>
                <w:sz w:val="24"/>
                <w:szCs w:val="24"/>
              </w:rPr>
              <w:t>, which is expected to be succeeded by the proposed AgoraEU programme for 2028–2034, currently under legislative negotiation.</w:t>
            </w:r>
          </w:p>
          <w:p w14:paraId="30D14481" w14:textId="679469E3" w:rsidR="009C49A7" w:rsidRPr="008079DA" w:rsidRDefault="00394FF9" w:rsidP="006A2AEE">
            <w:pPr>
              <w:widowControl w:val="0"/>
              <w:spacing w:before="120" w:after="120"/>
              <w:jc w:val="both"/>
              <w:rPr>
                <w:rFonts w:ascii="Times New Roman" w:hAnsi="Times New Roman"/>
                <w:noProof/>
                <w:sz w:val="24"/>
                <w:szCs w:val="24"/>
              </w:rPr>
            </w:pPr>
            <w:r w:rsidRPr="00B41FC1">
              <w:rPr>
                <w:rFonts w:ascii="Times New Roman" w:hAnsi="Times New Roman"/>
                <w:sz w:val="24"/>
                <w:szCs w:val="24"/>
              </w:rPr>
              <w:t xml:space="preserve">In the field of sport, </w:t>
            </w:r>
            <w:r w:rsidRPr="00B41FC1">
              <w:rPr>
                <w:rFonts w:ascii="Times New Roman" w:eastAsia="Times New Roman" w:hAnsi="Times New Roman"/>
                <w:sz w:val="24"/>
                <w:szCs w:val="24"/>
              </w:rPr>
              <w:t>it is for each sport and its governing body to consider guidelines</w:t>
            </w:r>
            <w:r w:rsidRPr="00B41FC1">
              <w:rPr>
                <w:rFonts w:ascii="Times New Roman" w:hAnsi="Times New Roman"/>
                <w:sz w:val="24"/>
                <w:szCs w:val="24"/>
              </w:rPr>
              <w:t xml:space="preserve"> regarding the participation of transgender or intersex athletes in competitions. </w:t>
            </w:r>
            <w:r w:rsidR="22283140" w:rsidRPr="00B41FC1">
              <w:rPr>
                <w:rFonts w:ascii="Times New Roman" w:hAnsi="Times New Roman"/>
                <w:sz w:val="24"/>
                <w:szCs w:val="24"/>
              </w:rPr>
              <w:t>For its part, the Commission will continue to support and highlight initiatives demonstrating the role of sport in advancing equality and diversity, notably through the #BeActive EU Sport Awards</w:t>
            </w:r>
            <w:r w:rsidR="00D335E1" w:rsidRPr="00B41FC1">
              <w:rPr>
                <w:rStyle w:val="FootnoteReference"/>
                <w:rFonts w:ascii="Times New Roman" w:hAnsi="Times New Roman"/>
                <w:sz w:val="24"/>
                <w:szCs w:val="24"/>
              </w:rPr>
              <w:footnoteReference w:id="22"/>
            </w:r>
            <w:r w:rsidR="22283140" w:rsidRPr="00B41FC1">
              <w:rPr>
                <w:rFonts w:ascii="Times New Roman" w:hAnsi="Times New Roman"/>
                <w:sz w:val="24"/>
                <w:szCs w:val="24"/>
              </w:rPr>
              <w:t>, the European Week of Sport</w:t>
            </w:r>
            <w:r w:rsidR="00D335E1" w:rsidRPr="00B41FC1">
              <w:rPr>
                <w:rStyle w:val="FootnoteReference"/>
                <w:rFonts w:ascii="Times New Roman" w:hAnsi="Times New Roman"/>
                <w:sz w:val="24"/>
                <w:szCs w:val="24"/>
              </w:rPr>
              <w:footnoteReference w:id="23"/>
            </w:r>
            <w:r w:rsidR="22283140" w:rsidRPr="00B41FC1">
              <w:rPr>
                <w:rFonts w:ascii="Times New Roman" w:hAnsi="Times New Roman"/>
                <w:sz w:val="24"/>
                <w:szCs w:val="24"/>
              </w:rPr>
              <w:t xml:space="preserve">, and the annual EU Sport Forum. In addition, through the Open Method of Coordination (OMC) group on </w:t>
            </w:r>
            <w:r w:rsidR="0032300C">
              <w:rPr>
                <w:rFonts w:ascii="Times New Roman" w:hAnsi="Times New Roman"/>
                <w:sz w:val="24"/>
                <w:szCs w:val="24"/>
              </w:rPr>
              <w:t>‘</w:t>
            </w:r>
            <w:r w:rsidR="22283140" w:rsidRPr="00B41FC1">
              <w:rPr>
                <w:rFonts w:ascii="Times New Roman" w:hAnsi="Times New Roman"/>
                <w:sz w:val="24"/>
                <w:szCs w:val="24"/>
              </w:rPr>
              <w:t>Fight against hate speech in sport</w:t>
            </w:r>
            <w:r w:rsidR="0032300C">
              <w:rPr>
                <w:rFonts w:ascii="Times New Roman" w:hAnsi="Times New Roman"/>
                <w:sz w:val="24"/>
                <w:szCs w:val="24"/>
              </w:rPr>
              <w:t>’</w:t>
            </w:r>
            <w:r w:rsidR="00E157C5" w:rsidRPr="00B41FC1">
              <w:rPr>
                <w:rStyle w:val="FootnoteReference"/>
                <w:rFonts w:ascii="Times New Roman" w:hAnsi="Times New Roman"/>
                <w:sz w:val="24"/>
                <w:szCs w:val="24"/>
              </w:rPr>
              <w:footnoteReference w:id="24"/>
            </w:r>
            <w:r w:rsidR="22283140" w:rsidRPr="00B41FC1">
              <w:rPr>
                <w:rFonts w:ascii="Times New Roman" w:hAnsi="Times New Roman"/>
                <w:sz w:val="24"/>
                <w:szCs w:val="24"/>
              </w:rPr>
              <w:t>, the Commission will provide a platform for Member States and stakeholders to exchange good practices and develop recommendations on how to ensure that sport remains a safe and inclusive environment for all, including by combating hate speech targeting LGBTIQ+ persons.</w:t>
            </w:r>
          </w:p>
        </w:tc>
      </w:tr>
    </w:tbl>
    <w:p w14:paraId="41D86A3C" w14:textId="77777777" w:rsidR="00554137" w:rsidRPr="00554137" w:rsidRDefault="00554137" w:rsidP="00D01C92">
      <w:pPr>
        <w:spacing w:after="120"/>
        <w:rPr>
          <w:rFonts w:ascii="Times New Roman" w:hAnsi="Times New Roman"/>
          <w:b/>
          <w:sz w:val="16"/>
          <w:szCs w:val="16"/>
          <w:u w:val="single"/>
        </w:rPr>
      </w:pPr>
    </w:p>
    <w:sectPr w:rsidR="00554137" w:rsidRPr="00554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F9AFA" w14:textId="77777777" w:rsidR="00A90142" w:rsidRDefault="00A90142" w:rsidP="00FF63EA">
      <w:pPr>
        <w:spacing w:after="0" w:line="240" w:lineRule="auto"/>
      </w:pPr>
      <w:r>
        <w:separator/>
      </w:r>
    </w:p>
  </w:endnote>
  <w:endnote w:type="continuationSeparator" w:id="0">
    <w:p w14:paraId="03FED89B" w14:textId="77777777" w:rsidR="00A90142" w:rsidRDefault="00A90142" w:rsidP="00FF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3FB22" w14:textId="77777777" w:rsidR="00A90142" w:rsidRDefault="00A90142" w:rsidP="00FF63EA">
      <w:pPr>
        <w:spacing w:after="0" w:line="240" w:lineRule="auto"/>
      </w:pPr>
      <w:r>
        <w:separator/>
      </w:r>
    </w:p>
  </w:footnote>
  <w:footnote w:type="continuationSeparator" w:id="0">
    <w:p w14:paraId="6C9DA946" w14:textId="77777777" w:rsidR="00A90142" w:rsidRDefault="00A90142" w:rsidP="00FF63EA">
      <w:pPr>
        <w:spacing w:after="0" w:line="240" w:lineRule="auto"/>
      </w:pPr>
      <w:r>
        <w:continuationSeparator/>
      </w:r>
    </w:p>
  </w:footnote>
  <w:footnote w:id="1">
    <w:p w14:paraId="364545E5" w14:textId="1843C053" w:rsidR="006F4BCF" w:rsidRPr="00024DD9" w:rsidRDefault="006F4BCF" w:rsidP="006A2AEE">
      <w:pPr>
        <w:pStyle w:val="FootnoteText"/>
        <w:widowControl w:val="0"/>
        <w:ind w:left="-567" w:right="-567"/>
        <w:jc w:val="both"/>
        <w:rPr>
          <w:rFonts w:ascii="Times New Roman" w:hAnsi="Times New Roman" w:cs="Times New Roman"/>
        </w:rPr>
      </w:pPr>
      <w:r w:rsidRPr="00024DD9">
        <w:rPr>
          <w:rStyle w:val="FootnoteReference"/>
          <w:rFonts w:ascii="Times New Roman" w:hAnsi="Times New Roman" w:cs="Times New Roman"/>
        </w:rPr>
        <w:footnoteRef/>
      </w:r>
      <w:r w:rsidRPr="00024DD9">
        <w:rPr>
          <w:rFonts w:ascii="Times New Roman" w:hAnsi="Times New Roman" w:cs="Times New Roman"/>
        </w:rPr>
        <w:t xml:space="preserve"> </w:t>
      </w:r>
      <w:r w:rsidR="00990F47" w:rsidRPr="00024DD9">
        <w:rPr>
          <w:rFonts w:ascii="Times New Roman" w:hAnsi="Times New Roman" w:cs="Times New Roman"/>
        </w:rPr>
        <w:tab/>
      </w:r>
      <w:r w:rsidRPr="00024DD9">
        <w:rPr>
          <w:rFonts w:ascii="Times New Roman" w:hAnsi="Times New Roman" w:cs="Times New Roman"/>
        </w:rPr>
        <w:t>Regulation (EU) 2021/1060 of the European Parliament and of the Council of 24 June 2021</w:t>
      </w:r>
      <w:r w:rsidR="00E132C3" w:rsidRPr="00024DD9">
        <w:rPr>
          <w:rFonts w:ascii="Times New Roman" w:hAnsi="Times New Roman" w:cs="Times New Roman"/>
        </w:rPr>
        <w:t xml:space="preserve"> ( </w:t>
      </w:r>
      <w:hyperlink r:id="rId1" w:tooltip="Gives access to this document through its ELI URI." w:history="1">
        <w:r w:rsidR="00E132C3" w:rsidRPr="00024DD9">
          <w:rPr>
            <w:rFonts w:ascii="Times New Roman" w:hAnsi="Times New Roman" w:cs="Times New Roman"/>
          </w:rPr>
          <w:t>http://data.europa.eu/eli/reg/2021/1060/oj</w:t>
        </w:r>
      </w:hyperlink>
      <w:r w:rsidR="00E132C3" w:rsidRPr="00024DD9">
        <w:rPr>
          <w:rFonts w:ascii="Times New Roman" w:hAnsi="Times New Roman" w:cs="Times New Roman"/>
        </w:rPr>
        <w:t>).</w:t>
      </w:r>
      <w:r w:rsidRPr="00024DD9">
        <w:rPr>
          <w:rFonts w:ascii="Times New Roman" w:hAnsi="Times New Roman" w:cs="Times New Roman"/>
        </w:rPr>
        <w:t xml:space="preserve"> </w:t>
      </w:r>
    </w:p>
  </w:footnote>
  <w:footnote w:id="2">
    <w:p w14:paraId="29BD5D2C" w14:textId="75AA40DB" w:rsidR="008C63A1" w:rsidRPr="00024DD9" w:rsidRDefault="008C63A1" w:rsidP="006A2AEE">
      <w:pPr>
        <w:pStyle w:val="FootnoteText"/>
        <w:widowControl w:val="0"/>
        <w:ind w:left="-567" w:right="-567"/>
        <w:jc w:val="both"/>
        <w:rPr>
          <w:rFonts w:ascii="Times New Roman" w:hAnsi="Times New Roman" w:cs="Times New Roman"/>
        </w:rPr>
      </w:pPr>
      <w:r w:rsidRPr="00024DD9">
        <w:rPr>
          <w:rStyle w:val="FootnoteReference"/>
          <w:rFonts w:ascii="Times New Roman" w:hAnsi="Times New Roman" w:cs="Times New Roman"/>
        </w:rPr>
        <w:footnoteRef/>
      </w:r>
      <w:r w:rsidRPr="00024DD9">
        <w:rPr>
          <w:rFonts w:ascii="Times New Roman" w:hAnsi="Times New Roman" w:cs="Times New Roman"/>
        </w:rPr>
        <w:t xml:space="preserve"> </w:t>
      </w:r>
      <w:r w:rsidR="00990F47" w:rsidRPr="00024DD9">
        <w:rPr>
          <w:rFonts w:ascii="Times New Roman" w:hAnsi="Times New Roman" w:cs="Times New Roman"/>
        </w:rPr>
        <w:tab/>
      </w:r>
      <w:hyperlink r:id="rId2" w:history="1">
        <w:r w:rsidR="007808D3" w:rsidRPr="00024DD9">
          <w:rPr>
            <w:rStyle w:val="Hyperlink"/>
            <w:rFonts w:ascii="Times New Roman" w:hAnsi="Times New Roman" w:cs="Times New Roman"/>
          </w:rPr>
          <w:t>Regulation (EU, Euratom) 2024/2509 of the European Parliament and of the Council of 23 September 2024 on the financial rules applicable to the general budget of the Union (recast)</w:t>
        </w:r>
      </w:hyperlink>
      <w:r w:rsidR="00E132C3" w:rsidRPr="00024DD9">
        <w:rPr>
          <w:rFonts w:ascii="Times New Roman" w:hAnsi="Times New Roman" w:cs="Times New Roman"/>
        </w:rPr>
        <w:t xml:space="preserve"> (</w:t>
      </w:r>
      <w:hyperlink r:id="rId3" w:tooltip="Gives access to this document through its ELI URI." w:history="1">
        <w:r w:rsidR="00E132C3" w:rsidRPr="00024DD9">
          <w:rPr>
            <w:rStyle w:val="Hyperlink"/>
            <w:rFonts w:ascii="Times New Roman" w:hAnsi="Times New Roman" w:cs="Times New Roman"/>
          </w:rPr>
          <w:t>http://data.europa.eu/eli/reg/2024/2509/oj</w:t>
        </w:r>
      </w:hyperlink>
      <w:r w:rsidR="00E132C3" w:rsidRPr="00024DD9">
        <w:rPr>
          <w:rFonts w:ascii="Times New Roman" w:hAnsi="Times New Roman" w:cs="Times New Roman"/>
        </w:rPr>
        <w:t>).</w:t>
      </w:r>
      <w:r w:rsidR="007808D3" w:rsidRPr="00024DD9">
        <w:rPr>
          <w:rFonts w:ascii="Times New Roman" w:hAnsi="Times New Roman" w:cs="Times New Roman"/>
        </w:rPr>
        <w:t>.</w:t>
      </w:r>
    </w:p>
  </w:footnote>
  <w:footnote w:id="3">
    <w:p w14:paraId="46E58282" w14:textId="233F9003" w:rsidR="007808D3" w:rsidRPr="006A2AEE" w:rsidRDefault="007808D3" w:rsidP="006A2AEE">
      <w:pPr>
        <w:pStyle w:val="NoSpacing"/>
        <w:widowControl w:val="0"/>
        <w:ind w:left="-567" w:right="-567"/>
        <w:jc w:val="both"/>
        <w:rPr>
          <w:rFonts w:ascii="Times New Roman" w:hAnsi="Times New Roman" w:cs="Times New Roman"/>
          <w:sz w:val="20"/>
          <w:szCs w:val="20"/>
          <w:lang w:val="fr-BE"/>
        </w:rPr>
      </w:pPr>
      <w:r w:rsidRPr="00024DD9">
        <w:rPr>
          <w:rStyle w:val="FootnoteReference"/>
          <w:rFonts w:ascii="Times New Roman" w:hAnsi="Times New Roman" w:cs="Times New Roman"/>
          <w:sz w:val="20"/>
          <w:szCs w:val="20"/>
        </w:rPr>
        <w:footnoteRef/>
      </w:r>
      <w:r w:rsidRPr="00024DD9">
        <w:rPr>
          <w:rFonts w:ascii="Times New Roman" w:hAnsi="Times New Roman" w:cs="Times New Roman"/>
          <w:sz w:val="20"/>
          <w:szCs w:val="20"/>
          <w:lang w:val="fr-BE"/>
        </w:rPr>
        <w:t xml:space="preserve"> </w:t>
      </w:r>
      <w:r w:rsidR="00990F47" w:rsidRPr="00024DD9">
        <w:rPr>
          <w:rFonts w:ascii="Times New Roman" w:hAnsi="Times New Roman" w:cs="Times New Roman"/>
          <w:sz w:val="20"/>
          <w:szCs w:val="20"/>
          <w:lang w:val="fr-BE"/>
        </w:rPr>
        <w:tab/>
      </w:r>
      <w:r w:rsidR="00B52BF3" w:rsidRPr="00024DD9">
        <w:rPr>
          <w:rFonts w:ascii="Times New Roman" w:hAnsi="Times New Roman" w:cs="Times New Roman"/>
          <w:sz w:val="20"/>
          <w:szCs w:val="20"/>
          <w:lang w:val="fr-BE"/>
        </w:rPr>
        <w:t>COM/2008/0426 final</w:t>
      </w:r>
      <w:r w:rsidR="00E132C3" w:rsidRPr="00024DD9">
        <w:rPr>
          <w:rFonts w:ascii="Times New Roman" w:hAnsi="Times New Roman" w:cs="Times New Roman"/>
          <w:sz w:val="20"/>
          <w:szCs w:val="20"/>
          <w:lang w:val="fr-BE"/>
        </w:rPr>
        <w:t xml:space="preserve"> (</w:t>
      </w:r>
      <w:hyperlink r:id="rId4" w:history="1">
        <w:r w:rsidR="00E132C3" w:rsidRPr="00024DD9">
          <w:rPr>
            <w:rStyle w:val="Hyperlink"/>
            <w:rFonts w:ascii="Times New Roman" w:hAnsi="Times New Roman" w:cs="Times New Roman"/>
            <w:sz w:val="20"/>
            <w:szCs w:val="20"/>
            <w:lang w:val="fr-BE"/>
          </w:rPr>
          <w:t>EUR-Lex - 52008PC0426 - EN - EUR-Lex</w:t>
        </w:r>
      </w:hyperlink>
      <w:r w:rsidR="00E132C3" w:rsidRPr="00024DD9">
        <w:rPr>
          <w:rFonts w:ascii="Times New Roman" w:hAnsi="Times New Roman" w:cs="Times New Roman"/>
          <w:sz w:val="20"/>
          <w:szCs w:val="20"/>
          <w:lang w:val="fr-BE"/>
        </w:rPr>
        <w:t>).</w:t>
      </w:r>
      <w:r w:rsidR="00013DF8" w:rsidRPr="006A2AEE">
        <w:rPr>
          <w:rFonts w:ascii="Times New Roman" w:hAnsi="Times New Roman" w:cs="Times New Roman"/>
          <w:sz w:val="20"/>
          <w:szCs w:val="20"/>
          <w:lang w:val="fr-BE"/>
        </w:rPr>
        <w:t xml:space="preserve"> </w:t>
      </w:r>
    </w:p>
  </w:footnote>
  <w:footnote w:id="4">
    <w:p w14:paraId="2F85B4F0" w14:textId="6F24877D" w:rsidR="00BE353D" w:rsidRPr="006A2AEE" w:rsidRDefault="00BE353D" w:rsidP="006A2AEE">
      <w:pPr>
        <w:pStyle w:val="FootnoteText"/>
        <w:widowControl w:val="0"/>
        <w:ind w:left="-567" w:right="-567"/>
        <w:jc w:val="both"/>
        <w:rPr>
          <w:rFonts w:ascii="Times New Roman" w:hAnsi="Times New Roman" w:cs="Times New Roman"/>
          <w:lang w:val="fr-BE"/>
        </w:rPr>
      </w:pPr>
      <w:r w:rsidRPr="008079DA">
        <w:rPr>
          <w:rStyle w:val="FootnoteReference"/>
          <w:rFonts w:ascii="Times New Roman" w:hAnsi="Times New Roman" w:cs="Times New Roman"/>
        </w:rPr>
        <w:footnoteRef/>
      </w:r>
      <w:r w:rsidRPr="006A2AEE">
        <w:rPr>
          <w:rFonts w:ascii="Times New Roman" w:hAnsi="Times New Roman" w:cs="Times New Roman"/>
          <w:lang w:val="fr-BE"/>
        </w:rPr>
        <w:t xml:space="preserve"> </w:t>
      </w:r>
      <w:r w:rsidR="00990F47" w:rsidRPr="006A2AEE">
        <w:rPr>
          <w:rFonts w:ascii="Times New Roman" w:hAnsi="Times New Roman" w:cs="Times New Roman"/>
          <w:lang w:val="fr-BE"/>
        </w:rPr>
        <w:tab/>
      </w:r>
      <w:hyperlink r:id="rId5" w:history="1">
        <w:r w:rsidR="00990F47" w:rsidRPr="006A2AEE">
          <w:rPr>
            <w:rStyle w:val="Hyperlink"/>
            <w:rFonts w:ascii="Times New Roman" w:hAnsi="Times New Roman" w:cs="Times New Roman"/>
            <w:lang w:val="fr-BE"/>
          </w:rPr>
          <w:t>https://www.coe.int/en/web/sogi/combating-anti-lgbtiq-violence</w:t>
        </w:r>
      </w:hyperlink>
      <w:r w:rsidR="0032300C">
        <w:rPr>
          <w:rFonts w:ascii="Times New Roman" w:hAnsi="Times New Roman" w:cs="Times New Roman"/>
          <w:lang w:val="fr-BE"/>
        </w:rPr>
        <w:t>.</w:t>
      </w:r>
    </w:p>
  </w:footnote>
  <w:footnote w:id="5">
    <w:p w14:paraId="3D84C9D1" w14:textId="7A35EECA" w:rsidR="00E90D24" w:rsidRPr="006A2AEE" w:rsidRDefault="00E90D24" w:rsidP="006A2AEE">
      <w:pPr>
        <w:pStyle w:val="FootnoteText"/>
        <w:widowControl w:val="0"/>
        <w:ind w:left="-567" w:right="-567"/>
        <w:jc w:val="both"/>
        <w:rPr>
          <w:rFonts w:ascii="Times New Roman" w:hAnsi="Times New Roman" w:cs="Times New Roman"/>
          <w:lang w:val="fr-BE"/>
        </w:rPr>
      </w:pPr>
      <w:r w:rsidRPr="008079DA">
        <w:rPr>
          <w:rFonts w:ascii="Times New Roman" w:hAnsi="Times New Roman" w:cs="Times New Roman"/>
          <w:vertAlign w:val="superscript"/>
        </w:rPr>
        <w:footnoteRef/>
      </w:r>
      <w:r w:rsidRPr="006A2AEE">
        <w:rPr>
          <w:rFonts w:ascii="Times New Roman" w:hAnsi="Times New Roman" w:cs="Times New Roman"/>
          <w:lang w:val="fr-BE"/>
        </w:rPr>
        <w:t xml:space="preserve"> </w:t>
      </w:r>
      <w:r w:rsidR="00990F47" w:rsidRPr="006A2AEE">
        <w:rPr>
          <w:rFonts w:ascii="Times New Roman" w:hAnsi="Times New Roman" w:cs="Times New Roman"/>
          <w:lang w:val="fr-BE"/>
        </w:rPr>
        <w:tab/>
      </w:r>
      <w:r w:rsidRPr="006A2AEE">
        <w:rPr>
          <w:rFonts w:ascii="Times New Roman" w:hAnsi="Times New Roman" w:cs="Times New Roman"/>
          <w:lang w:val="fr-BE"/>
        </w:rPr>
        <w:t>JOIN/2025/791 final</w:t>
      </w:r>
      <w:r w:rsidR="00E132C3" w:rsidRPr="006A2AEE">
        <w:rPr>
          <w:rFonts w:ascii="Times New Roman" w:hAnsi="Times New Roman" w:cs="Times New Roman"/>
          <w:lang w:val="fr-BE"/>
        </w:rPr>
        <w:t xml:space="preserve"> (</w:t>
      </w:r>
      <w:hyperlink r:id="rId6" w:history="1">
        <w:r w:rsidR="00E132C3" w:rsidRPr="006A2AEE">
          <w:rPr>
            <w:rStyle w:val="Hyperlink"/>
            <w:rFonts w:ascii="Times New Roman" w:hAnsi="Times New Roman" w:cs="Times New Roman"/>
            <w:lang w:val="fr-BE"/>
          </w:rPr>
          <w:t>EUR-Lex - 52025JC0791 - EN - EUR-Lex</w:t>
        </w:r>
      </w:hyperlink>
      <w:r w:rsidR="00E132C3" w:rsidRPr="006A2AEE">
        <w:rPr>
          <w:rFonts w:ascii="Times New Roman" w:hAnsi="Times New Roman" w:cs="Times New Roman"/>
          <w:lang w:val="fr-BE"/>
        </w:rPr>
        <w:t>).</w:t>
      </w:r>
    </w:p>
  </w:footnote>
  <w:footnote w:id="6">
    <w:p w14:paraId="2A3F2BE5" w14:textId="199A3A82" w:rsidR="00E90D24" w:rsidRPr="006A2AEE" w:rsidRDefault="00E90D24" w:rsidP="006A2AEE">
      <w:pPr>
        <w:pStyle w:val="FootnoteText"/>
        <w:widowControl w:val="0"/>
        <w:ind w:left="-567" w:right="-567"/>
        <w:jc w:val="both"/>
        <w:rPr>
          <w:rFonts w:ascii="Times New Roman" w:hAnsi="Times New Roman" w:cs="Times New Roman"/>
          <w:lang w:val="fr-BE"/>
        </w:rPr>
      </w:pPr>
      <w:r w:rsidRPr="008079DA">
        <w:rPr>
          <w:rStyle w:val="FootnoteReference"/>
          <w:rFonts w:ascii="Times New Roman" w:hAnsi="Times New Roman" w:cs="Times New Roman"/>
        </w:rPr>
        <w:footnoteRef/>
      </w:r>
      <w:r w:rsidRPr="006A2AEE">
        <w:rPr>
          <w:rFonts w:ascii="Times New Roman" w:hAnsi="Times New Roman" w:cs="Times New Roman"/>
          <w:lang w:val="fr-BE"/>
        </w:rPr>
        <w:t xml:space="preserve"> </w:t>
      </w:r>
      <w:r w:rsidR="00990F47" w:rsidRPr="006A2AEE">
        <w:rPr>
          <w:rFonts w:ascii="Times New Roman" w:hAnsi="Times New Roman" w:cs="Times New Roman"/>
          <w:lang w:val="fr-BE"/>
        </w:rPr>
        <w:tab/>
      </w:r>
      <w:r w:rsidRPr="006A2AEE">
        <w:rPr>
          <w:rFonts w:ascii="Times New Roman" w:hAnsi="Times New Roman" w:cs="Times New Roman"/>
          <w:lang w:val="fr-BE"/>
        </w:rPr>
        <w:t>COM/2025/790 final</w:t>
      </w:r>
      <w:r w:rsidR="00E132C3" w:rsidRPr="006A2AEE">
        <w:rPr>
          <w:rFonts w:ascii="Times New Roman" w:hAnsi="Times New Roman" w:cs="Times New Roman"/>
          <w:lang w:val="fr-BE"/>
        </w:rPr>
        <w:t xml:space="preserve"> (</w:t>
      </w:r>
      <w:hyperlink r:id="rId7" w:history="1">
        <w:r w:rsidR="00E132C3" w:rsidRPr="006A2AEE">
          <w:rPr>
            <w:rStyle w:val="Hyperlink"/>
            <w:rFonts w:ascii="Times New Roman" w:hAnsi="Times New Roman" w:cs="Times New Roman"/>
            <w:lang w:val="fr-BE"/>
          </w:rPr>
          <w:t>EUR-Lex - 52025DC0790 - EN - EUR-Lex</w:t>
        </w:r>
      </w:hyperlink>
      <w:r w:rsidR="00E132C3" w:rsidRPr="006A2AEE">
        <w:rPr>
          <w:rFonts w:ascii="Times New Roman" w:hAnsi="Times New Roman" w:cs="Times New Roman"/>
          <w:lang w:val="fr-BE"/>
        </w:rPr>
        <w:t>).</w:t>
      </w:r>
    </w:p>
  </w:footnote>
  <w:footnote w:id="7">
    <w:p w14:paraId="4037D1D5" w14:textId="64379B36" w:rsidR="00BC1B8A" w:rsidRPr="00F576EF" w:rsidRDefault="00BC1B8A" w:rsidP="006A2AEE">
      <w:pPr>
        <w:pStyle w:val="FootnoteText"/>
        <w:widowControl w:val="0"/>
        <w:ind w:left="-567" w:right="-567"/>
        <w:jc w:val="both"/>
        <w:rPr>
          <w:rFonts w:ascii="Times New Roman" w:hAnsi="Times New Roman" w:cs="Times New Roman"/>
        </w:rPr>
      </w:pPr>
      <w:r w:rsidRPr="004F63D0">
        <w:rPr>
          <w:rStyle w:val="FootnoteReference"/>
          <w:rFonts w:ascii="Times New Roman" w:hAnsi="Times New Roman" w:cs="Times New Roman"/>
        </w:rPr>
        <w:footnoteRef/>
      </w:r>
      <w:r w:rsidRPr="00F576EF">
        <w:rPr>
          <w:rFonts w:ascii="Times New Roman" w:hAnsi="Times New Roman" w:cs="Times New Roman"/>
        </w:rPr>
        <w:t xml:space="preserve"> </w:t>
      </w:r>
      <w:r w:rsidR="00990F47" w:rsidRPr="00F576EF">
        <w:rPr>
          <w:rFonts w:ascii="Times New Roman" w:hAnsi="Times New Roman" w:cs="Times New Roman"/>
        </w:rPr>
        <w:tab/>
      </w:r>
      <w:r w:rsidRPr="00F576EF">
        <w:rPr>
          <w:rFonts w:ascii="Times New Roman" w:hAnsi="Times New Roman" w:cs="Times New Roman"/>
        </w:rPr>
        <w:t>COM/2025/550 final</w:t>
      </w:r>
      <w:r w:rsidR="00E132C3" w:rsidRPr="00F576EF">
        <w:rPr>
          <w:rFonts w:ascii="Times New Roman" w:hAnsi="Times New Roman" w:cs="Times New Roman"/>
        </w:rPr>
        <w:t xml:space="preserve"> (</w:t>
      </w:r>
      <w:hyperlink r:id="rId8" w:history="1">
        <w:r w:rsidR="00E132C3" w:rsidRPr="00F576EF">
          <w:rPr>
            <w:rStyle w:val="Hyperlink"/>
            <w:rFonts w:ascii="Times New Roman" w:hAnsi="Times New Roman" w:cs="Times New Roman"/>
          </w:rPr>
          <w:t>EUR-Lex - 52025PC0550 - EN - EUR-Lex</w:t>
        </w:r>
      </w:hyperlink>
      <w:r w:rsidR="00E132C3" w:rsidRPr="00F576EF">
        <w:rPr>
          <w:rFonts w:ascii="Times New Roman" w:hAnsi="Times New Roman" w:cs="Times New Roman"/>
        </w:rPr>
        <w:t>)</w:t>
      </w:r>
      <w:r w:rsidR="00DA7F69" w:rsidRPr="00F576EF">
        <w:rPr>
          <w:rFonts w:ascii="Times New Roman" w:hAnsi="Times New Roman" w:cs="Times New Roman"/>
        </w:rPr>
        <w:t>.</w:t>
      </w:r>
    </w:p>
  </w:footnote>
  <w:footnote w:id="8">
    <w:p w14:paraId="68228D11" w14:textId="4B568826" w:rsidR="00EC1F74" w:rsidRPr="004F63D0" w:rsidRDefault="00EC1F74" w:rsidP="006A2AEE">
      <w:pPr>
        <w:pStyle w:val="FootnoteText"/>
        <w:widowControl w:val="0"/>
        <w:ind w:left="-567" w:right="-567"/>
        <w:jc w:val="both"/>
        <w:rPr>
          <w:rFonts w:ascii="Times New Roman" w:hAnsi="Times New Roman" w:cs="Times New Roman"/>
          <w:kern w:val="0"/>
          <w:lang w:eastAsia="en-IE"/>
        </w:rPr>
      </w:pPr>
      <w:r w:rsidRPr="004F63D0">
        <w:rPr>
          <w:rStyle w:val="FootnoteReference"/>
          <w:rFonts w:ascii="Times New Roman" w:hAnsi="Times New Roman" w:cs="Times New Roman"/>
        </w:rPr>
        <w:footnoteRef/>
      </w:r>
      <w:r w:rsidRPr="004F63D0">
        <w:rPr>
          <w:rFonts w:ascii="Times New Roman" w:hAnsi="Times New Roman" w:cs="Times New Roman"/>
        </w:rPr>
        <w:t xml:space="preserve"> </w:t>
      </w:r>
      <w:r w:rsidR="00990F47" w:rsidRPr="004F63D0">
        <w:rPr>
          <w:rFonts w:ascii="Times New Roman" w:hAnsi="Times New Roman" w:cs="Times New Roman"/>
        </w:rPr>
        <w:tab/>
      </w:r>
      <w:hyperlink r:id="rId9" w:history="1">
        <w:r w:rsidRPr="004F63D0">
          <w:rPr>
            <w:rStyle w:val="Hyperlink"/>
            <w:rFonts w:ascii="Times New Roman" w:hAnsi="Times New Roman" w:cs="Times New Roman"/>
            <w:kern w:val="0"/>
            <w:lang w:eastAsia="en-IE"/>
          </w:rPr>
          <w:t>Directive (EU) 2024/1500 of the European Parliament and of the Council of 14 May 2024</w:t>
        </w:r>
        <w:r w:rsidR="00A02DBC" w:rsidRPr="004F63D0">
          <w:rPr>
            <w:rStyle w:val="Hyperlink"/>
            <w:rFonts w:ascii="Times New Roman" w:hAnsi="Times New Roman" w:cs="Times New Roman"/>
            <w:kern w:val="0"/>
            <w:lang w:eastAsia="en-IE"/>
          </w:rPr>
          <w:t xml:space="preserve"> on standards for equality bodies</w:t>
        </w:r>
        <w:r w:rsidR="00932BDE" w:rsidRPr="004F63D0">
          <w:rPr>
            <w:rStyle w:val="Hyperlink"/>
            <w:rFonts w:ascii="Times New Roman" w:hAnsi="Times New Roman" w:cs="Times New Roman"/>
            <w:kern w:val="0"/>
            <w:lang w:eastAsia="en-IE"/>
          </w:rPr>
          <w:t xml:space="preserve"> </w:t>
        </w:r>
        <w:r w:rsidR="00932BDE" w:rsidRPr="006A2AEE">
          <w:rPr>
            <w:rStyle w:val="Hyperlink"/>
            <w:rFonts w:ascii="Times New Roman" w:hAnsi="Times New Roman" w:cs="Times New Roman"/>
            <w:kern w:val="0"/>
            <w:lang w:eastAsia="en-IE"/>
          </w:rPr>
          <w:t>in the field of equal treatment and equal opportunities between women and men in matters of employment and occupation</w:t>
        </w:r>
        <w:r w:rsidR="00A02DBC" w:rsidRPr="008079DA">
          <w:rPr>
            <w:rStyle w:val="Hyperlink"/>
            <w:rFonts w:ascii="Times New Roman" w:hAnsi="Times New Roman" w:cs="Times New Roman"/>
            <w:kern w:val="0"/>
            <w:lang w:eastAsia="en-IE"/>
          </w:rPr>
          <w:t xml:space="preserve"> </w:t>
        </w:r>
      </w:hyperlink>
      <w:r w:rsidR="002D4F92" w:rsidRPr="006A2AEE">
        <w:rPr>
          <w:rFonts w:ascii="Times New Roman" w:hAnsi="Times New Roman" w:cs="Times New Roman"/>
        </w:rPr>
        <w:t>(</w:t>
      </w:r>
      <w:hyperlink r:id="rId10" w:tooltip="Gives access to this document through its ELI URI." w:history="1">
        <w:r w:rsidR="00932BDE" w:rsidRPr="006A2AEE">
          <w:rPr>
            <w:rStyle w:val="Hyperlink"/>
            <w:rFonts w:ascii="Times New Roman" w:hAnsi="Times New Roman" w:cs="Times New Roman"/>
          </w:rPr>
          <w:t>http://data.europa.eu/eli/dir/2024/1500/oj</w:t>
        </w:r>
      </w:hyperlink>
      <w:r w:rsidR="00932BDE" w:rsidRPr="006A2AEE">
        <w:rPr>
          <w:rFonts w:ascii="Times New Roman" w:hAnsi="Times New Roman" w:cs="Times New Roman"/>
        </w:rPr>
        <w:t>)</w:t>
      </w:r>
      <w:r w:rsidR="005A3F8C" w:rsidRPr="004F63D0">
        <w:rPr>
          <w:rFonts w:ascii="Times New Roman" w:hAnsi="Times New Roman" w:cs="Times New Roman"/>
          <w:kern w:val="0"/>
          <w:lang w:eastAsia="en-IE"/>
        </w:rPr>
        <w:t xml:space="preserve"> </w:t>
      </w:r>
      <w:r w:rsidR="002D4F92" w:rsidRPr="004F63D0">
        <w:rPr>
          <w:rFonts w:ascii="Times New Roman" w:hAnsi="Times New Roman" w:cs="Times New Roman"/>
          <w:kern w:val="0"/>
          <w:lang w:eastAsia="en-IE"/>
        </w:rPr>
        <w:t xml:space="preserve">and </w:t>
      </w:r>
      <w:r w:rsidR="002D4F92" w:rsidRPr="006A2AEE">
        <w:rPr>
          <w:rFonts w:ascii="Times New Roman" w:hAnsi="Times New Roman" w:cs="Times New Roman"/>
          <w:kern w:val="0"/>
          <w:lang w:eastAsia="en-IE"/>
        </w:rPr>
        <w:t>Council Directive (EU) 2024/1499 of 7 May 2024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w:t>
      </w:r>
      <w:r w:rsidR="002D4F92" w:rsidRPr="004F63D0">
        <w:rPr>
          <w:rFonts w:ascii="Times New Roman" w:hAnsi="Times New Roman" w:cs="Times New Roman"/>
          <w:kern w:val="0"/>
          <w:lang w:eastAsia="en-IE"/>
        </w:rPr>
        <w:t xml:space="preserve"> (</w:t>
      </w:r>
      <w:hyperlink r:id="rId11" w:tooltip="Gives access to this document through its ELI URI." w:history="1">
        <w:r w:rsidR="002D4F92" w:rsidRPr="004F63D0">
          <w:rPr>
            <w:rStyle w:val="Hyperlink"/>
            <w:rFonts w:ascii="Times New Roman" w:hAnsi="Times New Roman" w:cs="Times New Roman"/>
            <w:kern w:val="0"/>
            <w:lang w:eastAsia="en-IE"/>
          </w:rPr>
          <w:t>http://data.europa.eu/eli/dir/2024/1499/oj</w:t>
        </w:r>
      </w:hyperlink>
      <w:r w:rsidR="002D4F92" w:rsidRPr="004F63D0">
        <w:rPr>
          <w:rFonts w:ascii="Times New Roman" w:hAnsi="Times New Roman" w:cs="Times New Roman"/>
          <w:kern w:val="0"/>
          <w:lang w:eastAsia="en-IE"/>
        </w:rPr>
        <w:t>)</w:t>
      </w:r>
      <w:r w:rsidR="005A3F8C" w:rsidRPr="004F63D0">
        <w:rPr>
          <w:rFonts w:ascii="Times New Roman" w:hAnsi="Times New Roman" w:cs="Times New Roman"/>
          <w:kern w:val="0"/>
          <w:lang w:eastAsia="en-IE"/>
        </w:rPr>
        <w:t>.</w:t>
      </w:r>
    </w:p>
  </w:footnote>
  <w:footnote w:id="9">
    <w:p w14:paraId="05D75A78" w14:textId="66332C58" w:rsidR="00A20C60" w:rsidRPr="008079DA" w:rsidRDefault="00A20C60" w:rsidP="006A2AEE">
      <w:pPr>
        <w:pStyle w:val="FootnoteText"/>
        <w:widowControl w:val="0"/>
        <w:ind w:left="-567" w:right="-567"/>
        <w:jc w:val="both"/>
        <w:rPr>
          <w:rFonts w:ascii="Times New Roman" w:hAnsi="Times New Roman" w:cs="Times New Roman"/>
        </w:rPr>
      </w:pPr>
      <w:r w:rsidRPr="008079DA">
        <w:rPr>
          <w:rStyle w:val="FootnoteReference"/>
          <w:rFonts w:ascii="Times New Roman" w:hAnsi="Times New Roman" w:cs="Times New Roman"/>
        </w:rPr>
        <w:footnoteRef/>
      </w:r>
      <w:r w:rsidRPr="008079DA">
        <w:rPr>
          <w:rFonts w:ascii="Times New Roman" w:hAnsi="Times New Roman" w:cs="Times New Roman"/>
        </w:rPr>
        <w:t xml:space="preserve"> </w:t>
      </w:r>
      <w:r w:rsidR="00990F47" w:rsidRPr="008079DA">
        <w:rPr>
          <w:rFonts w:ascii="Times New Roman" w:hAnsi="Times New Roman" w:cs="Times New Roman"/>
        </w:rPr>
        <w:tab/>
      </w:r>
      <w:hyperlink r:id="rId12" w:anchor="fragment2" w:history="1">
        <w:r w:rsidR="00990F47" w:rsidRPr="008079DA">
          <w:rPr>
            <w:rStyle w:val="Hyperlink"/>
            <w:rFonts w:ascii="Times New Roman" w:hAnsi="Times New Roman" w:cs="Times New Roman"/>
          </w:rPr>
          <w:t>https://ec.europa.eu/health/social_determinants/projects/ep_funded_projects_en#fragment2</w:t>
        </w:r>
      </w:hyperlink>
      <w:r w:rsidR="00E132C3" w:rsidRPr="008079DA">
        <w:rPr>
          <w:rFonts w:ascii="Times New Roman" w:hAnsi="Times New Roman" w:cs="Times New Roman"/>
        </w:rPr>
        <w:t>.</w:t>
      </w:r>
      <w:r w:rsidRPr="008079DA">
        <w:rPr>
          <w:rFonts w:ascii="Times New Roman" w:hAnsi="Times New Roman" w:cs="Times New Roman"/>
        </w:rPr>
        <w:t xml:space="preserve"> </w:t>
      </w:r>
    </w:p>
  </w:footnote>
  <w:footnote w:id="10">
    <w:p w14:paraId="46743319" w14:textId="0BD61198" w:rsidR="00A20C60" w:rsidRPr="008079DA" w:rsidRDefault="00A20C60" w:rsidP="006A2AEE">
      <w:pPr>
        <w:pStyle w:val="FootnoteText"/>
        <w:widowControl w:val="0"/>
        <w:ind w:left="-567" w:right="-567"/>
        <w:jc w:val="both"/>
        <w:rPr>
          <w:rFonts w:ascii="Times New Roman" w:hAnsi="Times New Roman" w:cs="Times New Roman"/>
        </w:rPr>
      </w:pPr>
      <w:r w:rsidRPr="008079DA">
        <w:rPr>
          <w:rStyle w:val="FootnoteReference"/>
          <w:rFonts w:ascii="Times New Roman" w:hAnsi="Times New Roman" w:cs="Times New Roman"/>
        </w:rPr>
        <w:footnoteRef/>
      </w:r>
      <w:r w:rsidRPr="008079DA">
        <w:rPr>
          <w:rFonts w:ascii="Times New Roman" w:hAnsi="Times New Roman" w:cs="Times New Roman"/>
        </w:rPr>
        <w:t xml:space="preserve"> </w:t>
      </w:r>
      <w:r w:rsidR="00990F47" w:rsidRPr="008079DA">
        <w:rPr>
          <w:rFonts w:ascii="Times New Roman" w:hAnsi="Times New Roman" w:cs="Times New Roman"/>
        </w:rPr>
        <w:tab/>
      </w:r>
      <w:hyperlink r:id="rId13" w:history="1">
        <w:r w:rsidR="00990F47" w:rsidRPr="008079DA">
          <w:rPr>
            <w:rStyle w:val="Hyperlink"/>
            <w:rFonts w:ascii="Times New Roman" w:hAnsi="Times New Roman" w:cs="Times New Roman"/>
          </w:rPr>
          <w:t>https://webgate.ec.europa.eu/hpf/page/show/505</w:t>
        </w:r>
      </w:hyperlink>
      <w:r w:rsidR="00E132C3" w:rsidRPr="008079DA">
        <w:rPr>
          <w:rFonts w:ascii="Times New Roman" w:hAnsi="Times New Roman" w:cs="Times New Roman"/>
        </w:rPr>
        <w:t>.</w:t>
      </w:r>
      <w:r w:rsidR="0046663B" w:rsidRPr="008079DA">
        <w:rPr>
          <w:rFonts w:ascii="Times New Roman" w:hAnsi="Times New Roman" w:cs="Times New Roman"/>
        </w:rPr>
        <w:t xml:space="preserve"> </w:t>
      </w:r>
    </w:p>
  </w:footnote>
  <w:footnote w:id="11">
    <w:p w14:paraId="0FB24349" w14:textId="5E7653E3" w:rsidR="00A20C60" w:rsidRPr="008079DA" w:rsidRDefault="00A20C60" w:rsidP="006A2AEE">
      <w:pPr>
        <w:pStyle w:val="FootnoteText"/>
        <w:widowControl w:val="0"/>
        <w:ind w:left="-567" w:right="-567"/>
        <w:jc w:val="both"/>
        <w:rPr>
          <w:rFonts w:ascii="Times New Roman" w:hAnsi="Times New Roman" w:cs="Times New Roman"/>
        </w:rPr>
      </w:pPr>
      <w:r w:rsidRPr="008079DA">
        <w:rPr>
          <w:rStyle w:val="FootnoteReference"/>
          <w:rFonts w:ascii="Times New Roman" w:hAnsi="Times New Roman" w:cs="Times New Roman"/>
        </w:rPr>
        <w:footnoteRef/>
      </w:r>
      <w:r w:rsidRPr="008079DA">
        <w:rPr>
          <w:rFonts w:ascii="Times New Roman" w:hAnsi="Times New Roman" w:cs="Times New Roman"/>
        </w:rPr>
        <w:t xml:space="preserve"> </w:t>
      </w:r>
      <w:r w:rsidR="00990F47" w:rsidRPr="008079DA">
        <w:rPr>
          <w:rFonts w:ascii="Times New Roman" w:hAnsi="Times New Roman" w:cs="Times New Roman"/>
        </w:rPr>
        <w:tab/>
      </w:r>
      <w:hyperlink r:id="rId14" w:history="1">
        <w:r w:rsidR="00990F47" w:rsidRPr="008079DA">
          <w:rPr>
            <w:rStyle w:val="Hyperlink"/>
            <w:rFonts w:ascii="Times New Roman" w:hAnsi="Times New Roman" w:cs="Times New Roman"/>
          </w:rPr>
          <w:t>https://webgate.ec.europa.eu/dyna/bp-portal/</w:t>
        </w:r>
      </w:hyperlink>
      <w:r w:rsidR="00E132C3" w:rsidRPr="008079DA">
        <w:rPr>
          <w:rFonts w:ascii="Times New Roman" w:hAnsi="Times New Roman" w:cs="Times New Roman"/>
        </w:rPr>
        <w:t>.</w:t>
      </w:r>
      <w:r w:rsidR="007C47D2" w:rsidRPr="008079DA">
        <w:rPr>
          <w:rFonts w:ascii="Times New Roman" w:hAnsi="Times New Roman" w:cs="Times New Roman"/>
        </w:rPr>
        <w:t xml:space="preserve"> </w:t>
      </w:r>
    </w:p>
  </w:footnote>
  <w:footnote w:id="12">
    <w:p w14:paraId="6EE4AC9F" w14:textId="6F83C2BF" w:rsidR="007C47D2" w:rsidRPr="006A2AEE" w:rsidRDefault="007C47D2" w:rsidP="006A2AEE">
      <w:pPr>
        <w:pStyle w:val="FootnoteText"/>
        <w:widowControl w:val="0"/>
        <w:ind w:left="-567" w:right="-567"/>
        <w:jc w:val="both"/>
        <w:rPr>
          <w:rFonts w:ascii="Times New Roman" w:hAnsi="Times New Roman" w:cs="Times New Roman"/>
          <w:lang w:val="fr-BE"/>
        </w:rPr>
      </w:pPr>
      <w:r w:rsidRPr="008079DA">
        <w:rPr>
          <w:rStyle w:val="FootnoteReference"/>
          <w:rFonts w:ascii="Times New Roman" w:hAnsi="Times New Roman" w:cs="Times New Roman"/>
        </w:rPr>
        <w:footnoteRef/>
      </w:r>
      <w:r w:rsidRPr="006A2AEE">
        <w:rPr>
          <w:rFonts w:ascii="Times New Roman" w:hAnsi="Times New Roman" w:cs="Times New Roman"/>
          <w:lang w:val="fr-BE"/>
        </w:rPr>
        <w:t xml:space="preserve"> </w:t>
      </w:r>
      <w:r w:rsidR="00E132C3" w:rsidRPr="006A2AEE">
        <w:rPr>
          <w:rFonts w:ascii="Times New Roman" w:hAnsi="Times New Roman" w:cs="Times New Roman"/>
          <w:lang w:val="fr-BE"/>
        </w:rPr>
        <w:tab/>
      </w:r>
      <w:r w:rsidR="00223A3F" w:rsidRPr="006A2AEE">
        <w:rPr>
          <w:rFonts w:ascii="Times New Roman" w:hAnsi="Times New Roman" w:cs="Times New Roman"/>
          <w:lang w:val="fr-BE"/>
        </w:rPr>
        <w:t>COM/2023/298 final</w:t>
      </w:r>
      <w:r w:rsidR="00E132C3" w:rsidRPr="006A2AEE">
        <w:rPr>
          <w:rFonts w:ascii="Times New Roman" w:hAnsi="Times New Roman" w:cs="Times New Roman"/>
          <w:lang w:val="fr-BE"/>
        </w:rPr>
        <w:t xml:space="preserve"> (</w:t>
      </w:r>
      <w:hyperlink r:id="rId15" w:history="1">
        <w:r w:rsidR="00E132C3" w:rsidRPr="006A2AEE">
          <w:rPr>
            <w:rStyle w:val="Hyperlink"/>
            <w:rFonts w:ascii="Times New Roman" w:hAnsi="Times New Roman" w:cs="Times New Roman"/>
            <w:lang w:val="fr-BE"/>
          </w:rPr>
          <w:t>EUR-Lex - 52023DC0298 - EN - EUR-Lex</w:t>
        </w:r>
      </w:hyperlink>
      <w:r w:rsidR="00E132C3" w:rsidRPr="006A2AEE">
        <w:rPr>
          <w:rFonts w:ascii="Times New Roman" w:hAnsi="Times New Roman" w:cs="Times New Roman"/>
          <w:lang w:val="fr-BE"/>
        </w:rPr>
        <w:t>)</w:t>
      </w:r>
      <w:r w:rsidR="00AE0BAC" w:rsidRPr="006A2AEE">
        <w:rPr>
          <w:rFonts w:ascii="Times New Roman" w:hAnsi="Times New Roman" w:cs="Times New Roman"/>
          <w:lang w:val="fr-BE"/>
        </w:rPr>
        <w:t>.</w:t>
      </w:r>
    </w:p>
  </w:footnote>
  <w:footnote w:id="13">
    <w:p w14:paraId="48A58A35" w14:textId="214910B6" w:rsidR="1E53EBA2" w:rsidRPr="00024DD9" w:rsidRDefault="1E53EBA2" w:rsidP="006A2AEE">
      <w:pPr>
        <w:pStyle w:val="NoSpacing"/>
        <w:widowControl w:val="0"/>
        <w:ind w:left="-567"/>
        <w:jc w:val="both"/>
        <w:rPr>
          <w:rStyle w:val="Hyperlink"/>
          <w:rFonts w:ascii="Times New Roman" w:eastAsia="Times New Roman" w:hAnsi="Times New Roman" w:cs="Times New Roman"/>
          <w:sz w:val="20"/>
          <w:szCs w:val="20"/>
          <w:lang w:val="fr-BE" w:eastAsia="en-US"/>
        </w:rPr>
      </w:pPr>
      <w:r w:rsidRPr="00024DD9">
        <w:rPr>
          <w:rFonts w:ascii="Times New Roman" w:hAnsi="Times New Roman" w:cs="Times New Roman"/>
          <w:sz w:val="20"/>
          <w:szCs w:val="20"/>
          <w:vertAlign w:val="superscript"/>
        </w:rPr>
        <w:footnoteRef/>
      </w:r>
      <w:r w:rsidRPr="00024DD9">
        <w:rPr>
          <w:rFonts w:ascii="Times New Roman" w:hAnsi="Times New Roman" w:cs="Times New Roman"/>
          <w:sz w:val="20"/>
          <w:szCs w:val="20"/>
          <w:lang w:val="fr-BE"/>
        </w:rPr>
        <w:t xml:space="preserve"> </w:t>
      </w:r>
      <w:r w:rsidR="00E132C3" w:rsidRPr="00024DD9">
        <w:rPr>
          <w:rFonts w:ascii="Times New Roman" w:hAnsi="Times New Roman" w:cs="Times New Roman"/>
          <w:sz w:val="20"/>
          <w:szCs w:val="20"/>
          <w:lang w:val="fr-BE"/>
        </w:rPr>
        <w:tab/>
      </w:r>
      <w:hyperlink r:id="rId16" w:history="1">
        <w:r w:rsidR="00E132C3" w:rsidRPr="00024DD9">
          <w:rPr>
            <w:rStyle w:val="Hyperlink"/>
            <w:rFonts w:ascii="Times New Roman" w:eastAsia="Times New Roman" w:hAnsi="Times New Roman" w:cs="Times New Roman"/>
            <w:sz w:val="20"/>
            <w:szCs w:val="20"/>
            <w:lang w:val="fr-BE"/>
          </w:rPr>
          <w:t>https://health.ec.europa.eu/non-communicable-diseases/mental-health_en</w:t>
        </w:r>
      </w:hyperlink>
      <w:r w:rsidR="00E132C3" w:rsidRPr="00024DD9">
        <w:rPr>
          <w:rFonts w:ascii="Times New Roman" w:eastAsia="Times New Roman" w:hAnsi="Times New Roman" w:cs="Times New Roman"/>
          <w:sz w:val="20"/>
          <w:szCs w:val="20"/>
          <w:lang w:val="fr-BE"/>
        </w:rPr>
        <w:t>.</w:t>
      </w:r>
    </w:p>
  </w:footnote>
  <w:footnote w:id="14">
    <w:p w14:paraId="2E3025FF" w14:textId="34C99E3C" w:rsidR="003D4FFC" w:rsidRPr="00024DD9" w:rsidRDefault="003D4FFC" w:rsidP="006A2AEE">
      <w:pPr>
        <w:pStyle w:val="FootnoteText"/>
        <w:widowControl w:val="0"/>
        <w:ind w:left="-567" w:right="-567"/>
        <w:jc w:val="both"/>
        <w:rPr>
          <w:rFonts w:ascii="Times New Roman" w:hAnsi="Times New Roman" w:cs="Times New Roman"/>
          <w:lang w:val="pt-PT"/>
        </w:rPr>
      </w:pPr>
      <w:r w:rsidRPr="00024DD9">
        <w:rPr>
          <w:rStyle w:val="FootnoteReference"/>
          <w:rFonts w:ascii="Times New Roman" w:hAnsi="Times New Roman" w:cs="Times New Roman"/>
        </w:rPr>
        <w:footnoteRef/>
      </w:r>
      <w:r w:rsidRPr="00024DD9">
        <w:rPr>
          <w:rFonts w:ascii="Times New Roman" w:hAnsi="Times New Roman" w:cs="Times New Roman"/>
          <w:lang w:val="pt-PT"/>
        </w:rPr>
        <w:t xml:space="preserve"> </w:t>
      </w:r>
      <w:r w:rsidR="00E132C3" w:rsidRPr="00024DD9">
        <w:rPr>
          <w:rFonts w:ascii="Times New Roman" w:hAnsi="Times New Roman" w:cs="Times New Roman"/>
          <w:lang w:val="pt-PT"/>
        </w:rPr>
        <w:tab/>
      </w:r>
      <w:r w:rsidR="0005228F" w:rsidRPr="00024DD9">
        <w:rPr>
          <w:rFonts w:ascii="Times New Roman" w:hAnsi="Times New Roman" w:cs="Times New Roman"/>
          <w:lang w:val="pt-PT"/>
        </w:rPr>
        <w:t>COM/2026/3333 final</w:t>
      </w:r>
      <w:r w:rsidR="00E132C3" w:rsidRPr="00024DD9">
        <w:rPr>
          <w:rFonts w:ascii="Times New Roman" w:hAnsi="Times New Roman" w:cs="Times New Roman"/>
          <w:lang w:val="pt-PT"/>
        </w:rPr>
        <w:t xml:space="preserve"> (</w:t>
      </w:r>
      <w:hyperlink r:id="rId17" w:history="1">
        <w:r w:rsidR="00E132C3" w:rsidRPr="00024DD9">
          <w:rPr>
            <w:rStyle w:val="Hyperlink"/>
            <w:rFonts w:ascii="Times New Roman" w:hAnsi="Times New Roman" w:cs="Times New Roman"/>
            <w:lang w:val="pt-PT"/>
          </w:rPr>
          <w:t>1de84b11-b269-479a-a46f-796aca71235e_en</w:t>
        </w:r>
      </w:hyperlink>
      <w:r w:rsidR="00E132C3" w:rsidRPr="00024DD9">
        <w:rPr>
          <w:rFonts w:ascii="Times New Roman" w:hAnsi="Times New Roman" w:cs="Times New Roman"/>
          <w:lang w:val="pt-PT"/>
        </w:rPr>
        <w:t>)</w:t>
      </w:r>
      <w:r w:rsidR="0005228F" w:rsidRPr="00024DD9">
        <w:rPr>
          <w:rFonts w:ascii="Times New Roman" w:hAnsi="Times New Roman" w:cs="Times New Roman"/>
          <w:lang w:val="pt-PT"/>
        </w:rPr>
        <w:t>.</w:t>
      </w:r>
    </w:p>
  </w:footnote>
  <w:footnote w:id="15">
    <w:p w14:paraId="052EBD01" w14:textId="7E3EFC5F" w:rsidR="00841CA6" w:rsidRPr="00024DD9" w:rsidRDefault="00841CA6" w:rsidP="006A2AEE">
      <w:pPr>
        <w:pStyle w:val="FootnoteText"/>
        <w:widowControl w:val="0"/>
        <w:ind w:left="-567" w:right="-567"/>
        <w:jc w:val="both"/>
        <w:rPr>
          <w:rFonts w:ascii="Times New Roman" w:hAnsi="Times New Roman" w:cs="Times New Roman"/>
          <w:lang w:val="fr-BE"/>
        </w:rPr>
      </w:pPr>
      <w:r w:rsidRPr="00024DD9">
        <w:rPr>
          <w:rStyle w:val="FootnoteReference"/>
          <w:rFonts w:ascii="Times New Roman" w:hAnsi="Times New Roman" w:cs="Times New Roman"/>
        </w:rPr>
        <w:footnoteRef/>
      </w:r>
      <w:r w:rsidRPr="00024DD9">
        <w:rPr>
          <w:rFonts w:ascii="Times New Roman" w:hAnsi="Times New Roman" w:cs="Times New Roman"/>
          <w:lang w:val="fr-BE"/>
        </w:rPr>
        <w:t xml:space="preserve"> </w:t>
      </w:r>
      <w:r w:rsidR="00E132C3" w:rsidRPr="00024DD9">
        <w:rPr>
          <w:rFonts w:ascii="Times New Roman" w:hAnsi="Times New Roman" w:cs="Times New Roman"/>
          <w:lang w:val="fr-BE"/>
        </w:rPr>
        <w:tab/>
      </w:r>
      <w:r w:rsidR="00E5177A" w:rsidRPr="00024DD9">
        <w:rPr>
          <w:rFonts w:ascii="Times New Roman" w:hAnsi="Times New Roman" w:cs="Times New Roman"/>
          <w:lang w:val="fr-BE"/>
        </w:rPr>
        <w:t>COM</w:t>
      </w:r>
      <w:r w:rsidR="00223A3F" w:rsidRPr="00024DD9">
        <w:rPr>
          <w:rFonts w:ascii="Times New Roman" w:hAnsi="Times New Roman" w:cs="Times New Roman"/>
          <w:lang w:val="fr-BE"/>
        </w:rPr>
        <w:t>/</w:t>
      </w:r>
      <w:r w:rsidR="00E5177A" w:rsidRPr="00024DD9">
        <w:rPr>
          <w:rFonts w:ascii="Times New Roman" w:hAnsi="Times New Roman" w:cs="Times New Roman"/>
          <w:lang w:val="fr-BE"/>
        </w:rPr>
        <w:t>2025</w:t>
      </w:r>
      <w:r w:rsidR="00223A3F" w:rsidRPr="00024DD9">
        <w:rPr>
          <w:rFonts w:ascii="Times New Roman" w:hAnsi="Times New Roman" w:cs="Times New Roman"/>
          <w:lang w:val="fr-BE"/>
        </w:rPr>
        <w:t>/</w:t>
      </w:r>
      <w:r w:rsidR="00E5177A" w:rsidRPr="00024DD9">
        <w:rPr>
          <w:rFonts w:ascii="Times New Roman" w:hAnsi="Times New Roman" w:cs="Times New Roman"/>
          <w:lang w:val="fr-BE"/>
        </w:rPr>
        <w:t>1025 final</w:t>
      </w:r>
      <w:r w:rsidR="00E132C3" w:rsidRPr="00024DD9">
        <w:rPr>
          <w:rFonts w:ascii="Times New Roman" w:hAnsi="Times New Roman" w:cs="Times New Roman"/>
          <w:lang w:val="fr-BE"/>
        </w:rPr>
        <w:t xml:space="preserve"> (</w:t>
      </w:r>
      <w:hyperlink r:id="rId18" w:history="1">
        <w:r w:rsidR="00E132C3" w:rsidRPr="00024DD9">
          <w:rPr>
            <w:rStyle w:val="Hyperlink"/>
            <w:rFonts w:ascii="Times New Roman" w:hAnsi="Times New Roman" w:cs="Times New Roman"/>
            <w:lang w:val="fr-BE"/>
          </w:rPr>
          <w:t>EUR-Lex - 52025DC1025 - EN - EUR-Lex</w:t>
        </w:r>
      </w:hyperlink>
      <w:r w:rsidR="00E132C3" w:rsidRPr="00024DD9">
        <w:rPr>
          <w:rFonts w:ascii="Times New Roman" w:hAnsi="Times New Roman" w:cs="Times New Roman"/>
          <w:lang w:val="fr-BE"/>
        </w:rPr>
        <w:t>)</w:t>
      </w:r>
      <w:r w:rsidRPr="00024DD9">
        <w:rPr>
          <w:rFonts w:ascii="Times New Roman" w:hAnsi="Times New Roman" w:cs="Times New Roman"/>
          <w:lang w:val="fr-BE"/>
        </w:rPr>
        <w:t>.</w:t>
      </w:r>
    </w:p>
  </w:footnote>
  <w:footnote w:id="16">
    <w:p w14:paraId="0454ABD0" w14:textId="296A4FA7" w:rsidR="00A965BB" w:rsidRPr="00024DD9" w:rsidRDefault="00A965BB" w:rsidP="006A2AEE">
      <w:pPr>
        <w:pStyle w:val="FootnoteText"/>
        <w:widowControl w:val="0"/>
        <w:ind w:left="-567" w:right="-567"/>
        <w:jc w:val="both"/>
        <w:rPr>
          <w:rFonts w:ascii="Times New Roman" w:hAnsi="Times New Roman" w:cs="Times New Roman"/>
          <w:lang w:val="fr-BE"/>
        </w:rPr>
      </w:pPr>
      <w:r w:rsidRPr="00024DD9">
        <w:rPr>
          <w:rStyle w:val="FootnoteReference"/>
          <w:rFonts w:ascii="Times New Roman" w:hAnsi="Times New Roman" w:cs="Times New Roman"/>
        </w:rPr>
        <w:footnoteRef/>
      </w:r>
      <w:r w:rsidRPr="00024DD9">
        <w:rPr>
          <w:rFonts w:ascii="Times New Roman" w:hAnsi="Times New Roman" w:cs="Times New Roman"/>
          <w:lang w:val="fr-BE"/>
        </w:rPr>
        <w:t xml:space="preserve"> </w:t>
      </w:r>
      <w:bookmarkStart w:id="0" w:name="_Hlk229994142"/>
      <w:r w:rsidR="00E132C3" w:rsidRPr="00024DD9">
        <w:rPr>
          <w:rFonts w:ascii="Times New Roman" w:hAnsi="Times New Roman" w:cs="Times New Roman"/>
          <w:lang w:val="fr-BE"/>
        </w:rPr>
        <w:tab/>
      </w:r>
      <w:r w:rsidR="00D252F0" w:rsidRPr="00024DD9">
        <w:rPr>
          <w:rFonts w:ascii="Times New Roman" w:hAnsi="Times New Roman" w:cs="Times New Roman"/>
          <w:lang w:val="fr-BE"/>
        </w:rPr>
        <w:t>COM/2026/538 final</w:t>
      </w:r>
      <w:r w:rsidR="008079DA" w:rsidRPr="00024DD9">
        <w:rPr>
          <w:rFonts w:ascii="Times New Roman" w:hAnsi="Times New Roman" w:cs="Times New Roman"/>
          <w:lang w:val="fr-BE"/>
        </w:rPr>
        <w:t xml:space="preserve"> (</w:t>
      </w:r>
      <w:hyperlink r:id="rId19" w:history="1">
        <w:r w:rsidR="008079DA" w:rsidRPr="00024DD9">
          <w:rPr>
            <w:rStyle w:val="Hyperlink"/>
            <w:rFonts w:ascii="Times New Roman" w:hAnsi="Times New Roman" w:cs="Times New Roman"/>
            <w:lang w:val="fr-BE"/>
          </w:rPr>
          <w:t>EUR-Lex - 52026DC0538 - EN - EUR-Lex</w:t>
        </w:r>
      </w:hyperlink>
      <w:r w:rsidR="008079DA" w:rsidRPr="00024DD9">
        <w:rPr>
          <w:rFonts w:ascii="Times New Roman" w:hAnsi="Times New Roman" w:cs="Times New Roman"/>
          <w:lang w:val="fr-BE"/>
        </w:rPr>
        <w:t>)</w:t>
      </w:r>
      <w:r w:rsidR="004616F3" w:rsidRPr="00024DD9">
        <w:rPr>
          <w:rFonts w:ascii="Times New Roman" w:hAnsi="Times New Roman" w:cs="Times New Roman"/>
          <w:lang w:val="fr-BE"/>
        </w:rPr>
        <w:t xml:space="preserve">. </w:t>
      </w:r>
      <w:bookmarkEnd w:id="0"/>
    </w:p>
  </w:footnote>
  <w:footnote w:id="17">
    <w:p w14:paraId="05BEE127" w14:textId="3C4CC511" w:rsidR="00D1166C" w:rsidRPr="00013DF8" w:rsidRDefault="00D1166C" w:rsidP="006A2AEE">
      <w:pPr>
        <w:pStyle w:val="FootnoteText"/>
        <w:widowControl w:val="0"/>
        <w:ind w:left="-567" w:right="-567"/>
        <w:jc w:val="both"/>
        <w:rPr>
          <w:rFonts w:ascii="Times New Roman" w:eastAsia="Times New Roman" w:hAnsi="Times New Roman" w:cs="Times New Roman"/>
        </w:rPr>
      </w:pPr>
      <w:r w:rsidRPr="00024DD9">
        <w:rPr>
          <w:rStyle w:val="FootnoteReference"/>
          <w:rFonts w:ascii="Times New Roman" w:hAnsi="Times New Roman" w:cs="Times New Roman"/>
        </w:rPr>
        <w:footnoteRef/>
      </w:r>
      <w:r w:rsidRPr="00024DD9">
        <w:rPr>
          <w:rFonts w:ascii="Times New Roman" w:hAnsi="Times New Roman" w:cs="Times New Roman"/>
        </w:rPr>
        <w:t xml:space="preserve"> </w:t>
      </w:r>
      <w:r w:rsidR="00E132C3" w:rsidRPr="00024DD9">
        <w:rPr>
          <w:rFonts w:ascii="Times New Roman" w:hAnsi="Times New Roman" w:cs="Times New Roman"/>
        </w:rPr>
        <w:tab/>
      </w:r>
      <w:r w:rsidRPr="00024DD9">
        <w:rPr>
          <w:rFonts w:ascii="Times New Roman" w:hAnsi="Times New Roman" w:cs="Times New Roman"/>
        </w:rPr>
        <w:t>Regulation of the European Parliament and of the Council laying down harmonised rules on artificial intelligence (artificial intelligence act)</w:t>
      </w:r>
      <w:r w:rsidR="00E132C3" w:rsidRPr="00024DD9">
        <w:rPr>
          <w:rFonts w:ascii="Times New Roman" w:hAnsi="Times New Roman" w:cs="Times New Roman"/>
        </w:rPr>
        <w:t xml:space="preserve"> (</w:t>
      </w:r>
      <w:hyperlink r:id="rId20" w:tooltip="Gives access to this document through its ELI URI." w:history="1">
        <w:r w:rsidR="00E132C3" w:rsidRPr="00024DD9">
          <w:rPr>
            <w:rFonts w:ascii="Times New Roman" w:hAnsi="Times New Roman" w:cs="Times New Roman"/>
          </w:rPr>
          <w:t>http://data.europa.eu/eli/reg/2024/1689/oj</w:t>
        </w:r>
      </w:hyperlink>
      <w:r w:rsidR="00E132C3" w:rsidRPr="00024DD9">
        <w:rPr>
          <w:rFonts w:ascii="Times New Roman" w:hAnsi="Times New Roman" w:cs="Times New Roman"/>
        </w:rPr>
        <w:t>).</w:t>
      </w:r>
    </w:p>
  </w:footnote>
  <w:footnote w:id="18">
    <w:p w14:paraId="0C557805" w14:textId="1FE3057E" w:rsidR="00762C86" w:rsidRPr="008079DA" w:rsidRDefault="00762C86" w:rsidP="006A2AEE">
      <w:pPr>
        <w:pStyle w:val="FootnoteText"/>
        <w:widowControl w:val="0"/>
        <w:ind w:left="-567" w:right="-567"/>
        <w:jc w:val="both"/>
        <w:rPr>
          <w:rFonts w:ascii="Times New Roman" w:hAnsi="Times New Roman" w:cs="Times New Roman"/>
        </w:rPr>
      </w:pPr>
      <w:r w:rsidRPr="00013DF8">
        <w:rPr>
          <w:rStyle w:val="FootnoteReference"/>
          <w:rFonts w:ascii="Times New Roman" w:hAnsi="Times New Roman" w:cs="Times New Roman"/>
        </w:rPr>
        <w:footnoteRef/>
      </w:r>
      <w:r w:rsidRPr="00013DF8">
        <w:rPr>
          <w:rFonts w:ascii="Times New Roman" w:hAnsi="Times New Roman" w:cs="Times New Roman"/>
        </w:rPr>
        <w:t xml:space="preserve"> </w:t>
      </w:r>
      <w:r w:rsidR="008079DA" w:rsidRPr="008079DA">
        <w:rPr>
          <w:rFonts w:ascii="Times New Roman" w:hAnsi="Times New Roman" w:cs="Times New Roman"/>
        </w:rPr>
        <w:tab/>
      </w:r>
      <w:hyperlink r:id="rId21" w:history="1">
        <w:r w:rsidR="008079DA" w:rsidRPr="008079DA">
          <w:rPr>
            <w:rStyle w:val="Hyperlink"/>
            <w:rFonts w:ascii="Times New Roman" w:hAnsi="Times New Roman" w:cs="Times New Roman"/>
          </w:rPr>
          <w:t>https://digital-strategy.ec.europa.eu/en/library/code-conduct-countering-illegal-hate-speech-online</w:t>
        </w:r>
      </w:hyperlink>
      <w:r w:rsidR="0032300C">
        <w:rPr>
          <w:rFonts w:ascii="Times New Roman" w:hAnsi="Times New Roman" w:cs="Times New Roman"/>
        </w:rPr>
        <w:t>.</w:t>
      </w:r>
    </w:p>
  </w:footnote>
  <w:footnote w:id="19">
    <w:p w14:paraId="45EA085F" w14:textId="499A5EA8" w:rsidR="00762C86" w:rsidRPr="008079DA" w:rsidRDefault="00762C86" w:rsidP="006A2AEE">
      <w:pPr>
        <w:pStyle w:val="FootnoteText"/>
        <w:widowControl w:val="0"/>
        <w:ind w:left="-567"/>
        <w:jc w:val="both"/>
        <w:rPr>
          <w:rFonts w:ascii="Times New Roman" w:hAnsi="Times New Roman" w:cs="Times New Roman"/>
        </w:rPr>
      </w:pPr>
      <w:r w:rsidRPr="008079DA">
        <w:rPr>
          <w:rStyle w:val="FootnoteReference"/>
          <w:rFonts w:ascii="Times New Roman" w:hAnsi="Times New Roman" w:cs="Times New Roman"/>
        </w:rPr>
        <w:footnoteRef/>
      </w:r>
      <w:r w:rsidRPr="008079DA">
        <w:rPr>
          <w:rFonts w:ascii="Times New Roman" w:hAnsi="Times New Roman" w:cs="Times New Roman"/>
        </w:rPr>
        <w:t xml:space="preserve"> </w:t>
      </w:r>
      <w:r w:rsidR="008079DA" w:rsidRPr="008079DA">
        <w:rPr>
          <w:rFonts w:ascii="Times New Roman" w:hAnsi="Times New Roman" w:cs="Times New Roman"/>
        </w:rPr>
        <w:tab/>
      </w:r>
      <w:hyperlink r:id="rId22" w:history="1">
        <w:r w:rsidR="008079DA" w:rsidRPr="008079DA">
          <w:rPr>
            <w:rStyle w:val="Hyperlink"/>
            <w:rFonts w:ascii="Times New Roman" w:hAnsi="Times New Roman" w:cs="Times New Roman"/>
          </w:rPr>
          <w:t>https://digital-strategy.ec.europa.eu/en/news/first-results-published-under-revised-code-conduct-countering-illegal-hate-speech-online</w:t>
        </w:r>
      </w:hyperlink>
      <w:r w:rsidRPr="008079DA">
        <w:rPr>
          <w:rFonts w:ascii="Times New Roman" w:hAnsi="Times New Roman" w:cs="Times New Roman"/>
        </w:rPr>
        <w:t xml:space="preserve"> </w:t>
      </w:r>
    </w:p>
  </w:footnote>
  <w:footnote w:id="20">
    <w:p w14:paraId="61A8ADB2" w14:textId="5CB3A8F7" w:rsidR="008A2CE8" w:rsidRPr="008079DA" w:rsidRDefault="008A2CE8" w:rsidP="006A2AEE">
      <w:pPr>
        <w:pStyle w:val="FootnoteText"/>
        <w:widowControl w:val="0"/>
        <w:ind w:left="-567"/>
        <w:jc w:val="both"/>
        <w:rPr>
          <w:rFonts w:ascii="Times New Roman" w:hAnsi="Times New Roman" w:cs="Times New Roman"/>
          <w:lang w:val="pt-PT"/>
        </w:rPr>
      </w:pPr>
      <w:r w:rsidRPr="008079DA">
        <w:rPr>
          <w:rStyle w:val="FootnoteReference"/>
          <w:rFonts w:ascii="Times New Roman" w:hAnsi="Times New Roman" w:cs="Times New Roman"/>
        </w:rPr>
        <w:footnoteRef/>
      </w:r>
      <w:r w:rsidR="006E4945" w:rsidRPr="008079DA">
        <w:rPr>
          <w:rFonts w:ascii="Times New Roman" w:eastAsia="Times New Roman" w:hAnsi="Times New Roman" w:cs="Times New Roman"/>
          <w:color w:val="333333"/>
          <w:lang w:val="pt-PT"/>
        </w:rPr>
        <w:t xml:space="preserve"> </w:t>
      </w:r>
      <w:r w:rsidR="008079DA" w:rsidRPr="008079DA">
        <w:rPr>
          <w:rFonts w:ascii="Times New Roman" w:eastAsia="Times New Roman" w:hAnsi="Times New Roman" w:cs="Times New Roman"/>
          <w:color w:val="333333"/>
          <w:lang w:val="pt-PT"/>
        </w:rPr>
        <w:tab/>
      </w:r>
      <w:r w:rsidRPr="008079DA">
        <w:rPr>
          <w:rFonts w:ascii="Times New Roman" w:eastAsia="Times New Roman" w:hAnsi="Times New Roman" w:cs="Times New Roman"/>
          <w:color w:val="333333"/>
          <w:lang w:val="pt-PT"/>
        </w:rPr>
        <w:t>COM(2025) 785 final</w:t>
      </w:r>
      <w:r w:rsidR="00A739E5" w:rsidRPr="008079DA">
        <w:rPr>
          <w:rFonts w:ascii="Times New Roman" w:eastAsia="Times New Roman" w:hAnsi="Times New Roman" w:cs="Times New Roman"/>
          <w:color w:val="333333"/>
          <w:lang w:val="pt-PT"/>
        </w:rPr>
        <w:t xml:space="preserve"> (</w:t>
      </w:r>
      <w:hyperlink r:id="rId23" w:history="1">
        <w:r w:rsidR="00A739E5" w:rsidRPr="008079DA">
          <w:rPr>
            <w:rStyle w:val="Hyperlink"/>
            <w:rFonts w:ascii="Times New Roman" w:eastAsia="Times New Roman" w:hAnsi="Times New Roman" w:cs="Times New Roman"/>
            <w:lang w:val="pt-PT"/>
          </w:rPr>
          <w:t>https://eur-lex.europa.eu/legal-content/EN/TXT/?uri=CELEX%3A52025DC0785&amp;qid=1781710249840</w:t>
        </w:r>
      </w:hyperlink>
      <w:r w:rsidR="00A739E5" w:rsidRPr="008079DA">
        <w:rPr>
          <w:rFonts w:ascii="Times New Roman" w:eastAsia="Times New Roman" w:hAnsi="Times New Roman" w:cs="Times New Roman"/>
          <w:color w:val="333333"/>
          <w:lang w:val="pt-PT"/>
        </w:rPr>
        <w:t>)</w:t>
      </w:r>
      <w:r w:rsidR="008079DA" w:rsidRPr="008079DA">
        <w:rPr>
          <w:rFonts w:ascii="Times New Roman" w:eastAsia="Times New Roman" w:hAnsi="Times New Roman" w:cs="Times New Roman"/>
          <w:color w:val="333333"/>
          <w:lang w:val="pt-PT"/>
        </w:rPr>
        <w:t>.</w:t>
      </w:r>
    </w:p>
  </w:footnote>
  <w:footnote w:id="21">
    <w:p w14:paraId="32CE4270" w14:textId="548826A6" w:rsidR="00371CFE" w:rsidRPr="008079DA" w:rsidRDefault="00371CFE" w:rsidP="006A2AEE">
      <w:pPr>
        <w:pStyle w:val="FootnoteText"/>
        <w:widowControl w:val="0"/>
        <w:ind w:left="-567" w:right="-567"/>
        <w:jc w:val="both"/>
        <w:rPr>
          <w:rFonts w:ascii="Times New Roman" w:hAnsi="Times New Roman" w:cs="Times New Roman"/>
        </w:rPr>
      </w:pPr>
      <w:r w:rsidRPr="008079DA">
        <w:rPr>
          <w:rStyle w:val="FootnoteReference"/>
          <w:rFonts w:ascii="Times New Roman" w:hAnsi="Times New Roman" w:cs="Times New Roman"/>
        </w:rPr>
        <w:footnoteRef/>
      </w:r>
      <w:r w:rsidRPr="008079DA">
        <w:rPr>
          <w:rFonts w:ascii="Times New Roman" w:hAnsi="Times New Roman" w:cs="Times New Roman"/>
        </w:rPr>
        <w:t xml:space="preserve"> </w:t>
      </w:r>
      <w:r w:rsidR="008079DA" w:rsidRPr="008079DA">
        <w:rPr>
          <w:rFonts w:ascii="Times New Roman" w:hAnsi="Times New Roman" w:cs="Times New Roman"/>
        </w:rPr>
        <w:tab/>
      </w:r>
      <w:hyperlink r:id="rId24" w:history="1">
        <w:r w:rsidRPr="008079DA">
          <w:rPr>
            <w:rStyle w:val="Hyperlink"/>
            <w:rFonts w:ascii="Times New Roman" w:hAnsi="Times New Roman" w:cs="Times New Roman"/>
          </w:rPr>
          <w:t>Regulation (EU) 2021/818 of the European Parliament and of the Council of 20 May 2021 establishing the Creative Europe Programme (2021 to 2027) and repealing Regulation (EU) No 1295/2013</w:t>
        </w:r>
      </w:hyperlink>
      <w:r w:rsidRPr="008079DA">
        <w:rPr>
          <w:rFonts w:ascii="Times New Roman" w:hAnsi="Times New Roman" w:cs="Times New Roman"/>
        </w:rPr>
        <w:t xml:space="preserve"> (OJ L 189, 28.5.2021, p. 34–60).</w:t>
      </w:r>
    </w:p>
  </w:footnote>
  <w:footnote w:id="22">
    <w:p w14:paraId="3DE2E622" w14:textId="7EB72DDD" w:rsidR="00D335E1" w:rsidRPr="008079DA" w:rsidRDefault="00D335E1" w:rsidP="006A2AEE">
      <w:pPr>
        <w:pStyle w:val="FootnoteText"/>
        <w:widowControl w:val="0"/>
        <w:ind w:left="-567" w:right="-567"/>
        <w:jc w:val="both"/>
        <w:rPr>
          <w:rFonts w:ascii="Times New Roman" w:hAnsi="Times New Roman" w:cs="Times New Roman"/>
        </w:rPr>
      </w:pPr>
      <w:r w:rsidRPr="008079DA">
        <w:rPr>
          <w:rStyle w:val="FootnoteReference"/>
          <w:rFonts w:ascii="Times New Roman" w:hAnsi="Times New Roman" w:cs="Times New Roman"/>
        </w:rPr>
        <w:footnoteRef/>
      </w:r>
      <w:r w:rsidRPr="008079DA">
        <w:rPr>
          <w:rFonts w:ascii="Times New Roman" w:hAnsi="Times New Roman" w:cs="Times New Roman"/>
        </w:rPr>
        <w:t xml:space="preserve"> </w:t>
      </w:r>
      <w:r w:rsidR="008079DA" w:rsidRPr="008079DA">
        <w:rPr>
          <w:rFonts w:ascii="Times New Roman" w:hAnsi="Times New Roman" w:cs="Times New Roman"/>
        </w:rPr>
        <w:tab/>
      </w:r>
      <w:hyperlink r:id="rId25" w:history="1">
        <w:r w:rsidR="008079DA" w:rsidRPr="008079DA">
          <w:rPr>
            <w:rStyle w:val="Hyperlink"/>
            <w:rFonts w:ascii="Times New Roman" w:hAnsi="Times New Roman" w:cs="Times New Roman"/>
          </w:rPr>
          <w:t>https://sport.ec.europa.eu/initiatives/beactive-eu-sport-awards</w:t>
        </w:r>
      </w:hyperlink>
      <w:r w:rsidR="008079DA" w:rsidRPr="008079DA">
        <w:rPr>
          <w:rFonts w:ascii="Times New Roman" w:hAnsi="Times New Roman" w:cs="Times New Roman"/>
        </w:rPr>
        <w:t>.</w:t>
      </w:r>
      <w:r w:rsidRPr="008079DA">
        <w:rPr>
          <w:rFonts w:ascii="Times New Roman" w:hAnsi="Times New Roman" w:cs="Times New Roman"/>
        </w:rPr>
        <w:t xml:space="preserve"> </w:t>
      </w:r>
    </w:p>
  </w:footnote>
  <w:footnote w:id="23">
    <w:p w14:paraId="7A9ACF8A" w14:textId="561CFD14" w:rsidR="00D335E1" w:rsidRPr="008079DA" w:rsidRDefault="00D335E1" w:rsidP="006A2AEE">
      <w:pPr>
        <w:pStyle w:val="FootnoteText"/>
        <w:widowControl w:val="0"/>
        <w:ind w:left="-567" w:right="-567"/>
        <w:jc w:val="both"/>
        <w:rPr>
          <w:rFonts w:ascii="Times New Roman" w:hAnsi="Times New Roman" w:cs="Times New Roman"/>
        </w:rPr>
      </w:pPr>
      <w:r w:rsidRPr="008079DA">
        <w:rPr>
          <w:rStyle w:val="FootnoteReference"/>
          <w:rFonts w:ascii="Times New Roman" w:hAnsi="Times New Roman" w:cs="Times New Roman"/>
        </w:rPr>
        <w:footnoteRef/>
      </w:r>
      <w:r w:rsidRPr="008079DA">
        <w:rPr>
          <w:rFonts w:ascii="Times New Roman" w:hAnsi="Times New Roman" w:cs="Times New Roman"/>
        </w:rPr>
        <w:t xml:space="preserve"> </w:t>
      </w:r>
      <w:r w:rsidR="008079DA" w:rsidRPr="008079DA">
        <w:rPr>
          <w:rFonts w:ascii="Times New Roman" w:hAnsi="Times New Roman" w:cs="Times New Roman"/>
        </w:rPr>
        <w:tab/>
      </w:r>
      <w:hyperlink r:id="rId26" w:history="1">
        <w:r w:rsidR="008079DA" w:rsidRPr="008079DA">
          <w:rPr>
            <w:rStyle w:val="Hyperlink"/>
            <w:rFonts w:ascii="Times New Roman" w:hAnsi="Times New Roman" w:cs="Times New Roman"/>
          </w:rPr>
          <w:t>https://sport.ec.europa.eu/european-week-of-sport</w:t>
        </w:r>
      </w:hyperlink>
      <w:r w:rsidR="008079DA" w:rsidRPr="008079DA">
        <w:rPr>
          <w:rFonts w:ascii="Times New Roman" w:hAnsi="Times New Roman" w:cs="Times New Roman"/>
        </w:rPr>
        <w:t>.</w:t>
      </w:r>
      <w:r w:rsidR="00CE6319" w:rsidRPr="008079DA">
        <w:rPr>
          <w:rFonts w:ascii="Times New Roman" w:hAnsi="Times New Roman" w:cs="Times New Roman"/>
        </w:rPr>
        <w:t xml:space="preserve"> </w:t>
      </w:r>
    </w:p>
  </w:footnote>
  <w:footnote w:id="24">
    <w:p w14:paraId="46FAB780" w14:textId="036EDCB6" w:rsidR="00E157C5" w:rsidRPr="008079DA" w:rsidRDefault="00E157C5" w:rsidP="006A2AEE">
      <w:pPr>
        <w:pStyle w:val="FootnoteText"/>
        <w:widowControl w:val="0"/>
        <w:ind w:left="-567" w:right="-567"/>
        <w:jc w:val="both"/>
        <w:rPr>
          <w:rFonts w:ascii="Times New Roman" w:hAnsi="Times New Roman" w:cs="Times New Roman"/>
        </w:rPr>
      </w:pPr>
      <w:r w:rsidRPr="008079DA">
        <w:rPr>
          <w:rStyle w:val="FootnoteReference"/>
          <w:rFonts w:ascii="Times New Roman" w:hAnsi="Times New Roman" w:cs="Times New Roman"/>
        </w:rPr>
        <w:footnoteRef/>
      </w:r>
      <w:r w:rsidRPr="008079DA">
        <w:rPr>
          <w:rFonts w:ascii="Times New Roman" w:hAnsi="Times New Roman" w:cs="Times New Roman"/>
        </w:rPr>
        <w:t xml:space="preserve"> </w:t>
      </w:r>
      <w:r w:rsidR="008079DA" w:rsidRPr="008079DA">
        <w:rPr>
          <w:rFonts w:ascii="Times New Roman" w:hAnsi="Times New Roman" w:cs="Times New Roman"/>
        </w:rPr>
        <w:tab/>
      </w:r>
      <w:r w:rsidRPr="008079DA">
        <w:rPr>
          <w:rFonts w:ascii="Times New Roman" w:hAnsi="Times New Roman" w:cs="Times New Roman"/>
          <w:lang w:val="en-GB"/>
        </w:rPr>
        <w:t xml:space="preserve">Resolution of the Council and of the Representatives of the Governments of the Member States meeting within the Council on the European Union Work Plan for Sport </w:t>
      </w:r>
      <w:hyperlink r:id="rId27" w:history="1">
        <w:r w:rsidRPr="008079DA">
          <w:rPr>
            <w:rStyle w:val="Hyperlink"/>
            <w:rFonts w:ascii="Times New Roman" w:hAnsi="Times New Roman" w:cs="Times New Roman"/>
            <w:lang w:val="en-GB"/>
          </w:rPr>
          <w:t>http://data.europa.eu/eli/C/2024/3527/oj</w:t>
        </w:r>
      </w:hyperlink>
      <w:r w:rsidR="008079DA" w:rsidRPr="006A2AEE">
        <w:rPr>
          <w:rFonts w:ascii="Times New Roman" w:hAnsi="Times New Roman" w:cs="Times New Roman"/>
        </w:rPr>
        <w:t>).</w:t>
      </w:r>
      <w:r w:rsidRPr="008079DA">
        <w:rPr>
          <w:rFonts w:ascii="Times New Roman" w:hAnsi="Times New Roman" w:cs="Times New Roman"/>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B6932"/>
    <w:multiLevelType w:val="hybridMultilevel"/>
    <w:tmpl w:val="F24AB9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D6D39DC"/>
    <w:multiLevelType w:val="hybridMultilevel"/>
    <w:tmpl w:val="A50ADE4C"/>
    <w:lvl w:ilvl="0" w:tplc="98AEDF24">
      <w:start w:val="1"/>
      <w:numFmt w:val="bullet"/>
      <w:lvlText w:val="-"/>
      <w:lvlJc w:val="left"/>
      <w:pPr>
        <w:ind w:left="360" w:hanging="360"/>
      </w:pPr>
      <w:rPr>
        <w:rFonts w:ascii="Simplified Arabic Fixed" w:hAnsi="Simplified Arabic Fixed" w:hint="default"/>
      </w:rPr>
    </w:lvl>
    <w:lvl w:ilvl="1" w:tplc="2618DE26" w:tentative="1">
      <w:start w:val="1"/>
      <w:numFmt w:val="bullet"/>
      <w:lvlText w:val="o"/>
      <w:lvlJc w:val="left"/>
      <w:pPr>
        <w:ind w:left="1080" w:hanging="360"/>
      </w:pPr>
      <w:rPr>
        <w:rFonts w:ascii="Courier New" w:hAnsi="Courier New" w:hint="default"/>
      </w:rPr>
    </w:lvl>
    <w:lvl w:ilvl="2" w:tplc="E476FD76" w:tentative="1">
      <w:start w:val="1"/>
      <w:numFmt w:val="bullet"/>
      <w:lvlText w:val=""/>
      <w:lvlJc w:val="left"/>
      <w:pPr>
        <w:ind w:left="1800" w:hanging="360"/>
      </w:pPr>
      <w:rPr>
        <w:rFonts w:ascii="Wingdings" w:hAnsi="Wingdings" w:hint="default"/>
      </w:rPr>
    </w:lvl>
    <w:lvl w:ilvl="3" w:tplc="390616A0" w:tentative="1">
      <w:start w:val="1"/>
      <w:numFmt w:val="bullet"/>
      <w:lvlText w:val=""/>
      <w:lvlJc w:val="left"/>
      <w:pPr>
        <w:ind w:left="2520" w:hanging="360"/>
      </w:pPr>
      <w:rPr>
        <w:rFonts w:ascii="Symbol" w:hAnsi="Symbol" w:hint="default"/>
      </w:rPr>
    </w:lvl>
    <w:lvl w:ilvl="4" w:tplc="66F2CD3E" w:tentative="1">
      <w:start w:val="1"/>
      <w:numFmt w:val="bullet"/>
      <w:lvlText w:val="o"/>
      <w:lvlJc w:val="left"/>
      <w:pPr>
        <w:ind w:left="3240" w:hanging="360"/>
      </w:pPr>
      <w:rPr>
        <w:rFonts w:ascii="Courier New" w:hAnsi="Courier New" w:hint="default"/>
      </w:rPr>
    </w:lvl>
    <w:lvl w:ilvl="5" w:tplc="69348A5C" w:tentative="1">
      <w:start w:val="1"/>
      <w:numFmt w:val="bullet"/>
      <w:lvlText w:val=""/>
      <w:lvlJc w:val="left"/>
      <w:pPr>
        <w:ind w:left="3960" w:hanging="360"/>
      </w:pPr>
      <w:rPr>
        <w:rFonts w:ascii="Wingdings" w:hAnsi="Wingdings" w:hint="default"/>
      </w:rPr>
    </w:lvl>
    <w:lvl w:ilvl="6" w:tplc="4CDC0590" w:tentative="1">
      <w:start w:val="1"/>
      <w:numFmt w:val="bullet"/>
      <w:lvlText w:val=""/>
      <w:lvlJc w:val="left"/>
      <w:pPr>
        <w:ind w:left="4680" w:hanging="360"/>
      </w:pPr>
      <w:rPr>
        <w:rFonts w:ascii="Symbol" w:hAnsi="Symbol" w:hint="default"/>
      </w:rPr>
    </w:lvl>
    <w:lvl w:ilvl="7" w:tplc="D8F831C8" w:tentative="1">
      <w:start w:val="1"/>
      <w:numFmt w:val="bullet"/>
      <w:lvlText w:val="o"/>
      <w:lvlJc w:val="left"/>
      <w:pPr>
        <w:ind w:left="5400" w:hanging="360"/>
      </w:pPr>
      <w:rPr>
        <w:rFonts w:ascii="Courier New" w:hAnsi="Courier New" w:hint="default"/>
      </w:rPr>
    </w:lvl>
    <w:lvl w:ilvl="8" w:tplc="3D624754" w:tentative="1">
      <w:start w:val="1"/>
      <w:numFmt w:val="bullet"/>
      <w:lvlText w:val=""/>
      <w:lvlJc w:val="left"/>
      <w:pPr>
        <w:ind w:left="6120" w:hanging="360"/>
      </w:pPr>
      <w:rPr>
        <w:rFonts w:ascii="Wingdings" w:hAnsi="Wingdings" w:hint="default"/>
      </w:rPr>
    </w:lvl>
  </w:abstractNum>
  <w:abstractNum w:abstractNumId="2" w15:restartNumberingAfterBreak="0">
    <w:nsid w:val="5091144E"/>
    <w:multiLevelType w:val="hybridMultilevel"/>
    <w:tmpl w:val="14569908"/>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992549">
    <w:abstractNumId w:val="1"/>
  </w:num>
  <w:num w:numId="2" w16cid:durableId="192497599">
    <w:abstractNumId w:val="0"/>
  </w:num>
  <w:num w:numId="3" w16cid:durableId="19164785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13EA"/>
    <w:rsid w:val="00012A37"/>
    <w:rsid w:val="00012FF6"/>
    <w:rsid w:val="00013DF8"/>
    <w:rsid w:val="00017400"/>
    <w:rsid w:val="00024DD9"/>
    <w:rsid w:val="00033E2D"/>
    <w:rsid w:val="0004061E"/>
    <w:rsid w:val="00046B15"/>
    <w:rsid w:val="00050DC7"/>
    <w:rsid w:val="0005194A"/>
    <w:rsid w:val="0005228F"/>
    <w:rsid w:val="00061DDB"/>
    <w:rsid w:val="00072468"/>
    <w:rsid w:val="00076109"/>
    <w:rsid w:val="00077934"/>
    <w:rsid w:val="00077C4F"/>
    <w:rsid w:val="00080F7B"/>
    <w:rsid w:val="0008354E"/>
    <w:rsid w:val="000979E9"/>
    <w:rsid w:val="000A7491"/>
    <w:rsid w:val="000B2FCB"/>
    <w:rsid w:val="000B494C"/>
    <w:rsid w:val="000D10C2"/>
    <w:rsid w:val="000F0274"/>
    <w:rsid w:val="000F102E"/>
    <w:rsid w:val="000F5FD8"/>
    <w:rsid w:val="0010670C"/>
    <w:rsid w:val="00106CA7"/>
    <w:rsid w:val="00112F4B"/>
    <w:rsid w:val="001134B1"/>
    <w:rsid w:val="001167C0"/>
    <w:rsid w:val="001311F5"/>
    <w:rsid w:val="001319CF"/>
    <w:rsid w:val="001354B6"/>
    <w:rsid w:val="00135C2A"/>
    <w:rsid w:val="00136F46"/>
    <w:rsid w:val="001406B0"/>
    <w:rsid w:val="001422EE"/>
    <w:rsid w:val="00142669"/>
    <w:rsid w:val="00144C36"/>
    <w:rsid w:val="0014697F"/>
    <w:rsid w:val="001649C5"/>
    <w:rsid w:val="0016792F"/>
    <w:rsid w:val="00170E6D"/>
    <w:rsid w:val="00174709"/>
    <w:rsid w:val="00182352"/>
    <w:rsid w:val="00183159"/>
    <w:rsid w:val="0019139E"/>
    <w:rsid w:val="001A0BFF"/>
    <w:rsid w:val="001B0971"/>
    <w:rsid w:val="001B0E0B"/>
    <w:rsid w:val="001B42A5"/>
    <w:rsid w:val="001B55E9"/>
    <w:rsid w:val="001C15E7"/>
    <w:rsid w:val="001C4138"/>
    <w:rsid w:val="001E36EB"/>
    <w:rsid w:val="001E5FCB"/>
    <w:rsid w:val="001E7EED"/>
    <w:rsid w:val="001F2EC6"/>
    <w:rsid w:val="001F353B"/>
    <w:rsid w:val="001F65D0"/>
    <w:rsid w:val="00206FD8"/>
    <w:rsid w:val="00217E59"/>
    <w:rsid w:val="00222AAE"/>
    <w:rsid w:val="00223A3F"/>
    <w:rsid w:val="0023333E"/>
    <w:rsid w:val="00234517"/>
    <w:rsid w:val="00263871"/>
    <w:rsid w:val="00267BC0"/>
    <w:rsid w:val="002A3636"/>
    <w:rsid w:val="002C2D8D"/>
    <w:rsid w:val="002C5AD1"/>
    <w:rsid w:val="002D4F92"/>
    <w:rsid w:val="002D64E1"/>
    <w:rsid w:val="002D7318"/>
    <w:rsid w:val="002D7845"/>
    <w:rsid w:val="002F03FA"/>
    <w:rsid w:val="003004D2"/>
    <w:rsid w:val="00320534"/>
    <w:rsid w:val="003213E0"/>
    <w:rsid w:val="003220E7"/>
    <w:rsid w:val="0032300C"/>
    <w:rsid w:val="0032574C"/>
    <w:rsid w:val="0032759B"/>
    <w:rsid w:val="003349A3"/>
    <w:rsid w:val="00336A27"/>
    <w:rsid w:val="00352E59"/>
    <w:rsid w:val="003535E8"/>
    <w:rsid w:val="0036063E"/>
    <w:rsid w:val="00360C4D"/>
    <w:rsid w:val="00371CFE"/>
    <w:rsid w:val="00377967"/>
    <w:rsid w:val="00386143"/>
    <w:rsid w:val="00394FF9"/>
    <w:rsid w:val="003B0333"/>
    <w:rsid w:val="003B58DC"/>
    <w:rsid w:val="003C0F4C"/>
    <w:rsid w:val="003C41C8"/>
    <w:rsid w:val="003D1C56"/>
    <w:rsid w:val="003D4E9E"/>
    <w:rsid w:val="003D4FFC"/>
    <w:rsid w:val="003E0BF4"/>
    <w:rsid w:val="003F686E"/>
    <w:rsid w:val="00410572"/>
    <w:rsid w:val="004168FB"/>
    <w:rsid w:val="004277CB"/>
    <w:rsid w:val="0043180E"/>
    <w:rsid w:val="00437D8A"/>
    <w:rsid w:val="00442552"/>
    <w:rsid w:val="004548C5"/>
    <w:rsid w:val="00455A1C"/>
    <w:rsid w:val="004616F3"/>
    <w:rsid w:val="004623C3"/>
    <w:rsid w:val="0046663B"/>
    <w:rsid w:val="004675B5"/>
    <w:rsid w:val="004770D6"/>
    <w:rsid w:val="00483DF9"/>
    <w:rsid w:val="004871D1"/>
    <w:rsid w:val="0049246C"/>
    <w:rsid w:val="004932D6"/>
    <w:rsid w:val="004A7932"/>
    <w:rsid w:val="004B410E"/>
    <w:rsid w:val="004C07BE"/>
    <w:rsid w:val="004C4BAE"/>
    <w:rsid w:val="004C7604"/>
    <w:rsid w:val="004D4589"/>
    <w:rsid w:val="004E397B"/>
    <w:rsid w:val="004E610C"/>
    <w:rsid w:val="004F315B"/>
    <w:rsid w:val="004F6117"/>
    <w:rsid w:val="004F63D0"/>
    <w:rsid w:val="004F63F1"/>
    <w:rsid w:val="004F651E"/>
    <w:rsid w:val="00507BDC"/>
    <w:rsid w:val="00512BFE"/>
    <w:rsid w:val="00516B21"/>
    <w:rsid w:val="005206F9"/>
    <w:rsid w:val="00522540"/>
    <w:rsid w:val="0052596B"/>
    <w:rsid w:val="00544662"/>
    <w:rsid w:val="0054687F"/>
    <w:rsid w:val="00551051"/>
    <w:rsid w:val="00553965"/>
    <w:rsid w:val="00554137"/>
    <w:rsid w:val="00554D8D"/>
    <w:rsid w:val="00573835"/>
    <w:rsid w:val="00577264"/>
    <w:rsid w:val="00581306"/>
    <w:rsid w:val="005838DA"/>
    <w:rsid w:val="0059106C"/>
    <w:rsid w:val="005A2FC7"/>
    <w:rsid w:val="005A3834"/>
    <w:rsid w:val="005A3F8C"/>
    <w:rsid w:val="005B3FC3"/>
    <w:rsid w:val="005C3105"/>
    <w:rsid w:val="005D21A6"/>
    <w:rsid w:val="005D7B37"/>
    <w:rsid w:val="005E1DEF"/>
    <w:rsid w:val="005E310B"/>
    <w:rsid w:val="005E33BC"/>
    <w:rsid w:val="005F0BD8"/>
    <w:rsid w:val="00605D65"/>
    <w:rsid w:val="00627A4F"/>
    <w:rsid w:val="0063313E"/>
    <w:rsid w:val="006449E5"/>
    <w:rsid w:val="00644DE1"/>
    <w:rsid w:val="00660F03"/>
    <w:rsid w:val="006741BA"/>
    <w:rsid w:val="00676749"/>
    <w:rsid w:val="00676AC3"/>
    <w:rsid w:val="0068375B"/>
    <w:rsid w:val="00691C2F"/>
    <w:rsid w:val="00692B15"/>
    <w:rsid w:val="00692C2F"/>
    <w:rsid w:val="00695797"/>
    <w:rsid w:val="00696A5E"/>
    <w:rsid w:val="006A1FAB"/>
    <w:rsid w:val="006A2AEE"/>
    <w:rsid w:val="006B3B69"/>
    <w:rsid w:val="006D695D"/>
    <w:rsid w:val="006E4945"/>
    <w:rsid w:val="006E78F6"/>
    <w:rsid w:val="006F0165"/>
    <w:rsid w:val="006F4BCF"/>
    <w:rsid w:val="00703FD7"/>
    <w:rsid w:val="00715758"/>
    <w:rsid w:val="0072066A"/>
    <w:rsid w:val="00721D01"/>
    <w:rsid w:val="00730447"/>
    <w:rsid w:val="00734613"/>
    <w:rsid w:val="007378CA"/>
    <w:rsid w:val="00745744"/>
    <w:rsid w:val="00751910"/>
    <w:rsid w:val="00751E60"/>
    <w:rsid w:val="00751E9A"/>
    <w:rsid w:val="007547B5"/>
    <w:rsid w:val="007559BC"/>
    <w:rsid w:val="00761A4F"/>
    <w:rsid w:val="00762C86"/>
    <w:rsid w:val="00762DB1"/>
    <w:rsid w:val="00766CA2"/>
    <w:rsid w:val="00774C77"/>
    <w:rsid w:val="00774D04"/>
    <w:rsid w:val="00780801"/>
    <w:rsid w:val="007808D3"/>
    <w:rsid w:val="007869FA"/>
    <w:rsid w:val="007900AD"/>
    <w:rsid w:val="00795A9E"/>
    <w:rsid w:val="007A025C"/>
    <w:rsid w:val="007A1DFA"/>
    <w:rsid w:val="007A606D"/>
    <w:rsid w:val="007B2F88"/>
    <w:rsid w:val="007C201E"/>
    <w:rsid w:val="007C2214"/>
    <w:rsid w:val="007C47D2"/>
    <w:rsid w:val="007F41C1"/>
    <w:rsid w:val="007F4511"/>
    <w:rsid w:val="008079DA"/>
    <w:rsid w:val="00807B48"/>
    <w:rsid w:val="008135CA"/>
    <w:rsid w:val="0081584F"/>
    <w:rsid w:val="00841CA6"/>
    <w:rsid w:val="00845A4C"/>
    <w:rsid w:val="00847948"/>
    <w:rsid w:val="00865B81"/>
    <w:rsid w:val="008676F5"/>
    <w:rsid w:val="008703BF"/>
    <w:rsid w:val="008750B3"/>
    <w:rsid w:val="00880376"/>
    <w:rsid w:val="008925CE"/>
    <w:rsid w:val="00897DC2"/>
    <w:rsid w:val="008A13B2"/>
    <w:rsid w:val="008A2CE8"/>
    <w:rsid w:val="008A742E"/>
    <w:rsid w:val="008B5982"/>
    <w:rsid w:val="008C4D41"/>
    <w:rsid w:val="008C63A1"/>
    <w:rsid w:val="008F0A19"/>
    <w:rsid w:val="008F218E"/>
    <w:rsid w:val="00903467"/>
    <w:rsid w:val="00913539"/>
    <w:rsid w:val="00917291"/>
    <w:rsid w:val="009175C1"/>
    <w:rsid w:val="009200D1"/>
    <w:rsid w:val="00932BDE"/>
    <w:rsid w:val="00934E59"/>
    <w:rsid w:val="00936037"/>
    <w:rsid w:val="009429F7"/>
    <w:rsid w:val="009453E4"/>
    <w:rsid w:val="00967D21"/>
    <w:rsid w:val="0097447A"/>
    <w:rsid w:val="00975180"/>
    <w:rsid w:val="00977CF8"/>
    <w:rsid w:val="00981F45"/>
    <w:rsid w:val="00990F47"/>
    <w:rsid w:val="00994D12"/>
    <w:rsid w:val="009A3524"/>
    <w:rsid w:val="009A510B"/>
    <w:rsid w:val="009A669B"/>
    <w:rsid w:val="009A7BC3"/>
    <w:rsid w:val="009B128B"/>
    <w:rsid w:val="009C2595"/>
    <w:rsid w:val="009C49A7"/>
    <w:rsid w:val="009D1B12"/>
    <w:rsid w:val="009D244C"/>
    <w:rsid w:val="009E075E"/>
    <w:rsid w:val="009F2E1E"/>
    <w:rsid w:val="009F69A5"/>
    <w:rsid w:val="00A02DBC"/>
    <w:rsid w:val="00A04C35"/>
    <w:rsid w:val="00A16BF5"/>
    <w:rsid w:val="00A16F07"/>
    <w:rsid w:val="00A20C60"/>
    <w:rsid w:val="00A218D1"/>
    <w:rsid w:val="00A3673D"/>
    <w:rsid w:val="00A62C7B"/>
    <w:rsid w:val="00A70CD0"/>
    <w:rsid w:val="00A7260F"/>
    <w:rsid w:val="00A739E5"/>
    <w:rsid w:val="00A73ECE"/>
    <w:rsid w:val="00A7709A"/>
    <w:rsid w:val="00A80446"/>
    <w:rsid w:val="00A80773"/>
    <w:rsid w:val="00A90142"/>
    <w:rsid w:val="00A93C99"/>
    <w:rsid w:val="00A965BB"/>
    <w:rsid w:val="00AA0D0B"/>
    <w:rsid w:val="00AA1A8F"/>
    <w:rsid w:val="00AA1D33"/>
    <w:rsid w:val="00AA58AB"/>
    <w:rsid w:val="00AB2CB2"/>
    <w:rsid w:val="00AB458B"/>
    <w:rsid w:val="00AC08A5"/>
    <w:rsid w:val="00AC14B1"/>
    <w:rsid w:val="00AC33C5"/>
    <w:rsid w:val="00AC68F5"/>
    <w:rsid w:val="00AC7D35"/>
    <w:rsid w:val="00AD439E"/>
    <w:rsid w:val="00AE0BAC"/>
    <w:rsid w:val="00AE1842"/>
    <w:rsid w:val="00AE1C45"/>
    <w:rsid w:val="00AE3523"/>
    <w:rsid w:val="00AE3C7C"/>
    <w:rsid w:val="00AE4699"/>
    <w:rsid w:val="00AE5F48"/>
    <w:rsid w:val="00AE62FC"/>
    <w:rsid w:val="00AF4FF9"/>
    <w:rsid w:val="00B02AF7"/>
    <w:rsid w:val="00B157F5"/>
    <w:rsid w:val="00B23AFC"/>
    <w:rsid w:val="00B31306"/>
    <w:rsid w:val="00B36AD3"/>
    <w:rsid w:val="00B41FC1"/>
    <w:rsid w:val="00B42814"/>
    <w:rsid w:val="00B50242"/>
    <w:rsid w:val="00B52BF3"/>
    <w:rsid w:val="00B6121B"/>
    <w:rsid w:val="00B6575D"/>
    <w:rsid w:val="00B75A9A"/>
    <w:rsid w:val="00B83936"/>
    <w:rsid w:val="00B86472"/>
    <w:rsid w:val="00B96E0A"/>
    <w:rsid w:val="00B97125"/>
    <w:rsid w:val="00BA1348"/>
    <w:rsid w:val="00BB1A39"/>
    <w:rsid w:val="00BB619D"/>
    <w:rsid w:val="00BC1B8A"/>
    <w:rsid w:val="00BC23D7"/>
    <w:rsid w:val="00BC6AA0"/>
    <w:rsid w:val="00BD378D"/>
    <w:rsid w:val="00BD6EB7"/>
    <w:rsid w:val="00BE00B8"/>
    <w:rsid w:val="00BE353D"/>
    <w:rsid w:val="00BE5E7C"/>
    <w:rsid w:val="00C00714"/>
    <w:rsid w:val="00C236E4"/>
    <w:rsid w:val="00C262D8"/>
    <w:rsid w:val="00C3477D"/>
    <w:rsid w:val="00C37BDD"/>
    <w:rsid w:val="00C44312"/>
    <w:rsid w:val="00C54D27"/>
    <w:rsid w:val="00C633D2"/>
    <w:rsid w:val="00C723FE"/>
    <w:rsid w:val="00C76EEB"/>
    <w:rsid w:val="00C90339"/>
    <w:rsid w:val="00C93499"/>
    <w:rsid w:val="00CA0886"/>
    <w:rsid w:val="00CA591A"/>
    <w:rsid w:val="00CB51CC"/>
    <w:rsid w:val="00CC51F6"/>
    <w:rsid w:val="00CD1232"/>
    <w:rsid w:val="00CD6820"/>
    <w:rsid w:val="00CE5A55"/>
    <w:rsid w:val="00CE6319"/>
    <w:rsid w:val="00D01C92"/>
    <w:rsid w:val="00D01F5A"/>
    <w:rsid w:val="00D03D2A"/>
    <w:rsid w:val="00D04019"/>
    <w:rsid w:val="00D0649B"/>
    <w:rsid w:val="00D10421"/>
    <w:rsid w:val="00D1166C"/>
    <w:rsid w:val="00D1323B"/>
    <w:rsid w:val="00D1716E"/>
    <w:rsid w:val="00D17423"/>
    <w:rsid w:val="00D21F7D"/>
    <w:rsid w:val="00D252F0"/>
    <w:rsid w:val="00D31B39"/>
    <w:rsid w:val="00D335E1"/>
    <w:rsid w:val="00D43BF2"/>
    <w:rsid w:val="00D51EC1"/>
    <w:rsid w:val="00D52CF4"/>
    <w:rsid w:val="00D53122"/>
    <w:rsid w:val="00D64CF3"/>
    <w:rsid w:val="00D64E05"/>
    <w:rsid w:val="00D77A1A"/>
    <w:rsid w:val="00D820D9"/>
    <w:rsid w:val="00D92FD3"/>
    <w:rsid w:val="00DA3B6E"/>
    <w:rsid w:val="00DA7F69"/>
    <w:rsid w:val="00DB7581"/>
    <w:rsid w:val="00DC70C1"/>
    <w:rsid w:val="00DC7BD2"/>
    <w:rsid w:val="00DE1A90"/>
    <w:rsid w:val="00DF52B6"/>
    <w:rsid w:val="00E046BD"/>
    <w:rsid w:val="00E10A8B"/>
    <w:rsid w:val="00E12CED"/>
    <w:rsid w:val="00E132BD"/>
    <w:rsid w:val="00E132C3"/>
    <w:rsid w:val="00E157C5"/>
    <w:rsid w:val="00E26642"/>
    <w:rsid w:val="00E46367"/>
    <w:rsid w:val="00E5177A"/>
    <w:rsid w:val="00E70B8B"/>
    <w:rsid w:val="00E74D0D"/>
    <w:rsid w:val="00E752CA"/>
    <w:rsid w:val="00E755D8"/>
    <w:rsid w:val="00E757D7"/>
    <w:rsid w:val="00E763A7"/>
    <w:rsid w:val="00E76791"/>
    <w:rsid w:val="00E76844"/>
    <w:rsid w:val="00E7693D"/>
    <w:rsid w:val="00E83039"/>
    <w:rsid w:val="00E83C12"/>
    <w:rsid w:val="00E844C6"/>
    <w:rsid w:val="00E904C8"/>
    <w:rsid w:val="00E90D24"/>
    <w:rsid w:val="00EA1BBF"/>
    <w:rsid w:val="00EA7211"/>
    <w:rsid w:val="00EB0557"/>
    <w:rsid w:val="00EB29A9"/>
    <w:rsid w:val="00EB77D2"/>
    <w:rsid w:val="00EC1F74"/>
    <w:rsid w:val="00EE3F38"/>
    <w:rsid w:val="00EF2901"/>
    <w:rsid w:val="00EF4B0D"/>
    <w:rsid w:val="00F047D9"/>
    <w:rsid w:val="00F0629A"/>
    <w:rsid w:val="00F07118"/>
    <w:rsid w:val="00F114C1"/>
    <w:rsid w:val="00F118B8"/>
    <w:rsid w:val="00F25AB0"/>
    <w:rsid w:val="00F25D7F"/>
    <w:rsid w:val="00F31184"/>
    <w:rsid w:val="00F316C8"/>
    <w:rsid w:val="00F411A4"/>
    <w:rsid w:val="00F417BC"/>
    <w:rsid w:val="00F417F7"/>
    <w:rsid w:val="00F4472B"/>
    <w:rsid w:val="00F46FBD"/>
    <w:rsid w:val="00F514D3"/>
    <w:rsid w:val="00F5194A"/>
    <w:rsid w:val="00F551BF"/>
    <w:rsid w:val="00F576EF"/>
    <w:rsid w:val="00F632DE"/>
    <w:rsid w:val="00F72A7F"/>
    <w:rsid w:val="00F735E4"/>
    <w:rsid w:val="00F814AB"/>
    <w:rsid w:val="00F8499E"/>
    <w:rsid w:val="00F85A84"/>
    <w:rsid w:val="00F915E9"/>
    <w:rsid w:val="00F96DDC"/>
    <w:rsid w:val="00FA6DA2"/>
    <w:rsid w:val="00FB3E4E"/>
    <w:rsid w:val="00FB46DB"/>
    <w:rsid w:val="00FB7834"/>
    <w:rsid w:val="00FD4A96"/>
    <w:rsid w:val="00FD4B6A"/>
    <w:rsid w:val="00FD57FB"/>
    <w:rsid w:val="00FE5B63"/>
    <w:rsid w:val="00FF03A8"/>
    <w:rsid w:val="00FF52F2"/>
    <w:rsid w:val="00FF63EA"/>
    <w:rsid w:val="00FF6FD6"/>
    <w:rsid w:val="018BEDFC"/>
    <w:rsid w:val="0539737B"/>
    <w:rsid w:val="05D502C6"/>
    <w:rsid w:val="060D15B1"/>
    <w:rsid w:val="0625CB14"/>
    <w:rsid w:val="064102DF"/>
    <w:rsid w:val="098D87D2"/>
    <w:rsid w:val="09F69EFC"/>
    <w:rsid w:val="0CADBA45"/>
    <w:rsid w:val="0EBD2A9C"/>
    <w:rsid w:val="0ED3DF0D"/>
    <w:rsid w:val="13D96474"/>
    <w:rsid w:val="152C7D7D"/>
    <w:rsid w:val="15BB1C37"/>
    <w:rsid w:val="1874CEDE"/>
    <w:rsid w:val="19737F82"/>
    <w:rsid w:val="1AAF35AD"/>
    <w:rsid w:val="1C2CF3E3"/>
    <w:rsid w:val="1E4266A9"/>
    <w:rsid w:val="1E53EBA2"/>
    <w:rsid w:val="203838B8"/>
    <w:rsid w:val="21097680"/>
    <w:rsid w:val="22283140"/>
    <w:rsid w:val="22BACA12"/>
    <w:rsid w:val="2390CAD2"/>
    <w:rsid w:val="26DD2B94"/>
    <w:rsid w:val="273588AD"/>
    <w:rsid w:val="2CD039A0"/>
    <w:rsid w:val="2E1066CF"/>
    <w:rsid w:val="2E59AA2E"/>
    <w:rsid w:val="2FBEDA34"/>
    <w:rsid w:val="301EFFFF"/>
    <w:rsid w:val="32D9C979"/>
    <w:rsid w:val="3317BE7D"/>
    <w:rsid w:val="35143C82"/>
    <w:rsid w:val="3B0AA5AB"/>
    <w:rsid w:val="3E518335"/>
    <w:rsid w:val="402F669E"/>
    <w:rsid w:val="42347DC6"/>
    <w:rsid w:val="43F96FDF"/>
    <w:rsid w:val="46AD4606"/>
    <w:rsid w:val="47304E8E"/>
    <w:rsid w:val="48108EFE"/>
    <w:rsid w:val="4EC648D1"/>
    <w:rsid w:val="4F829314"/>
    <w:rsid w:val="54632C31"/>
    <w:rsid w:val="54CB9618"/>
    <w:rsid w:val="5A2B7619"/>
    <w:rsid w:val="5D52FAA3"/>
    <w:rsid w:val="5F66F834"/>
    <w:rsid w:val="5F9ECFE0"/>
    <w:rsid w:val="634DF308"/>
    <w:rsid w:val="67C816B4"/>
    <w:rsid w:val="68DA2D53"/>
    <w:rsid w:val="6952A4B4"/>
    <w:rsid w:val="6C7A0D74"/>
    <w:rsid w:val="6CD4246B"/>
    <w:rsid w:val="703971DE"/>
    <w:rsid w:val="72CF010D"/>
    <w:rsid w:val="73F7B79A"/>
    <w:rsid w:val="75CD3A5A"/>
    <w:rsid w:val="775C4B73"/>
    <w:rsid w:val="7B661317"/>
    <w:rsid w:val="7D9E77CF"/>
    <w:rsid w:val="7EE1E5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42C2F09D-1913-4669-B77F-1FEA520B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047D9"/>
    <w:rPr>
      <w:color w:val="0000FF"/>
      <w:u w:val="single"/>
    </w:rPr>
  </w:style>
  <w:style w:type="paragraph" w:styleId="NoSpacing">
    <w:name w:val="No Spacing"/>
    <w:basedOn w:val="Normal"/>
    <w:uiPriority w:val="1"/>
    <w:qFormat/>
    <w:rsid w:val="00F047D9"/>
    <w:pPr>
      <w:spacing w:after="0" w:line="240" w:lineRule="auto"/>
    </w:pPr>
    <w:rPr>
      <w:rFonts w:eastAsia="Aptos" w:cs="Calibri"/>
      <w:lang w:eastAsia="en-IE"/>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link w:val="ftrefCharCharCharCharCharCharCharCharChar"/>
    <w:uiPriority w:val="99"/>
    <w:unhideWhenUsed/>
    <w:qFormat/>
    <w:rsid w:val="00F047D9"/>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F047D9"/>
    <w:pPr>
      <w:spacing w:after="160" w:line="240" w:lineRule="exact"/>
      <w:jc w:val="both"/>
    </w:pPr>
    <w:rPr>
      <w:sz w:val="20"/>
      <w:szCs w:val="20"/>
      <w:vertAlign w:val="superscript"/>
      <w:lang w:eastAsia="en-GB"/>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single space,FOOTNOT"/>
    <w:basedOn w:val="Normal"/>
    <w:link w:val="FootnoteTextChar"/>
    <w:uiPriority w:val="99"/>
    <w:unhideWhenUsed/>
    <w:qFormat/>
    <w:rsid w:val="00F047D9"/>
    <w:pPr>
      <w:spacing w:after="0" w:line="240" w:lineRule="auto"/>
    </w:pPr>
    <w:rPr>
      <w:rFonts w:ascii="Aptos" w:eastAsia="Aptos" w:hAnsi="Aptos" w:cs="Arial"/>
      <w:kern w:val="2"/>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link w:val="FootnoteText"/>
    <w:uiPriority w:val="99"/>
    <w:qFormat/>
    <w:rsid w:val="00F047D9"/>
    <w:rPr>
      <w:rFonts w:ascii="Aptos" w:eastAsia="Aptos" w:hAnsi="Aptos" w:cs="Arial"/>
      <w:kern w:val="2"/>
      <w:lang w:val="en-IE" w:eastAsia="en-US"/>
    </w:rPr>
  </w:style>
  <w:style w:type="paragraph" w:styleId="NormalWeb">
    <w:name w:val="Normal (Web)"/>
    <w:basedOn w:val="Normal"/>
    <w:uiPriority w:val="99"/>
    <w:semiHidden/>
    <w:unhideWhenUsed/>
    <w:rsid w:val="00144C36"/>
    <w:rPr>
      <w:rFonts w:ascii="Times New Roman" w:hAnsi="Times New Roman"/>
      <w:sz w:val="24"/>
      <w:szCs w:val="24"/>
    </w:rPr>
  </w:style>
  <w:style w:type="character" w:customStyle="1" w:styleId="normaltextrun">
    <w:name w:val="normaltextrun"/>
    <w:basedOn w:val="DefaultParagraphFont"/>
    <w:rsid w:val="00183159"/>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L,2,Bullet St"/>
    <w:basedOn w:val="Normal"/>
    <w:link w:val="ListParagraphChar"/>
    <w:uiPriority w:val="34"/>
    <w:qFormat/>
    <w:rsid w:val="00FD4A96"/>
    <w:pPr>
      <w:spacing w:after="0" w:line="240" w:lineRule="auto"/>
      <w:ind w:left="720"/>
    </w:pPr>
    <w:rPr>
      <w:rFonts w:ascii="Times New Roman" w:eastAsia="Times New Roman" w:hAnsi="Times New Roman"/>
      <w:sz w:val="24"/>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L Char"/>
    <w:link w:val="ListParagraph"/>
    <w:uiPriority w:val="34"/>
    <w:qFormat/>
    <w:locked/>
    <w:rsid w:val="00FD4A96"/>
    <w:rPr>
      <w:rFonts w:ascii="Times New Roman" w:eastAsia="Times New Roman" w:hAnsi="Times New Roman"/>
      <w:sz w:val="24"/>
      <w:szCs w:val="22"/>
      <w:lang w:eastAsia="en-US"/>
    </w:rPr>
  </w:style>
  <w:style w:type="character" w:styleId="UnresolvedMention">
    <w:name w:val="Unresolved Mention"/>
    <w:uiPriority w:val="99"/>
    <w:semiHidden/>
    <w:unhideWhenUsed/>
    <w:rsid w:val="008C63A1"/>
    <w:rPr>
      <w:color w:val="605E5C"/>
      <w:shd w:val="clear" w:color="auto" w:fill="E1DFDD"/>
    </w:rPr>
  </w:style>
  <w:style w:type="paragraph" w:styleId="Header">
    <w:name w:val="header"/>
    <w:basedOn w:val="Normal"/>
    <w:link w:val="HeaderChar"/>
    <w:uiPriority w:val="99"/>
    <w:semiHidden/>
    <w:unhideWhenUsed/>
    <w:rsid w:val="004168FB"/>
    <w:pPr>
      <w:tabs>
        <w:tab w:val="center" w:pos="4513"/>
        <w:tab w:val="right" w:pos="9026"/>
      </w:tabs>
    </w:pPr>
  </w:style>
  <w:style w:type="character" w:customStyle="1" w:styleId="HeaderChar">
    <w:name w:val="Header Char"/>
    <w:link w:val="Header"/>
    <w:uiPriority w:val="99"/>
    <w:semiHidden/>
    <w:rsid w:val="004168FB"/>
    <w:rPr>
      <w:sz w:val="22"/>
      <w:szCs w:val="22"/>
      <w:lang w:eastAsia="en-US"/>
    </w:rPr>
  </w:style>
  <w:style w:type="paragraph" w:styleId="Footer">
    <w:name w:val="footer"/>
    <w:basedOn w:val="Normal"/>
    <w:link w:val="FooterChar"/>
    <w:uiPriority w:val="99"/>
    <w:semiHidden/>
    <w:unhideWhenUsed/>
    <w:rsid w:val="004168FB"/>
    <w:pPr>
      <w:tabs>
        <w:tab w:val="center" w:pos="4513"/>
        <w:tab w:val="right" w:pos="9026"/>
      </w:tabs>
    </w:pPr>
  </w:style>
  <w:style w:type="character" w:customStyle="1" w:styleId="FooterChar">
    <w:name w:val="Footer Char"/>
    <w:link w:val="Footer"/>
    <w:uiPriority w:val="99"/>
    <w:semiHidden/>
    <w:rsid w:val="004168FB"/>
    <w:rPr>
      <w:sz w:val="22"/>
      <w:szCs w:val="22"/>
      <w:lang w:eastAsia="en-US"/>
    </w:rPr>
  </w:style>
  <w:style w:type="paragraph" w:styleId="Revision">
    <w:name w:val="Revision"/>
    <w:hidden/>
    <w:uiPriority w:val="99"/>
    <w:semiHidden/>
    <w:rsid w:val="00936037"/>
    <w:rPr>
      <w:sz w:val="22"/>
      <w:szCs w:val="22"/>
      <w:lang w:eastAsia="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lang w:eastAsia="en-US"/>
    </w:rPr>
  </w:style>
  <w:style w:type="character" w:styleId="CommentReference">
    <w:name w:val="annotation reference"/>
    <w:uiPriority w:val="99"/>
    <w:unhideWhenUsed/>
    <w:rPr>
      <w:sz w:val="16"/>
      <w:szCs w:val="16"/>
    </w:rPr>
  </w:style>
  <w:style w:type="character" w:styleId="FollowedHyperlink">
    <w:name w:val="FollowedHyperlink"/>
    <w:uiPriority w:val="99"/>
    <w:semiHidden/>
    <w:unhideWhenUsed/>
    <w:rsid w:val="00112F4B"/>
    <w:rPr>
      <w:color w:val="954F72"/>
      <w:u w:val="single"/>
    </w:rPr>
  </w:style>
  <w:style w:type="paragraph" w:styleId="CommentSubject">
    <w:name w:val="annotation subject"/>
    <w:basedOn w:val="CommentText"/>
    <w:next w:val="CommentText"/>
    <w:link w:val="CommentSubjectChar"/>
    <w:uiPriority w:val="99"/>
    <w:semiHidden/>
    <w:unhideWhenUsed/>
    <w:rsid w:val="00360C4D"/>
    <w:rPr>
      <w:b/>
      <w:bCs/>
    </w:rPr>
  </w:style>
  <w:style w:type="character" w:customStyle="1" w:styleId="CommentSubjectChar">
    <w:name w:val="Comment Subject Char"/>
    <w:link w:val="CommentSubject"/>
    <w:uiPriority w:val="99"/>
    <w:semiHidden/>
    <w:rsid w:val="00360C4D"/>
    <w:rPr>
      <w:b/>
      <w:bCs/>
      <w:lang w:eastAsia="en-US"/>
    </w:rPr>
  </w:style>
  <w:style w:type="character" w:styleId="Mention">
    <w:name w:val="Mention"/>
    <w:uiPriority w:val="99"/>
    <w:unhideWhenUsed/>
    <w:rsid w:val="00136F4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4766">
      <w:bodyDiv w:val="1"/>
      <w:marLeft w:val="0"/>
      <w:marRight w:val="0"/>
      <w:marTop w:val="0"/>
      <w:marBottom w:val="0"/>
      <w:divBdr>
        <w:top w:val="none" w:sz="0" w:space="0" w:color="auto"/>
        <w:left w:val="none" w:sz="0" w:space="0" w:color="auto"/>
        <w:bottom w:val="none" w:sz="0" w:space="0" w:color="auto"/>
        <w:right w:val="none" w:sz="0" w:space="0" w:color="auto"/>
      </w:divBdr>
      <w:divsChild>
        <w:div w:id="995452416">
          <w:marLeft w:val="0"/>
          <w:marRight w:val="0"/>
          <w:marTop w:val="0"/>
          <w:marBottom w:val="0"/>
          <w:divBdr>
            <w:top w:val="none" w:sz="0" w:space="0" w:color="auto"/>
            <w:left w:val="none" w:sz="0" w:space="0" w:color="auto"/>
            <w:bottom w:val="none" w:sz="0" w:space="0" w:color="auto"/>
            <w:right w:val="none" w:sz="0" w:space="0" w:color="auto"/>
          </w:divBdr>
          <w:divsChild>
            <w:div w:id="791095033">
              <w:marLeft w:val="0"/>
              <w:marRight w:val="0"/>
              <w:marTop w:val="0"/>
              <w:marBottom w:val="0"/>
              <w:divBdr>
                <w:top w:val="none" w:sz="0" w:space="0" w:color="auto"/>
                <w:left w:val="none" w:sz="0" w:space="0" w:color="auto"/>
                <w:bottom w:val="none" w:sz="0" w:space="0" w:color="auto"/>
                <w:right w:val="none" w:sz="0" w:space="0" w:color="auto"/>
              </w:divBdr>
              <w:divsChild>
                <w:div w:id="1558591019">
                  <w:marLeft w:val="0"/>
                  <w:marRight w:val="0"/>
                  <w:marTop w:val="0"/>
                  <w:marBottom w:val="0"/>
                  <w:divBdr>
                    <w:top w:val="none" w:sz="0" w:space="0" w:color="auto"/>
                    <w:left w:val="none" w:sz="0" w:space="0" w:color="auto"/>
                    <w:bottom w:val="none" w:sz="0" w:space="0" w:color="auto"/>
                    <w:right w:val="none" w:sz="0" w:space="0" w:color="auto"/>
                  </w:divBdr>
                  <w:divsChild>
                    <w:div w:id="1527593233">
                      <w:marLeft w:val="0"/>
                      <w:marRight w:val="0"/>
                      <w:marTop w:val="0"/>
                      <w:marBottom w:val="0"/>
                      <w:divBdr>
                        <w:top w:val="none" w:sz="0" w:space="0" w:color="auto"/>
                        <w:left w:val="none" w:sz="0" w:space="0" w:color="auto"/>
                        <w:bottom w:val="none" w:sz="0" w:space="0" w:color="auto"/>
                        <w:right w:val="none" w:sz="0" w:space="0" w:color="auto"/>
                      </w:divBdr>
                      <w:divsChild>
                        <w:div w:id="602031975">
                          <w:marLeft w:val="0"/>
                          <w:marRight w:val="0"/>
                          <w:marTop w:val="0"/>
                          <w:marBottom w:val="0"/>
                          <w:divBdr>
                            <w:top w:val="none" w:sz="0" w:space="0" w:color="auto"/>
                            <w:left w:val="none" w:sz="0" w:space="0" w:color="auto"/>
                            <w:bottom w:val="none" w:sz="0" w:space="0" w:color="auto"/>
                            <w:right w:val="none" w:sz="0" w:space="0" w:color="auto"/>
                          </w:divBdr>
                          <w:divsChild>
                            <w:div w:id="1585530859">
                              <w:marLeft w:val="0"/>
                              <w:marRight w:val="0"/>
                              <w:marTop w:val="0"/>
                              <w:marBottom w:val="0"/>
                              <w:divBdr>
                                <w:top w:val="none" w:sz="0" w:space="0" w:color="auto"/>
                                <w:left w:val="none" w:sz="0" w:space="0" w:color="auto"/>
                                <w:bottom w:val="none" w:sz="0" w:space="0" w:color="auto"/>
                                <w:right w:val="none" w:sz="0" w:space="0" w:color="auto"/>
                              </w:divBdr>
                              <w:divsChild>
                                <w:div w:id="429594441">
                                  <w:marLeft w:val="0"/>
                                  <w:marRight w:val="0"/>
                                  <w:marTop w:val="0"/>
                                  <w:marBottom w:val="0"/>
                                  <w:divBdr>
                                    <w:top w:val="none" w:sz="0" w:space="0" w:color="auto"/>
                                    <w:left w:val="none" w:sz="0" w:space="0" w:color="auto"/>
                                    <w:bottom w:val="none" w:sz="0" w:space="0" w:color="auto"/>
                                    <w:right w:val="none" w:sz="0" w:space="0" w:color="auto"/>
                                  </w:divBdr>
                                  <w:divsChild>
                                    <w:div w:id="471604110">
                                      <w:marLeft w:val="0"/>
                                      <w:marRight w:val="0"/>
                                      <w:marTop w:val="0"/>
                                      <w:marBottom w:val="0"/>
                                      <w:divBdr>
                                        <w:top w:val="none" w:sz="0" w:space="0" w:color="auto"/>
                                        <w:left w:val="none" w:sz="0" w:space="0" w:color="auto"/>
                                        <w:bottom w:val="none" w:sz="0" w:space="0" w:color="auto"/>
                                        <w:right w:val="none" w:sz="0" w:space="0" w:color="auto"/>
                                      </w:divBdr>
                                      <w:divsChild>
                                        <w:div w:id="1529371552">
                                          <w:marLeft w:val="0"/>
                                          <w:marRight w:val="0"/>
                                          <w:marTop w:val="0"/>
                                          <w:marBottom w:val="0"/>
                                          <w:divBdr>
                                            <w:top w:val="none" w:sz="0" w:space="0" w:color="auto"/>
                                            <w:left w:val="none" w:sz="0" w:space="0" w:color="auto"/>
                                            <w:bottom w:val="none" w:sz="0" w:space="0" w:color="auto"/>
                                            <w:right w:val="none" w:sz="0" w:space="0" w:color="auto"/>
                                          </w:divBdr>
                                          <w:divsChild>
                                            <w:div w:id="2142141091">
                                              <w:marLeft w:val="0"/>
                                              <w:marRight w:val="0"/>
                                              <w:marTop w:val="0"/>
                                              <w:marBottom w:val="0"/>
                                              <w:divBdr>
                                                <w:top w:val="none" w:sz="0" w:space="0" w:color="auto"/>
                                                <w:left w:val="none" w:sz="0" w:space="0" w:color="auto"/>
                                                <w:bottom w:val="none" w:sz="0" w:space="0" w:color="auto"/>
                                                <w:right w:val="none" w:sz="0" w:space="0" w:color="auto"/>
                                              </w:divBdr>
                                              <w:divsChild>
                                                <w:div w:id="109243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394370">
          <w:marLeft w:val="0"/>
          <w:marRight w:val="0"/>
          <w:marTop w:val="0"/>
          <w:marBottom w:val="0"/>
          <w:divBdr>
            <w:top w:val="none" w:sz="0" w:space="0" w:color="auto"/>
            <w:left w:val="none" w:sz="0" w:space="0" w:color="auto"/>
            <w:bottom w:val="none" w:sz="0" w:space="0" w:color="auto"/>
            <w:right w:val="none" w:sz="0" w:space="0" w:color="auto"/>
          </w:divBdr>
          <w:divsChild>
            <w:div w:id="1523015816">
              <w:marLeft w:val="0"/>
              <w:marRight w:val="0"/>
              <w:marTop w:val="0"/>
              <w:marBottom w:val="0"/>
              <w:divBdr>
                <w:top w:val="none" w:sz="0" w:space="0" w:color="auto"/>
                <w:left w:val="none" w:sz="0" w:space="0" w:color="auto"/>
                <w:bottom w:val="none" w:sz="0" w:space="0" w:color="auto"/>
                <w:right w:val="none" w:sz="0" w:space="0" w:color="auto"/>
              </w:divBdr>
              <w:divsChild>
                <w:div w:id="141822615">
                  <w:marLeft w:val="0"/>
                  <w:marRight w:val="0"/>
                  <w:marTop w:val="0"/>
                  <w:marBottom w:val="0"/>
                  <w:divBdr>
                    <w:top w:val="none" w:sz="0" w:space="0" w:color="auto"/>
                    <w:left w:val="none" w:sz="0" w:space="0" w:color="auto"/>
                    <w:bottom w:val="none" w:sz="0" w:space="0" w:color="auto"/>
                    <w:right w:val="none" w:sz="0" w:space="0" w:color="auto"/>
                  </w:divBdr>
                  <w:divsChild>
                    <w:div w:id="2124226566">
                      <w:marLeft w:val="0"/>
                      <w:marRight w:val="0"/>
                      <w:marTop w:val="0"/>
                      <w:marBottom w:val="0"/>
                      <w:divBdr>
                        <w:top w:val="none" w:sz="0" w:space="0" w:color="auto"/>
                        <w:left w:val="none" w:sz="0" w:space="0" w:color="auto"/>
                        <w:bottom w:val="none" w:sz="0" w:space="0" w:color="auto"/>
                        <w:right w:val="none" w:sz="0" w:space="0" w:color="auto"/>
                      </w:divBdr>
                      <w:divsChild>
                        <w:div w:id="1720473950">
                          <w:marLeft w:val="0"/>
                          <w:marRight w:val="0"/>
                          <w:marTop w:val="0"/>
                          <w:marBottom w:val="0"/>
                          <w:divBdr>
                            <w:top w:val="none" w:sz="0" w:space="0" w:color="auto"/>
                            <w:left w:val="none" w:sz="0" w:space="0" w:color="auto"/>
                            <w:bottom w:val="none" w:sz="0" w:space="0" w:color="auto"/>
                            <w:right w:val="none" w:sz="0" w:space="0" w:color="auto"/>
                          </w:divBdr>
                          <w:divsChild>
                            <w:div w:id="413863776">
                              <w:marLeft w:val="0"/>
                              <w:marRight w:val="0"/>
                              <w:marTop w:val="0"/>
                              <w:marBottom w:val="0"/>
                              <w:divBdr>
                                <w:top w:val="none" w:sz="0" w:space="0" w:color="auto"/>
                                <w:left w:val="none" w:sz="0" w:space="0" w:color="auto"/>
                                <w:bottom w:val="none" w:sz="0" w:space="0" w:color="auto"/>
                                <w:right w:val="none" w:sz="0" w:space="0" w:color="auto"/>
                              </w:divBdr>
                              <w:divsChild>
                                <w:div w:id="104274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6429628">
      <w:bodyDiv w:val="1"/>
      <w:marLeft w:val="0"/>
      <w:marRight w:val="0"/>
      <w:marTop w:val="0"/>
      <w:marBottom w:val="0"/>
      <w:divBdr>
        <w:top w:val="none" w:sz="0" w:space="0" w:color="auto"/>
        <w:left w:val="none" w:sz="0" w:space="0" w:color="auto"/>
        <w:bottom w:val="none" w:sz="0" w:space="0" w:color="auto"/>
        <w:right w:val="none" w:sz="0" w:space="0" w:color="auto"/>
      </w:divBdr>
    </w:div>
    <w:div w:id="252128700">
      <w:bodyDiv w:val="1"/>
      <w:marLeft w:val="0"/>
      <w:marRight w:val="0"/>
      <w:marTop w:val="0"/>
      <w:marBottom w:val="0"/>
      <w:divBdr>
        <w:top w:val="none" w:sz="0" w:space="0" w:color="auto"/>
        <w:left w:val="none" w:sz="0" w:space="0" w:color="auto"/>
        <w:bottom w:val="none" w:sz="0" w:space="0" w:color="auto"/>
        <w:right w:val="none" w:sz="0" w:space="0" w:color="auto"/>
      </w:divBdr>
    </w:div>
    <w:div w:id="360936873">
      <w:bodyDiv w:val="1"/>
      <w:marLeft w:val="0"/>
      <w:marRight w:val="0"/>
      <w:marTop w:val="0"/>
      <w:marBottom w:val="0"/>
      <w:divBdr>
        <w:top w:val="none" w:sz="0" w:space="0" w:color="auto"/>
        <w:left w:val="none" w:sz="0" w:space="0" w:color="auto"/>
        <w:bottom w:val="none" w:sz="0" w:space="0" w:color="auto"/>
        <w:right w:val="none" w:sz="0" w:space="0" w:color="auto"/>
      </w:divBdr>
    </w:div>
    <w:div w:id="1027755603">
      <w:bodyDiv w:val="1"/>
      <w:marLeft w:val="0"/>
      <w:marRight w:val="0"/>
      <w:marTop w:val="0"/>
      <w:marBottom w:val="0"/>
      <w:divBdr>
        <w:top w:val="none" w:sz="0" w:space="0" w:color="auto"/>
        <w:left w:val="none" w:sz="0" w:space="0" w:color="auto"/>
        <w:bottom w:val="none" w:sz="0" w:space="0" w:color="auto"/>
        <w:right w:val="none" w:sz="0" w:space="0" w:color="auto"/>
      </w:divBdr>
    </w:div>
    <w:div w:id="1240098981">
      <w:bodyDiv w:val="1"/>
      <w:marLeft w:val="0"/>
      <w:marRight w:val="0"/>
      <w:marTop w:val="0"/>
      <w:marBottom w:val="0"/>
      <w:divBdr>
        <w:top w:val="none" w:sz="0" w:space="0" w:color="auto"/>
        <w:left w:val="none" w:sz="0" w:space="0" w:color="auto"/>
        <w:bottom w:val="none" w:sz="0" w:space="0" w:color="auto"/>
        <w:right w:val="none" w:sz="0" w:space="0" w:color="auto"/>
      </w:divBdr>
    </w:div>
    <w:div w:id="1281230449">
      <w:bodyDiv w:val="1"/>
      <w:marLeft w:val="0"/>
      <w:marRight w:val="0"/>
      <w:marTop w:val="0"/>
      <w:marBottom w:val="0"/>
      <w:divBdr>
        <w:top w:val="none" w:sz="0" w:space="0" w:color="auto"/>
        <w:left w:val="none" w:sz="0" w:space="0" w:color="auto"/>
        <w:bottom w:val="none" w:sz="0" w:space="0" w:color="auto"/>
        <w:right w:val="none" w:sz="0" w:space="0" w:color="auto"/>
      </w:divBdr>
    </w:div>
    <w:div w:id="1443377634">
      <w:bodyDiv w:val="1"/>
      <w:marLeft w:val="0"/>
      <w:marRight w:val="0"/>
      <w:marTop w:val="0"/>
      <w:marBottom w:val="0"/>
      <w:divBdr>
        <w:top w:val="none" w:sz="0" w:space="0" w:color="auto"/>
        <w:left w:val="none" w:sz="0" w:space="0" w:color="auto"/>
        <w:bottom w:val="none" w:sz="0" w:space="0" w:color="auto"/>
        <w:right w:val="none" w:sz="0" w:space="0" w:color="auto"/>
      </w:divBdr>
      <w:divsChild>
        <w:div w:id="1739790727">
          <w:marLeft w:val="0"/>
          <w:marRight w:val="0"/>
          <w:marTop w:val="0"/>
          <w:marBottom w:val="0"/>
          <w:divBdr>
            <w:top w:val="none" w:sz="0" w:space="0" w:color="auto"/>
            <w:left w:val="none" w:sz="0" w:space="0" w:color="auto"/>
            <w:bottom w:val="none" w:sz="0" w:space="0" w:color="auto"/>
            <w:right w:val="none" w:sz="0" w:space="0" w:color="auto"/>
          </w:divBdr>
          <w:divsChild>
            <w:div w:id="33821116">
              <w:marLeft w:val="0"/>
              <w:marRight w:val="0"/>
              <w:marTop w:val="0"/>
              <w:marBottom w:val="0"/>
              <w:divBdr>
                <w:top w:val="none" w:sz="0" w:space="0" w:color="auto"/>
                <w:left w:val="none" w:sz="0" w:space="0" w:color="auto"/>
                <w:bottom w:val="none" w:sz="0" w:space="0" w:color="auto"/>
                <w:right w:val="none" w:sz="0" w:space="0" w:color="auto"/>
              </w:divBdr>
              <w:divsChild>
                <w:div w:id="585656164">
                  <w:marLeft w:val="0"/>
                  <w:marRight w:val="0"/>
                  <w:marTop w:val="0"/>
                  <w:marBottom w:val="0"/>
                  <w:divBdr>
                    <w:top w:val="none" w:sz="0" w:space="0" w:color="auto"/>
                    <w:left w:val="none" w:sz="0" w:space="0" w:color="auto"/>
                    <w:bottom w:val="none" w:sz="0" w:space="0" w:color="auto"/>
                    <w:right w:val="none" w:sz="0" w:space="0" w:color="auto"/>
                  </w:divBdr>
                  <w:divsChild>
                    <w:div w:id="32734201">
                      <w:marLeft w:val="0"/>
                      <w:marRight w:val="0"/>
                      <w:marTop w:val="0"/>
                      <w:marBottom w:val="0"/>
                      <w:divBdr>
                        <w:top w:val="none" w:sz="0" w:space="0" w:color="auto"/>
                        <w:left w:val="none" w:sz="0" w:space="0" w:color="auto"/>
                        <w:bottom w:val="none" w:sz="0" w:space="0" w:color="auto"/>
                        <w:right w:val="none" w:sz="0" w:space="0" w:color="auto"/>
                      </w:divBdr>
                      <w:divsChild>
                        <w:div w:id="2117944418">
                          <w:marLeft w:val="0"/>
                          <w:marRight w:val="0"/>
                          <w:marTop w:val="0"/>
                          <w:marBottom w:val="0"/>
                          <w:divBdr>
                            <w:top w:val="none" w:sz="0" w:space="0" w:color="auto"/>
                            <w:left w:val="none" w:sz="0" w:space="0" w:color="auto"/>
                            <w:bottom w:val="none" w:sz="0" w:space="0" w:color="auto"/>
                            <w:right w:val="none" w:sz="0" w:space="0" w:color="auto"/>
                          </w:divBdr>
                          <w:divsChild>
                            <w:div w:id="58940692">
                              <w:marLeft w:val="0"/>
                              <w:marRight w:val="0"/>
                              <w:marTop w:val="0"/>
                              <w:marBottom w:val="0"/>
                              <w:divBdr>
                                <w:top w:val="none" w:sz="0" w:space="0" w:color="auto"/>
                                <w:left w:val="none" w:sz="0" w:space="0" w:color="auto"/>
                                <w:bottom w:val="none" w:sz="0" w:space="0" w:color="auto"/>
                                <w:right w:val="none" w:sz="0" w:space="0" w:color="auto"/>
                              </w:divBdr>
                              <w:divsChild>
                                <w:div w:id="6622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029015">
          <w:marLeft w:val="0"/>
          <w:marRight w:val="0"/>
          <w:marTop w:val="0"/>
          <w:marBottom w:val="0"/>
          <w:divBdr>
            <w:top w:val="none" w:sz="0" w:space="0" w:color="auto"/>
            <w:left w:val="none" w:sz="0" w:space="0" w:color="auto"/>
            <w:bottom w:val="none" w:sz="0" w:space="0" w:color="auto"/>
            <w:right w:val="none" w:sz="0" w:space="0" w:color="auto"/>
          </w:divBdr>
          <w:divsChild>
            <w:div w:id="1258365163">
              <w:marLeft w:val="0"/>
              <w:marRight w:val="0"/>
              <w:marTop w:val="0"/>
              <w:marBottom w:val="0"/>
              <w:divBdr>
                <w:top w:val="none" w:sz="0" w:space="0" w:color="auto"/>
                <w:left w:val="none" w:sz="0" w:space="0" w:color="auto"/>
                <w:bottom w:val="none" w:sz="0" w:space="0" w:color="auto"/>
                <w:right w:val="none" w:sz="0" w:space="0" w:color="auto"/>
              </w:divBdr>
              <w:divsChild>
                <w:div w:id="775098254">
                  <w:marLeft w:val="0"/>
                  <w:marRight w:val="0"/>
                  <w:marTop w:val="0"/>
                  <w:marBottom w:val="0"/>
                  <w:divBdr>
                    <w:top w:val="none" w:sz="0" w:space="0" w:color="auto"/>
                    <w:left w:val="none" w:sz="0" w:space="0" w:color="auto"/>
                    <w:bottom w:val="none" w:sz="0" w:space="0" w:color="auto"/>
                    <w:right w:val="none" w:sz="0" w:space="0" w:color="auto"/>
                  </w:divBdr>
                  <w:divsChild>
                    <w:div w:id="2020345531">
                      <w:marLeft w:val="0"/>
                      <w:marRight w:val="0"/>
                      <w:marTop w:val="0"/>
                      <w:marBottom w:val="0"/>
                      <w:divBdr>
                        <w:top w:val="none" w:sz="0" w:space="0" w:color="auto"/>
                        <w:left w:val="none" w:sz="0" w:space="0" w:color="auto"/>
                        <w:bottom w:val="none" w:sz="0" w:space="0" w:color="auto"/>
                        <w:right w:val="none" w:sz="0" w:space="0" w:color="auto"/>
                      </w:divBdr>
                      <w:divsChild>
                        <w:div w:id="1862819960">
                          <w:marLeft w:val="0"/>
                          <w:marRight w:val="0"/>
                          <w:marTop w:val="0"/>
                          <w:marBottom w:val="0"/>
                          <w:divBdr>
                            <w:top w:val="none" w:sz="0" w:space="0" w:color="auto"/>
                            <w:left w:val="none" w:sz="0" w:space="0" w:color="auto"/>
                            <w:bottom w:val="none" w:sz="0" w:space="0" w:color="auto"/>
                            <w:right w:val="none" w:sz="0" w:space="0" w:color="auto"/>
                          </w:divBdr>
                          <w:divsChild>
                            <w:div w:id="1113985408">
                              <w:marLeft w:val="0"/>
                              <w:marRight w:val="0"/>
                              <w:marTop w:val="0"/>
                              <w:marBottom w:val="0"/>
                              <w:divBdr>
                                <w:top w:val="none" w:sz="0" w:space="0" w:color="auto"/>
                                <w:left w:val="none" w:sz="0" w:space="0" w:color="auto"/>
                                <w:bottom w:val="none" w:sz="0" w:space="0" w:color="auto"/>
                                <w:right w:val="none" w:sz="0" w:space="0" w:color="auto"/>
                              </w:divBdr>
                              <w:divsChild>
                                <w:div w:id="67578037">
                                  <w:marLeft w:val="0"/>
                                  <w:marRight w:val="0"/>
                                  <w:marTop w:val="0"/>
                                  <w:marBottom w:val="0"/>
                                  <w:divBdr>
                                    <w:top w:val="none" w:sz="0" w:space="0" w:color="auto"/>
                                    <w:left w:val="none" w:sz="0" w:space="0" w:color="auto"/>
                                    <w:bottom w:val="none" w:sz="0" w:space="0" w:color="auto"/>
                                    <w:right w:val="none" w:sz="0" w:space="0" w:color="auto"/>
                                  </w:divBdr>
                                  <w:divsChild>
                                    <w:div w:id="1281188701">
                                      <w:marLeft w:val="0"/>
                                      <w:marRight w:val="0"/>
                                      <w:marTop w:val="0"/>
                                      <w:marBottom w:val="0"/>
                                      <w:divBdr>
                                        <w:top w:val="none" w:sz="0" w:space="0" w:color="auto"/>
                                        <w:left w:val="none" w:sz="0" w:space="0" w:color="auto"/>
                                        <w:bottom w:val="none" w:sz="0" w:space="0" w:color="auto"/>
                                        <w:right w:val="none" w:sz="0" w:space="0" w:color="auto"/>
                                      </w:divBdr>
                                      <w:divsChild>
                                        <w:div w:id="1862743923">
                                          <w:marLeft w:val="0"/>
                                          <w:marRight w:val="0"/>
                                          <w:marTop w:val="0"/>
                                          <w:marBottom w:val="0"/>
                                          <w:divBdr>
                                            <w:top w:val="none" w:sz="0" w:space="0" w:color="auto"/>
                                            <w:left w:val="none" w:sz="0" w:space="0" w:color="auto"/>
                                            <w:bottom w:val="none" w:sz="0" w:space="0" w:color="auto"/>
                                            <w:right w:val="none" w:sz="0" w:space="0" w:color="auto"/>
                                          </w:divBdr>
                                          <w:divsChild>
                                            <w:div w:id="1080325688">
                                              <w:marLeft w:val="0"/>
                                              <w:marRight w:val="0"/>
                                              <w:marTop w:val="0"/>
                                              <w:marBottom w:val="0"/>
                                              <w:divBdr>
                                                <w:top w:val="none" w:sz="0" w:space="0" w:color="auto"/>
                                                <w:left w:val="none" w:sz="0" w:space="0" w:color="auto"/>
                                                <w:bottom w:val="none" w:sz="0" w:space="0" w:color="auto"/>
                                                <w:right w:val="none" w:sz="0" w:space="0" w:color="auto"/>
                                              </w:divBdr>
                                              <w:divsChild>
                                                <w:div w:id="9661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38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5PC0550&amp;qid=1753799477044" TargetMode="External"/><Relationship Id="rId13" Type="http://schemas.openxmlformats.org/officeDocument/2006/relationships/hyperlink" Target="https://webgate.ec.europa.eu/hpf/page/show/505" TargetMode="External"/><Relationship Id="rId18" Type="http://schemas.openxmlformats.org/officeDocument/2006/relationships/hyperlink" Target="https://eur-lex.europa.eu/legal-content/EN/TXT/?uri=celex:52025DC1025" TargetMode="External"/><Relationship Id="rId26" Type="http://schemas.openxmlformats.org/officeDocument/2006/relationships/hyperlink" Target="https://sport.ec.europa.eu/european-week-of-sport" TargetMode="External"/><Relationship Id="rId3" Type="http://schemas.openxmlformats.org/officeDocument/2006/relationships/hyperlink" Target="http://data.europa.eu/eli/reg/2024/2509/oj" TargetMode="External"/><Relationship Id="rId21" Type="http://schemas.openxmlformats.org/officeDocument/2006/relationships/hyperlink" Target="https://digital-strategy.ec.europa.eu/en/library/code-conduct-countering-illegal-hate-speech-online" TargetMode="External"/><Relationship Id="rId7" Type="http://schemas.openxmlformats.org/officeDocument/2006/relationships/hyperlink" Target="https://eur-lex.europa.eu/legal-content/EN/TXT/?uri=celex:52025DC0790" TargetMode="External"/><Relationship Id="rId12" Type="http://schemas.openxmlformats.org/officeDocument/2006/relationships/hyperlink" Target="https://ec.europa.eu/health/social_determinants/projects/ep_funded_projects_en" TargetMode="External"/><Relationship Id="rId17" Type="http://schemas.openxmlformats.org/officeDocument/2006/relationships/hyperlink" Target="https://citizens-initiative.europa.eu/document/download/1de84b11-b269-479a-a46f-796aca71235e_en?filename=C_2026_3333.pdf" TargetMode="External"/><Relationship Id="rId25" Type="http://schemas.openxmlformats.org/officeDocument/2006/relationships/hyperlink" Target="https://sport.ec.europa.eu/initiatives/beactive-eu-sport-awards" TargetMode="External"/><Relationship Id="rId2" Type="http://schemas.openxmlformats.org/officeDocument/2006/relationships/hyperlink" Target="https://eur-lex.europa.eu/eli/reg/2024/2509/oj/eng" TargetMode="External"/><Relationship Id="rId16" Type="http://schemas.openxmlformats.org/officeDocument/2006/relationships/hyperlink" Target="https://health.ec.europa.eu/non-communicable-diseases/mental-health_en" TargetMode="External"/><Relationship Id="rId20" Type="http://schemas.openxmlformats.org/officeDocument/2006/relationships/hyperlink" Target="http://data.europa.eu/eli/reg/2024/1689/oj" TargetMode="External"/><Relationship Id="rId1" Type="http://schemas.openxmlformats.org/officeDocument/2006/relationships/hyperlink" Target="http://data.europa.eu/eli/reg/2021/1060/oj" TargetMode="External"/><Relationship Id="rId6" Type="http://schemas.openxmlformats.org/officeDocument/2006/relationships/hyperlink" Target="https://eur-lex.europa.eu/legal-content/EN/TXT/?uri=celex:52025JC0791" TargetMode="External"/><Relationship Id="rId11" Type="http://schemas.openxmlformats.org/officeDocument/2006/relationships/hyperlink" Target="http://data.europa.eu/eli/dir/2024/1499/oj" TargetMode="External"/><Relationship Id="rId24" Type="http://schemas.openxmlformats.org/officeDocument/2006/relationships/hyperlink" Target="https://eur-lex.europa.eu/legal-content/EN/TXT/?uri=CELEX%3A32021R0818" TargetMode="External"/><Relationship Id="rId5" Type="http://schemas.openxmlformats.org/officeDocument/2006/relationships/hyperlink" Target="https://www.coe.int/en/web/sogi/combating-anti-lgbtiq-violence" TargetMode="External"/><Relationship Id="rId15" Type="http://schemas.openxmlformats.org/officeDocument/2006/relationships/hyperlink" Target="https://eur-lex.europa.eu/legal-content/EN/TXT/?uri=celex:52023DC0298" TargetMode="External"/><Relationship Id="rId23" Type="http://schemas.openxmlformats.org/officeDocument/2006/relationships/hyperlink" Target="https://eur-lex.europa.eu/legal-content/EN/TXT/?uri=CELEX%3A52025DC0785&amp;qid=1781710249840" TargetMode="External"/><Relationship Id="rId10" Type="http://schemas.openxmlformats.org/officeDocument/2006/relationships/hyperlink" Target="http://data.europa.eu/eli/dir/2024/1500/oj" TargetMode="External"/><Relationship Id="rId19" Type="http://schemas.openxmlformats.org/officeDocument/2006/relationships/hyperlink" Target="https://eur-lex.europa.eu/legal-content/EN/TXT/?uri=CELEX%3A52026DC0538&amp;qid=1779094352359" TargetMode="External"/><Relationship Id="rId4" Type="http://schemas.openxmlformats.org/officeDocument/2006/relationships/hyperlink" Target="https://eur-lex.europa.eu/legal-content/EN/TXT/?uri=celex:52008PC0426" TargetMode="External"/><Relationship Id="rId9" Type="http://schemas.openxmlformats.org/officeDocument/2006/relationships/hyperlink" Target="https://eur-lex.europa.eu/eli/dir/2024/1500/oj/eng" TargetMode="External"/><Relationship Id="rId14" Type="http://schemas.openxmlformats.org/officeDocument/2006/relationships/hyperlink" Target="https://webgate.ec.europa.eu/dyna/bp-portal/" TargetMode="External"/><Relationship Id="rId22" Type="http://schemas.openxmlformats.org/officeDocument/2006/relationships/hyperlink" Target="https://digital-strategy.ec.europa.eu/en/news/first-results-published-under-revised-code-conduct-countering-illegal-hate-speech-online" TargetMode="External"/><Relationship Id="rId27" Type="http://schemas.openxmlformats.org/officeDocument/2006/relationships/hyperlink" Target="http://data.europa.eu/eli/C/2024/352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EBFA01D8CDE41AAE050D7D7CF61F9" ma:contentTypeVersion="12" ma:contentTypeDescription="Create a new document." ma:contentTypeScope="" ma:versionID="c37d121bfc176b0c30af95a18dc293e8">
  <xsd:schema xmlns:xsd="http://www.w3.org/2001/XMLSchema" xmlns:xs="http://www.w3.org/2001/XMLSchema" xmlns:p="http://schemas.microsoft.com/office/2006/metadata/properties" xmlns:ns2="38bf3bd7-73ad-4948-8b71-aa2c92f53103" targetNamespace="http://schemas.microsoft.com/office/2006/metadata/properties" ma:root="true" ma:fieldsID="b09be03f80295138cbedb8362737638c" ns2:_="">
    <xsd:import namespace="38bf3bd7-73ad-4948-8b71-aa2c92f53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f3bd7-73ad-4948-8b71-aa2c92f53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bf3bd7-73ad-4948-8b71-aa2c92f531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80B8EC-789E-47B9-BE31-F172C2AD6A0F}">
  <ds:schemaRefs>
    <ds:schemaRef ds:uri="http://schemas.openxmlformats.org/officeDocument/2006/bibliography"/>
  </ds:schemaRefs>
</ds:datastoreItem>
</file>

<file path=customXml/itemProps2.xml><?xml version="1.0" encoding="utf-8"?>
<ds:datastoreItem xmlns:ds="http://schemas.openxmlformats.org/officeDocument/2006/customXml" ds:itemID="{E3EAEF67-AF3A-4EEC-90BB-D5138F55E5E4}">
  <ds:schemaRefs>
    <ds:schemaRef ds:uri="http://schemas.microsoft.com/sharepoint/v3/contenttype/forms"/>
  </ds:schemaRefs>
</ds:datastoreItem>
</file>

<file path=customXml/itemProps3.xml><?xml version="1.0" encoding="utf-8"?>
<ds:datastoreItem xmlns:ds="http://schemas.openxmlformats.org/officeDocument/2006/customXml" ds:itemID="{50B255AC-FAB2-42A5-A89C-8E85B4BC8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f3bd7-73ad-4948-8b71-aa2c92f53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5BFC3-F907-4C66-95E4-914A7CFF8E92}">
  <ds:schemaRefs>
    <ds:schemaRef ds:uri="http://schemas.microsoft.com/office/2006/metadata/properties"/>
    <ds:schemaRef ds:uri="http://schemas.microsoft.com/office/infopath/2007/PartnerControls"/>
    <ds:schemaRef ds:uri="38bf3bd7-73ad-4948-8b71-aa2c92f5310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2641</Words>
  <Characters>15905</Characters>
  <Application>Microsoft Office Word</Application>
  <DocSecurity>0</DocSecurity>
  <Lines>201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 BRIDE Margaret (JUST)</dc:creator>
  <cp:keywords/>
  <cp:lastModifiedBy>ROSSI Simona (SG)</cp:lastModifiedBy>
  <cp:revision>3</cp:revision>
  <dcterms:created xsi:type="dcterms:W3CDTF">2026-07-16T14:36:00Z</dcterms:created>
  <dcterms:modified xsi:type="dcterms:W3CDTF">2026-07-16T14:39:00Z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2026-07-03T17:45:56Z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27524a9f-68f1-4b3c-91cf-c2cb9b1648a8</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EC_TX_Corporate_x0020_Body">
    <vt:lpwstr/>
  </property>
  <property fmtid="{D5CDD505-2E9C-101B-9397-08002B2CF9AE}" pid="11" name="EC_TX_All_World_Countries">
    <vt:lpwstr/>
  </property>
  <property fmtid="{D5CDD505-2E9C-101B-9397-08002B2CF9AE}" pid="12" name="MediaServiceImageTags">
    <vt:lpwstr/>
  </property>
  <property fmtid="{D5CDD505-2E9C-101B-9397-08002B2CF9AE}" pid="13" name="ContentTypeId">
    <vt:lpwstr>0x01010093DEBFA01D8CDE41AAE050D7D7CF61F9</vt:lpwstr>
  </property>
  <property fmtid="{D5CDD505-2E9C-101B-9397-08002B2CF9AE}" pid="14" name="EC_TX_Corporate Body">
    <vt:lpwstr/>
  </property>
  <property fmtid="{D5CDD505-2E9C-101B-9397-08002B2CF9AE}" pid="15" name="i8c8ab8b63424c5d9f8c4a8434abf670">
    <vt:lpwstr/>
  </property>
  <property fmtid="{D5CDD505-2E9C-101B-9397-08002B2CF9AE}" pid="16" name="p26229aee9004b9f888149fd0449ec68">
    <vt:lpwstr/>
  </property>
  <property fmtid="{D5CDD505-2E9C-101B-9397-08002B2CF9AE}" pid="17" name="eff2cf69f10b4279bbb27215ca009b37">
    <vt:lpwstr/>
  </property>
  <property fmtid="{D5CDD505-2E9C-101B-9397-08002B2CF9AE}" pid="18" name="EC_TX_Resource_Type">
    <vt:lpwstr/>
  </property>
  <property fmtid="{D5CDD505-2E9C-101B-9397-08002B2CF9AE}" pid="19" name="EC_TX_Policy_Area">
    <vt:lpwstr/>
  </property>
  <property fmtid="{D5CDD505-2E9C-101B-9397-08002B2CF9AE}" pid="20" name="EC_TX_EU_Member_State">
    <vt:lpwstr/>
  </property>
  <property fmtid="{D5CDD505-2E9C-101B-9397-08002B2CF9AE}" pid="21" name="j8309f8bc3e645d1a2f07391f8e5795a">
    <vt:lpwstr/>
  </property>
  <property fmtid="{D5CDD505-2E9C-101B-9397-08002B2CF9AE}" pid="22" name="g81cb4d17be94922847ce418ea81f55a">
    <vt:lpwstr/>
  </property>
  <property fmtid="{D5CDD505-2E9C-101B-9397-08002B2CF9AE}" pid="23" name="TaxCatchAll">
    <vt:lpwstr/>
  </property>
  <property fmtid="{D5CDD505-2E9C-101B-9397-08002B2CF9AE}" pid="24" name="k2c54712f93b47eb83e1835ba301b6c6">
    <vt:lpwstr/>
  </property>
  <property fmtid="{D5CDD505-2E9C-101B-9397-08002B2CF9AE}" pid="25" name="EC_TX_Strategic_Priority">
    <vt:lpwstr/>
  </property>
  <property fmtid="{D5CDD505-2E9C-101B-9397-08002B2CF9AE}" pid="26" name="EC_TX_EU_Political_Leader">
    <vt:lpwstr/>
  </property>
  <property fmtid="{D5CDD505-2E9C-101B-9397-08002B2CF9AE}" pid="27" name="p6ffe5294acd41c38db3fcc8ababb05f">
    <vt:lpwstr/>
  </property>
</Properties>
</file>