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300"/>
      </w:tblGrid>
      <w:tr w:rsidR="7ABD1E37" w14:paraId="74926D31" w14:textId="77777777" w:rsidTr="73C2DC8D">
        <w:trPr>
          <w:trHeight w:val="300"/>
        </w:trPr>
        <w:tc>
          <w:tcPr>
            <w:tcW w:w="9300" w:type="dxa"/>
            <w:tcBorders>
              <w:top w:val="double" w:sz="6" w:space="0" w:color="auto"/>
              <w:left w:val="double" w:sz="6" w:space="0" w:color="auto"/>
              <w:bottom w:val="single" w:sz="6" w:space="0" w:color="auto"/>
              <w:right w:val="double" w:sz="6" w:space="0" w:color="auto"/>
            </w:tcBorders>
            <w:tcMar>
              <w:left w:w="90" w:type="dxa"/>
              <w:right w:w="90" w:type="dxa"/>
            </w:tcMar>
          </w:tcPr>
          <w:p w14:paraId="427DE744" w14:textId="07D27A9F" w:rsidR="00CA1419" w:rsidRPr="00CA1419" w:rsidRDefault="00CA1419" w:rsidP="68612729">
            <w:pPr>
              <w:spacing w:before="120" w:after="120" w:line="276" w:lineRule="auto"/>
              <w:rPr>
                <w:rFonts w:ascii="Times New Roman" w:eastAsia="Times New Roman" w:hAnsi="Times New Roman" w:cs="Times New Roman"/>
                <w:b/>
                <w:bCs/>
                <w:color w:val="000000" w:themeColor="text1"/>
                <w:lang w:val="en-GB"/>
              </w:rPr>
            </w:pPr>
            <w:r w:rsidRPr="2E8A729F">
              <w:rPr>
                <w:rFonts w:ascii="Times New Roman" w:eastAsia="Times New Roman" w:hAnsi="Times New Roman" w:cs="Times New Roman"/>
                <w:b/>
                <w:bCs/>
                <w:color w:val="000000" w:themeColor="text1"/>
                <w:lang w:val="en-GB"/>
              </w:rPr>
              <w:t>New rules on drug precurso</w:t>
            </w:r>
            <w:r w:rsidR="15EEF9F5" w:rsidRPr="2E8A729F">
              <w:rPr>
                <w:rFonts w:ascii="Times New Roman" w:eastAsia="Times New Roman" w:hAnsi="Times New Roman" w:cs="Times New Roman"/>
                <w:b/>
                <w:bCs/>
                <w:color w:val="000000" w:themeColor="text1"/>
                <w:lang w:val="en-GB"/>
              </w:rPr>
              <w:t>r</w:t>
            </w:r>
            <w:r w:rsidRPr="2E8A729F">
              <w:rPr>
                <w:rFonts w:ascii="Times New Roman" w:eastAsia="Times New Roman" w:hAnsi="Times New Roman" w:cs="Times New Roman"/>
                <w:b/>
                <w:bCs/>
                <w:color w:val="000000" w:themeColor="text1"/>
                <w:lang w:val="en-GB"/>
              </w:rPr>
              <w:t>s</w:t>
            </w:r>
            <w:r>
              <w:br/>
            </w:r>
            <w:r w:rsidR="1DF47DB9" w:rsidRPr="2E8A729F">
              <w:rPr>
                <w:rFonts w:ascii="Times New Roman" w:eastAsia="Times New Roman" w:hAnsi="Times New Roman" w:cs="Times New Roman"/>
                <w:b/>
                <w:bCs/>
                <w:color w:val="000000" w:themeColor="text1"/>
                <w:lang w:val="en-GB"/>
              </w:rPr>
              <w:t>(mandatory opinion)</w:t>
            </w:r>
            <w:r>
              <w:br/>
            </w:r>
            <w:proofErr w:type="gramStart"/>
            <w:r w:rsidR="1DF47DB9" w:rsidRPr="2E8A729F">
              <w:rPr>
                <w:rFonts w:ascii="Times New Roman" w:eastAsia="Times New Roman" w:hAnsi="Times New Roman" w:cs="Times New Roman"/>
                <w:b/>
                <w:bCs/>
                <w:color w:val="000000" w:themeColor="text1"/>
                <w:lang w:val="en-GB"/>
              </w:rPr>
              <w:t>COM(</w:t>
            </w:r>
            <w:proofErr w:type="gramEnd"/>
            <w:r w:rsidR="1DF47DB9" w:rsidRPr="2E8A729F">
              <w:rPr>
                <w:rFonts w:ascii="Times New Roman" w:eastAsia="Times New Roman" w:hAnsi="Times New Roman" w:cs="Times New Roman"/>
                <w:b/>
                <w:bCs/>
                <w:color w:val="000000" w:themeColor="text1"/>
                <w:lang w:val="en-GB"/>
              </w:rPr>
              <w:t xml:space="preserve">2025) </w:t>
            </w:r>
            <w:r w:rsidRPr="2E8A729F">
              <w:rPr>
                <w:rFonts w:ascii="Times New Roman" w:eastAsia="Times New Roman" w:hAnsi="Times New Roman" w:cs="Times New Roman"/>
                <w:b/>
                <w:bCs/>
                <w:color w:val="000000" w:themeColor="text1"/>
                <w:lang w:val="en-GB"/>
              </w:rPr>
              <w:t>747</w:t>
            </w:r>
            <w:r>
              <w:br/>
            </w:r>
            <w:r w:rsidR="1DF47DB9" w:rsidRPr="2E8A729F">
              <w:rPr>
                <w:rFonts w:ascii="Times New Roman" w:eastAsia="Times New Roman" w:hAnsi="Times New Roman" w:cs="Times New Roman"/>
                <w:b/>
                <w:bCs/>
                <w:color w:val="000000" w:themeColor="text1"/>
              </w:rPr>
              <w:t>EESC-202</w:t>
            </w:r>
            <w:r w:rsidRPr="2E8A729F">
              <w:rPr>
                <w:rFonts w:ascii="Times New Roman" w:eastAsia="Times New Roman" w:hAnsi="Times New Roman" w:cs="Times New Roman"/>
                <w:b/>
                <w:bCs/>
                <w:color w:val="000000" w:themeColor="text1"/>
              </w:rPr>
              <w:t>5</w:t>
            </w:r>
            <w:r w:rsidR="1DF47DB9" w:rsidRPr="2E8A729F">
              <w:rPr>
                <w:rFonts w:ascii="Times New Roman" w:eastAsia="Times New Roman" w:hAnsi="Times New Roman" w:cs="Times New Roman"/>
                <w:b/>
                <w:bCs/>
                <w:color w:val="000000" w:themeColor="text1"/>
              </w:rPr>
              <w:t>-</w:t>
            </w:r>
            <w:r w:rsidR="1DF47DB9" w:rsidRPr="2E8A729F">
              <w:rPr>
                <w:rFonts w:ascii="Times New Roman" w:eastAsia="Times New Roman" w:hAnsi="Times New Roman" w:cs="Times New Roman"/>
                <w:b/>
                <w:bCs/>
                <w:color w:val="000000" w:themeColor="text1"/>
                <w:lang w:val="en-GB"/>
              </w:rPr>
              <w:t>0</w:t>
            </w:r>
            <w:r w:rsidRPr="2E8A729F">
              <w:rPr>
                <w:rFonts w:ascii="Times New Roman" w:eastAsia="Times New Roman" w:hAnsi="Times New Roman" w:cs="Times New Roman"/>
                <w:b/>
                <w:bCs/>
                <w:color w:val="000000" w:themeColor="text1"/>
                <w:lang w:val="en-GB"/>
              </w:rPr>
              <w:t>4277</w:t>
            </w:r>
            <w:r w:rsidR="1DF47DB9" w:rsidRPr="2E8A729F">
              <w:rPr>
                <w:rFonts w:ascii="Times New Roman" w:eastAsia="Times New Roman" w:hAnsi="Times New Roman" w:cs="Times New Roman"/>
                <w:b/>
                <w:bCs/>
                <w:color w:val="000000" w:themeColor="text1"/>
                <w:lang w:val="en-GB"/>
              </w:rPr>
              <w:t xml:space="preserve"> ‒ INT/111</w:t>
            </w:r>
            <w:r w:rsidRPr="2E8A729F">
              <w:rPr>
                <w:rFonts w:ascii="Times New Roman" w:eastAsia="Times New Roman" w:hAnsi="Times New Roman" w:cs="Times New Roman"/>
                <w:b/>
                <w:bCs/>
                <w:color w:val="000000" w:themeColor="text1"/>
                <w:lang w:val="en-GB"/>
              </w:rPr>
              <w:t>4</w:t>
            </w:r>
            <w:r>
              <w:br/>
            </w:r>
            <w:r w:rsidR="1DF47DB9" w:rsidRPr="2E8A729F">
              <w:rPr>
                <w:rFonts w:ascii="Times New Roman" w:eastAsia="Times New Roman" w:hAnsi="Times New Roman" w:cs="Times New Roman"/>
                <w:b/>
                <w:bCs/>
                <w:color w:val="000000" w:themeColor="text1"/>
                <w:lang w:val="en-GB"/>
              </w:rPr>
              <w:t>60</w:t>
            </w:r>
            <w:r w:rsidRPr="2E8A729F">
              <w:rPr>
                <w:rFonts w:ascii="Times New Roman" w:eastAsia="Times New Roman" w:hAnsi="Times New Roman" w:cs="Times New Roman"/>
                <w:b/>
                <w:bCs/>
                <w:color w:val="000000" w:themeColor="text1"/>
                <w:lang w:val="en-GB"/>
              </w:rPr>
              <w:t>5</w:t>
            </w:r>
            <w:r w:rsidR="1DF47DB9" w:rsidRPr="00002DFB">
              <w:rPr>
                <w:rFonts w:ascii="Times New Roman" w:eastAsia="Times New Roman" w:hAnsi="Times New Roman" w:cs="Times New Roman"/>
                <w:b/>
                <w:bCs/>
                <w:color w:val="000000" w:themeColor="text1"/>
                <w:vertAlign w:val="superscript"/>
                <w:lang w:val="en-GB"/>
              </w:rPr>
              <w:t>th</w:t>
            </w:r>
            <w:r w:rsidR="1DF47DB9" w:rsidRPr="2E8A729F">
              <w:rPr>
                <w:rFonts w:ascii="Times New Roman" w:eastAsia="Times New Roman" w:hAnsi="Times New Roman" w:cs="Times New Roman"/>
                <w:b/>
                <w:bCs/>
                <w:color w:val="000000" w:themeColor="text1"/>
                <w:lang w:val="en-GB"/>
              </w:rPr>
              <w:t xml:space="preserve"> Plenary Session – </w:t>
            </w:r>
            <w:r w:rsidRPr="2E8A729F">
              <w:rPr>
                <w:rFonts w:ascii="Times New Roman" w:eastAsia="Times New Roman" w:hAnsi="Times New Roman" w:cs="Times New Roman"/>
                <w:b/>
                <w:bCs/>
                <w:color w:val="000000" w:themeColor="text1"/>
                <w:lang w:val="en-GB"/>
              </w:rPr>
              <w:t>April</w:t>
            </w:r>
            <w:r w:rsidR="1DF47DB9" w:rsidRPr="2E8A729F">
              <w:rPr>
                <w:rFonts w:ascii="Times New Roman" w:eastAsia="Times New Roman" w:hAnsi="Times New Roman" w:cs="Times New Roman"/>
                <w:b/>
                <w:bCs/>
                <w:color w:val="000000" w:themeColor="text1"/>
                <w:lang w:val="en-GB"/>
              </w:rPr>
              <w:t xml:space="preserve"> 2026</w:t>
            </w:r>
            <w:r>
              <w:br/>
            </w:r>
            <w:r w:rsidR="1DF47DB9" w:rsidRPr="2E8A729F">
              <w:rPr>
                <w:rFonts w:ascii="Times New Roman" w:eastAsia="Times New Roman" w:hAnsi="Times New Roman" w:cs="Times New Roman"/>
                <w:b/>
                <w:bCs/>
                <w:color w:val="000000" w:themeColor="text1"/>
                <w:lang w:val="en-GB"/>
              </w:rPr>
              <w:t xml:space="preserve">Rapporteur: </w:t>
            </w:r>
            <w:r w:rsidRPr="2E8A729F">
              <w:rPr>
                <w:rFonts w:ascii="Times New Roman" w:eastAsia="Times New Roman" w:hAnsi="Times New Roman" w:cs="Times New Roman"/>
                <w:b/>
                <w:bCs/>
                <w:color w:val="000000" w:themeColor="text1"/>
                <w:lang w:val="en-GB"/>
              </w:rPr>
              <w:t xml:space="preserve">Diego DUTTO </w:t>
            </w:r>
            <w:r w:rsidR="1DF47DB9" w:rsidRPr="2E8A729F">
              <w:rPr>
                <w:rFonts w:ascii="Times New Roman" w:eastAsia="Times New Roman" w:hAnsi="Times New Roman" w:cs="Times New Roman"/>
                <w:b/>
                <w:bCs/>
                <w:color w:val="000000" w:themeColor="text1"/>
              </w:rPr>
              <w:t>(</w:t>
            </w:r>
            <w:r w:rsidRPr="2E8A729F">
              <w:rPr>
                <w:rFonts w:ascii="Times New Roman" w:eastAsia="Times New Roman" w:hAnsi="Times New Roman" w:cs="Times New Roman"/>
                <w:b/>
                <w:bCs/>
                <w:color w:val="000000" w:themeColor="text1"/>
              </w:rPr>
              <w:t>IT</w:t>
            </w:r>
            <w:r w:rsidR="1DF47DB9" w:rsidRPr="2E8A729F">
              <w:rPr>
                <w:rFonts w:ascii="Times New Roman" w:eastAsia="Times New Roman" w:hAnsi="Times New Roman" w:cs="Times New Roman"/>
                <w:b/>
                <w:bCs/>
                <w:color w:val="000000" w:themeColor="text1"/>
              </w:rPr>
              <w:t>-</w:t>
            </w:r>
            <w:r w:rsidRPr="2E8A729F">
              <w:rPr>
                <w:rFonts w:ascii="Times New Roman" w:eastAsia="Times New Roman" w:hAnsi="Times New Roman" w:cs="Times New Roman"/>
                <w:b/>
                <w:bCs/>
                <w:color w:val="000000" w:themeColor="text1"/>
              </w:rPr>
              <w:t>I</w:t>
            </w:r>
            <w:r w:rsidR="1DF47DB9" w:rsidRPr="2E8A729F">
              <w:rPr>
                <w:rFonts w:ascii="Times New Roman" w:eastAsia="Times New Roman" w:hAnsi="Times New Roman" w:cs="Times New Roman"/>
                <w:b/>
                <w:bCs/>
                <w:color w:val="000000" w:themeColor="text1"/>
              </w:rPr>
              <w:t>II)</w:t>
            </w:r>
            <w:r>
              <w:br/>
            </w:r>
            <w:r w:rsidR="1DF47DB9" w:rsidRPr="2E8A729F">
              <w:rPr>
                <w:rFonts w:ascii="Times New Roman" w:eastAsia="Times New Roman" w:hAnsi="Times New Roman" w:cs="Times New Roman"/>
                <w:b/>
                <w:bCs/>
                <w:color w:val="000000" w:themeColor="text1"/>
                <w:lang w:val="en-GB"/>
              </w:rPr>
              <w:t xml:space="preserve">DG GROW – Executive Vice-President SÉJOURNÉ </w:t>
            </w:r>
            <w:r>
              <w:br/>
            </w:r>
            <w:r w:rsidRPr="2E8A729F">
              <w:rPr>
                <w:rFonts w:ascii="Times New Roman" w:eastAsia="Times New Roman" w:hAnsi="Times New Roman" w:cs="Times New Roman"/>
                <w:b/>
                <w:bCs/>
                <w:color w:val="000000" w:themeColor="text1"/>
              </w:rPr>
              <w:t>DG TAXUD – Commissioner ŠEFČOVIČ </w:t>
            </w:r>
          </w:p>
        </w:tc>
      </w:tr>
      <w:tr w:rsidR="7ABD1E37" w14:paraId="5D673E65" w14:textId="77777777" w:rsidTr="73C2DC8D">
        <w:trPr>
          <w:trHeight w:val="615"/>
        </w:trPr>
        <w:tc>
          <w:tcPr>
            <w:tcW w:w="9300" w:type="dxa"/>
            <w:tcBorders>
              <w:top w:val="single" w:sz="6" w:space="0" w:color="auto"/>
              <w:left w:val="double" w:sz="6" w:space="0" w:color="auto"/>
              <w:bottom w:val="single" w:sz="6" w:space="0" w:color="000000" w:themeColor="text1"/>
              <w:right w:val="double" w:sz="6" w:space="0" w:color="auto"/>
            </w:tcBorders>
            <w:tcMar>
              <w:left w:w="90" w:type="dxa"/>
              <w:right w:w="90" w:type="dxa"/>
            </w:tcMar>
          </w:tcPr>
          <w:p w14:paraId="17FE84A8" w14:textId="5E82CCF7" w:rsidR="7ABD1E37" w:rsidRDefault="7ABD1E37" w:rsidP="7ABD1E37">
            <w:pPr>
              <w:spacing w:before="120" w:after="120" w:line="276" w:lineRule="auto"/>
              <w:jc w:val="center"/>
              <w:rPr>
                <w:rFonts w:ascii="Times New Roman" w:eastAsia="Times New Roman" w:hAnsi="Times New Roman" w:cs="Times New Roman"/>
                <w:color w:val="000000" w:themeColor="text1"/>
              </w:rPr>
            </w:pPr>
            <w:r w:rsidRPr="7ABD1E37">
              <w:rPr>
                <w:rFonts w:ascii="Times New Roman" w:eastAsia="Times New Roman" w:hAnsi="Times New Roman" w:cs="Times New Roman"/>
                <w:b/>
                <w:bCs/>
                <w:color w:val="000000" w:themeColor="text1"/>
                <w:lang w:val="en-GB"/>
              </w:rPr>
              <w:t>European Commission position on points</w:t>
            </w:r>
            <w:r>
              <w:br/>
            </w:r>
            <w:r w:rsidRPr="7ABD1E37">
              <w:rPr>
                <w:rFonts w:ascii="Times New Roman" w:eastAsia="Times New Roman" w:hAnsi="Times New Roman" w:cs="Times New Roman"/>
                <w:b/>
                <w:bCs/>
                <w:color w:val="000000" w:themeColor="text1"/>
                <w:lang w:val="en-GB"/>
              </w:rPr>
              <w:t>of the European Economic and Social Committee (EESC) opinion considered as essential</w:t>
            </w:r>
          </w:p>
        </w:tc>
      </w:tr>
      <w:tr w:rsidR="7ABD1E37" w14:paraId="5A3C9F1F" w14:textId="77777777" w:rsidTr="73C2DC8D">
        <w:trPr>
          <w:trHeight w:val="795"/>
        </w:trPr>
        <w:tc>
          <w:tcPr>
            <w:tcW w:w="9300" w:type="dxa"/>
            <w:tcBorders>
              <w:top w:val="sing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56C3F876" w14:textId="720DC5D6" w:rsidR="003E5C20" w:rsidRDefault="18E212DC" w:rsidP="145900D0">
            <w:pPr>
              <w:spacing w:before="120" w:after="120" w:line="278" w:lineRule="auto"/>
              <w:jc w:val="both"/>
              <w:rPr>
                <w:rFonts w:ascii="Times New Roman" w:eastAsia="Times New Roman" w:hAnsi="Times New Roman" w:cs="Times New Roman"/>
                <w:color w:val="000000" w:themeColor="text1"/>
                <w:lang w:val="en-IE"/>
              </w:rPr>
            </w:pPr>
            <w:r w:rsidRPr="145900D0">
              <w:rPr>
                <w:rFonts w:ascii="Times New Roman" w:eastAsia="Times New Roman" w:hAnsi="Times New Roman" w:cs="Times New Roman"/>
                <w:color w:val="000000" w:themeColor="text1"/>
                <w:lang w:val="en-IE"/>
              </w:rPr>
              <w:t xml:space="preserve">The Commission acknowledges the opinion of </w:t>
            </w:r>
            <w:r w:rsidR="65BAF17C" w:rsidRPr="145900D0">
              <w:rPr>
                <w:rFonts w:ascii="Times New Roman" w:eastAsia="Times New Roman" w:hAnsi="Times New Roman" w:cs="Times New Roman"/>
                <w:color w:val="000000" w:themeColor="text1"/>
                <w:lang w:val="en-IE"/>
              </w:rPr>
              <w:t>the Committee on the Commission</w:t>
            </w:r>
            <w:r w:rsidR="35088EB1" w:rsidRPr="145900D0">
              <w:rPr>
                <w:rFonts w:ascii="Times New Roman" w:eastAsia="Times New Roman" w:hAnsi="Times New Roman" w:cs="Times New Roman"/>
                <w:color w:val="000000" w:themeColor="text1"/>
                <w:lang w:val="en-IE"/>
              </w:rPr>
              <w:t xml:space="preserve"> Proposal for a Regulation of the European Parliament and of the Council on monitoring and controlling drug precursors and repealing </w:t>
            </w:r>
            <w:r w:rsidR="0023746C">
              <w:rPr>
                <w:rFonts w:ascii="Times New Roman" w:eastAsia="Times New Roman" w:hAnsi="Times New Roman" w:cs="Times New Roman"/>
                <w:color w:val="000000" w:themeColor="text1"/>
                <w:lang w:val="en-IE"/>
              </w:rPr>
              <w:t xml:space="preserve">the </w:t>
            </w:r>
            <w:r w:rsidR="35088EB1" w:rsidRPr="145900D0">
              <w:rPr>
                <w:rFonts w:ascii="Times New Roman" w:eastAsia="Times New Roman" w:hAnsi="Times New Roman" w:cs="Times New Roman"/>
                <w:color w:val="000000" w:themeColor="text1"/>
                <w:lang w:val="en-IE"/>
              </w:rPr>
              <w:t>Regulation</w:t>
            </w:r>
            <w:r w:rsidR="0023746C">
              <w:rPr>
                <w:rFonts w:ascii="Times New Roman" w:eastAsia="Times New Roman" w:hAnsi="Times New Roman" w:cs="Times New Roman"/>
                <w:color w:val="000000" w:themeColor="text1"/>
                <w:lang w:val="en-IE"/>
              </w:rPr>
              <w:t xml:space="preserve"> on drug precursors</w:t>
            </w:r>
            <w:r w:rsidR="0023746C">
              <w:rPr>
                <w:rStyle w:val="FootnoteReference"/>
                <w:rFonts w:ascii="Times New Roman" w:eastAsia="Times New Roman" w:hAnsi="Times New Roman" w:cs="Times New Roman"/>
                <w:color w:val="000000" w:themeColor="text1"/>
                <w:lang w:val="en-IE"/>
              </w:rPr>
              <w:footnoteReference w:id="1"/>
            </w:r>
            <w:r w:rsidR="35088EB1" w:rsidRPr="145900D0">
              <w:rPr>
                <w:rFonts w:ascii="Times New Roman" w:eastAsia="Times New Roman" w:hAnsi="Times New Roman" w:cs="Times New Roman"/>
                <w:color w:val="000000" w:themeColor="text1"/>
                <w:lang w:val="en-IE"/>
              </w:rPr>
              <w:t xml:space="preserve"> and </w:t>
            </w:r>
            <w:r w:rsidR="0023746C">
              <w:rPr>
                <w:rFonts w:ascii="Times New Roman" w:eastAsia="Times New Roman" w:hAnsi="Times New Roman" w:cs="Times New Roman"/>
                <w:color w:val="000000" w:themeColor="text1"/>
                <w:lang w:val="en-IE"/>
              </w:rPr>
              <w:t xml:space="preserve">the Regulation </w:t>
            </w:r>
            <w:r w:rsidR="001935EB" w:rsidRPr="00781B2E">
              <w:rPr>
                <w:rFonts w:ascii="Times New Roman" w:hAnsi="Times New Roman" w:cs="Times New Roman"/>
              </w:rPr>
              <w:t>laying down rules for the monitoring of trade between the Community and third countries in drug precursors</w:t>
            </w:r>
            <w:r w:rsidR="0023746C">
              <w:rPr>
                <w:rStyle w:val="FootnoteReference"/>
                <w:rFonts w:ascii="Times New Roman" w:eastAsia="Times New Roman" w:hAnsi="Times New Roman" w:cs="Times New Roman"/>
                <w:color w:val="000000" w:themeColor="text1"/>
                <w:lang w:val="en-IE"/>
              </w:rPr>
              <w:footnoteReference w:id="2"/>
            </w:r>
            <w:r w:rsidR="00016C65">
              <w:rPr>
                <w:rFonts w:ascii="Times New Roman" w:eastAsia="Times New Roman" w:hAnsi="Times New Roman" w:cs="Times New Roman"/>
                <w:color w:val="000000" w:themeColor="text1"/>
                <w:lang w:val="en-IE"/>
              </w:rPr>
              <w:t>.</w:t>
            </w:r>
            <w:r w:rsidR="35088EB1" w:rsidRPr="145900D0">
              <w:rPr>
                <w:rFonts w:ascii="Times New Roman" w:eastAsia="Times New Roman" w:hAnsi="Times New Roman" w:cs="Times New Roman"/>
                <w:color w:val="000000" w:themeColor="text1"/>
                <w:lang w:val="en-IE"/>
              </w:rPr>
              <w:t xml:space="preserve">  </w:t>
            </w:r>
          </w:p>
          <w:p w14:paraId="41E51671" w14:textId="7AD32DD7" w:rsidR="7ABD1E37" w:rsidRDefault="09C7933B" w:rsidP="145900D0">
            <w:pPr>
              <w:spacing w:before="120" w:after="200" w:line="276" w:lineRule="auto"/>
              <w:jc w:val="both"/>
            </w:pPr>
            <w:r w:rsidRPr="73C2DC8D">
              <w:rPr>
                <w:rFonts w:ascii="Times New Roman" w:eastAsia="Times New Roman" w:hAnsi="Times New Roman" w:cs="Times New Roman"/>
                <w:color w:val="000000" w:themeColor="text1"/>
                <w:lang w:val="en-GB"/>
              </w:rPr>
              <w:t>Together with a new EU Drugs Strategy</w:t>
            </w:r>
            <w:r w:rsidR="00781B2E">
              <w:rPr>
                <w:rStyle w:val="FootnoteReference"/>
                <w:rFonts w:ascii="Times New Roman" w:eastAsia="Times New Roman" w:hAnsi="Times New Roman" w:cs="Times New Roman"/>
                <w:color w:val="000000" w:themeColor="text1"/>
                <w:lang w:val="en-GB"/>
              </w:rPr>
              <w:footnoteReference w:id="3"/>
            </w:r>
            <w:r w:rsidR="00883C25">
              <w:rPr>
                <w:rFonts w:ascii="Times New Roman" w:eastAsia="Times New Roman" w:hAnsi="Times New Roman" w:cs="Times New Roman"/>
                <w:color w:val="000000" w:themeColor="text1"/>
                <w:lang w:val="en-GB"/>
              </w:rPr>
              <w:t xml:space="preserve"> and </w:t>
            </w:r>
            <w:r w:rsidR="001F34B6">
              <w:rPr>
                <w:rFonts w:ascii="Times New Roman" w:eastAsia="Times New Roman" w:hAnsi="Times New Roman" w:cs="Times New Roman"/>
                <w:color w:val="000000" w:themeColor="text1"/>
                <w:lang w:val="en-GB"/>
              </w:rPr>
              <w:t xml:space="preserve">an </w:t>
            </w:r>
            <w:r w:rsidR="00883C25">
              <w:rPr>
                <w:rFonts w:ascii="Times New Roman" w:eastAsia="Times New Roman" w:hAnsi="Times New Roman" w:cs="Times New Roman"/>
                <w:color w:val="000000" w:themeColor="text1"/>
                <w:lang w:val="en-GB"/>
              </w:rPr>
              <w:t>Action Plan against drug trafficking</w:t>
            </w:r>
            <w:r w:rsidR="00781B2E">
              <w:rPr>
                <w:rStyle w:val="FootnoteReference"/>
                <w:rFonts w:ascii="Times New Roman" w:eastAsia="Times New Roman" w:hAnsi="Times New Roman" w:cs="Times New Roman"/>
                <w:color w:val="000000" w:themeColor="text1"/>
                <w:lang w:val="en-GB"/>
              </w:rPr>
              <w:footnoteReference w:id="4"/>
            </w:r>
            <w:r w:rsidR="00883C25">
              <w:rPr>
                <w:rFonts w:ascii="Times New Roman" w:eastAsia="Times New Roman" w:hAnsi="Times New Roman" w:cs="Times New Roman"/>
                <w:color w:val="000000" w:themeColor="text1"/>
                <w:lang w:val="en-GB"/>
              </w:rPr>
              <w:t xml:space="preserve"> </w:t>
            </w:r>
            <w:r w:rsidRPr="73C2DC8D">
              <w:rPr>
                <w:rFonts w:ascii="Times New Roman" w:eastAsia="Times New Roman" w:hAnsi="Times New Roman" w:cs="Times New Roman"/>
                <w:color w:val="000000" w:themeColor="text1"/>
                <w:lang w:val="en-GB"/>
              </w:rPr>
              <w:t>the Commission proposed new rules to make the monitoring and controlling of drug precursors and designer precursors clearer, simpler, and more digital. Drug precursors are often diverted and trafficked by criminals, to produce synthetic drugs and new psychoactive substances, posing a</w:t>
            </w:r>
            <w:r w:rsidR="00D6453A">
              <w:rPr>
                <w:rFonts w:ascii="Times New Roman" w:eastAsia="Times New Roman" w:hAnsi="Times New Roman" w:cs="Times New Roman"/>
                <w:color w:val="000000" w:themeColor="text1"/>
                <w:lang w:val="en-GB"/>
              </w:rPr>
              <w:t> </w:t>
            </w:r>
            <w:r w:rsidRPr="73C2DC8D">
              <w:rPr>
                <w:rFonts w:ascii="Times New Roman" w:eastAsia="Times New Roman" w:hAnsi="Times New Roman" w:cs="Times New Roman"/>
                <w:color w:val="000000" w:themeColor="text1"/>
                <w:lang w:val="en-GB"/>
              </w:rPr>
              <w:t xml:space="preserve">significant threat to public safety. The proposal includes new measures such as real-time reporting of significant seizures of drug precursors, an urgency procedure for faster controlling of substances, as well as a ban on designer precursors, significantly curbing these precursors' availability for illegal drug manufacturing. The initiative aims at simplifying and digitalising processes for legitimate trade, ensuring industries can thrive without excessive regulatory burdens while maintaining adequate levels of control of legitimate business of drug precursors. </w:t>
            </w:r>
            <w:r w:rsidRPr="73C2DC8D">
              <w:rPr>
                <w:rFonts w:ascii="Times New Roman" w:eastAsia="Times New Roman" w:hAnsi="Times New Roman" w:cs="Times New Roman"/>
                <w:lang w:val="en-IE"/>
              </w:rPr>
              <w:t xml:space="preserve"> </w:t>
            </w:r>
          </w:p>
          <w:p w14:paraId="29F3407C" w14:textId="6972BA07" w:rsidR="7ABD1E37" w:rsidRDefault="484795F1" w:rsidP="145900D0">
            <w:pPr>
              <w:spacing w:before="120" w:after="120" w:line="278" w:lineRule="auto"/>
              <w:jc w:val="both"/>
              <w:rPr>
                <w:rFonts w:ascii="Times New Roman" w:eastAsia="Times New Roman" w:hAnsi="Times New Roman" w:cs="Times New Roman"/>
                <w:b/>
                <w:bCs/>
                <w:color w:val="000000" w:themeColor="text1"/>
                <w:lang w:val="en-IE"/>
              </w:rPr>
            </w:pPr>
            <w:r w:rsidRPr="145900D0">
              <w:rPr>
                <w:rFonts w:ascii="Times New Roman" w:eastAsia="Times New Roman" w:hAnsi="Times New Roman" w:cs="Times New Roman"/>
                <w:b/>
                <w:bCs/>
                <w:color w:val="000000" w:themeColor="text1"/>
                <w:lang w:val="en-IE"/>
              </w:rPr>
              <w:t>Legal certainty and information as regards drug precursors</w:t>
            </w:r>
          </w:p>
          <w:p w14:paraId="008031C6" w14:textId="425F12A5" w:rsidR="7ABD1E37" w:rsidRDefault="7A9B5A5F" w:rsidP="79B4FC44">
            <w:pPr>
              <w:spacing w:before="120" w:after="120" w:line="278" w:lineRule="auto"/>
              <w:jc w:val="both"/>
              <w:rPr>
                <w:rFonts w:ascii="Times New Roman" w:eastAsia="Times New Roman" w:hAnsi="Times New Roman" w:cs="Times New Roman"/>
                <w:color w:val="000000" w:themeColor="text1"/>
              </w:rPr>
            </w:pPr>
            <w:r w:rsidRPr="73C2DC8D">
              <w:rPr>
                <w:rFonts w:ascii="Times New Roman" w:eastAsia="Times New Roman" w:hAnsi="Times New Roman" w:cs="Times New Roman"/>
                <w:color w:val="000000" w:themeColor="text1"/>
              </w:rPr>
              <w:t xml:space="preserve">The Commission shares the Committee’s view that it is essential </w:t>
            </w:r>
            <w:r w:rsidR="6D6CA6A8" w:rsidRPr="73C2DC8D">
              <w:rPr>
                <w:rFonts w:ascii="Times New Roman" w:eastAsia="Times New Roman" w:hAnsi="Times New Roman" w:cs="Times New Roman"/>
                <w:color w:val="000000" w:themeColor="text1"/>
              </w:rPr>
              <w:t xml:space="preserve">for legal certainty </w:t>
            </w:r>
            <w:r w:rsidRPr="73C2DC8D">
              <w:rPr>
                <w:rFonts w:ascii="Times New Roman" w:eastAsia="Times New Roman" w:hAnsi="Times New Roman" w:cs="Times New Roman"/>
                <w:color w:val="000000" w:themeColor="text1"/>
              </w:rPr>
              <w:t xml:space="preserve">that information on </w:t>
            </w:r>
            <w:r w:rsidR="4F6C920C" w:rsidRPr="73C2DC8D">
              <w:rPr>
                <w:rFonts w:ascii="Times New Roman" w:eastAsia="Times New Roman" w:hAnsi="Times New Roman" w:cs="Times New Roman"/>
                <w:color w:val="000000" w:themeColor="text1"/>
              </w:rPr>
              <w:t xml:space="preserve">the identification of chemicals as drug precursors is available. </w:t>
            </w:r>
            <w:proofErr w:type="gramStart"/>
            <w:r w:rsidR="4F6C920C" w:rsidRPr="73C2DC8D">
              <w:rPr>
                <w:rFonts w:ascii="Times New Roman" w:eastAsia="Times New Roman" w:hAnsi="Times New Roman" w:cs="Times New Roman"/>
                <w:color w:val="000000" w:themeColor="text1"/>
              </w:rPr>
              <w:t>First of all</w:t>
            </w:r>
            <w:proofErr w:type="gramEnd"/>
            <w:r w:rsidR="4F6C920C" w:rsidRPr="73C2DC8D">
              <w:rPr>
                <w:rFonts w:ascii="Times New Roman" w:eastAsia="Times New Roman" w:hAnsi="Times New Roman" w:cs="Times New Roman"/>
                <w:color w:val="000000" w:themeColor="text1"/>
              </w:rPr>
              <w:t>, as</w:t>
            </w:r>
            <w:r w:rsidR="0819B68D" w:rsidRPr="73C2DC8D">
              <w:rPr>
                <w:rFonts w:ascii="Times New Roman" w:eastAsia="Times New Roman" w:hAnsi="Times New Roman" w:cs="Times New Roman"/>
                <w:color w:val="000000" w:themeColor="text1"/>
              </w:rPr>
              <w:t xml:space="preserve"> </w:t>
            </w:r>
            <w:r w:rsidR="4F6C920C" w:rsidRPr="73C2DC8D">
              <w:rPr>
                <w:rFonts w:ascii="Times New Roman" w:eastAsia="Times New Roman" w:hAnsi="Times New Roman" w:cs="Times New Roman"/>
                <w:color w:val="000000" w:themeColor="text1"/>
              </w:rPr>
              <w:t xml:space="preserve">also recommended by the Committee, the </w:t>
            </w:r>
            <w:r w:rsidR="63B440CD" w:rsidRPr="73C2DC8D">
              <w:rPr>
                <w:rFonts w:ascii="Times New Roman" w:eastAsia="Times New Roman" w:hAnsi="Times New Roman" w:cs="Times New Roman"/>
                <w:color w:val="000000" w:themeColor="text1"/>
              </w:rPr>
              <w:t xml:space="preserve">Drug </w:t>
            </w:r>
            <w:r w:rsidR="609F7C2E" w:rsidRPr="73C2DC8D">
              <w:rPr>
                <w:rFonts w:ascii="Times New Roman" w:eastAsia="Times New Roman" w:hAnsi="Times New Roman" w:cs="Times New Roman"/>
                <w:color w:val="000000" w:themeColor="text1"/>
              </w:rPr>
              <w:t xml:space="preserve">Precursors Information </w:t>
            </w:r>
            <w:r w:rsidR="63B440CD" w:rsidRPr="73C2DC8D">
              <w:rPr>
                <w:rFonts w:ascii="Times New Roman" w:eastAsia="Times New Roman" w:hAnsi="Times New Roman" w:cs="Times New Roman"/>
                <w:color w:val="000000" w:themeColor="text1"/>
              </w:rPr>
              <w:t>Repository</w:t>
            </w:r>
            <w:r w:rsidR="20D83F6B" w:rsidRPr="73C2DC8D">
              <w:rPr>
                <w:rFonts w:ascii="Times New Roman" w:eastAsia="Times New Roman" w:hAnsi="Times New Roman" w:cs="Times New Roman"/>
                <w:color w:val="000000" w:themeColor="text1"/>
              </w:rPr>
              <w:t xml:space="preserve"> will contain information on scheduled and non-scheduled drug precursors</w:t>
            </w:r>
            <w:r w:rsidR="26C909F5" w:rsidRPr="73C2DC8D">
              <w:rPr>
                <w:rFonts w:ascii="Times New Roman" w:eastAsia="Times New Roman" w:hAnsi="Times New Roman" w:cs="Times New Roman"/>
                <w:color w:val="000000" w:themeColor="text1"/>
              </w:rPr>
              <w:t xml:space="preserve">. </w:t>
            </w:r>
            <w:r w:rsidR="20D83F6B" w:rsidRPr="73C2DC8D">
              <w:rPr>
                <w:rFonts w:ascii="Times New Roman" w:eastAsia="Times New Roman" w:hAnsi="Times New Roman" w:cs="Times New Roman"/>
                <w:color w:val="000000" w:themeColor="text1"/>
              </w:rPr>
              <w:t xml:space="preserve">Access </w:t>
            </w:r>
            <w:r w:rsidR="6770E338" w:rsidRPr="73C2DC8D">
              <w:rPr>
                <w:rFonts w:ascii="Times New Roman" w:eastAsia="Times New Roman" w:hAnsi="Times New Roman" w:cs="Times New Roman"/>
                <w:color w:val="000000" w:themeColor="text1"/>
              </w:rPr>
              <w:t xml:space="preserve">to the Repository </w:t>
            </w:r>
            <w:r w:rsidR="20D83F6B" w:rsidRPr="73C2DC8D">
              <w:rPr>
                <w:rFonts w:ascii="Times New Roman" w:eastAsia="Times New Roman" w:hAnsi="Times New Roman" w:cs="Times New Roman"/>
                <w:color w:val="000000" w:themeColor="text1"/>
              </w:rPr>
              <w:t>will be free of charge and publicly available, except for more sensitive information limited to public authorities.</w:t>
            </w:r>
            <w:r w:rsidR="0AFB019E" w:rsidRPr="73C2DC8D">
              <w:rPr>
                <w:rFonts w:ascii="Times New Roman" w:eastAsia="Times New Roman" w:hAnsi="Times New Roman" w:cs="Times New Roman"/>
                <w:color w:val="000000" w:themeColor="text1"/>
              </w:rPr>
              <w:t xml:space="preserve"> </w:t>
            </w:r>
            <w:r w:rsidR="17F94F6D" w:rsidRPr="73C2DC8D">
              <w:rPr>
                <w:rFonts w:ascii="Times New Roman" w:eastAsia="Times New Roman" w:hAnsi="Times New Roman" w:cs="Times New Roman"/>
                <w:color w:val="000000" w:themeColor="text1"/>
              </w:rPr>
              <w:t xml:space="preserve">In particular, the Commission considers that the information on the use of the </w:t>
            </w:r>
            <w:r w:rsidR="17F94F6D" w:rsidRPr="73C2DC8D">
              <w:rPr>
                <w:rFonts w:ascii="Times New Roman" w:eastAsia="Times New Roman" w:hAnsi="Times New Roman" w:cs="Times New Roman"/>
                <w:color w:val="000000" w:themeColor="text1"/>
              </w:rPr>
              <w:lastRenderedPageBreak/>
              <w:t>substance in the illicit production of drugs (proposed amendment 2) should remain acces</w:t>
            </w:r>
            <w:r w:rsidR="6D4E1901" w:rsidRPr="73C2DC8D">
              <w:rPr>
                <w:rFonts w:ascii="Times New Roman" w:eastAsia="Times New Roman" w:hAnsi="Times New Roman" w:cs="Times New Roman"/>
                <w:color w:val="000000" w:themeColor="text1"/>
              </w:rPr>
              <w:t>sible to competent authorities only; rendering public this information would risk facilitating illicit drug production.</w:t>
            </w:r>
            <w:r w:rsidR="17F94F6D" w:rsidRPr="73C2DC8D">
              <w:rPr>
                <w:rFonts w:ascii="Times New Roman" w:eastAsia="Times New Roman" w:hAnsi="Times New Roman" w:cs="Times New Roman"/>
                <w:color w:val="000000" w:themeColor="text1"/>
              </w:rPr>
              <w:t xml:space="preserve"> </w:t>
            </w:r>
            <w:r w:rsidR="1017C4BA" w:rsidRPr="73C2DC8D">
              <w:rPr>
                <w:rFonts w:ascii="Times New Roman" w:eastAsia="Times New Roman" w:hAnsi="Times New Roman" w:cs="Times New Roman"/>
                <w:color w:val="000000" w:themeColor="text1"/>
              </w:rPr>
              <w:t xml:space="preserve">The Repository </w:t>
            </w:r>
            <w:r w:rsidR="0AFB019E" w:rsidRPr="73C2DC8D">
              <w:rPr>
                <w:rFonts w:ascii="Times New Roman" w:eastAsia="Times New Roman" w:hAnsi="Times New Roman" w:cs="Times New Roman"/>
                <w:color w:val="000000" w:themeColor="text1"/>
              </w:rPr>
              <w:t xml:space="preserve">will also assist </w:t>
            </w:r>
            <w:r w:rsidR="34222F45" w:rsidRPr="73C2DC8D">
              <w:rPr>
                <w:rFonts w:ascii="Times New Roman" w:eastAsia="Times New Roman" w:hAnsi="Times New Roman" w:cs="Times New Roman"/>
                <w:color w:val="000000" w:themeColor="text1"/>
              </w:rPr>
              <w:t xml:space="preserve">operators in determining if specific substances are within the scope of the Regulation, </w:t>
            </w:r>
            <w:proofErr w:type="gramStart"/>
            <w:r w:rsidR="34222F45" w:rsidRPr="73C2DC8D">
              <w:rPr>
                <w:rFonts w:ascii="Times New Roman" w:eastAsia="Times New Roman" w:hAnsi="Times New Roman" w:cs="Times New Roman"/>
                <w:color w:val="000000" w:themeColor="text1"/>
              </w:rPr>
              <w:t>in</w:t>
            </w:r>
            <w:r w:rsidR="3B7ECA3C" w:rsidRPr="73C2DC8D">
              <w:rPr>
                <w:rFonts w:ascii="Times New Roman" w:eastAsia="Times New Roman" w:hAnsi="Times New Roman" w:cs="Times New Roman"/>
                <w:color w:val="000000" w:themeColor="text1"/>
              </w:rPr>
              <w:t xml:space="preserve"> particular </w:t>
            </w:r>
            <w:r w:rsidR="34222F45" w:rsidRPr="73C2DC8D">
              <w:rPr>
                <w:rFonts w:ascii="Times New Roman" w:eastAsia="Times New Roman" w:hAnsi="Times New Roman" w:cs="Times New Roman"/>
                <w:color w:val="000000" w:themeColor="text1"/>
              </w:rPr>
              <w:t>where</w:t>
            </w:r>
            <w:proofErr w:type="gramEnd"/>
            <w:r w:rsidR="34222F45" w:rsidRPr="73C2DC8D">
              <w:rPr>
                <w:rFonts w:ascii="Times New Roman" w:eastAsia="Times New Roman" w:hAnsi="Times New Roman" w:cs="Times New Roman"/>
                <w:color w:val="000000" w:themeColor="text1"/>
              </w:rPr>
              <w:t xml:space="preserve"> groups of substances are identified in a generic way</w:t>
            </w:r>
            <w:r w:rsidR="0BD59896" w:rsidRPr="73C2DC8D">
              <w:rPr>
                <w:rFonts w:ascii="Times New Roman" w:eastAsia="Times New Roman" w:hAnsi="Times New Roman" w:cs="Times New Roman"/>
                <w:color w:val="000000" w:themeColor="text1"/>
              </w:rPr>
              <w:t>, thus providing legal certainty</w:t>
            </w:r>
            <w:r w:rsidR="34222F45" w:rsidRPr="73C2DC8D">
              <w:rPr>
                <w:rFonts w:ascii="Times New Roman" w:eastAsia="Times New Roman" w:hAnsi="Times New Roman" w:cs="Times New Roman"/>
                <w:color w:val="000000" w:themeColor="text1"/>
              </w:rPr>
              <w:t xml:space="preserve">. </w:t>
            </w:r>
            <w:r w:rsidR="0AFB019E" w:rsidRPr="73C2DC8D">
              <w:rPr>
                <w:rFonts w:ascii="Times New Roman" w:eastAsia="Times New Roman" w:hAnsi="Times New Roman" w:cs="Times New Roman"/>
                <w:color w:val="000000" w:themeColor="text1"/>
              </w:rPr>
              <w:t xml:space="preserve"> </w:t>
            </w:r>
          </w:p>
          <w:p w14:paraId="6A53CDFC" w14:textId="0ECE9DCF" w:rsidR="2F353E64" w:rsidRDefault="2F353E64" w:rsidP="145900D0">
            <w:pPr>
              <w:spacing w:before="120" w:after="120" w:line="278" w:lineRule="auto"/>
              <w:jc w:val="both"/>
              <w:rPr>
                <w:rFonts w:ascii="Times New Roman" w:eastAsia="Times New Roman" w:hAnsi="Times New Roman" w:cs="Times New Roman"/>
                <w:b/>
                <w:bCs/>
                <w:color w:val="000000" w:themeColor="text1"/>
                <w:lang w:val="en-IE"/>
              </w:rPr>
            </w:pPr>
            <w:r w:rsidRPr="145900D0">
              <w:rPr>
                <w:rFonts w:ascii="Times New Roman" w:eastAsia="Times New Roman" w:hAnsi="Times New Roman" w:cs="Times New Roman"/>
                <w:b/>
                <w:bCs/>
                <w:color w:val="000000" w:themeColor="text1"/>
                <w:lang w:val="en-IE"/>
              </w:rPr>
              <w:t>Facilitating access to drug precursors for research and innovation</w:t>
            </w:r>
          </w:p>
          <w:p w14:paraId="6775492E" w14:textId="2942DCF5" w:rsidR="2F353E64" w:rsidRDefault="2F353E64" w:rsidP="1F66A3C4">
            <w:pPr>
              <w:spacing w:before="120" w:after="120" w:line="276" w:lineRule="auto"/>
              <w:jc w:val="both"/>
              <w:rPr>
                <w:rFonts w:ascii="Times New Roman" w:eastAsia="Times New Roman" w:hAnsi="Times New Roman" w:cs="Times New Roman"/>
                <w:color w:val="000000" w:themeColor="text1"/>
                <w:lang w:val="en-IE"/>
              </w:rPr>
            </w:pPr>
            <w:r w:rsidRPr="1F66A3C4">
              <w:rPr>
                <w:rFonts w:ascii="Times New Roman" w:eastAsia="Times New Roman" w:hAnsi="Times New Roman" w:cs="Times New Roman"/>
                <w:color w:val="000000" w:themeColor="text1"/>
                <w:lang w:val="en-IE"/>
              </w:rPr>
              <w:t xml:space="preserve">The Commission </w:t>
            </w:r>
            <w:r w:rsidR="77CE99F1" w:rsidRPr="1F66A3C4">
              <w:rPr>
                <w:rFonts w:ascii="Times New Roman" w:eastAsia="Times New Roman" w:hAnsi="Times New Roman" w:cs="Times New Roman"/>
                <w:color w:val="000000" w:themeColor="text1"/>
                <w:lang w:val="en-IE"/>
              </w:rPr>
              <w:t xml:space="preserve">shares the Committee’s view </w:t>
            </w:r>
            <w:r w:rsidR="17E3100C" w:rsidRPr="1F66A3C4">
              <w:rPr>
                <w:rFonts w:ascii="Times New Roman" w:eastAsia="Times New Roman" w:hAnsi="Times New Roman" w:cs="Times New Roman"/>
                <w:color w:val="000000" w:themeColor="text1"/>
                <w:lang w:val="en-IE"/>
              </w:rPr>
              <w:t xml:space="preserve">on </w:t>
            </w:r>
            <w:r w:rsidRPr="1F66A3C4">
              <w:rPr>
                <w:rFonts w:ascii="Times New Roman" w:eastAsia="Times New Roman" w:hAnsi="Times New Roman" w:cs="Times New Roman"/>
                <w:color w:val="000000" w:themeColor="text1"/>
                <w:lang w:val="en-IE"/>
              </w:rPr>
              <w:t>the importance of research and innovation in the field of drug precursors</w:t>
            </w:r>
            <w:r w:rsidR="1558DFC8" w:rsidRPr="1F66A3C4">
              <w:rPr>
                <w:rFonts w:ascii="Times New Roman" w:eastAsia="Times New Roman" w:hAnsi="Times New Roman" w:cs="Times New Roman"/>
                <w:color w:val="000000" w:themeColor="text1"/>
                <w:lang w:val="en-IE"/>
              </w:rPr>
              <w:t>, not only in the development of innovative products but also in the fight against illicit drugs</w:t>
            </w:r>
            <w:r w:rsidR="7D4A663C" w:rsidRPr="1F66A3C4">
              <w:rPr>
                <w:rFonts w:ascii="Times New Roman" w:eastAsia="Times New Roman" w:hAnsi="Times New Roman" w:cs="Times New Roman"/>
                <w:color w:val="000000" w:themeColor="text1"/>
                <w:lang w:val="en-IE"/>
              </w:rPr>
              <w:t xml:space="preserve">. </w:t>
            </w:r>
            <w:r w:rsidR="1BC4AF80" w:rsidRPr="1F66A3C4">
              <w:rPr>
                <w:rFonts w:ascii="Times New Roman" w:eastAsia="Times New Roman" w:hAnsi="Times New Roman" w:cs="Times New Roman"/>
                <w:color w:val="000000" w:themeColor="text1"/>
                <w:lang w:val="en-IE"/>
              </w:rPr>
              <w:t xml:space="preserve">Under the Commission proposal, the new Category 3 drug precursors </w:t>
            </w:r>
            <w:r w:rsidR="00EB736F" w:rsidRPr="1F66A3C4">
              <w:rPr>
                <w:rFonts w:ascii="Times New Roman" w:eastAsia="Times New Roman" w:hAnsi="Times New Roman" w:cs="Times New Roman"/>
                <w:color w:val="000000" w:themeColor="text1"/>
                <w:lang w:val="en-IE"/>
              </w:rPr>
              <w:t>concern</w:t>
            </w:r>
            <w:r w:rsidR="1BC4AF80" w:rsidRPr="1F66A3C4">
              <w:rPr>
                <w:rFonts w:ascii="Times New Roman" w:eastAsia="Times New Roman" w:hAnsi="Times New Roman" w:cs="Times New Roman"/>
                <w:color w:val="000000" w:themeColor="text1"/>
                <w:lang w:val="en-IE"/>
              </w:rPr>
              <w:t xml:space="preserve"> designer precursors</w:t>
            </w:r>
            <w:r w:rsidR="583B71E5" w:rsidRPr="1F66A3C4">
              <w:rPr>
                <w:rFonts w:ascii="Times New Roman" w:eastAsia="Times New Roman" w:hAnsi="Times New Roman" w:cs="Times New Roman"/>
                <w:color w:val="000000" w:themeColor="text1"/>
                <w:lang w:val="en-IE"/>
              </w:rPr>
              <w:t>,</w:t>
            </w:r>
            <w:r w:rsidR="1BC4AF80" w:rsidRPr="1F66A3C4">
              <w:rPr>
                <w:rFonts w:ascii="Times New Roman" w:eastAsia="Times New Roman" w:hAnsi="Times New Roman" w:cs="Times New Roman"/>
                <w:color w:val="000000" w:themeColor="text1"/>
                <w:lang w:val="en-IE"/>
              </w:rPr>
              <w:t xml:space="preserve"> address</w:t>
            </w:r>
            <w:r w:rsidR="0D6423C0" w:rsidRPr="1F66A3C4">
              <w:rPr>
                <w:rFonts w:ascii="Times New Roman" w:eastAsia="Times New Roman" w:hAnsi="Times New Roman" w:cs="Times New Roman"/>
                <w:color w:val="000000" w:themeColor="text1"/>
                <w:lang w:val="en-IE"/>
              </w:rPr>
              <w:t>ing</w:t>
            </w:r>
            <w:r w:rsidR="1BC4AF80" w:rsidRPr="1F66A3C4">
              <w:rPr>
                <w:rFonts w:ascii="Times New Roman" w:eastAsia="Times New Roman" w:hAnsi="Times New Roman" w:cs="Times New Roman"/>
                <w:color w:val="000000" w:themeColor="text1"/>
                <w:lang w:val="en-IE"/>
              </w:rPr>
              <w:t xml:space="preserve"> substances with no known legitimate use other than research or innovation </w:t>
            </w:r>
            <w:bookmarkStart w:id="0" w:name="_Int_O7VBnrPU"/>
            <w:proofErr w:type="gramStart"/>
            <w:r w:rsidR="1BC4AF80" w:rsidRPr="1F66A3C4">
              <w:rPr>
                <w:rFonts w:ascii="Times New Roman" w:eastAsia="Times New Roman" w:hAnsi="Times New Roman" w:cs="Times New Roman"/>
                <w:color w:val="000000" w:themeColor="text1"/>
                <w:lang w:val="en-IE"/>
              </w:rPr>
              <w:t>at the moment</w:t>
            </w:r>
            <w:bookmarkEnd w:id="0"/>
            <w:proofErr w:type="gramEnd"/>
            <w:r w:rsidR="1BC4AF80" w:rsidRPr="1F66A3C4">
              <w:rPr>
                <w:rFonts w:ascii="Times New Roman" w:eastAsia="Times New Roman" w:hAnsi="Times New Roman" w:cs="Times New Roman"/>
                <w:color w:val="000000" w:themeColor="text1"/>
                <w:lang w:val="en-IE"/>
              </w:rPr>
              <w:t xml:space="preserve"> of placing them under control. </w:t>
            </w:r>
            <w:r w:rsidR="1649D7CA" w:rsidRPr="1F66A3C4">
              <w:rPr>
                <w:rFonts w:ascii="Times New Roman" w:eastAsia="Times New Roman" w:hAnsi="Times New Roman" w:cs="Times New Roman"/>
                <w:color w:val="000000" w:themeColor="text1"/>
                <w:lang w:val="en-IE"/>
              </w:rPr>
              <w:t xml:space="preserve">Therefore, the trade, use or possession of such substances should, </w:t>
            </w:r>
            <w:r w:rsidR="1649D7CA" w:rsidRPr="1F66A3C4">
              <w:rPr>
                <w:rFonts w:ascii="Times New Roman" w:eastAsia="Times New Roman" w:hAnsi="Times New Roman" w:cs="Times New Roman"/>
                <w:i/>
                <w:iCs/>
                <w:color w:val="000000" w:themeColor="text1"/>
                <w:lang w:val="en-IE"/>
              </w:rPr>
              <w:t>a priori</w:t>
            </w:r>
            <w:r w:rsidR="1649D7CA" w:rsidRPr="1F66A3C4">
              <w:rPr>
                <w:rFonts w:ascii="Times New Roman" w:eastAsia="Times New Roman" w:hAnsi="Times New Roman" w:cs="Times New Roman"/>
                <w:color w:val="000000" w:themeColor="text1"/>
                <w:lang w:val="en-IE"/>
              </w:rPr>
              <w:t>, be banned. Transactions, use or possession of small quantities for research and innovation is allowed subject to a prior notification.</w:t>
            </w:r>
            <w:r w:rsidR="6E76E822" w:rsidRPr="1F66A3C4">
              <w:rPr>
                <w:rFonts w:ascii="Times New Roman" w:eastAsia="Times New Roman" w:hAnsi="Times New Roman" w:cs="Times New Roman"/>
                <w:color w:val="000000" w:themeColor="text1"/>
                <w:lang w:val="en-IE"/>
              </w:rPr>
              <w:t xml:space="preserve"> </w:t>
            </w:r>
            <w:r w:rsidR="29807B27" w:rsidRPr="1F66A3C4">
              <w:rPr>
                <w:rFonts w:ascii="Times New Roman" w:eastAsia="Times New Roman" w:hAnsi="Times New Roman" w:cs="Times New Roman"/>
                <w:color w:val="000000" w:themeColor="text1"/>
                <w:lang w:val="en-IE"/>
              </w:rPr>
              <w:t>The proposal limits the prior notification to</w:t>
            </w:r>
            <w:r w:rsidR="45F25105" w:rsidRPr="1F66A3C4">
              <w:rPr>
                <w:rFonts w:ascii="Times New Roman" w:eastAsia="Times New Roman" w:hAnsi="Times New Roman" w:cs="Times New Roman"/>
                <w:color w:val="000000" w:themeColor="text1"/>
                <w:lang w:val="en-IE"/>
              </w:rPr>
              <w:t xml:space="preserve"> </w:t>
            </w:r>
            <w:r w:rsidR="00EB736F">
              <w:rPr>
                <w:rFonts w:ascii="Times New Roman" w:eastAsia="Times New Roman" w:hAnsi="Times New Roman" w:cs="Times New Roman"/>
                <w:color w:val="000000" w:themeColor="text1"/>
                <w:lang w:val="en-IE"/>
              </w:rPr>
              <w:t>five</w:t>
            </w:r>
            <w:r w:rsidR="45F25105" w:rsidRPr="1F66A3C4">
              <w:rPr>
                <w:rFonts w:ascii="Times New Roman" w:eastAsia="Times New Roman" w:hAnsi="Times New Roman" w:cs="Times New Roman"/>
                <w:color w:val="000000" w:themeColor="text1"/>
                <w:lang w:val="en-IE"/>
              </w:rPr>
              <w:t xml:space="preserve"> days</w:t>
            </w:r>
            <w:r w:rsidR="3021CF04" w:rsidRPr="1F66A3C4">
              <w:rPr>
                <w:rFonts w:ascii="Times New Roman" w:eastAsia="Times New Roman" w:hAnsi="Times New Roman" w:cs="Times New Roman"/>
                <w:color w:val="000000" w:themeColor="text1"/>
                <w:lang w:val="en-IE"/>
              </w:rPr>
              <w:t xml:space="preserve"> before the first transaction or possession</w:t>
            </w:r>
            <w:r w:rsidR="57D2550E" w:rsidRPr="1F66A3C4">
              <w:rPr>
                <w:rFonts w:ascii="Times New Roman" w:eastAsia="Times New Roman" w:hAnsi="Times New Roman" w:cs="Times New Roman"/>
                <w:color w:val="000000" w:themeColor="text1"/>
                <w:lang w:val="en-IE"/>
              </w:rPr>
              <w:t xml:space="preserve">. The process will be </w:t>
            </w:r>
            <w:r w:rsidR="3FAE1FBD" w:rsidRPr="1F66A3C4">
              <w:rPr>
                <w:rFonts w:ascii="Times New Roman" w:eastAsia="Times New Roman" w:hAnsi="Times New Roman" w:cs="Times New Roman"/>
                <w:color w:val="000000" w:themeColor="text1"/>
                <w:lang w:val="en-IE"/>
              </w:rPr>
              <w:t>streamlined by relying on digital applications</w:t>
            </w:r>
            <w:r w:rsidR="45F25105" w:rsidRPr="1F66A3C4">
              <w:rPr>
                <w:rFonts w:ascii="Times New Roman" w:eastAsia="Times New Roman" w:hAnsi="Times New Roman" w:cs="Times New Roman"/>
                <w:color w:val="000000" w:themeColor="text1"/>
                <w:lang w:val="en-IE"/>
              </w:rPr>
              <w:t xml:space="preserve">. If needed in larger quantities or for other legitimate uses, a licence can be requested. </w:t>
            </w:r>
            <w:r w:rsidR="6377A172" w:rsidRPr="1F66A3C4">
              <w:rPr>
                <w:rFonts w:ascii="Times New Roman" w:eastAsia="Times New Roman" w:hAnsi="Times New Roman" w:cs="Times New Roman"/>
                <w:color w:val="000000" w:themeColor="text1"/>
                <w:lang w:val="en-IE"/>
              </w:rPr>
              <w:t>However, given the risk of diversion, the proposal does not exempt any operator, nor any quantity, from this prior notification.</w:t>
            </w:r>
            <w:r w:rsidR="2B4D5DF7" w:rsidRPr="1F66A3C4">
              <w:rPr>
                <w:rFonts w:ascii="Times New Roman" w:eastAsia="Times New Roman" w:hAnsi="Times New Roman" w:cs="Times New Roman"/>
                <w:color w:val="000000" w:themeColor="text1"/>
                <w:lang w:val="en-IE"/>
              </w:rPr>
              <w:t xml:space="preserve"> The Commission’s intention is to adopt a proactive approach, such as generic scheduling, in preventing the spread and illicit entry into the market of dangerous designer precursors (amendment 4). Within this framework, the approach provided is designed to ensure a high level of protection, while safeguarding </w:t>
            </w:r>
            <w:r w:rsidR="001F34B6">
              <w:rPr>
                <w:rFonts w:ascii="Times New Roman" w:eastAsia="Times New Roman" w:hAnsi="Times New Roman" w:cs="Times New Roman"/>
                <w:color w:val="000000" w:themeColor="text1"/>
                <w:lang w:val="en-IE"/>
              </w:rPr>
              <w:t>-</w:t>
            </w:r>
            <w:r w:rsidR="2B4D5DF7" w:rsidRPr="1F66A3C4">
              <w:rPr>
                <w:rFonts w:ascii="Times New Roman" w:eastAsia="Times New Roman" w:hAnsi="Times New Roman" w:cs="Times New Roman"/>
                <w:color w:val="000000" w:themeColor="text1"/>
                <w:lang w:val="en-IE"/>
              </w:rPr>
              <w:t xml:space="preserve"> through on the one hand precise and unambiguous generic descriptions and on the other hand exemption lists - legitimate uses of these substances, and not imposing unjustified burdens on operators or discouraging research purposes.</w:t>
            </w:r>
          </w:p>
          <w:p w14:paraId="1105ADB5" w14:textId="6FF61867" w:rsidR="046ECAA1" w:rsidRDefault="046ECAA1" w:rsidP="145900D0">
            <w:pPr>
              <w:spacing w:before="120" w:after="120" w:line="278" w:lineRule="auto"/>
              <w:jc w:val="both"/>
              <w:rPr>
                <w:rFonts w:ascii="Times New Roman" w:eastAsia="Times New Roman" w:hAnsi="Times New Roman" w:cs="Times New Roman"/>
                <w:b/>
                <w:bCs/>
                <w:color w:val="000000" w:themeColor="text1"/>
                <w:lang w:val="en-IE"/>
              </w:rPr>
            </w:pPr>
            <w:r w:rsidRPr="145900D0">
              <w:rPr>
                <w:rFonts w:ascii="Times New Roman" w:eastAsia="Times New Roman" w:hAnsi="Times New Roman" w:cs="Times New Roman"/>
                <w:b/>
                <w:bCs/>
                <w:color w:val="000000" w:themeColor="text1"/>
                <w:lang w:val="en-IE"/>
              </w:rPr>
              <w:t xml:space="preserve">Simplified rules for small civil organisations, research </w:t>
            </w:r>
            <w:bookmarkStart w:id="1" w:name="_Int_8Nq3e4al"/>
            <w:r w:rsidRPr="145900D0">
              <w:rPr>
                <w:rFonts w:ascii="Times New Roman" w:eastAsia="Times New Roman" w:hAnsi="Times New Roman" w:cs="Times New Roman"/>
                <w:b/>
                <w:bCs/>
                <w:color w:val="000000" w:themeColor="text1"/>
                <w:lang w:val="en-IE"/>
              </w:rPr>
              <w:t>ins</w:t>
            </w:r>
            <w:r w:rsidR="5F6C8AC7" w:rsidRPr="145900D0">
              <w:rPr>
                <w:rFonts w:ascii="Times New Roman" w:eastAsia="Times New Roman" w:hAnsi="Times New Roman" w:cs="Times New Roman"/>
                <w:b/>
                <w:bCs/>
                <w:color w:val="000000" w:themeColor="text1"/>
                <w:lang w:val="en-IE"/>
              </w:rPr>
              <w:t>t</w:t>
            </w:r>
            <w:r w:rsidRPr="145900D0">
              <w:rPr>
                <w:rFonts w:ascii="Times New Roman" w:eastAsia="Times New Roman" w:hAnsi="Times New Roman" w:cs="Times New Roman"/>
                <w:b/>
                <w:bCs/>
                <w:color w:val="000000" w:themeColor="text1"/>
                <w:lang w:val="en-IE"/>
              </w:rPr>
              <w:t>itutes</w:t>
            </w:r>
            <w:bookmarkEnd w:id="1"/>
            <w:r w:rsidRPr="145900D0">
              <w:rPr>
                <w:rFonts w:ascii="Times New Roman" w:eastAsia="Times New Roman" w:hAnsi="Times New Roman" w:cs="Times New Roman"/>
                <w:b/>
                <w:bCs/>
                <w:color w:val="000000" w:themeColor="text1"/>
                <w:lang w:val="en-IE"/>
              </w:rPr>
              <w:t xml:space="preserve"> and universities</w:t>
            </w:r>
          </w:p>
          <w:p w14:paraId="1A2DFB45" w14:textId="0D5ED4C3" w:rsidR="759BB280" w:rsidRDefault="759BB280" w:rsidP="145900D0">
            <w:pPr>
              <w:spacing w:before="120" w:after="120" w:line="278" w:lineRule="auto"/>
              <w:jc w:val="both"/>
              <w:rPr>
                <w:rFonts w:ascii="Times New Roman" w:eastAsia="Times New Roman" w:hAnsi="Times New Roman" w:cs="Times New Roman"/>
                <w:color w:val="000000" w:themeColor="text1"/>
                <w:lang w:val="en-IE"/>
              </w:rPr>
            </w:pPr>
            <w:r w:rsidRPr="145900D0">
              <w:rPr>
                <w:rFonts w:ascii="Times New Roman" w:eastAsia="Times New Roman" w:hAnsi="Times New Roman" w:cs="Times New Roman"/>
                <w:color w:val="000000" w:themeColor="text1"/>
                <w:lang w:val="en-IE"/>
              </w:rPr>
              <w:t xml:space="preserve">The Commission acknowledges the </w:t>
            </w:r>
            <w:r w:rsidR="11233148" w:rsidRPr="145900D0">
              <w:rPr>
                <w:rFonts w:ascii="Times New Roman" w:eastAsia="Times New Roman" w:hAnsi="Times New Roman" w:cs="Times New Roman"/>
                <w:color w:val="000000" w:themeColor="text1"/>
                <w:lang w:val="en-IE"/>
              </w:rPr>
              <w:t xml:space="preserve">Committee’s </w:t>
            </w:r>
            <w:r w:rsidRPr="145900D0">
              <w:rPr>
                <w:rFonts w:ascii="Times New Roman" w:eastAsia="Times New Roman" w:hAnsi="Times New Roman" w:cs="Times New Roman"/>
                <w:color w:val="000000" w:themeColor="text1"/>
                <w:lang w:val="en-IE"/>
              </w:rPr>
              <w:t xml:space="preserve">request for a reduction </w:t>
            </w:r>
            <w:r w:rsidR="001F34B6">
              <w:rPr>
                <w:rFonts w:ascii="Times New Roman" w:eastAsia="Times New Roman" w:hAnsi="Times New Roman" w:cs="Times New Roman"/>
                <w:color w:val="000000" w:themeColor="text1"/>
                <w:lang w:val="en-IE"/>
              </w:rPr>
              <w:t>of</w:t>
            </w:r>
            <w:r w:rsidR="001F34B6" w:rsidRPr="145900D0">
              <w:rPr>
                <w:rFonts w:ascii="Times New Roman" w:eastAsia="Times New Roman" w:hAnsi="Times New Roman" w:cs="Times New Roman"/>
                <w:color w:val="000000" w:themeColor="text1"/>
                <w:lang w:val="en-IE"/>
              </w:rPr>
              <w:t xml:space="preserve"> </w:t>
            </w:r>
            <w:r w:rsidRPr="145900D0">
              <w:rPr>
                <w:rFonts w:ascii="Times New Roman" w:eastAsia="Times New Roman" w:hAnsi="Times New Roman" w:cs="Times New Roman"/>
                <w:color w:val="000000" w:themeColor="text1"/>
                <w:lang w:val="en-IE"/>
              </w:rPr>
              <w:t>the fees for licenses for drug precursors granted to universities, re</w:t>
            </w:r>
            <w:r w:rsidR="3716C3CB" w:rsidRPr="145900D0">
              <w:rPr>
                <w:rFonts w:ascii="Times New Roman" w:eastAsia="Times New Roman" w:hAnsi="Times New Roman" w:cs="Times New Roman"/>
                <w:color w:val="000000" w:themeColor="text1"/>
                <w:lang w:val="en-IE"/>
              </w:rPr>
              <w:t xml:space="preserve">search </w:t>
            </w:r>
            <w:bookmarkStart w:id="2" w:name="_Int_ix1xcYgT"/>
            <w:r w:rsidR="3716C3CB" w:rsidRPr="145900D0">
              <w:rPr>
                <w:rFonts w:ascii="Times New Roman" w:eastAsia="Times New Roman" w:hAnsi="Times New Roman" w:cs="Times New Roman"/>
                <w:color w:val="000000" w:themeColor="text1"/>
                <w:lang w:val="en-IE"/>
              </w:rPr>
              <w:t>institutes</w:t>
            </w:r>
            <w:bookmarkEnd w:id="2"/>
            <w:r w:rsidR="3716C3CB" w:rsidRPr="145900D0">
              <w:rPr>
                <w:rFonts w:ascii="Times New Roman" w:eastAsia="Times New Roman" w:hAnsi="Times New Roman" w:cs="Times New Roman"/>
                <w:color w:val="000000" w:themeColor="text1"/>
                <w:lang w:val="en-IE"/>
              </w:rPr>
              <w:t xml:space="preserve"> or other similar organisations in order not to deplete them of funds. Under the Commission’s proposal, it is up to national authorities to determine whether a fee is to be levied </w:t>
            </w:r>
            <w:r w:rsidR="5EB7DDB3" w:rsidRPr="145900D0">
              <w:rPr>
                <w:rFonts w:ascii="Times New Roman" w:eastAsia="Times New Roman" w:hAnsi="Times New Roman" w:cs="Times New Roman"/>
                <w:color w:val="000000" w:themeColor="text1"/>
                <w:lang w:val="en-IE"/>
              </w:rPr>
              <w:t xml:space="preserve">or not </w:t>
            </w:r>
            <w:r w:rsidR="3716C3CB" w:rsidRPr="145900D0">
              <w:rPr>
                <w:rFonts w:ascii="Times New Roman" w:eastAsia="Times New Roman" w:hAnsi="Times New Roman" w:cs="Times New Roman"/>
                <w:color w:val="000000" w:themeColor="text1"/>
                <w:lang w:val="en-IE"/>
              </w:rPr>
              <w:t xml:space="preserve">where operators request a license. The proposed rules do </w:t>
            </w:r>
            <w:r w:rsidR="6BB3B14D" w:rsidRPr="145900D0">
              <w:rPr>
                <w:rFonts w:ascii="Times New Roman" w:eastAsia="Times New Roman" w:hAnsi="Times New Roman" w:cs="Times New Roman"/>
                <w:color w:val="000000" w:themeColor="text1"/>
                <w:lang w:val="en-IE"/>
              </w:rPr>
              <w:t>require that, where the fee is levied, th</w:t>
            </w:r>
            <w:r w:rsidR="46E49EE5" w:rsidRPr="145900D0">
              <w:rPr>
                <w:rFonts w:ascii="Times New Roman" w:eastAsia="Times New Roman" w:hAnsi="Times New Roman" w:cs="Times New Roman"/>
                <w:color w:val="000000" w:themeColor="text1"/>
                <w:lang w:val="en-IE"/>
              </w:rPr>
              <w:t xml:space="preserve">e fee </w:t>
            </w:r>
            <w:r w:rsidR="6BB3B14D" w:rsidRPr="145900D0">
              <w:rPr>
                <w:rFonts w:ascii="Times New Roman" w:eastAsia="Times New Roman" w:hAnsi="Times New Roman" w:cs="Times New Roman"/>
                <w:color w:val="000000" w:themeColor="text1"/>
                <w:lang w:val="en-IE"/>
              </w:rPr>
              <w:t>is adjusted for small</w:t>
            </w:r>
            <w:r w:rsidR="00EB736F">
              <w:rPr>
                <w:rFonts w:ascii="Times New Roman" w:eastAsia="Times New Roman" w:hAnsi="Times New Roman" w:cs="Times New Roman"/>
                <w:color w:val="000000" w:themeColor="text1"/>
                <w:lang w:val="en-IE"/>
              </w:rPr>
              <w:t>-</w:t>
            </w:r>
            <w:r w:rsidR="6BB3B14D" w:rsidRPr="145900D0">
              <w:rPr>
                <w:rFonts w:ascii="Times New Roman" w:eastAsia="Times New Roman" w:hAnsi="Times New Roman" w:cs="Times New Roman"/>
                <w:color w:val="000000" w:themeColor="text1"/>
                <w:lang w:val="en-IE"/>
              </w:rPr>
              <w:t xml:space="preserve"> and medium sized companies, and that it is levied in a non-discriminatory manner. </w:t>
            </w:r>
          </w:p>
          <w:p w14:paraId="3AE9069C" w14:textId="0B8A666B" w:rsidR="39E4B47B" w:rsidRDefault="39E4B47B" w:rsidP="145900D0">
            <w:pPr>
              <w:spacing w:before="120" w:after="120" w:line="278" w:lineRule="auto"/>
              <w:jc w:val="both"/>
              <w:rPr>
                <w:rFonts w:ascii="Times New Roman" w:eastAsia="Times New Roman" w:hAnsi="Times New Roman" w:cs="Times New Roman"/>
                <w:color w:val="000000" w:themeColor="text1"/>
                <w:lang w:val="en-IE"/>
              </w:rPr>
            </w:pPr>
            <w:r w:rsidRPr="145900D0">
              <w:rPr>
                <w:rFonts w:ascii="Times New Roman" w:eastAsia="Times New Roman" w:hAnsi="Times New Roman" w:cs="Times New Roman"/>
                <w:color w:val="000000" w:themeColor="text1"/>
                <w:lang w:val="en-IE"/>
              </w:rPr>
              <w:t>The Commission proposal requires operators to appoint a responsible officer to represent them in certain matters relating to the application of the Regulation. The proposal allows</w:t>
            </w:r>
            <w:r w:rsidR="2BCD4654" w:rsidRPr="145900D0">
              <w:rPr>
                <w:rFonts w:ascii="Times New Roman" w:eastAsia="Times New Roman" w:hAnsi="Times New Roman" w:cs="Times New Roman"/>
                <w:color w:val="000000" w:themeColor="text1"/>
                <w:lang w:val="en-IE"/>
              </w:rPr>
              <w:t xml:space="preserve"> for flexibility</w:t>
            </w:r>
            <w:r w:rsidR="052FE8B1" w:rsidRPr="145900D0">
              <w:rPr>
                <w:rFonts w:ascii="Times New Roman" w:eastAsia="Times New Roman" w:hAnsi="Times New Roman" w:cs="Times New Roman"/>
                <w:color w:val="000000" w:themeColor="text1"/>
                <w:lang w:val="en-IE"/>
              </w:rPr>
              <w:t xml:space="preserve"> for operators</w:t>
            </w:r>
            <w:r w:rsidR="2BCD4654" w:rsidRPr="145900D0">
              <w:rPr>
                <w:rFonts w:ascii="Times New Roman" w:eastAsia="Times New Roman" w:hAnsi="Times New Roman" w:cs="Times New Roman"/>
                <w:color w:val="000000" w:themeColor="text1"/>
                <w:lang w:val="en-IE"/>
              </w:rPr>
              <w:t xml:space="preserve"> in appointing such an officer</w:t>
            </w:r>
            <w:r w:rsidR="1898D89F" w:rsidRPr="145900D0">
              <w:rPr>
                <w:rFonts w:ascii="Times New Roman" w:eastAsia="Times New Roman" w:hAnsi="Times New Roman" w:cs="Times New Roman"/>
                <w:color w:val="000000" w:themeColor="text1"/>
                <w:lang w:val="en-IE"/>
              </w:rPr>
              <w:t>, as stressed by the Committee</w:t>
            </w:r>
            <w:r w:rsidR="2BCD4654" w:rsidRPr="145900D0">
              <w:rPr>
                <w:rFonts w:ascii="Times New Roman" w:eastAsia="Times New Roman" w:hAnsi="Times New Roman" w:cs="Times New Roman"/>
                <w:color w:val="000000" w:themeColor="text1"/>
                <w:lang w:val="en-IE"/>
              </w:rPr>
              <w:t xml:space="preserve">. </w:t>
            </w:r>
            <w:r w:rsidR="2DB31519" w:rsidRPr="145900D0">
              <w:rPr>
                <w:rFonts w:ascii="Times New Roman" w:eastAsia="Times New Roman" w:hAnsi="Times New Roman" w:cs="Times New Roman"/>
                <w:color w:val="000000" w:themeColor="text1"/>
                <w:lang w:val="en-IE"/>
              </w:rPr>
              <w:t xml:space="preserve">The Commission also acknowledges the Committee’s request that confidentiality of the information obtained during controls carried out by competent authorities </w:t>
            </w:r>
            <w:r w:rsidR="10878410" w:rsidRPr="145900D0">
              <w:rPr>
                <w:rFonts w:ascii="Times New Roman" w:eastAsia="Times New Roman" w:hAnsi="Times New Roman" w:cs="Times New Roman"/>
                <w:color w:val="000000" w:themeColor="text1"/>
                <w:lang w:val="en-IE"/>
              </w:rPr>
              <w:t xml:space="preserve">be protected, to maintain the integrity of research projects. The Commission notes that </w:t>
            </w:r>
            <w:r w:rsidR="53DC69FF" w:rsidRPr="145900D0">
              <w:rPr>
                <w:rFonts w:ascii="Times New Roman" w:eastAsia="Times New Roman" w:hAnsi="Times New Roman" w:cs="Times New Roman"/>
                <w:color w:val="000000" w:themeColor="text1"/>
                <w:lang w:val="en-IE"/>
              </w:rPr>
              <w:t xml:space="preserve">Article 28(2) of the proposal provides for an obligation on competent authorities to respect the principle of confidentiality and of professional and commercial secrecy </w:t>
            </w:r>
            <w:r w:rsidR="71B25075" w:rsidRPr="145900D0">
              <w:rPr>
                <w:rFonts w:ascii="Times New Roman" w:eastAsia="Times New Roman" w:hAnsi="Times New Roman" w:cs="Times New Roman"/>
                <w:color w:val="000000" w:themeColor="text1"/>
                <w:lang w:val="en-IE"/>
              </w:rPr>
              <w:t xml:space="preserve">when carrying out controls. </w:t>
            </w:r>
          </w:p>
          <w:p w14:paraId="5985B970" w14:textId="59B1615F" w:rsidR="00CA1419" w:rsidRDefault="3A3C4649" w:rsidP="145900D0">
            <w:pPr>
              <w:spacing w:before="120" w:after="120" w:line="278" w:lineRule="auto"/>
              <w:jc w:val="both"/>
              <w:rPr>
                <w:rFonts w:ascii="Times New Roman" w:eastAsia="Times New Roman" w:hAnsi="Times New Roman" w:cs="Times New Roman"/>
                <w:b/>
                <w:bCs/>
                <w:color w:val="000000" w:themeColor="text1"/>
                <w:lang w:val="en-IE"/>
              </w:rPr>
            </w:pPr>
            <w:r w:rsidRPr="79B4FC44">
              <w:rPr>
                <w:rFonts w:ascii="Times New Roman" w:eastAsia="Times New Roman" w:hAnsi="Times New Roman" w:cs="Times New Roman"/>
                <w:b/>
                <w:bCs/>
                <w:color w:val="000000" w:themeColor="text1"/>
                <w:lang w:val="en-IE"/>
              </w:rPr>
              <w:lastRenderedPageBreak/>
              <w:t>Harmonisation of rules</w:t>
            </w:r>
            <w:r w:rsidR="0BADAFE9" w:rsidRPr="79B4FC44">
              <w:rPr>
                <w:rFonts w:ascii="Times New Roman" w:eastAsia="Times New Roman" w:hAnsi="Times New Roman" w:cs="Times New Roman"/>
                <w:b/>
                <w:bCs/>
                <w:color w:val="000000" w:themeColor="text1"/>
                <w:lang w:val="en-IE"/>
              </w:rPr>
              <w:t xml:space="preserve"> and contribution of research entities and civil organisation</w:t>
            </w:r>
            <w:r w:rsidRPr="79B4FC44">
              <w:rPr>
                <w:rFonts w:ascii="Times New Roman" w:eastAsia="Times New Roman" w:hAnsi="Times New Roman" w:cs="Times New Roman"/>
                <w:b/>
                <w:bCs/>
                <w:color w:val="000000" w:themeColor="text1"/>
                <w:lang w:val="en-IE"/>
              </w:rPr>
              <w:t xml:space="preserve"> </w:t>
            </w:r>
            <w:r w:rsidR="43A2D51A" w:rsidRPr="79B4FC44">
              <w:rPr>
                <w:rFonts w:ascii="Times New Roman" w:eastAsia="Times New Roman" w:hAnsi="Times New Roman" w:cs="Times New Roman"/>
                <w:b/>
                <w:bCs/>
                <w:color w:val="000000" w:themeColor="text1"/>
                <w:lang w:val="en-IE"/>
              </w:rPr>
              <w:t>in the field of drug precursors</w:t>
            </w:r>
            <w:r w:rsidR="34C540C3" w:rsidRPr="79B4FC44">
              <w:rPr>
                <w:rFonts w:ascii="Times New Roman" w:eastAsia="Times New Roman" w:hAnsi="Times New Roman" w:cs="Times New Roman"/>
                <w:b/>
                <w:bCs/>
                <w:color w:val="000000" w:themeColor="text1"/>
                <w:lang w:val="en-IE"/>
              </w:rPr>
              <w:t xml:space="preserve"> </w:t>
            </w:r>
          </w:p>
          <w:p w14:paraId="5C6D1C2C" w14:textId="51D35EAE" w:rsidR="00CA1419" w:rsidRPr="007D4C28" w:rsidRDefault="43A2D51A" w:rsidP="79B4FC44">
            <w:pPr>
              <w:spacing w:before="120" w:after="120" w:line="278" w:lineRule="auto"/>
              <w:jc w:val="both"/>
              <w:rPr>
                <w:rFonts w:ascii="Times New Roman" w:eastAsia="Times New Roman" w:hAnsi="Times New Roman" w:cs="Times New Roman"/>
                <w:color w:val="000000" w:themeColor="text1"/>
                <w:lang w:val="en-IE"/>
              </w:rPr>
            </w:pPr>
            <w:r w:rsidRPr="79B4FC44">
              <w:rPr>
                <w:rFonts w:ascii="Times New Roman" w:eastAsia="Times New Roman" w:hAnsi="Times New Roman" w:cs="Times New Roman"/>
                <w:color w:val="000000" w:themeColor="text1"/>
                <w:lang w:val="en-IE"/>
              </w:rPr>
              <w:t xml:space="preserve">The </w:t>
            </w:r>
            <w:r w:rsidR="1FE9FE36" w:rsidRPr="79B4FC44">
              <w:rPr>
                <w:rFonts w:ascii="Times New Roman" w:eastAsia="Times New Roman" w:hAnsi="Times New Roman" w:cs="Times New Roman"/>
                <w:color w:val="000000" w:themeColor="text1"/>
                <w:lang w:val="en-IE"/>
              </w:rPr>
              <w:t>Commission</w:t>
            </w:r>
            <w:r w:rsidRPr="79B4FC44">
              <w:rPr>
                <w:rFonts w:ascii="Times New Roman" w:eastAsia="Times New Roman" w:hAnsi="Times New Roman" w:cs="Times New Roman"/>
                <w:color w:val="000000" w:themeColor="text1"/>
                <w:lang w:val="en-IE"/>
              </w:rPr>
              <w:t xml:space="preserve"> shares the </w:t>
            </w:r>
            <w:r w:rsidR="6D8227AF" w:rsidRPr="79B4FC44">
              <w:rPr>
                <w:rFonts w:ascii="Times New Roman" w:eastAsia="Times New Roman" w:hAnsi="Times New Roman" w:cs="Times New Roman"/>
                <w:color w:val="000000" w:themeColor="text1"/>
                <w:lang w:val="en-IE"/>
              </w:rPr>
              <w:t xml:space="preserve">Committee’s </w:t>
            </w:r>
            <w:r w:rsidRPr="79B4FC44">
              <w:rPr>
                <w:rFonts w:ascii="Times New Roman" w:eastAsia="Times New Roman" w:hAnsi="Times New Roman" w:cs="Times New Roman"/>
                <w:color w:val="000000" w:themeColor="text1"/>
                <w:lang w:val="en-IE"/>
              </w:rPr>
              <w:t>view that the harmonisation of rules for the making available of drug precursors in the internal market is essential</w:t>
            </w:r>
            <w:r w:rsidR="5B394B0B" w:rsidRPr="79B4FC44">
              <w:rPr>
                <w:rFonts w:ascii="Times New Roman" w:eastAsia="Times New Roman" w:hAnsi="Times New Roman" w:cs="Times New Roman"/>
                <w:color w:val="000000" w:themeColor="text1"/>
                <w:lang w:val="en-IE"/>
              </w:rPr>
              <w:t>. The efficiency of controls on drug precursors across the Union would be diminished by the existence of diverse national rules</w:t>
            </w:r>
            <w:r w:rsidR="11589755" w:rsidRPr="79B4FC44">
              <w:rPr>
                <w:rFonts w:ascii="Times New Roman" w:eastAsia="Times New Roman" w:hAnsi="Times New Roman" w:cs="Times New Roman"/>
                <w:color w:val="000000" w:themeColor="text1"/>
                <w:lang w:val="en-IE"/>
              </w:rPr>
              <w:t xml:space="preserve"> with various degrees of strictness, which would inadvertently lead to weaknesses. The Commission believes that EU action </w:t>
            </w:r>
            <w:r w:rsidR="7493CD33" w:rsidRPr="79B4FC44">
              <w:rPr>
                <w:rFonts w:ascii="Times New Roman" w:eastAsia="Times New Roman" w:hAnsi="Times New Roman" w:cs="Times New Roman"/>
                <w:color w:val="000000" w:themeColor="text1"/>
                <w:lang w:val="en-IE"/>
              </w:rPr>
              <w:t xml:space="preserve">has clear benefits for businesses, national </w:t>
            </w:r>
            <w:bookmarkStart w:id="3" w:name="_Int_OzL5ah1Y"/>
            <w:r w:rsidR="7493CD33" w:rsidRPr="79B4FC44">
              <w:rPr>
                <w:rFonts w:ascii="Times New Roman" w:eastAsia="Times New Roman" w:hAnsi="Times New Roman" w:cs="Times New Roman"/>
                <w:color w:val="000000" w:themeColor="text1"/>
                <w:lang w:val="en-IE"/>
              </w:rPr>
              <w:t>authorities</w:t>
            </w:r>
            <w:bookmarkEnd w:id="3"/>
            <w:r w:rsidR="7493CD33" w:rsidRPr="79B4FC44">
              <w:rPr>
                <w:rFonts w:ascii="Times New Roman" w:eastAsia="Times New Roman" w:hAnsi="Times New Roman" w:cs="Times New Roman"/>
                <w:color w:val="000000" w:themeColor="text1"/>
                <w:lang w:val="en-IE"/>
              </w:rPr>
              <w:t xml:space="preserve"> and the </w:t>
            </w:r>
            <w:proofErr w:type="gramStart"/>
            <w:r w:rsidR="7493CD33" w:rsidRPr="79B4FC44">
              <w:rPr>
                <w:rFonts w:ascii="Times New Roman" w:eastAsia="Times New Roman" w:hAnsi="Times New Roman" w:cs="Times New Roman"/>
                <w:color w:val="000000" w:themeColor="text1"/>
                <w:lang w:val="en-IE"/>
              </w:rPr>
              <w:t>society as a whole, by</w:t>
            </w:r>
            <w:proofErr w:type="gramEnd"/>
            <w:r w:rsidR="7493CD33" w:rsidRPr="79B4FC44">
              <w:rPr>
                <w:rFonts w:ascii="Times New Roman" w:eastAsia="Times New Roman" w:hAnsi="Times New Roman" w:cs="Times New Roman"/>
                <w:color w:val="000000" w:themeColor="text1"/>
                <w:lang w:val="en-IE"/>
              </w:rPr>
              <w:t xml:space="preserve"> empowering national authorities to better fight against illicit drug production, ensuring the good functioning of the internal </w:t>
            </w:r>
            <w:r w:rsidR="7AD25076" w:rsidRPr="79B4FC44">
              <w:rPr>
                <w:rFonts w:ascii="Times New Roman" w:eastAsia="Times New Roman" w:hAnsi="Times New Roman" w:cs="Times New Roman"/>
                <w:color w:val="000000" w:themeColor="text1"/>
                <w:lang w:val="en-IE"/>
              </w:rPr>
              <w:t>market,</w:t>
            </w:r>
            <w:r w:rsidR="7493CD33" w:rsidRPr="79B4FC44">
              <w:rPr>
                <w:rFonts w:ascii="Times New Roman" w:eastAsia="Times New Roman" w:hAnsi="Times New Roman" w:cs="Times New Roman"/>
                <w:color w:val="000000" w:themeColor="text1"/>
                <w:lang w:val="en-IE"/>
              </w:rPr>
              <w:t xml:space="preserve"> and reducing administrative burdens for operators an</w:t>
            </w:r>
            <w:r w:rsidR="49527FAF" w:rsidRPr="79B4FC44">
              <w:rPr>
                <w:rFonts w:ascii="Times New Roman" w:eastAsia="Times New Roman" w:hAnsi="Times New Roman" w:cs="Times New Roman"/>
                <w:color w:val="000000" w:themeColor="text1"/>
                <w:lang w:val="en-IE"/>
              </w:rPr>
              <w:t xml:space="preserve">d authorities alike. </w:t>
            </w:r>
          </w:p>
          <w:p w14:paraId="5F122459" w14:textId="3EEF6597" w:rsidR="00CA1419" w:rsidRPr="007D4C28" w:rsidRDefault="212DA7E4" w:rsidP="7ABD1E37">
            <w:pPr>
              <w:spacing w:before="120" w:after="120" w:line="278" w:lineRule="auto"/>
              <w:jc w:val="both"/>
              <w:rPr>
                <w:rFonts w:ascii="Times New Roman" w:eastAsia="Times New Roman" w:hAnsi="Times New Roman" w:cs="Times New Roman"/>
                <w:color w:val="000000" w:themeColor="text1"/>
                <w:lang w:val="en-IE"/>
              </w:rPr>
            </w:pPr>
            <w:r w:rsidRPr="73C2DC8D">
              <w:rPr>
                <w:rFonts w:ascii="Times New Roman" w:eastAsia="Times New Roman" w:hAnsi="Times New Roman" w:cs="Times New Roman"/>
                <w:color w:val="000000" w:themeColor="text1"/>
                <w:lang w:val="en-IE"/>
              </w:rPr>
              <w:t>The Commission notes the Committee’s objective to ensure that research entities and civil organisation</w:t>
            </w:r>
            <w:r w:rsidR="1F46DD33" w:rsidRPr="73C2DC8D">
              <w:rPr>
                <w:rFonts w:ascii="Times New Roman" w:eastAsia="Times New Roman" w:hAnsi="Times New Roman" w:cs="Times New Roman"/>
                <w:color w:val="000000" w:themeColor="text1"/>
                <w:lang w:val="en-IE"/>
              </w:rPr>
              <w:t>s</w:t>
            </w:r>
            <w:r w:rsidRPr="73C2DC8D">
              <w:rPr>
                <w:rFonts w:ascii="Times New Roman" w:eastAsia="Times New Roman" w:hAnsi="Times New Roman" w:cs="Times New Roman"/>
                <w:color w:val="000000" w:themeColor="text1"/>
                <w:lang w:val="en-IE"/>
              </w:rPr>
              <w:t xml:space="preserve"> contribute </w:t>
            </w:r>
            <w:proofErr w:type="gramStart"/>
            <w:r w:rsidRPr="73C2DC8D">
              <w:rPr>
                <w:rFonts w:ascii="Times New Roman" w:eastAsia="Times New Roman" w:hAnsi="Times New Roman" w:cs="Times New Roman"/>
                <w:color w:val="000000" w:themeColor="text1"/>
                <w:lang w:val="en-IE"/>
              </w:rPr>
              <w:t>in</w:t>
            </w:r>
            <w:proofErr w:type="gramEnd"/>
            <w:r w:rsidRPr="73C2DC8D">
              <w:rPr>
                <w:rFonts w:ascii="Times New Roman" w:eastAsia="Times New Roman" w:hAnsi="Times New Roman" w:cs="Times New Roman"/>
                <w:color w:val="000000" w:themeColor="text1"/>
                <w:lang w:val="en-IE"/>
              </w:rPr>
              <w:t xml:space="preserve"> the field of drug precursors (amendment</w:t>
            </w:r>
            <w:r w:rsidR="51DD05E2" w:rsidRPr="73C2DC8D">
              <w:rPr>
                <w:rFonts w:ascii="Times New Roman" w:eastAsia="Times New Roman" w:hAnsi="Times New Roman" w:cs="Times New Roman"/>
                <w:color w:val="000000" w:themeColor="text1"/>
                <w:lang w:val="en-IE"/>
              </w:rPr>
              <w:t>s 3 and 5). While the Commission agrees that the experience of these organisations could be useful for the purposes of training activities, it should not be to the detriment of training in the precise purpose and scope of the Regulation</w:t>
            </w:r>
            <w:r w:rsidR="1B54CE49" w:rsidRPr="73C2DC8D">
              <w:rPr>
                <w:rFonts w:ascii="Times New Roman" w:eastAsia="Times New Roman" w:hAnsi="Times New Roman" w:cs="Times New Roman"/>
                <w:color w:val="000000" w:themeColor="text1"/>
                <w:lang w:val="en-IE"/>
              </w:rPr>
              <w:t xml:space="preserve">, which revolves around legitimate </w:t>
            </w:r>
            <w:r w:rsidR="51DD05E2" w:rsidRPr="73C2DC8D">
              <w:rPr>
                <w:rFonts w:ascii="Times New Roman" w:eastAsia="Times New Roman" w:hAnsi="Times New Roman" w:cs="Times New Roman"/>
                <w:color w:val="000000" w:themeColor="text1"/>
                <w:lang w:val="en-IE"/>
              </w:rPr>
              <w:t>making available, import, export</w:t>
            </w:r>
            <w:r w:rsidR="70060F9B" w:rsidRPr="73C2DC8D">
              <w:rPr>
                <w:rFonts w:ascii="Times New Roman" w:eastAsia="Times New Roman" w:hAnsi="Times New Roman" w:cs="Times New Roman"/>
                <w:color w:val="000000" w:themeColor="text1"/>
                <w:lang w:val="en-IE"/>
              </w:rPr>
              <w:t xml:space="preserve">, intermediary activities and possession or use of drug precursors. </w:t>
            </w:r>
            <w:r w:rsidR="54D7343D" w:rsidRPr="73C2DC8D">
              <w:rPr>
                <w:rFonts w:ascii="Times New Roman" w:eastAsia="Times New Roman" w:hAnsi="Times New Roman" w:cs="Times New Roman"/>
                <w:color w:val="000000" w:themeColor="text1"/>
                <w:lang w:val="en-IE"/>
              </w:rPr>
              <w:t>T</w:t>
            </w:r>
            <w:r w:rsidR="70060F9B" w:rsidRPr="73C2DC8D">
              <w:rPr>
                <w:rFonts w:ascii="Times New Roman" w:eastAsia="Times New Roman" w:hAnsi="Times New Roman" w:cs="Times New Roman"/>
                <w:color w:val="000000" w:themeColor="text1"/>
                <w:lang w:val="en-IE"/>
              </w:rPr>
              <w:t>he effectiveness of t</w:t>
            </w:r>
            <w:r w:rsidR="2B990D43" w:rsidRPr="73C2DC8D">
              <w:rPr>
                <w:rFonts w:ascii="Times New Roman" w:eastAsia="Times New Roman" w:hAnsi="Times New Roman" w:cs="Times New Roman"/>
                <w:color w:val="000000" w:themeColor="text1"/>
                <w:lang w:val="en-IE"/>
              </w:rPr>
              <w:t>he</w:t>
            </w:r>
            <w:r w:rsidR="70060F9B" w:rsidRPr="73C2DC8D">
              <w:rPr>
                <w:rFonts w:ascii="Times New Roman" w:eastAsia="Times New Roman" w:hAnsi="Times New Roman" w:cs="Times New Roman"/>
                <w:color w:val="000000" w:themeColor="text1"/>
                <w:lang w:val="en-IE"/>
              </w:rPr>
              <w:t xml:space="preserve"> Regulation in </w:t>
            </w:r>
            <w:r w:rsidR="2F18A336" w:rsidRPr="73C2DC8D">
              <w:rPr>
                <w:rFonts w:ascii="Times New Roman" w:eastAsia="Times New Roman" w:hAnsi="Times New Roman" w:cs="Times New Roman"/>
                <w:color w:val="000000" w:themeColor="text1"/>
                <w:lang w:val="en-IE"/>
              </w:rPr>
              <w:t xml:space="preserve">the legitimate trade of drug precursors </w:t>
            </w:r>
            <w:r w:rsidR="70060F9B" w:rsidRPr="73C2DC8D">
              <w:rPr>
                <w:rFonts w:ascii="Times New Roman" w:eastAsia="Times New Roman" w:hAnsi="Times New Roman" w:cs="Times New Roman"/>
                <w:color w:val="000000" w:themeColor="text1"/>
                <w:lang w:val="en-IE"/>
              </w:rPr>
              <w:t>will</w:t>
            </w:r>
            <w:r w:rsidR="69A9E0D0" w:rsidRPr="73C2DC8D">
              <w:rPr>
                <w:rFonts w:ascii="Times New Roman" w:eastAsia="Times New Roman" w:hAnsi="Times New Roman" w:cs="Times New Roman"/>
                <w:color w:val="000000" w:themeColor="text1"/>
                <w:lang w:val="en-IE"/>
              </w:rPr>
              <w:t xml:space="preserve"> be part of the Evaluation</w:t>
            </w:r>
            <w:r w:rsidR="0477ADCF" w:rsidRPr="73C2DC8D">
              <w:rPr>
                <w:rFonts w:ascii="Times New Roman" w:eastAsia="Times New Roman" w:hAnsi="Times New Roman" w:cs="Times New Roman"/>
                <w:color w:val="000000" w:themeColor="text1"/>
                <w:lang w:val="en-IE"/>
              </w:rPr>
              <w:t>.</w:t>
            </w:r>
            <w:r w:rsidR="058AADBC" w:rsidRPr="73C2DC8D">
              <w:rPr>
                <w:rFonts w:ascii="Times New Roman" w:eastAsia="Times New Roman" w:hAnsi="Times New Roman" w:cs="Times New Roman"/>
                <w:color w:val="000000" w:themeColor="text1"/>
                <w:lang w:val="en-IE"/>
              </w:rPr>
              <w:t xml:space="preserve"> </w:t>
            </w:r>
            <w:r w:rsidR="6AFD3FB1" w:rsidRPr="73C2DC8D">
              <w:rPr>
                <w:rFonts w:ascii="Times New Roman" w:eastAsia="Times New Roman" w:hAnsi="Times New Roman" w:cs="Times New Roman"/>
                <w:color w:val="000000" w:themeColor="text1"/>
                <w:lang w:val="en-IE"/>
              </w:rPr>
              <w:t>T</w:t>
            </w:r>
            <w:r w:rsidR="058AADBC" w:rsidRPr="73C2DC8D">
              <w:rPr>
                <w:rFonts w:ascii="Times New Roman" w:eastAsia="Times New Roman" w:hAnsi="Times New Roman" w:cs="Times New Roman"/>
                <w:color w:val="000000" w:themeColor="text1"/>
                <w:lang w:val="en-IE"/>
              </w:rPr>
              <w:t>he</w:t>
            </w:r>
            <w:r w:rsidR="05A76CA2" w:rsidRPr="73C2DC8D">
              <w:rPr>
                <w:rFonts w:ascii="Times New Roman" w:eastAsia="Times New Roman" w:hAnsi="Times New Roman" w:cs="Times New Roman"/>
                <w:color w:val="000000" w:themeColor="text1"/>
                <w:lang w:val="en-IE"/>
              </w:rPr>
              <w:t xml:space="preserve"> Commission believes that the</w:t>
            </w:r>
            <w:r w:rsidR="058AADBC" w:rsidRPr="73C2DC8D">
              <w:rPr>
                <w:rFonts w:ascii="Times New Roman" w:eastAsia="Times New Roman" w:hAnsi="Times New Roman" w:cs="Times New Roman"/>
                <w:color w:val="000000" w:themeColor="text1"/>
                <w:lang w:val="en-IE"/>
              </w:rPr>
              <w:t xml:space="preserve"> Evaluation should not </w:t>
            </w:r>
            <w:r w:rsidR="5FE4E1A7" w:rsidRPr="73C2DC8D">
              <w:rPr>
                <w:rFonts w:ascii="Times New Roman" w:eastAsia="Times New Roman" w:hAnsi="Times New Roman" w:cs="Times New Roman"/>
                <w:color w:val="000000" w:themeColor="text1"/>
                <w:lang w:val="en-IE"/>
              </w:rPr>
              <w:t xml:space="preserve">focus on the availability </w:t>
            </w:r>
            <w:r w:rsidR="4CB83A4A" w:rsidRPr="73C2DC8D">
              <w:rPr>
                <w:rFonts w:ascii="Times New Roman" w:eastAsia="Times New Roman" w:hAnsi="Times New Roman" w:cs="Times New Roman"/>
                <w:color w:val="000000" w:themeColor="text1"/>
                <w:lang w:val="en-IE"/>
              </w:rPr>
              <w:t xml:space="preserve">of drug precursors for research and innovation </w:t>
            </w:r>
            <w:r w:rsidR="6D2A86BC" w:rsidRPr="73C2DC8D">
              <w:rPr>
                <w:rFonts w:ascii="Times New Roman" w:eastAsia="Times New Roman" w:hAnsi="Times New Roman" w:cs="Times New Roman"/>
                <w:color w:val="000000" w:themeColor="text1"/>
                <w:lang w:val="en-IE"/>
              </w:rPr>
              <w:t>only.</w:t>
            </w:r>
          </w:p>
        </w:tc>
      </w:tr>
    </w:tbl>
    <w:p w14:paraId="2C078E63" w14:textId="43212127" w:rsidR="00DF4212" w:rsidRDefault="00DF4212"/>
    <w:sectPr w:rsidR="00DF421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436F" w14:textId="77777777" w:rsidR="00923CC5" w:rsidRDefault="00923CC5" w:rsidP="00F46004">
      <w:pPr>
        <w:spacing w:after="0" w:line="240" w:lineRule="auto"/>
      </w:pPr>
      <w:r>
        <w:separator/>
      </w:r>
    </w:p>
  </w:endnote>
  <w:endnote w:type="continuationSeparator" w:id="0">
    <w:p w14:paraId="367A1DF1" w14:textId="77777777" w:rsidR="00923CC5" w:rsidRDefault="00923CC5" w:rsidP="00F4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4A12" w14:textId="77777777" w:rsidR="003D4604" w:rsidRDefault="003D4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AD69" w14:textId="7D41A3F3" w:rsidR="73C2DC8D" w:rsidRDefault="73C2DC8D" w:rsidP="73C2D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D562" w14:textId="77777777" w:rsidR="003D4604" w:rsidRDefault="003D4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DFAA" w14:textId="77777777" w:rsidR="00923CC5" w:rsidRDefault="00923CC5" w:rsidP="00F46004">
      <w:pPr>
        <w:spacing w:after="0" w:line="240" w:lineRule="auto"/>
      </w:pPr>
      <w:r>
        <w:separator/>
      </w:r>
    </w:p>
  </w:footnote>
  <w:footnote w:type="continuationSeparator" w:id="0">
    <w:p w14:paraId="61272AB9" w14:textId="77777777" w:rsidR="00923CC5" w:rsidRDefault="00923CC5" w:rsidP="00F46004">
      <w:pPr>
        <w:spacing w:after="0" w:line="240" w:lineRule="auto"/>
      </w:pPr>
      <w:r>
        <w:continuationSeparator/>
      </w:r>
    </w:p>
  </w:footnote>
  <w:footnote w:id="1">
    <w:p w14:paraId="3B8CD882" w14:textId="07BF2852" w:rsidR="0023746C" w:rsidRPr="00781B2E" w:rsidRDefault="0023746C" w:rsidP="00781B2E">
      <w:pPr>
        <w:pStyle w:val="FootnoteText"/>
        <w:widowControl w:val="0"/>
        <w:jc w:val="both"/>
        <w:rPr>
          <w:rFonts w:ascii="Times New Roman" w:hAnsi="Times New Roman" w:cs="Times New Roman"/>
          <w:lang w:val="en-IE"/>
        </w:rPr>
      </w:pPr>
      <w:r w:rsidRPr="00781B2E">
        <w:rPr>
          <w:rStyle w:val="FootnoteReference"/>
          <w:rFonts w:ascii="Times New Roman" w:hAnsi="Times New Roman" w:cs="Times New Roman"/>
        </w:rPr>
        <w:footnoteRef/>
      </w:r>
      <w:r w:rsidRPr="00781B2E">
        <w:rPr>
          <w:rFonts w:ascii="Times New Roman" w:hAnsi="Times New Roman" w:cs="Times New Roman"/>
        </w:rPr>
        <w:t xml:space="preserve"> </w:t>
      </w:r>
      <w:r w:rsidRPr="00781B2E">
        <w:rPr>
          <w:rFonts w:ascii="Times New Roman" w:hAnsi="Times New Roman" w:cs="Times New Roman"/>
          <w:lang w:val="en-IE"/>
        </w:rPr>
        <w:tab/>
      </w:r>
      <w:r w:rsidRPr="00781B2E">
        <w:rPr>
          <w:rFonts w:ascii="Times New Roman" w:hAnsi="Times New Roman" w:cs="Times New Roman"/>
        </w:rPr>
        <w:t>Regulation (EC) No 273/2004 of the European Parliament and of the Council of 11 February 2004 on drug precursors ( </w:t>
      </w:r>
      <w:hyperlink r:id="rId1" w:tooltip="Gives access to this document through its ELI URI." w:history="1">
        <w:r w:rsidRPr="00781B2E">
          <w:rPr>
            <w:rStyle w:val="Hyperlink"/>
            <w:rFonts w:ascii="Times New Roman" w:hAnsi="Times New Roman" w:cs="Times New Roman"/>
          </w:rPr>
          <w:t>http://data.europa.eu/eli/reg/2004/273/oj</w:t>
        </w:r>
      </w:hyperlink>
      <w:r w:rsidRPr="00781B2E">
        <w:rPr>
          <w:rFonts w:ascii="Times New Roman" w:hAnsi="Times New Roman" w:cs="Times New Roman"/>
        </w:rPr>
        <w:t xml:space="preserve">). </w:t>
      </w:r>
    </w:p>
  </w:footnote>
  <w:footnote w:id="2">
    <w:p w14:paraId="13169C27" w14:textId="395CF80D" w:rsidR="0023746C" w:rsidRPr="00781B2E" w:rsidRDefault="0023746C" w:rsidP="00781B2E">
      <w:pPr>
        <w:pStyle w:val="FootnoteText"/>
        <w:widowControl w:val="0"/>
        <w:jc w:val="both"/>
        <w:rPr>
          <w:lang w:val="en-IE"/>
        </w:rPr>
      </w:pPr>
      <w:r w:rsidRPr="00781B2E">
        <w:rPr>
          <w:rStyle w:val="FootnoteReference"/>
          <w:rFonts w:ascii="Times New Roman" w:hAnsi="Times New Roman" w:cs="Times New Roman"/>
        </w:rPr>
        <w:footnoteRef/>
      </w:r>
      <w:r w:rsidRPr="00781B2E">
        <w:rPr>
          <w:rFonts w:ascii="Times New Roman" w:hAnsi="Times New Roman" w:cs="Times New Roman"/>
        </w:rPr>
        <w:t xml:space="preserve"> </w:t>
      </w:r>
      <w:r w:rsidRPr="00781B2E">
        <w:rPr>
          <w:rFonts w:ascii="Times New Roman" w:hAnsi="Times New Roman" w:cs="Times New Roman"/>
          <w:lang w:val="en-IE"/>
        </w:rPr>
        <w:tab/>
      </w:r>
      <w:r w:rsidRPr="00781B2E">
        <w:rPr>
          <w:rFonts w:ascii="Times New Roman" w:hAnsi="Times New Roman" w:cs="Times New Roman"/>
        </w:rPr>
        <w:t>Council Regulation (EC) No 111/2005 of 22 December 2004 laying down rules for the monitoring of trade between the Community and third countries in drug precursors (</w:t>
      </w:r>
      <w:hyperlink r:id="rId2" w:tooltip="Gives access to this document through its ELI URI." w:history="1">
        <w:r w:rsidRPr="00781B2E">
          <w:rPr>
            <w:rStyle w:val="Hyperlink"/>
            <w:rFonts w:ascii="Times New Roman" w:hAnsi="Times New Roman" w:cs="Times New Roman"/>
          </w:rPr>
          <w:t>http://data.europa.eu/eli/reg/2005/111/oj</w:t>
        </w:r>
      </w:hyperlink>
      <w:r w:rsidRPr="00781B2E">
        <w:rPr>
          <w:rFonts w:ascii="Times New Roman" w:hAnsi="Times New Roman" w:cs="Times New Roman"/>
        </w:rPr>
        <w:t>).</w:t>
      </w:r>
    </w:p>
  </w:footnote>
  <w:footnote w:id="3">
    <w:p w14:paraId="6A526604" w14:textId="46274D30" w:rsidR="00781B2E" w:rsidRPr="00781B2E" w:rsidRDefault="00781B2E">
      <w:pPr>
        <w:pStyle w:val="FootnoteText"/>
        <w:rPr>
          <w:lang w:val="fr-BE"/>
        </w:rPr>
      </w:pPr>
      <w:r>
        <w:rPr>
          <w:rStyle w:val="FootnoteReference"/>
        </w:rPr>
        <w:footnoteRef/>
      </w:r>
      <w:r w:rsidRPr="00781B2E">
        <w:rPr>
          <w:lang w:val="fr-BE"/>
        </w:rPr>
        <w:t xml:space="preserve"> </w:t>
      </w:r>
      <w:r>
        <w:rPr>
          <w:lang w:val="fr-BE"/>
        </w:rPr>
        <w:t xml:space="preserve">    </w:t>
      </w:r>
      <w:r w:rsidR="002F4004">
        <w:rPr>
          <w:lang w:val="fr-BE"/>
        </w:rPr>
        <w:t xml:space="preserve">          </w:t>
      </w:r>
      <w:proofErr w:type="gramStart"/>
      <w:r w:rsidRPr="00016C65">
        <w:rPr>
          <w:rFonts w:ascii="Times New Roman" w:hAnsi="Times New Roman" w:cs="Times New Roman"/>
          <w:lang w:val="fr-BE"/>
        </w:rPr>
        <w:t>COM(</w:t>
      </w:r>
      <w:proofErr w:type="gramEnd"/>
      <w:r w:rsidRPr="00016C65">
        <w:rPr>
          <w:rFonts w:ascii="Times New Roman" w:hAnsi="Times New Roman" w:cs="Times New Roman"/>
          <w:lang w:val="fr-BE"/>
        </w:rPr>
        <w:t>2025) 743 final (</w:t>
      </w:r>
      <w:hyperlink r:id="rId3" w:history="1">
        <w:r w:rsidRPr="00016C65">
          <w:rPr>
            <w:rStyle w:val="Hyperlink"/>
            <w:rFonts w:ascii="Times New Roman" w:hAnsi="Times New Roman" w:cs="Times New Roman"/>
            <w:lang w:val="fr-BE"/>
          </w:rPr>
          <w:t>EUR-Lex - 52025DC0743 - EN - EUR-Lex</w:t>
        </w:r>
      </w:hyperlink>
      <w:r w:rsidRPr="00016C65">
        <w:rPr>
          <w:rFonts w:ascii="Times New Roman" w:hAnsi="Times New Roman" w:cs="Times New Roman"/>
          <w:lang w:val="fr-BE"/>
        </w:rPr>
        <w:t>)</w:t>
      </w:r>
      <w:r>
        <w:rPr>
          <w:rFonts w:ascii="Times New Roman" w:hAnsi="Times New Roman" w:cs="Times New Roman"/>
          <w:lang w:val="fr-BE"/>
        </w:rPr>
        <w:t>.</w:t>
      </w:r>
    </w:p>
  </w:footnote>
  <w:footnote w:id="4">
    <w:p w14:paraId="12929608" w14:textId="0225A18F" w:rsidR="00781B2E" w:rsidRPr="00781B2E" w:rsidRDefault="00781B2E">
      <w:pPr>
        <w:pStyle w:val="FootnoteText"/>
        <w:rPr>
          <w:lang w:val="fr-BE"/>
        </w:rPr>
      </w:pPr>
      <w:r>
        <w:rPr>
          <w:rStyle w:val="FootnoteReference"/>
        </w:rPr>
        <w:footnoteRef/>
      </w:r>
      <w:r w:rsidRPr="00781B2E">
        <w:rPr>
          <w:lang w:val="fr-BE"/>
        </w:rPr>
        <w:t xml:space="preserve"> </w:t>
      </w:r>
      <w:r>
        <w:rPr>
          <w:lang w:val="fr-BE"/>
        </w:rPr>
        <w:t xml:space="preserve">   </w:t>
      </w:r>
      <w:r w:rsidR="002F4004">
        <w:rPr>
          <w:lang w:val="fr-BE"/>
        </w:rPr>
        <w:t xml:space="preserve">          </w:t>
      </w:r>
      <w:r>
        <w:rPr>
          <w:lang w:val="fr-BE"/>
        </w:rPr>
        <w:t xml:space="preserve"> </w:t>
      </w:r>
      <w:proofErr w:type="gramStart"/>
      <w:r w:rsidRPr="00016C65">
        <w:rPr>
          <w:rFonts w:ascii="Times New Roman" w:hAnsi="Times New Roman" w:cs="Times New Roman"/>
          <w:lang w:val="fr-BE"/>
        </w:rPr>
        <w:t>COM(</w:t>
      </w:r>
      <w:proofErr w:type="gramEnd"/>
      <w:r w:rsidRPr="00016C65">
        <w:rPr>
          <w:rFonts w:ascii="Times New Roman" w:hAnsi="Times New Roman" w:cs="Times New Roman"/>
          <w:lang w:val="fr-BE"/>
        </w:rPr>
        <w:t>2025) 744 final (</w:t>
      </w:r>
      <w:hyperlink r:id="rId4" w:history="1">
        <w:r w:rsidRPr="00016C65">
          <w:rPr>
            <w:rStyle w:val="Hyperlink"/>
            <w:rFonts w:ascii="Times New Roman" w:hAnsi="Times New Roman" w:cs="Times New Roman"/>
            <w:lang w:val="fr-BE"/>
          </w:rPr>
          <w:t>EUR-Lex - 52025DC0744 - EN - EUR-Lex</w:t>
        </w:r>
      </w:hyperlink>
      <w:r w:rsidRPr="00016C65">
        <w:rPr>
          <w:rFonts w:ascii="Times New Roman" w:hAnsi="Times New Roman" w:cs="Times New Roman"/>
          <w:lang w:val="fr-BE"/>
        </w:rPr>
        <w:t>)</w:t>
      </w:r>
      <w:r>
        <w:rPr>
          <w:rFonts w:ascii="Times New Roman" w:hAnsi="Times New Roman" w:cs="Times New Roman"/>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B416" w14:textId="77777777" w:rsidR="003D4604" w:rsidRDefault="003D4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A1A7" w14:textId="279FB71A" w:rsidR="73C2DC8D" w:rsidRDefault="73C2DC8D" w:rsidP="73C2D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E831" w14:textId="77777777" w:rsidR="003D4604" w:rsidRDefault="003D46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zL5ah1Y" int2:invalidationBookmarkName="" int2:hashCode="ZYtPdERRNArEIS" int2:id="8wWaJy0A">
      <int2:state int2:value="Rejected" int2:type="style"/>
    </int2:bookmark>
    <int2:bookmark int2:bookmarkName="_Int_ix1xcYgT" int2:invalidationBookmarkName="" int2:hashCode="NJZpJxvdYeezzn" int2:id="jWOwF010">
      <int2:state int2:value="Rejected" int2:type="style"/>
    </int2:bookmark>
    <int2:bookmark int2:bookmarkName="_Int_8Nq3e4al" int2:invalidationBookmarkName="" int2:hashCode="NJZpJxvdYeezzn" int2:id="EvkPTVMN">
      <int2:state int2:value="Rejected" int2:type="style"/>
    </int2:bookmark>
    <int2:bookmark int2:bookmarkName="_Int_O7VBnrPU" int2:invalidationBookmarkName="" int2:hashCode="p+UFE+s9FqxPO6" int2:id="nW7CP7JM">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3F2F4ABD"/>
    <w:rsid w:val="00002DFB"/>
    <w:rsid w:val="00016C65"/>
    <w:rsid w:val="000B1201"/>
    <w:rsid w:val="000E192B"/>
    <w:rsid w:val="00170B4A"/>
    <w:rsid w:val="0019057B"/>
    <w:rsid w:val="001935EB"/>
    <w:rsid w:val="001F34B6"/>
    <w:rsid w:val="0023746C"/>
    <w:rsid w:val="002F4004"/>
    <w:rsid w:val="002F5966"/>
    <w:rsid w:val="00336A44"/>
    <w:rsid w:val="0034264E"/>
    <w:rsid w:val="00375A29"/>
    <w:rsid w:val="003D4604"/>
    <w:rsid w:val="003E5C20"/>
    <w:rsid w:val="004261A2"/>
    <w:rsid w:val="004F44BD"/>
    <w:rsid w:val="0054C009"/>
    <w:rsid w:val="00582E37"/>
    <w:rsid w:val="005A6C54"/>
    <w:rsid w:val="006029DA"/>
    <w:rsid w:val="0060409C"/>
    <w:rsid w:val="006438D4"/>
    <w:rsid w:val="006507A1"/>
    <w:rsid w:val="006509C7"/>
    <w:rsid w:val="00672E39"/>
    <w:rsid w:val="006868A4"/>
    <w:rsid w:val="00725C91"/>
    <w:rsid w:val="00762F03"/>
    <w:rsid w:val="00781B2E"/>
    <w:rsid w:val="00797492"/>
    <w:rsid w:val="007D4C28"/>
    <w:rsid w:val="007E52C9"/>
    <w:rsid w:val="00801BE8"/>
    <w:rsid w:val="00883C25"/>
    <w:rsid w:val="008A4DF3"/>
    <w:rsid w:val="008B1E82"/>
    <w:rsid w:val="008B436C"/>
    <w:rsid w:val="0092129B"/>
    <w:rsid w:val="00923239"/>
    <w:rsid w:val="00923CC5"/>
    <w:rsid w:val="00933C41"/>
    <w:rsid w:val="00951F66"/>
    <w:rsid w:val="00987F8E"/>
    <w:rsid w:val="009A5DCC"/>
    <w:rsid w:val="00B94FF0"/>
    <w:rsid w:val="00BB1ECB"/>
    <w:rsid w:val="00C86118"/>
    <w:rsid w:val="00CA1419"/>
    <w:rsid w:val="00CD6378"/>
    <w:rsid w:val="00D6453A"/>
    <w:rsid w:val="00DB3270"/>
    <w:rsid w:val="00DF4212"/>
    <w:rsid w:val="00E5499B"/>
    <w:rsid w:val="00EB736F"/>
    <w:rsid w:val="00EF027E"/>
    <w:rsid w:val="00F01562"/>
    <w:rsid w:val="00F278EF"/>
    <w:rsid w:val="00F46004"/>
    <w:rsid w:val="00F521F1"/>
    <w:rsid w:val="00F66938"/>
    <w:rsid w:val="00F72832"/>
    <w:rsid w:val="00FA0033"/>
    <w:rsid w:val="02C3DD03"/>
    <w:rsid w:val="03D96F4E"/>
    <w:rsid w:val="03E50B22"/>
    <w:rsid w:val="045C6E0C"/>
    <w:rsid w:val="046ECAA1"/>
    <w:rsid w:val="0477ADCF"/>
    <w:rsid w:val="04D48B95"/>
    <w:rsid w:val="052FE8B1"/>
    <w:rsid w:val="05634A81"/>
    <w:rsid w:val="058AADBC"/>
    <w:rsid w:val="05A76CA2"/>
    <w:rsid w:val="0819B68D"/>
    <w:rsid w:val="0914EE55"/>
    <w:rsid w:val="09C7933B"/>
    <w:rsid w:val="0A760C67"/>
    <w:rsid w:val="0AFB019E"/>
    <w:rsid w:val="0BADAFE9"/>
    <w:rsid w:val="0BD59896"/>
    <w:rsid w:val="0BD5D733"/>
    <w:rsid w:val="0C5AA101"/>
    <w:rsid w:val="0D6423C0"/>
    <w:rsid w:val="0D8CC603"/>
    <w:rsid w:val="1017C4BA"/>
    <w:rsid w:val="10878410"/>
    <w:rsid w:val="11233148"/>
    <w:rsid w:val="11453C36"/>
    <w:rsid w:val="11589755"/>
    <w:rsid w:val="1270CE38"/>
    <w:rsid w:val="145900D0"/>
    <w:rsid w:val="151577CF"/>
    <w:rsid w:val="1558DFC8"/>
    <w:rsid w:val="15A0BBF9"/>
    <w:rsid w:val="15E9C85F"/>
    <w:rsid w:val="15EEF9F5"/>
    <w:rsid w:val="1641E605"/>
    <w:rsid w:val="1649D7CA"/>
    <w:rsid w:val="171A2915"/>
    <w:rsid w:val="17E3100C"/>
    <w:rsid w:val="17F94F6D"/>
    <w:rsid w:val="1898D89F"/>
    <w:rsid w:val="18E212DC"/>
    <w:rsid w:val="18E9F54C"/>
    <w:rsid w:val="1AF8A79C"/>
    <w:rsid w:val="1B54CE49"/>
    <w:rsid w:val="1BAF576D"/>
    <w:rsid w:val="1BC4AF80"/>
    <w:rsid w:val="1C7325DA"/>
    <w:rsid w:val="1C97E999"/>
    <w:rsid w:val="1D7E11C9"/>
    <w:rsid w:val="1DD0195A"/>
    <w:rsid w:val="1DF47DB9"/>
    <w:rsid w:val="1ED1C137"/>
    <w:rsid w:val="1F46DD33"/>
    <w:rsid w:val="1F65F9E9"/>
    <w:rsid w:val="1F66A3C4"/>
    <w:rsid w:val="1FBB2087"/>
    <w:rsid w:val="1FE9FE36"/>
    <w:rsid w:val="204E7609"/>
    <w:rsid w:val="20D83F6B"/>
    <w:rsid w:val="212DA7E4"/>
    <w:rsid w:val="216105AE"/>
    <w:rsid w:val="216DADB7"/>
    <w:rsid w:val="22CA2768"/>
    <w:rsid w:val="25CF9E13"/>
    <w:rsid w:val="26B7B589"/>
    <w:rsid w:val="26C909F5"/>
    <w:rsid w:val="27010B52"/>
    <w:rsid w:val="27293763"/>
    <w:rsid w:val="28FB7E91"/>
    <w:rsid w:val="29807B27"/>
    <w:rsid w:val="29AAE589"/>
    <w:rsid w:val="2B4D5DF7"/>
    <w:rsid w:val="2B990D43"/>
    <w:rsid w:val="2BCD4654"/>
    <w:rsid w:val="2C82D3FD"/>
    <w:rsid w:val="2DAA27D2"/>
    <w:rsid w:val="2DB31519"/>
    <w:rsid w:val="2DBEFA43"/>
    <w:rsid w:val="2E338A87"/>
    <w:rsid w:val="2E38C318"/>
    <w:rsid w:val="2E54376E"/>
    <w:rsid w:val="2E8A729F"/>
    <w:rsid w:val="2E90DDF5"/>
    <w:rsid w:val="2EDF01CA"/>
    <w:rsid w:val="2F18A336"/>
    <w:rsid w:val="2F353E64"/>
    <w:rsid w:val="2F4663F5"/>
    <w:rsid w:val="3021CF04"/>
    <w:rsid w:val="305899A9"/>
    <w:rsid w:val="33E49DC5"/>
    <w:rsid w:val="3408D5B2"/>
    <w:rsid w:val="34222F45"/>
    <w:rsid w:val="34548059"/>
    <w:rsid w:val="34C540C3"/>
    <w:rsid w:val="35088EB1"/>
    <w:rsid w:val="35B79756"/>
    <w:rsid w:val="362B2829"/>
    <w:rsid w:val="3716C3CB"/>
    <w:rsid w:val="385735F7"/>
    <w:rsid w:val="39386938"/>
    <w:rsid w:val="39E4B47B"/>
    <w:rsid w:val="3A3C4649"/>
    <w:rsid w:val="3A45C44D"/>
    <w:rsid w:val="3A7DF43C"/>
    <w:rsid w:val="3B2344AC"/>
    <w:rsid w:val="3B7ECA3C"/>
    <w:rsid w:val="3D6378F2"/>
    <w:rsid w:val="3E25B414"/>
    <w:rsid w:val="3ECB5993"/>
    <w:rsid w:val="3EEF6A00"/>
    <w:rsid w:val="3F2F4ABD"/>
    <w:rsid w:val="3FAE1FBD"/>
    <w:rsid w:val="403D052D"/>
    <w:rsid w:val="407BC3E3"/>
    <w:rsid w:val="40B72740"/>
    <w:rsid w:val="4199445D"/>
    <w:rsid w:val="43A2D51A"/>
    <w:rsid w:val="4400E0FA"/>
    <w:rsid w:val="44051C5E"/>
    <w:rsid w:val="440FBEDB"/>
    <w:rsid w:val="44A3310C"/>
    <w:rsid w:val="45F25105"/>
    <w:rsid w:val="46E49EE5"/>
    <w:rsid w:val="4777E735"/>
    <w:rsid w:val="482E54D7"/>
    <w:rsid w:val="484795F1"/>
    <w:rsid w:val="48DFDAB0"/>
    <w:rsid w:val="4945F75B"/>
    <w:rsid w:val="494AFB27"/>
    <w:rsid w:val="49527FAF"/>
    <w:rsid w:val="49893AFD"/>
    <w:rsid w:val="4B0B6023"/>
    <w:rsid w:val="4B258C79"/>
    <w:rsid w:val="4B71FA31"/>
    <w:rsid w:val="4BCF56DE"/>
    <w:rsid w:val="4CB83A4A"/>
    <w:rsid w:val="4F0D993C"/>
    <w:rsid w:val="4F6C920C"/>
    <w:rsid w:val="513DDDD7"/>
    <w:rsid w:val="51DD05E2"/>
    <w:rsid w:val="53DC69FF"/>
    <w:rsid w:val="53FFBDE0"/>
    <w:rsid w:val="5454298C"/>
    <w:rsid w:val="54D7343D"/>
    <w:rsid w:val="560BA0FC"/>
    <w:rsid w:val="5629D629"/>
    <w:rsid w:val="5791E962"/>
    <w:rsid w:val="57D2550E"/>
    <w:rsid w:val="583B71E5"/>
    <w:rsid w:val="5855352A"/>
    <w:rsid w:val="59F61BD7"/>
    <w:rsid w:val="59FA8D82"/>
    <w:rsid w:val="5A502905"/>
    <w:rsid w:val="5A9B5794"/>
    <w:rsid w:val="5B165E16"/>
    <w:rsid w:val="5B394B0B"/>
    <w:rsid w:val="5B9F4C76"/>
    <w:rsid w:val="5C094B33"/>
    <w:rsid w:val="5CFB8577"/>
    <w:rsid w:val="5D19706B"/>
    <w:rsid w:val="5DB30A97"/>
    <w:rsid w:val="5E510841"/>
    <w:rsid w:val="5EB7DDB3"/>
    <w:rsid w:val="5ECB0D36"/>
    <w:rsid w:val="5F6C8AC7"/>
    <w:rsid w:val="5FE4E1A7"/>
    <w:rsid w:val="6009EE53"/>
    <w:rsid w:val="600F9D27"/>
    <w:rsid w:val="609F7C2E"/>
    <w:rsid w:val="61FE0664"/>
    <w:rsid w:val="622F9C03"/>
    <w:rsid w:val="6377A172"/>
    <w:rsid w:val="63B440CD"/>
    <w:rsid w:val="63F1DABF"/>
    <w:rsid w:val="649003AA"/>
    <w:rsid w:val="64A81FD4"/>
    <w:rsid w:val="651F04E2"/>
    <w:rsid w:val="65BAF17C"/>
    <w:rsid w:val="6644F113"/>
    <w:rsid w:val="66A1FD8C"/>
    <w:rsid w:val="6770E338"/>
    <w:rsid w:val="67EB9C16"/>
    <w:rsid w:val="68612729"/>
    <w:rsid w:val="68C62792"/>
    <w:rsid w:val="692791F8"/>
    <w:rsid w:val="699A3C6D"/>
    <w:rsid w:val="69A9E0D0"/>
    <w:rsid w:val="6AFD3FB1"/>
    <w:rsid w:val="6B1205E4"/>
    <w:rsid w:val="6BB3B14D"/>
    <w:rsid w:val="6D2A86BC"/>
    <w:rsid w:val="6D4E1901"/>
    <w:rsid w:val="6D6CA6A8"/>
    <w:rsid w:val="6D8227AF"/>
    <w:rsid w:val="6E76E822"/>
    <w:rsid w:val="6E7DE639"/>
    <w:rsid w:val="6F213235"/>
    <w:rsid w:val="6F40BD15"/>
    <w:rsid w:val="6FE3E757"/>
    <w:rsid w:val="6FF179AB"/>
    <w:rsid w:val="70060F9B"/>
    <w:rsid w:val="70FF088F"/>
    <w:rsid w:val="71B25075"/>
    <w:rsid w:val="73C2DC8D"/>
    <w:rsid w:val="743CD15E"/>
    <w:rsid w:val="746CD848"/>
    <w:rsid w:val="748F811A"/>
    <w:rsid w:val="7493CD33"/>
    <w:rsid w:val="759BB280"/>
    <w:rsid w:val="75E7364C"/>
    <w:rsid w:val="75F93338"/>
    <w:rsid w:val="762AC325"/>
    <w:rsid w:val="774EAACD"/>
    <w:rsid w:val="77CE99F1"/>
    <w:rsid w:val="780342BD"/>
    <w:rsid w:val="78958920"/>
    <w:rsid w:val="78A75672"/>
    <w:rsid w:val="79B4FC44"/>
    <w:rsid w:val="7A9B5A5F"/>
    <w:rsid w:val="7ABD1E37"/>
    <w:rsid w:val="7AD25076"/>
    <w:rsid w:val="7B97BD39"/>
    <w:rsid w:val="7C7C47EE"/>
    <w:rsid w:val="7CF65988"/>
    <w:rsid w:val="7D4A663C"/>
    <w:rsid w:val="7D562981"/>
    <w:rsid w:val="7E22A7AC"/>
    <w:rsid w:val="7FBEB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D1BF"/>
  <w15:chartTrackingRefBased/>
  <w15:docId w15:val="{7CBBE48B-C0F6-448A-B6AC-37685306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460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004"/>
    <w:rPr>
      <w:sz w:val="20"/>
      <w:szCs w:val="20"/>
    </w:rPr>
  </w:style>
  <w:style w:type="character" w:styleId="FootnoteReference">
    <w:name w:val="footnote reference"/>
    <w:basedOn w:val="DefaultParagraphFont"/>
    <w:uiPriority w:val="99"/>
    <w:semiHidden/>
    <w:unhideWhenUsed/>
    <w:rsid w:val="00F46004"/>
    <w:rPr>
      <w:vertAlign w:val="superscript"/>
    </w:rPr>
  </w:style>
  <w:style w:type="character" w:styleId="Hyperlink">
    <w:name w:val="Hyperlink"/>
    <w:basedOn w:val="DefaultParagraphFont"/>
    <w:uiPriority w:val="99"/>
    <w:unhideWhenUsed/>
    <w:rsid w:val="00F46004"/>
    <w:rPr>
      <w:color w:val="467886" w:themeColor="hyperlink"/>
      <w:u w:val="single"/>
    </w:rPr>
  </w:style>
  <w:style w:type="character" w:styleId="UnresolvedMention">
    <w:name w:val="Unresolved Mention"/>
    <w:basedOn w:val="DefaultParagraphFont"/>
    <w:uiPriority w:val="99"/>
    <w:semiHidden/>
    <w:unhideWhenUsed/>
    <w:rsid w:val="00F46004"/>
    <w:rPr>
      <w:color w:val="605E5C"/>
      <w:shd w:val="clear" w:color="auto" w:fill="E1DFDD"/>
    </w:rPr>
  </w:style>
  <w:style w:type="paragraph" w:styleId="Header">
    <w:name w:val="header"/>
    <w:basedOn w:val="Normal"/>
    <w:uiPriority w:val="99"/>
    <w:unhideWhenUsed/>
    <w:rsid w:val="73C2DC8D"/>
    <w:pPr>
      <w:tabs>
        <w:tab w:val="center" w:pos="4680"/>
        <w:tab w:val="right" w:pos="9360"/>
      </w:tabs>
      <w:spacing w:after="0" w:line="240" w:lineRule="auto"/>
    </w:pPr>
  </w:style>
  <w:style w:type="paragraph" w:styleId="Footer">
    <w:name w:val="footer"/>
    <w:basedOn w:val="Normal"/>
    <w:uiPriority w:val="99"/>
    <w:unhideWhenUsed/>
    <w:rsid w:val="73C2DC8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883C25"/>
    <w:rPr>
      <w:sz w:val="16"/>
      <w:szCs w:val="16"/>
    </w:rPr>
  </w:style>
  <w:style w:type="paragraph" w:styleId="CommentText">
    <w:name w:val="annotation text"/>
    <w:basedOn w:val="Normal"/>
    <w:link w:val="CommentTextChar"/>
    <w:uiPriority w:val="99"/>
    <w:unhideWhenUsed/>
    <w:rsid w:val="00883C25"/>
    <w:pPr>
      <w:spacing w:line="240" w:lineRule="auto"/>
    </w:pPr>
    <w:rPr>
      <w:sz w:val="20"/>
      <w:szCs w:val="20"/>
    </w:rPr>
  </w:style>
  <w:style w:type="character" w:customStyle="1" w:styleId="CommentTextChar">
    <w:name w:val="Comment Text Char"/>
    <w:basedOn w:val="DefaultParagraphFont"/>
    <w:link w:val="CommentText"/>
    <w:uiPriority w:val="99"/>
    <w:rsid w:val="00883C25"/>
    <w:rPr>
      <w:sz w:val="20"/>
      <w:szCs w:val="20"/>
    </w:rPr>
  </w:style>
  <w:style w:type="paragraph" w:styleId="Revision">
    <w:name w:val="Revision"/>
    <w:hidden/>
    <w:uiPriority w:val="99"/>
    <w:semiHidden/>
    <w:rsid w:val="0023746C"/>
    <w:pPr>
      <w:spacing w:after="0" w:line="240" w:lineRule="auto"/>
    </w:pPr>
  </w:style>
  <w:style w:type="character" w:styleId="FollowedHyperlink">
    <w:name w:val="FollowedHyperlink"/>
    <w:basedOn w:val="DefaultParagraphFont"/>
    <w:uiPriority w:val="99"/>
    <w:semiHidden/>
    <w:unhideWhenUsed/>
    <w:rsid w:val="002374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5DC0743" TargetMode="External"/><Relationship Id="rId2" Type="http://schemas.openxmlformats.org/officeDocument/2006/relationships/hyperlink" Target="http://data.europa.eu/eli/reg/2005/111/oj" TargetMode="External"/><Relationship Id="rId1" Type="http://schemas.openxmlformats.org/officeDocument/2006/relationships/hyperlink" Target="http://data.europa.eu/eli/reg/2004/273/oj" TargetMode="External"/><Relationship Id="rId4" Type="http://schemas.openxmlformats.org/officeDocument/2006/relationships/hyperlink" Target="https://eur-lex.europa.eu/legal-content/EN/TXT/?uri=celex:52025DC0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caea1a69ce3dc0c39cc726368ded7aa8">
  <xsd:schema xmlns:xsd="http://www.w3.org/2001/XMLSchema" xmlns:xs="http://www.w3.org/2001/XMLSchema" xmlns:p="http://schemas.microsoft.com/office/2006/metadata/properties" xmlns:ns2="2a565401-6124-4834-af4c-bc1a772a6083" targetNamespace="http://schemas.microsoft.com/office/2006/metadata/properties" ma:root="true" ma:fieldsID="2283f32238b260abd87f3a6f43294de9"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42281-E6AD-4E69-B127-38D279817B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C693A-EB5A-49DA-A52C-4D15705D3AB0}">
  <ds:schemaRefs>
    <ds:schemaRef ds:uri="http://schemas.openxmlformats.org/officeDocument/2006/bibliography"/>
  </ds:schemaRefs>
</ds:datastoreItem>
</file>

<file path=customXml/itemProps3.xml><?xml version="1.0" encoding="utf-8"?>
<ds:datastoreItem xmlns:ds="http://schemas.openxmlformats.org/officeDocument/2006/customXml" ds:itemID="{EA286ED9-2092-47E5-9888-ADCCA2FB2155}">
  <ds:schemaRefs>
    <ds:schemaRef ds:uri="http://schemas.microsoft.com/sharepoint/v3/contenttype/forms"/>
  </ds:schemaRefs>
</ds:datastoreItem>
</file>

<file path=customXml/itemProps4.xml><?xml version="1.0" encoding="utf-8"?>
<ds:datastoreItem xmlns:ds="http://schemas.openxmlformats.org/officeDocument/2006/customXml" ds:itemID="{1C765DF8-2F76-4EC3-9FC9-04AE713C1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1076</Words>
  <Characters>6246</Characters>
  <Application>Microsoft Office Word</Application>
  <DocSecurity>0</DocSecurity>
  <Lines>89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 Erik (GROW-EXT)</dc:creator>
  <cp:keywords/>
  <dc:description/>
  <cp:lastModifiedBy>ROSSI Simona (SG)</cp:lastModifiedBy>
  <cp:revision>3</cp:revision>
  <dcterms:created xsi:type="dcterms:W3CDTF">2026-07-10T09:35:00Z</dcterms:created>
  <dcterms:modified xsi:type="dcterms:W3CDTF">2026-07-10T09:37:00Z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0x01010078D2C354A9B80F4897019BC7E2880A88</vt:lpwstr>
  </property>
  <property fmtid="{D5CDD505-2E9C-101B-9397-08002B2CF9AE}" pid="3" name="MSIP_Label_6bd9ddd1-4d20-43f6-abfa-fc3c07406f94_Enabled">
    <vt:lpwstr>true</vt:lpwstr>
  </property>
  <property fmtid="{D5CDD505-2E9C-101B-9397-08002B2CF9AE}" pid="4" name="MSIP_Label_6bd9ddd1-4d20-43f6-abfa-fc3c07406f94_SetDate">
    <vt:lpwstr>2026-03-24T14:01:04Z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144bd125-5330-4339-a124-e40200fd50bc</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ies>
</file>