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9300"/>
      </w:tblGrid>
      <w:tr w:rsidR="762D9B24" w14:paraId="6823D294" w14:textId="77777777" w:rsidTr="7F0570DB">
        <w:trPr>
          <w:trHeight w:val="300"/>
        </w:trPr>
        <w:tc>
          <w:tcPr>
            <w:tcW w:w="9300" w:type="dxa"/>
            <w:tcBorders>
              <w:top w:val="double" w:sz="6" w:space="0" w:color="auto"/>
              <w:left w:val="double" w:sz="6" w:space="0" w:color="auto"/>
              <w:bottom w:val="single" w:sz="6" w:space="0" w:color="auto"/>
              <w:right w:val="double" w:sz="6" w:space="0" w:color="auto"/>
            </w:tcBorders>
            <w:tcMar>
              <w:left w:w="90" w:type="dxa"/>
              <w:right w:w="90" w:type="dxa"/>
            </w:tcMar>
          </w:tcPr>
          <w:p w14:paraId="73FE87AE" w14:textId="3927A5C5" w:rsidR="4DDFADA6" w:rsidRDefault="072AE02E" w:rsidP="6B8B62F7">
            <w:pPr>
              <w:spacing w:before="120" w:after="120" w:line="276" w:lineRule="auto"/>
              <w:rPr>
                <w:rFonts w:ascii="Times New Roman" w:eastAsia="Times New Roman" w:hAnsi="Times New Roman" w:cs="Times New Roman"/>
                <w:color w:val="000000" w:themeColor="text1"/>
              </w:rPr>
            </w:pPr>
            <w:r w:rsidRPr="6B8B62F7">
              <w:rPr>
                <w:rFonts w:ascii="Times New Roman" w:eastAsia="Times New Roman" w:hAnsi="Times New Roman" w:cs="Times New Roman"/>
                <w:b/>
                <w:bCs/>
                <w:color w:val="000000" w:themeColor="text1"/>
              </w:rPr>
              <w:t>Battery Booster Strategy</w:t>
            </w:r>
            <w:r w:rsidR="4DDFADA6">
              <w:br/>
            </w:r>
            <w:r w:rsidR="45DBB1CE" w:rsidRPr="6B8B62F7">
              <w:rPr>
                <w:rFonts w:ascii="Times New Roman" w:eastAsia="Times New Roman" w:hAnsi="Times New Roman" w:cs="Times New Roman"/>
                <w:b/>
                <w:bCs/>
                <w:color w:val="000000" w:themeColor="text1"/>
                <w:lang w:val="en-GB"/>
              </w:rPr>
              <w:t>(</w:t>
            </w:r>
            <w:r w:rsidR="26E7514C" w:rsidRPr="6B8B62F7">
              <w:rPr>
                <w:rFonts w:ascii="Times New Roman" w:eastAsia="Times New Roman" w:hAnsi="Times New Roman" w:cs="Times New Roman"/>
                <w:b/>
                <w:bCs/>
                <w:color w:val="000000" w:themeColor="text1"/>
                <w:lang w:val="en-GB"/>
              </w:rPr>
              <w:t>optional</w:t>
            </w:r>
            <w:r w:rsidR="45DBB1CE" w:rsidRPr="6B8B62F7">
              <w:rPr>
                <w:rFonts w:ascii="Times New Roman" w:eastAsia="Times New Roman" w:hAnsi="Times New Roman" w:cs="Times New Roman"/>
                <w:b/>
                <w:bCs/>
                <w:color w:val="000000" w:themeColor="text1"/>
                <w:lang w:val="en-GB"/>
              </w:rPr>
              <w:t xml:space="preserve"> opinion)</w:t>
            </w:r>
            <w:r w:rsidR="4DDFADA6">
              <w:br/>
            </w:r>
            <w:proofErr w:type="gramStart"/>
            <w:r w:rsidR="239EE386" w:rsidRPr="6B8B62F7">
              <w:rPr>
                <w:rFonts w:ascii="Times New Roman" w:eastAsia="Times New Roman" w:hAnsi="Times New Roman" w:cs="Times New Roman"/>
                <w:b/>
                <w:bCs/>
                <w:sz w:val="22"/>
                <w:szCs w:val="22"/>
                <w:lang w:val="en-GB"/>
              </w:rPr>
              <w:t>C(</w:t>
            </w:r>
            <w:proofErr w:type="gramEnd"/>
            <w:r w:rsidR="239EE386" w:rsidRPr="6B8B62F7">
              <w:rPr>
                <w:rFonts w:ascii="Times New Roman" w:eastAsia="Times New Roman" w:hAnsi="Times New Roman" w:cs="Times New Roman"/>
                <w:b/>
                <w:bCs/>
                <w:sz w:val="22"/>
                <w:szCs w:val="22"/>
                <w:lang w:val="en-GB"/>
              </w:rPr>
              <w:t>2025) 8950 final</w:t>
            </w:r>
            <w:r w:rsidR="4DDFADA6">
              <w:br/>
            </w:r>
            <w:r w:rsidR="45DBB1CE" w:rsidRPr="6B8B62F7">
              <w:rPr>
                <w:rFonts w:ascii="Times New Roman" w:eastAsia="Times New Roman" w:hAnsi="Times New Roman" w:cs="Times New Roman"/>
                <w:b/>
                <w:bCs/>
                <w:color w:val="000000" w:themeColor="text1"/>
              </w:rPr>
              <w:t>EESC-202</w:t>
            </w:r>
            <w:r w:rsidR="060582C8" w:rsidRPr="6B8B62F7">
              <w:rPr>
                <w:rFonts w:ascii="Times New Roman" w:eastAsia="Times New Roman" w:hAnsi="Times New Roman" w:cs="Times New Roman"/>
                <w:b/>
                <w:bCs/>
                <w:color w:val="000000" w:themeColor="text1"/>
              </w:rPr>
              <w:t>6</w:t>
            </w:r>
            <w:r w:rsidR="45DBB1CE" w:rsidRPr="6B8B62F7">
              <w:rPr>
                <w:rFonts w:ascii="Times New Roman" w:eastAsia="Times New Roman" w:hAnsi="Times New Roman" w:cs="Times New Roman"/>
                <w:b/>
                <w:bCs/>
                <w:color w:val="000000" w:themeColor="text1"/>
              </w:rPr>
              <w:t>-</w:t>
            </w:r>
            <w:r w:rsidR="45DBB1CE" w:rsidRPr="6B8B62F7">
              <w:rPr>
                <w:rFonts w:ascii="Times New Roman" w:eastAsia="Times New Roman" w:hAnsi="Times New Roman" w:cs="Times New Roman"/>
                <w:b/>
                <w:bCs/>
                <w:color w:val="000000" w:themeColor="text1"/>
                <w:lang w:val="en-GB"/>
              </w:rPr>
              <w:t>0</w:t>
            </w:r>
            <w:r w:rsidR="115FC33B" w:rsidRPr="6B8B62F7">
              <w:rPr>
                <w:rFonts w:ascii="Times New Roman" w:eastAsia="Times New Roman" w:hAnsi="Times New Roman" w:cs="Times New Roman"/>
                <w:b/>
                <w:bCs/>
                <w:color w:val="000000" w:themeColor="text1"/>
                <w:lang w:val="en-GB"/>
              </w:rPr>
              <w:t>0017</w:t>
            </w:r>
            <w:r w:rsidR="45DBB1CE" w:rsidRPr="6B8B62F7">
              <w:rPr>
                <w:rFonts w:ascii="Times New Roman" w:eastAsia="Times New Roman" w:hAnsi="Times New Roman" w:cs="Times New Roman"/>
                <w:b/>
                <w:bCs/>
                <w:color w:val="000000" w:themeColor="text1"/>
                <w:lang w:val="en-GB"/>
              </w:rPr>
              <w:t xml:space="preserve"> ‒ </w:t>
            </w:r>
            <w:r w:rsidR="5D886B74" w:rsidRPr="6B8B62F7">
              <w:rPr>
                <w:rFonts w:ascii="Times New Roman" w:eastAsia="Times New Roman" w:hAnsi="Times New Roman" w:cs="Times New Roman"/>
                <w:b/>
                <w:bCs/>
                <w:color w:val="000000" w:themeColor="text1"/>
                <w:lang w:val="en-GB"/>
              </w:rPr>
              <w:t>CCMI</w:t>
            </w:r>
            <w:r w:rsidR="45DBB1CE" w:rsidRPr="6B8B62F7">
              <w:rPr>
                <w:rFonts w:ascii="Times New Roman" w:eastAsia="Times New Roman" w:hAnsi="Times New Roman" w:cs="Times New Roman"/>
                <w:b/>
                <w:bCs/>
                <w:color w:val="000000" w:themeColor="text1"/>
                <w:lang w:val="en-GB"/>
              </w:rPr>
              <w:t>/</w:t>
            </w:r>
            <w:r w:rsidR="51401473" w:rsidRPr="6B8B62F7">
              <w:rPr>
                <w:rFonts w:ascii="Times New Roman" w:eastAsia="Times New Roman" w:hAnsi="Times New Roman" w:cs="Times New Roman"/>
                <w:b/>
                <w:bCs/>
                <w:color w:val="000000" w:themeColor="text1"/>
                <w:lang w:val="en-GB"/>
              </w:rPr>
              <w:t>252</w:t>
            </w:r>
            <w:r w:rsidR="4DDFADA6">
              <w:br/>
            </w:r>
            <w:r w:rsidR="45DBB1CE" w:rsidRPr="6B8B62F7">
              <w:rPr>
                <w:rFonts w:ascii="Times New Roman" w:eastAsia="Times New Roman" w:hAnsi="Times New Roman" w:cs="Times New Roman"/>
                <w:b/>
                <w:bCs/>
                <w:color w:val="000000" w:themeColor="text1"/>
                <w:lang w:val="en-GB"/>
              </w:rPr>
              <w:t>60</w:t>
            </w:r>
            <w:r w:rsidR="57A794B0" w:rsidRPr="6B8B62F7">
              <w:rPr>
                <w:rFonts w:ascii="Times New Roman" w:eastAsia="Times New Roman" w:hAnsi="Times New Roman" w:cs="Times New Roman"/>
                <w:b/>
                <w:bCs/>
                <w:color w:val="000000" w:themeColor="text1"/>
                <w:lang w:val="en-GB"/>
              </w:rPr>
              <w:t>4</w:t>
            </w:r>
            <w:r w:rsidR="00C40150" w:rsidRPr="00826835">
              <w:rPr>
                <w:rFonts w:ascii="Times New Roman" w:eastAsia="Times New Roman" w:hAnsi="Times New Roman" w:cs="Times New Roman"/>
                <w:b/>
                <w:bCs/>
                <w:color w:val="000000" w:themeColor="text1"/>
                <w:vertAlign w:val="superscript"/>
                <w:lang w:val="en-GB"/>
              </w:rPr>
              <w:t>th</w:t>
            </w:r>
            <w:r w:rsidR="45DBB1CE" w:rsidRPr="6B8B62F7">
              <w:rPr>
                <w:rFonts w:ascii="Times New Roman" w:eastAsia="Times New Roman" w:hAnsi="Times New Roman" w:cs="Times New Roman"/>
                <w:b/>
                <w:bCs/>
                <w:color w:val="000000" w:themeColor="text1"/>
                <w:lang w:val="en-GB"/>
              </w:rPr>
              <w:t xml:space="preserve"> Plenary Session – </w:t>
            </w:r>
            <w:r w:rsidR="0848BD54" w:rsidRPr="6B8B62F7">
              <w:rPr>
                <w:rFonts w:ascii="Times New Roman" w:eastAsia="Times New Roman" w:hAnsi="Times New Roman" w:cs="Times New Roman"/>
                <w:b/>
                <w:bCs/>
                <w:color w:val="000000" w:themeColor="text1"/>
                <w:lang w:val="en-GB"/>
              </w:rPr>
              <w:t xml:space="preserve">March </w:t>
            </w:r>
            <w:r w:rsidR="45DBB1CE" w:rsidRPr="6B8B62F7">
              <w:rPr>
                <w:rFonts w:ascii="Times New Roman" w:eastAsia="Times New Roman" w:hAnsi="Times New Roman" w:cs="Times New Roman"/>
                <w:b/>
                <w:bCs/>
                <w:color w:val="000000" w:themeColor="text1"/>
                <w:lang w:val="en-GB"/>
              </w:rPr>
              <w:t>2026</w:t>
            </w:r>
            <w:r w:rsidR="4DDFADA6">
              <w:br/>
            </w:r>
            <w:r w:rsidR="45DBB1CE" w:rsidRPr="6B8B62F7">
              <w:rPr>
                <w:rFonts w:ascii="Times New Roman" w:eastAsia="Times New Roman" w:hAnsi="Times New Roman" w:cs="Times New Roman"/>
                <w:b/>
                <w:bCs/>
                <w:color w:val="000000" w:themeColor="text1"/>
                <w:lang w:val="en-GB"/>
              </w:rPr>
              <w:t>Rapporteur:</w:t>
            </w:r>
            <w:r w:rsidR="2CB1DB04" w:rsidRPr="6B8B62F7">
              <w:rPr>
                <w:rFonts w:ascii="Times New Roman" w:eastAsia="Times New Roman" w:hAnsi="Times New Roman" w:cs="Times New Roman"/>
                <w:b/>
                <w:bCs/>
                <w:color w:val="000000" w:themeColor="text1"/>
                <w:lang w:val="en-GB"/>
              </w:rPr>
              <w:t xml:space="preserve"> Jason DEGUARA</w:t>
            </w:r>
            <w:r w:rsidR="45DBB1CE" w:rsidRPr="6B8B62F7">
              <w:rPr>
                <w:rFonts w:ascii="Times New Roman" w:eastAsia="Times New Roman" w:hAnsi="Times New Roman" w:cs="Times New Roman"/>
                <w:b/>
                <w:bCs/>
                <w:color w:val="000000" w:themeColor="text1"/>
                <w:lang w:val="en-GB"/>
              </w:rPr>
              <w:t xml:space="preserve"> </w:t>
            </w:r>
            <w:r w:rsidR="45DBB1CE" w:rsidRPr="6B8B62F7">
              <w:rPr>
                <w:rFonts w:ascii="Times New Roman" w:eastAsia="Times New Roman" w:hAnsi="Times New Roman" w:cs="Times New Roman"/>
                <w:b/>
                <w:bCs/>
                <w:color w:val="000000" w:themeColor="text1"/>
              </w:rPr>
              <w:t>(</w:t>
            </w:r>
            <w:r w:rsidR="107D982F" w:rsidRPr="6B8B62F7">
              <w:rPr>
                <w:rFonts w:ascii="Times New Roman" w:eastAsia="Times New Roman" w:hAnsi="Times New Roman" w:cs="Times New Roman"/>
                <w:b/>
                <w:bCs/>
                <w:color w:val="000000" w:themeColor="text1"/>
              </w:rPr>
              <w:t>MT</w:t>
            </w:r>
            <w:r w:rsidR="45DBB1CE" w:rsidRPr="6B8B62F7">
              <w:rPr>
                <w:rFonts w:ascii="Times New Roman" w:eastAsia="Times New Roman" w:hAnsi="Times New Roman" w:cs="Times New Roman"/>
                <w:b/>
                <w:bCs/>
                <w:color w:val="000000" w:themeColor="text1"/>
              </w:rPr>
              <w:t>-</w:t>
            </w:r>
            <w:r w:rsidR="7B2C2582" w:rsidRPr="6B8B62F7">
              <w:rPr>
                <w:rFonts w:ascii="Times New Roman" w:eastAsia="Times New Roman" w:hAnsi="Times New Roman" w:cs="Times New Roman"/>
                <w:b/>
                <w:bCs/>
                <w:color w:val="000000" w:themeColor="text1"/>
              </w:rPr>
              <w:t>II</w:t>
            </w:r>
            <w:r w:rsidR="45DBB1CE" w:rsidRPr="6B8B62F7">
              <w:rPr>
                <w:rFonts w:ascii="Times New Roman" w:eastAsia="Times New Roman" w:hAnsi="Times New Roman" w:cs="Times New Roman"/>
                <w:b/>
                <w:bCs/>
                <w:color w:val="000000" w:themeColor="text1"/>
              </w:rPr>
              <w:t>)</w:t>
            </w:r>
            <w:r w:rsidR="4DDFADA6">
              <w:br/>
            </w:r>
            <w:r w:rsidR="3485CC48" w:rsidRPr="6B8B62F7">
              <w:rPr>
                <w:rFonts w:ascii="Times New Roman" w:eastAsia="Times New Roman" w:hAnsi="Times New Roman" w:cs="Times New Roman"/>
                <w:b/>
                <w:bCs/>
                <w:color w:val="000000" w:themeColor="text1"/>
              </w:rPr>
              <w:t>Co-rapporteur: Marco MENSINK (NL</w:t>
            </w:r>
            <w:r w:rsidR="00C40150">
              <w:rPr>
                <w:rFonts w:ascii="Times New Roman" w:eastAsia="Times New Roman" w:hAnsi="Times New Roman" w:cs="Times New Roman"/>
                <w:b/>
                <w:bCs/>
                <w:color w:val="000000" w:themeColor="text1"/>
              </w:rPr>
              <w:t>-I</w:t>
            </w:r>
            <w:r w:rsidR="3485CC48" w:rsidRPr="6B8B62F7">
              <w:rPr>
                <w:rFonts w:ascii="Times New Roman" w:eastAsia="Times New Roman" w:hAnsi="Times New Roman" w:cs="Times New Roman"/>
                <w:b/>
                <w:bCs/>
                <w:color w:val="000000" w:themeColor="text1"/>
              </w:rPr>
              <w:t>)</w:t>
            </w:r>
            <w:r w:rsidR="4DDFADA6">
              <w:br/>
            </w:r>
            <w:r w:rsidR="45DBB1CE" w:rsidRPr="6B8B62F7">
              <w:rPr>
                <w:rFonts w:ascii="Times New Roman" w:eastAsia="Times New Roman" w:hAnsi="Times New Roman" w:cs="Times New Roman"/>
                <w:b/>
                <w:bCs/>
                <w:color w:val="000000" w:themeColor="text1"/>
                <w:lang w:val="en-GB"/>
              </w:rPr>
              <w:t xml:space="preserve">DG GROW – Executive Vice-President SÉJOURNÉ </w:t>
            </w:r>
          </w:p>
        </w:tc>
      </w:tr>
      <w:tr w:rsidR="762D9B24" w14:paraId="55EECF52" w14:textId="77777777" w:rsidTr="7F0570DB">
        <w:trPr>
          <w:trHeight w:val="615"/>
        </w:trPr>
        <w:tc>
          <w:tcPr>
            <w:tcW w:w="9300" w:type="dxa"/>
            <w:tcBorders>
              <w:top w:val="single" w:sz="6" w:space="0" w:color="auto"/>
              <w:left w:val="double" w:sz="6" w:space="0" w:color="auto"/>
              <w:bottom w:val="single" w:sz="2" w:space="0" w:color="000000" w:themeColor="text1"/>
              <w:right w:val="double" w:sz="6" w:space="0" w:color="auto"/>
            </w:tcBorders>
            <w:tcMar>
              <w:left w:w="90" w:type="dxa"/>
              <w:right w:w="90" w:type="dxa"/>
            </w:tcMar>
          </w:tcPr>
          <w:p w14:paraId="4343BAE3" w14:textId="6BAF6BF5" w:rsidR="762D9B24" w:rsidRDefault="762D9B24" w:rsidP="762D9B24">
            <w:pPr>
              <w:spacing w:before="120" w:after="120" w:line="276" w:lineRule="auto"/>
              <w:jc w:val="center"/>
              <w:rPr>
                <w:rFonts w:ascii="Times New Roman" w:eastAsia="Times New Roman" w:hAnsi="Times New Roman" w:cs="Times New Roman"/>
                <w:color w:val="000000" w:themeColor="text1"/>
              </w:rPr>
            </w:pPr>
            <w:r w:rsidRPr="762D9B24">
              <w:rPr>
                <w:rFonts w:ascii="Times New Roman" w:eastAsia="Times New Roman" w:hAnsi="Times New Roman" w:cs="Times New Roman"/>
                <w:b/>
                <w:bCs/>
                <w:color w:val="000000" w:themeColor="text1"/>
                <w:lang w:val="en-GB"/>
              </w:rPr>
              <w:t>European Commission position on points</w:t>
            </w:r>
            <w:r>
              <w:br/>
            </w:r>
            <w:r w:rsidRPr="762D9B24">
              <w:rPr>
                <w:rFonts w:ascii="Times New Roman" w:eastAsia="Times New Roman" w:hAnsi="Times New Roman" w:cs="Times New Roman"/>
                <w:b/>
                <w:bCs/>
                <w:color w:val="000000" w:themeColor="text1"/>
                <w:lang w:val="en-GB"/>
              </w:rPr>
              <w:t>of the European Economic and Social Committee (EESC) opinion considered as essential</w:t>
            </w:r>
          </w:p>
        </w:tc>
      </w:tr>
      <w:tr w:rsidR="762D9B24" w14:paraId="23CE7B5C" w14:textId="77777777" w:rsidTr="7F0570DB">
        <w:trPr>
          <w:trHeight w:val="795"/>
        </w:trPr>
        <w:tc>
          <w:tcPr>
            <w:tcW w:w="9300" w:type="dxa"/>
            <w:tcBorders>
              <w:top w:val="single" w:sz="2" w:space="0" w:color="000000" w:themeColor="text1"/>
              <w:left w:val="double" w:sz="6" w:space="0" w:color="000000" w:themeColor="text1"/>
              <w:bottom w:val="double" w:sz="6" w:space="0" w:color="000000" w:themeColor="text1"/>
              <w:right w:val="double" w:sz="6" w:space="0" w:color="000000" w:themeColor="text1"/>
            </w:tcBorders>
            <w:tcMar>
              <w:left w:w="90" w:type="dxa"/>
              <w:right w:w="90" w:type="dxa"/>
            </w:tcMar>
          </w:tcPr>
          <w:p w14:paraId="65616F64" w14:textId="2FCA5163" w:rsidR="0FFD5425" w:rsidRDefault="0FFD5425" w:rsidP="33FE9364">
            <w:pPr>
              <w:spacing w:before="120" w:after="120" w:line="278" w:lineRule="auto"/>
              <w:jc w:val="both"/>
              <w:rPr>
                <w:rFonts w:ascii="Times New Roman" w:eastAsia="Times New Roman" w:hAnsi="Times New Roman" w:cs="Times New Roman"/>
                <w:color w:val="000000" w:themeColor="text1"/>
              </w:rPr>
            </w:pPr>
            <w:r w:rsidRPr="33FE9364">
              <w:rPr>
                <w:rFonts w:ascii="Times New Roman" w:eastAsia="Times New Roman" w:hAnsi="Times New Roman" w:cs="Times New Roman"/>
                <w:color w:val="000000" w:themeColor="text1"/>
              </w:rPr>
              <w:t xml:space="preserve">The Commission acknowledges the insightful opinion </w:t>
            </w:r>
            <w:r w:rsidR="551614E8" w:rsidRPr="33FE9364">
              <w:rPr>
                <w:rFonts w:ascii="Times New Roman" w:eastAsia="Times New Roman" w:hAnsi="Times New Roman" w:cs="Times New Roman"/>
                <w:color w:val="000000" w:themeColor="text1"/>
              </w:rPr>
              <w:t>on</w:t>
            </w:r>
            <w:r w:rsidRPr="33FE9364">
              <w:rPr>
                <w:rFonts w:ascii="Times New Roman" w:eastAsia="Times New Roman" w:hAnsi="Times New Roman" w:cs="Times New Roman"/>
                <w:color w:val="000000" w:themeColor="text1"/>
              </w:rPr>
              <w:t xml:space="preserve"> the Battery Booster Strategy</w:t>
            </w:r>
            <w:r w:rsidR="00C40150">
              <w:rPr>
                <w:rStyle w:val="FootnoteReference"/>
                <w:rFonts w:ascii="Times New Roman" w:eastAsia="Times New Roman" w:hAnsi="Times New Roman" w:cs="Times New Roman"/>
                <w:color w:val="000000" w:themeColor="text1"/>
              </w:rPr>
              <w:footnoteReference w:id="1"/>
            </w:r>
            <w:r w:rsidRPr="33FE9364">
              <w:rPr>
                <w:rFonts w:ascii="Times New Roman" w:eastAsia="Times New Roman" w:hAnsi="Times New Roman" w:cs="Times New Roman"/>
                <w:color w:val="000000" w:themeColor="text1"/>
              </w:rPr>
              <w:t xml:space="preserve">, and thanks the </w:t>
            </w:r>
            <w:r w:rsidR="479C8054" w:rsidRPr="33FE9364">
              <w:rPr>
                <w:rFonts w:ascii="Times New Roman" w:eastAsia="Times New Roman" w:hAnsi="Times New Roman" w:cs="Times New Roman"/>
                <w:color w:val="000000" w:themeColor="text1"/>
              </w:rPr>
              <w:t>Committee</w:t>
            </w:r>
            <w:r w:rsidRPr="33FE9364">
              <w:rPr>
                <w:rFonts w:ascii="Times New Roman" w:eastAsia="Times New Roman" w:hAnsi="Times New Roman" w:cs="Times New Roman"/>
                <w:color w:val="000000" w:themeColor="text1"/>
              </w:rPr>
              <w:t xml:space="preserve"> for its comprehensive analysis and recommendations on this communication.</w:t>
            </w:r>
          </w:p>
          <w:p w14:paraId="30284BF2" w14:textId="5ECF3004" w:rsidR="00F261F5" w:rsidRPr="000233A6" w:rsidRDefault="00FF08AD" w:rsidP="00F261F5">
            <w:pPr>
              <w:pStyle w:val="ListParagraph"/>
              <w:numPr>
                <w:ilvl w:val="0"/>
                <w:numId w:val="1"/>
              </w:numPr>
              <w:spacing w:before="120" w:after="120" w:line="278" w:lineRule="auto"/>
              <w:jc w:val="both"/>
              <w:rPr>
                <w:rFonts w:ascii="Times New Roman" w:eastAsia="Times New Roman" w:hAnsi="Times New Roman" w:cs="Times New Roman"/>
                <w:b/>
                <w:bCs/>
                <w:color w:val="000000" w:themeColor="text1"/>
              </w:rPr>
            </w:pPr>
            <w:r w:rsidRPr="000233A6">
              <w:rPr>
                <w:rFonts w:ascii="Times New Roman" w:eastAsia="Times New Roman" w:hAnsi="Times New Roman" w:cs="Times New Roman"/>
                <w:b/>
                <w:bCs/>
                <w:color w:val="000000" w:themeColor="text1"/>
              </w:rPr>
              <w:t>S</w:t>
            </w:r>
            <w:r w:rsidR="00A13B2B" w:rsidRPr="000233A6">
              <w:rPr>
                <w:rFonts w:ascii="Times New Roman" w:eastAsia="Times New Roman" w:hAnsi="Times New Roman" w:cs="Times New Roman"/>
                <w:b/>
                <w:bCs/>
                <w:color w:val="000000" w:themeColor="text1"/>
              </w:rPr>
              <w:t>upport to the battery value chain</w:t>
            </w:r>
          </w:p>
          <w:p w14:paraId="76BBCE06" w14:textId="2FE6569D" w:rsidR="0051573B" w:rsidRPr="0051573B" w:rsidRDefault="03AA34D8" w:rsidP="7987ADFC">
            <w:pPr>
              <w:spacing w:before="120" w:after="120" w:line="278" w:lineRule="auto"/>
              <w:jc w:val="both"/>
              <w:rPr>
                <w:rFonts w:ascii="Times New Roman" w:eastAsia="Times New Roman" w:hAnsi="Times New Roman" w:cs="Times New Roman"/>
                <w:color w:val="000000" w:themeColor="text1"/>
              </w:rPr>
            </w:pPr>
            <w:r w:rsidRPr="7F0570DB">
              <w:rPr>
                <w:rFonts w:ascii="Times New Roman" w:eastAsia="Times New Roman" w:hAnsi="Times New Roman" w:cs="Times New Roman"/>
                <w:color w:val="000000" w:themeColor="text1"/>
              </w:rPr>
              <w:t xml:space="preserve">The </w:t>
            </w:r>
            <w:r w:rsidR="360BE19D" w:rsidRPr="7F0570DB">
              <w:rPr>
                <w:rFonts w:ascii="Times New Roman" w:eastAsia="Times New Roman" w:hAnsi="Times New Roman" w:cs="Times New Roman"/>
                <w:color w:val="000000" w:themeColor="text1"/>
              </w:rPr>
              <w:t xml:space="preserve">Battery Booster Facility is aimed at supporting </w:t>
            </w:r>
            <w:r w:rsidR="36240811" w:rsidRPr="7F0570DB">
              <w:rPr>
                <w:rFonts w:ascii="Times New Roman" w:eastAsia="Times New Roman" w:hAnsi="Times New Roman" w:cs="Times New Roman"/>
                <w:color w:val="000000" w:themeColor="text1"/>
              </w:rPr>
              <w:t>battery cell manufacturing projects currently in the ramp-up phase</w:t>
            </w:r>
            <w:r w:rsidR="5B084AAB" w:rsidRPr="7F0570DB">
              <w:rPr>
                <w:rFonts w:ascii="Times New Roman" w:eastAsia="Times New Roman" w:hAnsi="Times New Roman" w:cs="Times New Roman"/>
                <w:color w:val="000000" w:themeColor="text1"/>
              </w:rPr>
              <w:t xml:space="preserve"> through interest-free loans and a total budget of EUR 1.5 billion</w:t>
            </w:r>
            <w:r w:rsidR="00783AC4" w:rsidRPr="7F0570DB">
              <w:rPr>
                <w:rFonts w:ascii="Times New Roman" w:eastAsia="Times New Roman" w:hAnsi="Times New Roman" w:cs="Times New Roman"/>
                <w:color w:val="000000" w:themeColor="text1"/>
              </w:rPr>
              <w:t xml:space="preserve"> from the Innovation Fund</w:t>
            </w:r>
            <w:r w:rsidR="36240811" w:rsidRPr="7F0570DB">
              <w:rPr>
                <w:rFonts w:ascii="Times New Roman" w:eastAsia="Times New Roman" w:hAnsi="Times New Roman" w:cs="Times New Roman"/>
                <w:color w:val="000000" w:themeColor="text1"/>
              </w:rPr>
              <w:t>. The</w:t>
            </w:r>
            <w:r w:rsidR="7BD5AA65" w:rsidRPr="7F0570DB">
              <w:rPr>
                <w:rFonts w:ascii="Times New Roman" w:eastAsia="Times New Roman" w:hAnsi="Times New Roman" w:cs="Times New Roman"/>
                <w:color w:val="000000" w:themeColor="text1"/>
              </w:rPr>
              <w:t xml:space="preserve"> </w:t>
            </w:r>
            <w:r w:rsidR="711E4BE0" w:rsidRPr="7F0570DB">
              <w:rPr>
                <w:rFonts w:ascii="Times New Roman" w:eastAsia="Times New Roman" w:hAnsi="Times New Roman" w:cs="Times New Roman"/>
                <w:color w:val="000000" w:themeColor="text1"/>
              </w:rPr>
              <w:t xml:space="preserve">goal is to ensure that </w:t>
            </w:r>
            <w:r w:rsidR="6917F54A" w:rsidRPr="7F0570DB">
              <w:rPr>
                <w:rFonts w:ascii="Times New Roman" w:eastAsia="Times New Roman" w:hAnsi="Times New Roman" w:cs="Times New Roman"/>
                <w:color w:val="000000" w:themeColor="text1"/>
              </w:rPr>
              <w:t xml:space="preserve">battery </w:t>
            </w:r>
            <w:r w:rsidR="711E4BE0" w:rsidRPr="7F0570DB">
              <w:rPr>
                <w:rFonts w:ascii="Times New Roman" w:eastAsia="Times New Roman" w:hAnsi="Times New Roman" w:cs="Times New Roman"/>
                <w:color w:val="000000" w:themeColor="text1"/>
              </w:rPr>
              <w:t xml:space="preserve">manufacturing projects </w:t>
            </w:r>
            <w:proofErr w:type="gramStart"/>
            <w:r w:rsidR="7B415861" w:rsidRPr="7F0570DB">
              <w:rPr>
                <w:rFonts w:ascii="Times New Roman" w:eastAsia="Times New Roman" w:hAnsi="Times New Roman" w:cs="Times New Roman"/>
                <w:color w:val="000000" w:themeColor="text1"/>
              </w:rPr>
              <w:t>are able to</w:t>
            </w:r>
            <w:proofErr w:type="gramEnd"/>
            <w:r w:rsidR="7B415861" w:rsidRPr="7F0570DB">
              <w:rPr>
                <w:rFonts w:ascii="Times New Roman" w:eastAsia="Times New Roman" w:hAnsi="Times New Roman" w:cs="Times New Roman"/>
                <w:color w:val="000000" w:themeColor="text1"/>
              </w:rPr>
              <w:t xml:space="preserve"> swiftly</w:t>
            </w:r>
            <w:r w:rsidR="711E4BE0" w:rsidRPr="7F0570DB">
              <w:rPr>
                <w:rFonts w:ascii="Times New Roman" w:eastAsia="Times New Roman" w:hAnsi="Times New Roman" w:cs="Times New Roman"/>
                <w:color w:val="000000" w:themeColor="text1"/>
              </w:rPr>
              <w:t xml:space="preserve"> </w:t>
            </w:r>
            <w:r w:rsidR="55AB7C36" w:rsidRPr="7F0570DB">
              <w:rPr>
                <w:rFonts w:ascii="Times New Roman" w:eastAsia="Times New Roman" w:hAnsi="Times New Roman" w:cs="Times New Roman"/>
                <w:color w:val="000000" w:themeColor="text1"/>
              </w:rPr>
              <w:t>ramp-up production</w:t>
            </w:r>
            <w:r w:rsidR="7B415861" w:rsidRPr="7F0570DB">
              <w:rPr>
                <w:rFonts w:ascii="Times New Roman" w:eastAsia="Times New Roman" w:hAnsi="Times New Roman" w:cs="Times New Roman"/>
                <w:color w:val="000000" w:themeColor="text1"/>
              </w:rPr>
              <w:t>, becoming competitive and</w:t>
            </w:r>
            <w:r w:rsidR="27B21B75" w:rsidRPr="7F0570DB">
              <w:rPr>
                <w:rFonts w:ascii="Times New Roman" w:eastAsia="Times New Roman" w:hAnsi="Times New Roman" w:cs="Times New Roman"/>
                <w:color w:val="000000" w:themeColor="text1"/>
              </w:rPr>
              <w:t xml:space="preserve"> strengthening Europe’s position in the global battery market</w:t>
            </w:r>
            <w:r w:rsidR="7B415861" w:rsidRPr="7F0570DB">
              <w:rPr>
                <w:rFonts w:ascii="Times New Roman" w:eastAsia="Times New Roman" w:hAnsi="Times New Roman" w:cs="Times New Roman"/>
                <w:color w:val="000000" w:themeColor="text1"/>
              </w:rPr>
              <w:t xml:space="preserve">. Projects at this stage are especially vulnerable to </w:t>
            </w:r>
            <w:r w:rsidR="7E4293D4" w:rsidRPr="7F0570DB">
              <w:rPr>
                <w:rFonts w:ascii="Times New Roman" w:eastAsia="Times New Roman" w:hAnsi="Times New Roman" w:cs="Times New Roman"/>
                <w:color w:val="000000" w:themeColor="text1"/>
              </w:rPr>
              <w:t>global overcapacities and fierce international price competition</w:t>
            </w:r>
            <w:r w:rsidR="3869EB0E" w:rsidRPr="7F0570DB">
              <w:rPr>
                <w:rFonts w:ascii="Times New Roman" w:eastAsia="Times New Roman" w:hAnsi="Times New Roman" w:cs="Times New Roman"/>
                <w:color w:val="000000" w:themeColor="text1"/>
              </w:rPr>
              <w:t xml:space="preserve"> due </w:t>
            </w:r>
            <w:r w:rsidR="7E4293D4" w:rsidRPr="7F0570DB">
              <w:rPr>
                <w:rFonts w:ascii="Times New Roman" w:eastAsia="Times New Roman" w:hAnsi="Times New Roman" w:cs="Times New Roman"/>
                <w:color w:val="000000" w:themeColor="text1"/>
              </w:rPr>
              <w:t>to the higher manufacturing costs</w:t>
            </w:r>
            <w:r w:rsidR="6FAC5ACE" w:rsidRPr="7F0570DB">
              <w:rPr>
                <w:rFonts w:ascii="Times New Roman" w:eastAsia="Times New Roman" w:hAnsi="Times New Roman" w:cs="Times New Roman"/>
                <w:color w:val="000000" w:themeColor="text1"/>
              </w:rPr>
              <w:t xml:space="preserve"> associated with the ramp-up phase</w:t>
            </w:r>
            <w:r w:rsidR="3869EB0E" w:rsidRPr="7F0570DB">
              <w:rPr>
                <w:rFonts w:ascii="Times New Roman" w:eastAsia="Times New Roman" w:hAnsi="Times New Roman" w:cs="Times New Roman"/>
                <w:color w:val="000000" w:themeColor="text1"/>
              </w:rPr>
              <w:t xml:space="preserve">, and this is why the Battery Booster Facility is </w:t>
            </w:r>
            <w:r w:rsidR="4C4F4247" w:rsidRPr="7F0570DB">
              <w:rPr>
                <w:rFonts w:ascii="Times New Roman" w:eastAsia="Times New Roman" w:hAnsi="Times New Roman" w:cs="Times New Roman"/>
                <w:color w:val="000000" w:themeColor="text1"/>
              </w:rPr>
              <w:t xml:space="preserve">tailored to </w:t>
            </w:r>
            <w:r w:rsidR="0A5C7321" w:rsidRPr="7F0570DB">
              <w:rPr>
                <w:rFonts w:ascii="Times New Roman" w:eastAsia="Times New Roman" w:hAnsi="Times New Roman" w:cs="Times New Roman"/>
                <w:color w:val="000000" w:themeColor="text1"/>
              </w:rPr>
              <w:t xml:space="preserve">those </w:t>
            </w:r>
            <w:r w:rsidR="4C4F4247" w:rsidRPr="7F0570DB">
              <w:rPr>
                <w:rFonts w:ascii="Times New Roman" w:eastAsia="Times New Roman" w:hAnsi="Times New Roman" w:cs="Times New Roman"/>
                <w:color w:val="000000" w:themeColor="text1"/>
              </w:rPr>
              <w:t xml:space="preserve">needs. </w:t>
            </w:r>
            <w:r w:rsidR="770C500E" w:rsidRPr="7F0570DB">
              <w:rPr>
                <w:rFonts w:ascii="Times New Roman" w:eastAsia="Times New Roman" w:hAnsi="Times New Roman" w:cs="Times New Roman"/>
                <w:color w:val="000000" w:themeColor="text1"/>
              </w:rPr>
              <w:t>A strong European battery cell manufacturing sector is indispensable</w:t>
            </w:r>
            <w:r w:rsidR="036C25F6" w:rsidRPr="7F0570DB">
              <w:rPr>
                <w:rFonts w:ascii="Times New Roman" w:eastAsia="Times New Roman" w:hAnsi="Times New Roman" w:cs="Times New Roman"/>
                <w:color w:val="000000" w:themeColor="text1"/>
              </w:rPr>
              <w:t xml:space="preserve"> </w:t>
            </w:r>
            <w:r w:rsidR="770C500E" w:rsidRPr="7F0570DB">
              <w:rPr>
                <w:rFonts w:ascii="Times New Roman" w:eastAsia="Times New Roman" w:hAnsi="Times New Roman" w:cs="Times New Roman"/>
                <w:color w:val="000000" w:themeColor="text1"/>
              </w:rPr>
              <w:t xml:space="preserve">not only for </w:t>
            </w:r>
            <w:r w:rsidR="036C25F6" w:rsidRPr="7F0570DB">
              <w:rPr>
                <w:rFonts w:ascii="Times New Roman" w:eastAsia="Times New Roman" w:hAnsi="Times New Roman" w:cs="Times New Roman"/>
                <w:color w:val="000000" w:themeColor="text1"/>
              </w:rPr>
              <w:t>the downstream sectors,</w:t>
            </w:r>
            <w:r w:rsidR="770C500E" w:rsidRPr="7F0570DB">
              <w:rPr>
                <w:rFonts w:ascii="Times New Roman" w:eastAsia="Times New Roman" w:hAnsi="Times New Roman" w:cs="Times New Roman"/>
                <w:color w:val="000000" w:themeColor="text1"/>
              </w:rPr>
              <w:t xml:space="preserve"> but also as the foundation for demand across the entire upstream value chain. Without </w:t>
            </w:r>
            <w:r w:rsidR="036C25F6" w:rsidRPr="7F0570DB">
              <w:rPr>
                <w:rFonts w:ascii="Times New Roman" w:eastAsia="Times New Roman" w:hAnsi="Times New Roman" w:cs="Times New Roman"/>
                <w:color w:val="000000" w:themeColor="text1"/>
              </w:rPr>
              <w:t>securing this critical step of the value chain</w:t>
            </w:r>
            <w:r w:rsidR="770C500E" w:rsidRPr="7F0570DB">
              <w:rPr>
                <w:rFonts w:ascii="Times New Roman" w:eastAsia="Times New Roman" w:hAnsi="Times New Roman" w:cs="Times New Roman"/>
                <w:color w:val="000000" w:themeColor="text1"/>
              </w:rPr>
              <w:t>, the broader battery ecosystem risks</w:t>
            </w:r>
            <w:r w:rsidR="0E4ECB36" w:rsidRPr="7F0570DB">
              <w:rPr>
                <w:rFonts w:ascii="Times New Roman" w:eastAsia="Times New Roman" w:hAnsi="Times New Roman" w:cs="Times New Roman"/>
                <w:color w:val="000000" w:themeColor="text1"/>
              </w:rPr>
              <w:t xml:space="preserve"> </w:t>
            </w:r>
            <w:r w:rsidR="695654C9" w:rsidRPr="7F0570DB">
              <w:rPr>
                <w:rFonts w:ascii="Times New Roman" w:eastAsia="Times New Roman" w:hAnsi="Times New Roman" w:cs="Times New Roman"/>
                <w:color w:val="000000" w:themeColor="text1"/>
              </w:rPr>
              <w:t>losing</w:t>
            </w:r>
            <w:r w:rsidR="0E4ECB36" w:rsidRPr="7F0570DB">
              <w:rPr>
                <w:rFonts w:ascii="Times New Roman" w:eastAsia="Times New Roman" w:hAnsi="Times New Roman" w:cs="Times New Roman"/>
                <w:color w:val="000000" w:themeColor="text1"/>
              </w:rPr>
              <w:t xml:space="preserve"> </w:t>
            </w:r>
            <w:r w:rsidR="6FA37C91" w:rsidRPr="7F0570DB">
              <w:rPr>
                <w:rFonts w:ascii="Times New Roman" w:eastAsia="Times New Roman" w:hAnsi="Times New Roman" w:cs="Times New Roman"/>
                <w:color w:val="000000" w:themeColor="text1"/>
              </w:rPr>
              <w:t xml:space="preserve">key </w:t>
            </w:r>
            <w:r w:rsidR="0E4ECB36" w:rsidRPr="7F0570DB">
              <w:rPr>
                <w:rFonts w:ascii="Times New Roman" w:eastAsia="Times New Roman" w:hAnsi="Times New Roman" w:cs="Times New Roman"/>
                <w:color w:val="000000" w:themeColor="text1"/>
              </w:rPr>
              <w:t>offtake agreements</w:t>
            </w:r>
            <w:r w:rsidR="16BBF912" w:rsidRPr="7F0570DB">
              <w:rPr>
                <w:rFonts w:ascii="Times New Roman" w:eastAsia="Times New Roman" w:hAnsi="Times New Roman" w:cs="Times New Roman"/>
                <w:color w:val="000000" w:themeColor="text1"/>
              </w:rPr>
              <w:t xml:space="preserve"> which will drive investments into the sector</w:t>
            </w:r>
            <w:r w:rsidR="4E89B8FC" w:rsidRPr="7F0570DB">
              <w:rPr>
                <w:rFonts w:ascii="Times New Roman" w:eastAsia="Times New Roman" w:hAnsi="Times New Roman" w:cs="Times New Roman"/>
                <w:color w:val="000000" w:themeColor="text1"/>
              </w:rPr>
              <w:t>. This makes the Battery Booster Facility’s</w:t>
            </w:r>
            <w:r w:rsidR="770C500E" w:rsidRPr="7F0570DB">
              <w:rPr>
                <w:rFonts w:ascii="Times New Roman" w:eastAsia="Times New Roman" w:hAnsi="Times New Roman" w:cs="Times New Roman"/>
                <w:color w:val="000000" w:themeColor="text1"/>
              </w:rPr>
              <w:t xml:space="preserve"> targeted intervention vital for securing the </w:t>
            </w:r>
            <w:r w:rsidR="14C9B39B" w:rsidRPr="7F0570DB">
              <w:rPr>
                <w:rFonts w:ascii="Times New Roman" w:eastAsia="Times New Roman" w:hAnsi="Times New Roman" w:cs="Times New Roman"/>
                <w:color w:val="000000" w:themeColor="text1"/>
              </w:rPr>
              <w:t xml:space="preserve">competitiveness </w:t>
            </w:r>
            <w:r w:rsidR="770C500E" w:rsidRPr="7F0570DB">
              <w:rPr>
                <w:rFonts w:ascii="Times New Roman" w:eastAsia="Times New Roman" w:hAnsi="Times New Roman" w:cs="Times New Roman"/>
                <w:color w:val="000000" w:themeColor="text1"/>
              </w:rPr>
              <w:t>of Europe’s battery industry.</w:t>
            </w:r>
          </w:p>
          <w:p w14:paraId="08D034E7" w14:textId="7D9BB53F" w:rsidR="00A13B2B" w:rsidRDefault="001B67C4" w:rsidP="00A13B2B">
            <w:pPr>
              <w:spacing w:before="120" w:after="120" w:line="278" w:lineRule="auto"/>
              <w:jc w:val="both"/>
              <w:rPr>
                <w:rFonts w:ascii="Times New Roman" w:eastAsia="Times New Roman" w:hAnsi="Times New Roman" w:cs="Times New Roman"/>
                <w:color w:val="000000" w:themeColor="text1"/>
              </w:rPr>
            </w:pPr>
            <w:r w:rsidRPr="7F0570DB">
              <w:rPr>
                <w:rFonts w:ascii="Times New Roman" w:eastAsia="Times New Roman" w:hAnsi="Times New Roman" w:cs="Times New Roman"/>
                <w:color w:val="000000" w:themeColor="text1"/>
              </w:rPr>
              <w:t>However, the</w:t>
            </w:r>
            <w:r w:rsidR="00CF0458">
              <w:rPr>
                <w:rFonts w:ascii="Times New Roman" w:eastAsia="Times New Roman" w:hAnsi="Times New Roman" w:cs="Times New Roman"/>
                <w:color w:val="000000" w:themeColor="text1"/>
              </w:rPr>
              <w:t xml:space="preserve"> Commission would like to underline that </w:t>
            </w:r>
            <w:r w:rsidR="00826835">
              <w:rPr>
                <w:rFonts w:ascii="Times New Roman" w:eastAsia="Times New Roman" w:hAnsi="Times New Roman" w:cs="Times New Roman"/>
                <w:color w:val="000000" w:themeColor="text1"/>
              </w:rPr>
              <w:t>the</w:t>
            </w:r>
            <w:r w:rsidRPr="7F0570DB">
              <w:rPr>
                <w:rFonts w:ascii="Times New Roman" w:eastAsia="Times New Roman" w:hAnsi="Times New Roman" w:cs="Times New Roman"/>
                <w:color w:val="000000" w:themeColor="text1"/>
              </w:rPr>
              <w:t xml:space="preserve"> Battery Booster Facility is</w:t>
            </w:r>
            <w:r w:rsidR="00736EDA" w:rsidRPr="7F0570DB">
              <w:rPr>
                <w:rFonts w:ascii="Times New Roman" w:eastAsia="Times New Roman" w:hAnsi="Times New Roman" w:cs="Times New Roman"/>
                <w:color w:val="000000" w:themeColor="text1"/>
              </w:rPr>
              <w:t xml:space="preserve"> not</w:t>
            </w:r>
            <w:r w:rsidRPr="7F0570DB">
              <w:rPr>
                <w:rFonts w:ascii="Times New Roman" w:eastAsia="Times New Roman" w:hAnsi="Times New Roman" w:cs="Times New Roman"/>
                <w:color w:val="000000" w:themeColor="text1"/>
              </w:rPr>
              <w:t xml:space="preserve"> the only</w:t>
            </w:r>
            <w:r w:rsidR="007B7B09" w:rsidRPr="7F0570DB">
              <w:rPr>
                <w:rFonts w:ascii="Times New Roman" w:eastAsia="Times New Roman" w:hAnsi="Times New Roman" w:cs="Times New Roman"/>
                <w:color w:val="000000" w:themeColor="text1"/>
              </w:rPr>
              <w:t xml:space="preserve"> support</w:t>
            </w:r>
            <w:r w:rsidR="00003248" w:rsidRPr="7F0570DB">
              <w:rPr>
                <w:rFonts w:ascii="Times New Roman" w:eastAsia="Times New Roman" w:hAnsi="Times New Roman" w:cs="Times New Roman"/>
                <w:color w:val="000000" w:themeColor="text1"/>
              </w:rPr>
              <w:t xml:space="preserve"> made </w:t>
            </w:r>
            <w:r w:rsidR="007B7B09" w:rsidRPr="7F0570DB">
              <w:rPr>
                <w:rFonts w:ascii="Times New Roman" w:eastAsia="Times New Roman" w:hAnsi="Times New Roman" w:cs="Times New Roman"/>
                <w:color w:val="000000" w:themeColor="text1"/>
              </w:rPr>
              <w:t>available for the battery value chain</w:t>
            </w:r>
            <w:r w:rsidR="00682150" w:rsidRPr="7F0570DB">
              <w:rPr>
                <w:rFonts w:ascii="Times New Roman" w:eastAsia="Times New Roman" w:hAnsi="Times New Roman" w:cs="Times New Roman"/>
                <w:color w:val="000000" w:themeColor="text1"/>
              </w:rPr>
              <w:t>:</w:t>
            </w:r>
          </w:p>
          <w:p w14:paraId="533CC00F" w14:textId="1E03968B" w:rsidR="00F90AC2" w:rsidRPr="00682150" w:rsidRDefault="7EFAD056" w:rsidP="00682150">
            <w:pPr>
              <w:spacing w:before="120" w:after="120" w:line="278" w:lineRule="auto"/>
              <w:jc w:val="both"/>
              <w:rPr>
                <w:rFonts w:ascii="Times New Roman" w:eastAsia="Times New Roman" w:hAnsi="Times New Roman" w:cs="Times New Roman"/>
                <w:color w:val="000000" w:themeColor="text1"/>
              </w:rPr>
            </w:pPr>
            <w:r w:rsidRPr="33FE9364">
              <w:rPr>
                <w:rFonts w:ascii="Times New Roman" w:eastAsia="Times New Roman" w:hAnsi="Times New Roman" w:cs="Times New Roman"/>
                <w:color w:val="000000" w:themeColor="text1"/>
              </w:rPr>
              <w:t>O</w:t>
            </w:r>
            <w:r w:rsidR="7D6EBD79" w:rsidRPr="33FE9364">
              <w:rPr>
                <w:rFonts w:ascii="Times New Roman" w:eastAsia="Times New Roman" w:hAnsi="Times New Roman" w:cs="Times New Roman"/>
                <w:color w:val="000000" w:themeColor="text1"/>
              </w:rPr>
              <w:t>n 3 December 2024</w:t>
            </w:r>
            <w:r w:rsidR="003B38E6">
              <w:rPr>
                <w:rFonts w:ascii="Times New Roman" w:eastAsia="Times New Roman" w:hAnsi="Times New Roman" w:cs="Times New Roman"/>
                <w:color w:val="000000" w:themeColor="text1"/>
              </w:rPr>
              <w:t>,</w:t>
            </w:r>
            <w:r w:rsidR="7D6EBD79" w:rsidRPr="33FE9364">
              <w:rPr>
                <w:rFonts w:ascii="Times New Roman" w:eastAsia="Times New Roman" w:hAnsi="Times New Roman" w:cs="Times New Roman"/>
                <w:color w:val="000000" w:themeColor="text1"/>
              </w:rPr>
              <w:t xml:space="preserve"> the Innovation Fund launched for the first time a EUR 1 billion call for electric vehicle battery cell manufacturing (IF24 Battery) which resulted in five awarded projects producing innovative electric vehicles battery cells or deploying innovative manufacturing techniques, processes and technologies. </w:t>
            </w:r>
            <w:r w:rsidR="00C94A73">
              <w:rPr>
                <w:rFonts w:ascii="Times New Roman" w:eastAsia="Times New Roman" w:hAnsi="Times New Roman" w:cs="Times New Roman"/>
                <w:color w:val="000000" w:themeColor="text1"/>
              </w:rPr>
              <w:t>Moreover,</w:t>
            </w:r>
            <w:r w:rsidR="7D6EBD79" w:rsidRPr="33FE9364">
              <w:rPr>
                <w:rFonts w:ascii="Times New Roman" w:eastAsia="Times New Roman" w:hAnsi="Times New Roman" w:cs="Times New Roman"/>
                <w:color w:val="000000" w:themeColor="text1"/>
              </w:rPr>
              <w:t xml:space="preserve"> in December 2024, th</w:t>
            </w:r>
            <w:r w:rsidR="0959BC8C" w:rsidRPr="33FE9364">
              <w:rPr>
                <w:rFonts w:ascii="Times New Roman" w:eastAsia="Times New Roman" w:hAnsi="Times New Roman" w:cs="Times New Roman"/>
                <w:color w:val="000000" w:themeColor="text1"/>
              </w:rPr>
              <w:t>e</w:t>
            </w:r>
            <w:r w:rsidR="7D6EBD79" w:rsidRPr="33FE9364">
              <w:rPr>
                <w:rFonts w:ascii="Times New Roman" w:eastAsia="Times New Roman" w:hAnsi="Times New Roman" w:cs="Times New Roman"/>
                <w:color w:val="000000" w:themeColor="text1"/>
              </w:rPr>
              <w:t xml:space="preserve"> Commission announced investments in the EU’s battery manufacturing sector through a EUR </w:t>
            </w:r>
            <w:r w:rsidR="7D6EBD79" w:rsidRPr="33FE9364">
              <w:rPr>
                <w:rFonts w:ascii="Times New Roman" w:eastAsia="Times New Roman" w:hAnsi="Times New Roman" w:cs="Times New Roman"/>
                <w:color w:val="000000" w:themeColor="text1"/>
              </w:rPr>
              <w:lastRenderedPageBreak/>
              <w:t xml:space="preserve">200 million top-up (loan guarantee) to the </w:t>
            </w:r>
            <w:proofErr w:type="spellStart"/>
            <w:r w:rsidR="7D6EBD79" w:rsidRPr="33FE9364">
              <w:rPr>
                <w:rFonts w:ascii="Times New Roman" w:eastAsia="Times New Roman" w:hAnsi="Times New Roman" w:cs="Times New Roman"/>
                <w:color w:val="000000" w:themeColor="text1"/>
              </w:rPr>
              <w:t>InvestEU</w:t>
            </w:r>
            <w:proofErr w:type="spellEnd"/>
            <w:r w:rsidR="7D6EBD79" w:rsidRPr="33FE9364">
              <w:rPr>
                <w:rFonts w:ascii="Times New Roman" w:eastAsia="Times New Roman" w:hAnsi="Times New Roman" w:cs="Times New Roman"/>
                <w:color w:val="000000" w:themeColor="text1"/>
              </w:rPr>
              <w:t xml:space="preserve"> </w:t>
            </w:r>
            <w:proofErr w:type="spellStart"/>
            <w:r w:rsidR="7D6EBD79" w:rsidRPr="33FE9364">
              <w:rPr>
                <w:rFonts w:ascii="Times New Roman" w:eastAsia="Times New Roman" w:hAnsi="Times New Roman" w:cs="Times New Roman"/>
                <w:color w:val="000000" w:themeColor="text1"/>
              </w:rPr>
              <w:t>programme</w:t>
            </w:r>
            <w:proofErr w:type="spellEnd"/>
            <w:r w:rsidR="7D6EBD79" w:rsidRPr="33FE9364">
              <w:rPr>
                <w:rFonts w:ascii="Times New Roman" w:eastAsia="Times New Roman" w:hAnsi="Times New Roman" w:cs="Times New Roman"/>
                <w:color w:val="000000" w:themeColor="text1"/>
              </w:rPr>
              <w:t xml:space="preserve"> from the Innovation Fund and implemented by </w:t>
            </w:r>
            <w:r w:rsidR="00C40150">
              <w:rPr>
                <w:rFonts w:ascii="Times New Roman" w:eastAsia="Times New Roman" w:hAnsi="Times New Roman" w:cs="Times New Roman"/>
                <w:color w:val="000000" w:themeColor="text1"/>
              </w:rPr>
              <w:t>the European Investment Bank (</w:t>
            </w:r>
            <w:r w:rsidR="7D6EBD79" w:rsidRPr="33FE9364">
              <w:rPr>
                <w:rFonts w:ascii="Times New Roman" w:eastAsia="Times New Roman" w:hAnsi="Times New Roman" w:cs="Times New Roman"/>
                <w:color w:val="000000" w:themeColor="text1"/>
              </w:rPr>
              <w:t>EIB</w:t>
            </w:r>
            <w:r w:rsidR="00C40150">
              <w:rPr>
                <w:rFonts w:ascii="Times New Roman" w:eastAsia="Times New Roman" w:hAnsi="Times New Roman" w:cs="Times New Roman"/>
                <w:color w:val="000000" w:themeColor="text1"/>
              </w:rPr>
              <w:t>)</w:t>
            </w:r>
            <w:r w:rsidR="7D6EBD79" w:rsidRPr="33FE9364">
              <w:rPr>
                <w:rFonts w:ascii="Times New Roman" w:eastAsia="Times New Roman" w:hAnsi="Times New Roman" w:cs="Times New Roman"/>
                <w:color w:val="000000" w:themeColor="text1"/>
              </w:rPr>
              <w:t>.</w:t>
            </w:r>
          </w:p>
          <w:p w14:paraId="6C4CB3F5" w14:textId="5BD9ABB5" w:rsidR="00D922F2" w:rsidRPr="00682150" w:rsidRDefault="00E704EB" w:rsidP="00682150">
            <w:pPr>
              <w:spacing w:before="120" w:after="120" w:line="278" w:lineRule="auto"/>
              <w:jc w:val="both"/>
              <w:rPr>
                <w:rFonts w:ascii="Times New Roman" w:eastAsia="Times New Roman" w:hAnsi="Times New Roman" w:cs="Times New Roman"/>
                <w:color w:val="000000" w:themeColor="text1"/>
              </w:rPr>
            </w:pPr>
            <w:r w:rsidRPr="00682150">
              <w:rPr>
                <w:rFonts w:ascii="Times New Roman" w:eastAsia="Times New Roman" w:hAnsi="Times New Roman" w:cs="Times New Roman"/>
                <w:color w:val="000000" w:themeColor="text1"/>
              </w:rPr>
              <w:t>Additionally, i</w:t>
            </w:r>
            <w:r w:rsidR="00A650ED" w:rsidRPr="00682150">
              <w:rPr>
                <w:rFonts w:ascii="Times New Roman" w:eastAsia="Times New Roman" w:hAnsi="Times New Roman" w:cs="Times New Roman"/>
                <w:color w:val="000000" w:themeColor="text1"/>
              </w:rPr>
              <w:t>n 2019 and 2021, the Commission approved two I</w:t>
            </w:r>
            <w:r w:rsidR="00C94A73">
              <w:rPr>
                <w:rFonts w:ascii="Times New Roman" w:eastAsia="Times New Roman" w:hAnsi="Times New Roman" w:cs="Times New Roman"/>
                <w:color w:val="000000" w:themeColor="text1"/>
              </w:rPr>
              <w:t xml:space="preserve">mportant </w:t>
            </w:r>
            <w:r w:rsidR="00A650ED" w:rsidRPr="00682150">
              <w:rPr>
                <w:rFonts w:ascii="Times New Roman" w:eastAsia="Times New Roman" w:hAnsi="Times New Roman" w:cs="Times New Roman"/>
                <w:color w:val="000000" w:themeColor="text1"/>
              </w:rPr>
              <w:t>P</w:t>
            </w:r>
            <w:r w:rsidR="00C94A73">
              <w:rPr>
                <w:rFonts w:ascii="Times New Roman" w:eastAsia="Times New Roman" w:hAnsi="Times New Roman" w:cs="Times New Roman"/>
                <w:color w:val="000000" w:themeColor="text1"/>
              </w:rPr>
              <w:t xml:space="preserve">rojects of </w:t>
            </w:r>
            <w:r w:rsidR="00A650ED" w:rsidRPr="00682150">
              <w:rPr>
                <w:rFonts w:ascii="Times New Roman" w:eastAsia="Times New Roman" w:hAnsi="Times New Roman" w:cs="Times New Roman"/>
                <w:color w:val="000000" w:themeColor="text1"/>
              </w:rPr>
              <w:t>C</w:t>
            </w:r>
            <w:r w:rsidR="00C94A73">
              <w:rPr>
                <w:rFonts w:ascii="Times New Roman" w:eastAsia="Times New Roman" w:hAnsi="Times New Roman" w:cs="Times New Roman"/>
                <w:color w:val="000000" w:themeColor="text1"/>
              </w:rPr>
              <w:t xml:space="preserve">ommon </w:t>
            </w:r>
            <w:r w:rsidR="00A650ED" w:rsidRPr="00682150">
              <w:rPr>
                <w:rFonts w:ascii="Times New Roman" w:eastAsia="Times New Roman" w:hAnsi="Times New Roman" w:cs="Times New Roman"/>
                <w:color w:val="000000" w:themeColor="text1"/>
              </w:rPr>
              <w:t>E</w:t>
            </w:r>
            <w:r w:rsidR="00C94A73">
              <w:rPr>
                <w:rFonts w:ascii="Times New Roman" w:eastAsia="Times New Roman" w:hAnsi="Times New Roman" w:cs="Times New Roman"/>
                <w:color w:val="000000" w:themeColor="text1"/>
              </w:rPr>
              <w:t xml:space="preserve">uropean </w:t>
            </w:r>
            <w:r w:rsidR="00A650ED" w:rsidRPr="00682150">
              <w:rPr>
                <w:rFonts w:ascii="Times New Roman" w:eastAsia="Times New Roman" w:hAnsi="Times New Roman" w:cs="Times New Roman"/>
                <w:color w:val="000000" w:themeColor="text1"/>
              </w:rPr>
              <w:t>I</w:t>
            </w:r>
            <w:r w:rsidR="00C94A73">
              <w:rPr>
                <w:rFonts w:ascii="Times New Roman" w:eastAsia="Times New Roman" w:hAnsi="Times New Roman" w:cs="Times New Roman"/>
                <w:color w:val="000000" w:themeColor="text1"/>
              </w:rPr>
              <w:t xml:space="preserve">nterest </w:t>
            </w:r>
            <w:r w:rsidR="0010693F">
              <w:rPr>
                <w:rFonts w:ascii="Times New Roman" w:eastAsia="Times New Roman" w:hAnsi="Times New Roman" w:cs="Times New Roman"/>
                <w:color w:val="000000" w:themeColor="text1"/>
              </w:rPr>
              <w:t xml:space="preserve">(IPCEIs) </w:t>
            </w:r>
            <w:r w:rsidR="00A650ED" w:rsidRPr="00682150">
              <w:rPr>
                <w:rFonts w:ascii="Times New Roman" w:eastAsia="Times New Roman" w:hAnsi="Times New Roman" w:cs="Times New Roman"/>
                <w:color w:val="000000" w:themeColor="text1"/>
              </w:rPr>
              <w:t>in the battery ecosystem involving support to 59 companies in 12 Member States of up to EUR 6</w:t>
            </w:r>
            <w:r w:rsidR="00C40150">
              <w:rPr>
                <w:rFonts w:ascii="Times New Roman" w:eastAsia="Times New Roman" w:hAnsi="Times New Roman" w:cs="Times New Roman"/>
                <w:color w:val="000000" w:themeColor="text1"/>
              </w:rPr>
              <w:t>.</w:t>
            </w:r>
            <w:r w:rsidR="00A650ED" w:rsidRPr="00682150">
              <w:rPr>
                <w:rFonts w:ascii="Times New Roman" w:eastAsia="Times New Roman" w:hAnsi="Times New Roman" w:cs="Times New Roman"/>
                <w:color w:val="000000" w:themeColor="text1"/>
              </w:rPr>
              <w:t>1 billion in State aid aiming to trigger more than EUR 13</w:t>
            </w:r>
            <w:r w:rsidR="00C40150">
              <w:rPr>
                <w:rFonts w:ascii="Times New Roman" w:eastAsia="Times New Roman" w:hAnsi="Times New Roman" w:cs="Times New Roman"/>
                <w:color w:val="000000" w:themeColor="text1"/>
              </w:rPr>
              <w:t>.</w:t>
            </w:r>
            <w:r w:rsidR="00A650ED" w:rsidRPr="00682150">
              <w:rPr>
                <w:rFonts w:ascii="Times New Roman" w:eastAsia="Times New Roman" w:hAnsi="Times New Roman" w:cs="Times New Roman"/>
                <w:color w:val="000000" w:themeColor="text1"/>
              </w:rPr>
              <w:t>8 billion of additional private investment. The IPCEIs support ambitious research and development activities to deliver innovations across the batter</w:t>
            </w:r>
            <w:r w:rsidR="0010693F">
              <w:rPr>
                <w:rFonts w:ascii="Times New Roman" w:eastAsia="Times New Roman" w:hAnsi="Times New Roman" w:cs="Times New Roman"/>
                <w:color w:val="000000" w:themeColor="text1"/>
              </w:rPr>
              <w:t>y</w:t>
            </w:r>
            <w:r w:rsidR="00A650ED" w:rsidRPr="00682150">
              <w:rPr>
                <w:rFonts w:ascii="Times New Roman" w:eastAsia="Times New Roman" w:hAnsi="Times New Roman" w:cs="Times New Roman"/>
                <w:color w:val="000000" w:themeColor="text1"/>
              </w:rPr>
              <w:t xml:space="preserve"> value chain, including mining and processing of raw materials, development of advanced chemical materials, design of battery cells and integration into applications such as electric vehicles, and recycling of used batteries.</w:t>
            </w:r>
          </w:p>
          <w:p w14:paraId="7ED98E69" w14:textId="3E4BC8E9" w:rsidR="00E704EB" w:rsidRDefault="7EFAD056" w:rsidP="009F5C68">
            <w:pPr>
              <w:spacing w:before="120" w:after="120" w:line="278" w:lineRule="auto"/>
              <w:jc w:val="both"/>
              <w:rPr>
                <w:rFonts w:ascii="Times New Roman" w:eastAsia="Times New Roman" w:hAnsi="Times New Roman" w:cs="Times New Roman"/>
                <w:color w:val="000000" w:themeColor="text1"/>
              </w:rPr>
            </w:pPr>
            <w:r w:rsidRPr="7F0570DB">
              <w:rPr>
                <w:rFonts w:ascii="Times New Roman" w:eastAsia="Times New Roman" w:hAnsi="Times New Roman" w:cs="Times New Roman"/>
                <w:color w:val="000000" w:themeColor="text1"/>
              </w:rPr>
              <w:t xml:space="preserve">When it comes to supporting the critical raw material sector, </w:t>
            </w:r>
            <w:proofErr w:type="gramStart"/>
            <w:r w:rsidRPr="7F0570DB">
              <w:rPr>
                <w:rFonts w:ascii="Times New Roman" w:eastAsia="Times New Roman" w:hAnsi="Times New Roman" w:cs="Times New Roman"/>
                <w:color w:val="000000" w:themeColor="text1"/>
              </w:rPr>
              <w:t>the Battery</w:t>
            </w:r>
            <w:proofErr w:type="gramEnd"/>
            <w:r w:rsidRPr="7F0570DB">
              <w:rPr>
                <w:rFonts w:ascii="Times New Roman" w:eastAsia="Times New Roman" w:hAnsi="Times New Roman" w:cs="Times New Roman"/>
                <w:color w:val="000000" w:themeColor="text1"/>
              </w:rPr>
              <w:t xml:space="preserve"> Booster</w:t>
            </w:r>
            <w:r w:rsidR="003D5F19" w:rsidRPr="7F0570DB">
              <w:rPr>
                <w:rFonts w:ascii="Times New Roman" w:eastAsia="Times New Roman" w:hAnsi="Times New Roman" w:cs="Times New Roman"/>
                <w:color w:val="000000" w:themeColor="text1"/>
              </w:rPr>
              <w:t xml:space="preserve"> Strategy</w:t>
            </w:r>
            <w:r w:rsidRPr="7F0570DB">
              <w:rPr>
                <w:rFonts w:ascii="Times New Roman" w:eastAsia="Times New Roman" w:hAnsi="Times New Roman" w:cs="Times New Roman"/>
                <w:color w:val="000000" w:themeColor="text1"/>
              </w:rPr>
              <w:t xml:space="preserve"> </w:t>
            </w:r>
            <w:r w:rsidR="126240E9" w:rsidRPr="7F0570DB">
              <w:rPr>
                <w:rFonts w:ascii="Times New Roman" w:eastAsia="Times New Roman" w:hAnsi="Times New Roman" w:cs="Times New Roman"/>
                <w:color w:val="000000" w:themeColor="text1"/>
              </w:rPr>
              <w:t xml:space="preserve">also </w:t>
            </w:r>
            <w:r w:rsidRPr="7F0570DB">
              <w:rPr>
                <w:rFonts w:ascii="Times New Roman" w:eastAsia="Times New Roman" w:hAnsi="Times New Roman" w:cs="Times New Roman"/>
                <w:color w:val="000000" w:themeColor="text1"/>
              </w:rPr>
              <w:t xml:space="preserve">announced further funding of up to EUR 300 million from the Innovation Fund </w:t>
            </w:r>
            <w:r w:rsidR="71C90722" w:rsidRPr="7F0570DB">
              <w:rPr>
                <w:rFonts w:ascii="Times New Roman" w:eastAsia="Times New Roman" w:hAnsi="Times New Roman" w:cs="Times New Roman"/>
                <w:color w:val="000000" w:themeColor="text1"/>
              </w:rPr>
              <w:t xml:space="preserve">which </w:t>
            </w:r>
            <w:r w:rsidRPr="7F0570DB">
              <w:rPr>
                <w:rFonts w:ascii="Times New Roman" w:eastAsia="Times New Roman" w:hAnsi="Times New Roman" w:cs="Times New Roman"/>
                <w:color w:val="000000" w:themeColor="text1"/>
              </w:rPr>
              <w:t>will be delivered to critical raw materials projects in the battery value chain, notably lithium, cobalt, nickel, manganese, and graphite.</w:t>
            </w:r>
            <w:r w:rsidR="05A43B82" w:rsidRPr="7F0570DB">
              <w:rPr>
                <w:rFonts w:ascii="Times New Roman" w:eastAsia="Times New Roman" w:hAnsi="Times New Roman" w:cs="Times New Roman"/>
                <w:color w:val="000000" w:themeColor="text1"/>
              </w:rPr>
              <w:t xml:space="preserve"> </w:t>
            </w:r>
            <w:r w:rsidR="79479010" w:rsidRPr="7F0570DB">
              <w:rPr>
                <w:rFonts w:ascii="Times New Roman" w:eastAsia="Times New Roman" w:hAnsi="Times New Roman" w:cs="Times New Roman"/>
                <w:color w:val="000000" w:themeColor="text1"/>
              </w:rPr>
              <w:t xml:space="preserve">Alongside this, the </w:t>
            </w:r>
            <w:proofErr w:type="spellStart"/>
            <w:r w:rsidR="79479010" w:rsidRPr="7F0570DB">
              <w:rPr>
                <w:rFonts w:ascii="Times New Roman" w:eastAsia="Times New Roman" w:hAnsi="Times New Roman" w:cs="Times New Roman"/>
                <w:color w:val="000000" w:themeColor="text1"/>
              </w:rPr>
              <w:t>RESourceEU</w:t>
            </w:r>
            <w:proofErr w:type="spellEnd"/>
            <w:r w:rsidR="79479010" w:rsidRPr="7F0570DB">
              <w:rPr>
                <w:rFonts w:ascii="Times New Roman" w:eastAsia="Times New Roman" w:hAnsi="Times New Roman" w:cs="Times New Roman"/>
                <w:color w:val="000000" w:themeColor="text1"/>
              </w:rPr>
              <w:t xml:space="preserve"> Action Plan</w:t>
            </w:r>
            <w:r w:rsidR="00C40150">
              <w:rPr>
                <w:rStyle w:val="FootnoteReference"/>
                <w:rFonts w:ascii="Times New Roman" w:eastAsia="Times New Roman" w:hAnsi="Times New Roman" w:cs="Times New Roman"/>
                <w:color w:val="000000" w:themeColor="text1"/>
              </w:rPr>
              <w:footnoteReference w:id="2"/>
            </w:r>
            <w:r w:rsidR="79479010" w:rsidRPr="7F0570DB">
              <w:rPr>
                <w:rFonts w:ascii="Times New Roman" w:eastAsia="Times New Roman" w:hAnsi="Times New Roman" w:cs="Times New Roman"/>
                <w:color w:val="000000" w:themeColor="text1"/>
              </w:rPr>
              <w:t xml:space="preserve"> </w:t>
            </w:r>
            <w:r w:rsidR="126240E9" w:rsidRPr="7F0570DB">
              <w:rPr>
                <w:rFonts w:ascii="Times New Roman" w:eastAsia="Times New Roman" w:hAnsi="Times New Roman" w:cs="Times New Roman"/>
                <w:color w:val="000000" w:themeColor="text1"/>
              </w:rPr>
              <w:t>will</w:t>
            </w:r>
            <w:r w:rsidR="79479010" w:rsidRPr="7F0570DB">
              <w:rPr>
                <w:rFonts w:ascii="Times New Roman" w:eastAsia="Times New Roman" w:hAnsi="Times New Roman" w:cs="Times New Roman"/>
                <w:color w:val="000000" w:themeColor="text1"/>
              </w:rPr>
              <w:t xml:space="preserve"> </w:t>
            </w:r>
            <w:proofErr w:type="spellStart"/>
            <w:r w:rsidR="79479010" w:rsidRPr="7F0570DB">
              <w:rPr>
                <w:rFonts w:ascii="Times New Roman" w:eastAsia="Times New Roman" w:hAnsi="Times New Roman" w:cs="Times New Roman"/>
                <w:color w:val="000000" w:themeColor="text1"/>
              </w:rPr>
              <w:t>mobilise</w:t>
            </w:r>
            <w:proofErr w:type="spellEnd"/>
            <w:r w:rsidR="79479010" w:rsidRPr="7F0570DB">
              <w:rPr>
                <w:rFonts w:ascii="Times New Roman" w:eastAsia="Times New Roman" w:hAnsi="Times New Roman" w:cs="Times New Roman"/>
                <w:color w:val="000000" w:themeColor="text1"/>
              </w:rPr>
              <w:t xml:space="preserve"> EUR 3 billion in European Union funds by </w:t>
            </w:r>
            <w:r w:rsidR="0010693F">
              <w:rPr>
                <w:rFonts w:ascii="Times New Roman" w:eastAsia="Times New Roman" w:hAnsi="Times New Roman" w:cs="Times New Roman"/>
                <w:color w:val="000000" w:themeColor="text1"/>
              </w:rPr>
              <w:t xml:space="preserve">the end of </w:t>
            </w:r>
            <w:r w:rsidR="79479010" w:rsidRPr="7F0570DB">
              <w:rPr>
                <w:rFonts w:ascii="Times New Roman" w:eastAsia="Times New Roman" w:hAnsi="Times New Roman" w:cs="Times New Roman"/>
                <w:color w:val="000000" w:themeColor="text1"/>
              </w:rPr>
              <w:t xml:space="preserve">2026, offering targeted support to the critical raw materials value chain. </w:t>
            </w:r>
            <w:r w:rsidR="53F358D9" w:rsidRPr="7F0570DB">
              <w:rPr>
                <w:rFonts w:ascii="Times New Roman" w:eastAsia="Times New Roman" w:hAnsi="Times New Roman" w:cs="Times New Roman"/>
                <w:color w:val="000000" w:themeColor="text1"/>
              </w:rPr>
              <w:t>T</w:t>
            </w:r>
            <w:r w:rsidR="79479010" w:rsidRPr="7F0570DB">
              <w:rPr>
                <w:rFonts w:ascii="Times New Roman" w:eastAsia="Times New Roman" w:hAnsi="Times New Roman" w:cs="Times New Roman"/>
                <w:color w:val="000000" w:themeColor="text1"/>
              </w:rPr>
              <w:t xml:space="preserve">he Commission expects to unlock </w:t>
            </w:r>
            <w:r w:rsidR="67DDA2EE" w:rsidRPr="7F0570DB">
              <w:rPr>
                <w:rFonts w:ascii="Times New Roman" w:eastAsia="Times New Roman" w:hAnsi="Times New Roman" w:cs="Times New Roman"/>
                <w:color w:val="000000" w:themeColor="text1"/>
              </w:rPr>
              <w:t>a minimum of</w:t>
            </w:r>
            <w:r w:rsidR="79479010" w:rsidRPr="7F0570DB">
              <w:rPr>
                <w:rFonts w:ascii="Times New Roman" w:eastAsia="Times New Roman" w:hAnsi="Times New Roman" w:cs="Times New Roman"/>
                <w:color w:val="000000" w:themeColor="text1"/>
              </w:rPr>
              <w:t xml:space="preserve"> EUR </w:t>
            </w:r>
            <w:r w:rsidR="67DDA2EE" w:rsidRPr="7F0570DB">
              <w:rPr>
                <w:rFonts w:ascii="Times New Roman" w:eastAsia="Times New Roman" w:hAnsi="Times New Roman" w:cs="Times New Roman"/>
                <w:color w:val="000000" w:themeColor="text1"/>
              </w:rPr>
              <w:t>2</w:t>
            </w:r>
            <w:r w:rsidR="79479010" w:rsidRPr="7F0570DB">
              <w:rPr>
                <w:rFonts w:ascii="Times New Roman" w:eastAsia="Times New Roman" w:hAnsi="Times New Roman" w:cs="Times New Roman"/>
                <w:color w:val="000000" w:themeColor="text1"/>
              </w:rPr>
              <w:t xml:space="preserve"> billion in </w:t>
            </w:r>
            <w:r w:rsidR="153CC6B7" w:rsidRPr="7F0570DB">
              <w:rPr>
                <w:rFonts w:ascii="Times New Roman" w:eastAsia="Times New Roman" w:hAnsi="Times New Roman" w:cs="Times New Roman"/>
                <w:color w:val="000000" w:themeColor="text1"/>
              </w:rPr>
              <w:t xml:space="preserve">critical raw materials-related </w:t>
            </w:r>
            <w:r w:rsidR="79479010" w:rsidRPr="7F0570DB">
              <w:rPr>
                <w:rFonts w:ascii="Times New Roman" w:eastAsia="Times New Roman" w:hAnsi="Times New Roman" w:cs="Times New Roman"/>
                <w:color w:val="000000" w:themeColor="text1"/>
              </w:rPr>
              <w:t xml:space="preserve">investments through the </w:t>
            </w:r>
            <w:proofErr w:type="spellStart"/>
            <w:r w:rsidR="79479010" w:rsidRPr="7F0570DB">
              <w:rPr>
                <w:rFonts w:ascii="Times New Roman" w:eastAsia="Times New Roman" w:hAnsi="Times New Roman" w:cs="Times New Roman"/>
                <w:color w:val="000000" w:themeColor="text1"/>
              </w:rPr>
              <w:t>InvestEU</w:t>
            </w:r>
            <w:proofErr w:type="spellEnd"/>
            <w:r w:rsidR="79479010" w:rsidRPr="7F0570DB">
              <w:rPr>
                <w:rFonts w:ascii="Times New Roman" w:eastAsia="Times New Roman" w:hAnsi="Times New Roman" w:cs="Times New Roman"/>
                <w:color w:val="000000" w:themeColor="text1"/>
              </w:rPr>
              <w:t xml:space="preserve"> facility during 2026–2027</w:t>
            </w:r>
            <w:r w:rsidR="67DDA2EE" w:rsidRPr="7F0570DB">
              <w:rPr>
                <w:rFonts w:ascii="Times New Roman" w:eastAsia="Times New Roman" w:hAnsi="Times New Roman" w:cs="Times New Roman"/>
                <w:color w:val="000000" w:themeColor="text1"/>
              </w:rPr>
              <w:t>.</w:t>
            </w:r>
          </w:p>
          <w:p w14:paraId="55121B39" w14:textId="7B1FCBF6" w:rsidR="00734514" w:rsidRDefault="1C8BC0AF" w:rsidP="00A13B2B">
            <w:pPr>
              <w:spacing w:before="120" w:after="120" w:line="278" w:lineRule="auto"/>
              <w:jc w:val="both"/>
              <w:rPr>
                <w:rFonts w:ascii="Times New Roman" w:eastAsia="Times New Roman" w:hAnsi="Times New Roman" w:cs="Times New Roman"/>
                <w:color w:val="000000" w:themeColor="text1"/>
              </w:rPr>
            </w:pPr>
            <w:r w:rsidRPr="33FE9364">
              <w:rPr>
                <w:rFonts w:ascii="Times New Roman" w:eastAsia="Times New Roman" w:hAnsi="Times New Roman" w:cs="Times New Roman"/>
                <w:color w:val="000000" w:themeColor="text1"/>
              </w:rPr>
              <w:t>Finally, u</w:t>
            </w:r>
            <w:r w:rsidR="11864D87" w:rsidRPr="33FE9364">
              <w:rPr>
                <w:rFonts w:ascii="Times New Roman" w:eastAsia="Times New Roman" w:hAnsi="Times New Roman" w:cs="Times New Roman"/>
                <w:color w:val="000000" w:themeColor="text1"/>
              </w:rPr>
              <w:t>nder the</w:t>
            </w:r>
            <w:r w:rsidR="02A2B453" w:rsidRPr="33FE9364">
              <w:rPr>
                <w:rFonts w:ascii="Times New Roman" w:eastAsia="Times New Roman" w:hAnsi="Times New Roman" w:cs="Times New Roman"/>
                <w:color w:val="000000" w:themeColor="text1"/>
              </w:rPr>
              <w:t xml:space="preserve"> upcoming</w:t>
            </w:r>
            <w:r w:rsidR="11864D87" w:rsidRPr="33FE9364">
              <w:rPr>
                <w:rFonts w:ascii="Times New Roman" w:eastAsia="Times New Roman" w:hAnsi="Times New Roman" w:cs="Times New Roman"/>
                <w:color w:val="000000" w:themeColor="text1"/>
              </w:rPr>
              <w:t xml:space="preserve"> European Competitiveness </w:t>
            </w:r>
            <w:r w:rsidR="1CBC7EE0" w:rsidRPr="33FE9364">
              <w:rPr>
                <w:rFonts w:ascii="Times New Roman" w:eastAsia="Times New Roman" w:hAnsi="Times New Roman" w:cs="Times New Roman"/>
                <w:color w:val="000000" w:themeColor="text1"/>
              </w:rPr>
              <w:t xml:space="preserve">Fund, support for the European battery value chain is expected to continue building resilience and enhancing the competitiveness of local </w:t>
            </w:r>
            <w:r w:rsidR="02A2B453" w:rsidRPr="33FE9364">
              <w:rPr>
                <w:rFonts w:ascii="Times New Roman" w:eastAsia="Times New Roman" w:hAnsi="Times New Roman" w:cs="Times New Roman"/>
                <w:color w:val="000000" w:themeColor="text1"/>
              </w:rPr>
              <w:t>manufacturers.</w:t>
            </w:r>
          </w:p>
          <w:p w14:paraId="38003A16" w14:textId="5B368A24" w:rsidR="007B7B09" w:rsidRPr="00734514" w:rsidRDefault="00CF5030" w:rsidP="00CF5030">
            <w:pPr>
              <w:pStyle w:val="ListParagraph"/>
              <w:numPr>
                <w:ilvl w:val="0"/>
                <w:numId w:val="1"/>
              </w:numPr>
              <w:spacing w:before="120" w:after="120" w:line="278" w:lineRule="auto"/>
              <w:jc w:val="both"/>
              <w:rPr>
                <w:rFonts w:ascii="Times New Roman" w:eastAsia="Times New Roman" w:hAnsi="Times New Roman" w:cs="Times New Roman"/>
                <w:b/>
                <w:bCs/>
                <w:color w:val="000000" w:themeColor="text1"/>
              </w:rPr>
            </w:pPr>
            <w:r w:rsidRPr="00734514">
              <w:rPr>
                <w:rFonts w:ascii="Times New Roman" w:eastAsia="Times New Roman" w:hAnsi="Times New Roman" w:cs="Times New Roman"/>
                <w:b/>
                <w:bCs/>
                <w:color w:val="000000" w:themeColor="text1"/>
              </w:rPr>
              <w:t>Innovation and technology</w:t>
            </w:r>
          </w:p>
          <w:p w14:paraId="3E582749" w14:textId="3FD48E07" w:rsidR="00CF5030" w:rsidRDefault="574C088B" w:rsidP="00CF5030">
            <w:pPr>
              <w:spacing w:before="120" w:after="120" w:line="278" w:lineRule="auto"/>
              <w:jc w:val="both"/>
              <w:rPr>
                <w:rFonts w:ascii="Times New Roman" w:eastAsia="Times New Roman" w:hAnsi="Times New Roman" w:cs="Times New Roman"/>
                <w:color w:val="000000" w:themeColor="text1"/>
              </w:rPr>
            </w:pPr>
            <w:r w:rsidRPr="7F0570DB">
              <w:rPr>
                <w:rFonts w:ascii="Times New Roman" w:eastAsia="Times New Roman" w:hAnsi="Times New Roman" w:cs="Times New Roman"/>
                <w:color w:val="000000" w:themeColor="text1"/>
              </w:rPr>
              <w:t xml:space="preserve">The Commission remains committed to supporting </w:t>
            </w:r>
            <w:r w:rsidR="70F552D4" w:rsidRPr="7F0570DB">
              <w:rPr>
                <w:rFonts w:ascii="Times New Roman" w:eastAsia="Times New Roman" w:hAnsi="Times New Roman" w:cs="Times New Roman"/>
                <w:color w:val="000000" w:themeColor="text1"/>
              </w:rPr>
              <w:t>innovation in next-generation battery technologies</w:t>
            </w:r>
            <w:r w:rsidR="57C6C519" w:rsidRPr="7F0570DB">
              <w:rPr>
                <w:rFonts w:ascii="Times New Roman" w:eastAsia="Times New Roman" w:hAnsi="Times New Roman" w:cs="Times New Roman"/>
                <w:color w:val="000000" w:themeColor="text1"/>
              </w:rPr>
              <w:t xml:space="preserve"> and fully agrees with the </w:t>
            </w:r>
            <w:r w:rsidR="725AC0DA" w:rsidRPr="7F0570DB">
              <w:rPr>
                <w:rFonts w:ascii="Times New Roman" w:eastAsia="Times New Roman" w:hAnsi="Times New Roman" w:cs="Times New Roman"/>
                <w:color w:val="000000" w:themeColor="text1"/>
              </w:rPr>
              <w:t>Committee</w:t>
            </w:r>
            <w:r w:rsidR="605C2503" w:rsidRPr="7F0570DB">
              <w:rPr>
                <w:rFonts w:ascii="Times New Roman" w:eastAsia="Times New Roman" w:hAnsi="Times New Roman" w:cs="Times New Roman"/>
                <w:color w:val="000000" w:themeColor="text1"/>
              </w:rPr>
              <w:t xml:space="preserve"> in </w:t>
            </w:r>
            <w:proofErr w:type="spellStart"/>
            <w:r w:rsidR="605C2503" w:rsidRPr="7F0570DB">
              <w:rPr>
                <w:rFonts w:ascii="Times New Roman" w:eastAsia="Times New Roman" w:hAnsi="Times New Roman" w:cs="Times New Roman"/>
                <w:color w:val="000000" w:themeColor="text1"/>
              </w:rPr>
              <w:t>recogni</w:t>
            </w:r>
            <w:r w:rsidR="429B7F14" w:rsidRPr="7F0570DB">
              <w:rPr>
                <w:rFonts w:ascii="Times New Roman" w:eastAsia="Times New Roman" w:hAnsi="Times New Roman" w:cs="Times New Roman"/>
                <w:color w:val="000000" w:themeColor="text1"/>
              </w:rPr>
              <w:t>s</w:t>
            </w:r>
            <w:r w:rsidR="605C2503" w:rsidRPr="7F0570DB">
              <w:rPr>
                <w:rFonts w:ascii="Times New Roman" w:eastAsia="Times New Roman" w:hAnsi="Times New Roman" w:cs="Times New Roman"/>
                <w:color w:val="000000" w:themeColor="text1"/>
              </w:rPr>
              <w:t>ing</w:t>
            </w:r>
            <w:proofErr w:type="spellEnd"/>
            <w:r w:rsidR="605C2503" w:rsidRPr="7F0570DB">
              <w:rPr>
                <w:rFonts w:ascii="Times New Roman" w:eastAsia="Times New Roman" w:hAnsi="Times New Roman" w:cs="Times New Roman"/>
                <w:color w:val="000000" w:themeColor="text1"/>
              </w:rPr>
              <w:t xml:space="preserve"> innovation as a cornerstone of the Strategy and a key driver of competitiveness in the European battery sector.</w:t>
            </w:r>
          </w:p>
          <w:p w14:paraId="6F818819" w14:textId="6EC08FE5" w:rsidR="00433C85" w:rsidRDefault="00433C85" w:rsidP="00433C85">
            <w:pPr>
              <w:spacing w:before="120" w:after="120" w:line="278" w:lineRule="auto"/>
              <w:jc w:val="both"/>
              <w:rPr>
                <w:rFonts w:ascii="Times New Roman" w:eastAsia="Times New Roman" w:hAnsi="Times New Roman" w:cs="Times New Roman"/>
                <w:color w:val="000000" w:themeColor="text1"/>
              </w:rPr>
            </w:pPr>
            <w:r w:rsidRPr="7F0570DB">
              <w:rPr>
                <w:rFonts w:ascii="Times New Roman" w:eastAsia="Times New Roman" w:hAnsi="Times New Roman" w:cs="Times New Roman"/>
                <w:color w:val="000000" w:themeColor="text1"/>
              </w:rPr>
              <w:t xml:space="preserve">The most recent work </w:t>
            </w:r>
            <w:proofErr w:type="spellStart"/>
            <w:r w:rsidRPr="7F0570DB">
              <w:rPr>
                <w:rFonts w:ascii="Times New Roman" w:eastAsia="Times New Roman" w:hAnsi="Times New Roman" w:cs="Times New Roman"/>
                <w:color w:val="000000" w:themeColor="text1"/>
              </w:rPr>
              <w:t>programme</w:t>
            </w:r>
            <w:proofErr w:type="spellEnd"/>
            <w:r w:rsidRPr="7F0570DB">
              <w:rPr>
                <w:rFonts w:ascii="Times New Roman" w:eastAsia="Times New Roman" w:hAnsi="Times New Roman" w:cs="Times New Roman"/>
                <w:color w:val="000000" w:themeColor="text1"/>
              </w:rPr>
              <w:t xml:space="preserve"> 2026-27 of BATT4EU</w:t>
            </w:r>
            <w:r w:rsidR="003B38E6">
              <w:rPr>
                <w:rFonts w:ascii="Times New Roman" w:eastAsia="Times New Roman" w:hAnsi="Times New Roman" w:cs="Times New Roman"/>
                <w:color w:val="000000" w:themeColor="text1"/>
              </w:rPr>
              <w:t xml:space="preserve"> (</w:t>
            </w:r>
            <w:r w:rsidR="003B38E6" w:rsidRPr="003B38E6">
              <w:rPr>
                <w:rFonts w:ascii="Times New Roman" w:eastAsia="Times New Roman" w:hAnsi="Times New Roman" w:cs="Times New Roman"/>
                <w:color w:val="000000" w:themeColor="text1"/>
              </w:rPr>
              <w:t>a Co-programmed Partnership established under Horizon Europe</w:t>
            </w:r>
            <w:r w:rsidR="003B38E6">
              <w:rPr>
                <w:rFonts w:ascii="Times New Roman" w:eastAsia="Times New Roman" w:hAnsi="Times New Roman" w:cs="Times New Roman"/>
                <w:color w:val="000000" w:themeColor="text1"/>
              </w:rPr>
              <w:t>)</w:t>
            </w:r>
            <w:r w:rsidRPr="7F0570DB">
              <w:rPr>
                <w:rFonts w:ascii="Times New Roman" w:eastAsia="Times New Roman" w:hAnsi="Times New Roman" w:cs="Times New Roman"/>
                <w:color w:val="000000" w:themeColor="text1"/>
              </w:rPr>
              <w:t xml:space="preserve"> already adopts the holistic approach mentioned in the opinion, aiming at building the full supply chain for manufacturing advanced batteries using EU-made equipment. In addition, the Safe and Sustainable by</w:t>
            </w:r>
            <w:r>
              <w:rPr>
                <w:rFonts w:ascii="Times New Roman" w:eastAsia="Times New Roman" w:hAnsi="Times New Roman" w:cs="Times New Roman"/>
                <w:color w:val="000000" w:themeColor="text1"/>
              </w:rPr>
              <w:t xml:space="preserve"> Design framework</w:t>
            </w:r>
            <w:r>
              <w:rPr>
                <w:rStyle w:val="FootnoteReference"/>
                <w:rFonts w:ascii="Times New Roman" w:eastAsia="Times New Roman" w:hAnsi="Times New Roman" w:cs="Times New Roman"/>
                <w:color w:val="000000" w:themeColor="text1"/>
              </w:rPr>
              <w:footnoteReference w:id="3"/>
            </w:r>
            <w:r>
              <w:rPr>
                <w:rFonts w:ascii="Times New Roman" w:eastAsia="Times New Roman" w:hAnsi="Times New Roman" w:cs="Times New Roman"/>
                <w:color w:val="000000" w:themeColor="text1"/>
              </w:rPr>
              <w:t xml:space="preserve"> is an absolute requirement for all projects funded.</w:t>
            </w:r>
          </w:p>
          <w:p w14:paraId="574F0E1B" w14:textId="7DDF5ED2" w:rsidR="00433C85" w:rsidRPr="00CF5030" w:rsidRDefault="00433C85" w:rsidP="00433C85">
            <w:pPr>
              <w:spacing w:before="120" w:after="120" w:line="278" w:lineRule="auto"/>
              <w:jc w:val="both"/>
              <w:rPr>
                <w:rFonts w:ascii="Times New Roman" w:eastAsia="Times New Roman" w:hAnsi="Times New Roman" w:cs="Times New Roman"/>
                <w:color w:val="000000" w:themeColor="text1"/>
              </w:rPr>
            </w:pPr>
            <w:r w:rsidRPr="7F0570DB">
              <w:rPr>
                <w:rFonts w:ascii="Times New Roman" w:eastAsia="Times New Roman" w:hAnsi="Times New Roman" w:cs="Times New Roman"/>
                <w:color w:val="000000" w:themeColor="text1"/>
              </w:rPr>
              <w:t xml:space="preserve">To defragment the European landscape in R&amp;I, and coordinate actions between the Commission and Member States, under the </w:t>
            </w:r>
            <w:r w:rsidR="00305758" w:rsidRPr="00305758">
              <w:rPr>
                <w:rFonts w:ascii="Times New Roman" w:eastAsia="Times New Roman" w:hAnsi="Times New Roman" w:cs="Times New Roman"/>
                <w:color w:val="000000" w:themeColor="text1"/>
              </w:rPr>
              <w:t xml:space="preserve">European Strategic Energy Technology </w:t>
            </w:r>
            <w:r w:rsidRPr="7F0570DB">
              <w:rPr>
                <w:rFonts w:ascii="Times New Roman" w:eastAsia="Times New Roman" w:hAnsi="Times New Roman" w:cs="Times New Roman"/>
                <w:color w:val="000000" w:themeColor="text1"/>
              </w:rPr>
              <w:t>Plan</w:t>
            </w:r>
            <w:r w:rsidR="00305758">
              <w:rPr>
                <w:rFonts w:ascii="Times New Roman" w:eastAsia="Times New Roman" w:hAnsi="Times New Roman" w:cs="Times New Roman"/>
                <w:color w:val="000000" w:themeColor="text1"/>
              </w:rPr>
              <w:t xml:space="preserve"> (S</w:t>
            </w:r>
            <w:r w:rsidR="00AA6FEE">
              <w:rPr>
                <w:rFonts w:ascii="Times New Roman" w:eastAsia="Times New Roman" w:hAnsi="Times New Roman" w:cs="Times New Roman"/>
                <w:color w:val="000000" w:themeColor="text1"/>
              </w:rPr>
              <w:t>ET</w:t>
            </w:r>
            <w:r w:rsidR="00305758">
              <w:rPr>
                <w:rFonts w:ascii="Times New Roman" w:eastAsia="Times New Roman" w:hAnsi="Times New Roman" w:cs="Times New Roman"/>
                <w:color w:val="000000" w:themeColor="text1"/>
              </w:rPr>
              <w:t xml:space="preserve"> Plan)</w:t>
            </w:r>
            <w:r w:rsidRPr="7F0570DB">
              <w:rPr>
                <w:rFonts w:ascii="Times New Roman" w:eastAsia="Times New Roman" w:hAnsi="Times New Roman" w:cs="Times New Roman"/>
                <w:color w:val="000000" w:themeColor="text1"/>
              </w:rPr>
              <w:t xml:space="preserve"> </w:t>
            </w:r>
            <w:proofErr w:type="gramStart"/>
            <w:r w:rsidRPr="7F0570DB">
              <w:rPr>
                <w:rFonts w:ascii="Times New Roman" w:eastAsia="Times New Roman" w:hAnsi="Times New Roman" w:cs="Times New Roman"/>
                <w:color w:val="000000" w:themeColor="text1"/>
              </w:rPr>
              <w:t>a</w:t>
            </w:r>
            <w:r w:rsidR="00C40150">
              <w:rPr>
                <w:rFonts w:ascii="Times New Roman" w:eastAsia="Times New Roman" w:hAnsi="Times New Roman" w:cs="Times New Roman"/>
                <w:color w:val="000000" w:themeColor="text1"/>
              </w:rPr>
              <w:t> </w:t>
            </w:r>
            <w:r w:rsidRPr="7F0570DB">
              <w:rPr>
                <w:rFonts w:ascii="Times New Roman" w:eastAsia="Times New Roman" w:hAnsi="Times New Roman" w:cs="Times New Roman"/>
                <w:color w:val="000000" w:themeColor="text1"/>
              </w:rPr>
              <w:t>pan</w:t>
            </w:r>
            <w:proofErr w:type="gramEnd"/>
            <w:r w:rsidR="00C40150">
              <w:rPr>
                <w:rFonts w:ascii="Times New Roman" w:eastAsia="Times New Roman" w:hAnsi="Times New Roman" w:cs="Times New Roman"/>
                <w:color w:val="000000" w:themeColor="text1"/>
              </w:rPr>
              <w:t> </w:t>
            </w:r>
            <w:r w:rsidRPr="7F0570DB">
              <w:rPr>
                <w:rFonts w:ascii="Times New Roman" w:eastAsia="Times New Roman" w:hAnsi="Times New Roman" w:cs="Times New Roman"/>
                <w:color w:val="000000" w:themeColor="text1"/>
              </w:rPr>
              <w:t xml:space="preserve">European Strategic Research and Innovation Agenda on clean energy technologies, including batteries, is being prepared. This will be accompanied by a Common Innovation Investment Plan in which Member States will pledge their planned investments in battery R&amp;I. </w:t>
            </w:r>
            <w:r w:rsidRPr="7F0570DB">
              <w:rPr>
                <w:rFonts w:ascii="Times New Roman" w:eastAsia="Times New Roman" w:hAnsi="Times New Roman" w:cs="Times New Roman"/>
                <w:color w:val="000000" w:themeColor="text1"/>
              </w:rPr>
              <w:lastRenderedPageBreak/>
              <w:t xml:space="preserve">As of 2028, the European Competitiveness </w:t>
            </w:r>
            <w:r w:rsidR="00AA6FEE">
              <w:rPr>
                <w:rFonts w:ascii="Times New Roman" w:eastAsia="Times New Roman" w:hAnsi="Times New Roman" w:cs="Times New Roman"/>
                <w:color w:val="000000" w:themeColor="text1"/>
              </w:rPr>
              <w:t>Fu</w:t>
            </w:r>
            <w:r w:rsidRPr="7F0570DB">
              <w:rPr>
                <w:rFonts w:ascii="Times New Roman" w:eastAsia="Times New Roman" w:hAnsi="Times New Roman" w:cs="Times New Roman"/>
                <w:color w:val="000000" w:themeColor="text1"/>
              </w:rPr>
              <w:t xml:space="preserve">nd will </w:t>
            </w:r>
            <w:proofErr w:type="spellStart"/>
            <w:r w:rsidRPr="7F0570DB">
              <w:rPr>
                <w:rFonts w:ascii="Times New Roman" w:eastAsia="Times New Roman" w:hAnsi="Times New Roman" w:cs="Times New Roman"/>
                <w:color w:val="000000" w:themeColor="text1"/>
              </w:rPr>
              <w:t>prioriti</w:t>
            </w:r>
            <w:r w:rsidR="00AA6FEE">
              <w:rPr>
                <w:rFonts w:ascii="Times New Roman" w:eastAsia="Times New Roman" w:hAnsi="Times New Roman" w:cs="Times New Roman"/>
                <w:color w:val="000000" w:themeColor="text1"/>
              </w:rPr>
              <w:t>s</w:t>
            </w:r>
            <w:r w:rsidRPr="7F0570DB">
              <w:rPr>
                <w:rFonts w:ascii="Times New Roman" w:eastAsia="Times New Roman" w:hAnsi="Times New Roman" w:cs="Times New Roman"/>
                <w:color w:val="000000" w:themeColor="text1"/>
              </w:rPr>
              <w:t>e</w:t>
            </w:r>
            <w:proofErr w:type="spellEnd"/>
            <w:r w:rsidRPr="7F0570DB">
              <w:rPr>
                <w:rFonts w:ascii="Times New Roman" w:eastAsia="Times New Roman" w:hAnsi="Times New Roman" w:cs="Times New Roman"/>
                <w:color w:val="000000" w:themeColor="text1"/>
              </w:rPr>
              <w:t xml:space="preserve"> areas for strategic European interest and provide a seamless journey from research to market and global production. </w:t>
            </w:r>
          </w:p>
          <w:p w14:paraId="0F5BC52A" w14:textId="26EC8E33" w:rsidR="762D9B24" w:rsidRDefault="000E5E06" w:rsidP="7F0570DB">
            <w:pPr>
              <w:spacing w:before="120" w:after="120" w:line="278" w:lineRule="auto"/>
              <w:jc w:val="both"/>
              <w:rPr>
                <w:rFonts w:ascii="Times New Roman" w:eastAsia="Times New Roman" w:hAnsi="Times New Roman" w:cs="Times New Roman"/>
                <w:color w:val="000000" w:themeColor="text1"/>
              </w:rPr>
            </w:pPr>
            <w:r w:rsidRPr="7F0570DB">
              <w:rPr>
                <w:rFonts w:ascii="Times New Roman" w:eastAsia="Times New Roman" w:hAnsi="Times New Roman" w:cs="Times New Roman"/>
                <w:color w:val="000000" w:themeColor="text1"/>
              </w:rPr>
              <w:t xml:space="preserve">On top of the measures </w:t>
            </w:r>
            <w:r w:rsidR="00204A79" w:rsidRPr="7F0570DB">
              <w:rPr>
                <w:rFonts w:ascii="Times New Roman" w:eastAsia="Times New Roman" w:hAnsi="Times New Roman" w:cs="Times New Roman"/>
                <w:color w:val="000000" w:themeColor="text1"/>
              </w:rPr>
              <w:t xml:space="preserve">covered in Pillar V of the Battery Booster </w:t>
            </w:r>
            <w:r w:rsidR="00301CB6">
              <w:rPr>
                <w:rFonts w:ascii="Times New Roman" w:eastAsia="Times New Roman" w:hAnsi="Times New Roman" w:cs="Times New Roman"/>
                <w:color w:val="000000" w:themeColor="text1"/>
              </w:rPr>
              <w:t>S</w:t>
            </w:r>
            <w:r w:rsidR="00204A79" w:rsidRPr="7F0570DB">
              <w:rPr>
                <w:rFonts w:ascii="Times New Roman" w:eastAsia="Times New Roman" w:hAnsi="Times New Roman" w:cs="Times New Roman"/>
                <w:color w:val="000000" w:themeColor="text1"/>
              </w:rPr>
              <w:t>trategy</w:t>
            </w:r>
            <w:r w:rsidR="00B33748" w:rsidRPr="7F0570DB">
              <w:rPr>
                <w:rFonts w:ascii="Times New Roman" w:eastAsia="Times New Roman" w:hAnsi="Times New Roman" w:cs="Times New Roman"/>
                <w:color w:val="000000" w:themeColor="text1"/>
              </w:rPr>
              <w:t xml:space="preserve"> </w:t>
            </w:r>
            <w:r w:rsidR="003B38E6">
              <w:rPr>
                <w:rFonts w:ascii="Times New Roman" w:eastAsia="Times New Roman" w:hAnsi="Times New Roman" w:cs="Times New Roman"/>
                <w:color w:val="000000" w:themeColor="text1"/>
              </w:rPr>
              <w:t>‘</w:t>
            </w:r>
            <w:r w:rsidR="00B33748" w:rsidRPr="7F0570DB">
              <w:rPr>
                <w:rFonts w:ascii="Times New Roman" w:eastAsia="Times New Roman" w:hAnsi="Times New Roman" w:cs="Times New Roman"/>
                <w:color w:val="000000" w:themeColor="text1"/>
              </w:rPr>
              <w:t>boosting research, innovation and skills for the EU battery value chain</w:t>
            </w:r>
            <w:r w:rsidR="003B38E6">
              <w:rPr>
                <w:rFonts w:ascii="Times New Roman" w:eastAsia="Times New Roman" w:hAnsi="Times New Roman" w:cs="Times New Roman"/>
                <w:color w:val="000000" w:themeColor="text1"/>
              </w:rPr>
              <w:t>’</w:t>
            </w:r>
            <w:r w:rsidR="00B33748" w:rsidRPr="7F0570DB">
              <w:rPr>
                <w:rFonts w:ascii="Times New Roman" w:eastAsia="Times New Roman" w:hAnsi="Times New Roman" w:cs="Times New Roman"/>
                <w:color w:val="000000" w:themeColor="text1"/>
              </w:rPr>
              <w:t xml:space="preserve">, the Commission has recently published </w:t>
            </w:r>
            <w:r w:rsidR="00DE1144" w:rsidRPr="7F0570DB">
              <w:rPr>
                <w:rFonts w:ascii="Times New Roman" w:eastAsia="Times New Roman" w:hAnsi="Times New Roman" w:cs="Times New Roman"/>
                <w:color w:val="000000" w:themeColor="text1"/>
              </w:rPr>
              <w:t xml:space="preserve">the proposal </w:t>
            </w:r>
            <w:r w:rsidR="00FF1680" w:rsidRPr="7F0570DB">
              <w:rPr>
                <w:rFonts w:ascii="Times New Roman" w:eastAsia="Times New Roman" w:hAnsi="Times New Roman" w:cs="Times New Roman"/>
                <w:color w:val="000000" w:themeColor="text1"/>
              </w:rPr>
              <w:t>for the Industrial Accelerator Act</w:t>
            </w:r>
            <w:r w:rsidR="00D0621A" w:rsidRPr="7F0570DB">
              <w:rPr>
                <w:rFonts w:ascii="Times New Roman" w:eastAsia="Times New Roman" w:hAnsi="Times New Roman" w:cs="Times New Roman"/>
                <w:color w:val="000000" w:themeColor="text1"/>
              </w:rPr>
              <w:t xml:space="preserve"> </w:t>
            </w:r>
            <w:r w:rsidR="00C55CD1" w:rsidRPr="7F0570DB">
              <w:rPr>
                <w:rFonts w:ascii="Times New Roman" w:eastAsia="Times New Roman" w:hAnsi="Times New Roman" w:cs="Times New Roman"/>
                <w:color w:val="000000" w:themeColor="text1"/>
              </w:rPr>
              <w:t>(IAA)</w:t>
            </w:r>
            <w:r w:rsidR="00C40150">
              <w:rPr>
                <w:rStyle w:val="FootnoteReference"/>
                <w:rFonts w:ascii="Times New Roman" w:eastAsia="Times New Roman" w:hAnsi="Times New Roman" w:cs="Times New Roman"/>
                <w:color w:val="000000" w:themeColor="text1"/>
              </w:rPr>
              <w:footnoteReference w:id="4"/>
            </w:r>
            <w:r w:rsidR="00C55CD1" w:rsidRPr="7F0570DB">
              <w:rPr>
                <w:rFonts w:ascii="Times New Roman" w:eastAsia="Times New Roman" w:hAnsi="Times New Roman" w:cs="Times New Roman"/>
                <w:color w:val="000000" w:themeColor="text1"/>
              </w:rPr>
              <w:t xml:space="preserve"> </w:t>
            </w:r>
            <w:r w:rsidR="00D0621A" w:rsidRPr="7F0570DB">
              <w:rPr>
                <w:rFonts w:ascii="Times New Roman" w:eastAsia="Times New Roman" w:hAnsi="Times New Roman" w:cs="Times New Roman"/>
                <w:color w:val="000000" w:themeColor="text1"/>
              </w:rPr>
              <w:t xml:space="preserve">with measures that will impact innovation and technology in the </w:t>
            </w:r>
            <w:r w:rsidR="00FB51CF" w:rsidRPr="7F0570DB">
              <w:rPr>
                <w:rFonts w:ascii="Times New Roman" w:eastAsia="Times New Roman" w:hAnsi="Times New Roman" w:cs="Times New Roman"/>
                <w:color w:val="000000" w:themeColor="text1"/>
              </w:rPr>
              <w:t>European</w:t>
            </w:r>
            <w:r w:rsidR="00D0621A" w:rsidRPr="7F0570DB">
              <w:rPr>
                <w:rFonts w:ascii="Times New Roman" w:eastAsia="Times New Roman" w:hAnsi="Times New Roman" w:cs="Times New Roman"/>
                <w:color w:val="000000" w:themeColor="text1"/>
              </w:rPr>
              <w:t xml:space="preserve"> battery </w:t>
            </w:r>
            <w:r w:rsidR="00FB51CF" w:rsidRPr="7F0570DB">
              <w:rPr>
                <w:rFonts w:ascii="Times New Roman" w:eastAsia="Times New Roman" w:hAnsi="Times New Roman" w:cs="Times New Roman"/>
                <w:color w:val="000000" w:themeColor="text1"/>
              </w:rPr>
              <w:t>industry</w:t>
            </w:r>
            <w:r w:rsidR="009168B4" w:rsidRPr="7F0570DB">
              <w:rPr>
                <w:rFonts w:ascii="Times New Roman" w:eastAsia="Times New Roman" w:hAnsi="Times New Roman" w:cs="Times New Roman"/>
                <w:color w:val="000000" w:themeColor="text1"/>
              </w:rPr>
              <w:t>.</w:t>
            </w:r>
          </w:p>
          <w:p w14:paraId="2A6F468A" w14:textId="5D02D425" w:rsidR="0083781E" w:rsidRDefault="747F3E01" w:rsidP="002862CF">
            <w:pPr>
              <w:spacing w:before="120" w:after="120" w:line="278" w:lineRule="auto"/>
              <w:jc w:val="both"/>
              <w:rPr>
                <w:rFonts w:ascii="Times New Roman" w:eastAsia="Times New Roman" w:hAnsi="Times New Roman" w:cs="Times New Roman"/>
                <w:color w:val="000000" w:themeColor="text1"/>
              </w:rPr>
            </w:pPr>
            <w:r w:rsidRPr="7F0570DB">
              <w:rPr>
                <w:rFonts w:ascii="Times New Roman" w:eastAsia="Times New Roman" w:hAnsi="Times New Roman" w:cs="Times New Roman"/>
                <w:color w:val="000000" w:themeColor="text1"/>
              </w:rPr>
              <w:t xml:space="preserve">Through the inclusion of </w:t>
            </w:r>
            <w:r w:rsidR="17636962" w:rsidRPr="7F0570DB">
              <w:rPr>
                <w:rFonts w:ascii="Times New Roman" w:eastAsia="Times New Roman" w:hAnsi="Times New Roman" w:cs="Times New Roman"/>
                <w:color w:val="000000" w:themeColor="text1"/>
              </w:rPr>
              <w:t xml:space="preserve">foreign direct investment </w:t>
            </w:r>
            <w:r w:rsidR="00AA6FEE">
              <w:rPr>
                <w:rFonts w:ascii="Times New Roman" w:eastAsia="Times New Roman" w:hAnsi="Times New Roman" w:cs="Times New Roman"/>
                <w:color w:val="000000" w:themeColor="text1"/>
              </w:rPr>
              <w:t xml:space="preserve">(FDI) </w:t>
            </w:r>
            <w:r w:rsidR="17636962" w:rsidRPr="7F0570DB">
              <w:rPr>
                <w:rFonts w:ascii="Times New Roman" w:eastAsia="Times New Roman" w:hAnsi="Times New Roman" w:cs="Times New Roman"/>
                <w:color w:val="000000" w:themeColor="text1"/>
              </w:rPr>
              <w:t>conditionalities, the IAA</w:t>
            </w:r>
            <w:r w:rsidR="52FDCE33" w:rsidRPr="7F0570DB">
              <w:rPr>
                <w:rFonts w:ascii="Times New Roman" w:eastAsia="Times New Roman" w:hAnsi="Times New Roman" w:cs="Times New Roman"/>
                <w:color w:val="000000" w:themeColor="text1"/>
              </w:rPr>
              <w:t xml:space="preserve"> will ensure that strategic investments contribute to value creation, innovation and industrial capacity in the EU.</w:t>
            </w:r>
            <w:r w:rsidR="707A898B" w:rsidRPr="7F0570DB">
              <w:rPr>
                <w:rFonts w:ascii="Times New Roman" w:eastAsia="Times New Roman" w:hAnsi="Times New Roman" w:cs="Times New Roman"/>
                <w:color w:val="000000" w:themeColor="text1"/>
              </w:rPr>
              <w:t xml:space="preserve"> These conditionalities will apply to </w:t>
            </w:r>
            <w:r w:rsidR="00AA6FEE">
              <w:rPr>
                <w:rFonts w:ascii="Times New Roman" w:eastAsia="Times New Roman" w:hAnsi="Times New Roman" w:cs="Times New Roman"/>
                <w:color w:val="000000" w:themeColor="text1"/>
              </w:rPr>
              <w:t>FDIs</w:t>
            </w:r>
            <w:r w:rsidR="707A898B" w:rsidRPr="7F0570DB">
              <w:rPr>
                <w:rFonts w:ascii="Times New Roman" w:eastAsia="Times New Roman" w:hAnsi="Times New Roman" w:cs="Times New Roman"/>
                <w:color w:val="000000" w:themeColor="text1"/>
              </w:rPr>
              <w:t xml:space="preserve"> exceeding </w:t>
            </w:r>
            <w:r w:rsidR="65816769" w:rsidRPr="7F0570DB">
              <w:rPr>
                <w:rFonts w:ascii="Times New Roman" w:eastAsia="Times New Roman" w:hAnsi="Times New Roman" w:cs="Times New Roman"/>
                <w:color w:val="000000" w:themeColor="text1"/>
              </w:rPr>
              <w:t>the value</w:t>
            </w:r>
            <w:r w:rsidR="707A898B" w:rsidRPr="7F0570DB">
              <w:rPr>
                <w:rFonts w:ascii="Times New Roman" w:eastAsia="Times New Roman" w:hAnsi="Times New Roman" w:cs="Times New Roman"/>
                <w:color w:val="000000" w:themeColor="text1"/>
              </w:rPr>
              <w:t xml:space="preserve"> of EUR 100 million in </w:t>
            </w:r>
            <w:r w:rsidR="76AD8993" w:rsidRPr="7F0570DB">
              <w:rPr>
                <w:rFonts w:ascii="Times New Roman" w:eastAsia="Times New Roman" w:hAnsi="Times New Roman" w:cs="Times New Roman"/>
                <w:color w:val="000000" w:themeColor="text1"/>
              </w:rPr>
              <w:t>battery technologies and its value chain</w:t>
            </w:r>
            <w:r w:rsidR="707A898B" w:rsidRPr="7F0570DB">
              <w:rPr>
                <w:rFonts w:ascii="Times New Roman" w:eastAsia="Times New Roman" w:hAnsi="Times New Roman" w:cs="Times New Roman"/>
                <w:color w:val="000000" w:themeColor="text1"/>
              </w:rPr>
              <w:t xml:space="preserve">, </w:t>
            </w:r>
            <w:r w:rsidR="57D4FFA8" w:rsidRPr="7F0570DB">
              <w:rPr>
                <w:rFonts w:ascii="Times New Roman" w:eastAsia="Times New Roman" w:hAnsi="Times New Roman" w:cs="Times New Roman"/>
                <w:color w:val="000000" w:themeColor="text1"/>
              </w:rPr>
              <w:t>where the investor is a national or entity from a third country that accounts for more than 40% of global manufacturing capacity in that sector.</w:t>
            </w:r>
            <w:r w:rsidR="1866F17C" w:rsidRPr="7F0570DB">
              <w:rPr>
                <w:rFonts w:ascii="Times New Roman" w:eastAsia="Times New Roman" w:hAnsi="Times New Roman" w:cs="Times New Roman"/>
                <w:color w:val="000000" w:themeColor="text1"/>
              </w:rPr>
              <w:t xml:space="preserve"> </w:t>
            </w:r>
            <w:r w:rsidR="4C66E43F" w:rsidRPr="7F0570DB">
              <w:rPr>
                <w:rFonts w:ascii="Times New Roman" w:eastAsia="Times New Roman" w:hAnsi="Times New Roman" w:cs="Times New Roman"/>
                <w:color w:val="000000" w:themeColor="text1"/>
              </w:rPr>
              <w:t xml:space="preserve">The conditionalities listed in the IAA are </w:t>
            </w:r>
            <w:r w:rsidR="4EDB1ED0" w:rsidRPr="7F0570DB">
              <w:rPr>
                <w:rFonts w:ascii="Times New Roman" w:eastAsia="Times New Roman" w:hAnsi="Times New Roman" w:cs="Times New Roman"/>
                <w:color w:val="000000" w:themeColor="text1"/>
              </w:rPr>
              <w:t>fully aligned with</w:t>
            </w:r>
            <w:r w:rsidR="4C66E43F" w:rsidRPr="7F0570DB">
              <w:rPr>
                <w:rFonts w:ascii="Times New Roman" w:eastAsia="Times New Roman" w:hAnsi="Times New Roman" w:cs="Times New Roman"/>
                <w:color w:val="000000" w:themeColor="text1"/>
              </w:rPr>
              <w:t xml:space="preserve"> </w:t>
            </w:r>
            <w:r w:rsidR="00AA6FEE">
              <w:rPr>
                <w:rFonts w:ascii="Times New Roman" w:eastAsia="Times New Roman" w:hAnsi="Times New Roman" w:cs="Times New Roman"/>
                <w:color w:val="000000" w:themeColor="text1"/>
              </w:rPr>
              <w:t xml:space="preserve">the </w:t>
            </w:r>
            <w:r w:rsidR="1FE45C97" w:rsidRPr="7F0570DB">
              <w:rPr>
                <w:rFonts w:ascii="Times New Roman" w:eastAsia="Times New Roman" w:hAnsi="Times New Roman" w:cs="Times New Roman"/>
                <w:color w:val="000000" w:themeColor="text1"/>
              </w:rPr>
              <w:t>Committee’s</w:t>
            </w:r>
            <w:r w:rsidR="4EDB1ED0" w:rsidRPr="7F0570DB">
              <w:rPr>
                <w:rFonts w:ascii="Times New Roman" w:eastAsia="Times New Roman" w:hAnsi="Times New Roman" w:cs="Times New Roman"/>
                <w:color w:val="000000" w:themeColor="text1"/>
              </w:rPr>
              <w:t xml:space="preserve"> recommendations</w:t>
            </w:r>
            <w:r w:rsidR="55FF8A43" w:rsidRPr="7F0570DB">
              <w:rPr>
                <w:rFonts w:ascii="Times New Roman" w:eastAsia="Times New Roman" w:hAnsi="Times New Roman" w:cs="Times New Roman"/>
                <w:color w:val="000000" w:themeColor="text1"/>
              </w:rPr>
              <w:t xml:space="preserve">: limit ownership to below 49%, structure investments as joint ventures with Union partners (ensuring shared management and technology transfer), license IP to </w:t>
            </w:r>
            <w:r w:rsidR="54B21062" w:rsidRPr="7F0570DB">
              <w:rPr>
                <w:rFonts w:ascii="Times New Roman" w:eastAsia="Times New Roman" w:hAnsi="Times New Roman" w:cs="Times New Roman"/>
                <w:color w:val="000000" w:themeColor="text1"/>
              </w:rPr>
              <w:t>European</w:t>
            </w:r>
            <w:r w:rsidR="55FF8A43" w:rsidRPr="7F0570DB">
              <w:rPr>
                <w:rFonts w:ascii="Times New Roman" w:eastAsia="Times New Roman" w:hAnsi="Times New Roman" w:cs="Times New Roman"/>
                <w:color w:val="000000" w:themeColor="text1"/>
              </w:rPr>
              <w:t xml:space="preserve"> entities while protecting pre-existing </w:t>
            </w:r>
            <w:r w:rsidR="54B21062" w:rsidRPr="7F0570DB">
              <w:rPr>
                <w:rFonts w:ascii="Times New Roman" w:eastAsia="Times New Roman" w:hAnsi="Times New Roman" w:cs="Times New Roman"/>
                <w:color w:val="000000" w:themeColor="text1"/>
              </w:rPr>
              <w:t>European</w:t>
            </w:r>
            <w:r w:rsidR="55FF8A43" w:rsidRPr="7F0570DB">
              <w:rPr>
                <w:rFonts w:ascii="Times New Roman" w:eastAsia="Times New Roman" w:hAnsi="Times New Roman" w:cs="Times New Roman"/>
                <w:color w:val="000000" w:themeColor="text1"/>
              </w:rPr>
              <w:t xml:space="preserve">-owned rights, spend at least 1% of revenue on </w:t>
            </w:r>
            <w:r w:rsidR="4250CC64" w:rsidRPr="7F0570DB">
              <w:rPr>
                <w:rFonts w:ascii="Times New Roman" w:eastAsia="Times New Roman" w:hAnsi="Times New Roman" w:cs="Times New Roman"/>
                <w:color w:val="000000" w:themeColor="text1"/>
              </w:rPr>
              <w:t xml:space="preserve">locally </w:t>
            </w:r>
            <w:r w:rsidR="55FF8A43" w:rsidRPr="7F0570DB">
              <w:rPr>
                <w:rFonts w:ascii="Times New Roman" w:eastAsia="Times New Roman" w:hAnsi="Times New Roman" w:cs="Times New Roman"/>
                <w:color w:val="000000" w:themeColor="text1"/>
              </w:rPr>
              <w:t xml:space="preserve">based R&amp;D, hire a minimum 50% local workforce (with training and retention guarantees), and </w:t>
            </w:r>
            <w:r w:rsidR="6B746BBE" w:rsidRPr="7F0570DB">
              <w:rPr>
                <w:rFonts w:ascii="Times New Roman" w:eastAsia="Times New Roman" w:hAnsi="Times New Roman" w:cs="Times New Roman"/>
                <w:color w:val="000000" w:themeColor="text1"/>
              </w:rPr>
              <w:t xml:space="preserve">endeavoring to </w:t>
            </w:r>
            <w:r w:rsidR="55FF8A43" w:rsidRPr="7F0570DB">
              <w:rPr>
                <w:rFonts w:ascii="Times New Roman" w:eastAsia="Times New Roman" w:hAnsi="Times New Roman" w:cs="Times New Roman"/>
                <w:color w:val="000000" w:themeColor="text1"/>
              </w:rPr>
              <w:t>source at least 30% of inputs</w:t>
            </w:r>
            <w:r w:rsidR="161F4FD0" w:rsidRPr="7F0570DB">
              <w:rPr>
                <w:rFonts w:ascii="Times New Roman" w:eastAsia="Times New Roman" w:hAnsi="Times New Roman" w:cs="Times New Roman"/>
                <w:color w:val="000000" w:themeColor="text1"/>
              </w:rPr>
              <w:t xml:space="preserve"> for products placed on the EU market</w:t>
            </w:r>
            <w:r w:rsidR="55FF8A43" w:rsidRPr="7F0570DB">
              <w:rPr>
                <w:rFonts w:ascii="Times New Roman" w:eastAsia="Times New Roman" w:hAnsi="Times New Roman" w:cs="Times New Roman"/>
                <w:color w:val="000000" w:themeColor="text1"/>
              </w:rPr>
              <w:t xml:space="preserve"> from the </w:t>
            </w:r>
            <w:r w:rsidR="74C0F004" w:rsidRPr="7F0570DB">
              <w:rPr>
                <w:rFonts w:ascii="Times New Roman" w:eastAsia="Times New Roman" w:hAnsi="Times New Roman" w:cs="Times New Roman"/>
                <w:color w:val="000000" w:themeColor="text1"/>
              </w:rPr>
              <w:t xml:space="preserve">European </w:t>
            </w:r>
            <w:r w:rsidR="55FF8A43" w:rsidRPr="7F0570DB">
              <w:rPr>
                <w:rFonts w:ascii="Times New Roman" w:eastAsia="Times New Roman" w:hAnsi="Times New Roman" w:cs="Times New Roman"/>
                <w:color w:val="000000" w:themeColor="text1"/>
              </w:rPr>
              <w:t>Union</w:t>
            </w:r>
            <w:r w:rsidR="4250CC64" w:rsidRPr="7F0570DB">
              <w:rPr>
                <w:rFonts w:ascii="Times New Roman" w:eastAsia="Times New Roman" w:hAnsi="Times New Roman" w:cs="Times New Roman"/>
                <w:color w:val="000000" w:themeColor="text1"/>
              </w:rPr>
              <w:t xml:space="preserve">. </w:t>
            </w:r>
            <w:r w:rsidR="51FB76A5" w:rsidRPr="7F0570DB">
              <w:rPr>
                <w:rFonts w:ascii="Times New Roman" w:eastAsia="Times New Roman" w:hAnsi="Times New Roman" w:cs="Times New Roman"/>
                <w:color w:val="000000" w:themeColor="text1"/>
              </w:rPr>
              <w:t xml:space="preserve">As the </w:t>
            </w:r>
            <w:r w:rsidR="16441DA7" w:rsidRPr="7F0570DB">
              <w:rPr>
                <w:rFonts w:ascii="Times New Roman" w:eastAsia="Times New Roman" w:hAnsi="Times New Roman" w:cs="Times New Roman"/>
                <w:color w:val="000000" w:themeColor="text1"/>
              </w:rPr>
              <w:t>Committee</w:t>
            </w:r>
            <w:r w:rsidR="51FB76A5" w:rsidRPr="7F0570DB">
              <w:rPr>
                <w:rFonts w:ascii="Times New Roman" w:eastAsia="Times New Roman" w:hAnsi="Times New Roman" w:cs="Times New Roman"/>
                <w:color w:val="000000" w:themeColor="text1"/>
              </w:rPr>
              <w:t xml:space="preserve"> points out, </w:t>
            </w:r>
            <w:r w:rsidR="5D6BB525" w:rsidRPr="7F0570DB">
              <w:rPr>
                <w:rFonts w:ascii="Times New Roman" w:eastAsia="Times New Roman" w:hAnsi="Times New Roman" w:cs="Times New Roman"/>
                <w:color w:val="000000" w:themeColor="text1"/>
              </w:rPr>
              <w:t>these measures</w:t>
            </w:r>
            <w:r w:rsidR="51FB76A5" w:rsidRPr="7F0570DB">
              <w:rPr>
                <w:rFonts w:ascii="Times New Roman" w:eastAsia="Times New Roman" w:hAnsi="Times New Roman" w:cs="Times New Roman"/>
                <w:color w:val="000000" w:themeColor="text1"/>
              </w:rPr>
              <w:t xml:space="preserve"> will </w:t>
            </w:r>
            <w:r w:rsidR="4157CEEF" w:rsidRPr="7F0570DB">
              <w:rPr>
                <w:rFonts w:ascii="Times New Roman" w:eastAsia="Times New Roman" w:hAnsi="Times New Roman" w:cs="Times New Roman"/>
                <w:color w:val="000000" w:themeColor="text1"/>
              </w:rPr>
              <w:t xml:space="preserve">ensure building local expertise and avoid the </w:t>
            </w:r>
            <w:r w:rsidR="3AB10D99" w:rsidRPr="7F0570DB">
              <w:rPr>
                <w:rFonts w:ascii="Times New Roman" w:eastAsia="Times New Roman" w:hAnsi="Times New Roman" w:cs="Times New Roman"/>
                <w:color w:val="000000" w:themeColor="text1"/>
              </w:rPr>
              <w:t>risk of becoming an assembly hub rather than a battery technology leader.</w:t>
            </w:r>
          </w:p>
          <w:p w14:paraId="181F2EAD" w14:textId="74E14B4B" w:rsidR="762D9B24" w:rsidRDefault="5102883D" w:rsidP="762D9B24">
            <w:pPr>
              <w:spacing w:before="120" w:after="120" w:line="278" w:lineRule="auto"/>
              <w:jc w:val="both"/>
              <w:rPr>
                <w:rFonts w:ascii="Times New Roman" w:eastAsia="Times New Roman" w:hAnsi="Times New Roman" w:cs="Times New Roman"/>
                <w:color w:val="000000" w:themeColor="text1"/>
              </w:rPr>
            </w:pPr>
            <w:r w:rsidRPr="7F0570DB">
              <w:rPr>
                <w:rFonts w:ascii="Times New Roman" w:eastAsia="Times New Roman" w:hAnsi="Times New Roman" w:cs="Times New Roman"/>
                <w:color w:val="000000" w:themeColor="text1"/>
              </w:rPr>
              <w:t>Furthermore, the EU-content requirements established under the IAA</w:t>
            </w:r>
            <w:r w:rsidR="003B38E6">
              <w:rPr>
                <w:rFonts w:ascii="Times New Roman" w:eastAsia="Times New Roman" w:hAnsi="Times New Roman" w:cs="Times New Roman"/>
                <w:color w:val="000000" w:themeColor="text1"/>
              </w:rPr>
              <w:t xml:space="preserve"> -</w:t>
            </w:r>
            <w:r w:rsidRPr="7F0570DB">
              <w:rPr>
                <w:rFonts w:ascii="Times New Roman" w:eastAsia="Times New Roman" w:hAnsi="Times New Roman" w:cs="Times New Roman"/>
                <w:color w:val="000000" w:themeColor="text1"/>
              </w:rPr>
              <w:t xml:space="preserve"> applicable to batteries used in electric vehicles and energy storage systems tied to public procurement, auctions, and other public interventions</w:t>
            </w:r>
            <w:r w:rsidR="003B38E6">
              <w:rPr>
                <w:rFonts w:ascii="Times New Roman" w:eastAsia="Times New Roman" w:hAnsi="Times New Roman" w:cs="Times New Roman"/>
                <w:color w:val="000000" w:themeColor="text1"/>
              </w:rPr>
              <w:t xml:space="preserve"> -</w:t>
            </w:r>
            <w:r w:rsidRPr="7F0570DB">
              <w:rPr>
                <w:rFonts w:ascii="Times New Roman" w:eastAsia="Times New Roman" w:hAnsi="Times New Roman" w:cs="Times New Roman"/>
                <w:color w:val="000000" w:themeColor="text1"/>
              </w:rPr>
              <w:t xml:space="preserve"> will not only drive demand for today’s battery </w:t>
            </w:r>
            <w:proofErr w:type="gramStart"/>
            <w:r w:rsidRPr="7F0570DB">
              <w:rPr>
                <w:rFonts w:ascii="Times New Roman" w:eastAsia="Times New Roman" w:hAnsi="Times New Roman" w:cs="Times New Roman"/>
                <w:color w:val="000000" w:themeColor="text1"/>
              </w:rPr>
              <w:t>technologies</w:t>
            </w:r>
            <w:r w:rsidR="003B38E6">
              <w:rPr>
                <w:rFonts w:ascii="Times New Roman" w:eastAsia="Times New Roman" w:hAnsi="Times New Roman" w:cs="Times New Roman"/>
                <w:color w:val="000000" w:themeColor="text1"/>
              </w:rPr>
              <w:t>,</w:t>
            </w:r>
            <w:r w:rsidRPr="7F0570DB">
              <w:rPr>
                <w:rFonts w:ascii="Times New Roman" w:eastAsia="Times New Roman" w:hAnsi="Times New Roman" w:cs="Times New Roman"/>
                <w:color w:val="000000" w:themeColor="text1"/>
              </w:rPr>
              <w:t xml:space="preserve"> but</w:t>
            </w:r>
            <w:proofErr w:type="gramEnd"/>
            <w:r w:rsidRPr="7F0570DB">
              <w:rPr>
                <w:rFonts w:ascii="Times New Roman" w:eastAsia="Times New Roman" w:hAnsi="Times New Roman" w:cs="Times New Roman"/>
                <w:color w:val="000000" w:themeColor="text1"/>
              </w:rPr>
              <w:t xml:space="preserve"> also stimulate future demand for next-generation batteries. By aligning</w:t>
            </w:r>
            <w:r w:rsidR="2FC465E4" w:rsidRPr="7F0570DB">
              <w:rPr>
                <w:rFonts w:ascii="Times New Roman" w:eastAsia="Times New Roman" w:hAnsi="Times New Roman" w:cs="Times New Roman"/>
                <w:color w:val="000000" w:themeColor="text1"/>
              </w:rPr>
              <w:t xml:space="preserve"> the IAA</w:t>
            </w:r>
            <w:r w:rsidRPr="7F0570DB">
              <w:rPr>
                <w:rFonts w:ascii="Times New Roman" w:eastAsia="Times New Roman" w:hAnsi="Times New Roman" w:cs="Times New Roman"/>
                <w:color w:val="000000" w:themeColor="text1"/>
              </w:rPr>
              <w:t xml:space="preserve"> with market dynamics, </w:t>
            </w:r>
            <w:r w:rsidR="2FC465E4" w:rsidRPr="7F0570DB">
              <w:rPr>
                <w:rFonts w:ascii="Times New Roman" w:eastAsia="Times New Roman" w:hAnsi="Times New Roman" w:cs="Times New Roman"/>
                <w:color w:val="000000" w:themeColor="text1"/>
              </w:rPr>
              <w:t xml:space="preserve">EU-made next-generation batteries will benefit from a stable, long-term domestic market thanks to the IAA’s content requirements. This will in turn </w:t>
            </w:r>
            <w:proofErr w:type="spellStart"/>
            <w:r w:rsidR="60403A35" w:rsidRPr="7F0570DB">
              <w:rPr>
                <w:rFonts w:ascii="Times New Roman" w:eastAsia="Times New Roman" w:hAnsi="Times New Roman" w:cs="Times New Roman"/>
                <w:color w:val="000000" w:themeColor="text1"/>
              </w:rPr>
              <w:t>cataly</w:t>
            </w:r>
            <w:r w:rsidR="1099DAA7" w:rsidRPr="7F0570DB">
              <w:rPr>
                <w:rFonts w:ascii="Times New Roman" w:eastAsia="Times New Roman" w:hAnsi="Times New Roman" w:cs="Times New Roman"/>
                <w:color w:val="000000" w:themeColor="text1"/>
              </w:rPr>
              <w:t>s</w:t>
            </w:r>
            <w:r w:rsidR="60403A35" w:rsidRPr="7F0570DB">
              <w:rPr>
                <w:rFonts w:ascii="Times New Roman" w:eastAsia="Times New Roman" w:hAnsi="Times New Roman" w:cs="Times New Roman"/>
                <w:color w:val="000000" w:themeColor="text1"/>
              </w:rPr>
              <w:t>e</w:t>
            </w:r>
            <w:proofErr w:type="spellEnd"/>
            <w:r w:rsidR="2FC465E4" w:rsidRPr="7F0570DB">
              <w:rPr>
                <w:rFonts w:ascii="Times New Roman" w:eastAsia="Times New Roman" w:hAnsi="Times New Roman" w:cs="Times New Roman"/>
                <w:color w:val="000000" w:themeColor="text1"/>
              </w:rPr>
              <w:t xml:space="preserve"> significant private investment, accelerating innovation and scaling up production across the sector.</w:t>
            </w:r>
          </w:p>
        </w:tc>
      </w:tr>
    </w:tbl>
    <w:p w14:paraId="2C078E63" w14:textId="54764AE6" w:rsidR="00ED0C1F" w:rsidRDefault="00ED0C1F"/>
    <w:sectPr w:rsidR="00ED0C1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D2943" w14:textId="77777777" w:rsidR="008E398F" w:rsidRDefault="008E398F" w:rsidP="00433C85">
      <w:pPr>
        <w:spacing w:after="0" w:line="240" w:lineRule="auto"/>
      </w:pPr>
      <w:r>
        <w:separator/>
      </w:r>
    </w:p>
  </w:endnote>
  <w:endnote w:type="continuationSeparator" w:id="0">
    <w:p w14:paraId="4DE5BCA0" w14:textId="77777777" w:rsidR="008E398F" w:rsidRDefault="008E398F" w:rsidP="00433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0B2C8" w14:textId="77777777" w:rsidR="003C1C4C" w:rsidRDefault="003C1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218523"/>
      <w:docPartObj>
        <w:docPartGallery w:val="Page Numbers (Bottom of Page)"/>
        <w:docPartUnique/>
      </w:docPartObj>
    </w:sdtPr>
    <w:sdtEndPr>
      <w:rPr>
        <w:noProof/>
      </w:rPr>
    </w:sdtEndPr>
    <w:sdtContent>
      <w:p w14:paraId="69C4045A" w14:textId="011ED048" w:rsidR="003C1C4C" w:rsidRDefault="003C1C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6A0B1C" w14:textId="77777777" w:rsidR="003C1C4C" w:rsidRDefault="003C1C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A349" w14:textId="77777777" w:rsidR="003C1C4C" w:rsidRDefault="003C1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024CC" w14:textId="77777777" w:rsidR="008E398F" w:rsidRDefault="008E398F" w:rsidP="00433C85">
      <w:pPr>
        <w:spacing w:after="0" w:line="240" w:lineRule="auto"/>
      </w:pPr>
      <w:r>
        <w:separator/>
      </w:r>
    </w:p>
  </w:footnote>
  <w:footnote w:type="continuationSeparator" w:id="0">
    <w:p w14:paraId="7192E6C3" w14:textId="77777777" w:rsidR="008E398F" w:rsidRDefault="008E398F" w:rsidP="00433C85">
      <w:pPr>
        <w:spacing w:after="0" w:line="240" w:lineRule="auto"/>
      </w:pPr>
      <w:r>
        <w:continuationSeparator/>
      </w:r>
    </w:p>
  </w:footnote>
  <w:footnote w:id="1">
    <w:p w14:paraId="7FA102E0" w14:textId="59705F63" w:rsidR="00C40150" w:rsidRPr="00826835" w:rsidRDefault="00C40150" w:rsidP="00826835">
      <w:pPr>
        <w:pStyle w:val="FootnoteText"/>
        <w:widowControl w:val="0"/>
        <w:jc w:val="both"/>
        <w:rPr>
          <w:rFonts w:ascii="Times New Roman" w:hAnsi="Times New Roman" w:cs="Times New Roman"/>
          <w:lang w:val="fr-BE"/>
        </w:rPr>
      </w:pPr>
      <w:r w:rsidRPr="00826835">
        <w:rPr>
          <w:rStyle w:val="FootnoteReference"/>
          <w:rFonts w:ascii="Times New Roman" w:hAnsi="Times New Roman" w:cs="Times New Roman"/>
        </w:rPr>
        <w:footnoteRef/>
      </w:r>
      <w:r w:rsidRPr="00826835">
        <w:rPr>
          <w:rFonts w:ascii="Times New Roman" w:hAnsi="Times New Roman" w:cs="Times New Roman"/>
          <w:lang w:val="fr-BE"/>
        </w:rPr>
        <w:t xml:space="preserve"> </w:t>
      </w:r>
      <w:r w:rsidRPr="00826835">
        <w:rPr>
          <w:rFonts w:ascii="Times New Roman" w:hAnsi="Times New Roman" w:cs="Times New Roman"/>
          <w:lang w:val="fr-BE"/>
        </w:rPr>
        <w:tab/>
      </w:r>
      <w:proofErr w:type="gramStart"/>
      <w:r w:rsidRPr="00826835">
        <w:rPr>
          <w:rFonts w:ascii="Times New Roman" w:hAnsi="Times New Roman" w:cs="Times New Roman"/>
          <w:lang w:val="fr-BE"/>
        </w:rPr>
        <w:t>C(</w:t>
      </w:r>
      <w:proofErr w:type="gramEnd"/>
      <w:r w:rsidRPr="00826835">
        <w:rPr>
          <w:rFonts w:ascii="Times New Roman" w:hAnsi="Times New Roman" w:cs="Times New Roman"/>
          <w:lang w:val="fr-BE"/>
        </w:rPr>
        <w:t>2025)8950 (</w:t>
      </w:r>
      <w:hyperlink r:id="rId1" w:history="1">
        <w:r w:rsidRPr="00826835">
          <w:rPr>
            <w:rStyle w:val="Hyperlink"/>
            <w:rFonts w:ascii="Times New Roman" w:hAnsi="Times New Roman" w:cs="Times New Roman"/>
            <w:lang w:val="fr-BE"/>
          </w:rPr>
          <w:t>EUR-Lex - 52026XC00682 - EN - EUR-Lex</w:t>
        </w:r>
      </w:hyperlink>
      <w:r w:rsidRPr="00826835">
        <w:rPr>
          <w:rFonts w:ascii="Times New Roman" w:hAnsi="Times New Roman" w:cs="Times New Roman"/>
          <w:lang w:val="fr-BE"/>
        </w:rPr>
        <w:t>)</w:t>
      </w:r>
      <w:r>
        <w:rPr>
          <w:rFonts w:ascii="Times New Roman" w:hAnsi="Times New Roman" w:cs="Times New Roman"/>
          <w:lang w:val="fr-BE"/>
        </w:rPr>
        <w:t>.</w:t>
      </w:r>
    </w:p>
  </w:footnote>
  <w:footnote w:id="2">
    <w:p w14:paraId="7C675F85" w14:textId="50292887" w:rsidR="00C40150" w:rsidRPr="00826835" w:rsidRDefault="00C40150" w:rsidP="00826835">
      <w:pPr>
        <w:pStyle w:val="FootnoteText"/>
        <w:widowControl w:val="0"/>
        <w:jc w:val="both"/>
        <w:rPr>
          <w:rFonts w:ascii="Times New Roman" w:hAnsi="Times New Roman" w:cs="Times New Roman"/>
          <w:lang w:val="fr-BE"/>
        </w:rPr>
      </w:pPr>
      <w:r w:rsidRPr="00826835">
        <w:rPr>
          <w:rStyle w:val="FootnoteReference"/>
          <w:rFonts w:ascii="Times New Roman" w:hAnsi="Times New Roman" w:cs="Times New Roman"/>
        </w:rPr>
        <w:footnoteRef/>
      </w:r>
      <w:r w:rsidRPr="00826835">
        <w:rPr>
          <w:rFonts w:ascii="Times New Roman" w:hAnsi="Times New Roman" w:cs="Times New Roman"/>
          <w:lang w:val="fr-BE"/>
        </w:rPr>
        <w:t xml:space="preserve"> </w:t>
      </w:r>
      <w:r w:rsidRPr="00826835">
        <w:rPr>
          <w:rFonts w:ascii="Times New Roman" w:hAnsi="Times New Roman" w:cs="Times New Roman"/>
          <w:lang w:val="fr-BE"/>
        </w:rPr>
        <w:tab/>
      </w:r>
      <w:proofErr w:type="gramStart"/>
      <w:r w:rsidRPr="00826835">
        <w:rPr>
          <w:rFonts w:ascii="Times New Roman" w:hAnsi="Times New Roman" w:cs="Times New Roman"/>
          <w:lang w:val="fr-BE"/>
        </w:rPr>
        <w:t>COM(</w:t>
      </w:r>
      <w:proofErr w:type="gramEnd"/>
      <w:r w:rsidRPr="00826835">
        <w:rPr>
          <w:rFonts w:ascii="Times New Roman" w:hAnsi="Times New Roman" w:cs="Times New Roman"/>
          <w:lang w:val="fr-BE"/>
        </w:rPr>
        <w:t>2025)945 final (</w:t>
      </w:r>
      <w:r>
        <w:fldChar w:fldCharType="begin"/>
      </w:r>
      <w:r w:rsidRPr="00A74A82">
        <w:rPr>
          <w:lang w:val="fr-BE"/>
        </w:rPr>
        <w:instrText>HYPERLINK "https://eur-lex.europa.eu/legal-content/EN/TXT/?uri=celex:52025DC0945"</w:instrText>
      </w:r>
      <w:r>
        <w:fldChar w:fldCharType="separate"/>
      </w:r>
      <w:r w:rsidRPr="00826835">
        <w:rPr>
          <w:rStyle w:val="Hyperlink"/>
          <w:rFonts w:ascii="Times New Roman" w:hAnsi="Times New Roman" w:cs="Times New Roman"/>
          <w:lang w:val="fr-BE"/>
        </w:rPr>
        <w:t>EUR-Lex - 52025DC0945 - EN - EUR-Lex</w:t>
      </w:r>
      <w:r>
        <w:fldChar w:fldCharType="end"/>
      </w:r>
      <w:r w:rsidRPr="00826835">
        <w:rPr>
          <w:rFonts w:ascii="Times New Roman" w:hAnsi="Times New Roman" w:cs="Times New Roman"/>
          <w:lang w:val="fr-BE"/>
        </w:rPr>
        <w:t>).</w:t>
      </w:r>
    </w:p>
  </w:footnote>
  <w:footnote w:id="3">
    <w:p w14:paraId="0EDD18B9" w14:textId="4F98BBF7" w:rsidR="00433C85" w:rsidRPr="00826835" w:rsidRDefault="00433C85" w:rsidP="00433C85">
      <w:pPr>
        <w:pStyle w:val="FootnoteText"/>
        <w:rPr>
          <w:rFonts w:ascii="Times New Roman" w:hAnsi="Times New Roman" w:cs="Times New Roman"/>
          <w:lang w:val="en-IE"/>
        </w:rPr>
      </w:pPr>
      <w:r w:rsidRPr="003C1C4C">
        <w:rPr>
          <w:rStyle w:val="FootnoteReference"/>
          <w:rFonts w:ascii="Times New Roman" w:hAnsi="Times New Roman" w:cs="Times New Roman"/>
        </w:rPr>
        <w:footnoteRef/>
      </w:r>
      <w:r w:rsidRPr="003C1C4C">
        <w:rPr>
          <w:rFonts w:ascii="Times New Roman" w:hAnsi="Times New Roman" w:cs="Times New Roman"/>
        </w:rPr>
        <w:t xml:space="preserve"> </w:t>
      </w:r>
      <w:r w:rsidR="00C40150">
        <w:rPr>
          <w:rFonts w:ascii="Times New Roman" w:hAnsi="Times New Roman" w:cs="Times New Roman"/>
        </w:rPr>
        <w:tab/>
      </w:r>
      <w:hyperlink r:id="rId2" w:history="1">
        <w:r w:rsidRPr="003C1C4C">
          <w:rPr>
            <w:rStyle w:val="Hyperlink"/>
            <w:rFonts w:ascii="Times New Roman" w:hAnsi="Times New Roman" w:cs="Times New Roman"/>
          </w:rPr>
          <w:t>JRC Publications Repository - Safe and Sustainable by Design Chemicals and Materials. Revised framework (2025)</w:t>
        </w:r>
      </w:hyperlink>
      <w:r w:rsidRPr="003C1C4C">
        <w:rPr>
          <w:rFonts w:ascii="Times New Roman" w:hAnsi="Times New Roman" w:cs="Times New Roman"/>
        </w:rPr>
        <w:t>.</w:t>
      </w:r>
    </w:p>
  </w:footnote>
  <w:footnote w:id="4">
    <w:p w14:paraId="74495C56" w14:textId="742C0D12" w:rsidR="00C40150" w:rsidRPr="00826835" w:rsidRDefault="00C40150" w:rsidP="00826835">
      <w:pPr>
        <w:pStyle w:val="FootnoteText"/>
        <w:widowControl w:val="0"/>
        <w:rPr>
          <w:rFonts w:ascii="Times New Roman" w:hAnsi="Times New Roman" w:cs="Times New Roman"/>
          <w:lang w:val="en-IE"/>
        </w:rPr>
      </w:pPr>
      <w:r w:rsidRPr="00826835">
        <w:rPr>
          <w:rStyle w:val="FootnoteReference"/>
          <w:rFonts w:ascii="Times New Roman" w:hAnsi="Times New Roman" w:cs="Times New Roman"/>
        </w:rPr>
        <w:footnoteRef/>
      </w:r>
      <w:r w:rsidRPr="00826835">
        <w:rPr>
          <w:rFonts w:ascii="Times New Roman" w:hAnsi="Times New Roman" w:cs="Times New Roman"/>
          <w:lang w:val="en-IE"/>
        </w:rPr>
        <w:t xml:space="preserve"> </w:t>
      </w:r>
      <w:r w:rsidRPr="00826835">
        <w:rPr>
          <w:rFonts w:ascii="Times New Roman" w:hAnsi="Times New Roman" w:cs="Times New Roman"/>
          <w:lang w:val="en-IE"/>
        </w:rPr>
        <w:tab/>
        <w:t>COM(2026)100 final (</w:t>
      </w:r>
      <w:hyperlink r:id="rId3" w:history="1">
        <w:r w:rsidRPr="00826835">
          <w:rPr>
            <w:rStyle w:val="Hyperlink"/>
            <w:rFonts w:ascii="Times New Roman" w:hAnsi="Times New Roman" w:cs="Times New Roman"/>
            <w:lang w:val="en-IE"/>
          </w:rPr>
          <w:t>EUR-Lex - 52026PC0100 - EN - EUR-Lex</w:t>
        </w:r>
      </w:hyperlink>
      <w:r w:rsidRPr="00826835">
        <w:rPr>
          <w:rFonts w:ascii="Times New Roman" w:hAnsi="Times New Roman" w:cs="Times New Roman"/>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800B" w14:textId="77777777" w:rsidR="003C1C4C" w:rsidRDefault="003C1C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AD85F" w14:textId="77777777" w:rsidR="003C1C4C" w:rsidRDefault="003C1C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09C5" w14:textId="77777777" w:rsidR="003C1C4C" w:rsidRDefault="003C1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07A8D"/>
    <w:multiLevelType w:val="hybridMultilevel"/>
    <w:tmpl w:val="67D83F08"/>
    <w:lvl w:ilvl="0" w:tplc="BFAA8944">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C610BF6"/>
    <w:multiLevelType w:val="hybridMultilevel"/>
    <w:tmpl w:val="9768D5D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358822636">
    <w:abstractNumId w:val="1"/>
  </w:num>
  <w:num w:numId="2" w16cid:durableId="1231043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2D31C406"/>
    <w:rsid w:val="00003248"/>
    <w:rsid w:val="000233A6"/>
    <w:rsid w:val="000365F1"/>
    <w:rsid w:val="00040A0E"/>
    <w:rsid w:val="00052816"/>
    <w:rsid w:val="000C2BAE"/>
    <w:rsid w:val="000C5FB8"/>
    <w:rsid w:val="000E5E06"/>
    <w:rsid w:val="00103032"/>
    <w:rsid w:val="00105BF0"/>
    <w:rsid w:val="0010693F"/>
    <w:rsid w:val="00130D43"/>
    <w:rsid w:val="00131757"/>
    <w:rsid w:val="00153F0F"/>
    <w:rsid w:val="001543D1"/>
    <w:rsid w:val="0015575D"/>
    <w:rsid w:val="001B0733"/>
    <w:rsid w:val="001B67C4"/>
    <w:rsid w:val="001D658F"/>
    <w:rsid w:val="00204A79"/>
    <w:rsid w:val="002055CF"/>
    <w:rsid w:val="0028546E"/>
    <w:rsid w:val="002862CF"/>
    <w:rsid w:val="00292F12"/>
    <w:rsid w:val="002A1F38"/>
    <w:rsid w:val="002A2753"/>
    <w:rsid w:val="002C0FD1"/>
    <w:rsid w:val="002C1C62"/>
    <w:rsid w:val="002F3872"/>
    <w:rsid w:val="00301CB6"/>
    <w:rsid w:val="00305758"/>
    <w:rsid w:val="00324225"/>
    <w:rsid w:val="00324690"/>
    <w:rsid w:val="00350589"/>
    <w:rsid w:val="003B38E6"/>
    <w:rsid w:val="003C0365"/>
    <w:rsid w:val="003C1C4C"/>
    <w:rsid w:val="003C3B2C"/>
    <w:rsid w:val="003D4D7D"/>
    <w:rsid w:val="003D5F19"/>
    <w:rsid w:val="003F15F5"/>
    <w:rsid w:val="003F2550"/>
    <w:rsid w:val="00401D09"/>
    <w:rsid w:val="0040250E"/>
    <w:rsid w:val="00433407"/>
    <w:rsid w:val="00433C85"/>
    <w:rsid w:val="00467554"/>
    <w:rsid w:val="004C1D8E"/>
    <w:rsid w:val="004D66EE"/>
    <w:rsid w:val="004F538C"/>
    <w:rsid w:val="004F6D30"/>
    <w:rsid w:val="0051573B"/>
    <w:rsid w:val="0051659E"/>
    <w:rsid w:val="005518C3"/>
    <w:rsid w:val="00571DC9"/>
    <w:rsid w:val="005859F2"/>
    <w:rsid w:val="00592B9B"/>
    <w:rsid w:val="005B3C09"/>
    <w:rsid w:val="005C1826"/>
    <w:rsid w:val="005C18EE"/>
    <w:rsid w:val="005D35D0"/>
    <w:rsid w:val="005F74D9"/>
    <w:rsid w:val="00617CDF"/>
    <w:rsid w:val="00621A10"/>
    <w:rsid w:val="00626615"/>
    <w:rsid w:val="00626F4F"/>
    <w:rsid w:val="006339A9"/>
    <w:rsid w:val="00682150"/>
    <w:rsid w:val="007336C8"/>
    <w:rsid w:val="00733AB9"/>
    <w:rsid w:val="00734514"/>
    <w:rsid w:val="00736EDA"/>
    <w:rsid w:val="007405BF"/>
    <w:rsid w:val="00783AC4"/>
    <w:rsid w:val="007B7B09"/>
    <w:rsid w:val="0080439A"/>
    <w:rsid w:val="00815635"/>
    <w:rsid w:val="00826835"/>
    <w:rsid w:val="0083781E"/>
    <w:rsid w:val="008A743E"/>
    <w:rsid w:val="008B732C"/>
    <w:rsid w:val="008E398F"/>
    <w:rsid w:val="008F7172"/>
    <w:rsid w:val="009168B4"/>
    <w:rsid w:val="0092065E"/>
    <w:rsid w:val="009953D5"/>
    <w:rsid w:val="009C348A"/>
    <w:rsid w:val="009E1DBE"/>
    <w:rsid w:val="009F5C68"/>
    <w:rsid w:val="00A13B2B"/>
    <w:rsid w:val="00A45B54"/>
    <w:rsid w:val="00A650ED"/>
    <w:rsid w:val="00A72198"/>
    <w:rsid w:val="00A74A82"/>
    <w:rsid w:val="00AA6FEE"/>
    <w:rsid w:val="00AB04D6"/>
    <w:rsid w:val="00AC12F3"/>
    <w:rsid w:val="00AC69D7"/>
    <w:rsid w:val="00AD7061"/>
    <w:rsid w:val="00AE05BF"/>
    <w:rsid w:val="00B33748"/>
    <w:rsid w:val="00B3649A"/>
    <w:rsid w:val="00B52501"/>
    <w:rsid w:val="00B708B3"/>
    <w:rsid w:val="00B7321B"/>
    <w:rsid w:val="00B841C1"/>
    <w:rsid w:val="00B87541"/>
    <w:rsid w:val="00BB3C7C"/>
    <w:rsid w:val="00BD5B56"/>
    <w:rsid w:val="00C40150"/>
    <w:rsid w:val="00C55CD1"/>
    <w:rsid w:val="00C94619"/>
    <w:rsid w:val="00C94A73"/>
    <w:rsid w:val="00CA4162"/>
    <w:rsid w:val="00CB2B49"/>
    <w:rsid w:val="00CB2DED"/>
    <w:rsid w:val="00CF0458"/>
    <w:rsid w:val="00CF5030"/>
    <w:rsid w:val="00D047A0"/>
    <w:rsid w:val="00D0621A"/>
    <w:rsid w:val="00D24D6E"/>
    <w:rsid w:val="00D37081"/>
    <w:rsid w:val="00D61AA3"/>
    <w:rsid w:val="00D71D76"/>
    <w:rsid w:val="00D922F2"/>
    <w:rsid w:val="00D96C33"/>
    <w:rsid w:val="00DA6993"/>
    <w:rsid w:val="00DE1144"/>
    <w:rsid w:val="00E545C6"/>
    <w:rsid w:val="00E704EB"/>
    <w:rsid w:val="00EB779A"/>
    <w:rsid w:val="00ED0C1F"/>
    <w:rsid w:val="00ED10E5"/>
    <w:rsid w:val="00EF3FF7"/>
    <w:rsid w:val="00F261F5"/>
    <w:rsid w:val="00F5623C"/>
    <w:rsid w:val="00F76334"/>
    <w:rsid w:val="00F90AC2"/>
    <w:rsid w:val="00FA1436"/>
    <w:rsid w:val="00FB51CF"/>
    <w:rsid w:val="00FB7239"/>
    <w:rsid w:val="00FF08AD"/>
    <w:rsid w:val="00FF1680"/>
    <w:rsid w:val="01674653"/>
    <w:rsid w:val="02A2B453"/>
    <w:rsid w:val="036C25F6"/>
    <w:rsid w:val="039D1856"/>
    <w:rsid w:val="03AA34D8"/>
    <w:rsid w:val="043567A0"/>
    <w:rsid w:val="05A43B82"/>
    <w:rsid w:val="060582C8"/>
    <w:rsid w:val="072AE02E"/>
    <w:rsid w:val="0848BD54"/>
    <w:rsid w:val="0959BC8C"/>
    <w:rsid w:val="0A5C7321"/>
    <w:rsid w:val="0E4B263B"/>
    <w:rsid w:val="0E4ECB36"/>
    <w:rsid w:val="0FFD5425"/>
    <w:rsid w:val="107D982F"/>
    <w:rsid w:val="1099DAA7"/>
    <w:rsid w:val="115FC33B"/>
    <w:rsid w:val="11864D87"/>
    <w:rsid w:val="126240E9"/>
    <w:rsid w:val="129D89D0"/>
    <w:rsid w:val="14C9B39B"/>
    <w:rsid w:val="153CC6B7"/>
    <w:rsid w:val="15CD8C48"/>
    <w:rsid w:val="161F4FD0"/>
    <w:rsid w:val="16441DA7"/>
    <w:rsid w:val="16BBF912"/>
    <w:rsid w:val="17636962"/>
    <w:rsid w:val="1866F17C"/>
    <w:rsid w:val="193E01EE"/>
    <w:rsid w:val="1C8BC0AF"/>
    <w:rsid w:val="1CBC7EE0"/>
    <w:rsid w:val="1DFEB077"/>
    <w:rsid w:val="1FE45C97"/>
    <w:rsid w:val="20004C59"/>
    <w:rsid w:val="221412D2"/>
    <w:rsid w:val="239EE386"/>
    <w:rsid w:val="23BF2441"/>
    <w:rsid w:val="24DABD23"/>
    <w:rsid w:val="2694DC3C"/>
    <w:rsid w:val="26E7514C"/>
    <w:rsid w:val="27B21B75"/>
    <w:rsid w:val="292272AA"/>
    <w:rsid w:val="298B5F73"/>
    <w:rsid w:val="29F9B294"/>
    <w:rsid w:val="2CB1DB04"/>
    <w:rsid w:val="2D31C406"/>
    <w:rsid w:val="2D881C91"/>
    <w:rsid w:val="2FC465E4"/>
    <w:rsid w:val="33FE9364"/>
    <w:rsid w:val="3485CC48"/>
    <w:rsid w:val="360BE19D"/>
    <w:rsid w:val="36240811"/>
    <w:rsid w:val="3869EB0E"/>
    <w:rsid w:val="3AB10D99"/>
    <w:rsid w:val="3AC60058"/>
    <w:rsid w:val="4157CEEF"/>
    <w:rsid w:val="4250CC64"/>
    <w:rsid w:val="429B7F14"/>
    <w:rsid w:val="45DBB1CE"/>
    <w:rsid w:val="46E9C72E"/>
    <w:rsid w:val="4713AFF7"/>
    <w:rsid w:val="479C8054"/>
    <w:rsid w:val="47C37983"/>
    <w:rsid w:val="4B60F183"/>
    <w:rsid w:val="4C4F4247"/>
    <w:rsid w:val="4C66E43F"/>
    <w:rsid w:val="4DDFADA6"/>
    <w:rsid w:val="4E89B8FC"/>
    <w:rsid w:val="4EDB1ED0"/>
    <w:rsid w:val="4F961FB0"/>
    <w:rsid w:val="4F9623AA"/>
    <w:rsid w:val="5102883D"/>
    <w:rsid w:val="510F6B12"/>
    <w:rsid w:val="51401473"/>
    <w:rsid w:val="5145FD17"/>
    <w:rsid w:val="51FB76A5"/>
    <w:rsid w:val="52FDCE33"/>
    <w:rsid w:val="53E23FEE"/>
    <w:rsid w:val="53F358D9"/>
    <w:rsid w:val="547B8497"/>
    <w:rsid w:val="54B21062"/>
    <w:rsid w:val="551614E8"/>
    <w:rsid w:val="55AB7C36"/>
    <w:rsid w:val="55FF8A43"/>
    <w:rsid w:val="5627A7C1"/>
    <w:rsid w:val="574C088B"/>
    <w:rsid w:val="57A794B0"/>
    <w:rsid w:val="57C6C519"/>
    <w:rsid w:val="57D4FFA8"/>
    <w:rsid w:val="58BF715D"/>
    <w:rsid w:val="5B084AAB"/>
    <w:rsid w:val="5BA405B4"/>
    <w:rsid w:val="5C0E71E7"/>
    <w:rsid w:val="5C56F306"/>
    <w:rsid w:val="5D6BB525"/>
    <w:rsid w:val="5D886B74"/>
    <w:rsid w:val="60403A35"/>
    <w:rsid w:val="605C2503"/>
    <w:rsid w:val="6467B9E1"/>
    <w:rsid w:val="65816769"/>
    <w:rsid w:val="673AC8EC"/>
    <w:rsid w:val="67DDA2EE"/>
    <w:rsid w:val="69056B1E"/>
    <w:rsid w:val="6917F54A"/>
    <w:rsid w:val="695654C9"/>
    <w:rsid w:val="6AC31DA9"/>
    <w:rsid w:val="6B2ACCFB"/>
    <w:rsid w:val="6B746BBE"/>
    <w:rsid w:val="6B8B62F7"/>
    <w:rsid w:val="6CD125A9"/>
    <w:rsid w:val="6CD3F546"/>
    <w:rsid w:val="6F6366F7"/>
    <w:rsid w:val="6F6B4E22"/>
    <w:rsid w:val="6FA37C91"/>
    <w:rsid w:val="6FAC5ACE"/>
    <w:rsid w:val="707A898B"/>
    <w:rsid w:val="70F552D4"/>
    <w:rsid w:val="711E4BE0"/>
    <w:rsid w:val="71C90722"/>
    <w:rsid w:val="725AC0DA"/>
    <w:rsid w:val="730D1465"/>
    <w:rsid w:val="747F3E01"/>
    <w:rsid w:val="74C0F004"/>
    <w:rsid w:val="75C871A4"/>
    <w:rsid w:val="75D05EAF"/>
    <w:rsid w:val="762D9B24"/>
    <w:rsid w:val="76AD8993"/>
    <w:rsid w:val="770C500E"/>
    <w:rsid w:val="775A2E8F"/>
    <w:rsid w:val="79479010"/>
    <w:rsid w:val="7987ADFC"/>
    <w:rsid w:val="7B2C2582"/>
    <w:rsid w:val="7B415861"/>
    <w:rsid w:val="7BD5AA65"/>
    <w:rsid w:val="7D6BCDE5"/>
    <w:rsid w:val="7D6EBD79"/>
    <w:rsid w:val="7E4293D4"/>
    <w:rsid w:val="7E72CF15"/>
    <w:rsid w:val="7EFAD056"/>
    <w:rsid w:val="7F0570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1C406"/>
  <w15:chartTrackingRefBased/>
  <w15:docId w15:val="{F723099B-7266-461B-A10A-0B18CB29C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762D9B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261F5"/>
    <w:pPr>
      <w:ind w:left="720"/>
      <w:contextualSpacing/>
    </w:pPr>
  </w:style>
  <w:style w:type="paragraph" w:styleId="Revision">
    <w:name w:val="Revision"/>
    <w:hidden/>
    <w:uiPriority w:val="99"/>
    <w:semiHidden/>
    <w:rsid w:val="00433C85"/>
    <w:pPr>
      <w:spacing w:after="0" w:line="240" w:lineRule="auto"/>
    </w:pPr>
  </w:style>
  <w:style w:type="paragraph" w:styleId="FootnoteText">
    <w:name w:val="footnote text"/>
    <w:basedOn w:val="Normal"/>
    <w:link w:val="FootnoteTextChar"/>
    <w:uiPriority w:val="99"/>
    <w:semiHidden/>
    <w:unhideWhenUsed/>
    <w:rsid w:val="00433C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3C85"/>
    <w:rPr>
      <w:sz w:val="20"/>
      <w:szCs w:val="20"/>
    </w:rPr>
  </w:style>
  <w:style w:type="character" w:styleId="FootnoteReference">
    <w:name w:val="footnote reference"/>
    <w:basedOn w:val="DefaultParagraphFont"/>
    <w:uiPriority w:val="99"/>
    <w:semiHidden/>
    <w:unhideWhenUsed/>
    <w:rsid w:val="00433C85"/>
    <w:rPr>
      <w:vertAlign w:val="superscript"/>
    </w:rPr>
  </w:style>
  <w:style w:type="character" w:styleId="Hyperlink">
    <w:name w:val="Hyperlink"/>
    <w:uiPriority w:val="99"/>
    <w:unhideWhenUsed/>
    <w:rsid w:val="00433C85"/>
    <w:rPr>
      <w:color w:val="0563C1"/>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D61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AA3"/>
  </w:style>
  <w:style w:type="paragraph" w:styleId="Footer">
    <w:name w:val="footer"/>
    <w:basedOn w:val="Normal"/>
    <w:link w:val="FooterChar"/>
    <w:uiPriority w:val="99"/>
    <w:unhideWhenUsed/>
    <w:rsid w:val="00D61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AA3"/>
  </w:style>
  <w:style w:type="character" w:styleId="UnresolvedMention">
    <w:name w:val="Unresolved Mention"/>
    <w:basedOn w:val="DefaultParagraphFont"/>
    <w:uiPriority w:val="99"/>
    <w:semiHidden/>
    <w:unhideWhenUsed/>
    <w:rsid w:val="00C40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796793">
      <w:bodyDiv w:val="1"/>
      <w:marLeft w:val="0"/>
      <w:marRight w:val="0"/>
      <w:marTop w:val="0"/>
      <w:marBottom w:val="0"/>
      <w:divBdr>
        <w:top w:val="none" w:sz="0" w:space="0" w:color="auto"/>
        <w:left w:val="none" w:sz="0" w:space="0" w:color="auto"/>
        <w:bottom w:val="none" w:sz="0" w:space="0" w:color="auto"/>
        <w:right w:val="none" w:sz="0" w:space="0" w:color="auto"/>
      </w:divBdr>
    </w:div>
    <w:div w:id="187349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52026PC0100" TargetMode="External"/><Relationship Id="rId2" Type="http://schemas.openxmlformats.org/officeDocument/2006/relationships/hyperlink" Target="https://publications.jrc.ec.europa.eu/repository/handle/JRC143022" TargetMode="External"/><Relationship Id="rId1" Type="http://schemas.openxmlformats.org/officeDocument/2006/relationships/hyperlink" Target="https://eur-lex.europa.eu/eli/C/2026/682/oj/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D2C354A9B80F4897019BC7E2880A88" ma:contentTypeVersion="4" ma:contentTypeDescription="Create a new document." ma:contentTypeScope="" ma:versionID="caea1a69ce3dc0c39cc726368ded7aa8">
  <xsd:schema xmlns:xsd="http://www.w3.org/2001/XMLSchema" xmlns:xs="http://www.w3.org/2001/XMLSchema" xmlns:p="http://schemas.microsoft.com/office/2006/metadata/properties" xmlns:ns2="2a565401-6124-4834-af4c-bc1a772a6083" targetNamespace="http://schemas.microsoft.com/office/2006/metadata/properties" ma:root="true" ma:fieldsID="2283f32238b260abd87f3a6f43294de9" ns2:_="">
    <xsd:import namespace="2a565401-6124-4834-af4c-bc1a772a60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65401-6124-4834-af4c-bc1a772a6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47B448-E108-4268-981B-71AC4B578820}">
  <ds:schemaRefs>
    <ds:schemaRef ds:uri="http://schemas.openxmlformats.org/officeDocument/2006/bibliography"/>
  </ds:schemaRefs>
</ds:datastoreItem>
</file>

<file path=customXml/itemProps2.xml><?xml version="1.0" encoding="utf-8"?>
<ds:datastoreItem xmlns:ds="http://schemas.openxmlformats.org/officeDocument/2006/customXml" ds:itemID="{4830CC48-3941-4006-B472-FB77B95DF769}">
  <ds:schemaRefs>
    <ds:schemaRef ds:uri="http://schemas.microsoft.com/sharepoint/v3/contenttype/forms"/>
  </ds:schemaRefs>
</ds:datastoreItem>
</file>

<file path=customXml/itemProps3.xml><?xml version="1.0" encoding="utf-8"?>
<ds:datastoreItem xmlns:ds="http://schemas.openxmlformats.org/officeDocument/2006/customXml" ds:itemID="{1DE77639-E8B7-42D3-8CEC-88738E955F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D471B6-4F7E-4296-AC39-F600FB89B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65401-6124-4834-af4c-bc1a772a6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1083</Words>
  <Characters>6362</Characters>
  <Application>Microsoft Office Word</Application>
  <DocSecurity>0</DocSecurity>
  <Lines>94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 Erik (GROW-EXT)</dc:creator>
  <cp:keywords/>
  <dc:description/>
  <cp:lastModifiedBy>ROSSI Simona (SG)</cp:lastModifiedBy>
  <cp:revision>2</cp:revision>
  <dcterms:created xsi:type="dcterms:W3CDTF">2026-06-29T20:15:00Z</dcterms:created>
  <dcterms:modified xsi:type="dcterms:W3CDTF">2026-06-29T20:15:00Z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0x01010078D2C354A9B80F4897019BC7E2880A88</vt:lpwstr>
  </property>
  <property fmtid="{D5CDD505-2E9C-101B-9397-08002B2CF9AE}" pid="3" name="MSIP_Label_6bd9ddd1-4d20-43f6-abfa-fc3c07406f94_Enabled">
    <vt:lpwstr>true</vt:lpwstr>
  </property>
  <property fmtid="{D5CDD505-2E9C-101B-9397-08002B2CF9AE}" pid="4" name="MSIP_Label_6bd9ddd1-4d20-43f6-abfa-fc3c07406f94_SetDate">
    <vt:lpwstr>2026-03-23T15:55:51Z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376b88dd-9880-4d90-b0ea-1ea3ec1d65be</vt:lpwstr>
  </property>
  <property fmtid="{D5CDD505-2E9C-101B-9397-08002B2CF9AE}" pid="9" name="MSIP_Label_6bd9ddd1-4d20-43f6-abfa-fc3c07406f94_ContentBits">
    <vt:lpwstr>0</vt:lpwstr>
  </property>
  <property fmtid="{D5CDD505-2E9C-101B-9397-08002B2CF9AE}" pid="10" name="MSIP_Label_6bd9ddd1-4d20-43f6-abfa-fc3c07406f94_Tag">
    <vt:lpwstr>10, 3, 0, 2</vt:lpwstr>
  </property>
</Properties>
</file>