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B6F8" w14:textId="52782251" w:rsidR="00464E03" w:rsidRPr="006C47AE" w:rsidRDefault="00D62BE8" w:rsidP="00464E03">
      <w:pPr>
        <w:spacing w:after="0"/>
        <w:jc w:val="center"/>
        <w:rPr>
          <w:b/>
          <w:sz w:val="16"/>
          <w:szCs w:val="16"/>
        </w:rPr>
      </w:pPr>
      <w:r>
        <w:rPr>
          <w:b/>
          <w:noProof/>
          <w:sz w:val="16"/>
        </w:rPr>
        <mc:AlternateContent>
          <mc:Choice Requires="wps">
            <w:drawing>
              <wp:anchor distT="0" distB="0" distL="114300" distR="114300" simplePos="0" relativeHeight="251659264" behindDoc="1" locked="0" layoutInCell="0" allowOverlap="1" wp14:anchorId="4E0E5C7F" wp14:editId="57FFAB88">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wps:spPr>
                      <wps:txbx>
                        <w:txbxContent>
                          <w:p w14:paraId="14573DCE" w14:textId="77777777" w:rsidR="00392266" w:rsidRDefault="00D62BE8">
                            <w:pPr>
                              <w:jc w:val="center"/>
                              <w:rPr>
                                <w:rFonts w:ascii="Arial" w:hAnsi="Arial" w:cs="Arial"/>
                                <w:b/>
                                <w:bCs/>
                                <w:sz w:val="48"/>
                              </w:rPr>
                            </w:pPr>
                            <w:r>
                              <w:rPr>
                                <w:rFonts w:ascii="Arial" w:hAnsi="Arial"/>
                                <w:b/>
                                <w:sz w:val="48"/>
                              </w:rPr>
                              <w:t>SQ</w:t>
                            </w:r>
                          </w:p>
                        </w:txbxContent>
                      </wps:txbx>
                      <wps:bodyPr rot="0" vert="horz" wrap="square" lIns="91440" tIns="45720" rIns="91440" bIns="45720" anchor="t" anchorCtr="0" upright="1">
                        <a:noAutofit/>
                      </wps:bodyPr>
                    </wps:wsp>
                  </a:graphicData>
                </a:graphic>
              </wp:anchor>
            </w:drawing>
          </mc:Choice>
          <mc:Fallback>
            <w:pict>
              <v:shapetype w14:anchorId="4E0E5C7F"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14573DCE" w14:textId="77777777" w:rsidR="00392266" w:rsidRDefault="00D62BE8">
                      <w:pPr>
                        <w:jc w:val="center"/>
                        <w:rPr>
                          <w:rFonts w:ascii="Arial" w:hAnsi="Arial" w:cs="Arial"/>
                          <w:b/>
                          <w:bCs/>
                          <w:sz w:val="48"/>
                        </w:rPr>
                      </w:pPr>
                      <w:r>
                        <w:rPr>
                          <w:rFonts w:ascii="Arial" w:hAnsi="Arial"/>
                          <w:b/>
                          <w:sz w:val="48"/>
                        </w:rPr>
                        <w:t>SQ</w:t>
                      </w:r>
                    </w:p>
                  </w:txbxContent>
                </v:textbox>
                <w10:wrap anchorx="page" anchory="page"/>
              </v:shape>
            </w:pict>
          </mc:Fallback>
        </mc:AlternateContent>
      </w:r>
    </w:p>
    <w:p w14:paraId="07190AB4" w14:textId="77777777" w:rsidR="00315E9A" w:rsidRPr="00315E9A" w:rsidRDefault="00315E9A" w:rsidP="00FE7042">
      <w:pPr>
        <w:spacing w:after="0"/>
        <w:jc w:val="center"/>
        <w:rPr>
          <w:b/>
          <w:sz w:val="16"/>
          <w:szCs w:val="16"/>
          <w:lang w:val="en-GB"/>
        </w:rPr>
      </w:pPr>
    </w:p>
    <w:p w14:paraId="072D2970" w14:textId="453115AB" w:rsidR="00392266" w:rsidRDefault="00FE7042" w:rsidP="00FE7042">
      <w:pPr>
        <w:spacing w:after="0"/>
        <w:jc w:val="center"/>
        <w:rPr>
          <w:b/>
          <w:sz w:val="32"/>
          <w:szCs w:val="32"/>
        </w:rPr>
      </w:pPr>
      <w:r>
        <w:rPr>
          <w:b/>
          <w:sz w:val="32"/>
        </w:rPr>
        <w:t xml:space="preserve">KONKLUZIONE </w:t>
      </w:r>
    </w:p>
    <w:p w14:paraId="372DAE6C" w14:textId="74BD94A8" w:rsidR="00FE7042" w:rsidRPr="00FE7042" w:rsidRDefault="009C52FE" w:rsidP="00FE7042">
      <w:pPr>
        <w:spacing w:after="0"/>
        <w:jc w:val="center"/>
        <w:rPr>
          <w:b/>
          <w:sz w:val="24"/>
          <w:szCs w:val="24"/>
        </w:rPr>
      </w:pPr>
      <w:r>
        <w:rPr>
          <w:b/>
          <w:sz w:val="24"/>
        </w:rPr>
        <w:t>të Konferencës së Nivelit të Lartë të Shoqërisë Civile të BE-së dhe Ballkanit Perëndimor: Besimi dhe Partneriteti në Qendër të Zgjerimit të BE-së - 29 maj 2026, Vjenë, Austri</w:t>
      </w:r>
    </w:p>
    <w:p w14:paraId="6A9B5792" w14:textId="77777777" w:rsidR="00392266" w:rsidRPr="00390E0E" w:rsidRDefault="00392266">
      <w:pPr>
        <w:spacing w:after="0"/>
        <w:jc w:val="both"/>
        <w:rPr>
          <w:lang w:val="en-GB"/>
        </w:rPr>
      </w:pPr>
    </w:p>
    <w:p w14:paraId="17F5A113" w14:textId="77777777" w:rsidR="00315E9A" w:rsidRPr="00315E9A" w:rsidRDefault="00315E9A">
      <w:pPr>
        <w:spacing w:after="0"/>
        <w:jc w:val="both"/>
        <w:rPr>
          <w:rFonts w:cstheme="minorHAnsi"/>
          <w:sz w:val="6"/>
          <w:szCs w:val="6"/>
          <w:lang w:val="en-GB"/>
        </w:rPr>
      </w:pPr>
    </w:p>
    <w:p w14:paraId="647B78DC" w14:textId="7405A771" w:rsidR="00392266" w:rsidRPr="00390E0E" w:rsidRDefault="00D62BE8">
      <w:pPr>
        <w:spacing w:after="0"/>
        <w:jc w:val="both"/>
        <w:rPr>
          <w:rFonts w:cstheme="minorHAnsi"/>
        </w:rPr>
      </w:pPr>
      <w:r>
        <w:t>Pjesëmarrësit:</w:t>
      </w:r>
    </w:p>
    <w:p w14:paraId="6FD87200" w14:textId="77777777" w:rsidR="00392266" w:rsidRPr="00390E0E" w:rsidRDefault="00392266">
      <w:pPr>
        <w:spacing w:after="0"/>
        <w:jc w:val="both"/>
        <w:rPr>
          <w:rFonts w:cstheme="minorHAnsi"/>
          <w:lang w:val="en-GB"/>
        </w:rPr>
      </w:pPr>
    </w:p>
    <w:p w14:paraId="60E9350A" w14:textId="43CF5084" w:rsidR="007C6DA9" w:rsidRPr="00390E0E" w:rsidRDefault="00353964" w:rsidP="00C37434">
      <w:pPr>
        <w:pStyle w:val="ListParagraph"/>
        <w:numPr>
          <w:ilvl w:val="0"/>
          <w:numId w:val="1"/>
        </w:numPr>
        <w:ind w:left="0"/>
        <w:jc w:val="both"/>
        <w:rPr>
          <w:rFonts w:cstheme="minorHAnsi"/>
          <w:kern w:val="2"/>
          <w14:ligatures w14:val="standardContextual"/>
        </w:rPr>
      </w:pPr>
      <w:r>
        <w:t>riafirmojnë se zgjerimi i BE-së është një investim gjeostrategjik në një Evropë të qëndrueshme, të sigurt dhe të bashkuar, dhe se një proces anëtarësimi i besueshëm dhe i bazuar në merita, mbetet një nga mjetet më të fuqishme të BE-së për promovimin e demokracisë, prosperitetit dhe sigurisë në të gjithë kontinentin;</w:t>
      </w:r>
    </w:p>
    <w:p w14:paraId="60B26F83" w14:textId="77777777" w:rsidR="007C6DA9" w:rsidRPr="00390E0E" w:rsidRDefault="007C6DA9" w:rsidP="007C6DA9">
      <w:pPr>
        <w:pStyle w:val="ListParagraph"/>
        <w:ind w:left="0"/>
        <w:jc w:val="both"/>
        <w:rPr>
          <w:rFonts w:cstheme="minorHAnsi"/>
          <w:kern w:val="2"/>
          <w:lang w:val="en-GB" w:eastAsia="hr-HR"/>
          <w14:ligatures w14:val="standardContextual"/>
        </w:rPr>
      </w:pPr>
    </w:p>
    <w:p w14:paraId="34465421" w14:textId="20F38599" w:rsidR="00611953" w:rsidRPr="00390E0E" w:rsidRDefault="00D927BB" w:rsidP="00C37434">
      <w:pPr>
        <w:pStyle w:val="ListParagraph"/>
        <w:numPr>
          <w:ilvl w:val="0"/>
          <w:numId w:val="1"/>
        </w:numPr>
        <w:ind w:left="0"/>
        <w:jc w:val="both"/>
        <w:rPr>
          <w:rFonts w:cstheme="minorHAnsi"/>
          <w:kern w:val="2"/>
          <w14:ligatures w14:val="standardContextual"/>
        </w:rPr>
      </w:pPr>
      <w:r>
        <w:t>theksojnë se përparësitë gjeopolitike nuk duhet të ndikojnë në cilësinë e reformave dhe se kushtëzimi duhet të zbatohet në mënyrë metodike, objektive dhe transparente. Progresi i besueshëm në fushat e shtetit të së drejtës, politikave kundër korrupsionit, lirisë së medias dhe mbrojtjes së të drejtave themelore mbetet thelbësor për legjitimitetin dhe qëndrueshmërinë e procesit të zgjerimit;</w:t>
      </w:r>
    </w:p>
    <w:p w14:paraId="34D02B77" w14:textId="77777777" w:rsidR="00611953" w:rsidRPr="00950F09" w:rsidRDefault="00611953" w:rsidP="00C37434">
      <w:pPr>
        <w:pStyle w:val="ListParagraph"/>
        <w:ind w:left="0"/>
        <w:jc w:val="both"/>
        <w:rPr>
          <w:rFonts w:cstheme="minorHAnsi"/>
          <w:kern w:val="2"/>
          <w:lang w:eastAsia="hr-HR"/>
          <w14:ligatures w14:val="standardContextual"/>
        </w:rPr>
      </w:pPr>
    </w:p>
    <w:p w14:paraId="0175B658" w14:textId="2DED5BE1" w:rsidR="00353964" w:rsidRPr="00390E0E" w:rsidRDefault="0011465A" w:rsidP="00C37434">
      <w:pPr>
        <w:pStyle w:val="ListParagraph"/>
        <w:numPr>
          <w:ilvl w:val="0"/>
          <w:numId w:val="1"/>
        </w:numPr>
        <w:ind w:left="0"/>
        <w:jc w:val="both"/>
        <w:rPr>
          <w:rFonts w:cstheme="minorHAnsi"/>
          <w:kern w:val="2"/>
          <w14:ligatures w14:val="standardContextual"/>
        </w:rPr>
      </w:pPr>
      <w:r>
        <w:t>theksojnë rolin thelbësor të shoqërisë civile të organizuar në procesin e anëtarësimit në BE dhe rolin e Komitetit Evropian Ekonomik dhe Social (KESE) në forcimin e bashkëpunimit midis partnerëve socialë dhe organizatave të shoqërisë civile të Ballkanit Perëndimor dhe homologëve të tyre në BE;</w:t>
      </w:r>
    </w:p>
    <w:p w14:paraId="06930DF5" w14:textId="64AFF51B" w:rsidR="00392266" w:rsidRPr="00950F09" w:rsidRDefault="00392266" w:rsidP="00C37434">
      <w:pPr>
        <w:pStyle w:val="ListParagraph"/>
        <w:spacing w:after="0"/>
        <w:ind w:left="0"/>
        <w:jc w:val="both"/>
        <w:rPr>
          <w:rFonts w:cstheme="minorHAnsi"/>
        </w:rPr>
      </w:pPr>
    </w:p>
    <w:p w14:paraId="38DAA479" w14:textId="29B3B737" w:rsidR="00611953" w:rsidRPr="00390E0E" w:rsidRDefault="00611953" w:rsidP="00C37434">
      <w:pPr>
        <w:pStyle w:val="ListParagraph"/>
        <w:numPr>
          <w:ilvl w:val="0"/>
          <w:numId w:val="1"/>
        </w:numPr>
        <w:ind w:left="0"/>
        <w:jc w:val="both"/>
        <w:rPr>
          <w:rFonts w:cstheme="minorHAnsi"/>
          <w:kern w:val="2"/>
          <w14:ligatures w14:val="standardContextual"/>
        </w:rPr>
      </w:pPr>
      <w:r>
        <w:t>vërejnë se, duke qenë se zgjerimi është një proces i bazuar në merita, disa vende kandidate mund të përparojnë në procesin e anëtarësimit në BE më shpejt se të tjerat; shprehin besim se do të vazhdojë ritmi pozitiv i negociatave të anëtarësimit për Malin e Zi dhe Shqipërinë; nënvizojnë rëndësinë e zgjedhjeve që do të bëjë Serbia për të rikthyer besimin tek institucionet demokratike dhe për të rindërtuar urat e bashkëpunimit me qytetarët, të rinjtë dhe shoqërinë civile të saj; shprehin besim se Maqedonia e Veriut dhe Bosnjë-Hercegovina do jenë në gjendje të hapin së shpejti grupkapitullin “Themeloret” të negociatave të anëtarësimit në BE dhe se Kosova</w:t>
      </w:r>
      <w:r w:rsidR="00C37434" w:rsidRPr="00390E0E">
        <w:rPr>
          <w:rStyle w:val="FootnoteReference"/>
          <w:rFonts w:cstheme="minorHAnsi"/>
          <w:kern w:val="2"/>
          <w:lang w:val="en-GB" w:eastAsia="hr-HR"/>
        </w:rPr>
        <w:footnoteReference w:id="1"/>
      </w:r>
      <w:r>
        <w:t xml:space="preserve"> do të marrë statusin e vendit kandidat për në BE;</w:t>
      </w:r>
    </w:p>
    <w:p w14:paraId="5A6E19DD" w14:textId="77777777" w:rsidR="00EE67D9" w:rsidRPr="00950F09" w:rsidRDefault="00EE67D9" w:rsidP="00C37434">
      <w:pPr>
        <w:pStyle w:val="ListParagraph"/>
        <w:ind w:left="0"/>
        <w:jc w:val="both"/>
        <w:rPr>
          <w:rFonts w:cstheme="minorHAnsi"/>
          <w:kern w:val="2"/>
          <w:lang w:eastAsia="hr-HR"/>
          <w14:ligatures w14:val="standardContextual"/>
        </w:rPr>
      </w:pPr>
    </w:p>
    <w:p w14:paraId="4D88EBA1" w14:textId="6E8878F7" w:rsidR="006B60B2" w:rsidRPr="00390E0E" w:rsidRDefault="00B139BE" w:rsidP="00D927BB">
      <w:pPr>
        <w:pStyle w:val="ListParagraph"/>
        <w:numPr>
          <w:ilvl w:val="0"/>
          <w:numId w:val="1"/>
        </w:numPr>
        <w:ind w:left="0"/>
        <w:jc w:val="both"/>
        <w:rPr>
          <w:rFonts w:cstheme="minorHAnsi"/>
          <w:kern w:val="2"/>
          <w14:ligatures w14:val="standardContextual"/>
        </w:rPr>
      </w:pPr>
      <w:r>
        <w:t>bëjnë thirrje për përpjekje të intensifikuara diplomatike dhe politike për të zgjidhur mosmarrëveshjet dypalëshe dhe për të mbështetur pajtimin, duke vënë në dukje se nëse nuk normalizohen marrëdhëniet në rajon, bashkëpunimi rajonal kuptimplotë dhe rruga e besueshme drejt zgjerimit do të mbeten të vështira për t’u arritur;</w:t>
      </w:r>
    </w:p>
    <w:p w14:paraId="4ECBD1EA" w14:textId="77777777" w:rsidR="001B7A46" w:rsidRPr="00950F09" w:rsidRDefault="001B7A46" w:rsidP="00C37434">
      <w:pPr>
        <w:pStyle w:val="ListParagraph"/>
        <w:ind w:left="0"/>
        <w:jc w:val="both"/>
        <w:rPr>
          <w:rFonts w:cstheme="minorHAnsi"/>
          <w:kern w:val="2"/>
          <w:lang w:eastAsia="hr-HR"/>
          <w14:ligatures w14:val="standardContextual"/>
        </w:rPr>
      </w:pPr>
    </w:p>
    <w:p w14:paraId="38D6BDB6" w14:textId="7B3E298D" w:rsidR="0004674D" w:rsidRPr="00390E0E" w:rsidRDefault="0004674D" w:rsidP="00C37434">
      <w:pPr>
        <w:pStyle w:val="ListParagraph"/>
        <w:numPr>
          <w:ilvl w:val="0"/>
          <w:numId w:val="1"/>
        </w:numPr>
        <w:ind w:left="0"/>
        <w:jc w:val="both"/>
        <w:rPr>
          <w:rFonts w:cstheme="minorHAnsi"/>
          <w:kern w:val="2"/>
          <w14:ligatures w14:val="standardContextual"/>
        </w:rPr>
      </w:pPr>
      <w:r>
        <w:t>shprehin mbështetje të fortë për një qasje graduale, të parashikueshme dhe të bazuar në merita në lidhje me anëtarësimin, ku përfitimet varen nga progresi, me kusht që objektivi përfundimtar të mbetet anëtarësimi i plotë;</w:t>
      </w:r>
    </w:p>
    <w:p w14:paraId="504A5327" w14:textId="77777777" w:rsidR="005B3D63" w:rsidRPr="00950F09" w:rsidRDefault="005B3D63" w:rsidP="00C37434">
      <w:pPr>
        <w:pStyle w:val="ListParagraph"/>
        <w:spacing w:after="0"/>
        <w:ind w:left="0"/>
        <w:jc w:val="both"/>
        <w:rPr>
          <w:rFonts w:cstheme="minorHAnsi"/>
        </w:rPr>
      </w:pPr>
    </w:p>
    <w:p w14:paraId="6F9F9D46" w14:textId="3537E0D6" w:rsidR="00E55D4F" w:rsidRPr="00390E0E" w:rsidRDefault="00E55D4F" w:rsidP="00C37434">
      <w:pPr>
        <w:pStyle w:val="ListParagraph"/>
        <w:numPr>
          <w:ilvl w:val="0"/>
          <w:numId w:val="1"/>
        </w:numPr>
        <w:ind w:left="0"/>
        <w:jc w:val="both"/>
        <w:rPr>
          <w:rFonts w:cstheme="minorHAnsi"/>
          <w:kern w:val="2"/>
          <w14:ligatures w14:val="standardContextual"/>
        </w:rPr>
      </w:pPr>
      <w:r>
        <w:t>theksojnë se komunikimi strategjik mbi përfitimet dhe sfidat e anëtarësimit është thelbësor si në Ballkanin Perëndimor ashtu edhe në shtetet anëtare të BE-së, duke përfshirë mesazhe të qarta se si zgjerimi forcon sigurinë, qëndrueshmërinë ekonomike, demokracinë dhe konkurrueshmërinë e Evropës; theksojnë se zgjerimi ndihmon në forcimin e konkurrueshmërisë afatgjatë, qëndrueshmërinë ekonomike dhe autonominë strategjike të Evropës;</w:t>
      </w:r>
    </w:p>
    <w:p w14:paraId="284FFCD2" w14:textId="77777777" w:rsidR="004B11EE" w:rsidRPr="00950F09" w:rsidRDefault="004B11EE" w:rsidP="00C37434">
      <w:pPr>
        <w:pStyle w:val="ListParagraph"/>
        <w:spacing w:after="0"/>
        <w:ind w:left="0"/>
        <w:jc w:val="both"/>
        <w:rPr>
          <w:rFonts w:cstheme="minorHAnsi"/>
        </w:rPr>
      </w:pPr>
    </w:p>
    <w:p w14:paraId="0B52BF79" w14:textId="4CB55A66" w:rsidR="00D927BB" w:rsidRPr="00390E0E" w:rsidRDefault="00FD488C" w:rsidP="00D927BB">
      <w:pPr>
        <w:pStyle w:val="ListParagraph"/>
        <w:numPr>
          <w:ilvl w:val="0"/>
          <w:numId w:val="1"/>
        </w:numPr>
        <w:ind w:left="0"/>
        <w:jc w:val="both"/>
        <w:rPr>
          <w:rFonts w:cstheme="minorHAnsi"/>
          <w:kern w:val="2"/>
          <w14:ligatures w14:val="standardContextual"/>
        </w:rPr>
      </w:pPr>
      <w:r>
        <w:t>bëjnë thirrje për një përpjekje të koordinuar midis institucioneve të BE-së, shteteve anëtare dhe shoqërisë civile të organizuar për të luftuar keqinformimin dhe manipulimin nga aktorë të huaj në lidhje me zgjerimin përmes të dhënave transparente, debatit publik të bazuar në fakte dhe angazhimit të drejtpërdrejtë të qytetarëve;</w:t>
      </w:r>
    </w:p>
    <w:p w14:paraId="02AAE5DE" w14:textId="77777777" w:rsidR="00D927BB" w:rsidRPr="00950F09" w:rsidRDefault="00D927BB" w:rsidP="00D927BB">
      <w:pPr>
        <w:pStyle w:val="ListParagraph"/>
        <w:ind w:left="0"/>
        <w:jc w:val="both"/>
        <w:rPr>
          <w:rFonts w:cstheme="minorHAnsi"/>
          <w:kern w:val="2"/>
          <w:lang w:eastAsia="hr-HR"/>
          <w14:ligatures w14:val="standardContextual"/>
        </w:rPr>
      </w:pPr>
    </w:p>
    <w:p w14:paraId="3CD2A666" w14:textId="64DECBA5" w:rsidR="00C37434" w:rsidRPr="00390E0E" w:rsidRDefault="00C37434" w:rsidP="00D927BB">
      <w:pPr>
        <w:pStyle w:val="ListParagraph"/>
        <w:numPr>
          <w:ilvl w:val="0"/>
          <w:numId w:val="1"/>
        </w:numPr>
        <w:ind w:left="0"/>
        <w:jc w:val="both"/>
        <w:rPr>
          <w:rFonts w:cstheme="minorHAnsi"/>
          <w:kern w:val="2"/>
          <w14:ligatures w14:val="standardContextual"/>
        </w:rPr>
      </w:pPr>
      <w:r>
        <w:t>nënvizojnë se zgjerimi dhe siguria janë gjithnjë e më të ndërlidhura; bëjnë thirrje për forcimin e qëndrueshmërisë demokratike, duke përfshirë mbrojtjen e hapësirave për veprim të shoqërisë civile dhe mediave të pavarura, si edhe për thellimin e bashkëpunimit në prioritetet që lidhen me qëndrueshmërinë, të tilla si lufta kundër keqinformimit dhe ndërhyrjeve keqdashëse, ngritja e kapaciteteve të sigurisë kibernetike dhe rritja e gatishmërisë për përballimin e krizave ndërkufitare;</w:t>
      </w:r>
    </w:p>
    <w:p w14:paraId="7846619B" w14:textId="77777777" w:rsidR="00C37434" w:rsidRPr="00950F09" w:rsidRDefault="00C37434" w:rsidP="00C37434">
      <w:pPr>
        <w:pStyle w:val="ListParagraph"/>
        <w:jc w:val="both"/>
        <w:rPr>
          <w:kern w:val="2"/>
          <w:lang w:eastAsia="hr-HR"/>
          <w14:ligatures w14:val="standardContextual"/>
        </w:rPr>
      </w:pPr>
    </w:p>
    <w:p w14:paraId="0A5985AD" w14:textId="143D510A" w:rsidR="00C37434" w:rsidRPr="00390E0E" w:rsidRDefault="00C37434" w:rsidP="00C37434">
      <w:pPr>
        <w:pStyle w:val="ListParagraph"/>
        <w:numPr>
          <w:ilvl w:val="0"/>
          <w:numId w:val="1"/>
        </w:numPr>
        <w:ind w:left="0"/>
        <w:jc w:val="both"/>
        <w:rPr>
          <w:rFonts w:cstheme="minorHAnsi"/>
          <w:kern w:val="2"/>
          <w14:ligatures w14:val="standardContextual"/>
        </w:rPr>
      </w:pPr>
      <w:r>
        <w:t>i kërkojnë BE-së ta trajtojë Ballkanin Perëndimor si partner strategjik të sigurisë dhe ta angazhojë rajonin në mënyrë më sistematike, nga pikëpamja politike, ekonomike dhe operacionale, në kuadrot e mbrojtjes së BE-së, me qëllim forcimin e gatishmërisë së përgjithshme të mbrojtjes së Bashkimit Evropian dhe autonomisë së tij strategjike;</w:t>
      </w:r>
    </w:p>
    <w:p w14:paraId="15223175" w14:textId="77777777" w:rsidR="007B634F" w:rsidRPr="00950F09" w:rsidRDefault="007B634F" w:rsidP="00C37434">
      <w:pPr>
        <w:pStyle w:val="ListParagraph"/>
        <w:spacing w:after="0"/>
        <w:ind w:left="0"/>
        <w:jc w:val="both"/>
        <w:rPr>
          <w:rFonts w:cstheme="minorHAnsi"/>
        </w:rPr>
      </w:pPr>
    </w:p>
    <w:p w14:paraId="380BD62F" w14:textId="47EDBF37" w:rsidR="006F329F" w:rsidRPr="00390E0E" w:rsidRDefault="006F329F" w:rsidP="00C37434">
      <w:pPr>
        <w:pStyle w:val="ListParagraph"/>
        <w:numPr>
          <w:ilvl w:val="0"/>
          <w:numId w:val="1"/>
        </w:numPr>
        <w:ind w:left="0"/>
        <w:jc w:val="both"/>
        <w:rPr>
          <w:rFonts w:cstheme="minorHAnsi"/>
          <w:kern w:val="2"/>
          <w14:ligatures w14:val="standardContextual"/>
        </w:rPr>
      </w:pPr>
      <w:r>
        <w:t>mirëpresin përfshirjen e vendeve kandidate në nismën “Mburoja Evropiane për Demokracinë” dhe strategjinë e BE-së për shoqërinë civile, dhe shprehin mbështetjen për krijimin e një rrjeti evropian të verifikuesve të fakteve dhe për përpjekjet për të forcuar sistemet e paralajmërimit të hershëm të BE-së për t'iu përgjigjur më mirë kërcënimeve të reja dhe tkurrjes të hapësirave për veprim të shoqërisë civile;</w:t>
      </w:r>
    </w:p>
    <w:p w14:paraId="4BCA313D" w14:textId="77777777" w:rsidR="006F329F" w:rsidRPr="00950F09" w:rsidRDefault="006F329F" w:rsidP="00C37434">
      <w:pPr>
        <w:pStyle w:val="ListParagraph"/>
        <w:ind w:left="0"/>
        <w:jc w:val="both"/>
        <w:rPr>
          <w:rFonts w:cstheme="minorHAnsi"/>
          <w:kern w:val="2"/>
          <w:lang w:eastAsia="hr-HR"/>
          <w14:ligatures w14:val="standardContextual"/>
        </w:rPr>
      </w:pPr>
    </w:p>
    <w:p w14:paraId="5AA2CC54" w14:textId="1B215CA3" w:rsidR="0013048F" w:rsidRPr="00390E0E" w:rsidRDefault="0013048F" w:rsidP="00C37434">
      <w:pPr>
        <w:pStyle w:val="ListParagraph"/>
        <w:numPr>
          <w:ilvl w:val="0"/>
          <w:numId w:val="1"/>
        </w:numPr>
        <w:ind w:left="0"/>
        <w:jc w:val="both"/>
        <w:rPr>
          <w:rFonts w:cstheme="minorHAnsi"/>
          <w:kern w:val="2"/>
          <w14:ligatures w14:val="standardContextual"/>
        </w:rPr>
      </w:pPr>
      <w:r>
        <w:t>i bëjnë thirrje Komisionit Evropian dhe institucioneve, organeve dhe agjencive të tjera të BE-së të intensifikojnë mbështetjen për ngritjen e kapaciteteve administrative në vendet kandidate dhe të lejojnë që një sërë nëpunësish civilë nga vendet kandidate të punojnë në institucionet e BE-së gjatë procesit të anëtarësimit për t'u mundësuar atyre të njihen me politikat dhe proceset legjislative të BE-së;</w:t>
      </w:r>
    </w:p>
    <w:p w14:paraId="060E76CD" w14:textId="77777777" w:rsidR="00A241B0" w:rsidRPr="00950F09" w:rsidRDefault="00A241B0" w:rsidP="00C37434">
      <w:pPr>
        <w:pStyle w:val="ListParagraph"/>
        <w:spacing w:after="0"/>
        <w:ind w:left="0"/>
        <w:jc w:val="both"/>
        <w:rPr>
          <w:rFonts w:cstheme="minorHAnsi"/>
        </w:rPr>
      </w:pPr>
    </w:p>
    <w:p w14:paraId="6B4002CD" w14:textId="0E334073" w:rsidR="00A241B0" w:rsidRPr="00390E0E" w:rsidRDefault="00A241B0" w:rsidP="00C37434">
      <w:pPr>
        <w:pStyle w:val="ListParagraph"/>
        <w:numPr>
          <w:ilvl w:val="0"/>
          <w:numId w:val="1"/>
        </w:numPr>
        <w:ind w:left="0"/>
        <w:jc w:val="both"/>
        <w:rPr>
          <w:rFonts w:cstheme="minorHAnsi"/>
          <w:kern w:val="2"/>
          <w14:ligatures w14:val="standardContextual"/>
        </w:rPr>
      </w:pPr>
      <w:r>
        <w:t>theksojnë vlerën e shtuar të nismës “Anëtarët Kandidatë për Zgjerim” të KESE-s si një shembull praktik i zbatimit të anëtarësimit gradual; ftojnë institucionet dhe organet e tjera të BE-së që të ndjekin këtë qasje duke krijuar mekanizma të ngjashëm për integrim gradual;</w:t>
      </w:r>
    </w:p>
    <w:p w14:paraId="1F0FF883" w14:textId="77777777" w:rsidR="00EE748A" w:rsidRPr="00950F09" w:rsidRDefault="00EE748A" w:rsidP="00C37434">
      <w:pPr>
        <w:pStyle w:val="ListParagraph"/>
        <w:ind w:left="0"/>
        <w:jc w:val="both"/>
        <w:rPr>
          <w:rFonts w:cstheme="minorHAnsi"/>
          <w:kern w:val="2"/>
          <w:lang w:eastAsia="hr-HR"/>
          <w14:ligatures w14:val="standardContextual"/>
        </w:rPr>
      </w:pPr>
    </w:p>
    <w:p w14:paraId="2E2344FB" w14:textId="326C5651" w:rsidR="00EE748A" w:rsidRPr="00390E0E" w:rsidRDefault="00EE748A" w:rsidP="00C37434">
      <w:pPr>
        <w:pStyle w:val="ListParagraph"/>
        <w:numPr>
          <w:ilvl w:val="0"/>
          <w:numId w:val="1"/>
        </w:numPr>
        <w:ind w:left="0"/>
        <w:jc w:val="both"/>
        <w:rPr>
          <w:rFonts w:cstheme="minorHAnsi"/>
          <w:kern w:val="2"/>
          <w14:ligatures w14:val="standardContextual"/>
        </w:rPr>
      </w:pPr>
      <w:r>
        <w:t xml:space="preserve">konstatojnë se investimi në kohezionin social, ekonomik dhe territorial është i nevojshëm për të pasur një rritje të qëndrueshme dhe vende pune cilësore; rekomandojnë që reformat dhe investimet në lidhje me kapitalin njerëzor të kenë përparësi në axhendat e reformave dhe që për të gjitha masat të përcaktohen tregues të rezultateve të bazuar në objektiva socialë dhe zhvillimorë; theksojnë </w:t>
      </w:r>
      <w:r>
        <w:lastRenderedPageBreak/>
        <w:t>rëndësinë e investimit në arsim, formim profesional, zhvillim të aftësive dhe mundësi për punësim cilësor;</w:t>
      </w:r>
    </w:p>
    <w:p w14:paraId="6C6A64B6" w14:textId="77777777" w:rsidR="00A241B0" w:rsidRPr="00950F09" w:rsidRDefault="00A241B0" w:rsidP="00C37434">
      <w:pPr>
        <w:pStyle w:val="ListParagraph"/>
        <w:ind w:left="0"/>
        <w:jc w:val="both"/>
        <w:rPr>
          <w:rFonts w:cstheme="minorHAnsi"/>
          <w:kern w:val="2"/>
          <w:lang w:eastAsia="hr-HR"/>
          <w14:ligatures w14:val="standardContextual"/>
        </w:rPr>
      </w:pPr>
    </w:p>
    <w:p w14:paraId="2F8118AE" w14:textId="30EEFE4E" w:rsidR="00190B4D" w:rsidRPr="00390E0E" w:rsidRDefault="005D28F3" w:rsidP="00D927BB">
      <w:pPr>
        <w:pStyle w:val="ListParagraph"/>
        <w:numPr>
          <w:ilvl w:val="0"/>
          <w:numId w:val="1"/>
        </w:numPr>
        <w:spacing w:after="0"/>
        <w:ind w:left="0"/>
        <w:jc w:val="both"/>
        <w:rPr>
          <w:rFonts w:cstheme="minorHAnsi"/>
          <w:kern w:val="2"/>
          <w14:ligatures w14:val="standardContextual"/>
        </w:rPr>
      </w:pPr>
      <w:r>
        <w:t>nënvizojnë se procesi i zgjerimit duhet të mbështesë tranzicionet e gjelbra dhe dixhitale me drejtësi sociale, si dhe të përfshijë investime në infrastrukturë të qëndrueshme, energji të pastër, lidhshmëri dixhitale dhe zhvillim të aftësive;</w:t>
      </w:r>
    </w:p>
    <w:p w14:paraId="4091CB1F" w14:textId="77777777" w:rsidR="00190B4D" w:rsidRPr="00950F09" w:rsidRDefault="00190B4D" w:rsidP="00190B4D">
      <w:pPr>
        <w:pStyle w:val="ListParagraph"/>
        <w:spacing w:after="0"/>
        <w:ind w:left="0"/>
        <w:jc w:val="both"/>
        <w:rPr>
          <w:rFonts w:cstheme="minorHAnsi"/>
          <w:kern w:val="2"/>
          <w:lang w:eastAsia="hr-HR"/>
          <w14:ligatures w14:val="standardContextual"/>
        </w:rPr>
      </w:pPr>
    </w:p>
    <w:p w14:paraId="082E4953" w14:textId="419D3432" w:rsidR="00D927BB" w:rsidRPr="00390E0E" w:rsidRDefault="00D927BB" w:rsidP="00D927BB">
      <w:pPr>
        <w:pStyle w:val="ListParagraph"/>
        <w:numPr>
          <w:ilvl w:val="0"/>
          <w:numId w:val="1"/>
        </w:numPr>
        <w:spacing w:after="0"/>
        <w:ind w:left="0"/>
        <w:jc w:val="both"/>
        <w:rPr>
          <w:rFonts w:cstheme="minorHAnsi"/>
          <w:kern w:val="2"/>
          <w14:ligatures w14:val="standardContextual"/>
        </w:rPr>
      </w:pPr>
      <w:r>
        <w:t>theksojnë fuqimisht se, duke pasur parasysh përshtatjet rregullatore dhe investimet e konsiderueshme që nevojiten, partnerët socialë dhe organizatat e shoqërisë civile kanë një rol mjaft të rëndësishëm për të luajtur në konvergjencën socioekonomike të Ballkanit Perëndimor me BE-në dhe në tranzicionin drejt një shoqërie më të qëndrueshme. Ato ngushtojnë hendekun midis institucioneve kombëtare dhe publikut të gjerë dhe janë vendimtare për përmbushjen e objektivave të Shtyllës Evropiane të të Drejtave Sociale;</w:t>
      </w:r>
    </w:p>
    <w:p w14:paraId="3E9AEFD1" w14:textId="77777777" w:rsidR="00D927BB" w:rsidRPr="00950F09" w:rsidRDefault="00D927BB" w:rsidP="00D927BB">
      <w:pPr>
        <w:pStyle w:val="ListParagraph"/>
        <w:spacing w:after="0"/>
        <w:ind w:left="0"/>
        <w:jc w:val="both"/>
        <w:rPr>
          <w:rFonts w:cstheme="minorHAnsi"/>
          <w:kern w:val="2"/>
          <w:lang w:eastAsia="hr-HR"/>
          <w14:ligatures w14:val="standardContextual"/>
        </w:rPr>
      </w:pPr>
    </w:p>
    <w:p w14:paraId="48277AAF" w14:textId="186428A5" w:rsidR="00340480" w:rsidRPr="00390E0E" w:rsidRDefault="00340480" w:rsidP="00C37434">
      <w:pPr>
        <w:pStyle w:val="ListParagraph"/>
        <w:numPr>
          <w:ilvl w:val="0"/>
          <w:numId w:val="1"/>
        </w:numPr>
        <w:spacing w:after="0"/>
        <w:ind w:left="0"/>
        <w:jc w:val="both"/>
        <w:rPr>
          <w:rFonts w:cstheme="minorHAnsi"/>
          <w:kern w:val="2"/>
          <w14:ligatures w14:val="standardContextual"/>
        </w:rPr>
      </w:pPr>
      <w:r>
        <w:t>theksojnë se shtylla financiare e planit të rritjes është e pamjaftueshme për të ofruar një ndikim realisht transformues dhe i bëjnë thirrje Komisionit Evropian, Parlamentit Evropian dhe Këshillit që të rrisin në masë të konsiderueshme komponentin e grantit dhe të sigurojnë një alokim shumëvjeçar të mbrojtur në mënyrë strukturore për vendet që janë pjesë e zgjerimit në kuadër të seksionit “Evropa Globale” të Kuadrit Financiar Shumëvjeçar (MFF), bazuar në metodologji transparente dhe të parashikueshme të alokimit që pasqyrojnë nevojat e popullsisë dhe konvergjencës së secilit vend kandidat;</w:t>
      </w:r>
    </w:p>
    <w:p w14:paraId="55EE2445" w14:textId="77777777" w:rsidR="002D371E" w:rsidRPr="00950F09" w:rsidRDefault="002D371E" w:rsidP="002D371E">
      <w:pPr>
        <w:pStyle w:val="ListParagraph"/>
        <w:spacing w:after="0"/>
        <w:ind w:left="0"/>
        <w:jc w:val="both"/>
        <w:rPr>
          <w:rFonts w:cstheme="minorHAnsi"/>
          <w:kern w:val="2"/>
          <w:lang w:eastAsia="hr-HR"/>
          <w14:ligatures w14:val="standardContextual"/>
        </w:rPr>
      </w:pPr>
    </w:p>
    <w:p w14:paraId="796B208E" w14:textId="3BBA2173" w:rsidR="002D371E" w:rsidRPr="00390E0E" w:rsidRDefault="00D6032D" w:rsidP="002D371E">
      <w:pPr>
        <w:pStyle w:val="ListParagraph"/>
        <w:numPr>
          <w:ilvl w:val="0"/>
          <w:numId w:val="1"/>
        </w:numPr>
        <w:spacing w:after="0"/>
        <w:ind w:left="0"/>
        <w:jc w:val="both"/>
        <w:rPr>
          <w:rFonts w:cstheme="minorHAnsi"/>
          <w:kern w:val="2"/>
          <w14:ligatures w14:val="standardContextual"/>
        </w:rPr>
      </w:pPr>
      <w:r>
        <w:t>theksojnë se MFF-ja e ardhshme duhet të ruajë një arkitekturë qartësisht të identifikueshme financimi për procesin e zgjerimit në kuadër të Instrumentit “Evropa Globale”, duke siguruar programim shumëvjeçar të parashikueshëm, mekanizma qeverisjeje specifikë për procesin e anëtarësimit dhe mbështetje afatgjatë për shoqërinë civile. Organizatat e pavarura të shoqërisë civile dhe mediat e pavarura duhet të mbeten të kualifikueshme në kuadër të instrumenteve përkatëse të BE-së dhe të përfitojnë nga linja financimi të dedikuara dhe të rezervuara për funksionet e advokimit, mbikëqyrjes, monitorimit dhe pjesëmarrjes qytetare, të cilat janë thelbësore për qëndrueshmërinë demokratike dhe besueshmërinë e procesit të zgjerimit;</w:t>
      </w:r>
    </w:p>
    <w:p w14:paraId="7BC41ED2" w14:textId="77777777" w:rsidR="00A8764B" w:rsidRPr="00950F09" w:rsidRDefault="00A8764B" w:rsidP="00C37434">
      <w:pPr>
        <w:pStyle w:val="ListParagraph"/>
        <w:spacing w:after="0"/>
        <w:ind w:left="0"/>
        <w:jc w:val="both"/>
        <w:rPr>
          <w:rFonts w:cstheme="minorHAnsi"/>
          <w:kern w:val="2"/>
          <w:lang w:eastAsia="hr-HR"/>
          <w14:ligatures w14:val="standardContextual"/>
        </w:rPr>
      </w:pPr>
    </w:p>
    <w:p w14:paraId="202140E6" w14:textId="6EA201E8" w:rsidR="00A8764B" w:rsidRPr="00390E0E" w:rsidRDefault="00A8764B" w:rsidP="00C37434">
      <w:pPr>
        <w:pStyle w:val="ListParagraph"/>
        <w:numPr>
          <w:ilvl w:val="0"/>
          <w:numId w:val="1"/>
        </w:numPr>
        <w:spacing w:after="0"/>
        <w:ind w:left="0"/>
        <w:jc w:val="both"/>
        <w:rPr>
          <w:rFonts w:cstheme="minorHAnsi"/>
          <w:kern w:val="2"/>
          <w14:ligatures w14:val="standardContextual"/>
        </w:rPr>
      </w:pPr>
      <w:r>
        <w:t xml:space="preserve">theksojnë nevojën për përafrimin e mekanizmit të Instrumentit për Reforma dhe Rritje për Ballkanin Perëndimor (RGFWB) me parimet dhe qeverisjen e politikës së kohezionit, me qëllim përgatitjen e institucioneve të Ballkanit Perëndimor për qasje të ardhshme në fondet e politikës së kohezionit dhe në të gjitha financimet e tjera përkatëse që do të jenë të disponueshme në kuadër të MFF-së së ardhshme; kërkojnë gjithashtu thjeshtim të procedurave të financimit të paraanëtarësimit për të shmangur pengesat administrative; nënvizojnë se MFF-ja e ardhshme duhet të përfshijë një mekanizëm të posaçëm tranzicioni të paraanëtarësimit, duke ngushtuar hendekun midis përmbylljes së negociatave të anëtarësimit dhe anëtarësimit të plotë, me qëllim parandalimin e vështirësive në kapacitetin e përthithjes së fondeve dhe sigurimin e vazhdimësisë së ritmit të reformave gjatë viteve të para të anëtarësimit; </w:t>
      </w:r>
    </w:p>
    <w:p w14:paraId="287EBB2A" w14:textId="77777777" w:rsidR="008A4925" w:rsidRPr="00950F09" w:rsidRDefault="008A4925" w:rsidP="00C37434">
      <w:pPr>
        <w:pStyle w:val="ListParagraph"/>
        <w:spacing w:after="0"/>
        <w:ind w:left="0"/>
        <w:jc w:val="both"/>
        <w:rPr>
          <w:rFonts w:cstheme="minorHAnsi"/>
        </w:rPr>
      </w:pPr>
    </w:p>
    <w:p w14:paraId="7D8EF49A" w14:textId="5C75BF09" w:rsidR="00086C3C" w:rsidRPr="00390E0E" w:rsidRDefault="00086C3C" w:rsidP="00C37434">
      <w:pPr>
        <w:pStyle w:val="ListParagraph"/>
        <w:numPr>
          <w:ilvl w:val="0"/>
          <w:numId w:val="1"/>
        </w:numPr>
        <w:spacing w:after="0"/>
        <w:ind w:left="0"/>
        <w:jc w:val="both"/>
        <w:rPr>
          <w:rFonts w:cstheme="minorHAnsi"/>
          <w:kern w:val="2"/>
          <w14:ligatures w14:val="standardContextual"/>
        </w:rPr>
      </w:pPr>
      <w:r>
        <w:t xml:space="preserve">nënvizojnë se qasja e bazuar në performancë e RGFWB-së forcon besueshmërinë dhe pakthyeshmërinë e reformave të nxitura nga procesi i zgjerimit. Për këtë qëllim, RGFWB-ja duhet të zbatohet me transparencë të lartë, standarde të verifikueshme vlerësimi dhe qeverisje gjithëpërfshirëse; theksojnë se kushtëzimi i lidhur me progresin në demokraci, shtetin e së drejtës, administratën publike dhe qeverisjen ekonomike duhet të zbatohet në mënyrë konsistente dhe </w:t>
      </w:r>
      <w:r>
        <w:lastRenderedPageBreak/>
        <w:t>objektive, si dhe se besimi i publikut nga vlerësimet e Komisionit që janë metodike, të bazuara në prova dhe të kuptueshme;</w:t>
      </w:r>
    </w:p>
    <w:p w14:paraId="0E72C42A" w14:textId="77777777" w:rsidR="00C37434" w:rsidRPr="00950F09" w:rsidRDefault="00C37434" w:rsidP="00C37434">
      <w:pPr>
        <w:pStyle w:val="ListParagraph"/>
        <w:spacing w:after="0"/>
        <w:ind w:left="0"/>
        <w:jc w:val="both"/>
        <w:rPr>
          <w:rFonts w:cstheme="minorHAnsi"/>
          <w:kern w:val="2"/>
          <w:lang w:eastAsia="hr-HR"/>
          <w14:ligatures w14:val="standardContextual"/>
        </w:rPr>
      </w:pPr>
    </w:p>
    <w:p w14:paraId="24DCB0BB" w14:textId="6113B25F" w:rsidR="00C37434" w:rsidRPr="00390E0E" w:rsidRDefault="00C37434" w:rsidP="00C37434">
      <w:pPr>
        <w:pStyle w:val="ListParagraph"/>
        <w:numPr>
          <w:ilvl w:val="0"/>
          <w:numId w:val="1"/>
        </w:numPr>
        <w:spacing w:after="0"/>
        <w:ind w:left="0"/>
        <w:jc w:val="both"/>
        <w:rPr>
          <w:rFonts w:cstheme="minorHAnsi"/>
          <w:kern w:val="2"/>
          <w14:ligatures w14:val="standardContextual"/>
        </w:rPr>
      </w:pPr>
      <w:r>
        <w:t>nxisin Komisionin Evropian dhe përfituesit e RGFWB-së që të bëjnë publike, në kohën e duhur dhe në formate të aksesueshme, axhendat e reformave, raportet e progresit të paraqitura nga qeveritë, si dhe vlerësimet e tjera përkatëse; gjithashtu, mirëpresin mbështetjen dhe miratimin e propozimit të KESE-s për krijimin e një tabele vlerësimi për RGFWB-në, të modeluar sipas Tabelës së Vlerësimeve të Rimëkëmbjes dhe Qëndrueshmërisë, si një mjet kyç për transparencën dhe gjithëpërfshirjen;</w:t>
      </w:r>
    </w:p>
    <w:p w14:paraId="2487BDED" w14:textId="77777777" w:rsidR="001367FF" w:rsidRPr="00950F09" w:rsidRDefault="001367FF" w:rsidP="00C37434">
      <w:pPr>
        <w:pStyle w:val="ListParagraph"/>
        <w:spacing w:after="0"/>
        <w:ind w:left="0"/>
        <w:jc w:val="both"/>
        <w:rPr>
          <w:rFonts w:cstheme="minorHAnsi"/>
          <w:kern w:val="2"/>
          <w:lang w:eastAsia="hr-HR"/>
          <w14:ligatures w14:val="standardContextual"/>
        </w:rPr>
      </w:pPr>
    </w:p>
    <w:p w14:paraId="5FB57FA3" w14:textId="455F9363" w:rsidR="00A306A7" w:rsidRPr="00390E0E" w:rsidRDefault="00A306A7" w:rsidP="00C37434">
      <w:pPr>
        <w:pStyle w:val="ListParagraph"/>
        <w:numPr>
          <w:ilvl w:val="0"/>
          <w:numId w:val="1"/>
        </w:numPr>
        <w:spacing w:after="0"/>
        <w:ind w:left="0"/>
        <w:jc w:val="both"/>
        <w:rPr>
          <w:rFonts w:cstheme="minorHAnsi"/>
          <w:kern w:val="2"/>
          <w14:ligatures w14:val="standardContextual"/>
        </w:rPr>
      </w:pPr>
      <w:r>
        <w:t>rekomandojnë që Komisioni Evropian të nxjerrë udhëzime publike mbi mënyrën e vlerësimit të përmbushjes së plotë dhe të pjesshme të treguesve të zbatimit të axhendave të reformave, duke përfshirë standardet e verifikimit, trajtimin e përmbushjes së pjesshme, si dhe procedurat për adresimin e regresit në përmbushjen e kushteve që më parë janë konsideruar të përmbushura; theksojnë se kushtëzimi duhet të jetë i projektuar për të nxitur zbatimin e reformave dhe jo për të penalizuar dobësitë strukturore të kapaciteteve, dhe duhet të mbetet kryesisht i lidhur me piketat për anëtarësimin, shtetin e së drejtës dhe zbatimin e reformave, duke përfshirë fleksibilitet të mjaftueshëm dhe mbështetje aty ku kufizimet strukturore kufizojnë kapacitetin e zbatimit;</w:t>
      </w:r>
    </w:p>
    <w:p w14:paraId="74E6D217" w14:textId="77777777" w:rsidR="006A5B97" w:rsidRPr="00950F09" w:rsidRDefault="006A5B97" w:rsidP="00C37434">
      <w:pPr>
        <w:pStyle w:val="ListParagraph"/>
        <w:jc w:val="both"/>
        <w:rPr>
          <w:rFonts w:cstheme="minorHAnsi"/>
          <w:kern w:val="2"/>
          <w:lang w:eastAsia="hr-HR"/>
          <w14:ligatures w14:val="standardContextual"/>
        </w:rPr>
      </w:pPr>
    </w:p>
    <w:p w14:paraId="51B05C53" w14:textId="4C1DC52E" w:rsidR="00B13054" w:rsidRPr="00390E0E" w:rsidRDefault="00FD3762" w:rsidP="00C37434">
      <w:pPr>
        <w:pStyle w:val="ListParagraph"/>
        <w:numPr>
          <w:ilvl w:val="0"/>
          <w:numId w:val="1"/>
        </w:numPr>
        <w:spacing w:after="0"/>
        <w:ind w:left="0"/>
        <w:jc w:val="both"/>
        <w:rPr>
          <w:rFonts w:cstheme="minorHAnsi"/>
          <w:kern w:val="2"/>
          <w14:ligatures w14:val="standardContextual"/>
        </w:rPr>
      </w:pPr>
      <w:r>
        <w:t>theksojnë se angazhimi aktiv i shoqërisë civile duhet të trajtohet si një kusht strukturor i qeverisjes, thelbësor për qëndrueshmërinë e procesit të zgjerimit; vënë dukje se angazhimi i shoqërisë në reformat e mbështetura nga instrumenti kërkon një rol të përhershëm, aktiv, të strukturuar dhe të institucionalizuar zyrtarisht për partnerët socialë dhe organizatat e shoqërisë civile, krahas autoriteteve kombëtare;</w:t>
      </w:r>
    </w:p>
    <w:p w14:paraId="3E175C2F" w14:textId="77777777" w:rsidR="00EE748A" w:rsidRPr="00950F09" w:rsidRDefault="00EE748A" w:rsidP="00C37434">
      <w:pPr>
        <w:pStyle w:val="ListParagraph"/>
        <w:spacing w:after="0"/>
        <w:ind w:left="0"/>
        <w:jc w:val="both"/>
        <w:rPr>
          <w:rFonts w:cstheme="minorHAnsi"/>
          <w:kern w:val="2"/>
          <w:lang w:eastAsia="hr-HR"/>
          <w14:ligatures w14:val="standardContextual"/>
        </w:rPr>
      </w:pPr>
    </w:p>
    <w:p w14:paraId="47DAADD3" w14:textId="2A32A4E5" w:rsidR="00EE748A" w:rsidRPr="00390E0E" w:rsidRDefault="00EE748A" w:rsidP="00C37434">
      <w:pPr>
        <w:pStyle w:val="ListParagraph"/>
        <w:numPr>
          <w:ilvl w:val="0"/>
          <w:numId w:val="1"/>
        </w:numPr>
        <w:spacing w:after="0"/>
        <w:ind w:left="0"/>
        <w:jc w:val="both"/>
        <w:rPr>
          <w:rFonts w:cstheme="minorHAnsi"/>
          <w:kern w:val="2"/>
          <w14:ligatures w14:val="standardContextual"/>
        </w:rPr>
      </w:pPr>
      <w:r>
        <w:t>rekomandojnë që zbatimi i planit të rritjes dhe i RGFWB-së të shoqërohet me masa të synuara për forcimin e kapaciteteve administrative kombëtare, si dhe të kapaciteteve të partnerëve socialë dhe organizatave të shoqërisë civile. Këta aktorë janë thelbësorë për përmirësimin e cilësisë së dialogut social dhe qytetar, si dhe për mundësimin e monitorimit dhe zbatimit efektiv të reformave;</w:t>
      </w:r>
    </w:p>
    <w:p w14:paraId="3065D9E5" w14:textId="77777777" w:rsidR="00B13054" w:rsidRPr="00950F09" w:rsidRDefault="00B13054" w:rsidP="00C37434">
      <w:pPr>
        <w:pStyle w:val="ListParagraph"/>
        <w:spacing w:after="0"/>
        <w:ind w:left="0"/>
        <w:jc w:val="both"/>
        <w:rPr>
          <w:rFonts w:cstheme="minorHAnsi"/>
          <w:kern w:val="2"/>
          <w:lang w:eastAsia="hr-HR"/>
          <w14:ligatures w14:val="standardContextual"/>
        </w:rPr>
      </w:pPr>
    </w:p>
    <w:p w14:paraId="657DB73D" w14:textId="42022203" w:rsidR="00B13054" w:rsidRPr="00390E0E" w:rsidRDefault="00FD3762" w:rsidP="00C37434">
      <w:pPr>
        <w:pStyle w:val="ListParagraph"/>
        <w:numPr>
          <w:ilvl w:val="0"/>
          <w:numId w:val="1"/>
        </w:numPr>
        <w:spacing w:after="0"/>
        <w:ind w:left="0"/>
        <w:jc w:val="both"/>
        <w:rPr>
          <w:rFonts w:cstheme="minorHAnsi"/>
          <w:kern w:val="2"/>
          <w14:ligatures w14:val="standardContextual"/>
        </w:rPr>
      </w:pPr>
      <w:r>
        <w:t>theksojnë se afatet kohore nuk duhet të cenojnë procedurat demokratike, debatin publik apo konsultimet dhe dialogun e detyrueshëm me partnerët socialë dhe organizatat e shoqërisë civile, dhe as nuk mund të përdoren për të justifikuar procedurat e përshpejtuara legjislative emergjente që përjashtojnë këto elemente; vënë në dukje se këto elemente janë thelbësore për garantimin e legjitimitetit, cilësisë dhe qëndrueshmërisë së reformave;</w:t>
      </w:r>
    </w:p>
    <w:p w14:paraId="3F4E7503" w14:textId="77777777" w:rsidR="00B13054" w:rsidRPr="00950F09" w:rsidRDefault="00B13054" w:rsidP="00C37434">
      <w:pPr>
        <w:pStyle w:val="ListParagraph"/>
        <w:spacing w:after="0"/>
        <w:ind w:left="0"/>
        <w:jc w:val="both"/>
        <w:rPr>
          <w:rFonts w:cstheme="minorHAnsi"/>
          <w:kern w:val="2"/>
          <w:lang w:eastAsia="hr-HR"/>
          <w14:ligatures w14:val="standardContextual"/>
        </w:rPr>
      </w:pPr>
    </w:p>
    <w:p w14:paraId="1B137715" w14:textId="3FE02FB3" w:rsidR="00534EC4" w:rsidRPr="00390E0E" w:rsidRDefault="00FD3762" w:rsidP="00C37434">
      <w:pPr>
        <w:pStyle w:val="ListParagraph"/>
        <w:numPr>
          <w:ilvl w:val="0"/>
          <w:numId w:val="1"/>
        </w:numPr>
        <w:spacing w:after="0"/>
        <w:ind w:left="0"/>
        <w:jc w:val="both"/>
        <w:rPr>
          <w:rFonts w:cstheme="minorHAnsi"/>
          <w:kern w:val="2"/>
          <w14:ligatures w14:val="standardContextual"/>
        </w:rPr>
      </w:pPr>
      <w:r>
        <w:t>theksojnë se angazhimi i partnerëve socialë dhe i organizatave të shoqërisë civile duhet të jetë sistematik dhe i integruar zyrtarisht në legjislacion dhe në udhëzimet operacionale; bëjnë thirrje që qeveritë të krijojnë një kuadër të strukturuar për dialogun social dhe qytetar që garanton përfshirjen e organizatave përfaqësuese të punëdhënësve, punëmarrësve dhe të shoqërisë civile në nivel kombëtar, duke respektuar njëkohësisht rolin specifik dhe autonominë e partnerëve socialë;</w:t>
      </w:r>
    </w:p>
    <w:p w14:paraId="388D2F0B" w14:textId="77777777" w:rsidR="00534EC4" w:rsidRPr="00950F09" w:rsidRDefault="00534EC4" w:rsidP="00C37434">
      <w:pPr>
        <w:pStyle w:val="ListParagraph"/>
        <w:spacing w:after="0"/>
        <w:ind w:left="0"/>
        <w:jc w:val="both"/>
        <w:rPr>
          <w:rFonts w:cstheme="minorHAnsi"/>
          <w:kern w:val="2"/>
          <w:lang w:eastAsia="hr-HR"/>
          <w14:ligatures w14:val="standardContextual"/>
        </w:rPr>
      </w:pPr>
    </w:p>
    <w:p w14:paraId="1A5E06E4" w14:textId="7EA60B56" w:rsidR="00FD3762" w:rsidRPr="00390E0E" w:rsidRDefault="00FD3762" w:rsidP="00C37434">
      <w:pPr>
        <w:pStyle w:val="ListParagraph"/>
        <w:numPr>
          <w:ilvl w:val="0"/>
          <w:numId w:val="1"/>
        </w:numPr>
        <w:spacing w:after="0"/>
        <w:ind w:left="0"/>
        <w:jc w:val="both"/>
        <w:rPr>
          <w:rFonts w:cstheme="minorHAnsi"/>
          <w:kern w:val="2"/>
          <w14:ligatures w14:val="standardContextual"/>
        </w:rPr>
      </w:pPr>
      <w:r>
        <w:t xml:space="preserve">rekomandojnë sigurimin e një mbështetjeje financiare të përshtatur, të qëndrueshme dhe të parashikueshme për organizatat e shoqërisë civile, mediat e pavarura dhe partnerët socialë përmes mekanizmave shumëvjeçarë dhe transparentë të financimit në kuadër të MFF-së së ardhshme; vënë në dukje se financimi i mjaftueshëm, duke përfshirë alokime të dedikuara të pavarura nga miratimi i qeverive të vendeve pritëse, është thelbësor për mundësimin e pjesëmarrjes kuptimplotë në monitorimin dhe dialogun mbi politikat, mbrojtjen e hapësirës për veprim të shoqërisë civile, </w:t>
      </w:r>
      <w:r>
        <w:lastRenderedPageBreak/>
        <w:t>forcimin e zbatimit të reformave dhe rritjen e qëndrueshmërisë demokratike ndaj keqinformimit dhe ndërhyrjeve nga aktorë të huaj;</w:t>
      </w:r>
    </w:p>
    <w:p w14:paraId="4D23063F" w14:textId="77777777" w:rsidR="008A4925" w:rsidRPr="00950F09" w:rsidRDefault="008A4925" w:rsidP="00C37434">
      <w:pPr>
        <w:pStyle w:val="ListParagraph"/>
        <w:spacing w:after="0"/>
        <w:ind w:left="0"/>
        <w:jc w:val="both"/>
        <w:rPr>
          <w:rFonts w:cstheme="minorHAnsi"/>
        </w:rPr>
      </w:pPr>
    </w:p>
    <w:p w14:paraId="2015BC7B" w14:textId="6FD9B9C1" w:rsidR="00793E46" w:rsidRPr="00390E0E" w:rsidRDefault="00353964" w:rsidP="00793E46">
      <w:pPr>
        <w:pStyle w:val="ListParagraph"/>
        <w:numPr>
          <w:ilvl w:val="0"/>
          <w:numId w:val="1"/>
        </w:numPr>
        <w:spacing w:after="0"/>
        <w:ind w:left="0"/>
        <w:jc w:val="both"/>
        <w:rPr>
          <w:rFonts w:cstheme="minorHAnsi"/>
          <w:kern w:val="2"/>
          <w14:ligatures w14:val="standardContextual"/>
        </w:rPr>
      </w:pPr>
      <w:r>
        <w:t>i bëjnë thirrje Komisionit që të mbështesë vendet kandidate dhe ato aspirante për kandidate në vlerësimin e avantazheve dhe disavantazheve të integrimit të hershëm në tregun e përbashkët, duke identifikuar vendet që preken në mënyrë negative dhe duke zbatuar masa zbutëse të posaçme; theksojnë se një gjë e tillë do të jetë thelbësore për të parandaluar reduktimin e mbështetjes publike për anëtarësim në BE në vendet kandidate, si dhe për të lehtësuar integrimin e tyre pa probleme në tregun e përbashkët të BE-së, si dhe i bënë thirrje Komisionit që të garantojë se, gjatë zhvillimit të këtyre masave, do të kërkohen në kohën e duhur dhe do të merren siç duhet në konsideratë kontribute nga partnerët socialë dhe shoqëria civile;</w:t>
      </w:r>
    </w:p>
    <w:p w14:paraId="1730B6B7" w14:textId="77777777" w:rsidR="00793E46" w:rsidRPr="00950F09" w:rsidRDefault="00793E46" w:rsidP="00793E46">
      <w:pPr>
        <w:pStyle w:val="ListParagraph"/>
        <w:spacing w:after="0"/>
        <w:ind w:left="0"/>
        <w:jc w:val="both"/>
        <w:rPr>
          <w:rFonts w:cstheme="minorHAnsi"/>
          <w:kern w:val="2"/>
          <w:lang w:eastAsia="hr-HR"/>
          <w14:ligatures w14:val="standardContextual"/>
        </w:rPr>
      </w:pPr>
    </w:p>
    <w:p w14:paraId="08F9AA9D" w14:textId="405A4833" w:rsidR="002F2532" w:rsidRPr="00390E0E" w:rsidRDefault="0010060E" w:rsidP="002F2532">
      <w:pPr>
        <w:pStyle w:val="ListParagraph"/>
        <w:numPr>
          <w:ilvl w:val="0"/>
          <w:numId w:val="1"/>
        </w:numPr>
        <w:spacing w:after="0"/>
        <w:ind w:left="0"/>
        <w:jc w:val="both"/>
        <w:rPr>
          <w:rFonts w:cstheme="minorHAnsi"/>
          <w:kern w:val="2"/>
          <w14:ligatures w14:val="standardContextual"/>
        </w:rPr>
      </w:pPr>
      <w:r>
        <w:t>mirëpresin faktin që Komisioni Evropian ka miratuar propozimin e KESE-s, duke u bazuar në përvojën e Instrumentit të Rimëkëmbjes dhe Qëndrueshmërisë (RRF), për krijimin e komiteteve gjithëpërfshirëse të monitorimit për vendet, të cilat synojnë përmirësimin e zbatimit, koordinimit dhe monitorimit të axhendave të reformave; theksojnë se komitetet e monitorimit duhet të kenë kritere të qarta për përbërjen e tyre dhe raportim të aksesueshëm publikisht, si dhe të sigurojnë mbikëqyrje efektive të rekomandimeve të tyre;</w:t>
      </w:r>
    </w:p>
    <w:p w14:paraId="0F7BDC17" w14:textId="77777777" w:rsidR="002F2532" w:rsidRPr="00950F09" w:rsidRDefault="002F2532" w:rsidP="002F2532">
      <w:pPr>
        <w:pStyle w:val="ListParagraph"/>
        <w:spacing w:after="0"/>
        <w:ind w:left="0"/>
        <w:jc w:val="both"/>
        <w:rPr>
          <w:rFonts w:cstheme="minorHAnsi"/>
          <w:kern w:val="2"/>
          <w:lang w:eastAsia="hr-HR"/>
          <w14:ligatures w14:val="standardContextual"/>
        </w:rPr>
      </w:pPr>
    </w:p>
    <w:p w14:paraId="108E4676" w14:textId="19770E2D" w:rsidR="006C47AE" w:rsidRPr="00E82475" w:rsidRDefault="00353964" w:rsidP="003E0B95">
      <w:pPr>
        <w:pStyle w:val="ListParagraph"/>
        <w:numPr>
          <w:ilvl w:val="0"/>
          <w:numId w:val="1"/>
        </w:numPr>
        <w:spacing w:after="0"/>
        <w:ind w:left="0"/>
        <w:jc w:val="both"/>
        <w:rPr>
          <w:rFonts w:cstheme="minorHAnsi"/>
          <w:kern w:val="2"/>
          <w14:ligatures w14:val="standardContextual"/>
        </w:rPr>
      </w:pPr>
      <w:r>
        <w:t>theksojnë rëndësinë e bashkëpunimit rajonal dhe e marrëdhënieve të fqinjësisë së mirë gjatë gjithë procesit të anëtarësimit në BE, si dhe mirëpresin fokusin në zbatimin e Tregut të Përbashkët Rajonal (CRM); përgëzojnë Këshillin e Bashkëpunimit Rajonal për punën e tij në koordinimin e CRM-së, dhe vënë dukje rëndësinë e CRM-së në përgatitjet për integrimin e mëtejshëm të Ballkanit Perëndimor në tregun e përbashkët të BE-së.</w:t>
      </w:r>
    </w:p>
    <w:p w14:paraId="1D499ED2" w14:textId="0EB23E12" w:rsidR="00392266" w:rsidRPr="00390E0E" w:rsidRDefault="00D62BE8" w:rsidP="00001F3C">
      <w:pPr>
        <w:overflowPunct w:val="0"/>
        <w:autoSpaceDE w:val="0"/>
        <w:autoSpaceDN w:val="0"/>
        <w:adjustRightInd w:val="0"/>
        <w:spacing w:after="0" w:line="288" w:lineRule="auto"/>
        <w:jc w:val="center"/>
        <w:textAlignment w:val="baseline"/>
      </w:pPr>
      <w:r>
        <w:t>_____________</w:t>
      </w:r>
    </w:p>
    <w:sectPr w:rsidR="00392266" w:rsidRPr="00390E0E" w:rsidSect="008F26FA">
      <w:headerReference w:type="even" r:id="rId10"/>
      <w:headerReference w:type="default" r:id="rId11"/>
      <w:footerReference w:type="even" r:id="rId12"/>
      <w:footerReference w:type="default" r:id="rId13"/>
      <w:headerReference w:type="first" r:id="rId14"/>
      <w:footerReference w:type="first" r:id="rId15"/>
      <w:footnotePr>
        <w:numFmt w:val="chicago"/>
      </w:footnotePr>
      <w:pgSz w:w="11907" w:h="16840"/>
      <w:pgMar w:top="1020" w:right="1417" w:bottom="1020" w:left="141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9AE07" w14:textId="77777777" w:rsidR="00F309E1" w:rsidRDefault="00F309E1">
      <w:pPr>
        <w:spacing w:line="240" w:lineRule="auto"/>
      </w:pPr>
      <w:r>
        <w:separator/>
      </w:r>
    </w:p>
  </w:endnote>
  <w:endnote w:type="continuationSeparator" w:id="0">
    <w:p w14:paraId="7E9CE83E" w14:textId="77777777" w:rsidR="00F309E1" w:rsidRDefault="00F309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6DA4" w14:textId="77777777" w:rsidR="008F26FA" w:rsidRDefault="008F26FA" w:rsidP="008F26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F348" w14:textId="66DB4DD3" w:rsidR="004C19C9" w:rsidRPr="008F26FA" w:rsidRDefault="008F26FA" w:rsidP="008F26FA">
    <w:pPr>
      <w:pStyle w:val="Footer"/>
      <w:rPr>
        <w:rFonts w:ascii="Arial" w:hAnsi="Arial" w:cs="Arial"/>
      </w:rPr>
    </w:pPr>
    <w:r>
      <w:rPr>
        <w:rFonts w:ascii="Arial" w:hAnsi="Arial"/>
        <w:sz w:val="20"/>
      </w:rPr>
      <w:t xml:space="preserve">EESC-2026-01544-00-00-TCD-TRA (SQ) </w:t>
    </w:r>
    <w:r w:rsidRPr="008F26FA">
      <w:rPr>
        <w:rFonts w:ascii="Arial" w:hAnsi="Arial" w:cs="Arial"/>
        <w:sz w:val="20"/>
      </w:rPr>
      <w:fldChar w:fldCharType="begin"/>
    </w:r>
    <w:r w:rsidRPr="008F26FA">
      <w:rPr>
        <w:rFonts w:ascii="Arial" w:hAnsi="Arial" w:cs="Arial"/>
        <w:sz w:val="20"/>
      </w:rPr>
      <w:instrText xml:space="preserve"> PAGE  \* Arabic  \* MERGEFORMAT </w:instrText>
    </w:r>
    <w:r w:rsidRPr="008F26FA">
      <w:rPr>
        <w:rFonts w:ascii="Arial" w:hAnsi="Arial" w:cs="Arial"/>
        <w:sz w:val="20"/>
      </w:rPr>
      <w:fldChar w:fldCharType="separate"/>
    </w:r>
    <w:r w:rsidRPr="008F26FA">
      <w:rPr>
        <w:rFonts w:ascii="Arial" w:hAnsi="Arial" w:cs="Arial"/>
        <w:sz w:val="20"/>
      </w:rPr>
      <w:t>2</w:t>
    </w:r>
    <w:r w:rsidRPr="008F26FA">
      <w:rPr>
        <w:rFonts w:ascii="Arial" w:hAnsi="Arial" w:cs="Arial"/>
        <w:sz w:val="20"/>
      </w:rPr>
      <w:fldChar w:fldCharType="end"/>
    </w:r>
    <w:r>
      <w:rPr>
        <w:rFonts w:ascii="Arial" w:hAnsi="Arial"/>
        <w:sz w:val="20"/>
      </w:rPr>
      <w:t>/</w:t>
    </w:r>
    <w:r w:rsidRPr="008F26FA">
      <w:rPr>
        <w:rFonts w:ascii="Arial" w:hAnsi="Arial" w:cs="Arial"/>
        <w:sz w:val="20"/>
      </w:rPr>
      <w:fldChar w:fldCharType="begin"/>
    </w:r>
    <w:r w:rsidRPr="008F26FA">
      <w:rPr>
        <w:rFonts w:ascii="Arial" w:hAnsi="Arial" w:cs="Arial"/>
        <w:sz w:val="20"/>
      </w:rPr>
      <w:instrText xml:space="preserve"> NUMPAGES </w:instrText>
    </w:r>
    <w:r w:rsidRPr="008F26FA">
      <w:rPr>
        <w:rFonts w:ascii="Arial" w:hAnsi="Arial" w:cs="Arial"/>
        <w:sz w:val="20"/>
      </w:rPr>
      <w:fldChar w:fldCharType="separate"/>
    </w:r>
    <w:r w:rsidRPr="008F26FA">
      <w:rPr>
        <w:rFonts w:ascii="Arial" w:hAnsi="Arial" w:cs="Arial"/>
        <w:sz w:val="20"/>
      </w:rPr>
      <w:t>4</w:t>
    </w:r>
    <w:r w:rsidRPr="008F26FA">
      <w:rP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F8F8" w14:textId="6E3D59EF" w:rsidR="008F26FA" w:rsidRPr="008F26FA" w:rsidRDefault="008F26FA" w:rsidP="008F26FA">
    <w:pPr>
      <w:pStyle w:val="Footer"/>
    </w:pPr>
    <w:r>
      <w:rPr>
        <w:rFonts w:ascii="Arial" w:hAnsi="Arial"/>
        <w:sz w:val="16"/>
      </w:rPr>
      <w:t xml:space="preserve">EESC-2026-01544-00-00-TCD-TRA (SQ) </w:t>
    </w:r>
    <w:r w:rsidRPr="008F26FA">
      <w:rPr>
        <w:rFonts w:ascii="Arial" w:hAnsi="Arial" w:cs="Arial"/>
        <w:sz w:val="16"/>
      </w:rPr>
      <w:fldChar w:fldCharType="begin"/>
    </w:r>
    <w:r w:rsidRPr="008F26FA">
      <w:rPr>
        <w:rFonts w:ascii="Arial" w:hAnsi="Arial" w:cs="Arial"/>
        <w:sz w:val="16"/>
      </w:rPr>
      <w:instrText xml:space="preserve"> PAGE  \* Arabic  \* MERGEFORMAT </w:instrText>
    </w:r>
    <w:r w:rsidRPr="008F26FA">
      <w:rPr>
        <w:rFonts w:ascii="Arial" w:hAnsi="Arial" w:cs="Arial"/>
        <w:sz w:val="16"/>
      </w:rPr>
      <w:fldChar w:fldCharType="separate"/>
    </w:r>
    <w:r w:rsidR="00E01735">
      <w:rPr>
        <w:rFonts w:ascii="Arial" w:hAnsi="Arial" w:cs="Arial"/>
        <w:sz w:val="16"/>
      </w:rPr>
      <w:t>1</w:t>
    </w:r>
    <w:r w:rsidRPr="008F26FA">
      <w:rPr>
        <w:rFonts w:ascii="Arial" w:hAnsi="Arial" w:cs="Arial"/>
        <w:sz w:val="16"/>
      </w:rPr>
      <w:fldChar w:fldCharType="end"/>
    </w:r>
    <w:r>
      <w:rPr>
        <w:rFonts w:ascii="Arial" w:hAnsi="Arial"/>
        <w:sz w:val="16"/>
      </w:rPr>
      <w:t>/</w:t>
    </w:r>
    <w:r w:rsidRPr="008F26FA">
      <w:rPr>
        <w:rFonts w:ascii="Arial" w:hAnsi="Arial" w:cs="Arial"/>
        <w:sz w:val="16"/>
      </w:rPr>
      <w:fldChar w:fldCharType="begin"/>
    </w:r>
    <w:r w:rsidRPr="008F26FA">
      <w:rPr>
        <w:rFonts w:ascii="Arial" w:hAnsi="Arial" w:cs="Arial"/>
        <w:sz w:val="16"/>
      </w:rPr>
      <w:instrText xml:space="preserve"> NUMPAGES </w:instrText>
    </w:r>
    <w:r w:rsidRPr="008F26FA">
      <w:rPr>
        <w:rFonts w:ascii="Arial" w:hAnsi="Arial" w:cs="Arial"/>
        <w:sz w:val="16"/>
      </w:rPr>
      <w:fldChar w:fldCharType="separate"/>
    </w:r>
    <w:r w:rsidR="00E01735">
      <w:rPr>
        <w:rFonts w:ascii="Arial" w:hAnsi="Arial" w:cs="Arial"/>
        <w:sz w:val="16"/>
      </w:rPr>
      <w:t>1</w:t>
    </w:r>
    <w:r w:rsidRPr="008F26FA">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6CE2D" w14:textId="77777777" w:rsidR="00F309E1" w:rsidRDefault="00F309E1">
      <w:pPr>
        <w:spacing w:after="0"/>
      </w:pPr>
      <w:r>
        <w:separator/>
      </w:r>
    </w:p>
  </w:footnote>
  <w:footnote w:type="continuationSeparator" w:id="0">
    <w:p w14:paraId="783DDC15" w14:textId="77777777" w:rsidR="00F309E1" w:rsidRDefault="00F309E1">
      <w:pPr>
        <w:spacing w:after="0"/>
      </w:pPr>
      <w:r>
        <w:continuationSeparator/>
      </w:r>
    </w:p>
  </w:footnote>
  <w:footnote w:id="1">
    <w:p w14:paraId="0356D192" w14:textId="0D65FF27" w:rsidR="00C37434" w:rsidRPr="00C37434" w:rsidRDefault="00C37434" w:rsidP="001173DC">
      <w:pPr>
        <w:pStyle w:val="FootnoteText"/>
        <w:ind w:left="720" w:hanging="720"/>
      </w:pPr>
      <w:r>
        <w:rPr>
          <w:rStyle w:val="FootnoteReference"/>
        </w:rPr>
        <w:footnoteRef/>
      </w:r>
      <w:r>
        <w:tab/>
      </w:r>
      <w:r>
        <w:rPr>
          <w:sz w:val="16"/>
        </w:rPr>
        <w:t>Ky përcaktim nuk cenon qëndrimet për statusin dhe është në përputhje me Rezolutën 1244 të Këshillit të Sigurimit të Kombeve të Bashkuara dhe opinionin e Gjykatës Ndërkombëtare të Drejtësisë për Deklaratën e Pavarësisë së Kosovës.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9C64" w14:textId="77777777" w:rsidR="008F26FA" w:rsidRDefault="008F2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6593" w14:textId="77777777" w:rsidR="008F26FA" w:rsidRDefault="008F2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5CC6" w14:textId="07C2BDC2" w:rsidR="00D2451D" w:rsidRDefault="00D2451D">
    <w:pPr>
      <w:pStyle w:val="Header"/>
    </w:pPr>
    <w:r>
      <w:rPr>
        <w:noProof/>
      </w:rPr>
      <w:drawing>
        <wp:inline distT="0" distB="0" distL="0" distR="0" wp14:anchorId="54F67732" wp14:editId="02CEE902">
          <wp:extent cx="5760085" cy="1921086"/>
          <wp:effectExtent l="0" t="0" r="0" b="3175"/>
          <wp:docPr id="1732524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19210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A05"/>
    <w:multiLevelType w:val="multilevel"/>
    <w:tmpl w:val="60B4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773D0"/>
    <w:multiLevelType w:val="multilevel"/>
    <w:tmpl w:val="79149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A3371"/>
    <w:multiLevelType w:val="multilevel"/>
    <w:tmpl w:val="75047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917A7F"/>
    <w:multiLevelType w:val="multilevel"/>
    <w:tmpl w:val="7A08E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A68D0"/>
    <w:multiLevelType w:val="multilevel"/>
    <w:tmpl w:val="9FC85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3637A9"/>
    <w:multiLevelType w:val="multilevel"/>
    <w:tmpl w:val="06BC9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2F28FC"/>
    <w:multiLevelType w:val="multilevel"/>
    <w:tmpl w:val="F050C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27123A"/>
    <w:multiLevelType w:val="multilevel"/>
    <w:tmpl w:val="EF7E3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0905F2"/>
    <w:multiLevelType w:val="multilevel"/>
    <w:tmpl w:val="9CD28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85637E"/>
    <w:multiLevelType w:val="multilevel"/>
    <w:tmpl w:val="3480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891D09"/>
    <w:multiLevelType w:val="multilevel"/>
    <w:tmpl w:val="538C9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A84B87"/>
    <w:multiLevelType w:val="multilevel"/>
    <w:tmpl w:val="985C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97CB2"/>
    <w:multiLevelType w:val="multilevel"/>
    <w:tmpl w:val="10001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F30EE8"/>
    <w:multiLevelType w:val="multilevel"/>
    <w:tmpl w:val="012C2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7D3B9E"/>
    <w:multiLevelType w:val="multilevel"/>
    <w:tmpl w:val="4B7C464C"/>
    <w:lvl w:ilvl="0">
      <w:start w:val="1"/>
      <w:numFmt w:val="decimal"/>
      <w:lvlText w:val="%1."/>
      <w:lvlJc w:val="left"/>
      <w:pPr>
        <w:ind w:left="36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502E21"/>
    <w:multiLevelType w:val="multilevel"/>
    <w:tmpl w:val="CE368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9D1461"/>
    <w:multiLevelType w:val="multilevel"/>
    <w:tmpl w:val="F1D87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FB2127"/>
    <w:multiLevelType w:val="multilevel"/>
    <w:tmpl w:val="14F2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6E7EFA"/>
    <w:multiLevelType w:val="multilevel"/>
    <w:tmpl w:val="26AE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EF5126"/>
    <w:multiLevelType w:val="multilevel"/>
    <w:tmpl w:val="C282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482035"/>
    <w:multiLevelType w:val="multilevel"/>
    <w:tmpl w:val="A3B8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E22CAE"/>
    <w:multiLevelType w:val="multilevel"/>
    <w:tmpl w:val="A304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582BB7"/>
    <w:multiLevelType w:val="multilevel"/>
    <w:tmpl w:val="70387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4710CB"/>
    <w:multiLevelType w:val="multilevel"/>
    <w:tmpl w:val="D73E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BA34C7"/>
    <w:multiLevelType w:val="multilevel"/>
    <w:tmpl w:val="0800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2675BB"/>
    <w:multiLevelType w:val="multilevel"/>
    <w:tmpl w:val="C79C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2D0412"/>
    <w:multiLevelType w:val="multilevel"/>
    <w:tmpl w:val="A1D4E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82C29D5"/>
    <w:multiLevelType w:val="multilevel"/>
    <w:tmpl w:val="27F0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BD3A05"/>
    <w:multiLevelType w:val="multilevel"/>
    <w:tmpl w:val="305A7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4E1160"/>
    <w:multiLevelType w:val="multilevel"/>
    <w:tmpl w:val="9C66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A57DA0"/>
    <w:multiLevelType w:val="multilevel"/>
    <w:tmpl w:val="70DC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4A422F"/>
    <w:multiLevelType w:val="multilevel"/>
    <w:tmpl w:val="75407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1A69C4"/>
    <w:multiLevelType w:val="multilevel"/>
    <w:tmpl w:val="C2AE2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8D70EC"/>
    <w:multiLevelType w:val="multilevel"/>
    <w:tmpl w:val="ACE6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4630EC"/>
    <w:multiLevelType w:val="multilevel"/>
    <w:tmpl w:val="4B7C464C"/>
    <w:lvl w:ilvl="0">
      <w:start w:val="1"/>
      <w:numFmt w:val="decimal"/>
      <w:lvlText w:val="%1."/>
      <w:lvlJc w:val="left"/>
      <w:pPr>
        <w:ind w:left="36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2D53252"/>
    <w:multiLevelType w:val="multilevel"/>
    <w:tmpl w:val="62DE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2D29B6"/>
    <w:multiLevelType w:val="multilevel"/>
    <w:tmpl w:val="C150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C630B2"/>
    <w:multiLevelType w:val="multilevel"/>
    <w:tmpl w:val="C1C67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A90461"/>
    <w:multiLevelType w:val="multilevel"/>
    <w:tmpl w:val="5B28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E34834"/>
    <w:multiLevelType w:val="multilevel"/>
    <w:tmpl w:val="7D908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A29470C"/>
    <w:multiLevelType w:val="multilevel"/>
    <w:tmpl w:val="B5F62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E1E10D5"/>
    <w:multiLevelType w:val="multilevel"/>
    <w:tmpl w:val="D6EE1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70314D"/>
    <w:multiLevelType w:val="multilevel"/>
    <w:tmpl w:val="3FB2F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0120627"/>
    <w:multiLevelType w:val="multilevel"/>
    <w:tmpl w:val="66043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3E7BFF"/>
    <w:multiLevelType w:val="multilevel"/>
    <w:tmpl w:val="8934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FA1952"/>
    <w:multiLevelType w:val="multilevel"/>
    <w:tmpl w:val="2BA2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F34884"/>
    <w:multiLevelType w:val="multilevel"/>
    <w:tmpl w:val="7DC2F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9B009C7"/>
    <w:multiLevelType w:val="multilevel"/>
    <w:tmpl w:val="A5A6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7A4CD2"/>
    <w:multiLevelType w:val="multilevel"/>
    <w:tmpl w:val="C368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DA55357"/>
    <w:multiLevelType w:val="multilevel"/>
    <w:tmpl w:val="F392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6E5977"/>
    <w:multiLevelType w:val="multilevel"/>
    <w:tmpl w:val="D6B8F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EC50601"/>
    <w:multiLevelType w:val="multilevel"/>
    <w:tmpl w:val="1BBA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E37066"/>
    <w:multiLevelType w:val="multilevel"/>
    <w:tmpl w:val="7268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643C70"/>
    <w:multiLevelType w:val="multilevel"/>
    <w:tmpl w:val="B2B2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7F7B68"/>
    <w:multiLevelType w:val="multilevel"/>
    <w:tmpl w:val="4CDA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2F5398"/>
    <w:multiLevelType w:val="multilevel"/>
    <w:tmpl w:val="819CA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78C42D7"/>
    <w:multiLevelType w:val="multilevel"/>
    <w:tmpl w:val="DAC0B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AB85D53"/>
    <w:multiLevelType w:val="multilevel"/>
    <w:tmpl w:val="F1BC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E802E8"/>
    <w:multiLevelType w:val="multilevel"/>
    <w:tmpl w:val="5DECB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E4B09C3"/>
    <w:multiLevelType w:val="multilevel"/>
    <w:tmpl w:val="70BC5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FFA20F8"/>
    <w:multiLevelType w:val="multilevel"/>
    <w:tmpl w:val="E23A5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9550234"/>
    <w:multiLevelType w:val="multilevel"/>
    <w:tmpl w:val="791E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AD2896"/>
    <w:multiLevelType w:val="multilevel"/>
    <w:tmpl w:val="5768A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E15413D"/>
    <w:multiLevelType w:val="multilevel"/>
    <w:tmpl w:val="28521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F8B40A4"/>
    <w:multiLevelType w:val="multilevel"/>
    <w:tmpl w:val="2770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884286">
    <w:abstractNumId w:val="34"/>
  </w:num>
  <w:num w:numId="2" w16cid:durableId="589118274">
    <w:abstractNumId w:val="27"/>
  </w:num>
  <w:num w:numId="3" w16cid:durableId="1862236012">
    <w:abstractNumId w:val="5"/>
  </w:num>
  <w:num w:numId="4" w16cid:durableId="1711419974">
    <w:abstractNumId w:val="46"/>
  </w:num>
  <w:num w:numId="5" w16cid:durableId="1668702918">
    <w:abstractNumId w:val="15"/>
  </w:num>
  <w:num w:numId="6" w16cid:durableId="1429345739">
    <w:abstractNumId w:val="1"/>
  </w:num>
  <w:num w:numId="7" w16cid:durableId="1632593032">
    <w:abstractNumId w:val="38"/>
  </w:num>
  <w:num w:numId="8" w16cid:durableId="424419935">
    <w:abstractNumId w:val="51"/>
  </w:num>
  <w:num w:numId="9" w16cid:durableId="1210141696">
    <w:abstractNumId w:val="35"/>
  </w:num>
  <w:num w:numId="10" w16cid:durableId="1322467654">
    <w:abstractNumId w:val="9"/>
  </w:num>
  <w:num w:numId="11" w16cid:durableId="280305602">
    <w:abstractNumId w:val="47"/>
  </w:num>
  <w:num w:numId="12" w16cid:durableId="1319575768">
    <w:abstractNumId w:val="10"/>
  </w:num>
  <w:num w:numId="13" w16cid:durableId="1910647282">
    <w:abstractNumId w:val="41"/>
  </w:num>
  <w:num w:numId="14" w16cid:durableId="1752852209">
    <w:abstractNumId w:val="39"/>
  </w:num>
  <w:num w:numId="15" w16cid:durableId="10113218">
    <w:abstractNumId w:val="4"/>
  </w:num>
  <w:num w:numId="16" w16cid:durableId="841629560">
    <w:abstractNumId w:val="16"/>
  </w:num>
  <w:num w:numId="17" w16cid:durableId="2030259545">
    <w:abstractNumId w:val="58"/>
  </w:num>
  <w:num w:numId="18" w16cid:durableId="482740971">
    <w:abstractNumId w:val="28"/>
  </w:num>
  <w:num w:numId="19" w16cid:durableId="1974170854">
    <w:abstractNumId w:val="31"/>
  </w:num>
  <w:num w:numId="20" w16cid:durableId="152911953">
    <w:abstractNumId w:val="63"/>
  </w:num>
  <w:num w:numId="21" w16cid:durableId="1117480066">
    <w:abstractNumId w:val="12"/>
  </w:num>
  <w:num w:numId="22" w16cid:durableId="1612005422">
    <w:abstractNumId w:val="32"/>
  </w:num>
  <w:num w:numId="23" w16cid:durableId="363866088">
    <w:abstractNumId w:val="50"/>
  </w:num>
  <w:num w:numId="24" w16cid:durableId="2117141758">
    <w:abstractNumId w:val="7"/>
  </w:num>
  <w:num w:numId="25" w16cid:durableId="167985030">
    <w:abstractNumId w:val="56"/>
  </w:num>
  <w:num w:numId="26" w16cid:durableId="1460997540">
    <w:abstractNumId w:val="6"/>
  </w:num>
  <w:num w:numId="27" w16cid:durableId="2090034509">
    <w:abstractNumId w:val="8"/>
  </w:num>
  <w:num w:numId="28" w16cid:durableId="1720401694">
    <w:abstractNumId w:val="62"/>
  </w:num>
  <w:num w:numId="29" w16cid:durableId="1251154707">
    <w:abstractNumId w:val="37"/>
  </w:num>
  <w:num w:numId="30" w16cid:durableId="17632451">
    <w:abstractNumId w:val="42"/>
  </w:num>
  <w:num w:numId="31" w16cid:durableId="1795253937">
    <w:abstractNumId w:val="55"/>
  </w:num>
  <w:num w:numId="32" w16cid:durableId="1449467807">
    <w:abstractNumId w:val="2"/>
  </w:num>
  <w:num w:numId="33" w16cid:durableId="500773793">
    <w:abstractNumId w:val="20"/>
  </w:num>
  <w:num w:numId="34" w16cid:durableId="852574709">
    <w:abstractNumId w:val="60"/>
  </w:num>
  <w:num w:numId="35" w16cid:durableId="1145046503">
    <w:abstractNumId w:val="40"/>
  </w:num>
  <w:num w:numId="36" w16cid:durableId="612639665">
    <w:abstractNumId w:val="3"/>
  </w:num>
  <w:num w:numId="37" w16cid:durableId="2060862440">
    <w:abstractNumId w:val="13"/>
  </w:num>
  <w:num w:numId="38" w16cid:durableId="654916185">
    <w:abstractNumId w:val="22"/>
  </w:num>
  <w:num w:numId="39" w16cid:durableId="1920207564">
    <w:abstractNumId w:val="26"/>
  </w:num>
  <w:num w:numId="40" w16cid:durableId="986979784">
    <w:abstractNumId w:val="59"/>
  </w:num>
  <w:num w:numId="41" w16cid:durableId="1582904797">
    <w:abstractNumId w:val="0"/>
  </w:num>
  <w:num w:numId="42" w16cid:durableId="1639992291">
    <w:abstractNumId w:val="21"/>
  </w:num>
  <w:num w:numId="43" w16cid:durableId="1998462378">
    <w:abstractNumId w:val="61"/>
  </w:num>
  <w:num w:numId="44" w16cid:durableId="1942176402">
    <w:abstractNumId w:val="44"/>
  </w:num>
  <w:num w:numId="45" w16cid:durableId="2048946507">
    <w:abstractNumId w:val="33"/>
  </w:num>
  <w:num w:numId="46" w16cid:durableId="1664314351">
    <w:abstractNumId w:val="29"/>
  </w:num>
  <w:num w:numId="47" w16cid:durableId="528370294">
    <w:abstractNumId w:val="54"/>
  </w:num>
  <w:num w:numId="48" w16cid:durableId="917638953">
    <w:abstractNumId w:val="17"/>
  </w:num>
  <w:num w:numId="49" w16cid:durableId="123041298">
    <w:abstractNumId w:val="36"/>
  </w:num>
  <w:num w:numId="50" w16cid:durableId="1604922852">
    <w:abstractNumId w:val="11"/>
  </w:num>
  <w:num w:numId="51" w16cid:durableId="1150098199">
    <w:abstractNumId w:val="57"/>
  </w:num>
  <w:num w:numId="52" w16cid:durableId="801772030">
    <w:abstractNumId w:val="52"/>
  </w:num>
  <w:num w:numId="53" w16cid:durableId="955647922">
    <w:abstractNumId w:val="48"/>
  </w:num>
  <w:num w:numId="54" w16cid:durableId="1055620956">
    <w:abstractNumId w:val="49"/>
  </w:num>
  <w:num w:numId="55" w16cid:durableId="1746370371">
    <w:abstractNumId w:val="23"/>
  </w:num>
  <w:num w:numId="56" w16cid:durableId="498228673">
    <w:abstractNumId w:val="18"/>
  </w:num>
  <w:num w:numId="57" w16cid:durableId="1791123201">
    <w:abstractNumId w:val="30"/>
  </w:num>
  <w:num w:numId="58" w16cid:durableId="436369525">
    <w:abstractNumId w:val="43"/>
  </w:num>
  <w:num w:numId="59" w16cid:durableId="847333509">
    <w:abstractNumId w:val="25"/>
  </w:num>
  <w:num w:numId="60" w16cid:durableId="645672785">
    <w:abstractNumId w:val="45"/>
  </w:num>
  <w:num w:numId="61" w16cid:durableId="681053873">
    <w:abstractNumId w:val="24"/>
  </w:num>
  <w:num w:numId="62" w16cid:durableId="41364718">
    <w:abstractNumId w:val="53"/>
  </w:num>
  <w:num w:numId="63" w16cid:durableId="276911349">
    <w:abstractNumId w:val="19"/>
  </w:num>
  <w:num w:numId="64" w16cid:durableId="2005664384">
    <w:abstractNumId w:val="64"/>
  </w:num>
  <w:num w:numId="65" w16cid:durableId="1144463763">
    <w:abstractNumId w:val="1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fillcolor="white">
      <v:fill color="white"/>
    </o:shapedefaults>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3D"/>
    <w:rsid w:val="00000EF2"/>
    <w:rsid w:val="00001F3C"/>
    <w:rsid w:val="00010A31"/>
    <w:rsid w:val="000123DD"/>
    <w:rsid w:val="000243A0"/>
    <w:rsid w:val="00027331"/>
    <w:rsid w:val="00035D2A"/>
    <w:rsid w:val="00042960"/>
    <w:rsid w:val="0004342D"/>
    <w:rsid w:val="0004674D"/>
    <w:rsid w:val="000634A8"/>
    <w:rsid w:val="0007526F"/>
    <w:rsid w:val="00081042"/>
    <w:rsid w:val="000823DA"/>
    <w:rsid w:val="00086C3C"/>
    <w:rsid w:val="00090B66"/>
    <w:rsid w:val="00096515"/>
    <w:rsid w:val="000A3A9D"/>
    <w:rsid w:val="000B1FED"/>
    <w:rsid w:val="000B77CA"/>
    <w:rsid w:val="000C0F5B"/>
    <w:rsid w:val="000C2010"/>
    <w:rsid w:val="000C3491"/>
    <w:rsid w:val="000D407A"/>
    <w:rsid w:val="000D4937"/>
    <w:rsid w:val="000D4EDA"/>
    <w:rsid w:val="000D74F4"/>
    <w:rsid w:val="000D78F4"/>
    <w:rsid w:val="000E22FF"/>
    <w:rsid w:val="000E440B"/>
    <w:rsid w:val="000E49DA"/>
    <w:rsid w:val="000E4C1F"/>
    <w:rsid w:val="000E5EAA"/>
    <w:rsid w:val="000F28B9"/>
    <w:rsid w:val="0010060E"/>
    <w:rsid w:val="0010215B"/>
    <w:rsid w:val="0010501B"/>
    <w:rsid w:val="0011465A"/>
    <w:rsid w:val="001173DC"/>
    <w:rsid w:val="00126239"/>
    <w:rsid w:val="0013048F"/>
    <w:rsid w:val="001367FF"/>
    <w:rsid w:val="0014014B"/>
    <w:rsid w:val="00141132"/>
    <w:rsid w:val="001544CF"/>
    <w:rsid w:val="00154608"/>
    <w:rsid w:val="00157E76"/>
    <w:rsid w:val="00160667"/>
    <w:rsid w:val="00167563"/>
    <w:rsid w:val="00172BC0"/>
    <w:rsid w:val="00190B4D"/>
    <w:rsid w:val="00190FC4"/>
    <w:rsid w:val="001923CA"/>
    <w:rsid w:val="00194DBC"/>
    <w:rsid w:val="001955D5"/>
    <w:rsid w:val="001972F1"/>
    <w:rsid w:val="001B1EDD"/>
    <w:rsid w:val="001B26BF"/>
    <w:rsid w:val="001B7A46"/>
    <w:rsid w:val="001C0235"/>
    <w:rsid w:val="001C4D2D"/>
    <w:rsid w:val="001F3F50"/>
    <w:rsid w:val="001F5537"/>
    <w:rsid w:val="001F7D4E"/>
    <w:rsid w:val="00205CE9"/>
    <w:rsid w:val="00212854"/>
    <w:rsid w:val="0023110B"/>
    <w:rsid w:val="002459CA"/>
    <w:rsid w:val="00245B16"/>
    <w:rsid w:val="00256C2D"/>
    <w:rsid w:val="00260709"/>
    <w:rsid w:val="00261CFA"/>
    <w:rsid w:val="002642DA"/>
    <w:rsid w:val="00270E0A"/>
    <w:rsid w:val="00276382"/>
    <w:rsid w:val="00282024"/>
    <w:rsid w:val="00287E62"/>
    <w:rsid w:val="002978B3"/>
    <w:rsid w:val="002A22D6"/>
    <w:rsid w:val="002B5ED1"/>
    <w:rsid w:val="002B617F"/>
    <w:rsid w:val="002C1D39"/>
    <w:rsid w:val="002D0F25"/>
    <w:rsid w:val="002D10F8"/>
    <w:rsid w:val="002D371E"/>
    <w:rsid w:val="002E4E52"/>
    <w:rsid w:val="002F2532"/>
    <w:rsid w:val="002F2966"/>
    <w:rsid w:val="003009ED"/>
    <w:rsid w:val="00300C36"/>
    <w:rsid w:val="003116DC"/>
    <w:rsid w:val="00315E9A"/>
    <w:rsid w:val="00320E73"/>
    <w:rsid w:val="003241A1"/>
    <w:rsid w:val="00332966"/>
    <w:rsid w:val="00337B3D"/>
    <w:rsid w:val="00340302"/>
    <w:rsid w:val="00340480"/>
    <w:rsid w:val="00341AA0"/>
    <w:rsid w:val="003424E3"/>
    <w:rsid w:val="003438E1"/>
    <w:rsid w:val="00345099"/>
    <w:rsid w:val="00345242"/>
    <w:rsid w:val="00353964"/>
    <w:rsid w:val="00360B96"/>
    <w:rsid w:val="00373532"/>
    <w:rsid w:val="0037506C"/>
    <w:rsid w:val="003753E4"/>
    <w:rsid w:val="003757E6"/>
    <w:rsid w:val="0037609C"/>
    <w:rsid w:val="00383F28"/>
    <w:rsid w:val="00385371"/>
    <w:rsid w:val="00390E0E"/>
    <w:rsid w:val="00390F72"/>
    <w:rsid w:val="00392266"/>
    <w:rsid w:val="003A0DFD"/>
    <w:rsid w:val="003A1D74"/>
    <w:rsid w:val="003A5EA9"/>
    <w:rsid w:val="003C643B"/>
    <w:rsid w:val="003C7AF5"/>
    <w:rsid w:val="003D458F"/>
    <w:rsid w:val="003D4C26"/>
    <w:rsid w:val="003E35A6"/>
    <w:rsid w:val="004145B2"/>
    <w:rsid w:val="00422613"/>
    <w:rsid w:val="00456892"/>
    <w:rsid w:val="00461A98"/>
    <w:rsid w:val="00464E03"/>
    <w:rsid w:val="004808ED"/>
    <w:rsid w:val="004814B2"/>
    <w:rsid w:val="004842D8"/>
    <w:rsid w:val="00486717"/>
    <w:rsid w:val="00492867"/>
    <w:rsid w:val="004936C0"/>
    <w:rsid w:val="00493D02"/>
    <w:rsid w:val="0049636B"/>
    <w:rsid w:val="004A7246"/>
    <w:rsid w:val="004A7E2F"/>
    <w:rsid w:val="004B11EE"/>
    <w:rsid w:val="004B6D03"/>
    <w:rsid w:val="004B7FF3"/>
    <w:rsid w:val="004C19C9"/>
    <w:rsid w:val="004C233F"/>
    <w:rsid w:val="004C52C6"/>
    <w:rsid w:val="004C769B"/>
    <w:rsid w:val="004D49D7"/>
    <w:rsid w:val="004D71B9"/>
    <w:rsid w:val="004F4615"/>
    <w:rsid w:val="00500AFC"/>
    <w:rsid w:val="00501922"/>
    <w:rsid w:val="00506106"/>
    <w:rsid w:val="0051477C"/>
    <w:rsid w:val="00515E72"/>
    <w:rsid w:val="00534EC4"/>
    <w:rsid w:val="00537079"/>
    <w:rsid w:val="0054484D"/>
    <w:rsid w:val="0054772C"/>
    <w:rsid w:val="00563003"/>
    <w:rsid w:val="00565394"/>
    <w:rsid w:val="00572EAA"/>
    <w:rsid w:val="00584636"/>
    <w:rsid w:val="005A027A"/>
    <w:rsid w:val="005A14C1"/>
    <w:rsid w:val="005A39DF"/>
    <w:rsid w:val="005A75BD"/>
    <w:rsid w:val="005B3D63"/>
    <w:rsid w:val="005C3585"/>
    <w:rsid w:val="005C7B06"/>
    <w:rsid w:val="005D19E5"/>
    <w:rsid w:val="005D28F3"/>
    <w:rsid w:val="005E1EEB"/>
    <w:rsid w:val="005E4967"/>
    <w:rsid w:val="005F60CE"/>
    <w:rsid w:val="00600578"/>
    <w:rsid w:val="00606D49"/>
    <w:rsid w:val="006079EF"/>
    <w:rsid w:val="00611953"/>
    <w:rsid w:val="00611A05"/>
    <w:rsid w:val="0062130E"/>
    <w:rsid w:val="006275CD"/>
    <w:rsid w:val="00643E20"/>
    <w:rsid w:val="00652491"/>
    <w:rsid w:val="0065495B"/>
    <w:rsid w:val="0066020F"/>
    <w:rsid w:val="006703F0"/>
    <w:rsid w:val="006749EE"/>
    <w:rsid w:val="00676180"/>
    <w:rsid w:val="00680276"/>
    <w:rsid w:val="006829B7"/>
    <w:rsid w:val="00690E91"/>
    <w:rsid w:val="006A10AB"/>
    <w:rsid w:val="006A44BF"/>
    <w:rsid w:val="006A4793"/>
    <w:rsid w:val="006A5B97"/>
    <w:rsid w:val="006B11D9"/>
    <w:rsid w:val="006B60B2"/>
    <w:rsid w:val="006C35BC"/>
    <w:rsid w:val="006C47AE"/>
    <w:rsid w:val="006C6A78"/>
    <w:rsid w:val="006D16A0"/>
    <w:rsid w:val="006D3424"/>
    <w:rsid w:val="006E1A38"/>
    <w:rsid w:val="006F329F"/>
    <w:rsid w:val="006F3F63"/>
    <w:rsid w:val="007058C1"/>
    <w:rsid w:val="00710C7C"/>
    <w:rsid w:val="00725667"/>
    <w:rsid w:val="00725FC0"/>
    <w:rsid w:val="00726A15"/>
    <w:rsid w:val="007272E6"/>
    <w:rsid w:val="00730DEE"/>
    <w:rsid w:val="00732CB0"/>
    <w:rsid w:val="007336AE"/>
    <w:rsid w:val="00740C93"/>
    <w:rsid w:val="00743E1C"/>
    <w:rsid w:val="0075551E"/>
    <w:rsid w:val="0076030D"/>
    <w:rsid w:val="00760CB8"/>
    <w:rsid w:val="00765864"/>
    <w:rsid w:val="00770E35"/>
    <w:rsid w:val="00783004"/>
    <w:rsid w:val="00792CD3"/>
    <w:rsid w:val="00793E46"/>
    <w:rsid w:val="007A1909"/>
    <w:rsid w:val="007A476B"/>
    <w:rsid w:val="007B09E7"/>
    <w:rsid w:val="007B450D"/>
    <w:rsid w:val="007B634F"/>
    <w:rsid w:val="007C0A4A"/>
    <w:rsid w:val="007C3212"/>
    <w:rsid w:val="007C6DA9"/>
    <w:rsid w:val="007C720A"/>
    <w:rsid w:val="007D5E50"/>
    <w:rsid w:val="007F0F07"/>
    <w:rsid w:val="007F7653"/>
    <w:rsid w:val="00803652"/>
    <w:rsid w:val="00806001"/>
    <w:rsid w:val="00810A2F"/>
    <w:rsid w:val="00840678"/>
    <w:rsid w:val="00841FAF"/>
    <w:rsid w:val="00844B62"/>
    <w:rsid w:val="0084731A"/>
    <w:rsid w:val="008637EE"/>
    <w:rsid w:val="0086461A"/>
    <w:rsid w:val="008663E1"/>
    <w:rsid w:val="00870DDA"/>
    <w:rsid w:val="00871208"/>
    <w:rsid w:val="00871F55"/>
    <w:rsid w:val="0087323A"/>
    <w:rsid w:val="008752E7"/>
    <w:rsid w:val="008763C3"/>
    <w:rsid w:val="008829C9"/>
    <w:rsid w:val="00884B50"/>
    <w:rsid w:val="00887090"/>
    <w:rsid w:val="00896915"/>
    <w:rsid w:val="00897248"/>
    <w:rsid w:val="008A4925"/>
    <w:rsid w:val="008A5184"/>
    <w:rsid w:val="008A782F"/>
    <w:rsid w:val="008B79F0"/>
    <w:rsid w:val="008C405F"/>
    <w:rsid w:val="008C4A07"/>
    <w:rsid w:val="008D13D7"/>
    <w:rsid w:val="008D1907"/>
    <w:rsid w:val="008D329A"/>
    <w:rsid w:val="008D438E"/>
    <w:rsid w:val="008E0EA7"/>
    <w:rsid w:val="008E6003"/>
    <w:rsid w:val="008E71B4"/>
    <w:rsid w:val="008F147D"/>
    <w:rsid w:val="008F26FA"/>
    <w:rsid w:val="008F2B32"/>
    <w:rsid w:val="008F65A2"/>
    <w:rsid w:val="009015D7"/>
    <w:rsid w:val="00916EE8"/>
    <w:rsid w:val="00921A25"/>
    <w:rsid w:val="009463B1"/>
    <w:rsid w:val="00950F09"/>
    <w:rsid w:val="00960D6D"/>
    <w:rsid w:val="00963F5A"/>
    <w:rsid w:val="00964C2B"/>
    <w:rsid w:val="00967B09"/>
    <w:rsid w:val="00974FE1"/>
    <w:rsid w:val="00982B4D"/>
    <w:rsid w:val="0098405C"/>
    <w:rsid w:val="0098407C"/>
    <w:rsid w:val="009973FE"/>
    <w:rsid w:val="009A1A4D"/>
    <w:rsid w:val="009B2F4B"/>
    <w:rsid w:val="009B65BE"/>
    <w:rsid w:val="009C52FE"/>
    <w:rsid w:val="009E4F8A"/>
    <w:rsid w:val="009E6813"/>
    <w:rsid w:val="009F044B"/>
    <w:rsid w:val="009F4D00"/>
    <w:rsid w:val="009F6FF8"/>
    <w:rsid w:val="009F7F50"/>
    <w:rsid w:val="00A0106F"/>
    <w:rsid w:val="00A03F1E"/>
    <w:rsid w:val="00A11BD7"/>
    <w:rsid w:val="00A1266E"/>
    <w:rsid w:val="00A241B0"/>
    <w:rsid w:val="00A25D14"/>
    <w:rsid w:val="00A306A7"/>
    <w:rsid w:val="00A31AC1"/>
    <w:rsid w:val="00A327F1"/>
    <w:rsid w:val="00A42EF2"/>
    <w:rsid w:val="00A43CEB"/>
    <w:rsid w:val="00A47BFF"/>
    <w:rsid w:val="00A51400"/>
    <w:rsid w:val="00A52C7E"/>
    <w:rsid w:val="00A53D6E"/>
    <w:rsid w:val="00A54131"/>
    <w:rsid w:val="00A61095"/>
    <w:rsid w:val="00A82F9C"/>
    <w:rsid w:val="00A839E7"/>
    <w:rsid w:val="00A8764B"/>
    <w:rsid w:val="00A927DB"/>
    <w:rsid w:val="00A96273"/>
    <w:rsid w:val="00AA48BF"/>
    <w:rsid w:val="00AB433D"/>
    <w:rsid w:val="00AB4A4E"/>
    <w:rsid w:val="00AC14AE"/>
    <w:rsid w:val="00AC30D7"/>
    <w:rsid w:val="00AD2455"/>
    <w:rsid w:val="00AD5BD0"/>
    <w:rsid w:val="00AD768F"/>
    <w:rsid w:val="00AE42E4"/>
    <w:rsid w:val="00AE4BCB"/>
    <w:rsid w:val="00AE6539"/>
    <w:rsid w:val="00AF2EC4"/>
    <w:rsid w:val="00AF4CB6"/>
    <w:rsid w:val="00AF7F54"/>
    <w:rsid w:val="00B10A48"/>
    <w:rsid w:val="00B13054"/>
    <w:rsid w:val="00B139BE"/>
    <w:rsid w:val="00B147CE"/>
    <w:rsid w:val="00B16291"/>
    <w:rsid w:val="00B17629"/>
    <w:rsid w:val="00B25465"/>
    <w:rsid w:val="00B35960"/>
    <w:rsid w:val="00B44571"/>
    <w:rsid w:val="00B576D7"/>
    <w:rsid w:val="00B6307B"/>
    <w:rsid w:val="00B660DC"/>
    <w:rsid w:val="00B82FFB"/>
    <w:rsid w:val="00B83592"/>
    <w:rsid w:val="00B920DB"/>
    <w:rsid w:val="00BB2600"/>
    <w:rsid w:val="00BB439C"/>
    <w:rsid w:val="00BB60E2"/>
    <w:rsid w:val="00BB7710"/>
    <w:rsid w:val="00BC4293"/>
    <w:rsid w:val="00BF39FE"/>
    <w:rsid w:val="00BF5007"/>
    <w:rsid w:val="00BF62A1"/>
    <w:rsid w:val="00C13645"/>
    <w:rsid w:val="00C16225"/>
    <w:rsid w:val="00C17EF1"/>
    <w:rsid w:val="00C2542E"/>
    <w:rsid w:val="00C26F3B"/>
    <w:rsid w:val="00C311C0"/>
    <w:rsid w:val="00C33577"/>
    <w:rsid w:val="00C37434"/>
    <w:rsid w:val="00C4033F"/>
    <w:rsid w:val="00C4387C"/>
    <w:rsid w:val="00C51386"/>
    <w:rsid w:val="00C518AD"/>
    <w:rsid w:val="00C627C1"/>
    <w:rsid w:val="00C636E9"/>
    <w:rsid w:val="00C70BAE"/>
    <w:rsid w:val="00C743C0"/>
    <w:rsid w:val="00C80DD2"/>
    <w:rsid w:val="00C87DE4"/>
    <w:rsid w:val="00C92893"/>
    <w:rsid w:val="00C92994"/>
    <w:rsid w:val="00CA0C1B"/>
    <w:rsid w:val="00CA4196"/>
    <w:rsid w:val="00CA5F9B"/>
    <w:rsid w:val="00CA7BE1"/>
    <w:rsid w:val="00CB1629"/>
    <w:rsid w:val="00CB3D49"/>
    <w:rsid w:val="00CC7439"/>
    <w:rsid w:val="00CC75AA"/>
    <w:rsid w:val="00CD5821"/>
    <w:rsid w:val="00CE0A6C"/>
    <w:rsid w:val="00CE4A62"/>
    <w:rsid w:val="00CE4AC1"/>
    <w:rsid w:val="00CF16A9"/>
    <w:rsid w:val="00D01E3C"/>
    <w:rsid w:val="00D125A4"/>
    <w:rsid w:val="00D2451D"/>
    <w:rsid w:val="00D31F3B"/>
    <w:rsid w:val="00D32F31"/>
    <w:rsid w:val="00D413FF"/>
    <w:rsid w:val="00D422CC"/>
    <w:rsid w:val="00D434CA"/>
    <w:rsid w:val="00D53A1B"/>
    <w:rsid w:val="00D6032D"/>
    <w:rsid w:val="00D62BE8"/>
    <w:rsid w:val="00D75CD5"/>
    <w:rsid w:val="00D80E19"/>
    <w:rsid w:val="00D81A9A"/>
    <w:rsid w:val="00D90BA4"/>
    <w:rsid w:val="00D927BB"/>
    <w:rsid w:val="00D97B10"/>
    <w:rsid w:val="00DA06EC"/>
    <w:rsid w:val="00DA2BEC"/>
    <w:rsid w:val="00DA6842"/>
    <w:rsid w:val="00DB0FB4"/>
    <w:rsid w:val="00DB1162"/>
    <w:rsid w:val="00DB3F9E"/>
    <w:rsid w:val="00DB5C49"/>
    <w:rsid w:val="00DB7B5F"/>
    <w:rsid w:val="00DC11FD"/>
    <w:rsid w:val="00DD098A"/>
    <w:rsid w:val="00DD3F75"/>
    <w:rsid w:val="00DE41F8"/>
    <w:rsid w:val="00E01735"/>
    <w:rsid w:val="00E05159"/>
    <w:rsid w:val="00E136C5"/>
    <w:rsid w:val="00E13D65"/>
    <w:rsid w:val="00E41FE5"/>
    <w:rsid w:val="00E47453"/>
    <w:rsid w:val="00E47AED"/>
    <w:rsid w:val="00E50A7F"/>
    <w:rsid w:val="00E55234"/>
    <w:rsid w:val="00E55D4F"/>
    <w:rsid w:val="00E56AE5"/>
    <w:rsid w:val="00E61711"/>
    <w:rsid w:val="00E62EA1"/>
    <w:rsid w:val="00E81BB5"/>
    <w:rsid w:val="00E82475"/>
    <w:rsid w:val="00E87C27"/>
    <w:rsid w:val="00E9146E"/>
    <w:rsid w:val="00E949A4"/>
    <w:rsid w:val="00EB1E3F"/>
    <w:rsid w:val="00EB2E31"/>
    <w:rsid w:val="00EB742E"/>
    <w:rsid w:val="00EC3F8F"/>
    <w:rsid w:val="00EC6C00"/>
    <w:rsid w:val="00EC7603"/>
    <w:rsid w:val="00ED2389"/>
    <w:rsid w:val="00ED24E2"/>
    <w:rsid w:val="00ED2F1D"/>
    <w:rsid w:val="00EE67D9"/>
    <w:rsid w:val="00EE748A"/>
    <w:rsid w:val="00EF1386"/>
    <w:rsid w:val="00F036D9"/>
    <w:rsid w:val="00F074A4"/>
    <w:rsid w:val="00F26516"/>
    <w:rsid w:val="00F274DF"/>
    <w:rsid w:val="00F309E1"/>
    <w:rsid w:val="00F52575"/>
    <w:rsid w:val="00F615A9"/>
    <w:rsid w:val="00F658F3"/>
    <w:rsid w:val="00F71F3B"/>
    <w:rsid w:val="00F84344"/>
    <w:rsid w:val="00F87ACF"/>
    <w:rsid w:val="00F925D5"/>
    <w:rsid w:val="00F92A46"/>
    <w:rsid w:val="00F95057"/>
    <w:rsid w:val="00FA055A"/>
    <w:rsid w:val="00FA2E97"/>
    <w:rsid w:val="00FB2B97"/>
    <w:rsid w:val="00FC4496"/>
    <w:rsid w:val="00FD3762"/>
    <w:rsid w:val="00FD488C"/>
    <w:rsid w:val="00FD66B3"/>
    <w:rsid w:val="00FE1764"/>
    <w:rsid w:val="00FE1A43"/>
    <w:rsid w:val="00FE7042"/>
    <w:rsid w:val="00FF0EA2"/>
    <w:rsid w:val="00FF170D"/>
    <w:rsid w:val="00FF44F3"/>
    <w:rsid w:val="5DEC4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A84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q-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spacing w:after="0" w:line="288" w:lineRule="auto"/>
      <w:jc w:val="both"/>
    </w:pPr>
    <w:rPr>
      <w:rFonts w:ascii="Times New Roman" w:hAnsi="Times New Roman" w:cs="Times New Roman"/>
    </w:rPr>
  </w:style>
  <w:style w:type="paragraph" w:styleId="Header">
    <w:name w:val="header"/>
    <w:basedOn w:val="Normal"/>
    <w:link w:val="HeaderChar"/>
    <w:uiPriority w:val="99"/>
    <w:unhideWhenUsed/>
    <w:pPr>
      <w:spacing w:after="0" w:line="288" w:lineRule="auto"/>
      <w:jc w:val="both"/>
    </w:pPr>
    <w:rPr>
      <w:rFonts w:ascii="Times New Roman" w:hAnsi="Times New Roman" w:cs="Times New Roman"/>
    </w:rPr>
  </w:style>
  <w:style w:type="character" w:styleId="Hyperlink">
    <w:name w:val="Hyperlink"/>
    <w:basedOn w:val="DefaultParagraphFont"/>
    <w:uiPriority w:val="99"/>
    <w:unhideWhenUsed/>
    <w:qFormat/>
    <w:rPr>
      <w:color w:val="0000FF" w:themeColor="hyperlink"/>
      <w:u w:val="single"/>
    </w:rPr>
  </w:style>
  <w:style w:type="character" w:customStyle="1" w:styleId="HeaderChar">
    <w:name w:val="Header Char"/>
    <w:basedOn w:val="DefaultParagraphFont"/>
    <w:link w:val="Header"/>
    <w:uiPriority w:val="99"/>
    <w:qFormat/>
    <w:rPr>
      <w:rFonts w:ascii="Times New Roman" w:hAnsi="Times New Roman" w:cs="Times New Roman"/>
      <w:sz w:val="22"/>
      <w:szCs w:val="22"/>
    </w:rPr>
  </w:style>
  <w:style w:type="character" w:customStyle="1" w:styleId="FooterChar">
    <w:name w:val="Footer Char"/>
    <w:basedOn w:val="DefaultParagraphFont"/>
    <w:link w:val="Footer"/>
    <w:uiPriority w:val="99"/>
    <w:qFormat/>
    <w:rPr>
      <w:rFonts w:ascii="Times New Roman" w:hAnsi="Times New Roman" w:cs="Times New Roman"/>
      <w:sz w:val="22"/>
      <w:szCs w:val="22"/>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Revision1">
    <w:name w:val="Revision1"/>
    <w:hidden/>
    <w:uiPriority w:val="99"/>
    <w:semiHidden/>
    <w:rPr>
      <w:sz w:val="22"/>
      <w:szCs w:val="22"/>
    </w:rPr>
  </w:style>
  <w:style w:type="paragraph" w:styleId="FootnoteText">
    <w:name w:val="footnote text"/>
    <w:basedOn w:val="Normal"/>
    <w:link w:val="FootnoteTextChar"/>
    <w:unhideWhenUsed/>
    <w:qFormat/>
    <w:rsid w:val="00AD5BD0"/>
    <w:pPr>
      <w:spacing w:after="0" w:line="240" w:lineRule="auto"/>
    </w:pPr>
    <w:rPr>
      <w:sz w:val="20"/>
      <w:szCs w:val="20"/>
    </w:rPr>
  </w:style>
  <w:style w:type="character" w:customStyle="1" w:styleId="FootnoteTextChar">
    <w:name w:val="Footnote Text Char"/>
    <w:basedOn w:val="DefaultParagraphFont"/>
    <w:link w:val="FootnoteText"/>
    <w:rsid w:val="00AD5BD0"/>
  </w:style>
  <w:style w:type="character" w:styleId="FootnoteReference">
    <w:name w:val="footnote reference"/>
    <w:basedOn w:val="DefaultParagraphFont"/>
    <w:unhideWhenUsed/>
    <w:qFormat/>
    <w:rsid w:val="00AD5BD0"/>
    <w:rPr>
      <w:vertAlign w:val="superscript"/>
    </w:rPr>
  </w:style>
  <w:style w:type="paragraph" w:styleId="Revision">
    <w:name w:val="Revision"/>
    <w:hidden/>
    <w:uiPriority w:val="99"/>
    <w:semiHidden/>
    <w:rsid w:val="00341AA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17651">
      <w:bodyDiv w:val="1"/>
      <w:marLeft w:val="0"/>
      <w:marRight w:val="0"/>
      <w:marTop w:val="0"/>
      <w:marBottom w:val="0"/>
      <w:divBdr>
        <w:top w:val="none" w:sz="0" w:space="0" w:color="auto"/>
        <w:left w:val="none" w:sz="0" w:space="0" w:color="auto"/>
        <w:bottom w:val="none" w:sz="0" w:space="0" w:color="auto"/>
        <w:right w:val="none" w:sz="0" w:space="0" w:color="auto"/>
      </w:divBdr>
    </w:div>
    <w:div w:id="1115296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39408b5-cd95-41a2-b442-2b289d59f97f">
      <Value>129</Value>
      <Value>184</Value>
      <Value>18</Value>
      <Value>11</Value>
      <Value>128</Value>
      <Value>9</Value>
      <Value>7</Value>
      <Value>4</Value>
      <Value>19</Value>
      <Value>1</Value>
      <Value>34</Value>
    </TaxCatchAll>
    <lcf76f155ced4ddcb4097134ff3c332f xmlns="c7a06915-057a-4af1-abb7-a9083d05536c">
      <Terms xmlns="http://schemas.microsoft.com/office/infopath/2007/PartnerControls"/>
    </lcf76f155ced4ddcb4097134ff3c332f>
    <DanieleVitali xmlns="c7a06915-057a-4af1-abb7-a9083d05536c">
      <UserInfo>
        <DisplayName/>
        <AccountId xsi:nil="true"/>
        <AccountType/>
      </UserInfo>
    </DanieleVitali>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627BB8F0D2847BA4583DA3CAF1233" ma:contentTypeVersion="14" ma:contentTypeDescription="Create a new document." ma:contentTypeScope="" ma:versionID="11eaa6a75c266dc429c89dc2dd71de6d">
  <xsd:schema xmlns:xsd="http://www.w3.org/2001/XMLSchema" xmlns:xs="http://www.w3.org/2001/XMLSchema" xmlns:p="http://schemas.microsoft.com/office/2006/metadata/properties" xmlns:ns2="c7a06915-057a-4af1-abb7-a9083d05536c" xmlns:ns3="139408b5-cd95-41a2-b442-2b289d59f97f" targetNamespace="http://schemas.microsoft.com/office/2006/metadata/properties" ma:root="true" ma:fieldsID="30f40f0d7efa7e87831e7795524dcb76" ns2:_="" ns3:_="">
    <xsd:import namespace="c7a06915-057a-4af1-abb7-a9083d05536c"/>
    <xsd:import namespace="139408b5-cd95-41a2-b442-2b289d59f9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DanieleVital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6915-057a-4af1-abb7-a9083d055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DanieleVitali" ma:index="21" nillable="true" ma:displayName="Daniele Vitali" ma:format="Dropdown" ma:list="UserInfo" ma:SharePointGroup="0" ma:internalName="DanieleVital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9408b5-cd95-41a2-b442-2b289d59f97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f9e637-f00f-455f-af10-83e37406edba}" ma:internalName="TaxCatchAll" ma:showField="CatchAllData" ma:web="139408b5-cd95-41a2-b442-2b289d59f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FEC767-4183-43FC-B424-08AFADFC86BC}">
  <ds:schemaRefs>
    <ds:schemaRef ds:uri="http://schemas.microsoft.com/sharepoint/v3/contenttype/forms"/>
  </ds:schemaRefs>
</ds:datastoreItem>
</file>

<file path=customXml/itemProps2.xml><?xml version="1.0" encoding="utf-8"?>
<ds:datastoreItem xmlns:ds="http://schemas.openxmlformats.org/officeDocument/2006/customXml" ds:itemID="{5629BAD3-612C-4128-BA09-395ECC931C67}"/>
</file>

<file path=customXml/itemProps3.xml><?xml version="1.0" encoding="utf-8"?>
<ds:datastoreItem xmlns:ds="http://schemas.openxmlformats.org/officeDocument/2006/customXml" ds:itemID="{86E6A612-F9FA-4495-9585-4FA050ADA02A}">
  <ds:schemaRefs>
    <ds:schemaRef ds:uri="http://schemas.microsoft.com/office/2006/metadata/properties"/>
    <ds:schemaRef ds:uri="http://schemas.microsoft.com/office/infopath/2007/PartnerControls"/>
    <ds:schemaRef ds:uri="37d96d75-14ce-41d9-877d-68c0dfaca92b"/>
    <ds:schemaRef ds:uri="http://schemas.microsoft.com/sharepoint/v3"/>
  </ds:schemaRefs>
</ds:datastoreItem>
</file>

<file path=customXml/itemProps4.xml><?xml version="1.0" encoding="utf-8"?>
<ds:datastoreItem xmlns:ds="http://schemas.openxmlformats.org/officeDocument/2006/customXml" ds:itemID="{A9443FA0-A047-44D1-AC95-1983EF18D3A5}"/>
</file>

<file path=docMetadata/LabelInfo.xml><?xml version="1.0" encoding="utf-8"?>
<clbl:labelList xmlns:clbl="http://schemas.microsoft.com/office/2020/mipLabelMetadata">
  <clbl:label id="{01a4edc0-c130-4e09-bfd4-7b7de34700e6}" enabled="0" method="" siteId="{01a4edc0-c130-4e09-bfd4-7b7de34700e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2177</Words>
  <Characters>12412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Conclusions of the Western Balkans Conference in Vienna 29 May 2026</dc:title>
  <dc:subject>Consultative work, various</dc:subject>
  <dc:creator/>
  <cp:keywords>EESC-2026-01544-00-00-TCD-TRA-EN</cp:keywords>
  <dc:description>Rapporteur: -  Original language: - EN Date of document: - 11/06/2026 Date of meeting: -  External documents: -  Administrator responsible: - M. HOIC David</dc:description>
  <cp:lastModifiedBy/>
  <cp:revision>1</cp:revision>
  <dcterms:created xsi:type="dcterms:W3CDTF">2026-06-29T12:20:00Z</dcterms:created>
  <dcterms:modified xsi:type="dcterms:W3CDTF">2026-06-29T12:20:00Z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11/06/2026</vt:lpwstr>
  </property>
  <property fmtid="{D5CDD505-2E9C-101B-9397-08002B2CF9AE}" pid="4" name="Pref_Time">
    <vt:lpwstr>14:47:21</vt:lpwstr>
  </property>
  <property fmtid="{D5CDD505-2E9C-101B-9397-08002B2CF9AE}" pid="5" name="Pref_User">
    <vt:lpwstr>jhvi</vt:lpwstr>
  </property>
  <property fmtid="{D5CDD505-2E9C-101B-9397-08002B2CF9AE}" pid="6" name="Pref_FileName">
    <vt:lpwstr>EESC-2026-01544-00-00-TCD-ORI.docx</vt:lpwstr>
  </property>
  <property fmtid="{D5CDD505-2E9C-101B-9397-08002B2CF9AE}" pid="7" name="ContentTypeId">
    <vt:lpwstr>0x010100BF0627BB8F0D2847BA4583DA3CAF1233</vt:lpwstr>
  </property>
  <property fmtid="{D5CDD505-2E9C-101B-9397-08002B2CF9AE}" pid="8" name="_dlc_DocIdItemGuid">
    <vt:lpwstr>3390d05f-0283-4c0c-ba04-16807a7a7b8b</vt:lpwstr>
  </property>
  <property fmtid="{D5CDD505-2E9C-101B-9397-08002B2CF9AE}" pid="9" name="AvailableTranslations">
    <vt:lpwstr>11;#DE|f6b31e5a-26fa-4935-b661-318e46daf27e;#184;#SR|7f3a1d13-b985-4bfd-981e-afe31377edff;#128;#SQ|5ac17240-8d11-45ec-9893-659b209d7a00;#34;#HR|2f555653-ed1a-4fe6-8362-9082d95989e5;#129;#MK|34ce48bb-063e-4413-a932-50853dc71c5c;#4;#EN|f2175f21-25d7-44a3-96da-d6a61b075e1b</vt:lpwstr>
  </property>
  <property fmtid="{D5CDD505-2E9C-101B-9397-08002B2CF9AE}" pid="10" name="DocumentType_0">
    <vt:lpwstr>TCD|cd9d6eb6-3f4f-424a-b2d1-57c9d450eaaf</vt:lpwstr>
  </property>
  <property fmtid="{D5CDD505-2E9C-101B-9397-08002B2CF9AE}" pid="11" name="DossierName_0">
    <vt:lpwstr/>
  </property>
  <property fmtid="{D5CDD505-2E9C-101B-9397-08002B2CF9AE}" pid="12" name="DocumentSource_0">
    <vt:lpwstr>EESC|422833ec-8d7e-4e65-8e4e-8bed07ffb729</vt:lpwstr>
  </property>
  <property fmtid="{D5CDD505-2E9C-101B-9397-08002B2CF9AE}" pid="13" name="DocumentNumber">
    <vt:i4>1544</vt:i4>
  </property>
  <property fmtid="{D5CDD505-2E9C-101B-9397-08002B2CF9AE}" pid="14" name="FicheYear">
    <vt:i4>2026</vt:i4>
  </property>
  <property fmtid="{D5CDD505-2E9C-101B-9397-08002B2CF9AE}" pid="15" name="DocumentVersion">
    <vt:i4>0</vt:i4>
  </property>
  <property fmtid="{D5CDD505-2E9C-101B-9397-08002B2CF9AE}" pid="16" name="DocumentStatus">
    <vt:lpwstr>9;#TRA|150d2a88-1431-44e6-a8ca-0bb753ab8672</vt:lpwstr>
  </property>
  <property fmtid="{D5CDD505-2E9C-101B-9397-08002B2CF9AE}" pid="17" name="DocumentPart">
    <vt:i4>0</vt:i4>
  </property>
  <property fmtid="{D5CDD505-2E9C-101B-9397-08002B2CF9AE}" pid="18" name="DossierName">
    <vt:lpwstr/>
  </property>
  <property fmtid="{D5CDD505-2E9C-101B-9397-08002B2CF9AE}" pid="19" name="DocumentSource">
    <vt:lpwstr>1;#EESC|422833ec-8d7e-4e65-8e4e-8bed07ffb729</vt:lpwstr>
  </property>
  <property fmtid="{D5CDD505-2E9C-101B-9397-08002B2CF9AE}" pid="20" name="DocumentType">
    <vt:lpwstr>18;#TCD|cd9d6eb6-3f4f-424a-b2d1-57c9d450eaaf</vt:lpwstr>
  </property>
  <property fmtid="{D5CDD505-2E9C-101B-9397-08002B2CF9AE}" pid="21" name="RequestingService">
    <vt:lpwstr>Relations extérieures</vt:lpwstr>
  </property>
  <property fmtid="{D5CDD505-2E9C-101B-9397-08002B2CF9AE}" pid="22" name="Confidentiality">
    <vt:lpwstr>19;#Unrestricted|826e22d7-d029-4ec0-a450-0c28ff673572</vt:lpwstr>
  </property>
  <property fmtid="{D5CDD505-2E9C-101B-9397-08002B2CF9AE}" pid="23" name="MeetingName_0">
    <vt:lpwstr/>
  </property>
  <property fmtid="{D5CDD505-2E9C-101B-9397-08002B2CF9AE}" pid="24" name="Confidentiality_0">
    <vt:lpwstr>Unrestricted|826e22d7-d029-4ec0-a450-0c28ff673572</vt:lpwstr>
  </property>
  <property fmtid="{D5CDD505-2E9C-101B-9397-08002B2CF9AE}" pid="25" name="OriginalLanguage">
    <vt:lpwstr>4;#EN|f2175f21-25d7-44a3-96da-d6a61b075e1b</vt:lpwstr>
  </property>
  <property fmtid="{D5CDD505-2E9C-101B-9397-08002B2CF9AE}" pid="26" name="MeetingName">
    <vt:lpwstr/>
  </property>
  <property fmtid="{D5CDD505-2E9C-101B-9397-08002B2CF9AE}" pid="27" name="AvailableTranslations_0">
    <vt:lpwstr>SR|7f3a1d13-b985-4bfd-981e-afe31377edff;EN|f2175f21-25d7-44a3-96da-d6a61b075e1b</vt:lpwstr>
  </property>
  <property fmtid="{D5CDD505-2E9C-101B-9397-08002B2CF9AE}" pid="28" name="DocumentStatus_0">
    <vt:lpwstr>TRA|150d2a88-1431-44e6-a8ca-0bb753ab8672</vt:lpwstr>
  </property>
  <property fmtid="{D5CDD505-2E9C-101B-9397-08002B2CF9AE}" pid="29" name="OriginalLanguage_0">
    <vt:lpwstr>EN|f2175f21-25d7-44a3-96da-d6a61b075e1b</vt:lpwstr>
  </property>
  <property fmtid="{D5CDD505-2E9C-101B-9397-08002B2CF9AE}" pid="30" name="TaxCatchAll">
    <vt:lpwstr>184;#SR|7f3a1d13-b985-4bfd-981e-afe31377edff;#18;#TCD|cd9d6eb6-3f4f-424a-b2d1-57c9d450eaaf;#9;#TRA|150d2a88-1431-44e6-a8ca-0bb753ab8672;#7;#Final|ea5e6674-7b27-4bac-b091-73adbb394efe;#4;#EN|f2175f21-25d7-44a3-96da-d6a61b075e1b;#19;#Unrestricted|826e22d7-d029-4ec0-a450-0c28ff673572;#1;#EESC|422833ec-8d7e-4e65-8e4e-8bed07ffb729</vt:lpwstr>
  </property>
  <property fmtid="{D5CDD505-2E9C-101B-9397-08002B2CF9AE}" pid="31" name="VersionStatus_0">
    <vt:lpwstr>Final|ea5e6674-7b27-4bac-b091-73adbb394efe</vt:lpwstr>
  </property>
  <property fmtid="{D5CDD505-2E9C-101B-9397-08002B2CF9AE}" pid="32" name="VersionStatus">
    <vt:lpwstr>7;#Final|ea5e6674-7b27-4bac-b091-73adbb394efe</vt:lpwstr>
  </property>
  <property fmtid="{D5CDD505-2E9C-101B-9397-08002B2CF9AE}" pid="33" name="DocumentYear">
    <vt:i4>2026</vt:i4>
  </property>
  <property fmtid="{D5CDD505-2E9C-101B-9397-08002B2CF9AE}" pid="34" name="FicheNumber">
    <vt:i4>304293</vt:i4>
  </property>
  <property fmtid="{D5CDD505-2E9C-101B-9397-08002B2CF9AE}" pid="35" name="DocumentLanguage">
    <vt:lpwstr>128;#SQ|5ac17240-8d11-45ec-9893-659b209d7a00</vt:lpwstr>
  </property>
  <property fmtid="{D5CDD505-2E9C-101B-9397-08002B2CF9AE}" pid="36" name="_docset_NoMedatataSyncRequired">
    <vt:lpwstr>False</vt:lpwstr>
  </property>
  <property fmtid="{D5CDD505-2E9C-101B-9397-08002B2CF9AE}" pid="37" name="_dlc_policyId">
    <vt:lpwstr>/sites/TRADEXT/Restricted/Translations</vt:lpwstr>
  </property>
  <property fmtid="{D5CDD505-2E9C-101B-9397-08002B2CF9AE}" pid="38" name="ItemRetentionFormula">
    <vt:lpwstr>&lt;formula id="Microsoft.Office.RecordsManagement.PolicyFeatures.Expiration.Formula.BuiltIn"&gt;&lt;number&gt;12&lt;/number&gt;&lt;property&gt;Created&lt;/property&gt;&lt;propertyId&gt;8c06beca-0777-48f7-91c7-6da68bc07b69&lt;/propertyId&gt;&lt;period&gt;months&lt;/period&gt;&lt;/formula&gt;</vt:lpwstr>
  </property>
  <property fmtid="{D5CDD505-2E9C-101B-9397-08002B2CF9AE}" pid="39" name="TestOrderFormCategory">
    <vt:lpwstr>, </vt:lpwstr>
  </property>
  <property fmtid="{D5CDD505-2E9C-101B-9397-08002B2CF9AE}" pid="40" name="WorkflowChangePath">
    <vt:lpwstr>8e99794e-7636-4d22-909a-b17271b9aefe,3;8e99794e-7636-4d22-909a-b17271b9aefe,3;8e99794e-7636-4d22-909a-b17271b9aefe,3;8e99794e-7636-4d22-909a-b17271b9aefe,3;8e99794e-7636-4d22-909a-b17271b9aefe,3;</vt:lpwstr>
  </property>
  <property fmtid="{D5CDD505-2E9C-101B-9397-08002B2CF9AE}" pid="41" name="DocumentLanguage_0">
    <vt:lpwstr>EN|f2175f21-25d7-44a3-96da-d6a61b075e1b</vt:lpwstr>
  </property>
</Properties>
</file>