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B6F8" w14:textId="52782251" w:rsidR="00464E03" w:rsidRPr="006C47AE" w:rsidRDefault="00D62BE8" w:rsidP="00464E03">
      <w:pPr>
        <w:spacing w:after="0"/>
        <w:jc w:val="center"/>
        <w:rPr>
          <w:b/>
          <w:sz w:val="16"/>
          <w:szCs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E0E5C7F" wp14:editId="57FFAB88">
                <wp:simplePos x="0" y="0"/>
                <wp:positionH relativeFrom="page">
                  <wp:posOffset>6769100</wp:posOffset>
                </wp:positionH>
                <wp:positionV relativeFrom="page">
                  <wp:posOffset>10081260</wp:posOffset>
                </wp:positionV>
                <wp:extent cx="647700" cy="396240"/>
                <wp:effectExtent l="0" t="3810" r="3175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573DCE" w14:textId="77777777" w:rsidR="00392266" w:rsidRDefault="00D62B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4E0E5C7F">
                <v:stroke joinstyle="miter"/>
                <v:path gradientshapeok="t" o:connecttype="rect"/>
              </v:shapetype>
              <v:shape id="Text Box 17" style="position:absolute;left:0;text-align:left;margin-left:533pt;margin-top:793.8pt;width:51pt;height:31.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">
                <v:textbox>
                  <w:txbxContent>
                    <w:p w:rsidR="00392266" w:rsidRDefault="00D62BE8" w14:paraId="14573DCE" w14:textId="77777777">
                      <w:pPr>
                        <w:jc w:val="center"/>
                        <w:rPr>
                          <w:b/>
                          <w:bCs/>
                          <w:sz w:val="48"/>
                          <w:rFonts w:ascii="Arial" w:hAnsi="Arial" w:cs="Arial"/>
                        </w:rPr>
                      </w:pPr>
                      <w:r>
                        <w:rPr>
                          <w:b/>
                          <w:sz w:val="48"/>
                          <w:rFonts w:ascii="Arial" w:hAnsi="Arial"/>
                        </w:rPr>
                        <w:t xml:space="preserve">HR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190AB4" w14:textId="77777777" w:rsidR="00315E9A" w:rsidRPr="00315E9A" w:rsidRDefault="00315E9A" w:rsidP="00FE7042">
      <w:pPr>
        <w:spacing w:after="0"/>
        <w:jc w:val="center"/>
        <w:rPr>
          <w:b/>
          <w:sz w:val="16"/>
          <w:szCs w:val="16"/>
          <w:lang w:val="en-GB"/>
        </w:rPr>
      </w:pPr>
    </w:p>
    <w:p w14:paraId="072D2970" w14:textId="453115AB" w:rsidR="00392266" w:rsidRDefault="00FE7042" w:rsidP="00FE704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ZAKLJUČCI </w:t>
      </w:r>
    </w:p>
    <w:p w14:paraId="372DAE6C" w14:textId="74BD94A8" w:rsidR="00FE7042" w:rsidRPr="00FE7042" w:rsidRDefault="009C52FE" w:rsidP="00FE704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</w:rPr>
        <w:t>konferencije na visokoj razini civilnog društva EU-a i zapadnog Balkana: Povjerenje i partnerstvo u središtu proširenja EU-a – 29. svibnja 2026., Beč, Austrija</w:t>
      </w:r>
    </w:p>
    <w:p w14:paraId="6A9B5792" w14:textId="77777777" w:rsidR="00392266" w:rsidRPr="00390E0E" w:rsidRDefault="00392266">
      <w:pPr>
        <w:spacing w:after="0"/>
        <w:jc w:val="both"/>
        <w:rPr>
          <w:lang w:val="en-GB"/>
        </w:rPr>
      </w:pPr>
    </w:p>
    <w:p w14:paraId="17F5A113" w14:textId="77777777" w:rsidR="00315E9A" w:rsidRPr="00315E9A" w:rsidRDefault="00315E9A">
      <w:pPr>
        <w:spacing w:after="0"/>
        <w:jc w:val="both"/>
        <w:rPr>
          <w:rFonts w:cstheme="minorHAnsi"/>
          <w:sz w:val="6"/>
          <w:szCs w:val="6"/>
          <w:lang w:val="en-GB"/>
        </w:rPr>
      </w:pPr>
    </w:p>
    <w:p w14:paraId="647B78DC" w14:textId="7405A771" w:rsidR="00392266" w:rsidRPr="00390E0E" w:rsidRDefault="00D62BE8">
      <w:pPr>
        <w:spacing w:after="0"/>
        <w:jc w:val="both"/>
        <w:rPr>
          <w:rFonts w:cstheme="minorHAnsi"/>
        </w:rPr>
      </w:pPr>
      <w:r>
        <w:t>Sudionici i sudionice:</w:t>
      </w:r>
    </w:p>
    <w:p w14:paraId="6FD87200" w14:textId="77777777" w:rsidR="00392266" w:rsidRPr="00390E0E" w:rsidRDefault="00392266">
      <w:pPr>
        <w:spacing w:after="0"/>
        <w:jc w:val="both"/>
        <w:rPr>
          <w:rFonts w:cstheme="minorHAnsi"/>
          <w:lang w:val="en-GB"/>
        </w:rPr>
      </w:pPr>
    </w:p>
    <w:p w14:paraId="60E9350A" w14:textId="43CF5084" w:rsidR="007C6DA9" w:rsidRPr="00390E0E" w:rsidRDefault="00353964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potvrđuju da je proširenje EU-a geostrateško ulaganje u stabilnu, sigurnu i ujedinjenu Europu te da je vjerodostojan proces pristupanja temeljen na zaslugama i dalje jedan od najjačih alata EU-a za promicanje demokracije, blagostanja i sigurnosti diljem kontinenta;</w:t>
      </w:r>
    </w:p>
    <w:p w14:paraId="60B26F83" w14:textId="77777777" w:rsidR="007C6DA9" w:rsidRPr="00390E0E" w:rsidRDefault="007C6DA9" w:rsidP="007C6DA9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34465421" w14:textId="20F38599" w:rsidR="00611953" w:rsidRPr="00390E0E" w:rsidRDefault="00D927BB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naglašavaju da geopolitički prioriteti ne smiju utjecati na kvalitetu reformi i da se uvjetovanost mora primjenjivati metodično, objektivno i transparentno. Vjerodostojan napredak u područjima vladavine prava, antikorupcijskih politika, slobode medija i zaštite temeljnih prava i dalje je ključan za legitimnost i održivost procesa proširenja;</w:t>
      </w:r>
    </w:p>
    <w:p w14:paraId="34D02B77" w14:textId="77777777" w:rsidR="00611953" w:rsidRPr="00390E0E" w:rsidRDefault="00611953" w:rsidP="00C37434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0175B658" w14:textId="2DED5BE1" w:rsidR="00353964" w:rsidRPr="00390E0E" w:rsidRDefault="0011465A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naglašavaju ključnu ulogu organiziranog civilnog društva u procesu pristupanja EU-u i ulogu Europskog gospodarskog i socijalnog odbora (EGSO) u jačanju suradnje između socijalnih partnera i organizacija civilnog društva sa zapadnog Balkana te njihovih partnera iz EU-a;</w:t>
      </w:r>
    </w:p>
    <w:p w14:paraId="06930DF5" w14:textId="64AFF51B" w:rsidR="00392266" w:rsidRPr="00390E0E" w:rsidRDefault="00392266" w:rsidP="00C37434">
      <w:pPr>
        <w:pStyle w:val="ListParagraph"/>
        <w:spacing w:after="0"/>
        <w:ind w:left="0"/>
        <w:jc w:val="both"/>
        <w:rPr>
          <w:rFonts w:cstheme="minorHAnsi"/>
          <w:lang w:val="en-GB"/>
        </w:rPr>
      </w:pPr>
    </w:p>
    <w:p w14:paraId="38DAA479" w14:textId="29B3B737" w:rsidR="00611953" w:rsidRPr="00390E0E" w:rsidRDefault="00611953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napominju da bi, s obzirom na to da je proširenje proces koji se temelji na zaslugama, neke zemlje kandidatkinje na svojem putu prema članstvu u EU-u mogle napredovati brže od drugih; izražavaju nadu da će se nastaviti dobar tempo pristupnih pregovora s Crnom Gorom i Albanijom; naglašavaju važnost odluka koje će Srbija morati donijeti kako bi vratila povjerenje u demokratske institucije i ponovno izgradila mostove među svojim građanima, mladima i civilnim društvom; izražavaju nadu da će Sjeverna Makedonija i Bosna i Hercegovina uskoro moći otvoriti skupinu poglavlja o temeljnim pitanjima u pregovorima o pristupanju EU-u te da će Kosovo</w:t>
      </w:r>
      <w:r w:rsidR="00C37434" w:rsidRPr="00390E0E">
        <w:rPr>
          <w:rStyle w:val="FootnoteReference"/>
          <w:rFonts w:cstheme="minorHAnsi"/>
          <w:kern w:val="2"/>
          <w:lang w:val="en-GB" w:eastAsia="hr-HR"/>
        </w:rPr>
        <w:footnoteReference w:id="1"/>
      </w:r>
      <w:r>
        <w:t xml:space="preserve"> dobiti status kandidata za članstvo u EU-u;</w:t>
      </w:r>
    </w:p>
    <w:p w14:paraId="5A6E19DD" w14:textId="77777777" w:rsidR="00EE67D9" w:rsidRPr="00390E0E" w:rsidRDefault="00EE67D9" w:rsidP="00C37434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4D88EBA1" w14:textId="6E8878F7" w:rsidR="006B60B2" w:rsidRPr="00390E0E" w:rsidRDefault="00B139BE" w:rsidP="00D927BB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pozivaju na jačanje diplomatskih i političkih napora kako bi se riješili bilateralni sporovi i poduprla pomirba i pritom napominju da će bez normalizacije odnosa u regiji smislena regionalna suradnja i vjerodostojan put proširenja i dalje biti teško ostvarivi;</w:t>
      </w:r>
    </w:p>
    <w:p w14:paraId="4ECBD1EA" w14:textId="77777777" w:rsidR="001B7A46" w:rsidRPr="00390E0E" w:rsidRDefault="001B7A46" w:rsidP="00C37434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38D6BDB6" w14:textId="7B3E298D" w:rsidR="0004674D" w:rsidRPr="00390E0E" w:rsidRDefault="0004674D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lastRenderedPageBreak/>
        <w:t>izražavaju snažnu potporu postupnom i predvidljivom pristupu pristupanju koji se temelji na zaslugama, pri čemu su koristi povezane s ostvarenim napretkom, pod uvjetom da krajnji cilj ostane punopravno članstvo;</w:t>
      </w:r>
    </w:p>
    <w:p w14:paraId="504A5327" w14:textId="77777777" w:rsidR="005B3D63" w:rsidRPr="00390E0E" w:rsidRDefault="005B3D63" w:rsidP="00C37434">
      <w:pPr>
        <w:pStyle w:val="ListParagraph"/>
        <w:spacing w:after="0"/>
        <w:ind w:left="0"/>
        <w:jc w:val="both"/>
        <w:rPr>
          <w:rFonts w:cstheme="minorHAnsi"/>
          <w:lang w:val="en-GB"/>
        </w:rPr>
      </w:pPr>
    </w:p>
    <w:p w14:paraId="6F9F9D46" w14:textId="3537E0D6" w:rsidR="00E55D4F" w:rsidRPr="00390E0E" w:rsidRDefault="00E55D4F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naglašavaju da je strateška komunikacija o koristima i izazovima pristupanja od ključne važnosti i na zapadnom Balkanu i u državama članicama EU-a, uključujući jasno informiranje o tome kako proširenje jača sigurnost, gospodarsku otpornost, demokraciju i konkurentnost Europe; ističu da proširenje pridonosi jačanju dugoročne konkurentnosti, gospodarske otpornosti i strateške autonomije Europe;</w:t>
      </w:r>
    </w:p>
    <w:p w14:paraId="284FFCD2" w14:textId="77777777" w:rsidR="004B11EE" w:rsidRPr="00390E0E" w:rsidRDefault="004B11EE" w:rsidP="00C37434">
      <w:pPr>
        <w:pStyle w:val="ListParagraph"/>
        <w:spacing w:after="0"/>
        <w:ind w:left="0"/>
        <w:jc w:val="both"/>
        <w:rPr>
          <w:rFonts w:cstheme="minorHAnsi"/>
          <w:lang w:val="en-GB"/>
        </w:rPr>
      </w:pPr>
    </w:p>
    <w:p w14:paraId="0B52BF79" w14:textId="4CB55A66" w:rsidR="00D927BB" w:rsidRPr="00390E0E" w:rsidRDefault="00FD488C" w:rsidP="00D927BB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pozivaju na usklađeno djelovanje institucija EU-a, država članica i organiziranog civilnog društva kako bi se transparentnim podacima, javnom raspravom utemeljenom na činjenicama i izravnim angažmanom građana suzbile dezinformacije i inozemna manipulacija u vezi s proširenjem;</w:t>
      </w:r>
    </w:p>
    <w:p w14:paraId="02AAE5DE" w14:textId="77777777" w:rsidR="00D927BB" w:rsidRPr="00390E0E" w:rsidRDefault="00D927BB" w:rsidP="00D927BB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3CD2A666" w14:textId="64DECBA5" w:rsidR="00C37434" w:rsidRPr="00390E0E" w:rsidRDefault="00C37434" w:rsidP="00D927BB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naglašavaju da su proširenje i sigurnost sve povezaniji; pozivaju na jačanje demokratske otpornosti, uključujući zaštitu prostora za građansko djelovanje i neovisnih medija, te na produbljivanje suradnje u prioritetnim područjima otpornosti, kao što su borba protiv dezinformacija i zlonamjernog uplitanja, jačanje kapaciteta u području kibernetičke sigurnosti te pripravnost za prekogranične krize;</w:t>
      </w:r>
    </w:p>
    <w:p w14:paraId="7846619B" w14:textId="77777777" w:rsidR="00C37434" w:rsidRPr="00390E0E" w:rsidRDefault="00C37434" w:rsidP="00C37434">
      <w:pPr>
        <w:pStyle w:val="ListParagraph"/>
        <w:jc w:val="both"/>
        <w:rPr>
          <w:kern w:val="2"/>
          <w:lang w:val="en-GB" w:eastAsia="hr-HR"/>
          <w14:ligatures w14:val="standardContextual"/>
        </w:rPr>
      </w:pPr>
    </w:p>
    <w:p w14:paraId="0A5985AD" w14:textId="143D510A" w:rsidR="00C37434" w:rsidRPr="00390E0E" w:rsidRDefault="00C37434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traže od EU-a da se prema zemljama zapadnog Balkana odnosi kao prema strateškim sigurnosnim partnerima i da sustavnije – politički, gospodarski i operativno – uključi tu regiju u obrambene okvire EU-a kako bi se ojačala opća obrambena spremnost i strateška autonomija EU-a;</w:t>
      </w:r>
    </w:p>
    <w:p w14:paraId="15223175" w14:textId="77777777" w:rsidR="007B634F" w:rsidRPr="00390E0E" w:rsidRDefault="007B634F" w:rsidP="00C37434">
      <w:pPr>
        <w:pStyle w:val="ListParagraph"/>
        <w:spacing w:after="0"/>
        <w:ind w:left="0"/>
        <w:jc w:val="both"/>
        <w:rPr>
          <w:rFonts w:cstheme="minorHAnsi"/>
          <w:lang w:val="en-GB"/>
        </w:rPr>
      </w:pPr>
    </w:p>
    <w:p w14:paraId="380BD62F" w14:textId="47EDBF37" w:rsidR="006F329F" w:rsidRPr="00390E0E" w:rsidRDefault="006F329F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pozdravljaju uključivanje zemalja kandidatkinja u europski štit za zaštitu demokracije i strategiju EU-a za civilno društvo te izražavaju potporu uspostavi Europske mreže provjeravatelja činjenica i naporima za jačanje sustava ranog upozoravanja EU-a kako bi se bolje odgovorilo na najnovije prijetnje i sužavanje prostora za građansko djelovanje;</w:t>
      </w:r>
    </w:p>
    <w:p w14:paraId="4BCA313D" w14:textId="77777777" w:rsidR="006F329F" w:rsidRPr="00390E0E" w:rsidRDefault="006F329F" w:rsidP="00C37434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5AA2CC54" w14:textId="1B215CA3" w:rsidR="0013048F" w:rsidRPr="00390E0E" w:rsidRDefault="0013048F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pozivaju Europsku komisiju i druge institucije, tijela i agencije EU-a da pojačaju potporu izgradnji administrativnih kapaciteta u zemljama kandidatkinjama i da omoguće određenom broju javnih službenika iz tih zemalja da rade u institucijama EU-a tijekom pristupnog procesa kako bi se mogli upoznati s politikama i zakonodavnim postupcima EU-a;</w:t>
      </w:r>
    </w:p>
    <w:p w14:paraId="060E76CD" w14:textId="77777777" w:rsidR="00A241B0" w:rsidRPr="00390E0E" w:rsidRDefault="00A241B0" w:rsidP="00C37434">
      <w:pPr>
        <w:pStyle w:val="ListParagraph"/>
        <w:spacing w:after="0"/>
        <w:ind w:left="0"/>
        <w:jc w:val="both"/>
        <w:rPr>
          <w:rFonts w:cstheme="minorHAnsi"/>
          <w:lang w:val="en-GB"/>
        </w:rPr>
      </w:pPr>
    </w:p>
    <w:p w14:paraId="6B4002CD" w14:textId="0E334073" w:rsidR="00A241B0" w:rsidRPr="00390E0E" w:rsidRDefault="00A241B0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ističu dodanu vrijednost inicijative EGSO-a za članove i članice iz zemalja kandidatkinja za proširenje kao praktičnog primjera postupnog pristupanja na djelu; pozivaju druge institucije i tijela EU-a da slijede taj pristup stvaranjem usporedivih mehanizama za postupnu integraciju;</w:t>
      </w:r>
    </w:p>
    <w:p w14:paraId="1F0FF883" w14:textId="77777777" w:rsidR="00EE748A" w:rsidRPr="00390E0E" w:rsidRDefault="00EE748A" w:rsidP="00C37434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2E2344FB" w14:textId="326C5651" w:rsidR="00EE748A" w:rsidRPr="00390E0E" w:rsidRDefault="00EE748A" w:rsidP="00C37434">
      <w:pPr>
        <w:pStyle w:val="ListParagraph"/>
        <w:numPr>
          <w:ilvl w:val="0"/>
          <w:numId w:val="1"/>
        </w:numPr>
        <w:ind w:left="0"/>
        <w:jc w:val="both"/>
        <w:rPr>
          <w:rFonts w:cstheme="minorHAnsi"/>
          <w:kern w:val="2"/>
          <w14:ligatures w14:val="standardContextual"/>
        </w:rPr>
      </w:pPr>
      <w:r>
        <w:t>smatraju da su za postizanje održivog rasta i kvalitetnih radnih mjesta nužna ulaganja u socijalnu, gospodarsku i teritorijalnu koheziju; preporučuju da se u programima reformi prednost dâ reformama i ulaganjima u području ljudskog kapitala te da se za sve mjere utvrde socijalni pokazatelji i pokazatelji ishoda koji se temelje na razvoju; naglašavaju važnost ulaganja u obrazovanje, strukovno osposobljavanje, razvoj vještina i kvalitetne mogućnosti zapošljavanja;</w:t>
      </w:r>
    </w:p>
    <w:p w14:paraId="6C6A64B6" w14:textId="77777777" w:rsidR="00A241B0" w:rsidRPr="00390E0E" w:rsidRDefault="00A241B0" w:rsidP="00C37434">
      <w:pPr>
        <w:pStyle w:val="ListParagraph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2F8118AE" w14:textId="30EEFE4E" w:rsidR="00190B4D" w:rsidRPr="00390E0E" w:rsidRDefault="005D28F3" w:rsidP="00D927BB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 xml:space="preserve">naglašavaju da bi se procesom proširenja trebala podupirati socijalno pravedna zelena i digitalna tranzicija te da bi taj proces trebao uključivati ulaganja u održivu infrastrukturu, čistu energiju, digitalnu </w:t>
      </w:r>
      <w:proofErr w:type="spellStart"/>
      <w:r>
        <w:t>povezivost</w:t>
      </w:r>
      <w:proofErr w:type="spellEnd"/>
      <w:r>
        <w:t xml:space="preserve"> i razvoj vještina;</w:t>
      </w:r>
    </w:p>
    <w:p w14:paraId="4091CB1F" w14:textId="77777777" w:rsidR="00190B4D" w:rsidRPr="00390E0E" w:rsidRDefault="00190B4D" w:rsidP="00190B4D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082E4953" w14:textId="419D3432" w:rsidR="00D927BB" w:rsidRPr="00390E0E" w:rsidRDefault="00D927BB" w:rsidP="00D927BB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lastRenderedPageBreak/>
        <w:t>odlučno naglašavaju da, s obzirom na potrebna znatna ulaganja i prilagodbe propisa, socijalni partneri i organizacije civilnog društva imaju osobito važnu ulogu u socioekonomskoj konvergenciji zapadnog Balkana s EU-om kao i u prelasku na održivije društvo. Njima se premošćuje jaz između nacionalnih institucija i šire javnosti te su oni ključni za postizanje ciljeva europskog stupa socijalnih prava;</w:t>
      </w:r>
    </w:p>
    <w:p w14:paraId="3E9AEFD1" w14:textId="77777777" w:rsidR="00D927BB" w:rsidRPr="00390E0E" w:rsidRDefault="00D927BB" w:rsidP="00D927BB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48277AAF" w14:textId="186428A5" w:rsidR="00340480" w:rsidRPr="00390E0E" w:rsidRDefault="00340480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 xml:space="preserve">naglašavaju da financijski stup plana rasta nije dovoljan za postizanje istinski </w:t>
      </w:r>
      <w:proofErr w:type="spellStart"/>
      <w:r>
        <w:t>transformativnog</w:t>
      </w:r>
      <w:proofErr w:type="spellEnd"/>
      <w:r>
        <w:t xml:space="preserve"> učinka te pozivaju Europsku komisiju, Europski parlament i Vijeće da znatno povećaju komponentu bespovratnih sredstava i osiguraju strukturno zaštićenu višegodišnju dodjelu sredstava zemljama proširenja u okviru sastavnice višegodišnjeg financijskog okvira (VFO) zvane „Globalna Europa”, koja će se temeljiti na transparentnim i predvidljivim metodologijama dodjele sredstava koje odražavaju broj stanovnika svake zemlje kandidatkinje i njezine potrebe za konvergencijom;</w:t>
      </w:r>
    </w:p>
    <w:p w14:paraId="55EE2445" w14:textId="77777777" w:rsidR="002D371E" w:rsidRPr="00390E0E" w:rsidRDefault="002D371E" w:rsidP="002D371E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796B208E" w14:textId="3BBA2173" w:rsidR="002D371E" w:rsidRPr="00390E0E" w:rsidRDefault="00D6032D" w:rsidP="002D371E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naglašavaju da bi se u sljedećem VFO-u trebala očuvati jasno prepoznatljiva struktura financiranja proširenja u okviru Instrumenta za susjedstvo, razvoj i međunarodnu suradnju – Globalna Europa, s predvidljivim višegodišnjim programiranjem, mehanizmima upravljanja specifičnima za pristupanje i dugoročnom potporom civilnom društvu. Neovisne organizacije civilnog društva i neovisni mediji moraju ostati prihvatljivi korisnici sredstava u okviru svih relevantnih instrumenata EU-a te imati pristup namjenskim, izdvojenim linijama financiranja za aktivnosti zagovaranja, nadzora, praćenja i građanskog sudjelovanja, koje su ključne za demokratsku otpornost i vjerodostojnost procesa proširenja;</w:t>
      </w:r>
    </w:p>
    <w:p w14:paraId="7BC41ED2" w14:textId="77777777" w:rsidR="00A8764B" w:rsidRPr="00390E0E" w:rsidRDefault="00A8764B" w:rsidP="00C37434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202140E6" w14:textId="6EA201E8" w:rsidR="00A8764B" w:rsidRPr="00390E0E" w:rsidRDefault="00A8764B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 xml:space="preserve">ističu potrebu za usklađivanjem mehanizma Instrumenta za reforme i rast za zapadni Balkan s načelima kohezijske politike i upravljanjem tom politikom kako bi se institucije zapadnog Balkana pripremile za budući pristup sredstvima kohezijske politike i svim drugim odgovarajućim financijskim sredstvima dostupnima u sljedećem VFO-u; pozivaju i na pojednostavnjenje pretpristupnih postupaka financiranja kako bi se izbjegla administrativna uska grla; naglašavaju da bi sljedeći VFO trebao uključivati namjenski mehanizam pretpristupne tranzicije kojim bi se premostio jaz između zaključenja pristupnih pregovora i punopravnog članstva kako bi se spriječili apsorpcijski šokovi i osigurao kontinuitet reformskog zamaha u prvim godinama članstva; </w:t>
      </w:r>
    </w:p>
    <w:p w14:paraId="287EBB2A" w14:textId="77777777" w:rsidR="008A4925" w:rsidRPr="00390E0E" w:rsidRDefault="008A4925" w:rsidP="00C37434">
      <w:pPr>
        <w:pStyle w:val="ListParagraph"/>
        <w:spacing w:after="0"/>
        <w:ind w:left="0"/>
        <w:jc w:val="both"/>
        <w:rPr>
          <w:rFonts w:cstheme="minorHAnsi"/>
          <w:lang w:val="en-GB"/>
        </w:rPr>
      </w:pPr>
    </w:p>
    <w:p w14:paraId="7D8EF49A" w14:textId="5C75BF09" w:rsidR="00086C3C" w:rsidRPr="00390E0E" w:rsidRDefault="00086C3C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naglašavaju da pristup Instrumenta za reforme i rast za zapadni Balkan koji se temelji na uspješnosti jača vjerodostojnost i nepovratnost reformi potaknutih procesom proširenja. U tu bi svrhu provedba Instrumenta za reforme i rast za zapadni Balkan trebala podrazumijevati visoku razinu transparentnosti, provjerljive standarde ocjenjivanja i uključivo upravljanje; naglašavaju da se uvjetovanost napretkom ostvarenim u području demokracije, vladavine prava, javne uprave i gospodarskog upravljanja mora primjenjivati dosljedno i objektivno te da povjerenje javnosti ovisi o metodičnim i razumljivim procjenama Komisije koje se temelje na dokazima;</w:t>
      </w:r>
    </w:p>
    <w:p w14:paraId="0E72C42A" w14:textId="77777777" w:rsidR="00C37434" w:rsidRPr="00390E0E" w:rsidRDefault="00C37434" w:rsidP="00C37434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24DCB0BB" w14:textId="6113B25F" w:rsidR="00C37434" w:rsidRPr="00390E0E" w:rsidRDefault="00C37434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 xml:space="preserve">pozivaju Europsku komisiju i korisnike Instrumenta za reforme i rast za zapadni Balkan da programe reformi, izvješća o napretku koja podnose vlade te druge odgovarajuće procjene objave pravodobno i u pristupačnom obliku; nadalje, pozdravljaju i prihvaćanje i usvajanje prijedloga EGSO-a da se za Instrument za reforme i rast za zapadni Balkan uspostavi tablica pokazatelja, po uzoru na tablicu pokazatelja za oporavak i otpornost, kao ključnog alata za osiguravanje transparentnosti i </w:t>
      </w:r>
      <w:proofErr w:type="spellStart"/>
      <w:r>
        <w:t>uključivosti</w:t>
      </w:r>
      <w:proofErr w:type="spellEnd"/>
      <w:r>
        <w:t>;</w:t>
      </w:r>
    </w:p>
    <w:p w14:paraId="2487BDED" w14:textId="77777777" w:rsidR="001367FF" w:rsidRPr="00390E0E" w:rsidRDefault="001367FF" w:rsidP="00C37434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5FB57FA3" w14:textId="455F9363" w:rsidR="00A306A7" w:rsidRPr="00390E0E" w:rsidRDefault="00A306A7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 xml:space="preserve">preporučuju da Europska komisija izda javne smjernice o tome kako se ocjenjuju potpuno i djelomično ispunjenje pokazatelja provedbe programa reformi, uključujući standarde provjere, </w:t>
      </w:r>
      <w:r>
        <w:lastRenderedPageBreak/>
        <w:t>postupanje u slučaju djelomičnog ispunjenja i postupke primjenjive u slučaju nazadovanja u pogledu uvjeta koji su se prethodno smatrali ispunjenima; naglašavaju da bi uvjetovanost trebala biti osmišljena tako da se potiče provedba reformi, a ne da se kažnjavaju strukturni nedostaci u pogledu kapaciteta, te da bi trebala ostati prvenstveno povezana s pristupnim mjerilima, vladavinom prava i provedbom reformi, uz dovoljnu fleksibilnost i pomoć u slučajevima strukturnih ograničenja provedbene sposobnosti;</w:t>
      </w:r>
    </w:p>
    <w:p w14:paraId="74E6D217" w14:textId="77777777" w:rsidR="006A5B97" w:rsidRPr="00390E0E" w:rsidRDefault="006A5B97" w:rsidP="00C37434">
      <w:pPr>
        <w:pStyle w:val="ListParagraph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51B05C53" w14:textId="4C1DC52E" w:rsidR="00B13054" w:rsidRPr="00390E0E" w:rsidRDefault="00FD3762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naglašavaju da se aktivno sudjelovanje civilnog društva mora smatrati strukturnim uvjetom upravljanja koji je ključan za održivost procesa proširenja; ističu da društvena odgovornost za reforme koje se podupiru Instrumentom zahtijeva stalnu, aktivnu, strukturiranu i formalno institucionaliziranu ulogu ne samo nacionalnih tijela, nego i socijalnih partnera i organizacija civilnog društva;</w:t>
      </w:r>
    </w:p>
    <w:p w14:paraId="3E175C2F" w14:textId="77777777" w:rsidR="00EE748A" w:rsidRPr="00390E0E" w:rsidRDefault="00EE748A" w:rsidP="00C37434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47DAADD3" w14:textId="2A32A4E5" w:rsidR="00EE748A" w:rsidRPr="00390E0E" w:rsidRDefault="00EE748A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preporučuju da provedba plana rasta i Instrumenta za reforme i rast za zapadni Balkan bude popraćena ciljanim mjerama za jačanje nacionalnih administrativnih kapaciteta i kapaciteta socijalnih partnera i organizacija civilnog društva. Ti su akteri ključni za poboljšanje kvalitete socijalnog i civilnog dijaloga te za omogućivanje učinkovitog praćenja i provedbe reformi;</w:t>
      </w:r>
    </w:p>
    <w:p w14:paraId="3065D9E5" w14:textId="77777777" w:rsidR="00B13054" w:rsidRPr="00390E0E" w:rsidRDefault="00B13054" w:rsidP="00C37434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657DB73D" w14:textId="42022203" w:rsidR="00B13054" w:rsidRPr="00390E0E" w:rsidRDefault="00FD3762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naglašavaju da rokovi ne smiju ugrožavati demokratske postupke, javnu raspravu ili obvezna savjetovanja ili dijalog sa socijalnim partnerima i organizacijama civilnog društva niti se smiju koristiti kao opravdanje za hitne skraćene zakonodavne postupke koji isključuju te elemente; ističu da su ti elementi ključni za osiguravanje legitimnosti, kvalitete i održivosti reformi;</w:t>
      </w:r>
    </w:p>
    <w:p w14:paraId="3F4E7503" w14:textId="77777777" w:rsidR="00B13054" w:rsidRPr="00390E0E" w:rsidRDefault="00B13054" w:rsidP="00C37434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1B137715" w14:textId="3FE02FB3" w:rsidR="00534EC4" w:rsidRPr="00390E0E" w:rsidRDefault="00FD3762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ističu da bi uključivanje socijalnih partnera i organizacija civilnog društva trebalo biti sustavno i službeno ugrađeno u zakonodavstvo i operativne smjernice; pozivaju vlade da uspostave strukturirani okvir za socijalni i civilni dijalog kojim će se osigurati sudjelovanje organizacija koje predstavljaju poslodavce, radnike i organizacije civilnog društva na nacionalnoj razini, uz poštovanje posebne uloge i autonomije socijalnih partnera;</w:t>
      </w:r>
    </w:p>
    <w:p w14:paraId="388D2F0B" w14:textId="77777777" w:rsidR="00534EC4" w:rsidRPr="00390E0E" w:rsidRDefault="00534EC4" w:rsidP="00C37434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1A5E06E4" w14:textId="7EA60B56" w:rsidR="00FD3762" w:rsidRPr="00390E0E" w:rsidRDefault="00FD3762" w:rsidP="00C3743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preporučuju da se osigura prilagođena, održiva i predvidljiva financijska potpora organizacijama civilnog društva, neovisnim medijima i socijalnim partnerima putem višegodišnjih i transparentnih mehanizama financiranja u sljedećem VFO-u; napominju da je odgovarajuće financiranje, uključujući namjenska sredstva koja nisu ovisna o pristanku vlade domaćina, ključno za omogućavanje smislenog sudjelovanja u praćenju i dijalogu o politikama, zaštitu prostora za građansko djelovanje, bolju provedbu reformi i jačanje demokratske otpornosti na dezinformacije i vanjsko uplitanje;</w:t>
      </w:r>
    </w:p>
    <w:p w14:paraId="4D23063F" w14:textId="77777777" w:rsidR="008A4925" w:rsidRPr="00390E0E" w:rsidRDefault="008A4925" w:rsidP="00C37434">
      <w:pPr>
        <w:pStyle w:val="ListParagraph"/>
        <w:spacing w:after="0"/>
        <w:ind w:left="0"/>
        <w:jc w:val="both"/>
        <w:rPr>
          <w:rFonts w:cstheme="minorHAnsi"/>
          <w:lang w:val="en-GB"/>
        </w:rPr>
      </w:pPr>
    </w:p>
    <w:p w14:paraId="2015BC7B" w14:textId="6FD9B9C1" w:rsidR="00793E46" w:rsidRPr="00390E0E" w:rsidRDefault="00353964" w:rsidP="00793E46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pozivaju Europsku komisiju da podrži zemlje kandidatkinje i potencijalne kandidatkinje u ocjenjivanju prednosti i nedostataka rane integracije na tržište, utvrđivanju subjekata na koje to utječe negativno te provedbi prilagođenih mjera za ublažavanje posljedica; naglašavaju da će to biti ključno za sprečavanje slabljenja potpore javnosti članstvu u EU-u u zemljama kandidatkinjama te za olakšavanje njihova neometanog uključivanja u jedinstveno tržište EU-a; nadalje, pozivaju Komisiju da pri izradi takvih mjera pravodobno zatraži doprinos socijalnih partnera i civilnog društva te ga na odgovarajući način uzme u obzir;</w:t>
      </w:r>
    </w:p>
    <w:p w14:paraId="1730B6B7" w14:textId="77777777" w:rsidR="00793E46" w:rsidRPr="00390E0E" w:rsidRDefault="00793E46" w:rsidP="00793E46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08F9AA9D" w14:textId="405A4833" w:rsidR="002F2532" w:rsidRPr="00390E0E" w:rsidRDefault="0010060E" w:rsidP="002F2532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 xml:space="preserve">pozdravljaju činjenicu da je Europska komisija, na temelju iskustva stečenog u okviru Mehanizma za oporavak i otpornost, provela prijedlog EGSO-a da se osnuju </w:t>
      </w:r>
      <w:proofErr w:type="spellStart"/>
      <w:r>
        <w:t>uključivi</w:t>
      </w:r>
      <w:proofErr w:type="spellEnd"/>
      <w:r>
        <w:t xml:space="preserve"> odbori za praćenje za pojedine zemlje radi poboljšanja provedbe, koordinacije i praćenja programa reformi; naglašavaju da bi odbori </w:t>
      </w:r>
      <w:r>
        <w:lastRenderedPageBreak/>
        <w:t>za praćenje trebali imati jasne kriterije za članstvo i javno dostupno izvješćivanje te učinkovito pratiti provedbu preporuka;</w:t>
      </w:r>
    </w:p>
    <w:p w14:paraId="0F7BDC17" w14:textId="77777777" w:rsidR="002F2532" w:rsidRPr="00390E0E" w:rsidRDefault="002F2532" w:rsidP="002F2532">
      <w:pPr>
        <w:pStyle w:val="ListParagraph"/>
        <w:spacing w:after="0"/>
        <w:ind w:left="0"/>
        <w:jc w:val="both"/>
        <w:rPr>
          <w:rFonts w:cstheme="minorHAnsi"/>
          <w:kern w:val="2"/>
          <w:lang w:val="en-GB" w:eastAsia="hr-HR"/>
          <w14:ligatures w14:val="standardContextual"/>
        </w:rPr>
      </w:pPr>
    </w:p>
    <w:p w14:paraId="108E4676" w14:textId="19770E2D" w:rsidR="006C47AE" w:rsidRPr="00E82475" w:rsidRDefault="00353964" w:rsidP="003E0B95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cstheme="minorHAnsi"/>
          <w:kern w:val="2"/>
          <w14:ligatures w14:val="standardContextual"/>
        </w:rPr>
      </w:pPr>
      <w:r>
        <w:t>naglašavaju važnost regionalne suradnje i dobrosusjedskih odnosa tijekom cijelog procesa pristupanja EU-u te pozdravljaju usredotočenost na provedbu zajedničkog regionalnog tržišta; pohvaljuju Vijeće za regionalnu suradnju za njegov rad na koordinaciji zajedničkog regionalnog tržišta te ističu važnost zajedničkog regionalnog tržišta kao temelja za daljnju integraciju zapadnog Balkana u jedinstveno tržište EU-a.</w:t>
      </w:r>
    </w:p>
    <w:p w14:paraId="1D499ED2" w14:textId="0EB23E12" w:rsidR="00392266" w:rsidRPr="00390E0E" w:rsidRDefault="00D62BE8" w:rsidP="00001F3C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</w:pPr>
      <w:r>
        <w:t>_____________</w:t>
      </w:r>
    </w:p>
    <w:sectPr w:rsidR="00392266" w:rsidRPr="00390E0E" w:rsidSect="008F26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pgSz w:w="11907" w:h="16840"/>
      <w:pgMar w:top="1020" w:right="1417" w:bottom="1020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70DAC" w14:textId="77777777" w:rsidR="0036137B" w:rsidRDefault="0036137B">
      <w:pPr>
        <w:spacing w:line="240" w:lineRule="auto"/>
      </w:pPr>
      <w:r>
        <w:separator/>
      </w:r>
    </w:p>
  </w:endnote>
  <w:endnote w:type="continuationSeparator" w:id="0">
    <w:p w14:paraId="790A706D" w14:textId="77777777" w:rsidR="0036137B" w:rsidRDefault="00361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36DA4" w14:textId="77777777" w:rsidR="008F26FA" w:rsidRDefault="008F26FA" w:rsidP="008F2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F348" w14:textId="66DB4DD3" w:rsidR="004C19C9" w:rsidRPr="008F26FA" w:rsidRDefault="008F26FA" w:rsidP="008F26FA">
    <w:pPr>
      <w:pStyle w:val="Footer"/>
      <w:rPr>
        <w:rFonts w:ascii="Arial" w:hAnsi="Arial" w:cs="Arial"/>
      </w:rPr>
    </w:pPr>
    <w:r>
      <w:rPr>
        <w:rFonts w:ascii="Arial" w:hAnsi="Arial"/>
        <w:sz w:val="20"/>
      </w:rPr>
      <w:t xml:space="preserve">EESC-2026-01544-00-00-TCD-TRA (EN) </w:t>
    </w:r>
    <w:r w:rsidRPr="008F26FA">
      <w:rPr>
        <w:rFonts w:ascii="Arial" w:hAnsi="Arial" w:cs="Arial"/>
        <w:sz w:val="20"/>
      </w:rPr>
      <w:fldChar w:fldCharType="begin"/>
    </w:r>
    <w:r w:rsidRPr="008F26FA">
      <w:rPr>
        <w:rFonts w:ascii="Arial" w:hAnsi="Arial" w:cs="Arial"/>
        <w:sz w:val="20"/>
      </w:rPr>
      <w:instrText xml:space="preserve"> PAGE  \* Arabic  \* MERGEFORMAT </w:instrText>
    </w:r>
    <w:r w:rsidRPr="008F26FA">
      <w:rPr>
        <w:rFonts w:ascii="Arial" w:hAnsi="Arial" w:cs="Arial"/>
        <w:sz w:val="20"/>
      </w:rPr>
      <w:fldChar w:fldCharType="separate"/>
    </w:r>
    <w:r w:rsidRPr="008F26FA">
      <w:rPr>
        <w:rFonts w:ascii="Arial" w:hAnsi="Arial" w:cs="Arial"/>
        <w:sz w:val="20"/>
      </w:rPr>
      <w:t>2</w:t>
    </w:r>
    <w:r w:rsidRPr="008F26FA">
      <w:rPr>
        <w:rFonts w:ascii="Arial" w:hAnsi="Arial" w:cs="Arial"/>
        <w:sz w:val="20"/>
      </w:rPr>
      <w:fldChar w:fldCharType="end"/>
    </w:r>
    <w:r>
      <w:rPr>
        <w:rFonts w:ascii="Arial" w:hAnsi="Arial"/>
        <w:sz w:val="20"/>
      </w:rPr>
      <w:t>/</w:t>
    </w:r>
    <w:r w:rsidRPr="008F26FA">
      <w:rPr>
        <w:rFonts w:ascii="Arial" w:hAnsi="Arial" w:cs="Arial"/>
        <w:sz w:val="20"/>
      </w:rPr>
      <w:fldChar w:fldCharType="begin"/>
    </w:r>
    <w:r w:rsidRPr="008F26FA">
      <w:rPr>
        <w:rFonts w:ascii="Arial" w:hAnsi="Arial" w:cs="Arial"/>
        <w:sz w:val="20"/>
      </w:rPr>
      <w:instrText xml:space="preserve"> NUMPAGES </w:instrText>
    </w:r>
    <w:r w:rsidRPr="008F26FA">
      <w:rPr>
        <w:rFonts w:ascii="Arial" w:hAnsi="Arial" w:cs="Arial"/>
        <w:sz w:val="20"/>
      </w:rPr>
      <w:fldChar w:fldCharType="separate"/>
    </w:r>
    <w:r w:rsidRPr="008F26FA">
      <w:rPr>
        <w:rFonts w:ascii="Arial" w:hAnsi="Arial" w:cs="Arial"/>
        <w:sz w:val="20"/>
      </w:rPr>
      <w:t>4</w:t>
    </w:r>
    <w:r w:rsidRPr="008F26FA">
      <w:rPr>
        <w:rFonts w:ascii="Arial" w:hAnsi="Arial"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8F8" w14:textId="6E1DE5C0" w:rsidR="008F26FA" w:rsidRPr="008F26FA" w:rsidRDefault="008F26FA" w:rsidP="008F26FA">
    <w:pPr>
      <w:pStyle w:val="Footer"/>
    </w:pPr>
    <w:r>
      <w:rPr>
        <w:rFonts w:ascii="Arial" w:hAnsi="Arial"/>
        <w:sz w:val="16"/>
      </w:rPr>
      <w:t xml:space="preserve">EESC-2026-01544-00-00-TCD-TRA (EN) </w:t>
    </w:r>
    <w:r w:rsidRPr="008F26FA">
      <w:rPr>
        <w:rFonts w:ascii="Arial" w:hAnsi="Arial" w:cs="Arial"/>
        <w:sz w:val="16"/>
      </w:rPr>
      <w:fldChar w:fldCharType="begin"/>
    </w:r>
    <w:r w:rsidRPr="008F26FA">
      <w:rPr>
        <w:rFonts w:ascii="Arial" w:hAnsi="Arial" w:cs="Arial"/>
        <w:sz w:val="16"/>
      </w:rPr>
      <w:instrText xml:space="preserve"> PAGE  \* Arabic  \* MERGEFORMAT </w:instrText>
    </w:r>
    <w:r w:rsidRPr="008F26FA">
      <w:rPr>
        <w:rFonts w:ascii="Arial" w:hAnsi="Arial" w:cs="Arial"/>
        <w:sz w:val="16"/>
      </w:rPr>
      <w:fldChar w:fldCharType="separate"/>
    </w:r>
    <w:r w:rsidRPr="008F26FA">
      <w:rPr>
        <w:rFonts w:ascii="Arial" w:hAnsi="Arial" w:cs="Arial"/>
        <w:sz w:val="16"/>
      </w:rPr>
      <w:t>4</w:t>
    </w:r>
    <w:r w:rsidRPr="008F26FA">
      <w:rPr>
        <w:rFonts w:ascii="Arial" w:hAnsi="Arial" w:cs="Arial"/>
        <w:sz w:val="16"/>
      </w:rPr>
      <w:fldChar w:fldCharType="end"/>
    </w:r>
    <w:r>
      <w:rPr>
        <w:rFonts w:ascii="Arial" w:hAnsi="Arial"/>
        <w:sz w:val="16"/>
      </w:rPr>
      <w:t>/</w:t>
    </w:r>
    <w:r w:rsidRPr="008F26FA">
      <w:rPr>
        <w:rFonts w:ascii="Arial" w:hAnsi="Arial" w:cs="Arial"/>
        <w:sz w:val="16"/>
      </w:rPr>
      <w:fldChar w:fldCharType="begin"/>
    </w:r>
    <w:r w:rsidRPr="008F26FA">
      <w:rPr>
        <w:rFonts w:ascii="Arial" w:hAnsi="Arial" w:cs="Arial"/>
        <w:sz w:val="16"/>
      </w:rPr>
      <w:instrText xml:space="preserve"> NUMPAGES </w:instrText>
    </w:r>
    <w:r w:rsidRPr="008F26FA">
      <w:rPr>
        <w:rFonts w:ascii="Arial" w:hAnsi="Arial" w:cs="Arial"/>
        <w:sz w:val="16"/>
      </w:rPr>
      <w:fldChar w:fldCharType="separate"/>
    </w:r>
    <w:r w:rsidRPr="008F26FA">
      <w:rPr>
        <w:rFonts w:ascii="Arial" w:hAnsi="Arial" w:cs="Arial"/>
        <w:sz w:val="16"/>
      </w:rPr>
      <w:t>4</w:t>
    </w:r>
    <w:r w:rsidRPr="008F26FA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7C11A" w14:textId="77777777" w:rsidR="0036137B" w:rsidRDefault="0036137B">
      <w:pPr>
        <w:spacing w:after="0"/>
      </w:pPr>
      <w:r>
        <w:separator/>
      </w:r>
    </w:p>
  </w:footnote>
  <w:footnote w:type="continuationSeparator" w:id="0">
    <w:p w14:paraId="16DA2D90" w14:textId="77777777" w:rsidR="0036137B" w:rsidRDefault="0036137B">
      <w:pPr>
        <w:spacing w:after="0"/>
      </w:pPr>
      <w:r>
        <w:continuationSeparator/>
      </w:r>
    </w:p>
  </w:footnote>
  <w:footnote w:id="1">
    <w:p w14:paraId="0356D192" w14:textId="0D65FF27" w:rsidR="00C37434" w:rsidRPr="00C37434" w:rsidRDefault="00C37434" w:rsidP="001173DC">
      <w:pPr>
        <w:pStyle w:val="FootnoteText"/>
        <w:ind w:left="720" w:hanging="720"/>
      </w:pPr>
      <w:r>
        <w:rPr>
          <w:rStyle w:val="FootnoteReference"/>
        </w:rPr>
        <w:footnoteRef/>
      </w:r>
      <w:r>
        <w:tab/>
      </w:r>
      <w:r>
        <w:rPr>
          <w:sz w:val="16"/>
        </w:rPr>
        <w:t>Ovim se nazivom ne dovode u pitanje stajališta o statusu Kosova te je on u skladu s Rezolucijom Vijeća sigurnosti UN-a 1244 i mišljenjem Međunarodnog suda o proglašenju neovisnosti Kosova.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9C64" w14:textId="77777777" w:rsidR="008F26FA" w:rsidRDefault="008F2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6593" w14:textId="77777777" w:rsidR="008F26FA" w:rsidRDefault="008F2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5CC6" w14:textId="07C2BDC2" w:rsidR="00D2451D" w:rsidRDefault="00D2451D">
    <w:pPr>
      <w:pStyle w:val="Header"/>
    </w:pPr>
    <w:r>
      <w:rPr>
        <w:noProof/>
      </w:rPr>
      <w:drawing>
        <wp:inline distT="0" distB="0" distL="0" distR="0" wp14:anchorId="54F67732" wp14:editId="02CEE902">
          <wp:extent cx="5760085" cy="1921086"/>
          <wp:effectExtent l="0" t="0" r="0" b="3175"/>
          <wp:docPr id="173252447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921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2A05"/>
    <w:multiLevelType w:val="multilevel"/>
    <w:tmpl w:val="60B4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773D0"/>
    <w:multiLevelType w:val="multilevel"/>
    <w:tmpl w:val="79149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A3371"/>
    <w:multiLevelType w:val="multilevel"/>
    <w:tmpl w:val="7504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917A7F"/>
    <w:multiLevelType w:val="multilevel"/>
    <w:tmpl w:val="7A08E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A68D0"/>
    <w:multiLevelType w:val="multilevel"/>
    <w:tmpl w:val="9FC85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3637A9"/>
    <w:multiLevelType w:val="multilevel"/>
    <w:tmpl w:val="06BC9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F28FC"/>
    <w:multiLevelType w:val="multilevel"/>
    <w:tmpl w:val="F050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7123A"/>
    <w:multiLevelType w:val="multilevel"/>
    <w:tmpl w:val="EF7E3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0905F2"/>
    <w:multiLevelType w:val="multilevel"/>
    <w:tmpl w:val="9CD28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85637E"/>
    <w:multiLevelType w:val="multilevel"/>
    <w:tmpl w:val="3480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891D09"/>
    <w:multiLevelType w:val="multilevel"/>
    <w:tmpl w:val="538C9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84B87"/>
    <w:multiLevelType w:val="multilevel"/>
    <w:tmpl w:val="985C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A97CB2"/>
    <w:multiLevelType w:val="multilevel"/>
    <w:tmpl w:val="10001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30EE8"/>
    <w:multiLevelType w:val="multilevel"/>
    <w:tmpl w:val="012C2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7D3B9E"/>
    <w:multiLevelType w:val="multilevel"/>
    <w:tmpl w:val="4B7C464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02E21"/>
    <w:multiLevelType w:val="multilevel"/>
    <w:tmpl w:val="CE368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9D1461"/>
    <w:multiLevelType w:val="multilevel"/>
    <w:tmpl w:val="F1D87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FB2127"/>
    <w:multiLevelType w:val="multilevel"/>
    <w:tmpl w:val="14F2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6E7EFA"/>
    <w:multiLevelType w:val="multilevel"/>
    <w:tmpl w:val="26AE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EF5126"/>
    <w:multiLevelType w:val="multilevel"/>
    <w:tmpl w:val="C282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482035"/>
    <w:multiLevelType w:val="multilevel"/>
    <w:tmpl w:val="A3B87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E22CAE"/>
    <w:multiLevelType w:val="multilevel"/>
    <w:tmpl w:val="A304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582BB7"/>
    <w:multiLevelType w:val="multilevel"/>
    <w:tmpl w:val="70387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4710CB"/>
    <w:multiLevelType w:val="multilevel"/>
    <w:tmpl w:val="D73E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BA34C7"/>
    <w:multiLevelType w:val="multilevel"/>
    <w:tmpl w:val="0800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2675BB"/>
    <w:multiLevelType w:val="multilevel"/>
    <w:tmpl w:val="C79C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2D0412"/>
    <w:multiLevelType w:val="multilevel"/>
    <w:tmpl w:val="A1D4E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82C29D5"/>
    <w:multiLevelType w:val="multilevel"/>
    <w:tmpl w:val="27F0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D3A05"/>
    <w:multiLevelType w:val="multilevel"/>
    <w:tmpl w:val="305A7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A4E1160"/>
    <w:multiLevelType w:val="multilevel"/>
    <w:tmpl w:val="9C66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A57DA0"/>
    <w:multiLevelType w:val="multilevel"/>
    <w:tmpl w:val="70DC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4A422F"/>
    <w:multiLevelType w:val="multilevel"/>
    <w:tmpl w:val="75407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1A69C4"/>
    <w:multiLevelType w:val="multilevel"/>
    <w:tmpl w:val="C2AE2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18D70EC"/>
    <w:multiLevelType w:val="multilevel"/>
    <w:tmpl w:val="ACE6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4630EC"/>
    <w:multiLevelType w:val="multilevel"/>
    <w:tmpl w:val="4B7C464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D53252"/>
    <w:multiLevelType w:val="multilevel"/>
    <w:tmpl w:val="62DE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42D29B6"/>
    <w:multiLevelType w:val="multilevel"/>
    <w:tmpl w:val="C15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4C630B2"/>
    <w:multiLevelType w:val="multilevel"/>
    <w:tmpl w:val="C1C6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6A90461"/>
    <w:multiLevelType w:val="multilevel"/>
    <w:tmpl w:val="5B288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6E34834"/>
    <w:multiLevelType w:val="multilevel"/>
    <w:tmpl w:val="7D90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A29470C"/>
    <w:multiLevelType w:val="multilevel"/>
    <w:tmpl w:val="B5F62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E1E10D5"/>
    <w:multiLevelType w:val="multilevel"/>
    <w:tmpl w:val="D6EE1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F70314D"/>
    <w:multiLevelType w:val="multilevel"/>
    <w:tmpl w:val="3FB2F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0120627"/>
    <w:multiLevelType w:val="multilevel"/>
    <w:tmpl w:val="6604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13E7BFF"/>
    <w:multiLevelType w:val="multilevel"/>
    <w:tmpl w:val="8934F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FA1952"/>
    <w:multiLevelType w:val="multilevel"/>
    <w:tmpl w:val="2BA2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F34884"/>
    <w:multiLevelType w:val="multilevel"/>
    <w:tmpl w:val="7DC2F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9B009C7"/>
    <w:multiLevelType w:val="multilevel"/>
    <w:tmpl w:val="A5A6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A7A4CD2"/>
    <w:multiLevelType w:val="multilevel"/>
    <w:tmpl w:val="C368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DA55357"/>
    <w:multiLevelType w:val="multilevel"/>
    <w:tmpl w:val="F392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E6E5977"/>
    <w:multiLevelType w:val="multilevel"/>
    <w:tmpl w:val="D6B8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EC50601"/>
    <w:multiLevelType w:val="multilevel"/>
    <w:tmpl w:val="1BBA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E37066"/>
    <w:multiLevelType w:val="multilevel"/>
    <w:tmpl w:val="7268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F643C70"/>
    <w:multiLevelType w:val="multilevel"/>
    <w:tmpl w:val="B2B2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27F7B68"/>
    <w:multiLevelType w:val="multilevel"/>
    <w:tmpl w:val="4CDA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72F5398"/>
    <w:multiLevelType w:val="multilevel"/>
    <w:tmpl w:val="819CA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78C42D7"/>
    <w:multiLevelType w:val="multilevel"/>
    <w:tmpl w:val="DAC0B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AB85D53"/>
    <w:multiLevelType w:val="multilevel"/>
    <w:tmpl w:val="F1BC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AE802E8"/>
    <w:multiLevelType w:val="multilevel"/>
    <w:tmpl w:val="5DECB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E4B09C3"/>
    <w:multiLevelType w:val="multilevel"/>
    <w:tmpl w:val="70BC5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FFA20F8"/>
    <w:multiLevelType w:val="multilevel"/>
    <w:tmpl w:val="E23A5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9550234"/>
    <w:multiLevelType w:val="multilevel"/>
    <w:tmpl w:val="791E1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AD2896"/>
    <w:multiLevelType w:val="multilevel"/>
    <w:tmpl w:val="5768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E15413D"/>
    <w:multiLevelType w:val="multilevel"/>
    <w:tmpl w:val="28521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F8B40A4"/>
    <w:multiLevelType w:val="multilevel"/>
    <w:tmpl w:val="2770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035992">
    <w:abstractNumId w:val="34"/>
  </w:num>
  <w:num w:numId="2" w16cid:durableId="1207107897">
    <w:abstractNumId w:val="27"/>
  </w:num>
  <w:num w:numId="3" w16cid:durableId="2097939381">
    <w:abstractNumId w:val="5"/>
  </w:num>
  <w:num w:numId="4" w16cid:durableId="759256658">
    <w:abstractNumId w:val="46"/>
  </w:num>
  <w:num w:numId="5" w16cid:durableId="2001496257">
    <w:abstractNumId w:val="15"/>
  </w:num>
  <w:num w:numId="6" w16cid:durableId="2122072345">
    <w:abstractNumId w:val="1"/>
  </w:num>
  <w:num w:numId="7" w16cid:durableId="2130388336">
    <w:abstractNumId w:val="38"/>
  </w:num>
  <w:num w:numId="8" w16cid:durableId="162087966">
    <w:abstractNumId w:val="51"/>
  </w:num>
  <w:num w:numId="9" w16cid:durableId="1114524096">
    <w:abstractNumId w:val="35"/>
  </w:num>
  <w:num w:numId="10" w16cid:durableId="316300686">
    <w:abstractNumId w:val="9"/>
  </w:num>
  <w:num w:numId="11" w16cid:durableId="819346161">
    <w:abstractNumId w:val="47"/>
  </w:num>
  <w:num w:numId="12" w16cid:durableId="242422836">
    <w:abstractNumId w:val="10"/>
  </w:num>
  <w:num w:numId="13" w16cid:durableId="1864828551">
    <w:abstractNumId w:val="41"/>
  </w:num>
  <w:num w:numId="14" w16cid:durableId="2072263750">
    <w:abstractNumId w:val="39"/>
  </w:num>
  <w:num w:numId="15" w16cid:durableId="24328692">
    <w:abstractNumId w:val="4"/>
  </w:num>
  <w:num w:numId="16" w16cid:durableId="685716490">
    <w:abstractNumId w:val="16"/>
  </w:num>
  <w:num w:numId="17" w16cid:durableId="1755660057">
    <w:abstractNumId w:val="58"/>
  </w:num>
  <w:num w:numId="18" w16cid:durableId="712078314">
    <w:abstractNumId w:val="28"/>
  </w:num>
  <w:num w:numId="19" w16cid:durableId="2067024458">
    <w:abstractNumId w:val="31"/>
  </w:num>
  <w:num w:numId="20" w16cid:durableId="628390609">
    <w:abstractNumId w:val="63"/>
  </w:num>
  <w:num w:numId="21" w16cid:durableId="928345821">
    <w:abstractNumId w:val="12"/>
  </w:num>
  <w:num w:numId="22" w16cid:durableId="1530415269">
    <w:abstractNumId w:val="32"/>
  </w:num>
  <w:num w:numId="23" w16cid:durableId="1382099347">
    <w:abstractNumId w:val="50"/>
  </w:num>
  <w:num w:numId="24" w16cid:durableId="49156349">
    <w:abstractNumId w:val="7"/>
  </w:num>
  <w:num w:numId="25" w16cid:durableId="1485701968">
    <w:abstractNumId w:val="56"/>
  </w:num>
  <w:num w:numId="26" w16cid:durableId="1607467484">
    <w:abstractNumId w:val="6"/>
  </w:num>
  <w:num w:numId="27" w16cid:durableId="2021159767">
    <w:abstractNumId w:val="8"/>
  </w:num>
  <w:num w:numId="28" w16cid:durableId="419254174">
    <w:abstractNumId w:val="62"/>
  </w:num>
  <w:num w:numId="29" w16cid:durableId="46994396">
    <w:abstractNumId w:val="37"/>
  </w:num>
  <w:num w:numId="30" w16cid:durableId="439491680">
    <w:abstractNumId w:val="42"/>
  </w:num>
  <w:num w:numId="31" w16cid:durableId="619923226">
    <w:abstractNumId w:val="55"/>
  </w:num>
  <w:num w:numId="32" w16cid:durableId="12735143">
    <w:abstractNumId w:val="2"/>
  </w:num>
  <w:num w:numId="33" w16cid:durableId="161360307">
    <w:abstractNumId w:val="20"/>
  </w:num>
  <w:num w:numId="34" w16cid:durableId="730231131">
    <w:abstractNumId w:val="60"/>
  </w:num>
  <w:num w:numId="35" w16cid:durableId="1558198979">
    <w:abstractNumId w:val="40"/>
  </w:num>
  <w:num w:numId="36" w16cid:durableId="721830241">
    <w:abstractNumId w:val="3"/>
  </w:num>
  <w:num w:numId="37" w16cid:durableId="1829203166">
    <w:abstractNumId w:val="13"/>
  </w:num>
  <w:num w:numId="38" w16cid:durableId="1353072278">
    <w:abstractNumId w:val="22"/>
  </w:num>
  <w:num w:numId="39" w16cid:durableId="454983478">
    <w:abstractNumId w:val="26"/>
  </w:num>
  <w:num w:numId="40" w16cid:durableId="358313331">
    <w:abstractNumId w:val="59"/>
  </w:num>
  <w:num w:numId="41" w16cid:durableId="1500776634">
    <w:abstractNumId w:val="0"/>
  </w:num>
  <w:num w:numId="42" w16cid:durableId="1211041579">
    <w:abstractNumId w:val="21"/>
  </w:num>
  <w:num w:numId="43" w16cid:durableId="807164280">
    <w:abstractNumId w:val="61"/>
  </w:num>
  <w:num w:numId="44" w16cid:durableId="1349061813">
    <w:abstractNumId w:val="44"/>
  </w:num>
  <w:num w:numId="45" w16cid:durableId="300770444">
    <w:abstractNumId w:val="33"/>
  </w:num>
  <w:num w:numId="46" w16cid:durableId="1003434106">
    <w:abstractNumId w:val="29"/>
  </w:num>
  <w:num w:numId="47" w16cid:durableId="219249359">
    <w:abstractNumId w:val="54"/>
  </w:num>
  <w:num w:numId="48" w16cid:durableId="150416517">
    <w:abstractNumId w:val="17"/>
  </w:num>
  <w:num w:numId="49" w16cid:durableId="433480915">
    <w:abstractNumId w:val="36"/>
  </w:num>
  <w:num w:numId="50" w16cid:durableId="663969737">
    <w:abstractNumId w:val="11"/>
  </w:num>
  <w:num w:numId="51" w16cid:durableId="1691493840">
    <w:abstractNumId w:val="57"/>
  </w:num>
  <w:num w:numId="52" w16cid:durableId="802314853">
    <w:abstractNumId w:val="52"/>
  </w:num>
  <w:num w:numId="53" w16cid:durableId="2090541834">
    <w:abstractNumId w:val="48"/>
  </w:num>
  <w:num w:numId="54" w16cid:durableId="1988821242">
    <w:abstractNumId w:val="49"/>
  </w:num>
  <w:num w:numId="55" w16cid:durableId="1816023766">
    <w:abstractNumId w:val="23"/>
  </w:num>
  <w:num w:numId="56" w16cid:durableId="2020696584">
    <w:abstractNumId w:val="18"/>
  </w:num>
  <w:num w:numId="57" w16cid:durableId="105740415">
    <w:abstractNumId w:val="30"/>
  </w:num>
  <w:num w:numId="58" w16cid:durableId="1605309017">
    <w:abstractNumId w:val="43"/>
  </w:num>
  <w:num w:numId="59" w16cid:durableId="941303000">
    <w:abstractNumId w:val="25"/>
  </w:num>
  <w:num w:numId="60" w16cid:durableId="354814472">
    <w:abstractNumId w:val="45"/>
  </w:num>
  <w:num w:numId="61" w16cid:durableId="1815373203">
    <w:abstractNumId w:val="24"/>
  </w:num>
  <w:num w:numId="62" w16cid:durableId="835220923">
    <w:abstractNumId w:val="53"/>
  </w:num>
  <w:num w:numId="63" w16cid:durableId="1483817177">
    <w:abstractNumId w:val="19"/>
  </w:num>
  <w:num w:numId="64" w16cid:durableId="1890073861">
    <w:abstractNumId w:val="64"/>
  </w:num>
  <w:num w:numId="65" w16cid:durableId="1335034902">
    <w:abstractNumId w:val="14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3D"/>
    <w:rsid w:val="00000EF2"/>
    <w:rsid w:val="00001F3C"/>
    <w:rsid w:val="00010A31"/>
    <w:rsid w:val="000123DD"/>
    <w:rsid w:val="000243A0"/>
    <w:rsid w:val="00027331"/>
    <w:rsid w:val="00035D2A"/>
    <w:rsid w:val="00042960"/>
    <w:rsid w:val="0004342D"/>
    <w:rsid w:val="0004674D"/>
    <w:rsid w:val="000634A8"/>
    <w:rsid w:val="0007526F"/>
    <w:rsid w:val="00081042"/>
    <w:rsid w:val="000823DA"/>
    <w:rsid w:val="00086C3C"/>
    <w:rsid w:val="00090B66"/>
    <w:rsid w:val="00096515"/>
    <w:rsid w:val="000A3A9D"/>
    <w:rsid w:val="000B1FED"/>
    <w:rsid w:val="000B77CA"/>
    <w:rsid w:val="000C0F5B"/>
    <w:rsid w:val="000C2010"/>
    <w:rsid w:val="000C3491"/>
    <w:rsid w:val="000D407A"/>
    <w:rsid w:val="000D4937"/>
    <w:rsid w:val="000D4EDA"/>
    <w:rsid w:val="000D74F4"/>
    <w:rsid w:val="000D78F4"/>
    <w:rsid w:val="000E22FF"/>
    <w:rsid w:val="000E440B"/>
    <w:rsid w:val="000E49DA"/>
    <w:rsid w:val="000E4C1F"/>
    <w:rsid w:val="000E5EAA"/>
    <w:rsid w:val="000F28B9"/>
    <w:rsid w:val="0010060E"/>
    <w:rsid w:val="0010215B"/>
    <w:rsid w:val="0010501B"/>
    <w:rsid w:val="0011465A"/>
    <w:rsid w:val="001173DC"/>
    <w:rsid w:val="00126239"/>
    <w:rsid w:val="0013048F"/>
    <w:rsid w:val="001367FF"/>
    <w:rsid w:val="0014014B"/>
    <w:rsid w:val="00141132"/>
    <w:rsid w:val="001544CF"/>
    <w:rsid w:val="00154608"/>
    <w:rsid w:val="00157E76"/>
    <w:rsid w:val="00160667"/>
    <w:rsid w:val="00167563"/>
    <w:rsid w:val="00172BC0"/>
    <w:rsid w:val="00190B4D"/>
    <w:rsid w:val="00190FC4"/>
    <w:rsid w:val="001923CA"/>
    <w:rsid w:val="00194DBC"/>
    <w:rsid w:val="001955D5"/>
    <w:rsid w:val="001972F1"/>
    <w:rsid w:val="001B1EDD"/>
    <w:rsid w:val="001B26BF"/>
    <w:rsid w:val="001B7A46"/>
    <w:rsid w:val="001C0235"/>
    <w:rsid w:val="001C4D2D"/>
    <w:rsid w:val="001F3F50"/>
    <w:rsid w:val="001F5537"/>
    <w:rsid w:val="001F7D4E"/>
    <w:rsid w:val="00205CE9"/>
    <w:rsid w:val="00212854"/>
    <w:rsid w:val="0023110B"/>
    <w:rsid w:val="002459CA"/>
    <w:rsid w:val="00245B16"/>
    <w:rsid w:val="00256C2D"/>
    <w:rsid w:val="00260709"/>
    <w:rsid w:val="00261CFA"/>
    <w:rsid w:val="002642DA"/>
    <w:rsid w:val="00270E0A"/>
    <w:rsid w:val="00276382"/>
    <w:rsid w:val="00282024"/>
    <w:rsid w:val="00287E62"/>
    <w:rsid w:val="002978B3"/>
    <w:rsid w:val="002A22D6"/>
    <w:rsid w:val="002B5ED1"/>
    <w:rsid w:val="002B617F"/>
    <w:rsid w:val="002C1D39"/>
    <w:rsid w:val="002D0F25"/>
    <w:rsid w:val="002D10F8"/>
    <w:rsid w:val="002D371E"/>
    <w:rsid w:val="002E4E52"/>
    <w:rsid w:val="002F2532"/>
    <w:rsid w:val="002F2966"/>
    <w:rsid w:val="003009ED"/>
    <w:rsid w:val="00300C36"/>
    <w:rsid w:val="003116DC"/>
    <w:rsid w:val="00315E9A"/>
    <w:rsid w:val="00320E73"/>
    <w:rsid w:val="003241A1"/>
    <w:rsid w:val="00332966"/>
    <w:rsid w:val="00337B3D"/>
    <w:rsid w:val="00340302"/>
    <w:rsid w:val="00340480"/>
    <w:rsid w:val="00341AA0"/>
    <w:rsid w:val="003424E3"/>
    <w:rsid w:val="003438E1"/>
    <w:rsid w:val="00345099"/>
    <w:rsid w:val="00345242"/>
    <w:rsid w:val="00353964"/>
    <w:rsid w:val="00360B96"/>
    <w:rsid w:val="0036137B"/>
    <w:rsid w:val="00373532"/>
    <w:rsid w:val="0037506C"/>
    <w:rsid w:val="003753E4"/>
    <w:rsid w:val="003757E6"/>
    <w:rsid w:val="0037609C"/>
    <w:rsid w:val="00383F28"/>
    <w:rsid w:val="00385371"/>
    <w:rsid w:val="00390E0E"/>
    <w:rsid w:val="00390F72"/>
    <w:rsid w:val="00392266"/>
    <w:rsid w:val="003A0DFD"/>
    <w:rsid w:val="003A1D74"/>
    <w:rsid w:val="003A5EA9"/>
    <w:rsid w:val="003C643B"/>
    <w:rsid w:val="003C7AF5"/>
    <w:rsid w:val="003D181D"/>
    <w:rsid w:val="003D4C26"/>
    <w:rsid w:val="003E35A6"/>
    <w:rsid w:val="004145B2"/>
    <w:rsid w:val="00422613"/>
    <w:rsid w:val="00456892"/>
    <w:rsid w:val="00461A98"/>
    <w:rsid w:val="00464E03"/>
    <w:rsid w:val="004808ED"/>
    <w:rsid w:val="004814B2"/>
    <w:rsid w:val="004842D8"/>
    <w:rsid w:val="00486717"/>
    <w:rsid w:val="00492867"/>
    <w:rsid w:val="004936C0"/>
    <w:rsid w:val="00493D02"/>
    <w:rsid w:val="0049636B"/>
    <w:rsid w:val="004A7246"/>
    <w:rsid w:val="004A7E2F"/>
    <w:rsid w:val="004B11EE"/>
    <w:rsid w:val="004B6D03"/>
    <w:rsid w:val="004B7FF3"/>
    <w:rsid w:val="004C19C9"/>
    <w:rsid w:val="004C233F"/>
    <w:rsid w:val="004C52C6"/>
    <w:rsid w:val="004C769B"/>
    <w:rsid w:val="004D49D7"/>
    <w:rsid w:val="004D71B9"/>
    <w:rsid w:val="004F4615"/>
    <w:rsid w:val="00500AFC"/>
    <w:rsid w:val="00501922"/>
    <w:rsid w:val="00506106"/>
    <w:rsid w:val="0051477C"/>
    <w:rsid w:val="00515E72"/>
    <w:rsid w:val="00534EC4"/>
    <w:rsid w:val="00537079"/>
    <w:rsid w:val="0054484D"/>
    <w:rsid w:val="0054772C"/>
    <w:rsid w:val="00563003"/>
    <w:rsid w:val="00565394"/>
    <w:rsid w:val="00572EAA"/>
    <w:rsid w:val="00584636"/>
    <w:rsid w:val="005A027A"/>
    <w:rsid w:val="005A14C1"/>
    <w:rsid w:val="005A39DF"/>
    <w:rsid w:val="005A4FD2"/>
    <w:rsid w:val="005A75BD"/>
    <w:rsid w:val="005B3D63"/>
    <w:rsid w:val="005C3585"/>
    <w:rsid w:val="005C7B06"/>
    <w:rsid w:val="005D19E5"/>
    <w:rsid w:val="005D28F3"/>
    <w:rsid w:val="005E1EEB"/>
    <w:rsid w:val="005E4967"/>
    <w:rsid w:val="005F60CE"/>
    <w:rsid w:val="00600578"/>
    <w:rsid w:val="00606D49"/>
    <w:rsid w:val="006079EF"/>
    <w:rsid w:val="00611953"/>
    <w:rsid w:val="00611A05"/>
    <w:rsid w:val="0062130E"/>
    <w:rsid w:val="006275CD"/>
    <w:rsid w:val="00643E20"/>
    <w:rsid w:val="00652491"/>
    <w:rsid w:val="0065495B"/>
    <w:rsid w:val="0066020F"/>
    <w:rsid w:val="006749EE"/>
    <w:rsid w:val="00676180"/>
    <w:rsid w:val="00680276"/>
    <w:rsid w:val="006829B7"/>
    <w:rsid w:val="00690E91"/>
    <w:rsid w:val="006A10AB"/>
    <w:rsid w:val="006A44BF"/>
    <w:rsid w:val="006A4793"/>
    <w:rsid w:val="006A5B97"/>
    <w:rsid w:val="006B11D9"/>
    <w:rsid w:val="006B60B2"/>
    <w:rsid w:val="006C35BC"/>
    <w:rsid w:val="006C47AE"/>
    <w:rsid w:val="006C6A78"/>
    <w:rsid w:val="006D16A0"/>
    <w:rsid w:val="006D3424"/>
    <w:rsid w:val="006E1A38"/>
    <w:rsid w:val="006F329F"/>
    <w:rsid w:val="006F3F63"/>
    <w:rsid w:val="007058C1"/>
    <w:rsid w:val="00710C7C"/>
    <w:rsid w:val="00725667"/>
    <w:rsid w:val="00725FC0"/>
    <w:rsid w:val="00726A15"/>
    <w:rsid w:val="007272E6"/>
    <w:rsid w:val="00730DEE"/>
    <w:rsid w:val="00732CB0"/>
    <w:rsid w:val="007336AE"/>
    <w:rsid w:val="00740C93"/>
    <w:rsid w:val="00743E1C"/>
    <w:rsid w:val="0075551E"/>
    <w:rsid w:val="0076030D"/>
    <w:rsid w:val="00760CB8"/>
    <w:rsid w:val="00765864"/>
    <w:rsid w:val="00770E35"/>
    <w:rsid w:val="00771467"/>
    <w:rsid w:val="00783004"/>
    <w:rsid w:val="00792CD3"/>
    <w:rsid w:val="00793E46"/>
    <w:rsid w:val="007A1909"/>
    <w:rsid w:val="007A476B"/>
    <w:rsid w:val="007B09E7"/>
    <w:rsid w:val="007B450D"/>
    <w:rsid w:val="007B634F"/>
    <w:rsid w:val="007B7B2A"/>
    <w:rsid w:val="007C0A4A"/>
    <w:rsid w:val="007C3212"/>
    <w:rsid w:val="007C6DA9"/>
    <w:rsid w:val="007C720A"/>
    <w:rsid w:val="007D5E50"/>
    <w:rsid w:val="007F0F07"/>
    <w:rsid w:val="007F7653"/>
    <w:rsid w:val="00803652"/>
    <w:rsid w:val="00806001"/>
    <w:rsid w:val="00810A2F"/>
    <w:rsid w:val="00840678"/>
    <w:rsid w:val="00841FAF"/>
    <w:rsid w:val="00844B62"/>
    <w:rsid w:val="0084731A"/>
    <w:rsid w:val="008637EE"/>
    <w:rsid w:val="0086461A"/>
    <w:rsid w:val="008663E1"/>
    <w:rsid w:val="00870DDA"/>
    <w:rsid w:val="00871208"/>
    <w:rsid w:val="00871F55"/>
    <w:rsid w:val="0087323A"/>
    <w:rsid w:val="008752E7"/>
    <w:rsid w:val="008763C3"/>
    <w:rsid w:val="008829C9"/>
    <w:rsid w:val="00884B50"/>
    <w:rsid w:val="00887090"/>
    <w:rsid w:val="00896915"/>
    <w:rsid w:val="00897248"/>
    <w:rsid w:val="008A4925"/>
    <w:rsid w:val="008A5184"/>
    <w:rsid w:val="008A782F"/>
    <w:rsid w:val="008B79F0"/>
    <w:rsid w:val="008C405F"/>
    <w:rsid w:val="008C4A07"/>
    <w:rsid w:val="008D13D7"/>
    <w:rsid w:val="008D1907"/>
    <w:rsid w:val="008D329A"/>
    <w:rsid w:val="008D438E"/>
    <w:rsid w:val="008E0EA7"/>
    <w:rsid w:val="008E6003"/>
    <w:rsid w:val="008E71B4"/>
    <w:rsid w:val="008F147D"/>
    <w:rsid w:val="008F26FA"/>
    <w:rsid w:val="008F2B32"/>
    <w:rsid w:val="008F65A2"/>
    <w:rsid w:val="009015D7"/>
    <w:rsid w:val="00916EE8"/>
    <w:rsid w:val="00921A25"/>
    <w:rsid w:val="009463B1"/>
    <w:rsid w:val="00960D6D"/>
    <w:rsid w:val="00963F5A"/>
    <w:rsid w:val="00964C2B"/>
    <w:rsid w:val="00967B09"/>
    <w:rsid w:val="00974FE1"/>
    <w:rsid w:val="00982B4D"/>
    <w:rsid w:val="0098405C"/>
    <w:rsid w:val="0098407C"/>
    <w:rsid w:val="009973FE"/>
    <w:rsid w:val="009A1A4D"/>
    <w:rsid w:val="009B2F4B"/>
    <w:rsid w:val="009B65BE"/>
    <w:rsid w:val="009C52FE"/>
    <w:rsid w:val="009E4F8A"/>
    <w:rsid w:val="009E6813"/>
    <w:rsid w:val="009F044B"/>
    <w:rsid w:val="009F4D00"/>
    <w:rsid w:val="009F6FF8"/>
    <w:rsid w:val="009F7F50"/>
    <w:rsid w:val="00A0106F"/>
    <w:rsid w:val="00A03F1E"/>
    <w:rsid w:val="00A11BD7"/>
    <w:rsid w:val="00A1266E"/>
    <w:rsid w:val="00A241B0"/>
    <w:rsid w:val="00A25D14"/>
    <w:rsid w:val="00A306A7"/>
    <w:rsid w:val="00A31AC1"/>
    <w:rsid w:val="00A327F1"/>
    <w:rsid w:val="00A42EF2"/>
    <w:rsid w:val="00A43CEB"/>
    <w:rsid w:val="00A47BFF"/>
    <w:rsid w:val="00A51400"/>
    <w:rsid w:val="00A52C7E"/>
    <w:rsid w:val="00A53D6E"/>
    <w:rsid w:val="00A54131"/>
    <w:rsid w:val="00A61095"/>
    <w:rsid w:val="00A82F9C"/>
    <w:rsid w:val="00A839E7"/>
    <w:rsid w:val="00A8764B"/>
    <w:rsid w:val="00A927DB"/>
    <w:rsid w:val="00A96273"/>
    <w:rsid w:val="00AA48BF"/>
    <w:rsid w:val="00AB433D"/>
    <w:rsid w:val="00AB4A4E"/>
    <w:rsid w:val="00AC14AE"/>
    <w:rsid w:val="00AC30D7"/>
    <w:rsid w:val="00AD2455"/>
    <w:rsid w:val="00AD5BD0"/>
    <w:rsid w:val="00AD768F"/>
    <w:rsid w:val="00AE42E4"/>
    <w:rsid w:val="00AE4BCB"/>
    <w:rsid w:val="00AE6539"/>
    <w:rsid w:val="00AF2EC4"/>
    <w:rsid w:val="00AF4CB6"/>
    <w:rsid w:val="00AF7F54"/>
    <w:rsid w:val="00B10A48"/>
    <w:rsid w:val="00B13054"/>
    <w:rsid w:val="00B139BE"/>
    <w:rsid w:val="00B147CE"/>
    <w:rsid w:val="00B16291"/>
    <w:rsid w:val="00B17629"/>
    <w:rsid w:val="00B21276"/>
    <w:rsid w:val="00B25465"/>
    <w:rsid w:val="00B35960"/>
    <w:rsid w:val="00B44571"/>
    <w:rsid w:val="00B576D7"/>
    <w:rsid w:val="00B6307B"/>
    <w:rsid w:val="00B660DC"/>
    <w:rsid w:val="00B82FFB"/>
    <w:rsid w:val="00B83592"/>
    <w:rsid w:val="00B920DB"/>
    <w:rsid w:val="00BB2600"/>
    <w:rsid w:val="00BB439C"/>
    <w:rsid w:val="00BB60E2"/>
    <w:rsid w:val="00BB7710"/>
    <w:rsid w:val="00BC4293"/>
    <w:rsid w:val="00BF39FE"/>
    <w:rsid w:val="00BF5007"/>
    <w:rsid w:val="00BF62A1"/>
    <w:rsid w:val="00C13645"/>
    <w:rsid w:val="00C16225"/>
    <w:rsid w:val="00C17EF1"/>
    <w:rsid w:val="00C2542E"/>
    <w:rsid w:val="00C26F3B"/>
    <w:rsid w:val="00C311C0"/>
    <w:rsid w:val="00C33577"/>
    <w:rsid w:val="00C37434"/>
    <w:rsid w:val="00C4033F"/>
    <w:rsid w:val="00C4387C"/>
    <w:rsid w:val="00C51386"/>
    <w:rsid w:val="00C518AD"/>
    <w:rsid w:val="00C627C1"/>
    <w:rsid w:val="00C636E9"/>
    <w:rsid w:val="00C70BAE"/>
    <w:rsid w:val="00C743C0"/>
    <w:rsid w:val="00C80DD2"/>
    <w:rsid w:val="00C87DE4"/>
    <w:rsid w:val="00C92893"/>
    <w:rsid w:val="00C92994"/>
    <w:rsid w:val="00CA0C1B"/>
    <w:rsid w:val="00CA4196"/>
    <w:rsid w:val="00CA5F9B"/>
    <w:rsid w:val="00CA7BE1"/>
    <w:rsid w:val="00CB1629"/>
    <w:rsid w:val="00CB3D49"/>
    <w:rsid w:val="00CC7439"/>
    <w:rsid w:val="00CC75AA"/>
    <w:rsid w:val="00CD5821"/>
    <w:rsid w:val="00CE0A6C"/>
    <w:rsid w:val="00CE4A62"/>
    <w:rsid w:val="00CE4AC1"/>
    <w:rsid w:val="00CF16A9"/>
    <w:rsid w:val="00D01E3C"/>
    <w:rsid w:val="00D125A4"/>
    <w:rsid w:val="00D13100"/>
    <w:rsid w:val="00D2451D"/>
    <w:rsid w:val="00D31F3B"/>
    <w:rsid w:val="00D32F31"/>
    <w:rsid w:val="00D413FF"/>
    <w:rsid w:val="00D422CC"/>
    <w:rsid w:val="00D434CA"/>
    <w:rsid w:val="00D53A1B"/>
    <w:rsid w:val="00D6032D"/>
    <w:rsid w:val="00D62BE8"/>
    <w:rsid w:val="00D75CD5"/>
    <w:rsid w:val="00D80E19"/>
    <w:rsid w:val="00D81A9A"/>
    <w:rsid w:val="00D90BA4"/>
    <w:rsid w:val="00D927BB"/>
    <w:rsid w:val="00D97B10"/>
    <w:rsid w:val="00DA06EC"/>
    <w:rsid w:val="00DA2BEC"/>
    <w:rsid w:val="00DA6842"/>
    <w:rsid w:val="00DB0FB4"/>
    <w:rsid w:val="00DB1162"/>
    <w:rsid w:val="00DB3F9E"/>
    <w:rsid w:val="00DB5C49"/>
    <w:rsid w:val="00DB7B5F"/>
    <w:rsid w:val="00DC11FD"/>
    <w:rsid w:val="00DD098A"/>
    <w:rsid w:val="00DD3F75"/>
    <w:rsid w:val="00DE41F8"/>
    <w:rsid w:val="00E05159"/>
    <w:rsid w:val="00E136C5"/>
    <w:rsid w:val="00E13D65"/>
    <w:rsid w:val="00E41FE5"/>
    <w:rsid w:val="00E47453"/>
    <w:rsid w:val="00E47AED"/>
    <w:rsid w:val="00E50A7F"/>
    <w:rsid w:val="00E55234"/>
    <w:rsid w:val="00E55D4F"/>
    <w:rsid w:val="00E56AE5"/>
    <w:rsid w:val="00E61711"/>
    <w:rsid w:val="00E62EA1"/>
    <w:rsid w:val="00E81BB5"/>
    <w:rsid w:val="00E82475"/>
    <w:rsid w:val="00E87C27"/>
    <w:rsid w:val="00E9146E"/>
    <w:rsid w:val="00E949A4"/>
    <w:rsid w:val="00EB1E3F"/>
    <w:rsid w:val="00EB2E31"/>
    <w:rsid w:val="00EB742E"/>
    <w:rsid w:val="00EC3F8F"/>
    <w:rsid w:val="00EC6C00"/>
    <w:rsid w:val="00EC7603"/>
    <w:rsid w:val="00ED2389"/>
    <w:rsid w:val="00ED24E2"/>
    <w:rsid w:val="00ED2F1D"/>
    <w:rsid w:val="00EE67D9"/>
    <w:rsid w:val="00EE748A"/>
    <w:rsid w:val="00EF1386"/>
    <w:rsid w:val="00F036D9"/>
    <w:rsid w:val="00F074A4"/>
    <w:rsid w:val="00F26516"/>
    <w:rsid w:val="00F274DF"/>
    <w:rsid w:val="00F52575"/>
    <w:rsid w:val="00F615A9"/>
    <w:rsid w:val="00F658F3"/>
    <w:rsid w:val="00F71F3B"/>
    <w:rsid w:val="00F84344"/>
    <w:rsid w:val="00F87ACF"/>
    <w:rsid w:val="00F925D5"/>
    <w:rsid w:val="00F92A46"/>
    <w:rsid w:val="00F95057"/>
    <w:rsid w:val="00FA055A"/>
    <w:rsid w:val="00FA2E97"/>
    <w:rsid w:val="00FB2B97"/>
    <w:rsid w:val="00FC4496"/>
    <w:rsid w:val="00FD3762"/>
    <w:rsid w:val="00FD488C"/>
    <w:rsid w:val="00FD66B3"/>
    <w:rsid w:val="00FE1764"/>
    <w:rsid w:val="00FE1A43"/>
    <w:rsid w:val="00FE7042"/>
    <w:rsid w:val="00FF0EA2"/>
    <w:rsid w:val="00FF170D"/>
    <w:rsid w:val="00FF44F3"/>
    <w:rsid w:val="5DEC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A843B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spacing w:after="0" w:line="288" w:lineRule="auto"/>
      <w:jc w:val="both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pPr>
      <w:spacing w:after="0" w:line="288" w:lineRule="auto"/>
      <w:jc w:val="both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paragraph" w:styleId="FootnoteText">
    <w:name w:val="footnote text"/>
    <w:basedOn w:val="Normal"/>
    <w:link w:val="FootnoteTextChar"/>
    <w:unhideWhenUsed/>
    <w:qFormat/>
    <w:rsid w:val="00AD5BD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D5BD0"/>
  </w:style>
  <w:style w:type="character" w:styleId="FootnoteReference">
    <w:name w:val="footnote reference"/>
    <w:basedOn w:val="DefaultParagraphFont"/>
    <w:unhideWhenUsed/>
    <w:qFormat/>
    <w:rsid w:val="00AD5BD0"/>
    <w:rPr>
      <w:vertAlign w:val="superscript"/>
    </w:rPr>
  </w:style>
  <w:style w:type="paragraph" w:styleId="Revision">
    <w:name w:val="Revision"/>
    <w:hidden/>
    <w:uiPriority w:val="99"/>
    <w:semiHidden/>
    <w:rsid w:val="00341AA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9408b5-cd95-41a2-b442-2b289d59f97f">
      <Value>129</Value>
      <Value>184</Value>
      <Value>18</Value>
      <Value>11</Value>
      <Value>128</Value>
      <Value>9</Value>
      <Value>7</Value>
      <Value>4</Value>
      <Value>19</Value>
      <Value>1</Value>
      <Value>34</Value>
    </TaxCatchAll>
    <lcf76f155ced4ddcb4097134ff3c332f xmlns="c7a06915-057a-4af1-abb7-a9083d05536c">
      <Terms xmlns="http://schemas.microsoft.com/office/infopath/2007/PartnerControls"/>
    </lcf76f155ced4ddcb4097134ff3c332f>
    <DanieleVitali xmlns="c7a06915-057a-4af1-abb7-a9083d05536c">
      <UserInfo>
        <DisplayName/>
        <AccountId xsi:nil="true"/>
        <AccountType/>
      </UserInfo>
    </DanieleVital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627BB8F0D2847BA4583DA3CAF1233" ma:contentTypeVersion="14" ma:contentTypeDescription="Create a new document." ma:contentTypeScope="" ma:versionID="11eaa6a75c266dc429c89dc2dd71de6d">
  <xsd:schema xmlns:xsd="http://www.w3.org/2001/XMLSchema" xmlns:xs="http://www.w3.org/2001/XMLSchema" xmlns:p="http://schemas.microsoft.com/office/2006/metadata/properties" xmlns:ns2="c7a06915-057a-4af1-abb7-a9083d05536c" xmlns:ns3="139408b5-cd95-41a2-b442-2b289d59f97f" targetNamespace="http://schemas.microsoft.com/office/2006/metadata/properties" ma:root="true" ma:fieldsID="30f40f0d7efa7e87831e7795524dcb76" ns2:_="" ns3:_="">
    <xsd:import namespace="c7a06915-057a-4af1-abb7-a9083d05536c"/>
    <xsd:import namespace="139408b5-cd95-41a2-b442-2b289d59f9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DanieleVital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06915-057a-4af1-abb7-a9083d055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aa02b3-c216-49d5-b6dc-d11338e15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DanieleVitali" ma:index="21" nillable="true" ma:displayName="Daniele Vitali" ma:format="Dropdown" ma:list="UserInfo" ma:SharePointGroup="0" ma:internalName="DanieleVital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408b5-cd95-41a2-b442-2b289d59f97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bf9e637-f00f-455f-af10-83e37406edba}" ma:internalName="TaxCatchAll" ma:showField="CatchAllData" ma:web="139408b5-cd95-41a2-b442-2b289d59f9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01038DC-BA3C-4ABB-99A8-408B02079E90}">
  <ds:schemaRefs>
    <ds:schemaRef ds:uri="http://schemas.microsoft.com/office/2006/metadata/properties"/>
    <ds:schemaRef ds:uri="http://schemas.microsoft.com/office/infopath/2007/PartnerControls"/>
    <ds:schemaRef ds:uri="c7a06915-057a-4af1-abb7-a9083d05536c"/>
    <ds:schemaRef ds:uri="139408b5-cd95-41a2-b442-2b289d59f97f"/>
  </ds:schemaRefs>
</ds:datastoreItem>
</file>

<file path=customXml/itemProps2.xml><?xml version="1.0" encoding="utf-8"?>
<ds:datastoreItem xmlns:ds="http://schemas.openxmlformats.org/officeDocument/2006/customXml" ds:itemID="{107DD72A-13C2-485C-97D4-92F40444D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E20097-F859-4E3E-9C34-EB4AF124F00F}"/>
</file>

<file path=customXml/itemProps4.xml><?xml version="1.0" encoding="utf-8"?>
<ds:datastoreItem xmlns:ds="http://schemas.openxmlformats.org/officeDocument/2006/customXml" ds:itemID="{D022152C-31FA-40AB-BEF2-442C43BCD48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2EEA274-F4EC-4D5E-974B-AA37D1DB7FFE}"/>
</file>

<file path=docMetadata/LabelInfo.xml><?xml version="1.0" encoding="utf-8"?>
<clbl:labelList xmlns:clbl="http://schemas.microsoft.com/office/2020/mipLabelMetadata">
  <clbl:label id="{01a4edc0-c130-4e09-bfd4-7b7de34700e6}" enabled="0" method="" siteId="{01a4edc0-c130-4e09-bfd4-7b7de34700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1761</Words>
  <Characters>11429</Characters>
  <Application>Microsoft Office Word</Application>
  <DocSecurity>0</DocSecurity>
  <Lines>187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ZAKLJUČCI konferencije na visokoj razini civilnog društva EU-a i zapadnog Balkana od 29. svibnja 2026.</dc:title>
  <dc:subject/>
  <dc:creator/>
  <cp:keywords/>
  <dc:description/>
  <cp:lastModifiedBy/>
  <cp:revision>1</cp:revision>
  <dcterms:created xsi:type="dcterms:W3CDTF">2026-06-11T13:19:00Z</dcterms:created>
  <dcterms:modified xsi:type="dcterms:W3CDTF">2026-07-01T10:18:00Z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0x010100BF0627BB8F0D2847BA4583DA3CAF1233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Pref_formatted">
    <vt:bool>true</vt:bool>
  </property>
  <property fmtid="{D5CDD505-2E9C-101B-9397-08002B2CF9AE}" pid="6" name="Pref_Date">
    <vt:lpwstr>11/06/2026</vt:lpwstr>
  </property>
  <property fmtid="{D5CDD505-2E9C-101B-9397-08002B2CF9AE}" pid="7" name="Pref_Time">
    <vt:lpwstr>14:47:21</vt:lpwstr>
  </property>
  <property fmtid="{D5CDD505-2E9C-101B-9397-08002B2CF9AE}" pid="8" name="Pref_User">
    <vt:lpwstr>jhvi</vt:lpwstr>
  </property>
  <property fmtid="{D5CDD505-2E9C-101B-9397-08002B2CF9AE}" pid="9" name="Pref_FileName">
    <vt:lpwstr>EESC-2026-01544-00-00-TCD-ORI.docx</vt:lpwstr>
  </property>
  <property fmtid="{D5CDD505-2E9C-101B-9397-08002B2CF9AE}" pid="10" name="_dlc_DocIdItemGuid">
    <vt:lpwstr>db511ff0-6063-4377-a0bf-420a7578f069</vt:lpwstr>
  </property>
  <property fmtid="{D5CDD505-2E9C-101B-9397-08002B2CF9AE}" pid="11" name="AvailableTranslations">
    <vt:lpwstr>11;#DE|f6b31e5a-26fa-4935-b661-318e46daf27e;#184;#SR|7f3a1d13-b985-4bfd-981e-afe31377edff;#128;#SQ|5ac17240-8d11-45ec-9893-659b209d7a00;#34;#HR|2f555653-ed1a-4fe6-8362-9082d95989e5;#129;#MK|34ce48bb-063e-4413-a932-50853dc71c5c;#4;#EN|f2175f21-25d7-44a3-96da-d6a61b075e1b</vt:lpwstr>
  </property>
  <property fmtid="{D5CDD505-2E9C-101B-9397-08002B2CF9AE}" pid="12" name="DocumentType_0">
    <vt:lpwstr>TCD|cd9d6eb6-3f4f-424a-b2d1-57c9d450eaaf</vt:lpwstr>
  </property>
  <property fmtid="{D5CDD505-2E9C-101B-9397-08002B2CF9AE}" pid="13" name="DossierName_0">
    <vt:lpwstr/>
  </property>
  <property fmtid="{D5CDD505-2E9C-101B-9397-08002B2CF9AE}" pid="14" name="DocumentSource_0">
    <vt:lpwstr>EESC|422833ec-8d7e-4e65-8e4e-8bed07ffb729</vt:lpwstr>
  </property>
  <property fmtid="{D5CDD505-2E9C-101B-9397-08002B2CF9AE}" pid="15" name="DocumentNumber">
    <vt:i4>1544</vt:i4>
  </property>
  <property fmtid="{D5CDD505-2E9C-101B-9397-08002B2CF9AE}" pid="16" name="DocumentVersion">
    <vt:i4>0</vt:i4>
  </property>
  <property fmtid="{D5CDD505-2E9C-101B-9397-08002B2CF9AE}" pid="17" name="DocumentStatus">
    <vt:lpwstr>9;#TRA|150d2a88-1431-44e6-a8ca-0bb753ab8672</vt:lpwstr>
  </property>
  <property fmtid="{D5CDD505-2E9C-101B-9397-08002B2CF9AE}" pid="18" name="DossierName">
    <vt:lpwstr/>
  </property>
  <property fmtid="{D5CDD505-2E9C-101B-9397-08002B2CF9AE}" pid="19" name="RequestingService">
    <vt:lpwstr>Relations extérieures</vt:lpwstr>
  </property>
  <property fmtid="{D5CDD505-2E9C-101B-9397-08002B2CF9AE}" pid="20" name="Confidentiality">
    <vt:lpwstr>19;#Unrestricted|826e22d7-d029-4ec0-a450-0c28ff673572</vt:lpwstr>
  </property>
  <property fmtid="{D5CDD505-2E9C-101B-9397-08002B2CF9AE}" pid="21" name="MeetingName_0">
    <vt:lpwstr/>
  </property>
  <property fmtid="{D5CDD505-2E9C-101B-9397-08002B2CF9AE}" pid="22" name="Confidentiality_0">
    <vt:lpwstr>Unrestricted|826e22d7-d029-4ec0-a450-0c28ff673572</vt:lpwstr>
  </property>
  <property fmtid="{D5CDD505-2E9C-101B-9397-08002B2CF9AE}" pid="23" name="OriginalLanguage">
    <vt:lpwstr>4;#EN|f2175f21-25d7-44a3-96da-d6a61b075e1b</vt:lpwstr>
  </property>
  <property fmtid="{D5CDD505-2E9C-101B-9397-08002B2CF9AE}" pid="24" name="MeetingName">
    <vt:lpwstr/>
  </property>
  <property fmtid="{D5CDD505-2E9C-101B-9397-08002B2CF9AE}" pid="26" name="AvailableTranslations_0">
    <vt:lpwstr>DE|f6b31e5a-26fa-4935-b661-318e46daf27e;SR|7f3a1d13-b985-4bfd-981e-afe31377edff;SQ|5ac17240-8d11-45ec-9893-659b209d7a00;MK|34ce48bb-063e-4413-a932-50853dc71c5c;EN|f2175f21-25d7-44a3-96da-d6a61b075e1b</vt:lpwstr>
  </property>
  <property fmtid="{D5CDD505-2E9C-101B-9397-08002B2CF9AE}" pid="27" name="DocumentStatus_0">
    <vt:lpwstr>TRA|150d2a88-1431-44e6-a8ca-0bb753ab8672</vt:lpwstr>
  </property>
  <property fmtid="{D5CDD505-2E9C-101B-9397-08002B2CF9AE}" pid="28" name="OriginalLanguage_0">
    <vt:lpwstr>EN|f2175f21-25d7-44a3-96da-d6a61b075e1b</vt:lpwstr>
  </property>
  <property fmtid="{D5CDD505-2E9C-101B-9397-08002B2CF9AE}" pid="29" name="TaxCatchAll">
    <vt:lpwstr>129;#MK|34ce48bb-063e-4413-a932-50853dc71c5c;#184;#SR|7f3a1d13-b985-4bfd-981e-afe31377edff;#18;#TCD|cd9d6eb6-3f4f-424a-b2d1-57c9d450eaaf;#11;#DE|f6b31e5a-26fa-4935-b661-318e46daf27e;#128;#SQ|5ac17240-8d11-45ec-9893-659b209d7a00;#9;#TRA|150d2a88-1431-44e6-a8ca-0bb753ab8672;#7;#Final|ea5e6674-7b27-4bac-b091-73adbb394efe;#4;#EN|f2175f21-25d7-44a3-96da-d6a61b075e1b;#19;#Unrestricted|826e22d7-d029-4ec0-a450-0c28ff673572;#1;#EESC|422833ec-8d7e-4e65-8e4e-8bed07ffb729</vt:lpwstr>
  </property>
  <property fmtid="{D5CDD505-2E9C-101B-9397-08002B2CF9AE}" pid="30" name="VersionStatus_0">
    <vt:lpwstr>Final|ea5e6674-7b27-4bac-b091-73adbb394efe</vt:lpwstr>
  </property>
  <property fmtid="{D5CDD505-2E9C-101B-9397-08002B2CF9AE}" pid="31" name="VersionStatus">
    <vt:lpwstr>7;#Final|ea5e6674-7b27-4bac-b091-73adbb394efe</vt:lpwstr>
  </property>
  <property fmtid="{D5CDD505-2E9C-101B-9397-08002B2CF9AE}" pid="32" name="DocumentYear">
    <vt:i4>2026</vt:i4>
  </property>
  <property fmtid="{D5CDD505-2E9C-101B-9397-08002B2CF9AE}" pid="33" name="FicheNumber">
    <vt:i4>304293</vt:i4>
  </property>
  <property fmtid="{D5CDD505-2E9C-101B-9397-08002B2CF9AE}" pid="34" name="DocumentPart">
    <vt:i4>0</vt:i4>
  </property>
  <property fmtid="{D5CDD505-2E9C-101B-9397-08002B2CF9AE}" pid="35" name="DocumentSource">
    <vt:lpwstr>1;#EESC|422833ec-8d7e-4e65-8e4e-8bed07ffb729</vt:lpwstr>
  </property>
  <property fmtid="{D5CDD505-2E9C-101B-9397-08002B2CF9AE}" pid="37" name="DocumentType">
    <vt:lpwstr>18;#TCD|cd9d6eb6-3f4f-424a-b2d1-57c9d450eaaf</vt:lpwstr>
  </property>
  <property fmtid="{D5CDD505-2E9C-101B-9397-08002B2CF9AE}" pid="38" name="DocumentLanguage">
    <vt:lpwstr>34;#HR|2f555653-ed1a-4fe6-8362-9082d95989e5</vt:lpwstr>
  </property>
  <property fmtid="{D5CDD505-2E9C-101B-9397-08002B2CF9AE}" pid="39" name="_docset_NoMedatataSyncRequired">
    <vt:lpwstr>False</vt:lpwstr>
  </property>
</Properties>
</file>