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61462A2A" w:rsidR="004D7AC0" w:rsidRDefault="00507B0A" w:rsidP="001766B2">
      <w:pPr>
        <w:jc w:val="center"/>
      </w:pPr>
      <w:r>
        <w:rPr>
          <w:noProof/>
        </w:rPr>
        <w:drawing>
          <wp:inline distT="0" distB="0" distL="0" distR="0" wp14:anchorId="6A6C621C" wp14:editId="06616401">
            <wp:extent cx="1792605" cy="1239520"/>
            <wp:effectExtent l="0" t="0" r="0" b="0"/>
            <wp:docPr id="1" name="Picture 1" title="EESCLogo_PT"/>
            <wp:cNvGraphicFramePr/>
            <a:graphic xmlns:a="http://schemas.openxmlformats.org/drawingml/2006/main">
              <a:graphicData uri="http://schemas.openxmlformats.org/drawingml/2006/picture">
                <pic:pic xmlns:pic="http://schemas.openxmlformats.org/drawingml/2006/picture">
                  <pic:nvPicPr>
                    <pic:cNvPr id="1" name="Picture 1" title="EESCLogo_P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5BCC891D">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PT</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Bruxelas, 3 de julho de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606.ª REUNIÃO PLENÁRIA</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17 e 18 de junho de 2026</w:t>
            </w:r>
          </w:p>
          <w:p w14:paraId="4982DD56" w14:textId="77777777" w:rsidR="003066BE" w:rsidRDefault="003066BE" w:rsidP="001766B2">
            <w:pPr>
              <w:snapToGrid w:val="0"/>
              <w:jc w:val="center"/>
              <w:rPr>
                <w:b/>
                <w:sz w:val="32"/>
                <w:szCs w:val="32"/>
              </w:rPr>
            </w:pPr>
          </w:p>
          <w:p w14:paraId="4982DD57" w14:textId="5A35E792" w:rsidR="004D7AC0" w:rsidRPr="0081153B" w:rsidRDefault="00754027" w:rsidP="001766B2">
            <w:pPr>
              <w:snapToGrid w:val="0"/>
              <w:jc w:val="center"/>
              <w:rPr>
                <w:rFonts w:eastAsia="MS Mincho"/>
                <w:b/>
                <w:sz w:val="32"/>
                <w:szCs w:val="32"/>
              </w:rPr>
            </w:pPr>
            <w:r>
              <w:rPr>
                <w:b/>
                <w:sz w:val="32"/>
              </w:rPr>
              <w:t>SÍNTESE DOS PARECERES, RESOLUÇÕES E RELATÓRIOS DE INFORMAÇÃO E AVALIAÇÃO ADOTADOS</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O presente documento pode ser consultado nas línguas oficiais da União Europeia no sítio Web do CESE, no seguinte endereço:</w:t>
            </w:r>
            <w:r>
              <w:br/>
            </w:r>
            <w:r>
              <w:br/>
            </w:r>
            <w:hyperlink r:id="rId12" w:history="1">
              <w:r>
                <w:rPr>
                  <w:rStyle w:val="Hyperlink"/>
                </w:rPr>
                <w:t>https://www.eesc.europa.eu/pt/our-work/opinions-information-reports/plenary-session-summaries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 xml:space="preserve">Os pareceres mencionados podem ser consultados em linha através do motor de busca do CESE: </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Índice</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6E5F12B6" w14:textId="517AEE17" w:rsidR="00FA39B9" w:rsidRDefault="004D7AC0">
          <w:pPr>
            <w:pStyle w:val="TOC1"/>
            <w:tabs>
              <w:tab w:val="left" w:pos="480"/>
              <w:tab w:val="right" w:leader="dot" w:pos="9063"/>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2774237" w:history="1">
            <w:r w:rsidR="00FA39B9" w:rsidRPr="005726B0">
              <w:rPr>
                <w:rStyle w:val="Hyperlink"/>
              </w:rPr>
              <w:t>1.</w:t>
            </w:r>
            <w:r w:rsidR="00FA39B9" w:rsidRPr="005726B0">
              <w:rPr>
                <w:rStyle w:val="Hyperlink"/>
                <w:rFonts w:asciiTheme="minorHAnsi" w:eastAsiaTheme="minorEastAsia" w:hAnsiTheme="minorHAnsi" w:cstheme="minorBidi"/>
                <w:sz w:val="24"/>
              </w:rPr>
              <w:tab/>
            </w:r>
            <w:r w:rsidR="005726B0" w:rsidRPr="005726B0">
              <w:rPr>
                <w:rStyle w:val="Hyperlink"/>
                <w:b/>
              </w:rPr>
              <w:t>RESOLUÇÕES</w:t>
            </w:r>
            <w:r w:rsidR="00FA39B9" w:rsidRPr="005726B0">
              <w:rPr>
                <w:rStyle w:val="Hyperlink"/>
                <w:webHidden/>
              </w:rPr>
              <w:tab/>
            </w:r>
            <w:r w:rsidR="00FA39B9" w:rsidRPr="005726B0">
              <w:rPr>
                <w:rStyle w:val="Hyperlink"/>
                <w:webHidden/>
              </w:rPr>
              <w:fldChar w:fldCharType="begin"/>
            </w:r>
            <w:r w:rsidR="00FA39B9" w:rsidRPr="005726B0">
              <w:rPr>
                <w:rStyle w:val="Hyperlink"/>
                <w:webHidden/>
              </w:rPr>
              <w:instrText xml:space="preserve"> PAGEREF _Toc232774237 \h </w:instrText>
            </w:r>
            <w:r w:rsidR="00FA39B9" w:rsidRPr="005726B0">
              <w:rPr>
                <w:rStyle w:val="Hyperlink"/>
                <w:webHidden/>
              </w:rPr>
            </w:r>
            <w:r w:rsidR="00FA39B9" w:rsidRPr="005726B0">
              <w:rPr>
                <w:rStyle w:val="Hyperlink"/>
                <w:webHidden/>
              </w:rPr>
              <w:fldChar w:fldCharType="separate"/>
            </w:r>
            <w:r w:rsidR="00F66035" w:rsidRPr="005726B0">
              <w:rPr>
                <w:rStyle w:val="Hyperlink"/>
                <w:webHidden/>
              </w:rPr>
              <w:t>3</w:t>
            </w:r>
            <w:r w:rsidR="00FA39B9" w:rsidRPr="005726B0">
              <w:rPr>
                <w:rStyle w:val="Hyperlink"/>
                <w:webHidden/>
              </w:rPr>
              <w:fldChar w:fldCharType="end"/>
            </w:r>
          </w:hyperlink>
        </w:p>
        <w:p w14:paraId="7D34710D" w14:textId="14B7BE0C" w:rsidR="00FA39B9" w:rsidRDefault="00075C8D">
          <w:pPr>
            <w:pStyle w:val="TOC1"/>
            <w:tabs>
              <w:tab w:val="left" w:pos="480"/>
              <w:tab w:val="right" w:leader="dot" w:pos="9063"/>
            </w:tabs>
            <w:rPr>
              <w:rFonts w:asciiTheme="minorHAnsi" w:eastAsiaTheme="minorEastAsia" w:hAnsiTheme="minorHAnsi" w:cstheme="minorBidi"/>
              <w:sz w:val="24"/>
            </w:rPr>
          </w:pPr>
          <w:hyperlink w:anchor="_Toc232774245" w:history="1">
            <w:r w:rsidR="00FA39B9" w:rsidRPr="00E0434A">
              <w:rPr>
                <w:rStyle w:val="Hyperlink"/>
              </w:rPr>
              <w:t>2.</w:t>
            </w:r>
            <w:r w:rsidR="00FA39B9">
              <w:rPr>
                <w:rFonts w:asciiTheme="minorHAnsi" w:eastAsiaTheme="minorEastAsia" w:hAnsiTheme="minorHAnsi" w:cstheme="minorBidi"/>
                <w:sz w:val="24"/>
              </w:rPr>
              <w:tab/>
            </w:r>
            <w:r w:rsidR="005726B0">
              <w:rPr>
                <w:b/>
              </w:rPr>
              <w:t>UNIÃO ECONÓMICA E MONETÁRIA E COESÃO ECONÓMICA E SOCIAL</w:t>
            </w:r>
            <w:r w:rsidR="00FA39B9">
              <w:rPr>
                <w:webHidden/>
              </w:rPr>
              <w:tab/>
            </w:r>
            <w:r w:rsidR="00FA39B9">
              <w:rPr>
                <w:webHidden/>
              </w:rPr>
              <w:fldChar w:fldCharType="begin"/>
            </w:r>
            <w:r w:rsidR="00FA39B9">
              <w:rPr>
                <w:webHidden/>
              </w:rPr>
              <w:instrText xml:space="preserve"> PAGEREF _Toc232774245 \h </w:instrText>
            </w:r>
            <w:r w:rsidR="00FA39B9">
              <w:rPr>
                <w:webHidden/>
              </w:rPr>
            </w:r>
            <w:r w:rsidR="00FA39B9">
              <w:rPr>
                <w:webHidden/>
              </w:rPr>
              <w:fldChar w:fldCharType="separate"/>
            </w:r>
            <w:r w:rsidR="00F66035">
              <w:rPr>
                <w:webHidden/>
              </w:rPr>
              <w:t>7</w:t>
            </w:r>
            <w:r w:rsidR="00FA39B9">
              <w:rPr>
                <w:webHidden/>
              </w:rPr>
              <w:fldChar w:fldCharType="end"/>
            </w:r>
          </w:hyperlink>
        </w:p>
        <w:p w14:paraId="687F59BE" w14:textId="65F83991" w:rsidR="00FA39B9" w:rsidRDefault="00075C8D">
          <w:pPr>
            <w:pStyle w:val="TOC1"/>
            <w:tabs>
              <w:tab w:val="left" w:pos="480"/>
              <w:tab w:val="right" w:leader="dot" w:pos="9063"/>
            </w:tabs>
            <w:rPr>
              <w:rFonts w:asciiTheme="minorHAnsi" w:eastAsiaTheme="minorEastAsia" w:hAnsiTheme="minorHAnsi" w:cstheme="minorBidi"/>
              <w:sz w:val="24"/>
            </w:rPr>
          </w:pPr>
          <w:hyperlink w:anchor="_Toc232774257" w:history="1">
            <w:r w:rsidR="00FA39B9" w:rsidRPr="00E0434A">
              <w:rPr>
                <w:rStyle w:val="Hyperlink"/>
              </w:rPr>
              <w:t>3.</w:t>
            </w:r>
            <w:r w:rsidR="00FA39B9">
              <w:rPr>
                <w:rFonts w:asciiTheme="minorHAnsi" w:eastAsiaTheme="minorEastAsia" w:hAnsiTheme="minorHAnsi" w:cstheme="minorBidi"/>
                <w:sz w:val="24"/>
              </w:rPr>
              <w:tab/>
            </w:r>
            <w:r w:rsidR="005726B0">
              <w:rPr>
                <w:b/>
              </w:rPr>
              <w:t>EMPREGO, ASSUNTOS SOCIAIS E CIDADANIA</w:t>
            </w:r>
            <w:r w:rsidR="00FA39B9">
              <w:rPr>
                <w:webHidden/>
              </w:rPr>
              <w:tab/>
            </w:r>
            <w:r w:rsidR="00FA39B9">
              <w:rPr>
                <w:webHidden/>
              </w:rPr>
              <w:fldChar w:fldCharType="begin"/>
            </w:r>
            <w:r w:rsidR="00FA39B9">
              <w:rPr>
                <w:webHidden/>
              </w:rPr>
              <w:instrText xml:space="preserve"> PAGEREF _Toc232774257 \h </w:instrText>
            </w:r>
            <w:r w:rsidR="00FA39B9">
              <w:rPr>
                <w:webHidden/>
              </w:rPr>
            </w:r>
            <w:r w:rsidR="00FA39B9">
              <w:rPr>
                <w:webHidden/>
              </w:rPr>
              <w:fldChar w:fldCharType="separate"/>
            </w:r>
            <w:r w:rsidR="00F66035">
              <w:rPr>
                <w:webHidden/>
              </w:rPr>
              <w:t>13</w:t>
            </w:r>
            <w:r w:rsidR="00FA39B9">
              <w:rPr>
                <w:webHidden/>
              </w:rPr>
              <w:fldChar w:fldCharType="end"/>
            </w:r>
          </w:hyperlink>
        </w:p>
        <w:p w14:paraId="78A2AC94" w14:textId="60D23EE4" w:rsidR="00FA39B9" w:rsidRDefault="00075C8D">
          <w:pPr>
            <w:pStyle w:val="TOC1"/>
            <w:tabs>
              <w:tab w:val="left" w:pos="480"/>
              <w:tab w:val="right" w:leader="dot" w:pos="9063"/>
            </w:tabs>
            <w:rPr>
              <w:rFonts w:asciiTheme="minorHAnsi" w:eastAsiaTheme="minorEastAsia" w:hAnsiTheme="minorHAnsi" w:cstheme="minorBidi"/>
              <w:sz w:val="24"/>
            </w:rPr>
          </w:pPr>
          <w:hyperlink w:anchor="_Toc232774258" w:history="1">
            <w:r w:rsidR="00FA39B9" w:rsidRPr="00E0434A">
              <w:rPr>
                <w:rStyle w:val="Hyperlink"/>
              </w:rPr>
              <w:t>4.</w:t>
            </w:r>
            <w:r w:rsidR="00FA39B9">
              <w:rPr>
                <w:rFonts w:asciiTheme="minorHAnsi" w:eastAsiaTheme="minorEastAsia" w:hAnsiTheme="minorHAnsi" w:cstheme="minorBidi"/>
                <w:sz w:val="24"/>
              </w:rPr>
              <w:tab/>
            </w:r>
            <w:r w:rsidR="005726B0" w:rsidRPr="005726B0">
              <w:rPr>
                <w:b/>
                <w:sz w:val="21"/>
                <w:szCs w:val="21"/>
              </w:rPr>
              <w:t>TRANSPORTES, ENERGIA, INFRAESTRUTURAS E SOCIEDADE DA INFORMAÇÃO</w:t>
            </w:r>
            <w:r w:rsidR="00FA39B9" w:rsidRPr="005726B0">
              <w:rPr>
                <w:webHidden/>
                <w:sz w:val="21"/>
                <w:szCs w:val="21"/>
              </w:rPr>
              <w:tab/>
            </w:r>
            <w:r w:rsidR="00FA39B9" w:rsidRPr="005726B0">
              <w:rPr>
                <w:webHidden/>
                <w:sz w:val="21"/>
                <w:szCs w:val="21"/>
              </w:rPr>
              <w:fldChar w:fldCharType="begin"/>
            </w:r>
            <w:r w:rsidR="00FA39B9" w:rsidRPr="005726B0">
              <w:rPr>
                <w:webHidden/>
                <w:sz w:val="21"/>
                <w:szCs w:val="21"/>
              </w:rPr>
              <w:instrText xml:space="preserve"> PAGEREF _Toc232774258 \h </w:instrText>
            </w:r>
            <w:r w:rsidR="00FA39B9" w:rsidRPr="005726B0">
              <w:rPr>
                <w:webHidden/>
                <w:sz w:val="21"/>
                <w:szCs w:val="21"/>
              </w:rPr>
            </w:r>
            <w:r w:rsidR="00FA39B9" w:rsidRPr="005726B0">
              <w:rPr>
                <w:webHidden/>
                <w:sz w:val="21"/>
                <w:szCs w:val="21"/>
              </w:rPr>
              <w:fldChar w:fldCharType="separate"/>
            </w:r>
            <w:r w:rsidR="00F66035" w:rsidRPr="005726B0">
              <w:rPr>
                <w:webHidden/>
                <w:sz w:val="21"/>
                <w:szCs w:val="21"/>
              </w:rPr>
              <w:t>15</w:t>
            </w:r>
            <w:r w:rsidR="00FA39B9" w:rsidRPr="005726B0">
              <w:rPr>
                <w:webHidden/>
                <w:sz w:val="21"/>
                <w:szCs w:val="21"/>
              </w:rPr>
              <w:fldChar w:fldCharType="end"/>
            </w:r>
          </w:hyperlink>
        </w:p>
        <w:p w14:paraId="13C3B2D0" w14:textId="793C8EE4" w:rsidR="00FA39B9" w:rsidRDefault="00075C8D">
          <w:pPr>
            <w:pStyle w:val="TOC1"/>
            <w:tabs>
              <w:tab w:val="left" w:pos="480"/>
              <w:tab w:val="right" w:leader="dot" w:pos="9063"/>
            </w:tabs>
            <w:rPr>
              <w:rFonts w:asciiTheme="minorHAnsi" w:eastAsiaTheme="minorEastAsia" w:hAnsiTheme="minorHAnsi" w:cstheme="minorBidi"/>
              <w:sz w:val="24"/>
            </w:rPr>
          </w:pPr>
          <w:hyperlink w:anchor="_Toc232774259" w:history="1">
            <w:r w:rsidR="00FA39B9" w:rsidRPr="00E0434A">
              <w:rPr>
                <w:rStyle w:val="Hyperlink"/>
              </w:rPr>
              <w:t>5.</w:t>
            </w:r>
            <w:r w:rsidR="00FA39B9">
              <w:rPr>
                <w:rFonts w:asciiTheme="minorHAnsi" w:eastAsiaTheme="minorEastAsia" w:hAnsiTheme="minorHAnsi" w:cstheme="minorBidi"/>
                <w:sz w:val="24"/>
              </w:rPr>
              <w:tab/>
            </w:r>
            <w:r w:rsidR="005726B0">
              <w:rPr>
                <w:b/>
              </w:rPr>
              <w:t>MERCADO ÚNICO, PRODUÇÃO E CONSUMO</w:t>
            </w:r>
            <w:r w:rsidR="00FA39B9">
              <w:rPr>
                <w:webHidden/>
              </w:rPr>
              <w:tab/>
            </w:r>
            <w:r w:rsidR="00FA39B9">
              <w:rPr>
                <w:webHidden/>
              </w:rPr>
              <w:fldChar w:fldCharType="begin"/>
            </w:r>
            <w:r w:rsidR="00FA39B9">
              <w:rPr>
                <w:webHidden/>
              </w:rPr>
              <w:instrText xml:space="preserve"> PAGEREF _Toc232774259 \h </w:instrText>
            </w:r>
            <w:r w:rsidR="00FA39B9">
              <w:rPr>
                <w:webHidden/>
              </w:rPr>
            </w:r>
            <w:r w:rsidR="00FA39B9">
              <w:rPr>
                <w:webHidden/>
              </w:rPr>
              <w:fldChar w:fldCharType="separate"/>
            </w:r>
            <w:r w:rsidR="00F66035">
              <w:rPr>
                <w:webHidden/>
              </w:rPr>
              <w:t>18</w:t>
            </w:r>
            <w:r w:rsidR="00FA39B9">
              <w:rPr>
                <w:webHidden/>
              </w:rPr>
              <w:fldChar w:fldCharType="end"/>
            </w:r>
          </w:hyperlink>
        </w:p>
        <w:p w14:paraId="55AF9194" w14:textId="0A0F9BA5" w:rsidR="00FA39B9" w:rsidRDefault="00075C8D">
          <w:pPr>
            <w:pStyle w:val="TOC1"/>
            <w:tabs>
              <w:tab w:val="left" w:pos="480"/>
              <w:tab w:val="right" w:leader="dot" w:pos="9063"/>
            </w:tabs>
            <w:rPr>
              <w:rFonts w:asciiTheme="minorHAnsi" w:eastAsiaTheme="minorEastAsia" w:hAnsiTheme="minorHAnsi" w:cstheme="minorBidi"/>
              <w:sz w:val="24"/>
            </w:rPr>
          </w:pPr>
          <w:hyperlink w:anchor="_Toc232774260" w:history="1">
            <w:r w:rsidR="00FA39B9" w:rsidRPr="00E0434A">
              <w:rPr>
                <w:rStyle w:val="Hyperlink"/>
              </w:rPr>
              <w:t>6.</w:t>
            </w:r>
            <w:r w:rsidR="00FA39B9">
              <w:rPr>
                <w:rFonts w:asciiTheme="minorHAnsi" w:eastAsiaTheme="minorEastAsia" w:hAnsiTheme="minorHAnsi" w:cstheme="minorBidi"/>
                <w:sz w:val="24"/>
              </w:rPr>
              <w:tab/>
            </w:r>
            <w:r w:rsidR="005726B0">
              <w:rPr>
                <w:b/>
              </w:rPr>
              <w:t>AGRICULTURA, DESENVOLVIMENTO RURAL E AMBIENTE</w:t>
            </w:r>
            <w:r w:rsidR="00FA39B9">
              <w:rPr>
                <w:webHidden/>
              </w:rPr>
              <w:tab/>
            </w:r>
            <w:r w:rsidR="00FA39B9">
              <w:rPr>
                <w:webHidden/>
              </w:rPr>
              <w:fldChar w:fldCharType="begin"/>
            </w:r>
            <w:r w:rsidR="00FA39B9">
              <w:rPr>
                <w:webHidden/>
              </w:rPr>
              <w:instrText xml:space="preserve"> PAGEREF _Toc232774260 \h </w:instrText>
            </w:r>
            <w:r w:rsidR="00FA39B9">
              <w:rPr>
                <w:webHidden/>
              </w:rPr>
            </w:r>
            <w:r w:rsidR="00FA39B9">
              <w:rPr>
                <w:webHidden/>
              </w:rPr>
              <w:fldChar w:fldCharType="separate"/>
            </w:r>
            <w:r w:rsidR="00F66035">
              <w:rPr>
                <w:webHidden/>
              </w:rPr>
              <w:t>19</w:t>
            </w:r>
            <w:r w:rsidR="00FA39B9">
              <w:rPr>
                <w:webHidden/>
              </w:rPr>
              <w:fldChar w:fldCharType="end"/>
            </w:r>
          </w:hyperlink>
        </w:p>
        <w:p w14:paraId="101375F8" w14:textId="2F3A5082" w:rsidR="00FA39B9" w:rsidRDefault="00075C8D">
          <w:pPr>
            <w:pStyle w:val="TOC1"/>
            <w:tabs>
              <w:tab w:val="left" w:pos="480"/>
              <w:tab w:val="right" w:leader="dot" w:pos="9063"/>
            </w:tabs>
            <w:rPr>
              <w:rFonts w:asciiTheme="minorHAnsi" w:eastAsiaTheme="minorEastAsia" w:hAnsiTheme="minorHAnsi" w:cstheme="minorBidi"/>
              <w:sz w:val="24"/>
            </w:rPr>
          </w:pPr>
          <w:hyperlink w:anchor="_Toc232774271" w:history="1">
            <w:r w:rsidR="00FA39B9" w:rsidRPr="00E0434A">
              <w:rPr>
                <w:rStyle w:val="Hyperlink"/>
              </w:rPr>
              <w:t>7.</w:t>
            </w:r>
            <w:r w:rsidR="00FA39B9">
              <w:rPr>
                <w:rFonts w:asciiTheme="minorHAnsi" w:eastAsiaTheme="minorEastAsia" w:hAnsiTheme="minorHAnsi" w:cstheme="minorBidi"/>
                <w:sz w:val="24"/>
              </w:rPr>
              <w:tab/>
            </w:r>
            <w:r w:rsidR="005726B0">
              <w:rPr>
                <w:b/>
              </w:rPr>
              <w:t>RELAÇÕES EXTERNAS</w:t>
            </w:r>
            <w:r w:rsidR="00FA39B9">
              <w:rPr>
                <w:webHidden/>
              </w:rPr>
              <w:tab/>
            </w:r>
            <w:r w:rsidR="00FA39B9">
              <w:rPr>
                <w:webHidden/>
              </w:rPr>
              <w:fldChar w:fldCharType="begin"/>
            </w:r>
            <w:r w:rsidR="00FA39B9">
              <w:rPr>
                <w:webHidden/>
              </w:rPr>
              <w:instrText xml:space="preserve"> PAGEREF _Toc232774271 \h </w:instrText>
            </w:r>
            <w:r w:rsidR="00FA39B9">
              <w:rPr>
                <w:webHidden/>
              </w:rPr>
            </w:r>
            <w:r w:rsidR="00FA39B9">
              <w:rPr>
                <w:webHidden/>
              </w:rPr>
              <w:fldChar w:fldCharType="separate"/>
            </w:r>
            <w:r w:rsidR="00F66035">
              <w:rPr>
                <w:webHidden/>
              </w:rPr>
              <w:t>24</w:t>
            </w:r>
            <w:r w:rsidR="00FA39B9">
              <w:rPr>
                <w:webHidden/>
              </w:rPr>
              <w:fldChar w:fldCharType="end"/>
            </w:r>
          </w:hyperlink>
        </w:p>
        <w:p w14:paraId="55A15C05" w14:textId="30EBDFB1" w:rsidR="00FA39B9" w:rsidRDefault="00075C8D">
          <w:pPr>
            <w:pStyle w:val="TOC1"/>
            <w:tabs>
              <w:tab w:val="left" w:pos="480"/>
              <w:tab w:val="right" w:leader="dot" w:pos="9063"/>
            </w:tabs>
            <w:rPr>
              <w:rFonts w:asciiTheme="minorHAnsi" w:eastAsiaTheme="minorEastAsia" w:hAnsiTheme="minorHAnsi" w:cstheme="minorBidi"/>
              <w:sz w:val="24"/>
            </w:rPr>
          </w:pPr>
          <w:hyperlink w:anchor="_Toc232774272" w:history="1">
            <w:r w:rsidR="00FA39B9" w:rsidRPr="00E0434A">
              <w:rPr>
                <w:rStyle w:val="Hyperlink"/>
              </w:rPr>
              <w:t>8.</w:t>
            </w:r>
            <w:r w:rsidR="00FA39B9">
              <w:rPr>
                <w:rFonts w:asciiTheme="minorHAnsi" w:eastAsiaTheme="minorEastAsia" w:hAnsiTheme="minorHAnsi" w:cstheme="minorBidi"/>
                <w:sz w:val="24"/>
              </w:rPr>
              <w:tab/>
            </w:r>
            <w:r w:rsidR="005726B0">
              <w:rPr>
                <w:b/>
                <w:color w:val="222A35" w:themeColor="text2" w:themeShade="80"/>
              </w:rPr>
              <w:t>COMISSÃO CONSULTIVA DAS MUTAÇÕES INDUSTRIAIS</w:t>
            </w:r>
            <w:r w:rsidR="00FA39B9">
              <w:rPr>
                <w:webHidden/>
              </w:rPr>
              <w:tab/>
            </w:r>
            <w:r w:rsidR="00FA39B9">
              <w:rPr>
                <w:webHidden/>
              </w:rPr>
              <w:fldChar w:fldCharType="begin"/>
            </w:r>
            <w:r w:rsidR="00FA39B9">
              <w:rPr>
                <w:webHidden/>
              </w:rPr>
              <w:instrText xml:space="preserve"> PAGEREF _Toc232774272 \h </w:instrText>
            </w:r>
            <w:r w:rsidR="00FA39B9">
              <w:rPr>
                <w:webHidden/>
              </w:rPr>
            </w:r>
            <w:r w:rsidR="00FA39B9">
              <w:rPr>
                <w:webHidden/>
              </w:rPr>
              <w:fldChar w:fldCharType="separate"/>
            </w:r>
            <w:r w:rsidR="00F66035">
              <w:rPr>
                <w:webHidden/>
              </w:rPr>
              <w:t>26</w:t>
            </w:r>
            <w:r w:rsidR="00FA39B9">
              <w:rPr>
                <w:webHidden/>
              </w:rPr>
              <w:fldChar w:fldCharType="end"/>
            </w:r>
          </w:hyperlink>
        </w:p>
        <w:p w14:paraId="4982DD6A" w14:textId="1FE06D74" w:rsidR="004D7AC0" w:rsidRDefault="004D7AC0" w:rsidP="001766B2">
          <w:r>
            <w:rPr>
              <w:b/>
            </w:rPr>
            <w:fldChar w:fldCharType="end"/>
          </w:r>
        </w:p>
      </w:sdtContent>
    </w:sdt>
    <w:p w14:paraId="4982DD6B" w14:textId="77777777" w:rsidR="004D7AC0" w:rsidRDefault="004D7AC0" w:rsidP="001766B2"/>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2774237"/>
      <w:r>
        <w:rPr>
          <w:b/>
        </w:rPr>
        <w:lastRenderedPageBreak/>
        <w:t>RESOLUÇÕES</w:t>
      </w:r>
      <w:bookmarkEnd w:id="0"/>
    </w:p>
    <w:p w14:paraId="01EA6291" w14:textId="77777777" w:rsidR="004D73FC" w:rsidRDefault="004D73FC" w:rsidP="004D73FC"/>
    <w:p w14:paraId="46E0AF65" w14:textId="06E43497" w:rsidR="00560A7D" w:rsidRPr="00560A7D" w:rsidRDefault="00075C8D" w:rsidP="00560A7D">
      <w:pPr>
        <w:widowControl w:val="0"/>
        <w:numPr>
          <w:ilvl w:val="0"/>
          <w:numId w:val="4"/>
        </w:numPr>
        <w:overflowPunct w:val="0"/>
        <w:autoSpaceDE w:val="0"/>
        <w:autoSpaceDN w:val="0"/>
        <w:adjustRightInd w:val="0"/>
        <w:ind w:hanging="567"/>
        <w:textAlignment w:val="baseline"/>
        <w:rPr>
          <w:sz w:val="20"/>
          <w:szCs w:val="20"/>
        </w:rPr>
      </w:pPr>
      <w:hyperlink r:id="rId20" w:history="1">
        <w:r w:rsidR="00560A7D">
          <w:rPr>
            <w:b/>
            <w:i/>
            <w:color w:val="0000FF"/>
            <w:sz w:val="28"/>
            <w:u w:val="single"/>
          </w:rPr>
          <w:t>Contributo do CESE para o programa de trabalho da Comissão Europeia para 2027</w:t>
        </w:r>
      </w:hyperlink>
      <w:r w:rsidR="00560A7D">
        <w:t>.</w:t>
      </w:r>
    </w:p>
    <w:p w14:paraId="34B5845E"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71C4C500" w14:textId="77777777" w:rsidTr="00AE101D">
        <w:tc>
          <w:tcPr>
            <w:tcW w:w="1077" w:type="pct"/>
          </w:tcPr>
          <w:p w14:paraId="32A3D959"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 xml:space="preserve">Relatores </w:t>
            </w:r>
          </w:p>
        </w:tc>
        <w:tc>
          <w:tcPr>
            <w:tcW w:w="3923" w:type="pct"/>
          </w:tcPr>
          <w:p w14:paraId="52D604F2" w14:textId="6314FC47" w:rsidR="00560A7D" w:rsidRPr="00560A7D" w:rsidRDefault="00560A7D" w:rsidP="00560A7D">
            <w:pPr>
              <w:tabs>
                <w:tab w:val="right" w:pos="3827"/>
                <w:tab w:val="left" w:pos="3969"/>
              </w:tabs>
              <w:autoSpaceDE w:val="0"/>
              <w:autoSpaceDN w:val="0"/>
              <w:jc w:val="left"/>
              <w:rPr>
                <w:bCs/>
              </w:rPr>
            </w:pPr>
            <w:r>
              <w:t>Marcin Nowacki (PL – Grupo dos Empregadores)</w:t>
            </w:r>
          </w:p>
          <w:p w14:paraId="77889B0B" w14:textId="371F0B22" w:rsidR="00560A7D" w:rsidRPr="00560A7D" w:rsidRDefault="00560A7D" w:rsidP="00560A7D">
            <w:pPr>
              <w:tabs>
                <w:tab w:val="right" w:pos="3827"/>
                <w:tab w:val="left" w:pos="3969"/>
              </w:tabs>
              <w:autoSpaceDE w:val="0"/>
              <w:autoSpaceDN w:val="0"/>
              <w:jc w:val="left"/>
              <w:rPr>
                <w:bCs/>
              </w:rPr>
            </w:pPr>
            <w:r>
              <w:t>Carlos Manuel Trindade (PT – Grupo dos Trabalhadores)</w:t>
            </w:r>
          </w:p>
          <w:p w14:paraId="6B36A469" w14:textId="3CFADAF0" w:rsidR="00560A7D" w:rsidRDefault="00560A7D" w:rsidP="00560A7D">
            <w:pPr>
              <w:tabs>
                <w:tab w:val="center" w:pos="284"/>
              </w:tabs>
              <w:overflowPunct w:val="0"/>
              <w:autoSpaceDE w:val="0"/>
              <w:autoSpaceDN w:val="0"/>
              <w:adjustRightInd w:val="0"/>
              <w:ind w:left="266" w:right="-3091" w:hanging="266"/>
              <w:textAlignment w:val="baseline"/>
              <w:rPr>
                <w:bCs/>
              </w:rPr>
            </w:pPr>
            <w:r>
              <w:t>Corina Andrea Murafa Benga (RO – Grupo das Organizações da Sociedade Civil)</w:t>
            </w:r>
          </w:p>
          <w:p w14:paraId="4EB0DAC0" w14:textId="668091EB" w:rsidR="00D72876" w:rsidRPr="00560A7D" w:rsidRDefault="00D72876" w:rsidP="00560A7D">
            <w:pPr>
              <w:tabs>
                <w:tab w:val="center" w:pos="284"/>
              </w:tabs>
              <w:overflowPunct w:val="0"/>
              <w:autoSpaceDE w:val="0"/>
              <w:autoSpaceDN w:val="0"/>
              <w:adjustRightInd w:val="0"/>
              <w:ind w:left="266" w:right="-3091" w:hanging="266"/>
              <w:textAlignment w:val="baseline"/>
              <w:rPr>
                <w:bCs/>
                <w:lang w:val="en-GB"/>
              </w:rPr>
            </w:pPr>
          </w:p>
        </w:tc>
      </w:tr>
      <w:tr w:rsidR="00560A7D" w:rsidRPr="00560A7D" w14:paraId="7C296939" w14:textId="77777777" w:rsidTr="00AE101D">
        <w:tc>
          <w:tcPr>
            <w:tcW w:w="1077" w:type="pct"/>
          </w:tcPr>
          <w:p w14:paraId="24C67542"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Referência</w:t>
            </w:r>
          </w:p>
        </w:tc>
        <w:tc>
          <w:tcPr>
            <w:tcW w:w="3923" w:type="pct"/>
          </w:tcPr>
          <w:p w14:paraId="4B482FDA" w14:textId="77777777" w:rsidR="001768E8" w:rsidRDefault="001768E8" w:rsidP="00560A7D">
            <w:pPr>
              <w:tabs>
                <w:tab w:val="center" w:pos="284"/>
              </w:tabs>
              <w:overflowPunct w:val="0"/>
              <w:autoSpaceDE w:val="0"/>
              <w:autoSpaceDN w:val="0"/>
              <w:adjustRightInd w:val="0"/>
              <w:ind w:left="266" w:right="-3091" w:hanging="266"/>
              <w:textAlignment w:val="baseline"/>
            </w:pPr>
            <w:r>
              <w:t>Resolução</w:t>
            </w:r>
          </w:p>
          <w:p w14:paraId="6C8D19F3" w14:textId="2B893F25" w:rsidR="00560A7D" w:rsidRPr="00560A7D" w:rsidRDefault="00560A7D" w:rsidP="00560A7D">
            <w:pPr>
              <w:tabs>
                <w:tab w:val="center" w:pos="284"/>
              </w:tabs>
              <w:overflowPunct w:val="0"/>
              <w:autoSpaceDE w:val="0"/>
              <w:autoSpaceDN w:val="0"/>
              <w:adjustRightInd w:val="0"/>
              <w:ind w:left="266" w:right="-3091" w:hanging="266"/>
              <w:textAlignment w:val="baseline"/>
            </w:pPr>
            <w:r>
              <w:t>EESC-2026-00530-00-00-RES</w:t>
            </w:r>
          </w:p>
        </w:tc>
      </w:tr>
    </w:tbl>
    <w:p w14:paraId="5BB6A9EA"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p w14:paraId="09A159BE"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rPr>
      </w:pPr>
      <w:r>
        <w:rPr>
          <w:b/>
        </w:rPr>
        <w:t>Pontos principais</w:t>
      </w:r>
    </w:p>
    <w:p w14:paraId="0DFC7870"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lang w:val="en-GB"/>
        </w:rPr>
      </w:pPr>
    </w:p>
    <w:p w14:paraId="29A50CD2" w14:textId="0F51F280"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A União Europeia (UE) deve reforçar a sua competitividade, resiliência e capacidade de crescimento sustentável, promovendo uma economia forte, inovadora e favorável às empresas, que lhes permita investir, inovar e criar empregos de qualidade em toda a Europa. Para tal, a UE deve colocar as pessoas no centro da mudança, reforçando o modelo social europeu, promovendo o diálogo social e civil e a inclusão, e assegurando transições digitais, energéticas e ecológicas justas, alicerçadas nos direitos dos trabalhadores, nas competências, no diálogo social e civil e na igualdade de oportunidades. O programa de trabalho para 2027 deve promover estas prioridades através de medidas de apoio à inovação, à produtividade, ao investimento e à simplificação regulamentar, bem como da aplicação do Pilar Europeu dos Direitos Sociais, da mobilidade justa, dos direitos dos trabalhadores das plataformas digitais, das competências e da condicionalidade social</w:t>
      </w:r>
      <w:r w:rsidRPr="00560A7D">
        <w:rPr>
          <w:sz w:val="24"/>
          <w:szCs w:val="20"/>
          <w:vertAlign w:val="superscript"/>
          <w:lang w:val="en-GB"/>
        </w:rPr>
        <w:footnoteReference w:id="1"/>
      </w:r>
      <w:r>
        <w:t xml:space="preserve"> no financiamento da UE e nos contratos públicos.</w:t>
      </w:r>
    </w:p>
    <w:p w14:paraId="0EB5DA92" w14:textId="55D0DD35"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Para manter a sua liderança mundial no domínio da tecnologia verde, a UE necessita de uma agenda para a competitividade baseada na política industrial, na inovação, no investimento e numa transição digital e ecológica justa, bem como de um mercado único aprofundado, com regras mais simples, menos fragmentação e uma aplicação mais rigorosa.</w:t>
      </w:r>
    </w:p>
    <w:p w14:paraId="0BE438D4" w14:textId="48C329B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A política industrial europeia deve apoiar a energia a preços acessíveis, cadeias de abastecimento seguras e melhores ligações transfronteiriças nos setores da energia, dos transportes, das telecomunicações e dos sistemas de distribuição a fim de garantir matérias-primas críticas e a resiliência hídrica, assegurando simultaneamente uma transição justa que salvaguarde empregos de qualidade e a base industrial europeia.</w:t>
      </w:r>
    </w:p>
    <w:p w14:paraId="36FA0247" w14:textId="703A961E" w:rsidR="00560A7D" w:rsidRPr="00825862" w:rsidRDefault="00560A7D" w:rsidP="00AD2F07">
      <w:pPr>
        <w:widowControl w:val="0"/>
        <w:numPr>
          <w:ilvl w:val="0"/>
          <w:numId w:val="20"/>
        </w:numPr>
        <w:overflowPunct w:val="0"/>
        <w:autoSpaceDE w:val="0"/>
        <w:autoSpaceDN w:val="0"/>
        <w:adjustRightInd w:val="0"/>
        <w:ind w:left="284" w:hanging="284"/>
        <w:textAlignment w:val="baseline"/>
        <w:rPr>
          <w:bCs/>
          <w:iCs/>
        </w:rPr>
      </w:pPr>
      <w:r>
        <w:t>O CESE defende que o programa de trabalho para 2027 deve assegurar a plena absorção e uma reprogramação direcionada e flexível de todos os instrumentos do Quadro Financeiro Plurianual (QFP). Os trabalhos preparatórios de 2027 devem criar a base factual, os quadros de governação e as estruturas de parceria em que assentará o próximo QFP. Nenhuma prioridade estratégica – competitividade, coesão, progresso social ou objetivos ecológicos ou de defesa – deve ser estruturalmente subordinada a outra. Além disso, todas as prioridades indicadas no presente contributo do CESE devem beneficiar de apoio financeiro específico através do QFP, assegurando uma distribuição geográfica equitativa do financiamento.</w:t>
      </w:r>
    </w:p>
    <w:p w14:paraId="30363ADB" w14:textId="129DEAAC"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Entre as prioridades comuns da UE em matéria de preparação, defesa e segurança devem figurar o </w:t>
      </w:r>
      <w:r>
        <w:lastRenderedPageBreak/>
        <w:t>reforço das capacidades de defesa, a contratação conjunta, a mobilidade militar, a cibersegurança e a proteção de infraestruturas críticas e civis, bem como o investimento na preparação civil em prol de comunidades resilientes, assegurando simultaneamente a transparência e o controlo democrático, com o objetivo de alcançar a paz.</w:t>
      </w:r>
    </w:p>
    <w:p w14:paraId="692A9E5E" w14:textId="4F4096E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A UE deve reforçar o seu papel a nível mundial, alinhando a autonomia estratégica com a política externa, comercial, industrial e de alargamento, apoiando simultaneamente a Ucrânia e manifestando a sua solidariedade para com o povo palestiniano, aprofundando a cooperação com os parceiros e reforçando a resiliência em setores críticos. O programa de trabalho para 2027 deve dar um impulso a estas prioridades através do apoio aos países candidatos, do reforço da ação externa, da segurança económica e de uma utilização mais eficaz da Estratégia Global Gateway e da política comum de segurança e defesa.</w:t>
      </w:r>
    </w:p>
    <w:p w14:paraId="5F3E14D2" w14:textId="7BEB2F7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A UE deve erigir a qualidade de vida a pilar da resiliência social e democrática. O programa de trabalho para 2027 deve interligar a saúde, a prestação de cuidados, o bem-estar mental, a igualdade, a inclusão, a luta contra o racismo e o acesso a serviços essenciais numa agenda centrada nas pessoas que aborde as desigualdades e as vulnerabilidades persistentes. O PIB deve ser complementado por indicadores de sustentabilidade e de qualidade de vida.</w:t>
      </w:r>
    </w:p>
    <w:p w14:paraId="19F85DB6" w14:textId="088967A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Uma vez que a pobreza equivale a uma exclusão democrática, a resposta da UE a este problema no âmbito da habitação, da energia, dos recursos hídricos e da alimentação deve assumir a forma de um programa coerente centrado na acessibilidade dos preços e na equidade.</w:t>
      </w:r>
    </w:p>
    <w:p w14:paraId="0C010A9E" w14:textId="77777777"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O Escudo Europeu da Democracia e a Estratégia para a Sociedade Civil devem reforçar o espaço cívico, os meios de comunicação social independentes, o Estado de direito, a igualdade, os direitos das mulheres e a proteção contra a violência de género.</w:t>
      </w:r>
    </w:p>
    <w:p w14:paraId="1F010739" w14:textId="77777777" w:rsidR="00560A7D" w:rsidRPr="00560A7D" w:rsidRDefault="00560A7D" w:rsidP="00560A7D">
      <w:pPr>
        <w:widowControl w:val="0"/>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560A7D" w:rsidRDefault="00560A7D" w:rsidP="00560A7D">
            <w:pPr>
              <w:overflowPunct w:val="0"/>
              <w:autoSpaceDE w:val="0"/>
              <w:autoSpaceDN w:val="0"/>
              <w:adjustRightInd w:val="0"/>
              <w:textAlignment w:val="baseline"/>
              <w:rPr>
                <w:i/>
              </w:rPr>
            </w:pPr>
            <w:r>
              <w:rPr>
                <w:b/>
                <w:i/>
              </w:rPr>
              <w:t>Contacto</w:t>
            </w:r>
          </w:p>
        </w:tc>
        <w:tc>
          <w:tcPr>
            <w:tcW w:w="3923" w:type="pct"/>
          </w:tcPr>
          <w:p w14:paraId="6DD32C68" w14:textId="77777777" w:rsidR="00560A7D" w:rsidRPr="00560A7D" w:rsidRDefault="00560A7D" w:rsidP="00560A7D">
            <w:pPr>
              <w:overflowPunct w:val="0"/>
              <w:autoSpaceDE w:val="0"/>
              <w:autoSpaceDN w:val="0"/>
              <w:adjustRightInd w:val="0"/>
              <w:textAlignment w:val="baseline"/>
              <w:rPr>
                <w:i/>
              </w:rPr>
            </w:pPr>
            <w:r>
              <w:rPr>
                <w:i/>
              </w:rPr>
              <w:t>Maja Radman</w:t>
            </w:r>
          </w:p>
        </w:tc>
      </w:tr>
      <w:tr w:rsidR="00560A7D" w:rsidRPr="00560A7D" w14:paraId="42E2ACDC" w14:textId="77777777" w:rsidTr="00AE101D">
        <w:tc>
          <w:tcPr>
            <w:tcW w:w="1077" w:type="pct"/>
          </w:tcPr>
          <w:p w14:paraId="24C09320" w14:textId="77777777" w:rsidR="00560A7D" w:rsidRPr="00560A7D" w:rsidRDefault="00560A7D" w:rsidP="00560A7D">
            <w:pPr>
              <w:overflowPunct w:val="0"/>
              <w:autoSpaceDE w:val="0"/>
              <w:autoSpaceDN w:val="0"/>
              <w:adjustRightInd w:val="0"/>
              <w:textAlignment w:val="baseline"/>
              <w:rPr>
                <w:i/>
              </w:rPr>
            </w:pPr>
            <w:r>
              <w:rPr>
                <w:i/>
              </w:rPr>
              <w:t>Tel.</w:t>
            </w:r>
          </w:p>
        </w:tc>
        <w:tc>
          <w:tcPr>
            <w:tcW w:w="3923" w:type="pct"/>
          </w:tcPr>
          <w:p w14:paraId="0AD906B3" w14:textId="77777777" w:rsidR="00560A7D" w:rsidRPr="00560A7D" w:rsidRDefault="00560A7D" w:rsidP="00560A7D">
            <w:pPr>
              <w:overflowPunct w:val="0"/>
              <w:autoSpaceDE w:val="0"/>
              <w:autoSpaceDN w:val="0"/>
              <w:adjustRightInd w:val="0"/>
              <w:textAlignment w:val="baseline"/>
              <w:rPr>
                <w:i/>
              </w:rPr>
            </w:pPr>
            <w:r>
              <w:rPr>
                <w:i/>
              </w:rPr>
              <w:t>+32 2 546 90 51</w:t>
            </w:r>
          </w:p>
        </w:tc>
      </w:tr>
      <w:tr w:rsidR="00560A7D" w:rsidRPr="00560A7D" w14:paraId="438A9570" w14:textId="77777777" w:rsidTr="00AE101D">
        <w:tc>
          <w:tcPr>
            <w:tcW w:w="1077" w:type="pct"/>
          </w:tcPr>
          <w:p w14:paraId="0D0E57BB" w14:textId="77777777" w:rsidR="00560A7D" w:rsidRPr="00560A7D" w:rsidRDefault="00560A7D" w:rsidP="00560A7D">
            <w:pPr>
              <w:overflowPunct w:val="0"/>
              <w:autoSpaceDE w:val="0"/>
              <w:autoSpaceDN w:val="0"/>
              <w:adjustRightInd w:val="0"/>
              <w:textAlignment w:val="baseline"/>
              <w:rPr>
                <w:i/>
              </w:rPr>
            </w:pPr>
            <w:r>
              <w:rPr>
                <w:i/>
              </w:rPr>
              <w:t>Endereço eletrónico</w:t>
            </w:r>
          </w:p>
        </w:tc>
        <w:tc>
          <w:tcPr>
            <w:tcW w:w="3923" w:type="pct"/>
          </w:tcPr>
          <w:p w14:paraId="7A48524F" w14:textId="77777777" w:rsidR="00560A7D" w:rsidRPr="00560A7D" w:rsidRDefault="00075C8D" w:rsidP="00560A7D">
            <w:pPr>
              <w:overflowPunct w:val="0"/>
              <w:autoSpaceDE w:val="0"/>
              <w:autoSpaceDN w:val="0"/>
              <w:adjustRightInd w:val="0"/>
              <w:textAlignment w:val="baseline"/>
              <w:rPr>
                <w:i/>
              </w:rPr>
            </w:pPr>
            <w:hyperlink r:id="rId21" w:history="1">
              <w:r w:rsidR="00507B0A">
                <w:rPr>
                  <w:i/>
                  <w:color w:val="0000FF"/>
                  <w:u w:val="single"/>
                </w:rPr>
                <w:t>Maja.Radman@eesc.europa.eu</w:t>
              </w:r>
            </w:hyperlink>
            <w:r w:rsidR="00507B0A">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6029EC8A" w14:textId="11DFE5B3" w:rsidR="007B7FD5" w:rsidRPr="001A7530" w:rsidRDefault="00075C8D" w:rsidP="007B7FD5">
      <w:pPr>
        <w:widowControl w:val="0"/>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22" w:history="1">
        <w:r w:rsidR="007B7FD5">
          <w:rPr>
            <w:b/>
            <w:i/>
            <w:color w:val="0000FF"/>
            <w:sz w:val="28"/>
            <w:u w:val="single"/>
          </w:rPr>
          <w:t>Recomendações do CESE sobre as propostas de reformas e investimentos formuladas no âmbito do ciclo do Semestre Europeu 2025-2026</w:t>
        </w:r>
      </w:hyperlink>
    </w:p>
    <w:p w14:paraId="528C8105" w14:textId="77777777" w:rsidR="001A7530" w:rsidRDefault="001A7530"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7B7FD5" w:rsidRPr="007B7FD5" w14:paraId="45FFBCEE" w14:textId="77777777" w:rsidTr="0033503A">
        <w:trPr>
          <w:trHeight w:val="923"/>
        </w:trPr>
        <w:tc>
          <w:tcPr>
            <w:tcW w:w="1018" w:type="pct"/>
          </w:tcPr>
          <w:p w14:paraId="4364623E" w14:textId="77777777" w:rsidR="007B7FD5" w:rsidRPr="007B7FD5" w:rsidRDefault="007B7FD5" w:rsidP="007B7FD5">
            <w:pPr>
              <w:tabs>
                <w:tab w:val="center" w:pos="284"/>
              </w:tabs>
              <w:overflowPunct w:val="0"/>
              <w:autoSpaceDE w:val="0"/>
              <w:autoSpaceDN w:val="0"/>
              <w:adjustRightInd w:val="0"/>
              <w:ind w:left="266" w:hanging="266"/>
              <w:jc w:val="left"/>
              <w:textAlignment w:val="baseline"/>
              <w:rPr>
                <w:b/>
              </w:rPr>
            </w:pPr>
            <w:r>
              <w:rPr>
                <w:b/>
              </w:rPr>
              <w:t>Relatores:</w:t>
            </w:r>
          </w:p>
        </w:tc>
        <w:tc>
          <w:tcPr>
            <w:tcW w:w="3982" w:type="pct"/>
          </w:tcPr>
          <w:p w14:paraId="7D19C4E1" w14:textId="77777777" w:rsidR="007B7FD5" w:rsidRPr="00AD2F07" w:rsidRDefault="007B7FD5" w:rsidP="00AD2F07">
            <w:r>
              <w:t>Gonçalo Lobo Xavier (PT – Grupo dos Empregadores)</w:t>
            </w:r>
          </w:p>
          <w:p w14:paraId="60A2DC34" w14:textId="557BAFA2" w:rsidR="007B7FD5" w:rsidRPr="00AD2F07" w:rsidRDefault="007B7FD5" w:rsidP="00AD2F07">
            <w:r>
              <w:t>Andrea Mone (IT – Grupo dos Trabalhadores)</w:t>
            </w:r>
          </w:p>
          <w:p w14:paraId="78BDC49D" w14:textId="77777777" w:rsidR="007B7FD5" w:rsidRDefault="007B7FD5" w:rsidP="00AD2F07">
            <w:r>
              <w:t>Luca Jahier (IT – Grupo das Organizações da Sociedade Civil)</w:t>
            </w:r>
          </w:p>
          <w:p w14:paraId="62E6A974" w14:textId="77777777" w:rsidR="00C83E1D" w:rsidRPr="007B7FD5" w:rsidRDefault="00C83E1D" w:rsidP="007B7FD5">
            <w:pPr>
              <w:tabs>
                <w:tab w:val="center" w:pos="284"/>
              </w:tabs>
              <w:overflowPunct w:val="0"/>
              <w:autoSpaceDE w:val="0"/>
              <w:autoSpaceDN w:val="0"/>
              <w:adjustRightInd w:val="0"/>
              <w:ind w:left="266" w:hanging="266"/>
              <w:textAlignment w:val="baseline"/>
            </w:pPr>
          </w:p>
        </w:tc>
      </w:tr>
      <w:tr w:rsidR="007B7FD5" w:rsidRPr="007B7FD5" w14:paraId="2B015449" w14:textId="77777777" w:rsidTr="0033503A">
        <w:trPr>
          <w:trHeight w:val="304"/>
        </w:trPr>
        <w:tc>
          <w:tcPr>
            <w:tcW w:w="1018" w:type="pct"/>
          </w:tcPr>
          <w:p w14:paraId="7EFFBE9D" w14:textId="77777777" w:rsidR="007B7FD5" w:rsidRPr="007B7FD5" w:rsidRDefault="007B7FD5" w:rsidP="007B7FD5">
            <w:pPr>
              <w:tabs>
                <w:tab w:val="center" w:pos="29"/>
              </w:tabs>
              <w:overflowPunct w:val="0"/>
              <w:autoSpaceDE w:val="0"/>
              <w:autoSpaceDN w:val="0"/>
              <w:adjustRightInd w:val="0"/>
              <w:spacing w:after="120"/>
              <w:ind w:left="28" w:firstLine="17"/>
              <w:jc w:val="left"/>
              <w:textAlignment w:val="baseline"/>
              <w:rPr>
                <w:b/>
              </w:rPr>
            </w:pPr>
            <w:r>
              <w:rPr>
                <w:b/>
              </w:rPr>
              <w:t>Referência</w:t>
            </w:r>
          </w:p>
        </w:tc>
        <w:tc>
          <w:tcPr>
            <w:tcW w:w="3982" w:type="pct"/>
          </w:tcPr>
          <w:p w14:paraId="50EDBE02" w14:textId="38EA25F3" w:rsidR="003C393D" w:rsidRDefault="003C393D" w:rsidP="007B7FD5">
            <w:pPr>
              <w:tabs>
                <w:tab w:val="center" w:pos="284"/>
              </w:tabs>
              <w:overflowPunct w:val="0"/>
              <w:autoSpaceDE w:val="0"/>
              <w:autoSpaceDN w:val="0"/>
              <w:adjustRightInd w:val="0"/>
              <w:ind w:left="266" w:hanging="266"/>
              <w:textAlignment w:val="baseline"/>
            </w:pPr>
            <w:r>
              <w:t>Resolução</w:t>
            </w:r>
          </w:p>
          <w:p w14:paraId="34408A2B" w14:textId="7DCF6FA3" w:rsidR="007B7FD5" w:rsidRPr="007B7FD5" w:rsidRDefault="007B7FD5" w:rsidP="007B7FD5">
            <w:pPr>
              <w:tabs>
                <w:tab w:val="center" w:pos="284"/>
              </w:tabs>
              <w:overflowPunct w:val="0"/>
              <w:autoSpaceDE w:val="0"/>
              <w:autoSpaceDN w:val="0"/>
              <w:adjustRightInd w:val="0"/>
              <w:ind w:left="266" w:hanging="266"/>
              <w:textAlignment w:val="baseline"/>
            </w:pPr>
            <w:r>
              <w:t>EESC-2026-01186-00-00-RES</w:t>
            </w:r>
          </w:p>
        </w:tc>
      </w:tr>
    </w:tbl>
    <w:p w14:paraId="6D0B44FD" w14:textId="77777777" w:rsidR="007B7FD5" w:rsidRDefault="007B7FD5" w:rsidP="007B7FD5">
      <w:pPr>
        <w:keepNext/>
        <w:keepLines/>
        <w:tabs>
          <w:tab w:val="center" w:pos="284"/>
        </w:tabs>
        <w:overflowPunct w:val="0"/>
        <w:autoSpaceDE w:val="0"/>
        <w:autoSpaceDN w:val="0"/>
        <w:adjustRightInd w:val="0"/>
        <w:textAlignment w:val="baseline"/>
        <w:rPr>
          <w:b/>
          <w:lang w:val="en-GB"/>
        </w:rPr>
      </w:pPr>
    </w:p>
    <w:p w14:paraId="0A41D968" w14:textId="77777777" w:rsidR="00730BB9" w:rsidRPr="007B7FD5" w:rsidRDefault="00730BB9" w:rsidP="007B7FD5">
      <w:pPr>
        <w:keepNext/>
        <w:keepLines/>
        <w:tabs>
          <w:tab w:val="center" w:pos="284"/>
        </w:tabs>
        <w:overflowPunct w:val="0"/>
        <w:autoSpaceDE w:val="0"/>
        <w:autoSpaceDN w:val="0"/>
        <w:adjustRightInd w:val="0"/>
        <w:textAlignment w:val="baseline"/>
        <w:rPr>
          <w:b/>
          <w:lang w:val="en-GB"/>
        </w:rPr>
      </w:pPr>
    </w:p>
    <w:p w14:paraId="6462A142" w14:textId="77777777" w:rsidR="007B7FD5" w:rsidRDefault="007B7FD5" w:rsidP="007B7FD5">
      <w:pPr>
        <w:keepNext/>
        <w:keepLines/>
        <w:tabs>
          <w:tab w:val="center" w:pos="284"/>
        </w:tabs>
        <w:overflowPunct w:val="0"/>
        <w:autoSpaceDE w:val="0"/>
        <w:autoSpaceDN w:val="0"/>
        <w:adjustRightInd w:val="0"/>
        <w:textAlignment w:val="baseline"/>
        <w:rPr>
          <w:b/>
        </w:rPr>
      </w:pPr>
      <w:r>
        <w:rPr>
          <w:b/>
        </w:rPr>
        <w:t>Pontos principais</w:t>
      </w:r>
    </w:p>
    <w:p w14:paraId="42A18D5F" w14:textId="77777777" w:rsidR="00473523" w:rsidRPr="007B7FD5"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7B7FD5">
      <w:pPr>
        <w:overflowPunct w:val="0"/>
        <w:autoSpaceDE w:val="0"/>
        <w:autoSpaceDN w:val="0"/>
        <w:adjustRightInd w:val="0"/>
        <w:textAlignment w:val="baseline"/>
        <w:rPr>
          <w:bCs/>
          <w:iCs/>
        </w:rPr>
      </w:pPr>
      <w:r>
        <w:t>O Comité Económico e Social Europeu:</w:t>
      </w:r>
    </w:p>
    <w:p w14:paraId="23907722" w14:textId="77777777" w:rsidR="00473523" w:rsidRPr="007B7FD5" w:rsidRDefault="00473523" w:rsidP="007B7FD5">
      <w:pPr>
        <w:overflowPunct w:val="0"/>
        <w:autoSpaceDE w:val="0"/>
        <w:autoSpaceDN w:val="0"/>
        <w:adjustRightInd w:val="0"/>
        <w:textAlignment w:val="baseline"/>
        <w:rPr>
          <w:szCs w:val="20"/>
          <w:lang w:val="en-GB"/>
        </w:rPr>
      </w:pPr>
    </w:p>
    <w:p w14:paraId="163159ED"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 w:name="_Toc232773758"/>
      <w:bookmarkStart w:id="2" w:name="_Toc232774238"/>
      <w:r>
        <w:t>apela à plena integração do mercado único no Semestre Europeu e nas recomendações específicas por país, juntamente com a responsabilidade política pela aplicação das regras do mercado único;</w:t>
      </w:r>
      <w:bookmarkEnd w:id="1"/>
      <w:bookmarkEnd w:id="2"/>
    </w:p>
    <w:p w14:paraId="7E538C9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3" w:name="_Toc232773759"/>
      <w:bookmarkStart w:id="4" w:name="_Toc232774239"/>
      <w:r>
        <w:t>rejeita firmemente uma lógica de condicionalidade macroeconómica punitiva e recomenda uma estrutura de incentivos positivos, no âmbito da qual o Semestre Europeu identifique os estrangulamentos estratégicos e o quadro financeiro plurianual (QFP) forneça um apoio específico para os resolver;</w:t>
      </w:r>
      <w:bookmarkEnd w:id="3"/>
      <w:bookmarkEnd w:id="4"/>
    </w:p>
    <w:p w14:paraId="6644B51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5" w:name="_Toc232773760"/>
      <w:bookmarkStart w:id="6" w:name="_Toc232774240"/>
      <w:r>
        <w:t>reconhece a importância crescente da resiliência e da prontidão da defesa e preconiza a criação de um quadro regulamentar que proporcione segurança jurídica e apoio para mobilizar o investimento em capacidades coordenadas a nível da UE;</w:t>
      </w:r>
      <w:bookmarkEnd w:id="5"/>
      <w:bookmarkEnd w:id="6"/>
    </w:p>
    <w:p w14:paraId="74E37370"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7" w:name="_Toc232773761"/>
      <w:bookmarkStart w:id="8" w:name="_Toc232774241"/>
      <w:r>
        <w:t>salienta que importa criar margem de manobra orçamental para alcançar os objetivos sociais comuns da UE e, em particular, contribuir para a Plataforma de Investimento Social lançada recentemente pela Comissão Europeia;</w:t>
      </w:r>
      <w:bookmarkEnd w:id="7"/>
      <w:bookmarkEnd w:id="8"/>
    </w:p>
    <w:p w14:paraId="54D09236"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9" w:name="_Toc232773762"/>
      <w:bookmarkStart w:id="10" w:name="_Toc232774242"/>
      <w:r>
        <w:t>sublinha, em particular, que as questões sociais são frequentemente subvalorizadas nas recomendações específicas por país, e considera que é necessário aplicar e reforçar a ação governamental, para desencadear o dinamismo necessário a nível nacional, com vista a acelerar a conceção, a aplicação e a realização das reformas, bem como a sua avaliação democrática;</w:t>
      </w:r>
      <w:bookmarkEnd w:id="9"/>
      <w:bookmarkEnd w:id="10"/>
    </w:p>
    <w:p w14:paraId="60860BA4"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1" w:name="_Toc232773763"/>
      <w:bookmarkStart w:id="12" w:name="_Toc232774243"/>
      <w:r>
        <w:t>recomenda que se aumente a participação dos parceiros sociais e das organizações da sociedade civil (com vista a reforçar gradualmente o princípio da parceria, à medida que a governação do QFP e a do Semestre Europeu convergem), transformando-a de um requisito quase processual num importante motor do êxito das políticas;</w:t>
      </w:r>
      <w:bookmarkEnd w:id="11"/>
      <w:bookmarkEnd w:id="12"/>
    </w:p>
    <w:p w14:paraId="11796D3F" w14:textId="77777777" w:rsidR="007B7FD5" w:rsidRDefault="007B7FD5" w:rsidP="003C393D">
      <w:pPr>
        <w:numPr>
          <w:ilvl w:val="0"/>
          <w:numId w:val="21"/>
        </w:numPr>
        <w:overflowPunct w:val="0"/>
        <w:autoSpaceDE w:val="0"/>
        <w:autoSpaceDN w:val="0"/>
        <w:adjustRightInd w:val="0"/>
        <w:ind w:left="284" w:hanging="284"/>
        <w:textAlignment w:val="baseline"/>
        <w:outlineLvl w:val="1"/>
        <w:rPr>
          <w:szCs w:val="20"/>
        </w:rPr>
      </w:pPr>
      <w:bookmarkStart w:id="13" w:name="_Toc232773764"/>
      <w:bookmarkStart w:id="14" w:name="_Toc232774244"/>
      <w:r>
        <w:t>convida a Comissão a melhorar tanto a qualidade como o calendário dos processos de informação e consulta no âmbito do Semestre Europeu. Tal inclui o investimento no reforço das capacidades para o diálogo civil e social, o reforço dos processos de consulta e a melhoria dos seus prazos, a melhoria do acesso a dados transparentes e comparáveis e a criação de um código europeu que defina a forma de realizar consultas no âmbito do Semestre Europeu e de elaborar e executar os planos nacionais, em conformidade com as práticas nacionais e os quadros de diálogo social;</w:t>
      </w:r>
      <w:bookmarkEnd w:id="13"/>
      <w:bookmarkEnd w:id="14"/>
    </w:p>
    <w:p w14:paraId="7A60B51E" w14:textId="77777777" w:rsidR="007B7FD5" w:rsidRPr="007B7FD5" w:rsidRDefault="007B7FD5" w:rsidP="00AD2F07">
      <w:pPr>
        <w:widowControl w:val="0"/>
        <w:numPr>
          <w:ilvl w:val="0"/>
          <w:numId w:val="21"/>
        </w:numPr>
        <w:overflowPunct w:val="0"/>
        <w:autoSpaceDE w:val="0"/>
        <w:autoSpaceDN w:val="0"/>
        <w:adjustRightInd w:val="0"/>
        <w:ind w:left="284" w:hanging="284"/>
        <w:textAlignment w:val="baseline"/>
        <w:rPr>
          <w:bCs/>
          <w:iCs/>
        </w:rPr>
      </w:pPr>
      <w:r>
        <w:t xml:space="preserve">solicita a introdução de uma avaliação obrigatória da qualidade e do impacto da parceria, que deve examinar em que medida o seu contributo moldou os programas operacionais finais. Tal deve ser acompanhado de uma simplificação radical dos mecanismos de execução, concebida em conjunto com as autoridades de gestão, os organismos regionais, os parceiros sociais e as organizações da </w:t>
      </w:r>
      <w:r>
        <w:lastRenderedPageBreak/>
        <w:t>sociedade civil, a fim de assegurar que os sistemas de auditoria e acompanhamento são proporcionados e respeitam o princípio da gestão partilhada, sem impor uma duplicação burocrática excessiva.</w:t>
      </w:r>
    </w:p>
    <w:p w14:paraId="6B1138AE" w14:textId="5A139757" w:rsidR="007B7FD5" w:rsidRPr="007B7FD5"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084"/>
      </w:tblGrid>
      <w:tr w:rsidR="009A5F02" w:rsidRPr="007B7FD5" w14:paraId="58873A49" w14:textId="77777777" w:rsidTr="00A16D01">
        <w:tc>
          <w:tcPr>
            <w:tcW w:w="1214" w:type="pct"/>
          </w:tcPr>
          <w:p w14:paraId="0EB863EC" w14:textId="77777777" w:rsidR="009A5F02" w:rsidRPr="00AD2F07" w:rsidRDefault="009A5F02">
            <w:pPr>
              <w:overflowPunct w:val="0"/>
              <w:autoSpaceDE w:val="0"/>
              <w:autoSpaceDN w:val="0"/>
              <w:adjustRightInd w:val="0"/>
              <w:spacing w:line="240" w:lineRule="auto"/>
              <w:textAlignment w:val="baseline"/>
              <w:rPr>
                <w:i/>
              </w:rPr>
            </w:pPr>
            <w:r>
              <w:rPr>
                <w:b/>
                <w:i/>
              </w:rPr>
              <w:t>Contacto</w:t>
            </w:r>
          </w:p>
        </w:tc>
        <w:tc>
          <w:tcPr>
            <w:tcW w:w="3786" w:type="pct"/>
          </w:tcPr>
          <w:p w14:paraId="52DE2030" w14:textId="22F28BA0" w:rsidR="009A5F02" w:rsidRPr="00AD2F07" w:rsidRDefault="009A5F02">
            <w:pPr>
              <w:overflowPunct w:val="0"/>
              <w:autoSpaceDE w:val="0"/>
              <w:autoSpaceDN w:val="0"/>
              <w:adjustRightInd w:val="0"/>
              <w:spacing w:line="240" w:lineRule="auto"/>
              <w:textAlignment w:val="baseline"/>
              <w:rPr>
                <w:i/>
              </w:rPr>
            </w:pPr>
            <w:r>
              <w:rPr>
                <w:i/>
              </w:rPr>
              <w:t>Colombe Gregoire</w:t>
            </w:r>
          </w:p>
        </w:tc>
      </w:tr>
      <w:tr w:rsidR="009A5F02" w:rsidRPr="007B7FD5" w14:paraId="502BE6F2" w14:textId="77777777" w:rsidTr="00A16D01">
        <w:tc>
          <w:tcPr>
            <w:tcW w:w="1214" w:type="pct"/>
          </w:tcPr>
          <w:p w14:paraId="56D3D58A" w14:textId="77777777" w:rsidR="009A5F02" w:rsidRPr="00AD2F07" w:rsidRDefault="009A5F02">
            <w:pPr>
              <w:overflowPunct w:val="0"/>
              <w:autoSpaceDE w:val="0"/>
              <w:autoSpaceDN w:val="0"/>
              <w:adjustRightInd w:val="0"/>
              <w:spacing w:line="240" w:lineRule="auto"/>
              <w:textAlignment w:val="baseline"/>
              <w:rPr>
                <w:i/>
              </w:rPr>
            </w:pPr>
            <w:r>
              <w:rPr>
                <w:i/>
              </w:rPr>
              <w:t>Tel.</w:t>
            </w:r>
          </w:p>
        </w:tc>
        <w:tc>
          <w:tcPr>
            <w:tcW w:w="3786" w:type="pct"/>
          </w:tcPr>
          <w:p w14:paraId="17B3F2DD" w14:textId="77777777" w:rsidR="009A5F02" w:rsidRPr="00AD2F07" w:rsidRDefault="009A5F02">
            <w:pPr>
              <w:overflowPunct w:val="0"/>
              <w:autoSpaceDE w:val="0"/>
              <w:autoSpaceDN w:val="0"/>
              <w:adjustRightInd w:val="0"/>
              <w:spacing w:line="240" w:lineRule="auto"/>
              <w:textAlignment w:val="baseline"/>
              <w:rPr>
                <w:i/>
              </w:rPr>
            </w:pPr>
            <w:r>
              <w:rPr>
                <w:i/>
              </w:rPr>
              <w:t>+32 2 546 92 86</w:t>
            </w:r>
          </w:p>
        </w:tc>
      </w:tr>
      <w:tr w:rsidR="009A5F02" w:rsidRPr="007B7FD5" w14:paraId="190B7D28" w14:textId="77777777" w:rsidTr="00A16D01">
        <w:trPr>
          <w:trHeight w:val="60"/>
        </w:trPr>
        <w:tc>
          <w:tcPr>
            <w:tcW w:w="1214" w:type="pct"/>
          </w:tcPr>
          <w:p w14:paraId="3F47AB4E" w14:textId="77777777" w:rsidR="009A5F02" w:rsidRPr="00AD2F07" w:rsidRDefault="009A5F02">
            <w:pPr>
              <w:overflowPunct w:val="0"/>
              <w:autoSpaceDE w:val="0"/>
              <w:autoSpaceDN w:val="0"/>
              <w:adjustRightInd w:val="0"/>
              <w:spacing w:line="240" w:lineRule="auto"/>
              <w:textAlignment w:val="baseline"/>
              <w:rPr>
                <w:i/>
              </w:rPr>
            </w:pPr>
            <w:r>
              <w:rPr>
                <w:i/>
              </w:rPr>
              <w:t>Endereço eletrónico</w:t>
            </w:r>
          </w:p>
        </w:tc>
        <w:tc>
          <w:tcPr>
            <w:tcW w:w="3786" w:type="pct"/>
          </w:tcPr>
          <w:p w14:paraId="3B839D90" w14:textId="42AB4678" w:rsidR="009A5F02" w:rsidRPr="00AD2F07" w:rsidRDefault="00075C8D">
            <w:pPr>
              <w:overflowPunct w:val="0"/>
              <w:autoSpaceDE w:val="0"/>
              <w:autoSpaceDN w:val="0"/>
              <w:adjustRightInd w:val="0"/>
              <w:spacing w:line="240" w:lineRule="auto"/>
              <w:textAlignment w:val="baseline"/>
              <w:rPr>
                <w:i/>
                <w:iCs/>
              </w:rPr>
            </w:pPr>
            <w:hyperlink r:id="rId23" w:history="1">
              <w:r w:rsidR="009A5F02">
                <w:rPr>
                  <w:rStyle w:val="Hyperlink"/>
                  <w:i/>
                </w:rPr>
                <w:t>Colombe.Gregoire@eesc.europa.eu</w:t>
              </w:r>
            </w:hyperlink>
          </w:p>
        </w:tc>
      </w:tr>
    </w:tbl>
    <w:p w14:paraId="3E4AC2BB" w14:textId="06D12B6A" w:rsidR="00897DCF" w:rsidRDefault="00897DCF" w:rsidP="004D73FC"/>
    <w:p w14:paraId="217B26C0" w14:textId="77777777" w:rsidR="00897DCF" w:rsidRDefault="00897DCF">
      <w:pPr>
        <w:spacing w:after="160" w:line="259" w:lineRule="auto"/>
        <w:jc w:val="left"/>
      </w:pPr>
      <w:r>
        <w:br w:type="page"/>
      </w:r>
    </w:p>
    <w:p w14:paraId="0459DF1E" w14:textId="77777777" w:rsidR="004D73FC" w:rsidRPr="004D73FC" w:rsidRDefault="004D73FC" w:rsidP="004D73FC"/>
    <w:p w14:paraId="4982DD6D" w14:textId="5D23D477" w:rsidR="004D7AC0" w:rsidRDefault="004D7AC0" w:rsidP="001766B2">
      <w:pPr>
        <w:pStyle w:val="Heading1"/>
        <w:rPr>
          <w:b/>
        </w:rPr>
      </w:pPr>
      <w:bookmarkStart w:id="15" w:name="_Toc232774245"/>
      <w:r>
        <w:rPr>
          <w:b/>
        </w:rPr>
        <w:t>UNIÃO ECONÓMICA E MONETÁRIA E COESÃO ECONÓMICA E SOCIAL</w:t>
      </w:r>
      <w:bookmarkEnd w:id="15"/>
    </w:p>
    <w:p w14:paraId="4982DD6E" w14:textId="77777777" w:rsidR="004D7AC0" w:rsidRDefault="004D7AC0" w:rsidP="001766B2"/>
    <w:p w14:paraId="1B60319F" w14:textId="0E280A39" w:rsidR="00385A54" w:rsidRPr="00AD2F07" w:rsidRDefault="00075C8D" w:rsidP="00385A54">
      <w:pPr>
        <w:widowControl w:val="0"/>
        <w:numPr>
          <w:ilvl w:val="0"/>
          <w:numId w:val="4"/>
        </w:numPr>
        <w:overflowPunct w:val="0"/>
        <w:autoSpaceDE w:val="0"/>
        <w:autoSpaceDN w:val="0"/>
        <w:adjustRightInd w:val="0"/>
        <w:spacing w:after="120"/>
        <w:ind w:hanging="567"/>
        <w:textAlignment w:val="baseline"/>
        <w:rPr>
          <w:b/>
          <w:i/>
          <w:iCs/>
          <w:sz w:val="28"/>
          <w:szCs w:val="28"/>
        </w:rPr>
      </w:pPr>
      <w:hyperlink r:id="rId24" w:history="1">
        <w:r w:rsidR="00507B0A">
          <w:rPr>
            <w:b/>
            <w:i/>
            <w:color w:val="0000FF"/>
            <w:sz w:val="28"/>
            <w:u w:val="single"/>
          </w:rPr>
          <w:t>Estratégia para as Regiões Fronteiriças Orientais</w:t>
        </w:r>
      </w:hyperlink>
    </w:p>
    <w:p w14:paraId="179CFF14" w14:textId="77777777" w:rsidR="00473921" w:rsidRPr="00385A54" w:rsidRDefault="00473921" w:rsidP="00AD2F07">
      <w:pPr>
        <w:widowControl w:val="0"/>
        <w:overflowPunct w:val="0"/>
        <w:autoSpaceDE w:val="0"/>
        <w:autoSpaceDN w:val="0"/>
        <w:adjustRightInd w:val="0"/>
        <w:spacing w:after="120"/>
        <w:ind w:left="284" w:hanging="284"/>
        <w:jc w:val="left"/>
        <w:textAlignment w:val="baseline"/>
        <w:rPr>
          <w:b/>
          <w:i/>
          <w:iCs/>
          <w:sz w:val="28"/>
          <w:szCs w:val="28"/>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385A54" w:rsidRPr="00385A54" w14:paraId="079290D7" w14:textId="77777777" w:rsidTr="0033503A">
        <w:tc>
          <w:tcPr>
            <w:tcW w:w="1701" w:type="dxa"/>
          </w:tcPr>
          <w:p w14:paraId="545C6432"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Relatora</w:t>
            </w:r>
          </w:p>
          <w:p w14:paraId="777CBE48" w14:textId="77777777" w:rsidR="00385A54" w:rsidRPr="00385A54" w:rsidRDefault="00385A54" w:rsidP="00385A54">
            <w:pPr>
              <w:tabs>
                <w:tab w:val="center" w:pos="284"/>
              </w:tabs>
              <w:overflowPunct w:val="0"/>
              <w:autoSpaceDE w:val="0"/>
              <w:autoSpaceDN w:val="0"/>
              <w:adjustRightInd w:val="0"/>
              <w:ind w:left="266" w:hanging="266"/>
              <w:textAlignment w:val="baseline"/>
              <w:rPr>
                <w:b/>
                <w:bCs/>
              </w:rPr>
            </w:pPr>
            <w:r>
              <w:rPr>
                <w:b/>
              </w:rPr>
              <w:t>Correlator</w:t>
            </w:r>
          </w:p>
        </w:tc>
        <w:tc>
          <w:tcPr>
            <w:tcW w:w="7621" w:type="dxa"/>
          </w:tcPr>
          <w:p w14:paraId="079CD47C" w14:textId="311CED5F" w:rsidR="00385A54" w:rsidRPr="00385A54" w:rsidRDefault="00385A54" w:rsidP="00385A54">
            <w:pPr>
              <w:tabs>
                <w:tab w:val="center" w:pos="284"/>
              </w:tabs>
              <w:overflowPunct w:val="0"/>
              <w:autoSpaceDE w:val="0"/>
              <w:autoSpaceDN w:val="0"/>
              <w:adjustRightInd w:val="0"/>
              <w:ind w:left="266" w:hanging="266"/>
              <w:textAlignment w:val="baseline"/>
            </w:pPr>
            <w:r>
              <w:t>Katrīna Zariņa (LV – Grupo dos Empregadores)</w:t>
            </w:r>
          </w:p>
          <w:p w14:paraId="14E49866" w14:textId="3DCB25FC" w:rsidR="00385A54" w:rsidRDefault="00385A54" w:rsidP="00385A54">
            <w:pPr>
              <w:tabs>
                <w:tab w:val="center" w:pos="284"/>
              </w:tabs>
              <w:overflowPunct w:val="0"/>
              <w:autoSpaceDE w:val="0"/>
              <w:autoSpaceDN w:val="0"/>
              <w:adjustRightInd w:val="0"/>
              <w:ind w:left="266" w:hanging="266"/>
              <w:textAlignment w:val="baseline"/>
            </w:pPr>
            <w:r>
              <w:t>Ionuț Sibian (RO – Grupo das Organizações da Sociedade Civil)</w:t>
            </w:r>
          </w:p>
          <w:p w14:paraId="26904422" w14:textId="2D90FFDD" w:rsidR="00EA387F" w:rsidRPr="00385A54" w:rsidRDefault="00EA387F" w:rsidP="00385A54">
            <w:pPr>
              <w:tabs>
                <w:tab w:val="center" w:pos="284"/>
              </w:tabs>
              <w:overflowPunct w:val="0"/>
              <w:autoSpaceDE w:val="0"/>
              <w:autoSpaceDN w:val="0"/>
              <w:adjustRightInd w:val="0"/>
              <w:ind w:left="266" w:hanging="266"/>
              <w:textAlignment w:val="baseline"/>
              <w:rPr>
                <w:bCs/>
              </w:rPr>
            </w:pPr>
          </w:p>
        </w:tc>
      </w:tr>
      <w:tr w:rsidR="00385A54" w:rsidRPr="00385A54" w14:paraId="284E78C5" w14:textId="77777777" w:rsidTr="0033503A">
        <w:tc>
          <w:tcPr>
            <w:tcW w:w="1701" w:type="dxa"/>
          </w:tcPr>
          <w:p w14:paraId="1CCB3C55"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Referências</w:t>
            </w:r>
          </w:p>
        </w:tc>
        <w:tc>
          <w:tcPr>
            <w:tcW w:w="7621" w:type="dxa"/>
          </w:tcPr>
          <w:p w14:paraId="54D2A0A5" w14:textId="77777777" w:rsidR="00EA387F" w:rsidRDefault="00385A54" w:rsidP="00385A54">
            <w:pPr>
              <w:tabs>
                <w:tab w:val="center" w:pos="284"/>
              </w:tabs>
              <w:overflowPunct w:val="0"/>
              <w:autoSpaceDE w:val="0"/>
              <w:autoSpaceDN w:val="0"/>
              <w:adjustRightInd w:val="0"/>
              <w:ind w:left="266" w:hanging="266"/>
              <w:textAlignment w:val="baseline"/>
            </w:pPr>
            <w:r>
              <w:t>COM(2026) 82 final</w:t>
            </w:r>
          </w:p>
          <w:p w14:paraId="172DC3FB" w14:textId="357D1189" w:rsidR="00385A54" w:rsidRDefault="00385A54" w:rsidP="00385A54">
            <w:pPr>
              <w:tabs>
                <w:tab w:val="center" w:pos="284"/>
              </w:tabs>
              <w:overflowPunct w:val="0"/>
              <w:autoSpaceDE w:val="0"/>
              <w:autoSpaceDN w:val="0"/>
              <w:adjustRightInd w:val="0"/>
              <w:ind w:left="266" w:hanging="266"/>
              <w:textAlignment w:val="baseline"/>
            </w:pPr>
            <w:r>
              <w:t>EESC-2026-00699-00-00-AC</w:t>
            </w:r>
          </w:p>
          <w:p w14:paraId="3BD65382" w14:textId="5F5D3F77" w:rsidR="00EA387F" w:rsidRPr="00385A54" w:rsidRDefault="00EA387F" w:rsidP="00385A54">
            <w:pPr>
              <w:tabs>
                <w:tab w:val="center" w:pos="284"/>
              </w:tabs>
              <w:overflowPunct w:val="0"/>
              <w:autoSpaceDE w:val="0"/>
              <w:autoSpaceDN w:val="0"/>
              <w:adjustRightInd w:val="0"/>
              <w:ind w:left="266" w:hanging="266"/>
              <w:textAlignment w:val="baseline"/>
            </w:pPr>
          </w:p>
        </w:tc>
      </w:tr>
    </w:tbl>
    <w:p w14:paraId="657BEF89" w14:textId="77777777" w:rsidR="00385A54" w:rsidRDefault="00385A54" w:rsidP="00385A54">
      <w:pPr>
        <w:keepNext/>
        <w:keepLines/>
        <w:tabs>
          <w:tab w:val="center" w:pos="284"/>
        </w:tabs>
        <w:overflowPunct w:val="0"/>
        <w:autoSpaceDE w:val="0"/>
        <w:autoSpaceDN w:val="0"/>
        <w:adjustRightInd w:val="0"/>
        <w:spacing w:before="120"/>
        <w:ind w:left="266" w:hanging="266"/>
        <w:textAlignment w:val="baseline"/>
        <w:rPr>
          <w:b/>
        </w:rPr>
      </w:pPr>
      <w:r>
        <w:rPr>
          <w:b/>
        </w:rPr>
        <w:t>Pontos principais</w:t>
      </w:r>
    </w:p>
    <w:p w14:paraId="1141E80C" w14:textId="77777777" w:rsidR="00EA387F" w:rsidRPr="00385A54" w:rsidRDefault="00EA387F" w:rsidP="00385A54">
      <w:pPr>
        <w:keepNext/>
        <w:keepLines/>
        <w:tabs>
          <w:tab w:val="center" w:pos="284"/>
        </w:tabs>
        <w:overflowPunct w:val="0"/>
        <w:autoSpaceDE w:val="0"/>
        <w:autoSpaceDN w:val="0"/>
        <w:adjustRightInd w:val="0"/>
        <w:spacing w:before="120"/>
        <w:ind w:left="266" w:hanging="266"/>
        <w:textAlignment w:val="baseline"/>
        <w:rPr>
          <w:b/>
          <w:lang w:val="en-GB"/>
        </w:rPr>
      </w:pPr>
    </w:p>
    <w:p w14:paraId="5EA15008" w14:textId="77777777" w:rsidR="00385A54" w:rsidRDefault="00385A54" w:rsidP="00385A54">
      <w:pPr>
        <w:overflowPunct w:val="0"/>
        <w:autoSpaceDE w:val="0"/>
        <w:autoSpaceDN w:val="0"/>
        <w:adjustRightInd w:val="0"/>
        <w:textAlignment w:val="baseline"/>
        <w:rPr>
          <w:bCs/>
          <w:iCs/>
        </w:rPr>
      </w:pPr>
      <w:r>
        <w:t>O Comité Económico e Social Europeu:</w:t>
      </w:r>
    </w:p>
    <w:p w14:paraId="00E803A1" w14:textId="77777777" w:rsidR="00EA387F" w:rsidRPr="00385A54" w:rsidRDefault="00EA387F" w:rsidP="00385A54">
      <w:pPr>
        <w:overflowPunct w:val="0"/>
        <w:autoSpaceDE w:val="0"/>
        <w:autoSpaceDN w:val="0"/>
        <w:adjustRightInd w:val="0"/>
        <w:textAlignment w:val="baseline"/>
        <w:rPr>
          <w:bCs/>
          <w:iCs/>
          <w:lang w:val="en-GB"/>
        </w:rPr>
      </w:pPr>
    </w:p>
    <w:p w14:paraId="6D88270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congratula-se com a comunicação da Comissão e concorda que as regiões fronteiriças orientais são uma prioridade estratégica para a segurança, a coesão e a resiliência a longo prazo da União Europeia (UE). São fronteiras europeias, e não periferias nacionais, e a sua estabilidade é vital para os valores, a prosperidade e a integridade territorial da UE. Preconiza uma resposta concreta e abrangente da UE para fazer face às pressões específicas de segurança, económicas e demográficas sobre as regiões fronteiriças orientais, que os instrumentos políticos normalizados, por si só, não conseguem resolver; </w:t>
      </w:r>
    </w:p>
    <w:p w14:paraId="1B4D6B5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salienta que as ameaças híbridas persistentes, os ciberataques, a sabotagem de infraestruturas, a migração instrumentalizada e a desinformação exigem uma resposta coordenada a nível da UE com base no princípio da territorialidade. Apoia a Vigilância do Flanco Oriental, a Iniciativa Defesa Europeia Antidrones e uma maior preparação para situações de crise;</w:t>
      </w:r>
    </w:p>
    <w:p w14:paraId="041BCCF0"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está profundamente preocupado com o grave declínio demográfico em muitas regiões fronteiriças orientais, tendo algumas perdido mais de 17% da sua população na última década. Esta situação ameaça os mercados de trabalho, as finanças públicas, os serviços essenciais e a coesão territorial a longo prazo. Solicita a adoção de medidas específicas de revitalização demográfica, incluindo incentivos à retenção dos jovens, empregos de qualidade, desenvolvimento de competências e melhores condições de vida;</w:t>
      </w:r>
    </w:p>
    <w:p w14:paraId="3991CEFB"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observa que a guerra de agressão e as ameaças híbridas da Rússia afetaram de forma desproporcionada as regiões fronteiriças orientais, provocando um crescimento mais lento do produto interno bruto (PIB), a subida da inflação, perturbações no comércio e a diminuição do investimento. Manifesta a sua preocupação pelo facto de a abordagem proposta se basear principalmente na reafetação dos recursos existentes. Preconiza um apoio financeiro específico da UE adicional, prevendo-se dotações suficientes no âmbito do quadro financeiro plurianual (QFP) para o período 2028-2034, com mecanismos de execução claros para produzir resultados no terreno, incluindo o princípio da parceria;</w:t>
      </w:r>
    </w:p>
    <w:p w14:paraId="29BE4B13"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propõe convites à apresentação de propostas em programas específicos para as regiões fronteiriças orientais no âmbito do Fundo Europeu de Competitividade. Estes convites dariam resposta às desvantagens estruturais, apoiariam os ecossistemas empresariais locais e reforçariam a </w:t>
      </w:r>
      <w:r>
        <w:lastRenderedPageBreak/>
        <w:t>competitividade e a resiliência das regiões que enfrentam pressões demográficas e de segurança. O Comité recomenda igualmente a adoção pela UE de medidas de garantia e de partilha de riscos;</w:t>
      </w:r>
    </w:p>
    <w:p w14:paraId="0452F43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salienta que os transportes, a energia e a conectividade digital continuam a representar estrangulamentos importantes. Apoia um desenvolvimento mais rápido da rede transeuropeia de transportes (RTE-T), infraestruturas de dupla utilização, melhores ligações transfronteiriças com a Ucrânia e a Moldávia e redes digitais resilientes. Defende igualmente infraestruturas e projetos industriais de dupla utilização no âmbito de instrumentos como o Mecanismo Interligar a Europa e o financiamento da mobilidade militar, assegurando que o investimento na defesa e na segurança também conduz a benefícios económicos locais, ao emprego e à participação das PME;</w:t>
      </w:r>
    </w:p>
    <w:p w14:paraId="7D6FB36D"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congratula-se com a ênfase colocada nas pessoas e nas comunidades, salientando que a segurança e a resiliência dependem de sistemas sociais sólidos, de cuidados de saúde acessíveis, de uma educação de qualidade e de uma governação local eficaz. Apela para o reforço dos mecanismos de diálogo social e cívico de base local e para abordagens participativas;</w:t>
      </w:r>
    </w:p>
    <w:p w14:paraId="4143477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considera que o reforço das capacidades administrativas e institucionais é um pilar fundamental do desenvolvimento e da resiliência das regiões fronteiriças orientais;</w:t>
      </w:r>
    </w:p>
    <w:p w14:paraId="4D18BB27"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apoia uma maior articulação entre as medidas de segurança, de resiliência e de desenvolvimento económico, salientando simultaneamente o investimento na conectividade, na inovação e nos pontos fortes locais enquanto motores do crescimento sustentável. É necessário um equilíbrio entre as prioridades em matéria de segurança e de coesão;</w:t>
      </w:r>
    </w:p>
    <w:p w14:paraId="48D09FBC"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sublinha a importância de rever os quadros em matéria de auxílios estatais, a fim de permitir uma maior flexibilidade nas regiões fronteiriças orientais, para que os Estados-Membros possam colmatar de forma mais eficaz as lacunas de investimento e as deficiências do mercado;</w:t>
      </w:r>
    </w:p>
    <w:p w14:paraId="068CBD9A"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apoia um diálogo político anual de alto nível e incentiva a Comissão a desenvolver um quadro estratégico a longo prazo para as regiões fronteiriças orientais para além do atual QFP, com a participação da sociedade civil. Esse quadro deve reconhecer as regiões fronteiriças orientais como uma categoria específica de zona transnacional, em consonância com a Agenda Territorial 2030. A Comissão deve incluir um capítulo relativo às regiões fronteiriças orientais no relatório sobre a coesão.</w:t>
      </w:r>
    </w:p>
    <w:p w14:paraId="6052694D" w14:textId="77777777" w:rsidR="00385A54" w:rsidRPr="00385A54" w:rsidRDefault="00385A54" w:rsidP="00385A54">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71"/>
      </w:tblGrid>
      <w:tr w:rsidR="00385A54" w:rsidRPr="00385A54" w14:paraId="1F500A73" w14:textId="77777777" w:rsidTr="00A16D01">
        <w:tc>
          <w:tcPr>
            <w:tcW w:w="1951" w:type="dxa"/>
          </w:tcPr>
          <w:p w14:paraId="549E9D31" w14:textId="77777777" w:rsidR="00385A54" w:rsidRPr="00385A54" w:rsidRDefault="00385A54" w:rsidP="00385A54">
            <w:pPr>
              <w:overflowPunct w:val="0"/>
              <w:autoSpaceDE w:val="0"/>
              <w:autoSpaceDN w:val="0"/>
              <w:adjustRightInd w:val="0"/>
              <w:textAlignment w:val="baseline"/>
              <w:rPr>
                <w:i/>
              </w:rPr>
            </w:pPr>
            <w:r>
              <w:rPr>
                <w:b/>
                <w:i/>
              </w:rPr>
              <w:t>Contacto</w:t>
            </w:r>
          </w:p>
        </w:tc>
        <w:tc>
          <w:tcPr>
            <w:tcW w:w="7371" w:type="dxa"/>
          </w:tcPr>
          <w:p w14:paraId="6401420E" w14:textId="0F1EA9A6" w:rsidR="00385A54" w:rsidRPr="00385A54" w:rsidRDefault="00385A54" w:rsidP="00385A54">
            <w:pPr>
              <w:overflowPunct w:val="0"/>
              <w:autoSpaceDE w:val="0"/>
              <w:autoSpaceDN w:val="0"/>
              <w:adjustRightInd w:val="0"/>
              <w:textAlignment w:val="baseline"/>
              <w:rPr>
                <w:i/>
              </w:rPr>
            </w:pPr>
            <w:r>
              <w:rPr>
                <w:i/>
              </w:rPr>
              <w:t>Georgios Meleas</w:t>
            </w:r>
          </w:p>
        </w:tc>
      </w:tr>
      <w:tr w:rsidR="00385A54" w:rsidRPr="00385A54" w14:paraId="5AA0741E" w14:textId="77777777" w:rsidTr="00A16D01">
        <w:tc>
          <w:tcPr>
            <w:tcW w:w="1951" w:type="dxa"/>
          </w:tcPr>
          <w:p w14:paraId="5CAD9ED0" w14:textId="77777777" w:rsidR="00385A54" w:rsidRPr="00385A54" w:rsidRDefault="00385A54" w:rsidP="00385A54">
            <w:pPr>
              <w:overflowPunct w:val="0"/>
              <w:autoSpaceDE w:val="0"/>
              <w:autoSpaceDN w:val="0"/>
              <w:adjustRightInd w:val="0"/>
              <w:textAlignment w:val="baseline"/>
              <w:rPr>
                <w:i/>
              </w:rPr>
            </w:pPr>
            <w:r>
              <w:rPr>
                <w:i/>
              </w:rPr>
              <w:t>Tel.</w:t>
            </w:r>
          </w:p>
        </w:tc>
        <w:tc>
          <w:tcPr>
            <w:tcW w:w="7371" w:type="dxa"/>
          </w:tcPr>
          <w:p w14:paraId="0BB284E1" w14:textId="77777777" w:rsidR="00385A54" w:rsidRPr="00385A54" w:rsidRDefault="00385A54" w:rsidP="00385A54">
            <w:pPr>
              <w:overflowPunct w:val="0"/>
              <w:autoSpaceDE w:val="0"/>
              <w:autoSpaceDN w:val="0"/>
              <w:adjustRightInd w:val="0"/>
              <w:textAlignment w:val="baseline"/>
              <w:rPr>
                <w:i/>
              </w:rPr>
            </w:pPr>
            <w:r>
              <w:rPr>
                <w:i/>
              </w:rPr>
              <w:t>+32 2 546 97 95</w:t>
            </w:r>
          </w:p>
        </w:tc>
      </w:tr>
      <w:tr w:rsidR="00385A54" w:rsidRPr="00385A54" w14:paraId="0C327840" w14:textId="77777777" w:rsidTr="00A16D01">
        <w:tc>
          <w:tcPr>
            <w:tcW w:w="1951" w:type="dxa"/>
          </w:tcPr>
          <w:p w14:paraId="58938E92" w14:textId="77777777" w:rsidR="00385A54" w:rsidRPr="00385A54" w:rsidRDefault="00385A54" w:rsidP="00385A54">
            <w:pPr>
              <w:overflowPunct w:val="0"/>
              <w:autoSpaceDE w:val="0"/>
              <w:autoSpaceDN w:val="0"/>
              <w:adjustRightInd w:val="0"/>
              <w:textAlignment w:val="baseline"/>
              <w:rPr>
                <w:i/>
              </w:rPr>
            </w:pPr>
            <w:r>
              <w:rPr>
                <w:i/>
              </w:rPr>
              <w:t>Endereço eletrónico</w:t>
            </w:r>
          </w:p>
        </w:tc>
        <w:tc>
          <w:tcPr>
            <w:tcW w:w="7371" w:type="dxa"/>
          </w:tcPr>
          <w:p w14:paraId="2FD1518E" w14:textId="77777777" w:rsidR="00385A54" w:rsidRPr="00385A54" w:rsidRDefault="00075C8D" w:rsidP="00385A54">
            <w:pPr>
              <w:overflowPunct w:val="0"/>
              <w:autoSpaceDE w:val="0"/>
              <w:autoSpaceDN w:val="0"/>
              <w:adjustRightInd w:val="0"/>
              <w:textAlignment w:val="baseline"/>
              <w:rPr>
                <w:i/>
                <w:iCs/>
              </w:rPr>
            </w:pPr>
            <w:hyperlink r:id="rId25" w:history="1">
              <w:r w:rsidR="00507B0A">
                <w:rPr>
                  <w:i/>
                  <w:color w:val="0000FF"/>
                  <w:u w:val="single"/>
                </w:rPr>
                <w:t>Georgios.Meleas@eesc.europa.eu</w:t>
              </w:r>
            </w:hyperlink>
          </w:p>
        </w:tc>
      </w:tr>
    </w:tbl>
    <w:p w14:paraId="4982DD6F" w14:textId="77777777" w:rsidR="004D7AC0" w:rsidRPr="00385A54" w:rsidRDefault="004D7AC0" w:rsidP="00385A54">
      <w:pPr>
        <w:ind w:left="710"/>
        <w:rPr>
          <w:b/>
          <w:i/>
          <w:sz w:val="28"/>
          <w:szCs w:val="28"/>
        </w:rPr>
      </w:pPr>
    </w:p>
    <w:p w14:paraId="4982DD97" w14:textId="77777777" w:rsidR="004D7AC0" w:rsidRDefault="004D7AC0" w:rsidP="001766B2">
      <w:pPr>
        <w:pStyle w:val="ListParagraph"/>
        <w:ind w:left="0"/>
      </w:pPr>
    </w:p>
    <w:p w14:paraId="0C1E58E9" w14:textId="6BC63EA2" w:rsidR="004E4AF0" w:rsidRPr="004E4AF0" w:rsidRDefault="004D7AC0" w:rsidP="004E4AF0">
      <w:pPr>
        <w:pStyle w:val="ListParagraph"/>
        <w:widowControl w:val="0"/>
        <w:numPr>
          <w:ilvl w:val="0"/>
          <w:numId w:val="5"/>
        </w:numPr>
        <w:spacing w:after="120" w:line="276" w:lineRule="auto"/>
        <w:ind w:left="567" w:hanging="567"/>
        <w:rPr>
          <w:rFonts w:ascii="Calibri" w:hAnsi="Calibri"/>
        </w:rPr>
      </w:pPr>
      <w:r>
        <w:br w:type="page"/>
      </w:r>
      <w:hyperlink r:id="rId26" w:history="1">
        <w:r>
          <w:rPr>
            <w:b/>
            <w:i/>
            <w:color w:val="0000FF"/>
            <w:sz w:val="28"/>
            <w:u w:val="single"/>
          </w:rPr>
          <w:t>O ponto de vista da sociedade civil organizada nos Estados-Membros sobre as propostas nacionais de reformas e investimentos e a respetiva aplicação (ciclo do Semestre Europeu 2025-2026)</w:t>
        </w:r>
      </w:hyperlink>
    </w:p>
    <w:p w14:paraId="0345A9FB" w14:textId="77777777" w:rsidR="004E4AF0" w:rsidRPr="004E4AF0" w:rsidRDefault="004E4AF0" w:rsidP="004E4AF0">
      <w:pPr>
        <w:widowControl w:val="0"/>
        <w:spacing w:line="276" w:lineRule="auto"/>
        <w:ind w:left="357"/>
        <w:contextualSpacing/>
        <w:jc w:val="left"/>
        <w:rPr>
          <w:bCs/>
          <w:iCs/>
          <w:sz w:val="16"/>
          <w:szCs w:val="16"/>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4E4AF0" w:rsidRPr="004E4AF0" w14:paraId="1764F259" w14:textId="77777777" w:rsidTr="0033503A">
        <w:trPr>
          <w:trHeight w:val="923"/>
        </w:trPr>
        <w:tc>
          <w:tcPr>
            <w:tcW w:w="1018" w:type="pct"/>
          </w:tcPr>
          <w:p w14:paraId="2296B2AA"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Relatores</w:t>
            </w:r>
          </w:p>
        </w:tc>
        <w:tc>
          <w:tcPr>
            <w:tcW w:w="3982" w:type="pct"/>
          </w:tcPr>
          <w:p w14:paraId="0A50EB3F" w14:textId="77777777" w:rsidR="004E4AF0" w:rsidRPr="004E4AF0" w:rsidRDefault="004E4AF0" w:rsidP="004E4AF0">
            <w:pPr>
              <w:tabs>
                <w:tab w:val="center" w:pos="284"/>
                <w:tab w:val="left" w:pos="3731"/>
              </w:tabs>
              <w:overflowPunct w:val="0"/>
              <w:autoSpaceDE w:val="0"/>
              <w:autoSpaceDN w:val="0"/>
              <w:adjustRightInd w:val="0"/>
              <w:ind w:left="266" w:hanging="266"/>
              <w:textAlignment w:val="baseline"/>
              <w:rPr>
                <w:b/>
                <w:bCs/>
              </w:rPr>
            </w:pPr>
            <w:r>
              <w:t>Gonçalo Lobo Xavier (PT – Grupo dos Empregadores)</w:t>
            </w:r>
          </w:p>
          <w:p w14:paraId="5D5D7EF1" w14:textId="2F5DD06D" w:rsidR="004E4AF0" w:rsidRPr="004E4AF0" w:rsidRDefault="004E4AF0" w:rsidP="004E4AF0">
            <w:pPr>
              <w:tabs>
                <w:tab w:val="center" w:pos="284"/>
              </w:tabs>
              <w:overflowPunct w:val="0"/>
              <w:autoSpaceDE w:val="0"/>
              <w:autoSpaceDN w:val="0"/>
              <w:adjustRightInd w:val="0"/>
              <w:ind w:left="266" w:hanging="266"/>
              <w:textAlignment w:val="baseline"/>
              <w:rPr>
                <w:b/>
                <w:bCs/>
              </w:rPr>
            </w:pPr>
            <w:r>
              <w:t>Andrea Mone (IT – Grupo dos Trabalhadores)</w:t>
            </w:r>
          </w:p>
          <w:p w14:paraId="5F1572BA" w14:textId="77777777" w:rsidR="004E4AF0" w:rsidRDefault="004E4AF0" w:rsidP="004E4AF0">
            <w:pPr>
              <w:tabs>
                <w:tab w:val="center" w:pos="284"/>
              </w:tabs>
              <w:overflowPunct w:val="0"/>
              <w:autoSpaceDE w:val="0"/>
              <w:autoSpaceDN w:val="0"/>
              <w:adjustRightInd w:val="0"/>
              <w:ind w:left="266" w:hanging="266"/>
              <w:textAlignment w:val="baseline"/>
              <w:rPr>
                <w:bCs/>
              </w:rPr>
            </w:pPr>
            <w:r>
              <w:t>Luca Jahier (IT – Grupo das Organizações da Sociedade Civil)</w:t>
            </w:r>
          </w:p>
          <w:p w14:paraId="66DBC016" w14:textId="77777777" w:rsidR="00B71B98" w:rsidRPr="004E4AF0" w:rsidRDefault="00B71B98" w:rsidP="004E4AF0">
            <w:pPr>
              <w:tabs>
                <w:tab w:val="center" w:pos="284"/>
              </w:tabs>
              <w:overflowPunct w:val="0"/>
              <w:autoSpaceDE w:val="0"/>
              <w:autoSpaceDN w:val="0"/>
              <w:adjustRightInd w:val="0"/>
              <w:ind w:left="266" w:hanging="266"/>
              <w:textAlignment w:val="baseline"/>
            </w:pPr>
          </w:p>
        </w:tc>
      </w:tr>
      <w:tr w:rsidR="004E4AF0" w:rsidRPr="004E4AF0" w14:paraId="300B72A0" w14:textId="77777777" w:rsidTr="0033503A">
        <w:trPr>
          <w:trHeight w:val="304"/>
        </w:trPr>
        <w:tc>
          <w:tcPr>
            <w:tcW w:w="1018" w:type="pct"/>
          </w:tcPr>
          <w:p w14:paraId="16B1F875"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Referência</w:t>
            </w:r>
          </w:p>
        </w:tc>
        <w:tc>
          <w:tcPr>
            <w:tcW w:w="3982" w:type="pct"/>
          </w:tcPr>
          <w:p w14:paraId="349365A9" w14:textId="77777777" w:rsidR="00B45ECE" w:rsidRDefault="004E4AF0" w:rsidP="004E4AF0">
            <w:pPr>
              <w:tabs>
                <w:tab w:val="center" w:pos="284"/>
              </w:tabs>
              <w:overflowPunct w:val="0"/>
              <w:autoSpaceDE w:val="0"/>
              <w:autoSpaceDN w:val="0"/>
              <w:adjustRightInd w:val="0"/>
              <w:ind w:left="266" w:hanging="266"/>
              <w:textAlignment w:val="baseline"/>
            </w:pPr>
            <w:r>
              <w:t xml:space="preserve">Relatório de informação </w:t>
            </w:r>
          </w:p>
          <w:p w14:paraId="449555DA" w14:textId="435F2821" w:rsidR="004E4AF0" w:rsidRPr="004E4AF0" w:rsidRDefault="004E4AF0" w:rsidP="004E4AF0">
            <w:pPr>
              <w:tabs>
                <w:tab w:val="center" w:pos="284"/>
              </w:tabs>
              <w:overflowPunct w:val="0"/>
              <w:autoSpaceDE w:val="0"/>
              <w:autoSpaceDN w:val="0"/>
              <w:adjustRightInd w:val="0"/>
              <w:ind w:left="266" w:hanging="266"/>
              <w:textAlignment w:val="baseline"/>
            </w:pPr>
            <w:r>
              <w:t>EESC-2025-04323-00-00-RI</w:t>
            </w:r>
          </w:p>
        </w:tc>
      </w:tr>
    </w:tbl>
    <w:p w14:paraId="42392337" w14:textId="77777777" w:rsidR="004E4AF0" w:rsidRPr="004E4AF0" w:rsidRDefault="004E4AF0" w:rsidP="004E4AF0">
      <w:pPr>
        <w:keepNext/>
        <w:keepLines/>
        <w:tabs>
          <w:tab w:val="center" w:pos="284"/>
        </w:tabs>
        <w:overflowPunct w:val="0"/>
        <w:autoSpaceDE w:val="0"/>
        <w:autoSpaceDN w:val="0"/>
        <w:adjustRightInd w:val="0"/>
        <w:ind w:left="266" w:hanging="266"/>
        <w:textAlignment w:val="baseline"/>
        <w:rPr>
          <w:b/>
          <w:sz w:val="16"/>
          <w:szCs w:val="16"/>
          <w:lang w:val="it-IT"/>
        </w:rPr>
      </w:pPr>
    </w:p>
    <w:p w14:paraId="2508CC93" w14:textId="77777777" w:rsidR="004E4AF0" w:rsidRDefault="004E4AF0" w:rsidP="004E4AF0">
      <w:pPr>
        <w:keepNext/>
        <w:keepLines/>
        <w:tabs>
          <w:tab w:val="center" w:pos="284"/>
        </w:tabs>
        <w:overflowPunct w:val="0"/>
        <w:autoSpaceDE w:val="0"/>
        <w:autoSpaceDN w:val="0"/>
        <w:adjustRightInd w:val="0"/>
        <w:ind w:left="266" w:hanging="266"/>
        <w:textAlignment w:val="baseline"/>
        <w:rPr>
          <w:b/>
        </w:rPr>
      </w:pPr>
      <w:r>
        <w:rPr>
          <w:b/>
        </w:rPr>
        <w:t>Pontos principais</w:t>
      </w:r>
    </w:p>
    <w:p w14:paraId="70193197" w14:textId="77777777" w:rsidR="008577D0" w:rsidRPr="004E4AF0" w:rsidRDefault="008577D0" w:rsidP="004E4AF0">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Em todos os Estados-Membros, as recomendações específicas por país são amplamente aceites, sendo consideradas, de um modo geral, pertinentes e consentâneas com os principais desafios económicos e estruturais nacionais. No entanto, esta aceitação é sistematicamente acompanhada da comunicação de lacunas no que respeita à transformação destas recomendações em medidas estratégicas concretas pelos governos nacionais, bem como à participação dos parceiros sociais e da sociedade civil. Além disso, as partes interessadas assinalam frequentemente um desequilíbrio nas prioridades estratégicas: as dimensões sociais, incluindo as condições do mercado de trabalho, os salários e as desigualdades, são frequentemente consideradas sub-representadas nos vários quadros estratégicos. Considera-se que este desequilíbrio contribui para um défice democrático estrutural mais vasto no Semestre Europeu, o que pode comprometer tanto a legitimidade como a eficácia da coordenação das políticas da UE.</w:t>
      </w:r>
    </w:p>
    <w:p w14:paraId="66DD9109" w14:textId="3D11BDF0"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No que respeita à execução do Mecanismo de Recuperação e Resiliência, muitas partes interessadas encontram lacunas entre a conceção e a execução efetiva das políticas, sendo que a execução é descrita como desigual, parcial ou limitada por constrangimentos administrativos e institucionais.</w:t>
      </w:r>
    </w:p>
    <w:p w14:paraId="5D11EF9E" w14:textId="02D4F5C8" w:rsidR="004E4AF0" w:rsidRPr="004E4AF0" w:rsidRDefault="004E4AF0" w:rsidP="00AD2F07">
      <w:pPr>
        <w:widowControl w:val="0"/>
        <w:numPr>
          <w:ilvl w:val="0"/>
          <w:numId w:val="22"/>
        </w:numPr>
        <w:overflowPunct w:val="0"/>
        <w:autoSpaceDE w:val="0"/>
        <w:autoSpaceDN w:val="0"/>
        <w:adjustRightInd w:val="0"/>
        <w:ind w:left="284" w:hanging="284"/>
        <w:textAlignment w:val="baseline"/>
        <w:rPr>
          <w:sz w:val="21"/>
          <w:szCs w:val="21"/>
        </w:rPr>
      </w:pPr>
      <w:r>
        <w:rPr>
          <w:sz w:val="21"/>
        </w:rPr>
        <w:t>As partes interessadas salientam os recursos limitados, os pesados encargos administrativos e os processos fragmentados no que diz respeito ao acompanhamento da execução do plano orçamental</w:t>
      </w:r>
      <w:r w:rsidR="00A16D01">
        <w:rPr>
          <w:sz w:val="21"/>
        </w:rPr>
        <w:noBreakHyphen/>
      </w:r>
      <w:r>
        <w:rPr>
          <w:sz w:val="21"/>
        </w:rPr>
        <w:t>estrutural nacional de médio prazo e do relatório anual de progresso, o que afeta tanto a execução das reformas como a sua capacidade para acompanhar eficazmente os progressos realizados. Estas limitações são frequentemente agravadas pela falta de transparência e pela disponibilidade limitada de dados atempados e utilizáveis.</w:t>
      </w:r>
    </w:p>
    <w:p w14:paraId="14226914"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Embora existam mecanismos formais de consulta na maioria dos Estados-Membros, a participação dos parceiros sociais e das organizações da sociedade civil no Semestre Europeu e nos instrumentos conexos da UE é considerada, largamente, como insuficiente em termos de substância, ocorrendo frequentemente numa fase demasiado tardia do processo ou tendo uma influência limitada nas decisões estratégicas finais. Tal resulta na perceção de que a participação é, em grande medida, processual, não tendo grande impacto.</w:t>
      </w:r>
    </w:p>
    <w:p w14:paraId="0725CE3B"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Embora o alinhamento mais estreito entre os instrumentos da UE, em especial o Semestre Europeu e o próximo Quadro Financeiro Plurianual, e as políticas nacionais seja reconhecido como uma forma eventual de melhorar a coerência e a eficácia, as partes interessadas de vários Estados-Membros manifestam preocupação quanto às suas implicações. Incluem-se aqui potenciais impactos na autonomia nacional, riscos para o controlo democrático e possíveis desequilíbrios nos processos de decisão, em especial se a governação se tornar mais centralizada ou se a condicionalidade aumentar.</w:t>
      </w:r>
    </w:p>
    <w:p w14:paraId="33188707" w14:textId="77777777" w:rsidR="00B71B98" w:rsidRPr="004E4AF0" w:rsidRDefault="00B71B98" w:rsidP="004E4AF0">
      <w:pPr>
        <w:widowControl w:val="0"/>
        <w:overflowPunct w:val="0"/>
        <w:autoSpaceDE w:val="0"/>
        <w:autoSpaceDN w:val="0"/>
        <w:adjustRightInd w:val="0"/>
        <w:ind w:left="567"/>
        <w:textAlignment w:val="baseline"/>
        <w:rPr>
          <w:bCs/>
          <w:iCs/>
          <w:sz w:val="16"/>
          <w:szCs w:val="16"/>
          <w:lang w:val="en-GB"/>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4E4AF0" w14:paraId="0CFC0AF5" w14:textId="77777777" w:rsidTr="0033503A">
        <w:tc>
          <w:tcPr>
            <w:tcW w:w="1107" w:type="pct"/>
          </w:tcPr>
          <w:p w14:paraId="5AA5AEF0" w14:textId="77777777" w:rsidR="004E4AF0" w:rsidRPr="004E4AF0" w:rsidRDefault="004E4AF0" w:rsidP="004E4AF0">
            <w:pPr>
              <w:overflowPunct w:val="0"/>
              <w:autoSpaceDE w:val="0"/>
              <w:autoSpaceDN w:val="0"/>
              <w:adjustRightInd w:val="0"/>
              <w:spacing w:line="240" w:lineRule="auto"/>
              <w:textAlignment w:val="baseline"/>
              <w:rPr>
                <w:i/>
              </w:rPr>
            </w:pPr>
            <w:r>
              <w:rPr>
                <w:b/>
                <w:i/>
              </w:rPr>
              <w:t>Contacto</w:t>
            </w:r>
          </w:p>
        </w:tc>
        <w:tc>
          <w:tcPr>
            <w:tcW w:w="3893" w:type="pct"/>
          </w:tcPr>
          <w:p w14:paraId="21351890" w14:textId="585E60C8" w:rsidR="004E4AF0" w:rsidRPr="004E4AF0" w:rsidRDefault="004E4AF0" w:rsidP="004E4AF0">
            <w:pPr>
              <w:overflowPunct w:val="0"/>
              <w:autoSpaceDE w:val="0"/>
              <w:autoSpaceDN w:val="0"/>
              <w:adjustRightInd w:val="0"/>
              <w:spacing w:line="240" w:lineRule="auto"/>
              <w:textAlignment w:val="baseline"/>
              <w:rPr>
                <w:i/>
              </w:rPr>
            </w:pPr>
            <w:r>
              <w:rPr>
                <w:i/>
              </w:rPr>
              <w:t>Colombe Gregoire</w:t>
            </w:r>
          </w:p>
        </w:tc>
      </w:tr>
      <w:tr w:rsidR="004E4AF0" w:rsidRPr="004E4AF0" w14:paraId="2DD7B8C2" w14:textId="77777777" w:rsidTr="0033503A">
        <w:tc>
          <w:tcPr>
            <w:tcW w:w="1107" w:type="pct"/>
          </w:tcPr>
          <w:p w14:paraId="3C3D06C9" w14:textId="77777777" w:rsidR="004E4AF0" w:rsidRPr="004E4AF0" w:rsidRDefault="004E4AF0" w:rsidP="004E4AF0">
            <w:pPr>
              <w:overflowPunct w:val="0"/>
              <w:autoSpaceDE w:val="0"/>
              <w:autoSpaceDN w:val="0"/>
              <w:adjustRightInd w:val="0"/>
              <w:spacing w:line="240" w:lineRule="auto"/>
              <w:textAlignment w:val="baseline"/>
              <w:rPr>
                <w:i/>
              </w:rPr>
            </w:pPr>
            <w:r>
              <w:rPr>
                <w:i/>
              </w:rPr>
              <w:t>Tel.</w:t>
            </w:r>
          </w:p>
        </w:tc>
        <w:tc>
          <w:tcPr>
            <w:tcW w:w="3893" w:type="pct"/>
          </w:tcPr>
          <w:p w14:paraId="0C3A2630" w14:textId="77777777" w:rsidR="004E4AF0" w:rsidRPr="004E4AF0" w:rsidRDefault="004E4AF0" w:rsidP="004E4AF0">
            <w:pPr>
              <w:overflowPunct w:val="0"/>
              <w:autoSpaceDE w:val="0"/>
              <w:autoSpaceDN w:val="0"/>
              <w:adjustRightInd w:val="0"/>
              <w:spacing w:line="240" w:lineRule="auto"/>
              <w:textAlignment w:val="baseline"/>
              <w:rPr>
                <w:i/>
              </w:rPr>
            </w:pPr>
            <w:r>
              <w:rPr>
                <w:i/>
              </w:rPr>
              <w:t>+32 2 546 92 86</w:t>
            </w:r>
          </w:p>
        </w:tc>
      </w:tr>
      <w:tr w:rsidR="004E4AF0" w:rsidRPr="004E4AF0" w14:paraId="2F48F9FD" w14:textId="77777777" w:rsidTr="0033503A">
        <w:trPr>
          <w:trHeight w:val="243"/>
        </w:trPr>
        <w:tc>
          <w:tcPr>
            <w:tcW w:w="1107" w:type="pct"/>
          </w:tcPr>
          <w:p w14:paraId="47D7C298" w14:textId="77777777" w:rsidR="004E4AF0" w:rsidRPr="004E4AF0" w:rsidRDefault="004E4AF0" w:rsidP="004E4AF0">
            <w:pPr>
              <w:overflowPunct w:val="0"/>
              <w:autoSpaceDE w:val="0"/>
              <w:autoSpaceDN w:val="0"/>
              <w:adjustRightInd w:val="0"/>
              <w:spacing w:line="240" w:lineRule="auto"/>
              <w:textAlignment w:val="baseline"/>
              <w:rPr>
                <w:i/>
              </w:rPr>
            </w:pPr>
            <w:r>
              <w:rPr>
                <w:i/>
              </w:rPr>
              <w:t>Endereço eletrónico</w:t>
            </w:r>
          </w:p>
        </w:tc>
        <w:tc>
          <w:tcPr>
            <w:tcW w:w="3893" w:type="pct"/>
          </w:tcPr>
          <w:p w14:paraId="3B510C13" w14:textId="77777777" w:rsidR="004E4AF0" w:rsidRPr="004E4AF0" w:rsidRDefault="00075C8D" w:rsidP="004E4AF0">
            <w:pPr>
              <w:overflowPunct w:val="0"/>
              <w:autoSpaceDE w:val="0"/>
              <w:autoSpaceDN w:val="0"/>
              <w:adjustRightInd w:val="0"/>
              <w:spacing w:line="240" w:lineRule="auto"/>
              <w:textAlignment w:val="baseline"/>
              <w:rPr>
                <w:i/>
                <w:iCs/>
              </w:rPr>
            </w:pPr>
            <w:hyperlink r:id="rId27" w:history="1">
              <w:r w:rsidR="00507B0A">
                <w:rPr>
                  <w:i/>
                  <w:color w:val="0000FF"/>
                  <w:u w:val="single"/>
                </w:rPr>
                <w:t>Colombe.Gregoire@eesc.europa.eu</w:t>
              </w:r>
            </w:hyperlink>
          </w:p>
        </w:tc>
      </w:tr>
    </w:tbl>
    <w:p w14:paraId="3238EE4E" w14:textId="4A2945FF" w:rsidR="00CB23D5" w:rsidRPr="00CB23D5" w:rsidRDefault="00075C8D" w:rsidP="00CB23D5">
      <w:pPr>
        <w:widowControl w:val="0"/>
        <w:numPr>
          <w:ilvl w:val="0"/>
          <w:numId w:val="4"/>
        </w:numPr>
        <w:overflowPunct w:val="0"/>
        <w:autoSpaceDE w:val="0"/>
        <w:autoSpaceDN w:val="0"/>
        <w:adjustRightInd w:val="0"/>
        <w:spacing w:after="120"/>
        <w:ind w:hanging="567"/>
        <w:textAlignment w:val="baseline"/>
        <w:rPr>
          <w:b/>
          <w:i/>
          <w:iCs/>
          <w:sz w:val="28"/>
          <w:szCs w:val="28"/>
        </w:rPr>
      </w:pPr>
      <w:hyperlink r:id="rId28" w:history="1">
        <w:r w:rsidR="00507B0A">
          <w:rPr>
            <w:b/>
            <w:i/>
            <w:color w:val="0000FF"/>
            <w:sz w:val="28"/>
            <w:u w:val="single"/>
          </w:rPr>
          <w:t>Quadro de acompanhamento das despesas orçamentais e de desempenho da UE</w:t>
        </w:r>
      </w:hyperlink>
    </w:p>
    <w:p w14:paraId="4D1B03B2" w14:textId="77777777" w:rsidR="00CB23D5" w:rsidRPr="00CB23D5" w:rsidRDefault="00CB23D5" w:rsidP="00CB23D5">
      <w:pPr>
        <w:widowControl w:val="0"/>
        <w:overflowPunct w:val="0"/>
        <w:autoSpaceDE w:val="0"/>
        <w:autoSpaceDN w:val="0"/>
        <w:adjustRightInd w:val="0"/>
        <w:ind w:left="284"/>
        <w:textAlignment w:val="baseline"/>
        <w:rPr>
          <w:b/>
          <w:i/>
          <w:iCs/>
          <w:sz w:val="20"/>
          <w:szCs w:val="20"/>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CB23D5" w:rsidRPr="00CB23D5" w14:paraId="69D87344" w14:textId="77777777" w:rsidTr="0033503A">
        <w:tc>
          <w:tcPr>
            <w:tcW w:w="1701" w:type="dxa"/>
          </w:tcPr>
          <w:p w14:paraId="2069A9F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Relator</w:t>
            </w:r>
          </w:p>
          <w:p w14:paraId="10A95A1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Correlatora</w:t>
            </w:r>
          </w:p>
        </w:tc>
        <w:tc>
          <w:tcPr>
            <w:tcW w:w="7479" w:type="dxa"/>
          </w:tcPr>
          <w:p w14:paraId="4BF11E02" w14:textId="2C6F34CF" w:rsidR="00CB23D5" w:rsidRPr="00CB23D5" w:rsidRDefault="00CB23D5" w:rsidP="00CB23D5">
            <w:pPr>
              <w:tabs>
                <w:tab w:val="center" w:pos="284"/>
              </w:tabs>
              <w:overflowPunct w:val="0"/>
              <w:autoSpaceDE w:val="0"/>
              <w:autoSpaceDN w:val="0"/>
              <w:adjustRightInd w:val="0"/>
              <w:ind w:left="266" w:hanging="266"/>
              <w:textAlignment w:val="baseline"/>
            </w:pPr>
            <w:r>
              <w:t>Konstantinos Diamantouros (EL – Grupo dos Empregadores)</w:t>
            </w:r>
          </w:p>
          <w:p w14:paraId="5D49071E" w14:textId="4149B5A0" w:rsidR="00CB23D5" w:rsidRDefault="00CB23D5" w:rsidP="00CB23D5">
            <w:pPr>
              <w:tabs>
                <w:tab w:val="center" w:pos="284"/>
              </w:tabs>
              <w:overflowPunct w:val="0"/>
              <w:autoSpaceDE w:val="0"/>
              <w:autoSpaceDN w:val="0"/>
              <w:adjustRightInd w:val="0"/>
              <w:ind w:left="266" w:hanging="266"/>
              <w:textAlignment w:val="baseline"/>
            </w:pPr>
            <w:r>
              <w:t>Dominika Biegon (DE – Grupo dos Trabalhadores)</w:t>
            </w:r>
          </w:p>
          <w:p w14:paraId="7C1918C7" w14:textId="24D3EEE4" w:rsidR="00E00C33" w:rsidRPr="00CB23D5" w:rsidRDefault="00E00C33" w:rsidP="00CB23D5">
            <w:pPr>
              <w:tabs>
                <w:tab w:val="center" w:pos="284"/>
              </w:tabs>
              <w:overflowPunct w:val="0"/>
              <w:autoSpaceDE w:val="0"/>
              <w:autoSpaceDN w:val="0"/>
              <w:adjustRightInd w:val="0"/>
              <w:ind w:left="266" w:hanging="266"/>
              <w:textAlignment w:val="baseline"/>
            </w:pPr>
          </w:p>
        </w:tc>
      </w:tr>
      <w:tr w:rsidR="00CB23D5" w:rsidRPr="00CB23D5" w14:paraId="1DBDFD33" w14:textId="77777777" w:rsidTr="0033503A">
        <w:tc>
          <w:tcPr>
            <w:tcW w:w="1701" w:type="dxa"/>
          </w:tcPr>
          <w:p w14:paraId="2FCAE3FA"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Referências</w:t>
            </w:r>
          </w:p>
        </w:tc>
        <w:tc>
          <w:tcPr>
            <w:tcW w:w="7479" w:type="dxa"/>
          </w:tcPr>
          <w:p w14:paraId="1598B35B" w14:textId="77777777" w:rsidR="00CB23D5" w:rsidRPr="00CB23D5" w:rsidRDefault="00CB23D5" w:rsidP="00CB23D5">
            <w:pPr>
              <w:tabs>
                <w:tab w:val="center" w:pos="284"/>
              </w:tabs>
              <w:overflowPunct w:val="0"/>
              <w:autoSpaceDE w:val="0"/>
              <w:autoSpaceDN w:val="0"/>
              <w:adjustRightInd w:val="0"/>
              <w:ind w:left="266" w:hanging="266"/>
              <w:textAlignment w:val="baseline"/>
            </w:pPr>
            <w:r>
              <w:t>COM(2025) 545 final</w:t>
            </w:r>
          </w:p>
          <w:p w14:paraId="1E25731E" w14:textId="77777777" w:rsidR="00CB23D5" w:rsidRPr="00CB23D5" w:rsidRDefault="00CB23D5" w:rsidP="00CB23D5">
            <w:pPr>
              <w:tabs>
                <w:tab w:val="center" w:pos="284"/>
              </w:tabs>
              <w:overflowPunct w:val="0"/>
              <w:autoSpaceDE w:val="0"/>
              <w:autoSpaceDN w:val="0"/>
              <w:adjustRightInd w:val="0"/>
              <w:ind w:left="266" w:hanging="266"/>
              <w:textAlignment w:val="baseline"/>
            </w:pPr>
            <w:r>
              <w:t>EESC-2026-00577-00-00-AC</w:t>
            </w:r>
          </w:p>
        </w:tc>
      </w:tr>
    </w:tbl>
    <w:p w14:paraId="1CA742F4"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rPr>
      </w:pPr>
      <w:r>
        <w:rPr>
          <w:b/>
        </w:rPr>
        <w:t>Pontos principais</w:t>
      </w:r>
    </w:p>
    <w:p w14:paraId="57C051AC"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lang w:val="en-GB"/>
        </w:rPr>
      </w:pPr>
    </w:p>
    <w:p w14:paraId="080A14D2" w14:textId="54B1C3CD" w:rsidR="00CB23D5" w:rsidRDefault="00CB23D5" w:rsidP="00CB23D5">
      <w:pPr>
        <w:overflowPunct w:val="0"/>
        <w:autoSpaceDE w:val="0"/>
        <w:autoSpaceDN w:val="0"/>
        <w:adjustRightInd w:val="0"/>
        <w:spacing w:line="240" w:lineRule="auto"/>
        <w:textAlignment w:val="baseline"/>
      </w:pPr>
      <w:r>
        <w:t>O Comité Económico e Social Europeu:</w:t>
      </w:r>
    </w:p>
    <w:p w14:paraId="42B17CCB" w14:textId="77777777" w:rsidR="00A16D01" w:rsidRDefault="00A16D01" w:rsidP="00CB23D5">
      <w:pPr>
        <w:overflowPunct w:val="0"/>
        <w:autoSpaceDE w:val="0"/>
        <w:autoSpaceDN w:val="0"/>
        <w:adjustRightInd w:val="0"/>
        <w:spacing w:line="240" w:lineRule="auto"/>
        <w:textAlignment w:val="baseline"/>
        <w:rPr>
          <w:bCs/>
          <w:iCs/>
        </w:rPr>
      </w:pPr>
    </w:p>
    <w:p w14:paraId="05CD6DE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16" w:name="_Toc232773766"/>
      <w:bookmarkStart w:id="17" w:name="_Toc232774246"/>
      <w:r>
        <w:rPr>
          <w:b/>
        </w:rPr>
        <w:t>apoia</w:t>
      </w:r>
      <w:r>
        <w:t xml:space="preserve"> a iniciativa de estabelecer um conjunto unificado e coerente de indicadores de realizações e de resultados em todo o Quadro Financeiro Plurianual (QFP), de harmonizar a aplicação dos princípios horizontais, de introduzir um relatório anual único sobre a gestão e a execução e de criar um portal único para todas as informações relacionadas com o QFP;</w:t>
      </w:r>
      <w:bookmarkEnd w:id="16"/>
      <w:bookmarkEnd w:id="17"/>
    </w:p>
    <w:p w14:paraId="34FDA71C"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18" w:name="_Toc232773767"/>
      <w:bookmarkStart w:id="19" w:name="_Toc232774247"/>
      <w:r>
        <w:rPr>
          <w:b/>
        </w:rPr>
        <w:t>salienta que</w:t>
      </w:r>
      <w:r>
        <w:t xml:space="preserve"> o Regulamento Desempenho define implicitamente o âmbito de aplicação dos programas elegíveis numa base </w:t>
      </w:r>
      <w:r>
        <w:rPr>
          <w:i/>
        </w:rPr>
        <w:t>ex ante</w:t>
      </w:r>
      <w:r>
        <w:t>, estando o desembolso dos fundos da UE associado ao cumprimento dos marcos e das metas a definir através de indicadores de realizações e de resultados. Tal torna o quadro altamente político;</w:t>
      </w:r>
      <w:bookmarkEnd w:id="18"/>
      <w:bookmarkEnd w:id="19"/>
      <w:r>
        <w:t xml:space="preserve"> </w:t>
      </w:r>
    </w:p>
    <w:p w14:paraId="0200AA8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0" w:name="_Toc232773768"/>
      <w:bookmarkStart w:id="21" w:name="_Toc232774248"/>
      <w:r>
        <w:rPr>
          <w:b/>
        </w:rPr>
        <w:t>salienta</w:t>
      </w:r>
      <w:r>
        <w:t xml:space="preserve"> que, nos casos em que os pagamentos dependem de marcos e metas, os resultados são muitas vezes difíceis de medir em tempo útil, em especial no que diz respeito às intervenções sociais. </w:t>
      </w:r>
      <w:r>
        <w:rPr>
          <w:b/>
        </w:rPr>
        <w:t>propõe</w:t>
      </w:r>
      <w:r>
        <w:t xml:space="preserve"> que seja introduzida uma opção de autoexclusão no quadro de desempenho: os poderes públicos devem poder aplicar um financiamento baseado nos custos na execução dos PPNR em caso de dificuldades objetivas na recolha e medição dos dados, ou complementar a comunicação de informações quantitativas com indicadores qualitativos;</w:t>
      </w:r>
      <w:bookmarkEnd w:id="20"/>
      <w:bookmarkEnd w:id="21"/>
    </w:p>
    <w:p w14:paraId="6E99B55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2" w:name="_Toc232773769"/>
      <w:bookmarkStart w:id="23" w:name="_Toc232774249"/>
      <w:r>
        <w:rPr>
          <w:b/>
        </w:rPr>
        <w:t>apela</w:t>
      </w:r>
      <w:r>
        <w:t xml:space="preserve"> para que sejam envidados esforços para promover a visibilidade das despesas em prol da biodiversidade no âmbito da meta ambiental mais vasta;</w:t>
      </w:r>
      <w:bookmarkEnd w:id="22"/>
      <w:bookmarkEnd w:id="23"/>
    </w:p>
    <w:p w14:paraId="19CF617E"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4" w:name="_Toc232773770"/>
      <w:bookmarkStart w:id="25" w:name="_Toc232774250"/>
      <w:r>
        <w:rPr>
          <w:b/>
        </w:rPr>
        <w:t>recomenda</w:t>
      </w:r>
      <w:r>
        <w:t xml:space="preserve"> que se assegure uma aplicação transparente, previsível e proporcionada do princípio de «não prejudicar significativamente» em todo o orçamento da UE. Este princípio deve ser aplicado de forma coerente em todos os programas e ser apoiado por uma definição clara do que constitui «prejudicar significativamente». A sua aplicação deve ser proporcional aos riscos reais que uma iniciativa representa para os objetivos protegidos pelo princípio de «não prejudicar significativamente». Esta proporcionalidade deve evitar penalizar indevidamente as atividades que, quando realizadas na UE, já são significativamente mais respeitadoras do clima e do ambiente do que atividades comparáveis noutros locais, reduzindo assim o risco de deslocalização dos investimentos para jurisdições com normas menos rigorosas. Além disso, a aplicação do princípio de «não prejudicar significativamente» deve ter em conta a dimensão e a capacidade dos beneficiários, reconhecendo que as entidades de menor dimensão podem enfrentar maiores desafios no cumprimento dos requisitos de comunicação de informações. Por último, o CESE considera que a isenção do setor da defesa do princípio de «não prejudicar significativamente» deve ser direcionada e não deve permitir uma isenção generalizada das atividades sob o pretexto da dupla utilização;</w:t>
      </w:r>
      <w:bookmarkEnd w:id="24"/>
      <w:bookmarkEnd w:id="25"/>
    </w:p>
    <w:p w14:paraId="43DBEBE0"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6" w:name="_Toc232773771"/>
      <w:bookmarkStart w:id="27" w:name="_Toc232774251"/>
      <w:r>
        <w:rPr>
          <w:b/>
        </w:rPr>
        <w:t xml:space="preserve">insta a que </w:t>
      </w:r>
      <w:r>
        <w:t>o financiamento contabilizado no âmbito da quota de investimento social se mantenha centrado nos objetivos fundamentais do Fundo Social Europeu (FSE);</w:t>
      </w:r>
      <w:bookmarkEnd w:id="26"/>
      <w:bookmarkEnd w:id="27"/>
    </w:p>
    <w:p w14:paraId="66F4C6B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8" w:name="_Toc232773772"/>
      <w:bookmarkStart w:id="29" w:name="_Toc232774252"/>
      <w:r>
        <w:rPr>
          <w:b/>
        </w:rPr>
        <w:lastRenderedPageBreak/>
        <w:t>considera</w:t>
      </w:r>
      <w:r>
        <w:t xml:space="preserve"> que o artigo 6.º do Regulamento Desempenho deve ser reforçado para assegurar que, sempre que possível, adequado e em conformidade com as regras setoriais, os programas e atividades financiados pela UE contribuam para a criação e manutenção de empregos de qualidade através de condicionalidades sociais proporcionadas e </w:t>
      </w:r>
      <w:r>
        <w:rPr>
          <w:b/>
        </w:rPr>
        <w:t>recomenda</w:t>
      </w:r>
      <w:r>
        <w:t xml:space="preserve"> a elaboração de relatórios anuais sobre a qualidade do emprego.</w:t>
      </w:r>
      <w:bookmarkEnd w:id="28"/>
      <w:bookmarkEnd w:id="29"/>
    </w:p>
    <w:p w14:paraId="577757B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0" w:name="_Toc232773773"/>
      <w:bookmarkStart w:id="31" w:name="_Toc232774253"/>
      <w:r>
        <w:rPr>
          <w:b/>
        </w:rPr>
        <w:t>recomenda</w:t>
      </w:r>
      <w:r>
        <w:t xml:space="preserve"> a identificação de indicadores quantitativos e qualitativos para medir a participação da sociedade civil organizada e dos parceiros sociais, desde a fase de conceção até à fase de execução, tornando o princípio da parceria no contexto do PPNR mais eficaz, significativo, exequível e mensurável.</w:t>
      </w:r>
      <w:bookmarkEnd w:id="30"/>
      <w:bookmarkEnd w:id="31"/>
    </w:p>
    <w:p w14:paraId="186D7C33"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2" w:name="_Toc232773774"/>
      <w:bookmarkStart w:id="33" w:name="_Toc232774254"/>
      <w:r>
        <w:rPr>
          <w:b/>
        </w:rPr>
        <w:t>destaca</w:t>
      </w:r>
      <w:r>
        <w:t xml:space="preserve"> que se espera que as organizações da sociedade civil e os parceiros sociais utilizem os indicadores do Regulamento Desempenho para traduzir as políticas em estratégias locais. Por conseguinte, o CESE recomenda aos colegisladores que aumentem a assistência técnica;</w:t>
      </w:r>
      <w:bookmarkEnd w:id="32"/>
      <w:bookmarkEnd w:id="33"/>
    </w:p>
    <w:p w14:paraId="3B426D2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4" w:name="_Toc232773775"/>
      <w:bookmarkStart w:id="35" w:name="_Toc232774255"/>
      <w:r>
        <w:rPr>
          <w:b/>
        </w:rPr>
        <w:t>é favorável</w:t>
      </w:r>
      <w:r>
        <w:t xml:space="preserve"> à integração da perspetiva de género no quadro de desempenho enquanto princípio horizontal;</w:t>
      </w:r>
      <w:bookmarkEnd w:id="34"/>
      <w:bookmarkEnd w:id="35"/>
    </w:p>
    <w:p w14:paraId="7E61FC4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6" w:name="_Toc232773776"/>
      <w:bookmarkStart w:id="37" w:name="_Toc232774256"/>
      <w:r>
        <w:rPr>
          <w:b/>
          <w:bCs/>
        </w:rPr>
        <w:t>propõe</w:t>
      </w:r>
      <w:r>
        <w:t xml:space="preserve"> algumas alterações ao anexo I da proposta da Comissão («Áreas de intervenção e indicadores»), a consultar no anexo do presente parecer.</w:t>
      </w:r>
      <w:bookmarkEnd w:id="36"/>
      <w:bookmarkEnd w:id="37"/>
    </w:p>
    <w:p w14:paraId="10174553" w14:textId="77777777" w:rsidR="00CB23D5" w:rsidRPr="00CB23D5" w:rsidRDefault="00CB23D5" w:rsidP="00CB23D5">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71"/>
      </w:tblGrid>
      <w:tr w:rsidR="00CB23D5" w:rsidRPr="00CB23D5" w14:paraId="23F39269" w14:textId="77777777" w:rsidTr="00A16D01">
        <w:tc>
          <w:tcPr>
            <w:tcW w:w="1951" w:type="dxa"/>
          </w:tcPr>
          <w:p w14:paraId="67CB306E" w14:textId="77777777" w:rsidR="00CB23D5" w:rsidRPr="00CB23D5" w:rsidRDefault="00CB23D5" w:rsidP="00CB23D5">
            <w:pPr>
              <w:overflowPunct w:val="0"/>
              <w:autoSpaceDE w:val="0"/>
              <w:autoSpaceDN w:val="0"/>
              <w:adjustRightInd w:val="0"/>
              <w:spacing w:line="240" w:lineRule="auto"/>
              <w:textAlignment w:val="baseline"/>
              <w:rPr>
                <w:i/>
              </w:rPr>
            </w:pPr>
            <w:r>
              <w:rPr>
                <w:b/>
                <w:i/>
              </w:rPr>
              <w:t>Contacto</w:t>
            </w:r>
          </w:p>
        </w:tc>
        <w:tc>
          <w:tcPr>
            <w:tcW w:w="7371" w:type="dxa"/>
          </w:tcPr>
          <w:p w14:paraId="790DDD66" w14:textId="63001052" w:rsidR="00CB23D5" w:rsidRPr="00CB23D5" w:rsidRDefault="00CB23D5" w:rsidP="00CB23D5">
            <w:pPr>
              <w:overflowPunct w:val="0"/>
              <w:autoSpaceDE w:val="0"/>
              <w:autoSpaceDN w:val="0"/>
              <w:adjustRightInd w:val="0"/>
              <w:spacing w:line="240" w:lineRule="auto"/>
              <w:textAlignment w:val="baseline"/>
              <w:rPr>
                <w:i/>
              </w:rPr>
            </w:pPr>
            <w:r>
              <w:rPr>
                <w:i/>
              </w:rPr>
              <w:t>Gerald Klec</w:t>
            </w:r>
          </w:p>
        </w:tc>
      </w:tr>
      <w:tr w:rsidR="00CB23D5" w:rsidRPr="00CB23D5" w14:paraId="6D77B12F" w14:textId="77777777" w:rsidTr="00A16D01">
        <w:tc>
          <w:tcPr>
            <w:tcW w:w="1951" w:type="dxa"/>
          </w:tcPr>
          <w:p w14:paraId="52447F77" w14:textId="77777777" w:rsidR="00CB23D5" w:rsidRPr="00CB23D5" w:rsidRDefault="00CB23D5" w:rsidP="00CB23D5">
            <w:pPr>
              <w:overflowPunct w:val="0"/>
              <w:autoSpaceDE w:val="0"/>
              <w:autoSpaceDN w:val="0"/>
              <w:adjustRightInd w:val="0"/>
              <w:spacing w:line="240" w:lineRule="auto"/>
              <w:textAlignment w:val="baseline"/>
              <w:rPr>
                <w:i/>
              </w:rPr>
            </w:pPr>
            <w:r>
              <w:rPr>
                <w:i/>
              </w:rPr>
              <w:t>Tel.</w:t>
            </w:r>
          </w:p>
        </w:tc>
        <w:tc>
          <w:tcPr>
            <w:tcW w:w="7371" w:type="dxa"/>
          </w:tcPr>
          <w:p w14:paraId="28DAD059" w14:textId="77777777" w:rsidR="00CB23D5" w:rsidRPr="00CB23D5" w:rsidRDefault="00CB23D5" w:rsidP="00CB23D5">
            <w:pPr>
              <w:overflowPunct w:val="0"/>
              <w:autoSpaceDE w:val="0"/>
              <w:autoSpaceDN w:val="0"/>
              <w:adjustRightInd w:val="0"/>
              <w:spacing w:line="240" w:lineRule="auto"/>
              <w:textAlignment w:val="baseline"/>
              <w:rPr>
                <w:i/>
              </w:rPr>
            </w:pPr>
            <w:r>
              <w:rPr>
                <w:i/>
              </w:rPr>
              <w:t>+32 2 546 99 09</w:t>
            </w:r>
          </w:p>
        </w:tc>
      </w:tr>
      <w:tr w:rsidR="00CB23D5" w:rsidRPr="00CB23D5" w14:paraId="685173A5" w14:textId="77777777" w:rsidTr="00A16D01">
        <w:tc>
          <w:tcPr>
            <w:tcW w:w="1951" w:type="dxa"/>
          </w:tcPr>
          <w:p w14:paraId="23D54386" w14:textId="77777777" w:rsidR="00CB23D5" w:rsidRPr="00CB23D5" w:rsidRDefault="00CB23D5" w:rsidP="00CB23D5">
            <w:pPr>
              <w:overflowPunct w:val="0"/>
              <w:autoSpaceDE w:val="0"/>
              <w:autoSpaceDN w:val="0"/>
              <w:adjustRightInd w:val="0"/>
              <w:spacing w:line="240" w:lineRule="auto"/>
              <w:textAlignment w:val="baseline"/>
              <w:rPr>
                <w:i/>
              </w:rPr>
            </w:pPr>
            <w:r>
              <w:rPr>
                <w:i/>
              </w:rPr>
              <w:t>Endereço eletrónico</w:t>
            </w:r>
          </w:p>
        </w:tc>
        <w:tc>
          <w:tcPr>
            <w:tcW w:w="7371" w:type="dxa"/>
          </w:tcPr>
          <w:p w14:paraId="478C3170" w14:textId="77777777" w:rsidR="00CB23D5" w:rsidRPr="00CB23D5" w:rsidRDefault="00075C8D" w:rsidP="00CB23D5">
            <w:pPr>
              <w:overflowPunct w:val="0"/>
              <w:autoSpaceDE w:val="0"/>
              <w:autoSpaceDN w:val="0"/>
              <w:adjustRightInd w:val="0"/>
              <w:spacing w:line="240" w:lineRule="auto"/>
              <w:textAlignment w:val="baseline"/>
              <w:rPr>
                <w:i/>
                <w:iCs/>
              </w:rPr>
            </w:pPr>
            <w:hyperlink r:id="rId29" w:history="1">
              <w:r w:rsidR="00507B0A">
                <w:rPr>
                  <w:i/>
                  <w:color w:val="0000FF"/>
                  <w:u w:val="single"/>
                </w:rPr>
                <w:t>Gerald.Klec@eesc.europa.eu</w:t>
              </w:r>
            </w:hyperlink>
          </w:p>
        </w:tc>
      </w:tr>
    </w:tbl>
    <w:p w14:paraId="4982DD98" w14:textId="18A27795" w:rsidR="009B300F" w:rsidRDefault="009B300F">
      <w:pPr>
        <w:spacing w:after="160" w:line="259" w:lineRule="auto"/>
        <w:jc w:val="left"/>
      </w:pPr>
      <w:r>
        <w:br w:type="page"/>
      </w:r>
    </w:p>
    <w:p w14:paraId="3FB03953" w14:textId="77777777" w:rsidR="00385A54" w:rsidRDefault="00385A54">
      <w:pPr>
        <w:spacing w:after="160" w:line="259" w:lineRule="auto"/>
        <w:jc w:val="left"/>
      </w:pPr>
    </w:p>
    <w:p w14:paraId="4982DD99" w14:textId="77777777" w:rsidR="004D7AC0" w:rsidRDefault="004D7AC0" w:rsidP="001766B2">
      <w:pPr>
        <w:pStyle w:val="Heading1"/>
        <w:rPr>
          <w:b/>
        </w:rPr>
      </w:pPr>
      <w:bookmarkStart w:id="38" w:name="_Toc75527081"/>
      <w:bookmarkStart w:id="39" w:name="_Toc232774257"/>
      <w:r>
        <w:rPr>
          <w:b/>
        </w:rPr>
        <w:t>EMPREGO, ASSUNTOS SOCIAIS E CIDADANIA</w:t>
      </w:r>
      <w:bookmarkEnd w:id="38"/>
      <w:bookmarkEnd w:id="39"/>
    </w:p>
    <w:p w14:paraId="4982DD9A" w14:textId="77777777" w:rsidR="004D7AC0" w:rsidRDefault="004D7AC0" w:rsidP="001766B2"/>
    <w:p w14:paraId="23BBD8D2" w14:textId="3CAA0A91" w:rsidR="000745CD" w:rsidRPr="00AD2F07" w:rsidRDefault="00075C8D" w:rsidP="00AD2F07">
      <w:pPr>
        <w:pStyle w:val="ListParagraph"/>
        <w:numPr>
          <w:ilvl w:val="0"/>
          <w:numId w:val="42"/>
        </w:numPr>
        <w:ind w:left="567" w:hanging="567"/>
        <w:rPr>
          <w:sz w:val="28"/>
          <w:szCs w:val="28"/>
        </w:rPr>
      </w:pPr>
      <w:hyperlink r:id="rId30" w:history="1">
        <w:r w:rsidR="000745CD">
          <w:rPr>
            <w:rStyle w:val="Hyperlink"/>
            <w:b/>
            <w:i/>
            <w:sz w:val="28"/>
          </w:rPr>
          <w:t>Avaliação da Diretiva Denúncia de Irregularidades</w:t>
        </w:r>
      </w:hyperlink>
    </w:p>
    <w:p w14:paraId="7879C029" w14:textId="77777777" w:rsidR="000745CD" w:rsidRPr="000745CD"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45082B39" w14:textId="77777777" w:rsidTr="00C41B96">
        <w:tc>
          <w:tcPr>
            <w:tcW w:w="1077" w:type="pct"/>
          </w:tcPr>
          <w:p w14:paraId="71CDD6DC" w14:textId="77777777" w:rsidR="000745CD" w:rsidRPr="00AD2F07" w:rsidRDefault="000745CD" w:rsidP="000745CD">
            <w:pPr>
              <w:pStyle w:val="ListParagraph"/>
              <w:ind w:left="0"/>
              <w:rPr>
                <w:b/>
                <w:sz w:val="20"/>
                <w:szCs w:val="20"/>
              </w:rPr>
            </w:pPr>
            <w:r>
              <w:rPr>
                <w:b/>
                <w:sz w:val="20"/>
              </w:rPr>
              <w:t>Relatora</w:t>
            </w:r>
          </w:p>
        </w:tc>
        <w:tc>
          <w:tcPr>
            <w:tcW w:w="3923" w:type="pct"/>
          </w:tcPr>
          <w:p w14:paraId="452D71D0" w14:textId="77777777" w:rsidR="000745CD" w:rsidRDefault="000745CD" w:rsidP="000745CD">
            <w:pPr>
              <w:pStyle w:val="ListParagraph"/>
              <w:ind w:left="0"/>
              <w:rPr>
                <w:sz w:val="20"/>
                <w:szCs w:val="20"/>
              </w:rPr>
            </w:pPr>
            <w:r>
              <w:rPr>
                <w:sz w:val="20"/>
              </w:rPr>
              <w:t>Giulia Barbucci (IT – Grupo dos Trabalhadores)</w:t>
            </w:r>
          </w:p>
          <w:p w14:paraId="00B89A68" w14:textId="77777777" w:rsidR="00206637" w:rsidRPr="00AD2F07" w:rsidRDefault="00206637" w:rsidP="000745CD">
            <w:pPr>
              <w:pStyle w:val="ListParagraph"/>
              <w:ind w:left="0"/>
              <w:rPr>
                <w:sz w:val="20"/>
                <w:szCs w:val="20"/>
              </w:rPr>
            </w:pPr>
          </w:p>
        </w:tc>
      </w:tr>
      <w:tr w:rsidR="000745CD" w:rsidRPr="000745CD" w14:paraId="4CF4B4B6" w14:textId="77777777" w:rsidTr="00C41B96">
        <w:trPr>
          <w:trHeight w:val="242"/>
        </w:trPr>
        <w:tc>
          <w:tcPr>
            <w:tcW w:w="1077" w:type="pct"/>
          </w:tcPr>
          <w:p w14:paraId="656F0053" w14:textId="77777777" w:rsidR="000745CD" w:rsidRPr="00AD2F07" w:rsidRDefault="000745CD" w:rsidP="000745CD">
            <w:pPr>
              <w:pStyle w:val="ListParagraph"/>
              <w:ind w:left="0"/>
              <w:rPr>
                <w:b/>
                <w:sz w:val="20"/>
                <w:szCs w:val="20"/>
              </w:rPr>
            </w:pPr>
            <w:r>
              <w:rPr>
                <w:b/>
                <w:sz w:val="20"/>
              </w:rPr>
              <w:t>Referência</w:t>
            </w:r>
          </w:p>
        </w:tc>
        <w:tc>
          <w:tcPr>
            <w:tcW w:w="3923" w:type="pct"/>
          </w:tcPr>
          <w:p w14:paraId="3E6C6E04" w14:textId="568C191F" w:rsidR="00206637" w:rsidRDefault="00346312" w:rsidP="000745CD">
            <w:pPr>
              <w:pStyle w:val="ListParagraph"/>
              <w:ind w:left="0"/>
              <w:rPr>
                <w:sz w:val="20"/>
                <w:szCs w:val="20"/>
              </w:rPr>
            </w:pPr>
            <w:r>
              <w:rPr>
                <w:sz w:val="20"/>
              </w:rPr>
              <w:t>Relatório de informação</w:t>
            </w:r>
          </w:p>
          <w:p w14:paraId="6E6C548E" w14:textId="2E66F25C" w:rsidR="000745CD" w:rsidRPr="00AD2F07" w:rsidRDefault="000745CD" w:rsidP="000745CD">
            <w:pPr>
              <w:pStyle w:val="ListParagraph"/>
              <w:ind w:left="0"/>
              <w:rPr>
                <w:sz w:val="20"/>
                <w:szCs w:val="20"/>
              </w:rPr>
            </w:pPr>
            <w:r>
              <w:rPr>
                <w:sz w:val="20"/>
              </w:rPr>
              <w:t>EESC-2025-04143-00-00-RE</w:t>
            </w:r>
          </w:p>
        </w:tc>
      </w:tr>
    </w:tbl>
    <w:p w14:paraId="62C57DF6" w14:textId="77777777" w:rsidR="000745CD" w:rsidRPr="000745CD" w:rsidRDefault="000745CD" w:rsidP="000745CD">
      <w:pPr>
        <w:pStyle w:val="ListParagraph"/>
        <w:ind w:left="0"/>
        <w:rPr>
          <w:b/>
          <w:lang w:val="en-GB"/>
        </w:rPr>
      </w:pPr>
    </w:p>
    <w:p w14:paraId="4D7E2A05" w14:textId="77777777" w:rsidR="000745CD" w:rsidRDefault="000745CD" w:rsidP="000745CD">
      <w:pPr>
        <w:pStyle w:val="ListParagraph"/>
        <w:ind w:left="0"/>
        <w:rPr>
          <w:b/>
        </w:rPr>
      </w:pPr>
      <w:r>
        <w:rPr>
          <w:b/>
        </w:rPr>
        <w:t>Pontos principais</w:t>
      </w:r>
    </w:p>
    <w:p w14:paraId="2657CDA1" w14:textId="77777777" w:rsidR="00206637" w:rsidRPr="000745CD" w:rsidRDefault="00206637" w:rsidP="000745CD">
      <w:pPr>
        <w:pStyle w:val="ListParagraph"/>
        <w:ind w:left="0"/>
        <w:rPr>
          <w:b/>
          <w:lang w:val="en-GB"/>
        </w:rPr>
      </w:pPr>
    </w:p>
    <w:p w14:paraId="7C1EF1FB" w14:textId="77777777" w:rsidR="000745CD" w:rsidRPr="000745CD" w:rsidRDefault="000745CD" w:rsidP="000745CD">
      <w:pPr>
        <w:pStyle w:val="ListParagraph"/>
        <w:ind w:left="0"/>
        <w:rPr>
          <w:b/>
          <w:lang w:val="en-GB"/>
        </w:rPr>
      </w:pPr>
    </w:p>
    <w:p w14:paraId="4A36272A" w14:textId="77777777" w:rsidR="000745CD" w:rsidRPr="000745CD" w:rsidRDefault="000745CD" w:rsidP="00AD2F07">
      <w:pPr>
        <w:pStyle w:val="ListParagraph"/>
        <w:numPr>
          <w:ilvl w:val="0"/>
          <w:numId w:val="26"/>
        </w:numPr>
        <w:ind w:left="284" w:hanging="284"/>
        <w:rPr>
          <w:bCs/>
        </w:rPr>
      </w:pPr>
      <w:r>
        <w:t>Com base nos debates com as partes interessadas e nos resultados do inquérito recolhidos durante cinco visitas aos países sobre a eficácia, a pertinência e o valor acrescentado da sociedade civil, o Comité Económico e Social Europeu:</w:t>
      </w:r>
    </w:p>
    <w:p w14:paraId="1A894F33" w14:textId="77777777" w:rsidR="000745CD" w:rsidRPr="000745CD" w:rsidRDefault="000745CD" w:rsidP="00AD2F07">
      <w:pPr>
        <w:pStyle w:val="ListParagraph"/>
        <w:numPr>
          <w:ilvl w:val="0"/>
          <w:numId w:val="27"/>
        </w:numPr>
        <w:rPr>
          <w:bCs/>
        </w:rPr>
      </w:pPr>
      <w:r>
        <w:t>assinala que, nos países analisados, a transposição da diretiva representou, em geral, um importante passo em frente no sentido de clarificar os quadros jurídicos, criar canais de denúncia mais sólidos e melhorar a cooperação institucional, embora subsistam importantes lacunas na sua aplicação prática;</w:t>
      </w:r>
    </w:p>
    <w:p w14:paraId="20B0224F" w14:textId="62642641" w:rsidR="000745CD" w:rsidRPr="000745CD" w:rsidRDefault="000745CD" w:rsidP="00AD2F07">
      <w:pPr>
        <w:pStyle w:val="ListParagraph"/>
        <w:numPr>
          <w:ilvl w:val="0"/>
          <w:numId w:val="27"/>
        </w:numPr>
        <w:rPr>
          <w:bCs/>
        </w:rPr>
      </w:pPr>
      <w:r>
        <w:t>observa que um grande número de partes interessadas consideram que o atual âmbito de proteção é demasiado restrito, em especial no que diz respeito às questões sociais e as relacionadas com o local de trabalho, e salienta que limitar a proteção a domínios específicos do direito da UE pode criar insegurança jurídica e desencorajar as divulgações;</w:t>
      </w:r>
    </w:p>
    <w:p w14:paraId="2020EED1" w14:textId="371C73B1" w:rsidR="000745CD" w:rsidRPr="000745CD" w:rsidRDefault="000745CD" w:rsidP="00AD2F07">
      <w:pPr>
        <w:pStyle w:val="ListParagraph"/>
        <w:numPr>
          <w:ilvl w:val="0"/>
          <w:numId w:val="27"/>
        </w:numPr>
        <w:rPr>
          <w:bCs/>
        </w:rPr>
      </w:pPr>
      <w:r>
        <w:t>sublinha que as pequenas empresas carecem frequentemente de recursos e conhecimentos especializados para aplicar eficazmente os mecanismos de denúncia interna e recomenda, por conseguinte, que se explore mecanismos de denúncia partilhados ou setoriais, em consonância com a diretiva;</w:t>
      </w:r>
    </w:p>
    <w:p w14:paraId="2A7691A8" w14:textId="77777777" w:rsidR="000745CD" w:rsidRPr="000745CD" w:rsidRDefault="000745CD" w:rsidP="00AD2F07">
      <w:pPr>
        <w:pStyle w:val="ListParagraph"/>
        <w:numPr>
          <w:ilvl w:val="0"/>
          <w:numId w:val="27"/>
        </w:numPr>
        <w:rPr>
          <w:bCs/>
        </w:rPr>
      </w:pPr>
      <w:r>
        <w:t>frisa que o receio persistente de retaliação, procedimentos morosos e níveis desiguais de proteção continuam a minar a confiança nos sistemas de denúncia, levando as partes interessadas a apelar ao reforço das medidas preventivas, da assistência financeira e dos mecanismos de apoio aos denunciantes;</w:t>
      </w:r>
    </w:p>
    <w:p w14:paraId="21BEA9AF" w14:textId="598F0C3D" w:rsidR="000745CD" w:rsidRPr="000745CD" w:rsidRDefault="000745CD" w:rsidP="00AD2F07">
      <w:pPr>
        <w:pStyle w:val="ListParagraph"/>
        <w:numPr>
          <w:ilvl w:val="0"/>
          <w:numId w:val="27"/>
        </w:numPr>
        <w:rPr>
          <w:bCs/>
        </w:rPr>
      </w:pPr>
      <w:r>
        <w:t>considera que os Estados-Membros devem afetar recursos financeiros, humanos e de formação suficientes às instituições responsáveis pelos procedimentos de denúncia, a fim de fazer face aos atrasos, à escassez de capacidades e ao conhecimento limitado das proteções jurídicas;</w:t>
      </w:r>
    </w:p>
    <w:p w14:paraId="2A805546" w14:textId="77777777" w:rsidR="000745CD" w:rsidRPr="000745CD" w:rsidRDefault="000745CD" w:rsidP="00AD2F07">
      <w:pPr>
        <w:pStyle w:val="ListParagraph"/>
        <w:numPr>
          <w:ilvl w:val="0"/>
          <w:numId w:val="27"/>
        </w:numPr>
        <w:rPr>
          <w:bCs/>
        </w:rPr>
      </w:pPr>
      <w:r>
        <w:t>observa que determinadas partes interessadas indicaram que a participação dos sindicatos, dos representantes dos trabalhadores e das organizações da sociedade civil pode reforçar a eficácia, independência e credibilidade dos mecanismos de denúncia e melhorar as práticas em matéria de sensibilização e de aplicação;</w:t>
      </w:r>
    </w:p>
    <w:p w14:paraId="185428D6" w14:textId="5FD5702D" w:rsidR="000745CD" w:rsidRPr="000745CD" w:rsidRDefault="000745CD" w:rsidP="00AD2F07">
      <w:pPr>
        <w:pStyle w:val="ListParagraph"/>
        <w:numPr>
          <w:ilvl w:val="0"/>
          <w:numId w:val="27"/>
        </w:numPr>
        <w:rPr>
          <w:bCs/>
        </w:rPr>
      </w:pPr>
      <w:r>
        <w:t>recomenda que se pondere a criação de órgãos consultivos multilaterais independentes a nível nacional para avaliar os sistemas de denúncia, analisar questões estruturais e apoiar iniciativas de formação e orientação que envolvam a sociedade civil e os parceiros sociais;</w:t>
      </w:r>
    </w:p>
    <w:p w14:paraId="6FAF5B60" w14:textId="1A3D5D65" w:rsidR="000745CD" w:rsidRPr="000745CD" w:rsidRDefault="000745CD" w:rsidP="00AD2F07">
      <w:pPr>
        <w:pStyle w:val="ListParagraph"/>
        <w:numPr>
          <w:ilvl w:val="0"/>
          <w:numId w:val="27"/>
        </w:numPr>
        <w:rPr>
          <w:bCs/>
        </w:rPr>
      </w:pPr>
      <w:r>
        <w:t xml:space="preserve">salienta que a legitimidade e a eficácia dos quadros de denúncia de irregularidades são reforçadas quando os intervenientes dos meios de comunicação social podem denunciar questões de interesse público de forma segura e que muitas partes interessadas consideraram </w:t>
      </w:r>
      <w:r>
        <w:lastRenderedPageBreak/>
        <w:t>que as regras de confidencialidade demasiado restritivas podem comprometer o escrutínio público;</w:t>
      </w:r>
    </w:p>
    <w:p w14:paraId="35517693" w14:textId="3F34A683" w:rsidR="000745CD" w:rsidRPr="000745CD" w:rsidRDefault="000745CD" w:rsidP="00AD2F07">
      <w:pPr>
        <w:pStyle w:val="ListParagraph"/>
        <w:numPr>
          <w:ilvl w:val="0"/>
          <w:numId w:val="27"/>
        </w:numPr>
        <w:rPr>
          <w:bCs/>
        </w:rPr>
      </w:pPr>
      <w:r>
        <w:t>sublinha a importância das campanhas de sensibilização para reformular a perceção cultural sobre a denúncia de irregularidades e assegurar que os cidadãos compreendem os seus direitos e os mecanismos de denúncia disponíveis;</w:t>
      </w:r>
    </w:p>
    <w:p w14:paraId="113EB342" w14:textId="77777777" w:rsidR="000745CD" w:rsidRDefault="000745CD" w:rsidP="000A25AC">
      <w:pPr>
        <w:pStyle w:val="ListParagraph"/>
        <w:numPr>
          <w:ilvl w:val="0"/>
          <w:numId w:val="27"/>
        </w:numPr>
        <w:rPr>
          <w:bCs/>
        </w:rPr>
      </w:pPr>
      <w:r>
        <w:t>solicita a recolha e publicação sistemáticas de dados relativos aos procedimentos de denúncia, aos resultados e às medidas de acompanhamento, a fim de avaliar a eficácia e a coerência dos sistemas nacionais e identificar deficiências estruturais.</w:t>
      </w:r>
    </w:p>
    <w:p w14:paraId="1D0606A3" w14:textId="77777777" w:rsidR="00AA0F50" w:rsidRDefault="00AA0F50" w:rsidP="00AA0F50">
      <w:pPr>
        <w:rPr>
          <w:bCs/>
          <w:lang w:val="en-GB"/>
        </w:rPr>
      </w:pPr>
    </w:p>
    <w:p w14:paraId="35F9CCD7" w14:textId="77777777" w:rsidR="00AA0F50" w:rsidRPr="00AA0F50" w:rsidRDefault="00AA0F50" w:rsidP="00AD2F07">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AD2F07" w:rsidRDefault="000745CD" w:rsidP="00AA0F50">
            <w:pPr>
              <w:pStyle w:val="ListParagraph"/>
              <w:ind w:hanging="720"/>
              <w:rPr>
                <w:i/>
                <w:sz w:val="20"/>
                <w:szCs w:val="20"/>
              </w:rPr>
            </w:pPr>
            <w:r>
              <w:rPr>
                <w:b/>
                <w:i/>
                <w:sz w:val="20"/>
              </w:rPr>
              <w:t>Contacto</w:t>
            </w:r>
          </w:p>
        </w:tc>
        <w:tc>
          <w:tcPr>
            <w:tcW w:w="3923" w:type="pct"/>
          </w:tcPr>
          <w:p w14:paraId="2C894C0D" w14:textId="327D8196" w:rsidR="000745CD" w:rsidRPr="00AD2F07" w:rsidRDefault="000745CD" w:rsidP="00AA0F50">
            <w:pPr>
              <w:pStyle w:val="ListParagraph"/>
              <w:ind w:hanging="720"/>
              <w:rPr>
                <w:i/>
                <w:sz w:val="20"/>
                <w:szCs w:val="20"/>
              </w:rPr>
            </w:pPr>
            <w:r>
              <w:rPr>
                <w:i/>
                <w:sz w:val="20"/>
              </w:rPr>
              <w:t>June Bedaton</w:t>
            </w:r>
          </w:p>
        </w:tc>
      </w:tr>
      <w:tr w:rsidR="000745CD" w:rsidRPr="000745CD" w14:paraId="2C93FC97" w14:textId="77777777" w:rsidTr="00C41B96">
        <w:tc>
          <w:tcPr>
            <w:tcW w:w="1077" w:type="pct"/>
          </w:tcPr>
          <w:p w14:paraId="25B9C747" w14:textId="77777777" w:rsidR="000745CD" w:rsidRPr="00AD2F07" w:rsidRDefault="000745CD" w:rsidP="00AA0F50">
            <w:pPr>
              <w:pStyle w:val="ListParagraph"/>
              <w:ind w:hanging="720"/>
              <w:rPr>
                <w:i/>
                <w:sz w:val="20"/>
                <w:szCs w:val="20"/>
              </w:rPr>
            </w:pPr>
            <w:r>
              <w:rPr>
                <w:i/>
                <w:sz w:val="20"/>
              </w:rPr>
              <w:t>Tel.</w:t>
            </w:r>
          </w:p>
        </w:tc>
        <w:tc>
          <w:tcPr>
            <w:tcW w:w="3923" w:type="pct"/>
          </w:tcPr>
          <w:p w14:paraId="631EB85F" w14:textId="61E4B99E" w:rsidR="000745CD" w:rsidRPr="00AD2F07" w:rsidRDefault="000745CD" w:rsidP="00AA0F50">
            <w:pPr>
              <w:pStyle w:val="ListParagraph"/>
              <w:ind w:hanging="720"/>
              <w:rPr>
                <w:i/>
                <w:sz w:val="20"/>
                <w:szCs w:val="20"/>
              </w:rPr>
            </w:pPr>
            <w:r>
              <w:rPr>
                <w:i/>
                <w:sz w:val="20"/>
              </w:rPr>
              <w:t>+32 2 546 81 34</w:t>
            </w:r>
          </w:p>
        </w:tc>
      </w:tr>
      <w:tr w:rsidR="000745CD" w:rsidRPr="000745CD" w14:paraId="6618B9E2" w14:textId="77777777" w:rsidTr="00C41B96">
        <w:tc>
          <w:tcPr>
            <w:tcW w:w="1077" w:type="pct"/>
          </w:tcPr>
          <w:p w14:paraId="444DEBCC" w14:textId="77777777" w:rsidR="000745CD" w:rsidRPr="00AD2F07" w:rsidRDefault="000745CD" w:rsidP="00AA0F50">
            <w:pPr>
              <w:pStyle w:val="ListParagraph"/>
              <w:ind w:hanging="720"/>
              <w:rPr>
                <w:i/>
                <w:sz w:val="20"/>
                <w:szCs w:val="20"/>
              </w:rPr>
            </w:pPr>
            <w:r>
              <w:rPr>
                <w:i/>
                <w:sz w:val="20"/>
              </w:rPr>
              <w:t>Endereço eletrónico</w:t>
            </w:r>
          </w:p>
        </w:tc>
        <w:tc>
          <w:tcPr>
            <w:tcW w:w="3923" w:type="pct"/>
          </w:tcPr>
          <w:p w14:paraId="7C5BBAC3" w14:textId="77777777" w:rsidR="000745CD" w:rsidRPr="00AD2F07" w:rsidRDefault="00075C8D" w:rsidP="00AA0F50">
            <w:pPr>
              <w:pStyle w:val="ListParagraph"/>
              <w:ind w:hanging="720"/>
              <w:rPr>
                <w:i/>
                <w:sz w:val="20"/>
                <w:szCs w:val="20"/>
              </w:rPr>
            </w:pPr>
            <w:hyperlink r:id="rId31" w:history="1">
              <w:r w:rsidR="000745CD">
                <w:rPr>
                  <w:rStyle w:val="Hyperlink"/>
                  <w:i/>
                  <w:sz w:val="20"/>
                </w:rPr>
                <w:t>June.Bedaton@eesc.europa.eu</w:t>
              </w:r>
            </w:hyperlink>
          </w:p>
        </w:tc>
      </w:tr>
    </w:tbl>
    <w:p w14:paraId="4982DDC3" w14:textId="53598336" w:rsidR="009256D4" w:rsidRDefault="009256D4" w:rsidP="00AA0F50">
      <w:pPr>
        <w:pStyle w:val="ListParagraph"/>
        <w:ind w:left="0" w:hanging="720"/>
      </w:pPr>
    </w:p>
    <w:p w14:paraId="2C0B9592" w14:textId="77777777" w:rsidR="009256D4" w:rsidRDefault="009256D4">
      <w:pPr>
        <w:spacing w:after="160" w:line="259" w:lineRule="auto"/>
        <w:jc w:val="left"/>
      </w:pPr>
      <w:r>
        <w:br w:type="page"/>
      </w:r>
    </w:p>
    <w:p w14:paraId="4982DDC6" w14:textId="77777777" w:rsidR="004D7AC0" w:rsidRDefault="004D7AC0" w:rsidP="001766B2">
      <w:pPr>
        <w:pStyle w:val="Heading1"/>
        <w:rPr>
          <w:b/>
        </w:rPr>
      </w:pPr>
      <w:bookmarkStart w:id="40" w:name="_Toc24617160"/>
      <w:bookmarkStart w:id="41" w:name="_Toc75527082"/>
      <w:bookmarkStart w:id="42" w:name="_Toc232774258"/>
      <w:r>
        <w:rPr>
          <w:b/>
        </w:rPr>
        <w:lastRenderedPageBreak/>
        <w:t>TRANSPORTES, ENERGIA, INFRAESTRUTURAS E SOCIEDADE DA INFORMAÇÃO</w:t>
      </w:r>
      <w:bookmarkEnd w:id="40"/>
      <w:bookmarkEnd w:id="41"/>
      <w:bookmarkEnd w:id="42"/>
    </w:p>
    <w:p w14:paraId="4982DDC7" w14:textId="77777777" w:rsidR="004D7AC0" w:rsidRDefault="004D7AC0" w:rsidP="001766B2"/>
    <w:p w14:paraId="18FC9B76" w14:textId="26E7931B" w:rsidR="00BC6333" w:rsidRPr="00BC6333" w:rsidRDefault="00075C8D" w:rsidP="00BC6333">
      <w:pPr>
        <w:widowControl w:val="0"/>
        <w:numPr>
          <w:ilvl w:val="0"/>
          <w:numId w:val="4"/>
        </w:numPr>
        <w:overflowPunct w:val="0"/>
        <w:autoSpaceDE w:val="0"/>
        <w:autoSpaceDN w:val="0"/>
        <w:adjustRightInd w:val="0"/>
        <w:ind w:hanging="567"/>
        <w:textAlignment w:val="baseline"/>
        <w:rPr>
          <w:b/>
        </w:rPr>
      </w:pPr>
      <w:hyperlink r:id="rId32" w:history="1">
        <w:r w:rsidR="00BC6333">
          <w:rPr>
            <w:b/>
            <w:i/>
            <w:color w:val="0000FF"/>
            <w:sz w:val="28"/>
            <w:u w:val="single"/>
          </w:rPr>
          <w:t>Regulamento Redes Digitais (RRD)</w:t>
        </w:r>
      </w:hyperlink>
    </w:p>
    <w:p w14:paraId="2DE4BBAF" w14:textId="77777777" w:rsidR="00BC6333" w:rsidRPr="00BC6333" w:rsidRDefault="00BC6333" w:rsidP="00BC6333">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BC6333" w14:paraId="78DCAE4C" w14:textId="77777777" w:rsidTr="0033503A">
        <w:tc>
          <w:tcPr>
            <w:tcW w:w="1809" w:type="dxa"/>
          </w:tcPr>
          <w:p w14:paraId="3B00FCCB" w14:textId="77777777" w:rsidR="00BC6333" w:rsidRPr="00BC6333" w:rsidRDefault="00BC6333" w:rsidP="00BC6333">
            <w:pPr>
              <w:tabs>
                <w:tab w:val="center" w:pos="284"/>
              </w:tabs>
              <w:overflowPunct w:val="0"/>
              <w:autoSpaceDE w:val="0"/>
              <w:autoSpaceDN w:val="0"/>
              <w:adjustRightInd w:val="0"/>
              <w:ind w:left="266" w:right="163" w:hanging="266"/>
              <w:textAlignment w:val="baseline"/>
              <w:rPr>
                <w:b/>
              </w:rPr>
            </w:pPr>
            <w:r>
              <w:rPr>
                <w:b/>
              </w:rPr>
              <w:t>Relator</w:t>
            </w:r>
          </w:p>
        </w:tc>
        <w:tc>
          <w:tcPr>
            <w:tcW w:w="7262" w:type="dxa"/>
          </w:tcPr>
          <w:p w14:paraId="19ECE05D" w14:textId="2166FC13" w:rsidR="00BC6333" w:rsidRDefault="009B1D36" w:rsidP="00BC6333">
            <w:pPr>
              <w:tabs>
                <w:tab w:val="center" w:pos="284"/>
              </w:tabs>
              <w:overflowPunct w:val="0"/>
              <w:autoSpaceDE w:val="0"/>
              <w:autoSpaceDN w:val="0"/>
              <w:adjustRightInd w:val="0"/>
              <w:ind w:left="266" w:hanging="266"/>
              <w:textAlignment w:val="baseline"/>
            </w:pPr>
            <w:r>
              <w:t>Maurizio Mensi (IT – Grupo das Organizações da Sociedade Civil)</w:t>
            </w:r>
          </w:p>
          <w:p w14:paraId="2FEED7E1" w14:textId="7E82958A" w:rsidR="00BD71C5" w:rsidRPr="00BC6333" w:rsidRDefault="00BD71C5" w:rsidP="00BC6333">
            <w:pPr>
              <w:tabs>
                <w:tab w:val="center" w:pos="284"/>
              </w:tabs>
              <w:overflowPunct w:val="0"/>
              <w:autoSpaceDE w:val="0"/>
              <w:autoSpaceDN w:val="0"/>
              <w:adjustRightInd w:val="0"/>
              <w:ind w:left="266" w:hanging="266"/>
              <w:textAlignment w:val="baseline"/>
            </w:pPr>
          </w:p>
        </w:tc>
      </w:tr>
      <w:tr w:rsidR="00BC6333" w:rsidRPr="00BC6333" w14:paraId="592682E7" w14:textId="77777777" w:rsidTr="0033503A">
        <w:tc>
          <w:tcPr>
            <w:tcW w:w="1809" w:type="dxa"/>
          </w:tcPr>
          <w:p w14:paraId="45179877" w14:textId="77777777" w:rsidR="00BC6333" w:rsidRPr="00BC6333" w:rsidRDefault="00BC6333" w:rsidP="00BC6333">
            <w:pPr>
              <w:tabs>
                <w:tab w:val="center" w:pos="284"/>
              </w:tabs>
              <w:overflowPunct w:val="0"/>
              <w:autoSpaceDE w:val="0"/>
              <w:autoSpaceDN w:val="0"/>
              <w:adjustRightInd w:val="0"/>
              <w:ind w:left="266" w:hanging="266"/>
              <w:textAlignment w:val="baseline"/>
              <w:rPr>
                <w:b/>
              </w:rPr>
            </w:pPr>
            <w:r>
              <w:rPr>
                <w:b/>
              </w:rPr>
              <w:t>Referência</w:t>
            </w:r>
          </w:p>
        </w:tc>
        <w:tc>
          <w:tcPr>
            <w:tcW w:w="7262" w:type="dxa"/>
          </w:tcPr>
          <w:p w14:paraId="3540D4A3" w14:textId="06E13322" w:rsidR="00BC6333" w:rsidRPr="00BC6333" w:rsidRDefault="00BC6333" w:rsidP="00BC6333">
            <w:pPr>
              <w:tabs>
                <w:tab w:val="center" w:pos="284"/>
              </w:tabs>
              <w:overflowPunct w:val="0"/>
              <w:autoSpaceDE w:val="0"/>
              <w:autoSpaceDN w:val="0"/>
              <w:adjustRightInd w:val="0"/>
              <w:ind w:left="266" w:hanging="266"/>
              <w:textAlignment w:val="baseline"/>
            </w:pPr>
            <w:r>
              <w:t xml:space="preserve">COM(2026) 16 final </w:t>
            </w:r>
          </w:p>
          <w:p w14:paraId="132A4F07" w14:textId="77777777" w:rsidR="00BC6333" w:rsidRPr="00BC6333" w:rsidRDefault="00BC6333" w:rsidP="00BC6333">
            <w:pPr>
              <w:tabs>
                <w:tab w:val="center" w:pos="284"/>
              </w:tabs>
              <w:overflowPunct w:val="0"/>
              <w:autoSpaceDE w:val="0"/>
              <w:autoSpaceDN w:val="0"/>
              <w:adjustRightInd w:val="0"/>
              <w:ind w:left="266" w:hanging="266"/>
              <w:textAlignment w:val="baseline"/>
            </w:pPr>
            <w:r>
              <w:t>EESC-2026-00515-00-00-AC</w:t>
            </w:r>
          </w:p>
        </w:tc>
      </w:tr>
    </w:tbl>
    <w:p w14:paraId="3578BD12" w14:textId="77777777" w:rsidR="00BC6333" w:rsidRPr="00BC6333" w:rsidRDefault="00BC6333" w:rsidP="00BC6333">
      <w:pPr>
        <w:tabs>
          <w:tab w:val="center" w:pos="284"/>
        </w:tabs>
        <w:overflowPunct w:val="0"/>
        <w:autoSpaceDE w:val="0"/>
        <w:autoSpaceDN w:val="0"/>
        <w:adjustRightInd w:val="0"/>
        <w:ind w:left="266" w:hanging="266"/>
        <w:textAlignment w:val="baseline"/>
      </w:pPr>
    </w:p>
    <w:p w14:paraId="73FA3D9E"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rPr>
      </w:pPr>
      <w:r>
        <w:rPr>
          <w:b/>
        </w:rPr>
        <w:t>Pontos principais</w:t>
      </w:r>
    </w:p>
    <w:p w14:paraId="621ACDAF"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Default="00BC6333" w:rsidP="00BC6333">
      <w:pPr>
        <w:overflowPunct w:val="0"/>
        <w:autoSpaceDE w:val="0"/>
        <w:autoSpaceDN w:val="0"/>
        <w:adjustRightInd w:val="0"/>
        <w:textAlignment w:val="baseline"/>
        <w:rPr>
          <w:bCs/>
          <w:iCs/>
        </w:rPr>
      </w:pPr>
      <w:r>
        <w:t>O Comité Económico e Social Europeu:</w:t>
      </w:r>
    </w:p>
    <w:p w14:paraId="754CB377" w14:textId="77777777" w:rsidR="00BD71C5" w:rsidRPr="00BC6333" w:rsidRDefault="00BD71C5" w:rsidP="00BC6333">
      <w:pPr>
        <w:overflowPunct w:val="0"/>
        <w:autoSpaceDE w:val="0"/>
        <w:autoSpaceDN w:val="0"/>
        <w:adjustRightInd w:val="0"/>
        <w:textAlignment w:val="baseline"/>
        <w:rPr>
          <w:bCs/>
          <w:iCs/>
          <w:lang w:val="en-GB"/>
        </w:rPr>
      </w:pPr>
    </w:p>
    <w:p w14:paraId="098184CD"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considera que um regulamento é o instrumento jurídico adequado para o ato sobre as redes digitais, a fim de eliminar os obstáculos ao mercado interno e assegurar regras uniformes;</w:t>
      </w:r>
    </w:p>
    <w:p w14:paraId="48D0747B"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apela para uma repartição clara de competências entre o Gabinete das Redes Digitais (GRD), o Organismo dos Reguladores Europeus das Comunicações Eletrónicas (ORECE), o Organismo da Política do Espetro de Radiofrequências (OPER) e as autoridades reguladoras nacionais (ARN), evitando sobreposições e duplicações institucionais; </w:t>
      </w:r>
    </w:p>
    <w:p w14:paraId="00115B85"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congratula-se com a abordagem sistémica do RRD em matéria de autorização, de espetro, de desativação das redes de cobre e de governação, enquanto estratégia coerente para o mercado interno;</w:t>
      </w:r>
    </w:p>
    <w:p w14:paraId="34F09FB6"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apoia direitos fortes, atualizados e plenamente harmonizados para os utilizadores finais e preconiza a adoção de normas mínimas de qualidade do serviço; </w:t>
      </w:r>
    </w:p>
    <w:p w14:paraId="0E2BCAE9"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recomenda a exclusão explícita dos regimes regulamentares de «partilha equitativa» que impõem pagamentos obrigatórios pelos grandes fornecedores de conteúdos com base nos volumes de tráfego ou na origem;</w:t>
      </w:r>
    </w:p>
    <w:p w14:paraId="4113F9D4"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congratula-se com o quadro do RRD para a transição da rede de cobre para a fibra ótica, que considera fundamental para um mercado único seguro e competitivo.</w:t>
      </w:r>
    </w:p>
    <w:p w14:paraId="366401CC" w14:textId="77777777" w:rsidR="00BC6333" w:rsidRPr="00BC6333" w:rsidRDefault="00BC6333" w:rsidP="00BC633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087"/>
      </w:tblGrid>
      <w:tr w:rsidR="00BC6333" w:rsidRPr="00BC6333" w14:paraId="1C4E3603" w14:textId="77777777" w:rsidTr="00A16D01">
        <w:tc>
          <w:tcPr>
            <w:tcW w:w="2093" w:type="dxa"/>
          </w:tcPr>
          <w:p w14:paraId="35A5C966" w14:textId="77777777" w:rsidR="00BC6333" w:rsidRPr="00BC6333" w:rsidRDefault="00BC6333" w:rsidP="00BC6333">
            <w:pPr>
              <w:overflowPunct w:val="0"/>
              <w:autoSpaceDE w:val="0"/>
              <w:autoSpaceDN w:val="0"/>
              <w:adjustRightInd w:val="0"/>
              <w:textAlignment w:val="baseline"/>
              <w:rPr>
                <w:i/>
              </w:rPr>
            </w:pPr>
            <w:r>
              <w:rPr>
                <w:b/>
                <w:i/>
              </w:rPr>
              <w:t>Contacto</w:t>
            </w:r>
          </w:p>
        </w:tc>
        <w:tc>
          <w:tcPr>
            <w:tcW w:w="7087" w:type="dxa"/>
          </w:tcPr>
          <w:p w14:paraId="342C232D" w14:textId="1660CEB4" w:rsidR="00BC6333" w:rsidRPr="00BC6333" w:rsidRDefault="00BC6333" w:rsidP="00BC6333">
            <w:pPr>
              <w:overflowPunct w:val="0"/>
              <w:autoSpaceDE w:val="0"/>
              <w:autoSpaceDN w:val="0"/>
              <w:adjustRightInd w:val="0"/>
              <w:textAlignment w:val="baseline"/>
              <w:rPr>
                <w:i/>
              </w:rPr>
            </w:pPr>
            <w:r>
              <w:rPr>
                <w:i/>
              </w:rPr>
              <w:t>Albert Precup</w:t>
            </w:r>
          </w:p>
        </w:tc>
      </w:tr>
      <w:tr w:rsidR="00BC6333" w:rsidRPr="00BC6333" w14:paraId="41F9037C" w14:textId="77777777" w:rsidTr="00A16D01">
        <w:tc>
          <w:tcPr>
            <w:tcW w:w="2093" w:type="dxa"/>
          </w:tcPr>
          <w:p w14:paraId="7F7AE18F" w14:textId="77777777" w:rsidR="00BC6333" w:rsidRPr="00BC6333" w:rsidRDefault="00BC6333" w:rsidP="00BC6333">
            <w:pPr>
              <w:overflowPunct w:val="0"/>
              <w:autoSpaceDE w:val="0"/>
              <w:autoSpaceDN w:val="0"/>
              <w:adjustRightInd w:val="0"/>
              <w:textAlignment w:val="baseline"/>
              <w:rPr>
                <w:i/>
              </w:rPr>
            </w:pPr>
            <w:r>
              <w:rPr>
                <w:i/>
              </w:rPr>
              <w:t>Tel.</w:t>
            </w:r>
          </w:p>
        </w:tc>
        <w:tc>
          <w:tcPr>
            <w:tcW w:w="7087" w:type="dxa"/>
          </w:tcPr>
          <w:p w14:paraId="282C2E4D" w14:textId="77777777" w:rsidR="00BC6333" w:rsidRPr="00BC6333" w:rsidRDefault="00BC6333" w:rsidP="00BC6333">
            <w:pPr>
              <w:overflowPunct w:val="0"/>
              <w:autoSpaceDE w:val="0"/>
              <w:autoSpaceDN w:val="0"/>
              <w:adjustRightInd w:val="0"/>
              <w:textAlignment w:val="baseline"/>
              <w:rPr>
                <w:i/>
              </w:rPr>
            </w:pPr>
            <w:r>
              <w:rPr>
                <w:i/>
              </w:rPr>
              <w:t>+32 2 546 93 26</w:t>
            </w:r>
          </w:p>
        </w:tc>
      </w:tr>
      <w:tr w:rsidR="00BC6333" w:rsidRPr="00BC6333" w14:paraId="6BCFE03C" w14:textId="77777777" w:rsidTr="00A16D01">
        <w:tc>
          <w:tcPr>
            <w:tcW w:w="2093" w:type="dxa"/>
          </w:tcPr>
          <w:p w14:paraId="090778C7" w14:textId="77777777" w:rsidR="00BC6333" w:rsidRPr="00BC6333" w:rsidRDefault="00BC6333" w:rsidP="00BC6333">
            <w:pPr>
              <w:overflowPunct w:val="0"/>
              <w:autoSpaceDE w:val="0"/>
              <w:autoSpaceDN w:val="0"/>
              <w:adjustRightInd w:val="0"/>
              <w:textAlignment w:val="baseline"/>
              <w:rPr>
                <w:i/>
              </w:rPr>
            </w:pPr>
            <w:r>
              <w:rPr>
                <w:i/>
              </w:rPr>
              <w:t>Endereço eletrónico</w:t>
            </w:r>
          </w:p>
        </w:tc>
        <w:tc>
          <w:tcPr>
            <w:tcW w:w="7087" w:type="dxa"/>
          </w:tcPr>
          <w:p w14:paraId="7EB11DC4" w14:textId="77777777" w:rsidR="00BC6333" w:rsidRPr="00BC6333" w:rsidRDefault="00075C8D" w:rsidP="00BC6333">
            <w:pPr>
              <w:overflowPunct w:val="0"/>
              <w:autoSpaceDE w:val="0"/>
              <w:autoSpaceDN w:val="0"/>
              <w:adjustRightInd w:val="0"/>
              <w:textAlignment w:val="baseline"/>
              <w:rPr>
                <w:i/>
                <w:iCs/>
              </w:rPr>
            </w:pPr>
            <w:hyperlink r:id="rId33" w:history="1">
              <w:r w:rsidR="00507B0A">
                <w:rPr>
                  <w:i/>
                  <w:color w:val="0000FF"/>
                  <w:u w:val="single"/>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70E33019" w14:textId="087344BF" w:rsidR="00490197" w:rsidRPr="00490197" w:rsidRDefault="00075C8D" w:rsidP="00490197">
      <w:pPr>
        <w:widowControl w:val="0"/>
        <w:numPr>
          <w:ilvl w:val="0"/>
          <w:numId w:val="9"/>
        </w:numPr>
        <w:overflowPunct w:val="0"/>
        <w:autoSpaceDE w:val="0"/>
        <w:autoSpaceDN w:val="0"/>
        <w:adjustRightInd w:val="0"/>
        <w:ind w:left="567" w:hanging="567"/>
        <w:textAlignment w:val="baseline"/>
        <w:rPr>
          <w:b/>
          <w:bCs/>
          <w:szCs w:val="20"/>
        </w:rPr>
      </w:pPr>
      <w:hyperlink r:id="rId34">
        <w:r w:rsidR="00507B0A">
          <w:rPr>
            <w:b/>
            <w:i/>
            <w:color w:val="0000FF"/>
            <w:sz w:val="28"/>
            <w:u w:val="single"/>
          </w:rPr>
          <w:t>Aplicação do Novo Bauhaus Europeu</w:t>
        </w:r>
      </w:hyperlink>
    </w:p>
    <w:p w14:paraId="56B933A1" w14:textId="77777777" w:rsidR="00490197" w:rsidRPr="00490197" w:rsidRDefault="00490197" w:rsidP="00490197">
      <w:pPr>
        <w:widowControl w:val="0"/>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490197" w:rsidRPr="00490197" w14:paraId="4777C5AD" w14:textId="77777777" w:rsidTr="0033503A">
        <w:tc>
          <w:tcPr>
            <w:tcW w:w="1077" w:type="pct"/>
          </w:tcPr>
          <w:p w14:paraId="19FE8DC5"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Relator</w:t>
            </w:r>
          </w:p>
        </w:tc>
        <w:tc>
          <w:tcPr>
            <w:tcW w:w="3923" w:type="pct"/>
          </w:tcPr>
          <w:p w14:paraId="257BB699" w14:textId="4920F900" w:rsidR="00490197" w:rsidRDefault="00490197" w:rsidP="00490197">
            <w:pPr>
              <w:tabs>
                <w:tab w:val="center" w:pos="284"/>
              </w:tabs>
              <w:overflowPunct w:val="0"/>
              <w:autoSpaceDE w:val="0"/>
              <w:autoSpaceDN w:val="0"/>
              <w:adjustRightInd w:val="0"/>
              <w:ind w:left="266" w:right="-3091" w:hanging="205"/>
              <w:textAlignment w:val="baseline"/>
            </w:pPr>
            <w:r>
              <w:t>Rudolf Kolbe (AT – Grupo das Organizações da Sociedade Civil)</w:t>
            </w:r>
          </w:p>
          <w:p w14:paraId="55916FB8" w14:textId="77777777" w:rsidR="00E93FE9" w:rsidRPr="00490197" w:rsidRDefault="00E93FE9" w:rsidP="00490197">
            <w:pPr>
              <w:tabs>
                <w:tab w:val="center" w:pos="284"/>
              </w:tabs>
              <w:overflowPunct w:val="0"/>
              <w:autoSpaceDE w:val="0"/>
              <w:autoSpaceDN w:val="0"/>
              <w:adjustRightInd w:val="0"/>
              <w:ind w:left="266" w:right="-3091" w:hanging="205"/>
              <w:textAlignment w:val="baseline"/>
              <w:rPr>
                <w:lang w:val="en-GB"/>
              </w:rPr>
            </w:pPr>
          </w:p>
        </w:tc>
      </w:tr>
      <w:tr w:rsidR="00490197" w:rsidRPr="00490197" w14:paraId="4FE3D689" w14:textId="77777777" w:rsidTr="0033503A">
        <w:tc>
          <w:tcPr>
            <w:tcW w:w="1077" w:type="pct"/>
          </w:tcPr>
          <w:p w14:paraId="58E763E6"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Referências</w:t>
            </w:r>
          </w:p>
        </w:tc>
        <w:tc>
          <w:tcPr>
            <w:tcW w:w="3923" w:type="pct"/>
          </w:tcPr>
          <w:p w14:paraId="025AC23E" w14:textId="77777777" w:rsidR="00490197" w:rsidRPr="00490197" w:rsidRDefault="00490197" w:rsidP="00AD2F07">
            <w:pPr>
              <w:tabs>
                <w:tab w:val="center" w:pos="0"/>
              </w:tabs>
              <w:overflowPunct w:val="0"/>
              <w:autoSpaceDE w:val="0"/>
              <w:autoSpaceDN w:val="0"/>
              <w:adjustRightInd w:val="0"/>
              <w:ind w:left="61"/>
              <w:textAlignment w:val="baseline"/>
            </w:pPr>
            <w:r>
              <w:t>[COM(2025) 1026 final]</w:t>
            </w:r>
          </w:p>
          <w:p w14:paraId="6EDA8316" w14:textId="33301068" w:rsidR="00490197" w:rsidRPr="00490197" w:rsidRDefault="00490197" w:rsidP="00490197">
            <w:pPr>
              <w:tabs>
                <w:tab w:val="center" w:pos="0"/>
              </w:tabs>
              <w:overflowPunct w:val="0"/>
              <w:autoSpaceDE w:val="0"/>
              <w:autoSpaceDN w:val="0"/>
              <w:adjustRightInd w:val="0"/>
              <w:ind w:left="61" w:right="-3091"/>
              <w:textAlignment w:val="baseline"/>
            </w:pPr>
            <w:r>
              <w:t>EESC-2026-00440-00-00-AC</w:t>
            </w:r>
          </w:p>
        </w:tc>
      </w:tr>
    </w:tbl>
    <w:p w14:paraId="72AA13C4"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p>
    <w:p w14:paraId="01C549C8"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rPr>
      </w:pPr>
      <w:r>
        <w:rPr>
          <w:b/>
        </w:rPr>
        <w:t>Pontos principais</w:t>
      </w:r>
    </w:p>
    <w:p w14:paraId="08AC2FA3"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Default="00490197" w:rsidP="00490197">
      <w:pPr>
        <w:overflowPunct w:val="0"/>
        <w:autoSpaceDE w:val="0"/>
        <w:autoSpaceDN w:val="0"/>
        <w:adjustRightInd w:val="0"/>
        <w:textAlignment w:val="baseline"/>
        <w:rPr>
          <w:szCs w:val="20"/>
        </w:rPr>
      </w:pPr>
      <w:r>
        <w:t>O Comité Económico e Social Europeu:</w:t>
      </w:r>
    </w:p>
    <w:p w14:paraId="461B86D3" w14:textId="77777777" w:rsidR="00CE679B" w:rsidRDefault="00CE679B" w:rsidP="00490197">
      <w:pPr>
        <w:overflowPunct w:val="0"/>
        <w:autoSpaceDE w:val="0"/>
        <w:autoSpaceDN w:val="0"/>
        <w:adjustRightInd w:val="0"/>
        <w:textAlignment w:val="baseline"/>
        <w:rPr>
          <w:szCs w:val="20"/>
          <w:lang w:val="en-GB"/>
        </w:rPr>
      </w:pPr>
    </w:p>
    <w:p w14:paraId="7A2B0BBF" w14:textId="55F230DC"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insta a Comissão Europeia a elaborar </w:t>
      </w:r>
      <w:r>
        <w:rPr>
          <w:b/>
          <w:bCs/>
        </w:rPr>
        <w:t>indicadores-chave de desempenho para a aplicação horizontal e transversal dos valores e princípios do Novo Bauhaus Europeu</w:t>
      </w:r>
      <w:r>
        <w:t xml:space="preserve"> (NEB – New European Bauhaus) em políticas e atos regulamentares novos e revistos da União Europeia (UE); sublinha que o NEB é inseparável das políticas de habitação a preços acessíveis e que a próxima etapa da sua execução deve incidir sobre o investimento na habitação sustentável, de qualidade e a preços acessíveis;</w:t>
      </w:r>
    </w:p>
    <w:p w14:paraId="606E997E" w14:textId="474941E9"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congratula-se com a adoção iminente da </w:t>
      </w:r>
      <w:r>
        <w:rPr>
          <w:b/>
          <w:bCs/>
        </w:rPr>
        <w:t>recomendação sobre o NEB</w:t>
      </w:r>
      <w:r>
        <w:t xml:space="preserve"> e exorta os Estados Membros a aplicá-la, servindo de ponte entre a UE e o nível local e regional, pois a coordenação de medidas ao nível da UE neste contexto pode proporcionar um claro valor acrescentado sem deixar de respeitar a subsidiariedade;</w:t>
      </w:r>
    </w:p>
    <w:p w14:paraId="0E036166" w14:textId="77777777"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insta a Comissão a dispor, na próxima revisão das diretivas relativas aos contratos públicos, que os poderes públicos têm de </w:t>
      </w:r>
      <w:r>
        <w:rPr>
          <w:b/>
        </w:rPr>
        <w:t>privilegiar o ciclo de vida e os critérios de qualidade para os serviços que moldam o espaço edificado</w:t>
      </w:r>
      <w:r>
        <w:t>; exorta a Comissão a reforçar, e não a diminuir, a excelência profissional, uma vez que se trata de uma base crucial para a aplicação dos princípios do NEB, assegurando simultaneamente oportunidades acessíveis de melhoria de competências, em especial para os trabalhadores, os profissionais especialistas e as pequenas e médias empresas.</w:t>
      </w:r>
    </w:p>
    <w:p w14:paraId="32BC4BBD" w14:textId="77777777" w:rsidR="00490197" w:rsidRPr="00490197" w:rsidRDefault="00490197" w:rsidP="00490197">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490197" w:rsidRDefault="00490197" w:rsidP="00490197">
            <w:pPr>
              <w:overflowPunct w:val="0"/>
              <w:autoSpaceDE w:val="0"/>
              <w:autoSpaceDN w:val="0"/>
              <w:adjustRightInd w:val="0"/>
              <w:textAlignment w:val="baseline"/>
              <w:rPr>
                <w:i/>
              </w:rPr>
            </w:pPr>
            <w:r>
              <w:rPr>
                <w:b/>
                <w:i/>
              </w:rPr>
              <w:t>Contacto</w:t>
            </w:r>
          </w:p>
        </w:tc>
        <w:tc>
          <w:tcPr>
            <w:tcW w:w="3922" w:type="pct"/>
          </w:tcPr>
          <w:p w14:paraId="6365A416" w14:textId="77777777" w:rsidR="00490197" w:rsidRPr="00490197" w:rsidRDefault="00490197" w:rsidP="00490197">
            <w:pPr>
              <w:overflowPunct w:val="0"/>
              <w:autoSpaceDE w:val="0"/>
              <w:autoSpaceDN w:val="0"/>
              <w:adjustRightInd w:val="0"/>
              <w:textAlignment w:val="baseline"/>
              <w:rPr>
                <w:i/>
              </w:rPr>
            </w:pPr>
            <w:r>
              <w:rPr>
                <w:i/>
              </w:rPr>
              <w:t>Francesco Napolitano</w:t>
            </w:r>
          </w:p>
        </w:tc>
      </w:tr>
      <w:tr w:rsidR="00490197" w:rsidRPr="00490197" w14:paraId="274D8C10" w14:textId="77777777" w:rsidTr="0033503A">
        <w:tc>
          <w:tcPr>
            <w:tcW w:w="1078" w:type="pct"/>
          </w:tcPr>
          <w:p w14:paraId="46D16D65" w14:textId="77777777" w:rsidR="00490197" w:rsidRPr="00490197" w:rsidRDefault="00490197" w:rsidP="00490197">
            <w:pPr>
              <w:overflowPunct w:val="0"/>
              <w:autoSpaceDE w:val="0"/>
              <w:autoSpaceDN w:val="0"/>
              <w:adjustRightInd w:val="0"/>
              <w:textAlignment w:val="baseline"/>
              <w:rPr>
                <w:i/>
              </w:rPr>
            </w:pPr>
            <w:r>
              <w:rPr>
                <w:i/>
              </w:rPr>
              <w:t>Tel.</w:t>
            </w:r>
          </w:p>
        </w:tc>
        <w:tc>
          <w:tcPr>
            <w:tcW w:w="3922" w:type="pct"/>
          </w:tcPr>
          <w:p w14:paraId="6B5E9A2C" w14:textId="77777777" w:rsidR="00490197" w:rsidRPr="00490197" w:rsidRDefault="00490197" w:rsidP="00490197">
            <w:pPr>
              <w:overflowPunct w:val="0"/>
              <w:autoSpaceDE w:val="0"/>
              <w:autoSpaceDN w:val="0"/>
              <w:adjustRightInd w:val="0"/>
              <w:textAlignment w:val="baseline"/>
              <w:rPr>
                <w:i/>
              </w:rPr>
            </w:pPr>
            <w:r>
              <w:rPr>
                <w:i/>
              </w:rPr>
              <w:t>+32 2 546 89 21</w:t>
            </w:r>
          </w:p>
        </w:tc>
      </w:tr>
      <w:tr w:rsidR="00490197" w:rsidRPr="00490197" w14:paraId="26AA439C" w14:textId="77777777" w:rsidTr="0033503A">
        <w:tc>
          <w:tcPr>
            <w:tcW w:w="1078" w:type="pct"/>
          </w:tcPr>
          <w:p w14:paraId="650301E0" w14:textId="77777777" w:rsidR="00490197" w:rsidRPr="00490197" w:rsidRDefault="00490197" w:rsidP="00490197">
            <w:pPr>
              <w:overflowPunct w:val="0"/>
              <w:autoSpaceDE w:val="0"/>
              <w:autoSpaceDN w:val="0"/>
              <w:adjustRightInd w:val="0"/>
              <w:textAlignment w:val="baseline"/>
              <w:rPr>
                <w:i/>
              </w:rPr>
            </w:pPr>
            <w:r>
              <w:rPr>
                <w:i/>
              </w:rPr>
              <w:t>Endereço eletrónico</w:t>
            </w:r>
          </w:p>
        </w:tc>
        <w:tc>
          <w:tcPr>
            <w:tcW w:w="3922" w:type="pct"/>
          </w:tcPr>
          <w:p w14:paraId="3F6BD3D4" w14:textId="77777777" w:rsidR="00490197" w:rsidRPr="00490197" w:rsidRDefault="00075C8D" w:rsidP="00490197">
            <w:pPr>
              <w:overflowPunct w:val="0"/>
              <w:autoSpaceDE w:val="0"/>
              <w:autoSpaceDN w:val="0"/>
              <w:adjustRightInd w:val="0"/>
              <w:textAlignment w:val="baseline"/>
              <w:rPr>
                <w:i/>
              </w:rPr>
            </w:pPr>
            <w:hyperlink r:id="rId35" w:history="1">
              <w:r w:rsidR="00507B0A">
                <w:rPr>
                  <w:i/>
                  <w:color w:val="0000FF"/>
                  <w:u w:val="single"/>
                </w:rPr>
                <w:t>Francesco.Napolitano@eesc.europa.eu</w:t>
              </w:r>
            </w:hyperlink>
            <w:r w:rsidR="00507B0A">
              <w:rPr>
                <w:i/>
              </w:rPr>
              <w:t xml:space="preserve"> </w:t>
            </w:r>
          </w:p>
        </w:tc>
      </w:tr>
    </w:tbl>
    <w:p w14:paraId="0D339BE8" w14:textId="38D21AB1" w:rsidR="00645AB4" w:rsidRDefault="00645AB4" w:rsidP="001766B2">
      <w:pPr>
        <w:pStyle w:val="ListParagraph"/>
        <w:ind w:left="0"/>
      </w:pPr>
    </w:p>
    <w:p w14:paraId="6F56B9A3" w14:textId="77777777" w:rsidR="00645AB4" w:rsidRDefault="00645AB4">
      <w:pPr>
        <w:spacing w:after="160" w:line="259" w:lineRule="auto"/>
        <w:jc w:val="left"/>
      </w:pPr>
      <w:r>
        <w:br w:type="page"/>
      </w:r>
    </w:p>
    <w:p w14:paraId="4F2D048B" w14:textId="60726740" w:rsidR="00645AB4" w:rsidRPr="00645AB4" w:rsidRDefault="00645AB4" w:rsidP="00645AB4">
      <w:pPr>
        <w:widowControl w:val="0"/>
        <w:numPr>
          <w:ilvl w:val="0"/>
          <w:numId w:val="10"/>
        </w:numPr>
        <w:overflowPunct w:val="0"/>
        <w:autoSpaceDE w:val="0"/>
        <w:autoSpaceDN w:val="0"/>
        <w:adjustRightInd w:val="0"/>
        <w:ind w:left="567" w:hanging="567"/>
        <w:contextualSpacing/>
        <w:jc w:val="left"/>
        <w:textAlignment w:val="baseline"/>
        <w:rPr>
          <w:rFonts w:ascii="Calibri" w:hAnsi="Calibri"/>
        </w:rPr>
      </w:pPr>
      <w:r w:rsidRPr="00645AB4">
        <w:rPr>
          <w:b/>
          <w:i/>
          <w:sz w:val="28"/>
        </w:rPr>
        <w:lastRenderedPageBreak/>
        <w:fldChar w:fldCharType="begin"/>
      </w:r>
      <w:r w:rsidRPr="00645AB4">
        <w:rPr>
          <w:b/>
          <w:i/>
          <w:sz w:val="28"/>
        </w:rPr>
        <w:instrText>HYPERLINK "https://www.eesc.europa.eu/pt/our-work/opinions-information-reports/opinions/effective-simplification-transport-legislation-while-maintaining-high-social-standards"</w:instrText>
      </w:r>
      <w:r w:rsidRPr="00645AB4">
        <w:rPr>
          <w:b/>
          <w:i/>
          <w:sz w:val="28"/>
        </w:rPr>
        <w:fldChar w:fldCharType="separate"/>
      </w:r>
      <w:r>
        <w:rPr>
          <w:b/>
          <w:i/>
          <w:color w:val="0000FF"/>
          <w:sz w:val="28"/>
          <w:u w:val="single"/>
        </w:rPr>
        <w:t>Simplificar a legislação em matéria de transportes de forma eficaz e sem pôr em causa as elevadas normas sociais</w:t>
      </w:r>
    </w:p>
    <w:p w14:paraId="0D142B55" w14:textId="77777777" w:rsidR="00645AB4" w:rsidRPr="00645AB4" w:rsidRDefault="00645AB4" w:rsidP="00645AB4">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6"/>
        <w:gridCol w:w="7071"/>
      </w:tblGrid>
      <w:tr w:rsidR="00645AB4" w:rsidRPr="00645AB4" w14:paraId="67DC1A9E" w14:textId="77777777" w:rsidTr="0033503A">
        <w:tc>
          <w:tcPr>
            <w:tcW w:w="1876" w:type="dxa"/>
          </w:tcPr>
          <w:p w14:paraId="59CF0DC8"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Relator</w:t>
            </w:r>
          </w:p>
        </w:tc>
        <w:tc>
          <w:tcPr>
            <w:tcW w:w="7479" w:type="dxa"/>
          </w:tcPr>
          <w:p w14:paraId="77508A71" w14:textId="1FEFF9C3" w:rsidR="00645AB4" w:rsidRPr="00645AB4" w:rsidRDefault="00645AB4" w:rsidP="00645AB4">
            <w:pPr>
              <w:tabs>
                <w:tab w:val="center" w:pos="284"/>
              </w:tabs>
              <w:overflowPunct w:val="0"/>
              <w:autoSpaceDE w:val="0"/>
              <w:autoSpaceDN w:val="0"/>
              <w:adjustRightInd w:val="0"/>
              <w:ind w:left="266" w:hanging="266"/>
              <w:textAlignment w:val="baseline"/>
            </w:pPr>
            <w:r>
              <w:t>Marco Wagener (LU – Grupo dos Trabalhadores)</w:t>
            </w:r>
          </w:p>
        </w:tc>
      </w:tr>
      <w:tr w:rsidR="00645AB4" w:rsidRPr="00645AB4" w14:paraId="2BCA8338" w14:textId="77777777" w:rsidTr="0033503A">
        <w:tc>
          <w:tcPr>
            <w:tcW w:w="1876" w:type="dxa"/>
          </w:tcPr>
          <w:p w14:paraId="01F60C20"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573BCA3E" w14:textId="77777777" w:rsidR="00645AB4" w:rsidRPr="00645AB4" w:rsidRDefault="00645AB4" w:rsidP="00645AB4">
            <w:pPr>
              <w:tabs>
                <w:tab w:val="center" w:pos="284"/>
              </w:tabs>
              <w:overflowPunct w:val="0"/>
              <w:autoSpaceDE w:val="0"/>
              <w:autoSpaceDN w:val="0"/>
              <w:adjustRightInd w:val="0"/>
              <w:ind w:left="266" w:hanging="266"/>
              <w:textAlignment w:val="baseline"/>
              <w:rPr>
                <w:lang w:val="en-GB"/>
              </w:rPr>
            </w:pPr>
          </w:p>
        </w:tc>
      </w:tr>
      <w:tr w:rsidR="00645AB4" w:rsidRPr="00645AB4" w14:paraId="38AD5756" w14:textId="77777777" w:rsidTr="0033503A">
        <w:tc>
          <w:tcPr>
            <w:tcW w:w="1876" w:type="dxa"/>
            <w:vMerge w:val="restart"/>
          </w:tcPr>
          <w:p w14:paraId="1318CBE5"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Referência</w:t>
            </w:r>
          </w:p>
        </w:tc>
        <w:tc>
          <w:tcPr>
            <w:tcW w:w="7479" w:type="dxa"/>
          </w:tcPr>
          <w:p w14:paraId="3952CDC8" w14:textId="6ECF9058" w:rsidR="00645AB4" w:rsidRPr="00645AB4" w:rsidRDefault="00645AB4" w:rsidP="00645AB4">
            <w:pPr>
              <w:tabs>
                <w:tab w:val="center" w:pos="284"/>
              </w:tabs>
              <w:overflowPunct w:val="0"/>
              <w:autoSpaceDE w:val="0"/>
              <w:autoSpaceDN w:val="0"/>
              <w:adjustRightInd w:val="0"/>
              <w:ind w:left="266" w:hanging="266"/>
              <w:textAlignment w:val="baseline"/>
            </w:pPr>
            <w:r>
              <w:t>Parecer exploratório a pedido da Comissão Europeia</w:t>
            </w:r>
          </w:p>
        </w:tc>
      </w:tr>
      <w:tr w:rsidR="00645AB4" w:rsidRPr="00645AB4" w14:paraId="0B516D32" w14:textId="77777777" w:rsidTr="0033503A">
        <w:tc>
          <w:tcPr>
            <w:tcW w:w="1876" w:type="dxa"/>
            <w:vMerge/>
          </w:tcPr>
          <w:p w14:paraId="6CFC445F"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24D7F151" w14:textId="77777777" w:rsidR="00645AB4" w:rsidRPr="00645AB4" w:rsidRDefault="00645AB4" w:rsidP="00645AB4">
            <w:pPr>
              <w:tabs>
                <w:tab w:val="center" w:pos="284"/>
              </w:tabs>
              <w:overflowPunct w:val="0"/>
              <w:autoSpaceDE w:val="0"/>
              <w:autoSpaceDN w:val="0"/>
              <w:adjustRightInd w:val="0"/>
              <w:ind w:left="266" w:hanging="266"/>
              <w:textAlignment w:val="baseline"/>
            </w:pPr>
            <w:r>
              <w:t>EESC-2026-00735-00-00-AC</w:t>
            </w:r>
          </w:p>
        </w:tc>
      </w:tr>
    </w:tbl>
    <w:p w14:paraId="4DD6D68E" w14:textId="77777777" w:rsidR="00645AB4" w:rsidRPr="00645AB4" w:rsidRDefault="00645AB4" w:rsidP="00645AB4">
      <w:pPr>
        <w:contextualSpacing/>
        <w:rPr>
          <w:b/>
        </w:rPr>
      </w:pPr>
    </w:p>
    <w:p w14:paraId="45F1D2B0" w14:textId="77777777" w:rsidR="00645AB4" w:rsidRPr="00A16D01" w:rsidRDefault="00645AB4" w:rsidP="00645AB4">
      <w:pPr>
        <w:ind w:left="1134" w:hanging="1134"/>
        <w:contextualSpacing/>
        <w:rPr>
          <w:bCs/>
        </w:rPr>
      </w:pPr>
      <w:r w:rsidRPr="00A16D01">
        <w:rPr>
          <w:bCs/>
        </w:rPr>
        <w:t>O Comité Económico e Social Europeu:</w:t>
      </w:r>
    </w:p>
    <w:p w14:paraId="692C8041" w14:textId="77777777" w:rsidR="00645AB4" w:rsidRPr="00645AB4" w:rsidRDefault="00645AB4" w:rsidP="00645AB4">
      <w:pPr>
        <w:ind w:left="1134" w:hanging="1134"/>
        <w:contextualSpacing/>
        <w:rPr>
          <w:b/>
        </w:rPr>
      </w:pPr>
    </w:p>
    <w:p w14:paraId="6B41210A"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reconhece o importante acervo em matéria de transportes e salienta que dispor de um quadro regulamentar transparente e previsível no domínio dos transportes é fundamental para a competitividade da UE e assegura elevados padrões de proteção dos trabalhadores e dos utilizadores, bem como dos direitos sociais. Estas obrigações devem aplicar-se igualmente às entidades de países terceiros que operam no mercado único. A competitividade, os direitos sociais e a proteção do ambiente devem continuar a ocupar um lugar central no modelo europeu;</w:t>
      </w:r>
    </w:p>
    <w:p w14:paraId="3C9D7E42"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é favorável à digitalização e à interoperabilidade para modernizar os requisitos documentais aplicáveis ao transporte de passageiros e de mercadorias. As ferramentas digitais seguras e invioláveis podem simplificar a administração, apoiar a execução e reforçar a segurança e os direitos dos trabalhadores, dos empregadores e dos passageiros, simplificando simultaneamente as tarefas administrativas e respeitando a privacidade dos dados;</w:t>
      </w:r>
    </w:p>
    <w:p w14:paraId="01018D1C"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considera que a simplificação deve promover uma aplicação das regras em vigor digital, inteligente e baseada em dados, em particular no que diz respeito aos tempos de trabalho e de descanso e à mobilidade transfronteiriça dos trabalhadores, tornando o setor mais atrativo para os grupos sub-representados e ajudando a suprir a escassez de mão de obra. O ambiente altamente móvel do trabalhado no setor dos transportes exige legislação social adaptada;</w:t>
      </w:r>
    </w:p>
    <w:p w14:paraId="338F2A90"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salienta a importância do diálogo social, dado que os parceiros sociais estão em melhor posição para identificar regras desnecessárias e desproporcionadas e propor simplificações práticas no âmbito do diálogo setorial estruturado, salvaguardando simultaneamente as operações empresariais e as normas sociais.</w:t>
      </w:r>
    </w:p>
    <w:p w14:paraId="1660A36B" w14:textId="77777777" w:rsidR="00645AB4" w:rsidRPr="00645AB4" w:rsidRDefault="00645AB4" w:rsidP="00645AB4">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645AB4" w:rsidRPr="00645AB4" w14:paraId="425F601C" w14:textId="77777777" w:rsidTr="00A16D01">
        <w:tc>
          <w:tcPr>
            <w:tcW w:w="2093" w:type="dxa"/>
          </w:tcPr>
          <w:p w14:paraId="1469FB54" w14:textId="77777777" w:rsidR="00645AB4" w:rsidRPr="00645AB4" w:rsidRDefault="00645AB4" w:rsidP="00645AB4">
            <w:pPr>
              <w:overflowPunct w:val="0"/>
              <w:autoSpaceDE w:val="0"/>
              <w:autoSpaceDN w:val="0"/>
              <w:adjustRightInd w:val="0"/>
              <w:ind w:firstLine="29"/>
              <w:textAlignment w:val="baseline"/>
              <w:rPr>
                <w:i/>
              </w:rPr>
            </w:pPr>
            <w:r>
              <w:rPr>
                <w:b/>
                <w:i/>
              </w:rPr>
              <w:t>Contacto</w:t>
            </w:r>
          </w:p>
        </w:tc>
        <w:tc>
          <w:tcPr>
            <w:tcW w:w="7229" w:type="dxa"/>
          </w:tcPr>
          <w:p w14:paraId="40DB913B" w14:textId="42212E97" w:rsidR="00645AB4" w:rsidRPr="00645AB4" w:rsidRDefault="00645AB4" w:rsidP="00645AB4">
            <w:pPr>
              <w:overflowPunct w:val="0"/>
              <w:autoSpaceDE w:val="0"/>
              <w:autoSpaceDN w:val="0"/>
              <w:adjustRightInd w:val="0"/>
              <w:ind w:firstLine="29"/>
              <w:textAlignment w:val="baseline"/>
              <w:rPr>
                <w:i/>
              </w:rPr>
            </w:pPr>
            <w:r>
              <w:rPr>
                <w:i/>
              </w:rPr>
              <w:t>Aleksandra Šarman Grilc</w:t>
            </w:r>
          </w:p>
        </w:tc>
      </w:tr>
      <w:tr w:rsidR="00645AB4" w:rsidRPr="00645AB4" w14:paraId="790D3AFD" w14:textId="77777777" w:rsidTr="00A16D01">
        <w:tc>
          <w:tcPr>
            <w:tcW w:w="2093" w:type="dxa"/>
          </w:tcPr>
          <w:p w14:paraId="5FF6E1E5" w14:textId="77777777" w:rsidR="00645AB4" w:rsidRPr="00645AB4" w:rsidRDefault="00645AB4" w:rsidP="00645AB4">
            <w:pPr>
              <w:overflowPunct w:val="0"/>
              <w:autoSpaceDE w:val="0"/>
              <w:autoSpaceDN w:val="0"/>
              <w:adjustRightInd w:val="0"/>
              <w:ind w:firstLine="29"/>
              <w:textAlignment w:val="baseline"/>
              <w:rPr>
                <w:i/>
              </w:rPr>
            </w:pPr>
            <w:r>
              <w:rPr>
                <w:i/>
              </w:rPr>
              <w:t>Tel.</w:t>
            </w:r>
          </w:p>
        </w:tc>
        <w:tc>
          <w:tcPr>
            <w:tcW w:w="7229" w:type="dxa"/>
          </w:tcPr>
          <w:p w14:paraId="1D44F239" w14:textId="77777777" w:rsidR="00645AB4" w:rsidRPr="00645AB4" w:rsidRDefault="00645AB4" w:rsidP="00645AB4">
            <w:pPr>
              <w:overflowPunct w:val="0"/>
              <w:autoSpaceDE w:val="0"/>
              <w:autoSpaceDN w:val="0"/>
              <w:adjustRightInd w:val="0"/>
              <w:ind w:firstLine="29"/>
              <w:textAlignment w:val="baseline"/>
              <w:rPr>
                <w:i/>
              </w:rPr>
            </w:pPr>
            <w:r>
              <w:rPr>
                <w:i/>
              </w:rPr>
              <w:t>+32 2 546 83 33</w:t>
            </w:r>
          </w:p>
        </w:tc>
      </w:tr>
      <w:tr w:rsidR="00645AB4" w:rsidRPr="00645AB4" w14:paraId="09663F49" w14:textId="77777777" w:rsidTr="00A16D01">
        <w:trPr>
          <w:trHeight w:val="65"/>
        </w:trPr>
        <w:tc>
          <w:tcPr>
            <w:tcW w:w="2093" w:type="dxa"/>
          </w:tcPr>
          <w:p w14:paraId="0B9CE44A" w14:textId="2BE16499" w:rsidR="00645AB4" w:rsidRPr="00645AB4" w:rsidRDefault="00B8277C" w:rsidP="00645AB4">
            <w:pPr>
              <w:overflowPunct w:val="0"/>
              <w:autoSpaceDE w:val="0"/>
              <w:autoSpaceDN w:val="0"/>
              <w:adjustRightInd w:val="0"/>
              <w:ind w:firstLine="29"/>
              <w:textAlignment w:val="baseline"/>
              <w:rPr>
                <w:i/>
              </w:rPr>
            </w:pPr>
            <w:r>
              <w:rPr>
                <w:i/>
              </w:rPr>
              <w:t>Endereço eletrónico</w:t>
            </w:r>
          </w:p>
        </w:tc>
        <w:tc>
          <w:tcPr>
            <w:tcW w:w="7229" w:type="dxa"/>
          </w:tcPr>
          <w:p w14:paraId="1CEE9F69" w14:textId="77777777" w:rsidR="00645AB4" w:rsidRPr="00645AB4" w:rsidRDefault="00075C8D" w:rsidP="00645AB4">
            <w:pPr>
              <w:overflowPunct w:val="0"/>
              <w:autoSpaceDE w:val="0"/>
              <w:autoSpaceDN w:val="0"/>
              <w:adjustRightInd w:val="0"/>
              <w:ind w:firstLine="29"/>
              <w:textAlignment w:val="baseline"/>
              <w:rPr>
                <w:i/>
                <w:iCs/>
              </w:rPr>
            </w:pPr>
            <w:hyperlink r:id="rId36" w:history="1">
              <w:r w:rsidR="00507B0A">
                <w:rPr>
                  <w:i/>
                  <w:color w:val="0000FF"/>
                  <w:u w:val="single"/>
                </w:rPr>
                <w:t>Aleksandra.SarmanGrilc@eesc.europa.eu</w:t>
              </w:r>
            </w:hyperlink>
            <w:r w:rsidR="00507B0A">
              <w:rPr>
                <w:i/>
              </w:rPr>
              <w:t xml:space="preserve"> </w:t>
            </w:r>
          </w:p>
        </w:tc>
      </w:tr>
    </w:tbl>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43" w:name="_Toc75527083"/>
      <w:bookmarkStart w:id="44" w:name="_Toc232774259"/>
      <w:r>
        <w:rPr>
          <w:b/>
        </w:rPr>
        <w:lastRenderedPageBreak/>
        <w:t>MERCADO ÚNICO, PRODUÇÃO E CONSUMO</w:t>
      </w:r>
      <w:bookmarkEnd w:id="43"/>
      <w:bookmarkEnd w:id="44"/>
    </w:p>
    <w:p w14:paraId="4982DDF4" w14:textId="77777777" w:rsidR="004D7AC0" w:rsidRDefault="004D7AC0" w:rsidP="001766B2"/>
    <w:p w14:paraId="5E85AFB7" w14:textId="3925607E" w:rsidR="001F5811" w:rsidRPr="001F5811" w:rsidRDefault="00075C8D" w:rsidP="001F5811">
      <w:pPr>
        <w:widowControl w:val="0"/>
        <w:numPr>
          <w:ilvl w:val="0"/>
          <w:numId w:val="4"/>
        </w:numPr>
        <w:overflowPunct w:val="0"/>
        <w:autoSpaceDE w:val="0"/>
        <w:autoSpaceDN w:val="0"/>
        <w:adjustRightInd w:val="0"/>
        <w:ind w:hanging="567"/>
        <w:textAlignment w:val="baseline"/>
        <w:rPr>
          <w:szCs w:val="20"/>
        </w:rPr>
      </w:pPr>
      <w:hyperlink r:id="rId37" w:history="1">
        <w:r w:rsidR="001F5811">
          <w:rPr>
            <w:b/>
            <w:i/>
            <w:color w:val="0000FF"/>
            <w:sz w:val="28"/>
            <w:u w:val="single"/>
          </w:rPr>
          <w:t>Observações da comunidade empresarial e da sociedade civil sobre a revisão do Regulamento (UE) n.º 651/2014 relativo aos auxílios estatais (Regulamento Geral de Isenção por Categoria – RGIC)</w:t>
        </w:r>
      </w:hyperlink>
    </w:p>
    <w:p w14:paraId="49B2F9D7"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1F5811" w14:paraId="0E698248" w14:textId="77777777" w:rsidTr="0033503A">
        <w:trPr>
          <w:trHeight w:val="406"/>
        </w:trPr>
        <w:tc>
          <w:tcPr>
            <w:tcW w:w="1091" w:type="pct"/>
          </w:tcPr>
          <w:p w14:paraId="72277855"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Relator</w:t>
            </w:r>
          </w:p>
        </w:tc>
        <w:tc>
          <w:tcPr>
            <w:tcW w:w="3909" w:type="pct"/>
          </w:tcPr>
          <w:p w14:paraId="6F403CCD" w14:textId="69F38EDF" w:rsidR="001F5811" w:rsidRPr="001F5811" w:rsidRDefault="001F5811" w:rsidP="001F5811">
            <w:pPr>
              <w:tabs>
                <w:tab w:val="center" w:pos="0"/>
              </w:tabs>
              <w:overflowPunct w:val="0"/>
              <w:autoSpaceDE w:val="0"/>
              <w:autoSpaceDN w:val="0"/>
              <w:adjustRightInd w:val="0"/>
              <w:ind w:left="266" w:hanging="266"/>
              <w:textAlignment w:val="baseline"/>
            </w:pPr>
            <w:r>
              <w:t>Giuseppe Guerini (IT – Grupo das Organizações da Sociedade Civil)</w:t>
            </w:r>
          </w:p>
        </w:tc>
      </w:tr>
      <w:tr w:rsidR="001F5811" w:rsidRPr="001F5811" w14:paraId="2C2CAAD6" w14:textId="77777777" w:rsidTr="0033503A">
        <w:tc>
          <w:tcPr>
            <w:tcW w:w="1091" w:type="pct"/>
          </w:tcPr>
          <w:p w14:paraId="00B7B6BD"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Referência</w:t>
            </w:r>
          </w:p>
        </w:tc>
        <w:tc>
          <w:tcPr>
            <w:tcW w:w="3909" w:type="pct"/>
          </w:tcPr>
          <w:p w14:paraId="22EA1514" w14:textId="77777777" w:rsidR="001F5811" w:rsidRPr="001F5811" w:rsidRDefault="001F5811" w:rsidP="001F5811">
            <w:pPr>
              <w:tabs>
                <w:tab w:val="center" w:pos="284"/>
              </w:tabs>
              <w:overflowPunct w:val="0"/>
              <w:autoSpaceDE w:val="0"/>
              <w:autoSpaceDN w:val="0"/>
              <w:adjustRightInd w:val="0"/>
              <w:ind w:left="266" w:hanging="266"/>
              <w:textAlignment w:val="baseline"/>
            </w:pPr>
            <w:r>
              <w:t>Parecer de iniciativa</w:t>
            </w:r>
          </w:p>
          <w:p w14:paraId="09375E63" w14:textId="77777777" w:rsidR="001F5811" w:rsidRPr="001F5811" w:rsidRDefault="001F5811" w:rsidP="001F5811">
            <w:pPr>
              <w:tabs>
                <w:tab w:val="center" w:pos="284"/>
              </w:tabs>
              <w:overflowPunct w:val="0"/>
              <w:autoSpaceDE w:val="0"/>
              <w:autoSpaceDN w:val="0"/>
              <w:adjustRightInd w:val="0"/>
              <w:ind w:left="266" w:hanging="266"/>
              <w:textAlignment w:val="baseline"/>
            </w:pPr>
            <w:r>
              <w:t>EESC-2026-00567-00-00-AC</w:t>
            </w:r>
          </w:p>
        </w:tc>
      </w:tr>
    </w:tbl>
    <w:p w14:paraId="48A28BAD"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r>
        <w:rPr>
          <w:b/>
        </w:rPr>
        <w:t>Pontos principais</w:t>
      </w:r>
    </w:p>
    <w:p w14:paraId="776AAC4C"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1F5811">
      <w:pPr>
        <w:overflowPunct w:val="0"/>
        <w:autoSpaceDE w:val="0"/>
        <w:autoSpaceDN w:val="0"/>
        <w:adjustRightInd w:val="0"/>
        <w:textAlignment w:val="baseline"/>
        <w:rPr>
          <w:bCs/>
          <w:iCs/>
        </w:rPr>
      </w:pPr>
      <w:r>
        <w:t>O Comité Económico e Social Europeu:</w:t>
      </w:r>
    </w:p>
    <w:p w14:paraId="5C6B143F" w14:textId="77777777" w:rsidR="008B50BB" w:rsidRPr="001F5811" w:rsidRDefault="008B50BB" w:rsidP="001F5811">
      <w:pPr>
        <w:overflowPunct w:val="0"/>
        <w:autoSpaceDE w:val="0"/>
        <w:autoSpaceDN w:val="0"/>
        <w:adjustRightInd w:val="0"/>
        <w:textAlignment w:val="baseline"/>
        <w:rPr>
          <w:bCs/>
          <w:iCs/>
          <w:lang w:val="en-GB"/>
        </w:rPr>
      </w:pPr>
    </w:p>
    <w:p w14:paraId="67AB1500"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congratula-se com a revisão do Regulamento Geral de Isenção por Categoria (RGIC) pela Comissão</w:t>
      </w:r>
      <w:r>
        <w:t>, apoiando os seus objetivos de modernizar e simplificar as isenções aplicáveis aos auxílios estatais, alargar as categorias elegíveis e melhorar a clareza e a segurança jurídicas antes da sua entrada em vigor em 1 de janeiro de 2027;</w:t>
      </w:r>
    </w:p>
    <w:p w14:paraId="2951888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apoia firmemente o esforço de simplificação</w:t>
      </w:r>
      <w:r>
        <w:t xml:space="preserve">, nomeadamente a utilização mais generalizada de </w:t>
      </w:r>
      <w:r>
        <w:rPr>
          <w:b/>
        </w:rPr>
        <w:t>opções de custos simplificados</w:t>
      </w:r>
      <w:r>
        <w:t xml:space="preserve"> (taxas fixas, custos unitários, montantes fixos) para reduzir a burocracia e os custos de conformidade, assinalando simultaneamente que o texto continua a ser tecnicamente exigente e requer uma abordagem que vise uma maior facilidade de utilização;</w:t>
      </w:r>
    </w:p>
    <w:p w14:paraId="37F0641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apela para um maior apoio à aplicação</w:t>
      </w:r>
      <w:r>
        <w:t xml:space="preserve">, instando a Comissão e os Estados-Membros a investirem </w:t>
      </w:r>
      <w:r>
        <w:rPr>
          <w:b/>
        </w:rPr>
        <w:t>na formação e no reforço das capacidades</w:t>
      </w:r>
      <w:r>
        <w:t xml:space="preserve"> das administrações nacionais/regionais/locais e a publicarem um </w:t>
      </w:r>
      <w:r>
        <w:rPr>
          <w:b/>
        </w:rPr>
        <w:t>documento de orientação anotado</w:t>
      </w:r>
      <w:r>
        <w:t xml:space="preserve"> (objeto de atualizações e consultas regulares);</w:t>
      </w:r>
    </w:p>
    <w:p w14:paraId="1C3D6CA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destaca as atualizações mais importantes em matéria de âmbito de aplicação e políticas</w:t>
      </w:r>
      <w:r>
        <w:t xml:space="preserve">, incluindo o </w:t>
      </w:r>
      <w:r>
        <w:rPr>
          <w:b/>
        </w:rPr>
        <w:t>alargamento do RGIC à agricultura</w:t>
      </w:r>
      <w:r>
        <w:t xml:space="preserve"> (com uma articulação clara com o </w:t>
      </w:r>
      <w:r>
        <w:rPr>
          <w:b/>
        </w:rPr>
        <w:t>Regulamento de isenção por categoria no setor agrícola</w:t>
      </w:r>
      <w:r>
        <w:t xml:space="preserve">), o reconhecimento explícito das </w:t>
      </w:r>
      <w:r>
        <w:rPr>
          <w:b/>
        </w:rPr>
        <w:t>empresas sociais</w:t>
      </w:r>
      <w:r>
        <w:t xml:space="preserve"> (em consonância com a definição do Plano de Ação para a Economia Social) e as novas disposições em matéria de </w:t>
      </w:r>
      <w:r>
        <w:rPr>
          <w:b/>
        </w:rPr>
        <w:t>habitação social e a preços acessíveis</w:t>
      </w:r>
      <w:r>
        <w:t>, em consonância com a Decisão (UE) 2025/2630;</w:t>
      </w:r>
    </w:p>
    <w:p w14:paraId="7B7EEEE7"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destaca a concorrência leal, a par das salvaguardas sociais</w:t>
      </w:r>
      <w:r>
        <w:t>, congratulando-se com o reforço do apoio aos</w:t>
      </w:r>
      <w:r>
        <w:rPr>
          <w:b/>
        </w:rPr>
        <w:t xml:space="preserve"> trabalhadores desfavorecidos e às pessoas com deficiência</w:t>
      </w:r>
      <w:r>
        <w:t xml:space="preserve"> (incluindo uma proposta de reconhecimento das </w:t>
      </w:r>
      <w:r>
        <w:rPr>
          <w:b/>
        </w:rPr>
        <w:t>empresas sociais de integração profissional</w:t>
      </w:r>
      <w:r>
        <w:t xml:space="preserve">), salientando simultaneamente que os beneficiários devem respeitar os </w:t>
      </w:r>
      <w:r>
        <w:rPr>
          <w:b/>
        </w:rPr>
        <w:t>critérios de proteção laboral e de responsabilidade social</w:t>
      </w:r>
      <w:r>
        <w:t xml:space="preserve"> e que as regras aplicáveis aos intermediários financeiros devem permitir uma prestação rápida sem distorções indevidas.</w:t>
      </w:r>
    </w:p>
    <w:p w14:paraId="4FA00DC0" w14:textId="77777777" w:rsidR="001F5811" w:rsidRPr="001F5811" w:rsidRDefault="001F5811" w:rsidP="001F5811">
      <w:pPr>
        <w:ind w:left="567"/>
        <w:rPr>
          <w:bCs/>
          <w:iCs/>
          <w:sz w:val="24"/>
          <w:szCs w:val="24"/>
          <w:lang w:eastAsia="fr-BE"/>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7195"/>
      </w:tblGrid>
      <w:tr w:rsidR="001F5811" w:rsidRPr="001F5811" w14:paraId="41C90AC1" w14:textId="77777777" w:rsidTr="00A16D01">
        <w:tc>
          <w:tcPr>
            <w:tcW w:w="1127" w:type="pct"/>
          </w:tcPr>
          <w:p w14:paraId="4A3C6613" w14:textId="77777777" w:rsidR="001F5811" w:rsidRPr="001F5811" w:rsidRDefault="001F5811" w:rsidP="001F5811">
            <w:pPr>
              <w:overflowPunct w:val="0"/>
              <w:autoSpaceDE w:val="0"/>
              <w:autoSpaceDN w:val="0"/>
              <w:adjustRightInd w:val="0"/>
              <w:textAlignment w:val="baseline"/>
              <w:rPr>
                <w:i/>
              </w:rPr>
            </w:pPr>
            <w:r>
              <w:rPr>
                <w:b/>
                <w:i/>
              </w:rPr>
              <w:t>Contacto</w:t>
            </w:r>
          </w:p>
        </w:tc>
        <w:tc>
          <w:tcPr>
            <w:tcW w:w="3873" w:type="pct"/>
          </w:tcPr>
          <w:p w14:paraId="0A24D341" w14:textId="1065C5E8" w:rsidR="001F5811" w:rsidRPr="001F5811" w:rsidRDefault="001F5811" w:rsidP="001F5811">
            <w:pPr>
              <w:overflowPunct w:val="0"/>
              <w:autoSpaceDE w:val="0"/>
              <w:autoSpaceDN w:val="0"/>
              <w:adjustRightInd w:val="0"/>
              <w:textAlignment w:val="baseline"/>
              <w:rPr>
                <w:i/>
              </w:rPr>
            </w:pPr>
            <w:r>
              <w:rPr>
                <w:i/>
              </w:rPr>
              <w:t>Silvia Staffa</w:t>
            </w:r>
          </w:p>
        </w:tc>
      </w:tr>
      <w:tr w:rsidR="001F5811" w:rsidRPr="001F5811" w14:paraId="5DD1E7F5" w14:textId="77777777" w:rsidTr="00A16D01">
        <w:tc>
          <w:tcPr>
            <w:tcW w:w="1127" w:type="pct"/>
          </w:tcPr>
          <w:p w14:paraId="58AE530C" w14:textId="77777777" w:rsidR="001F5811" w:rsidRPr="001F5811" w:rsidRDefault="001F5811" w:rsidP="001F5811">
            <w:pPr>
              <w:overflowPunct w:val="0"/>
              <w:autoSpaceDE w:val="0"/>
              <w:autoSpaceDN w:val="0"/>
              <w:adjustRightInd w:val="0"/>
              <w:textAlignment w:val="baseline"/>
              <w:rPr>
                <w:i/>
              </w:rPr>
            </w:pPr>
            <w:r>
              <w:rPr>
                <w:i/>
              </w:rPr>
              <w:t>Tel.</w:t>
            </w:r>
          </w:p>
        </w:tc>
        <w:tc>
          <w:tcPr>
            <w:tcW w:w="3873" w:type="pct"/>
          </w:tcPr>
          <w:p w14:paraId="32B4D165" w14:textId="77777777" w:rsidR="001F5811" w:rsidRPr="001F5811" w:rsidRDefault="001F5811" w:rsidP="001F5811">
            <w:pPr>
              <w:overflowPunct w:val="0"/>
              <w:autoSpaceDE w:val="0"/>
              <w:autoSpaceDN w:val="0"/>
              <w:adjustRightInd w:val="0"/>
              <w:textAlignment w:val="baseline"/>
              <w:rPr>
                <w:i/>
              </w:rPr>
            </w:pPr>
            <w:r>
              <w:rPr>
                <w:i/>
              </w:rPr>
              <w:t>+32 2 546 83 78</w:t>
            </w:r>
          </w:p>
        </w:tc>
      </w:tr>
      <w:tr w:rsidR="001F5811" w:rsidRPr="001F5811" w14:paraId="3F8E7700" w14:textId="77777777" w:rsidTr="00A16D01">
        <w:tc>
          <w:tcPr>
            <w:tcW w:w="1127" w:type="pct"/>
          </w:tcPr>
          <w:p w14:paraId="58BC7ACB" w14:textId="77777777" w:rsidR="001F5811" w:rsidRPr="001F5811" w:rsidRDefault="001F5811" w:rsidP="001F5811">
            <w:pPr>
              <w:overflowPunct w:val="0"/>
              <w:autoSpaceDE w:val="0"/>
              <w:autoSpaceDN w:val="0"/>
              <w:adjustRightInd w:val="0"/>
              <w:textAlignment w:val="baseline"/>
              <w:rPr>
                <w:i/>
              </w:rPr>
            </w:pPr>
            <w:r>
              <w:rPr>
                <w:i/>
              </w:rPr>
              <w:t>Endereço eletrónico</w:t>
            </w:r>
          </w:p>
        </w:tc>
        <w:tc>
          <w:tcPr>
            <w:tcW w:w="3873" w:type="pct"/>
          </w:tcPr>
          <w:p w14:paraId="51BFA0F3" w14:textId="77777777" w:rsidR="001F5811" w:rsidRPr="001F5811" w:rsidRDefault="00075C8D" w:rsidP="001F5811">
            <w:pPr>
              <w:overflowPunct w:val="0"/>
              <w:autoSpaceDE w:val="0"/>
              <w:autoSpaceDN w:val="0"/>
              <w:adjustRightInd w:val="0"/>
              <w:textAlignment w:val="baseline"/>
              <w:rPr>
                <w:i/>
                <w:iCs/>
              </w:rPr>
            </w:pPr>
            <w:hyperlink r:id="rId38" w:history="1">
              <w:r w:rsidR="00507B0A">
                <w:rPr>
                  <w:i/>
                  <w:color w:val="0000FF"/>
                  <w:u w:val="single"/>
                </w:rPr>
                <w:t>Silvia.Staffa@eesc.europa.eu</w:t>
              </w:r>
            </w:hyperlink>
          </w:p>
        </w:tc>
      </w:tr>
    </w:tbl>
    <w:p w14:paraId="4982DE1D"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45" w:name="_Toc70322234"/>
      <w:bookmarkStart w:id="46" w:name="_Toc75527084"/>
      <w:bookmarkStart w:id="47" w:name="_Toc232773780"/>
      <w:bookmarkStart w:id="48" w:name="_Toc232774260"/>
      <w:r>
        <w:rPr>
          <w:b/>
        </w:rPr>
        <w:lastRenderedPageBreak/>
        <w:t>AGRICULTURA, DESENVOLVIMENTO RURAL E AMBIENTE</w:t>
      </w:r>
      <w:bookmarkEnd w:id="45"/>
      <w:bookmarkEnd w:id="46"/>
      <w:bookmarkEnd w:id="47"/>
      <w:bookmarkEnd w:id="48"/>
    </w:p>
    <w:p w14:paraId="4982DE20" w14:textId="77777777" w:rsidR="004D7AC0" w:rsidRDefault="004D7AC0" w:rsidP="001766B2"/>
    <w:p w14:paraId="599FEAFA" w14:textId="3FBCFDB1" w:rsidR="00180329" w:rsidRPr="00180329" w:rsidRDefault="00075C8D" w:rsidP="00180329">
      <w:pPr>
        <w:widowControl w:val="0"/>
        <w:numPr>
          <w:ilvl w:val="0"/>
          <w:numId w:val="4"/>
        </w:numPr>
        <w:overflowPunct w:val="0"/>
        <w:autoSpaceDE w:val="0"/>
        <w:autoSpaceDN w:val="0"/>
        <w:adjustRightInd w:val="0"/>
        <w:ind w:hanging="567"/>
        <w:textAlignment w:val="baseline"/>
        <w:rPr>
          <w:b/>
          <w:bCs/>
          <w:szCs w:val="20"/>
        </w:rPr>
      </w:pPr>
      <w:hyperlink r:id="rId39" w:history="1">
        <w:r w:rsidR="00507B0A">
          <w:rPr>
            <w:b/>
            <w:i/>
            <w:color w:val="0000FF"/>
            <w:sz w:val="28"/>
            <w:u w:val="single"/>
          </w:rPr>
          <w:t>Transposição das medidas relativas às organizações regionais de gestão das pescas – ORGP II</w:t>
        </w:r>
      </w:hyperlink>
    </w:p>
    <w:p w14:paraId="670654D5" w14:textId="77777777" w:rsidR="00180329" w:rsidRPr="00180329" w:rsidRDefault="00180329" w:rsidP="00180329">
      <w:pPr>
        <w:widowControl w:val="0"/>
        <w:overflowPunct w:val="0"/>
        <w:autoSpaceDE w:val="0"/>
        <w:autoSpaceDN w:val="0"/>
        <w:adjustRightInd w:val="0"/>
        <w:ind w:left="266"/>
        <w:textAlignment w:val="baseline"/>
        <w:rPr>
          <w:b/>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180329" w:rsidRPr="00180329" w14:paraId="36D0F6EF" w14:textId="77777777" w:rsidTr="0033503A">
        <w:tc>
          <w:tcPr>
            <w:tcW w:w="1077" w:type="pct"/>
            <w:vMerge w:val="restart"/>
          </w:tcPr>
          <w:p w14:paraId="78F14B50"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r>
              <w:rPr>
                <w:b/>
              </w:rPr>
              <w:t>Referências</w:t>
            </w:r>
          </w:p>
        </w:tc>
        <w:tc>
          <w:tcPr>
            <w:tcW w:w="3923" w:type="pct"/>
          </w:tcPr>
          <w:p w14:paraId="2F1F795A" w14:textId="78F99BD2" w:rsidR="006A17CA" w:rsidRDefault="00610957" w:rsidP="00180329">
            <w:pPr>
              <w:tabs>
                <w:tab w:val="center" w:pos="284"/>
              </w:tabs>
              <w:overflowPunct w:val="0"/>
              <w:autoSpaceDE w:val="0"/>
              <w:autoSpaceDN w:val="0"/>
              <w:adjustRightInd w:val="0"/>
              <w:ind w:left="266" w:right="-3091" w:hanging="266"/>
              <w:textAlignment w:val="baseline"/>
            </w:pPr>
            <w:r>
              <w:t>Parecer da categoria C</w:t>
            </w:r>
          </w:p>
          <w:p w14:paraId="5BE33765" w14:textId="58BB93BC" w:rsidR="00180329" w:rsidRPr="00180329" w:rsidRDefault="00180329" w:rsidP="00180329">
            <w:pPr>
              <w:tabs>
                <w:tab w:val="center" w:pos="284"/>
              </w:tabs>
              <w:overflowPunct w:val="0"/>
              <w:autoSpaceDE w:val="0"/>
              <w:autoSpaceDN w:val="0"/>
              <w:adjustRightInd w:val="0"/>
              <w:ind w:left="266" w:right="-3091" w:hanging="266"/>
              <w:textAlignment w:val="baseline"/>
            </w:pPr>
            <w:r>
              <w:t>COM(2026) 198 final</w:t>
            </w:r>
          </w:p>
        </w:tc>
      </w:tr>
      <w:tr w:rsidR="00180329" w:rsidRPr="00180329" w14:paraId="7459CFA2" w14:textId="77777777" w:rsidTr="0033503A">
        <w:tc>
          <w:tcPr>
            <w:tcW w:w="1077" w:type="pct"/>
            <w:vMerge/>
          </w:tcPr>
          <w:p w14:paraId="099DEF1E"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180329" w:rsidRDefault="00180329" w:rsidP="00180329">
            <w:pPr>
              <w:tabs>
                <w:tab w:val="center" w:pos="284"/>
              </w:tabs>
              <w:overflowPunct w:val="0"/>
              <w:autoSpaceDE w:val="0"/>
              <w:autoSpaceDN w:val="0"/>
              <w:adjustRightInd w:val="0"/>
              <w:ind w:left="266" w:right="-3091" w:hanging="266"/>
              <w:textAlignment w:val="baseline"/>
            </w:pPr>
            <w:r>
              <w:t>EESC-2026-01617-00-00-AC</w:t>
            </w:r>
          </w:p>
        </w:tc>
      </w:tr>
    </w:tbl>
    <w:p w14:paraId="347F61C7" w14:textId="77777777" w:rsidR="00180329" w:rsidRPr="00180329" w:rsidRDefault="00180329" w:rsidP="00180329">
      <w:pPr>
        <w:tabs>
          <w:tab w:val="center" w:pos="284"/>
        </w:tabs>
        <w:overflowPunct w:val="0"/>
        <w:autoSpaceDE w:val="0"/>
        <w:autoSpaceDN w:val="0"/>
        <w:adjustRightInd w:val="0"/>
        <w:ind w:left="266" w:hanging="266"/>
        <w:textAlignment w:val="baseline"/>
        <w:rPr>
          <w:b/>
          <w:lang w:val="en-GB"/>
        </w:rPr>
      </w:pPr>
    </w:p>
    <w:p w14:paraId="15D6E6BD"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rPr>
      </w:pPr>
      <w:r>
        <w:rPr>
          <w:b/>
        </w:rPr>
        <w:t>Pontos principais</w:t>
      </w:r>
    </w:p>
    <w:p w14:paraId="705E9329"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lang w:val="en-GB"/>
        </w:rPr>
      </w:pPr>
    </w:p>
    <w:p w14:paraId="7EFE52D9" w14:textId="2A2619AF" w:rsidR="00180329" w:rsidRPr="00180329" w:rsidRDefault="00180329" w:rsidP="00AD2F07">
      <w:pPr>
        <w:overflowPunct w:val="0"/>
        <w:autoSpaceDE w:val="0"/>
        <w:autoSpaceDN w:val="0"/>
        <w:adjustRightInd w:val="0"/>
        <w:textAlignment w:val="baseline"/>
      </w:pPr>
      <w:r>
        <w:t>O Comité Económico e Social Europeu, considera que já se pronunciara sobre o conteúdo desta proposta nos pareceres:</w:t>
      </w:r>
    </w:p>
    <w:p w14:paraId="7DBD4597"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0" w:history="1">
        <w:r w:rsidR="00180329">
          <w:rPr>
            <w:color w:val="0000FF"/>
            <w:u w:val="single"/>
          </w:rPr>
          <w:t>Alteração dos regulamentos relativos à pesca internacional (NAFO, SPRFMO, IOTC, WCPFC, IATTC e CICTA)</w:t>
        </w:r>
      </w:hyperlink>
      <w:r w:rsidR="00180329" w:rsidRPr="00180329">
        <w:rPr>
          <w:i/>
          <w:iCs/>
          <w:sz w:val="24"/>
          <w:vertAlign w:val="superscript"/>
          <w:lang w:val="en-GB" w:eastAsia="zh-CN"/>
        </w:rPr>
        <w:footnoteReference w:id="2"/>
      </w:r>
      <w:r w:rsidR="00180329">
        <w:t>, adotado em 16 de julho de 2025,</w:t>
      </w:r>
    </w:p>
    <w:p w14:paraId="6123AE4F"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1" w:history="1">
        <w:r w:rsidR="00180329">
          <w:rPr>
            <w:color w:val="0000FF"/>
            <w:u w:val="single"/>
          </w:rPr>
          <w:t>Pescas – NAFO</w:t>
        </w:r>
      </w:hyperlink>
      <w:r w:rsidR="00180329" w:rsidRPr="00180329">
        <w:rPr>
          <w:sz w:val="24"/>
          <w:vertAlign w:val="superscript"/>
          <w:lang w:val="en-GB" w:eastAsia="zh-CN"/>
        </w:rPr>
        <w:footnoteReference w:id="3"/>
      </w:r>
      <w:r w:rsidR="00180329">
        <w:t>, adotado em 15 de junho de 2023,</w:t>
      </w:r>
    </w:p>
    <w:p w14:paraId="30E301AA"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2" w:history="1">
        <w:r w:rsidR="00180329">
          <w:rPr>
            <w:color w:val="0000FF"/>
            <w:u w:val="single"/>
          </w:rPr>
          <w:t>Medidas de conservação e de execução – NAFO</w:t>
        </w:r>
      </w:hyperlink>
      <w:r w:rsidR="00180329" w:rsidRPr="00180329">
        <w:rPr>
          <w:sz w:val="24"/>
          <w:vertAlign w:val="superscript"/>
          <w:lang w:val="en-GB" w:eastAsia="zh-CN"/>
        </w:rPr>
        <w:footnoteReference w:id="4"/>
      </w:r>
      <w:r w:rsidR="00180329">
        <w:t>, adotado em 24 de março de 2022,</w:t>
      </w:r>
    </w:p>
    <w:p w14:paraId="0FC39EFE"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3" w:history="1">
        <w:r w:rsidR="00180329">
          <w:rPr>
            <w:color w:val="0000FF"/>
            <w:u w:val="single"/>
          </w:rPr>
          <w:t>Conservação dos tunídeos do Atlântico (CICTA)</w:t>
        </w:r>
      </w:hyperlink>
      <w:r w:rsidR="00180329" w:rsidRPr="00180329">
        <w:rPr>
          <w:sz w:val="24"/>
          <w:vertAlign w:val="superscript"/>
          <w:lang w:val="en-GB" w:eastAsia="zh-CN"/>
        </w:rPr>
        <w:footnoteReference w:id="5"/>
      </w:r>
      <w:r w:rsidR="00180329">
        <w:t>, adotado em 15 de junho de 2022,</w:t>
      </w:r>
    </w:p>
    <w:p w14:paraId="5EB72DA5"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4" w:history="1">
        <w:r w:rsidR="00180329">
          <w:rPr>
            <w:color w:val="0000FF"/>
            <w:u w:val="single"/>
          </w:rPr>
          <w:t>Documentação das capturas de atum-rabilho</w:t>
        </w:r>
      </w:hyperlink>
      <w:r w:rsidR="00180329" w:rsidRPr="00180329">
        <w:rPr>
          <w:sz w:val="24"/>
          <w:vertAlign w:val="superscript"/>
          <w:lang w:val="en-GB" w:eastAsia="zh-CN"/>
        </w:rPr>
        <w:footnoteReference w:id="6"/>
      </w:r>
      <w:r w:rsidR="00180329">
        <w:t>, adotado em 27 de janeiro de 2021,</w:t>
      </w:r>
    </w:p>
    <w:p w14:paraId="345EF5B3"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5" w:history="1">
        <w:r w:rsidR="00180329">
          <w:rPr>
            <w:color w:val="0000FF"/>
            <w:u w:val="single"/>
          </w:rPr>
          <w:t>Pescas – Transposição das medidas adotadas pela IATTC</w:t>
        </w:r>
      </w:hyperlink>
      <w:r w:rsidR="00180329" w:rsidRPr="00180329">
        <w:rPr>
          <w:sz w:val="24"/>
          <w:vertAlign w:val="superscript"/>
          <w:lang w:val="en-GB" w:eastAsia="zh-CN"/>
        </w:rPr>
        <w:footnoteReference w:id="7"/>
      </w:r>
      <w:r w:rsidR="00180329">
        <w:t>, adotado em 2 de dezembro de 2020,</w:t>
      </w:r>
    </w:p>
    <w:p w14:paraId="3A0496F0"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6" w:history="1">
        <w:r w:rsidR="00180329">
          <w:rPr>
            <w:color w:val="0000FF"/>
            <w:u w:val="single"/>
          </w:rPr>
          <w:t>Medidas de conservação e de execução – NAFO</w:t>
        </w:r>
      </w:hyperlink>
      <w:r w:rsidR="00180329" w:rsidRPr="00180329">
        <w:rPr>
          <w:sz w:val="24"/>
          <w:vertAlign w:val="superscript"/>
          <w:lang w:val="en-GB" w:eastAsia="zh-CN"/>
        </w:rPr>
        <w:footnoteReference w:id="8"/>
      </w:r>
      <w:r w:rsidR="00180329">
        <w:t>, adotado em18 de setembro de 2020,</w:t>
      </w:r>
    </w:p>
    <w:p w14:paraId="5D1F56E4"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7" w:history="1">
        <w:r w:rsidR="00180329">
          <w:rPr>
            <w:color w:val="0000FF"/>
            <w:u w:val="single"/>
          </w:rPr>
          <w:t>Plano de gestão plurianual do atum-rabilho</w:t>
        </w:r>
      </w:hyperlink>
      <w:r w:rsidR="00180329" w:rsidRPr="00180329">
        <w:rPr>
          <w:sz w:val="24"/>
          <w:vertAlign w:val="superscript"/>
          <w:lang w:val="en-GB" w:eastAsia="zh-CN"/>
        </w:rPr>
        <w:footnoteReference w:id="9"/>
      </w:r>
      <w:r w:rsidR="00180329">
        <w:t>, adotado em 7 de maio de 2020,</w:t>
      </w:r>
    </w:p>
    <w:p w14:paraId="165563A3"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8" w:history="1">
        <w:r w:rsidR="00180329">
          <w:rPr>
            <w:color w:val="0000FF"/>
            <w:u w:val="single"/>
          </w:rPr>
          <w:t>Medidas de conservação e de controlo na Área da Organização das Pescarias do Noroeste do Atlântico</w:t>
        </w:r>
      </w:hyperlink>
      <w:r w:rsidR="00180329" w:rsidRPr="00180329">
        <w:rPr>
          <w:sz w:val="24"/>
          <w:vertAlign w:val="superscript"/>
          <w:lang w:val="en-GB" w:eastAsia="zh-CN"/>
        </w:rPr>
        <w:footnoteReference w:id="10"/>
      </w:r>
      <w:r w:rsidR="00180329">
        <w:t>, adotado em 23 de janeiro de 2019,</w:t>
      </w:r>
    </w:p>
    <w:p w14:paraId="64DC32E3" w14:textId="77777777" w:rsidR="00180329" w:rsidRPr="00180329" w:rsidRDefault="00075C8D"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9" w:history="1">
        <w:r w:rsidR="00180329">
          <w:rPr>
            <w:color w:val="0000FF"/>
            <w:u w:val="single"/>
          </w:rPr>
          <w:t>Conservação dos tunídeos do Atlântico</w:t>
        </w:r>
      </w:hyperlink>
      <w:r w:rsidR="00180329" w:rsidRPr="00180329">
        <w:rPr>
          <w:sz w:val="24"/>
          <w:vertAlign w:val="superscript"/>
          <w:lang w:val="en-GB" w:eastAsia="zh-CN"/>
        </w:rPr>
        <w:footnoteReference w:id="11"/>
      </w:r>
      <w:r w:rsidR="00180329">
        <w:t>, adotado em 19 de outubro de 2016,</w:t>
      </w:r>
    </w:p>
    <w:p w14:paraId="6E992406" w14:textId="77777777" w:rsidR="00180329" w:rsidRPr="00180329" w:rsidRDefault="00075C8D" w:rsidP="00AD2F07">
      <w:pPr>
        <w:numPr>
          <w:ilvl w:val="0"/>
          <w:numId w:val="32"/>
        </w:numPr>
        <w:tabs>
          <w:tab w:val="left" w:pos="851"/>
        </w:tabs>
        <w:overflowPunct w:val="0"/>
        <w:autoSpaceDE w:val="0"/>
        <w:autoSpaceDN w:val="0"/>
        <w:adjustRightInd w:val="0"/>
        <w:spacing w:line="276" w:lineRule="auto"/>
        <w:ind w:left="284" w:hanging="284"/>
        <w:contextualSpacing/>
        <w:jc w:val="left"/>
        <w:textAlignment w:val="baseline"/>
      </w:pPr>
      <w:hyperlink r:id="rId50" w:history="1">
        <w:r w:rsidR="00180329">
          <w:rPr>
            <w:color w:val="0000FF"/>
            <w:u w:val="single"/>
          </w:rPr>
          <w:t>Autorizações de pesca</w:t>
        </w:r>
      </w:hyperlink>
      <w:r w:rsidR="00180329" w:rsidRPr="00180329">
        <w:rPr>
          <w:sz w:val="24"/>
          <w:vertAlign w:val="superscript"/>
          <w:lang w:val="en-GB" w:eastAsia="zh-CN"/>
        </w:rPr>
        <w:footnoteReference w:id="12"/>
      </w:r>
      <w:r w:rsidR="00180329">
        <w:t>, adotado em 25 de maio de 2016,</w:t>
      </w:r>
    </w:p>
    <w:p w14:paraId="4114B3A9" w14:textId="77777777" w:rsidR="00180329" w:rsidRPr="00180329" w:rsidRDefault="00180329" w:rsidP="00AD2F07">
      <w:pPr>
        <w:numPr>
          <w:ilvl w:val="0"/>
          <w:numId w:val="33"/>
        </w:numPr>
        <w:overflowPunct w:val="0"/>
        <w:autoSpaceDE w:val="0"/>
        <w:autoSpaceDN w:val="0"/>
        <w:adjustRightInd w:val="0"/>
        <w:spacing w:line="276" w:lineRule="auto"/>
        <w:ind w:left="284" w:hanging="284"/>
        <w:contextualSpacing/>
        <w:jc w:val="left"/>
        <w:textAlignment w:val="baseline"/>
        <w:rPr>
          <w:rFonts w:ascii="Calibri" w:hAnsi="Calibri"/>
        </w:rPr>
      </w:pPr>
      <w:r>
        <w:t>pelo que decidiu não elaborar um novo parecer sobre o assunto, remetendo para a posição defendida nos documentos supramencionados.</w:t>
      </w:r>
    </w:p>
    <w:p w14:paraId="523D4025" w14:textId="77777777" w:rsidR="00180329" w:rsidRPr="00180329" w:rsidRDefault="00180329" w:rsidP="00180329">
      <w:pPr>
        <w:widowControl w:val="0"/>
        <w:tabs>
          <w:tab w:val="left" w:pos="2968"/>
        </w:tabs>
        <w:overflowPunct w:val="0"/>
        <w:autoSpaceDE w:val="0"/>
        <w:autoSpaceDN w:val="0"/>
        <w:adjustRightInd w:val="0"/>
        <w:ind w:left="709"/>
        <w:textAlignment w:val="baseline"/>
        <w:rPr>
          <w:szCs w:val="20"/>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180329" w:rsidRPr="00180329" w14:paraId="2C07F103" w14:textId="77777777" w:rsidTr="0033503A">
        <w:tc>
          <w:tcPr>
            <w:tcW w:w="1078" w:type="pct"/>
          </w:tcPr>
          <w:p w14:paraId="12D2BEE9" w14:textId="77777777" w:rsidR="00180329" w:rsidRPr="00180329" w:rsidRDefault="00180329" w:rsidP="00180329">
            <w:pPr>
              <w:overflowPunct w:val="0"/>
              <w:autoSpaceDE w:val="0"/>
              <w:autoSpaceDN w:val="0"/>
              <w:adjustRightInd w:val="0"/>
              <w:textAlignment w:val="baseline"/>
              <w:rPr>
                <w:i/>
              </w:rPr>
            </w:pPr>
            <w:r>
              <w:rPr>
                <w:b/>
                <w:i/>
              </w:rPr>
              <w:t>Contacto</w:t>
            </w:r>
          </w:p>
        </w:tc>
        <w:tc>
          <w:tcPr>
            <w:tcW w:w="3922" w:type="pct"/>
          </w:tcPr>
          <w:p w14:paraId="39F2A099" w14:textId="77777777" w:rsidR="00180329" w:rsidRPr="00180329" w:rsidRDefault="00180329" w:rsidP="00180329">
            <w:pPr>
              <w:overflowPunct w:val="0"/>
              <w:autoSpaceDE w:val="0"/>
              <w:autoSpaceDN w:val="0"/>
              <w:adjustRightInd w:val="0"/>
              <w:textAlignment w:val="baseline"/>
              <w:rPr>
                <w:i/>
              </w:rPr>
            </w:pPr>
            <w:r>
              <w:rPr>
                <w:i/>
              </w:rPr>
              <w:t>Arturo Íñiguez Yuste</w:t>
            </w:r>
          </w:p>
        </w:tc>
      </w:tr>
      <w:tr w:rsidR="00180329" w:rsidRPr="00180329" w14:paraId="534D3AAA" w14:textId="77777777" w:rsidTr="0033503A">
        <w:tc>
          <w:tcPr>
            <w:tcW w:w="1078" w:type="pct"/>
          </w:tcPr>
          <w:p w14:paraId="47B5DB5A" w14:textId="77777777" w:rsidR="00180329" w:rsidRPr="00180329" w:rsidRDefault="00180329" w:rsidP="00180329">
            <w:pPr>
              <w:overflowPunct w:val="0"/>
              <w:autoSpaceDE w:val="0"/>
              <w:autoSpaceDN w:val="0"/>
              <w:adjustRightInd w:val="0"/>
              <w:textAlignment w:val="baseline"/>
              <w:rPr>
                <w:i/>
              </w:rPr>
            </w:pPr>
            <w:r>
              <w:rPr>
                <w:i/>
              </w:rPr>
              <w:t>Tel.</w:t>
            </w:r>
          </w:p>
        </w:tc>
        <w:tc>
          <w:tcPr>
            <w:tcW w:w="3922" w:type="pct"/>
          </w:tcPr>
          <w:p w14:paraId="26ACEEAD" w14:textId="77777777" w:rsidR="00180329" w:rsidRPr="00180329" w:rsidRDefault="00180329" w:rsidP="00180329">
            <w:pPr>
              <w:overflowPunct w:val="0"/>
              <w:autoSpaceDE w:val="0"/>
              <w:autoSpaceDN w:val="0"/>
              <w:adjustRightInd w:val="0"/>
              <w:textAlignment w:val="baseline"/>
              <w:rPr>
                <w:i/>
              </w:rPr>
            </w:pPr>
            <w:r>
              <w:rPr>
                <w:i/>
              </w:rPr>
              <w:t>+32 2 546 87 68</w:t>
            </w:r>
          </w:p>
        </w:tc>
      </w:tr>
      <w:tr w:rsidR="00180329" w:rsidRPr="00180329" w14:paraId="3A1C7590" w14:textId="77777777" w:rsidTr="0033503A">
        <w:tc>
          <w:tcPr>
            <w:tcW w:w="1078" w:type="pct"/>
          </w:tcPr>
          <w:p w14:paraId="54D0611A" w14:textId="448EAB74" w:rsidR="00180329" w:rsidRPr="00180329" w:rsidRDefault="00180329" w:rsidP="00180329">
            <w:pPr>
              <w:overflowPunct w:val="0"/>
              <w:autoSpaceDE w:val="0"/>
              <w:autoSpaceDN w:val="0"/>
              <w:adjustRightInd w:val="0"/>
              <w:textAlignment w:val="baseline"/>
              <w:rPr>
                <w:i/>
              </w:rPr>
            </w:pPr>
            <w:r>
              <w:rPr>
                <w:i/>
              </w:rPr>
              <w:t>Endereço eletrónico</w:t>
            </w:r>
          </w:p>
        </w:tc>
        <w:tc>
          <w:tcPr>
            <w:tcW w:w="3922" w:type="pct"/>
          </w:tcPr>
          <w:p w14:paraId="5929F803" w14:textId="77777777" w:rsidR="00180329" w:rsidRPr="00180329" w:rsidRDefault="00075C8D" w:rsidP="00180329">
            <w:pPr>
              <w:overflowPunct w:val="0"/>
              <w:autoSpaceDE w:val="0"/>
              <w:autoSpaceDN w:val="0"/>
              <w:adjustRightInd w:val="0"/>
              <w:textAlignment w:val="baseline"/>
              <w:rPr>
                <w:i/>
                <w:iCs/>
              </w:rPr>
            </w:pPr>
            <w:hyperlink r:id="rId51" w:history="1">
              <w:r w:rsidR="00507B0A">
                <w:rPr>
                  <w:i/>
                  <w:color w:val="0000FF"/>
                  <w:u w:val="single"/>
                </w:rPr>
                <w:t>Arturo.Iniguez@eesc.europa.eu</w:t>
              </w:r>
            </w:hyperlink>
          </w:p>
        </w:tc>
      </w:tr>
    </w:tbl>
    <w:p w14:paraId="0A408A29" w14:textId="115A8A90" w:rsidR="00F66035" w:rsidRDefault="00F66035">
      <w:pPr>
        <w:widowControl w:val="0"/>
        <w:overflowPunct w:val="0"/>
        <w:autoSpaceDE w:val="0"/>
        <w:autoSpaceDN w:val="0"/>
        <w:adjustRightInd w:val="0"/>
        <w:ind w:firstLine="284"/>
        <w:textAlignment w:val="baseline"/>
        <w:rPr>
          <w:b/>
          <w:bCs/>
          <w:i/>
          <w:iCs/>
          <w:sz w:val="28"/>
          <w:szCs w:val="28"/>
          <w:lang w:val="en-GB"/>
        </w:rPr>
      </w:pPr>
    </w:p>
    <w:p w14:paraId="2E27F48E" w14:textId="2BD63052" w:rsidR="00C7486E" w:rsidRPr="00C7486E" w:rsidRDefault="00075C8D" w:rsidP="00C7486E">
      <w:pPr>
        <w:widowControl w:val="0"/>
        <w:numPr>
          <w:ilvl w:val="0"/>
          <w:numId w:val="4"/>
        </w:numPr>
        <w:overflowPunct w:val="0"/>
        <w:autoSpaceDE w:val="0"/>
        <w:autoSpaceDN w:val="0"/>
        <w:adjustRightInd w:val="0"/>
        <w:ind w:hanging="567"/>
        <w:textAlignment w:val="baseline"/>
        <w:rPr>
          <w:b/>
          <w:bCs/>
          <w:szCs w:val="20"/>
        </w:rPr>
      </w:pPr>
      <w:hyperlink r:id="rId52" w:history="1">
        <w:r w:rsidR="00507B0A">
          <w:rPr>
            <w:b/>
            <w:i/>
            <w:color w:val="0000FF"/>
            <w:sz w:val="28"/>
            <w:u w:val="single"/>
          </w:rPr>
          <w:t>Proibição da exportação de misturas de resíduos urbanos destinadas a valorização</w:t>
        </w:r>
      </w:hyperlink>
    </w:p>
    <w:p w14:paraId="4DDDC07B" w14:textId="77777777" w:rsidR="00C7486E" w:rsidRDefault="00C7486E" w:rsidP="00C7486E">
      <w:pPr>
        <w:widowControl w:val="0"/>
        <w:overflowPunct w:val="0"/>
        <w:autoSpaceDE w:val="0"/>
        <w:autoSpaceDN w:val="0"/>
        <w:adjustRightInd w:val="0"/>
        <w:ind w:left="266"/>
        <w:textAlignment w:val="baseline"/>
        <w:rPr>
          <w:b/>
          <w:lang w:val="en-GB"/>
        </w:rPr>
      </w:pPr>
    </w:p>
    <w:p w14:paraId="6004F686" w14:textId="77777777" w:rsidR="001F20AE" w:rsidRPr="00C7486E" w:rsidRDefault="001F20AE" w:rsidP="00C7486E">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C7486E" w:rsidRPr="00C7486E" w14:paraId="18E99159" w14:textId="77777777" w:rsidTr="0033503A">
        <w:tc>
          <w:tcPr>
            <w:tcW w:w="1077" w:type="pct"/>
            <w:vMerge w:val="restart"/>
          </w:tcPr>
          <w:p w14:paraId="4F2E00CE"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r>
              <w:rPr>
                <w:b/>
              </w:rPr>
              <w:t>Referências</w:t>
            </w:r>
          </w:p>
        </w:tc>
        <w:tc>
          <w:tcPr>
            <w:tcW w:w="3923" w:type="pct"/>
          </w:tcPr>
          <w:p w14:paraId="32C3424E" w14:textId="175CEC3B" w:rsidR="00275889" w:rsidRDefault="00275889" w:rsidP="00C7486E">
            <w:pPr>
              <w:tabs>
                <w:tab w:val="center" w:pos="284"/>
              </w:tabs>
              <w:overflowPunct w:val="0"/>
              <w:autoSpaceDE w:val="0"/>
              <w:autoSpaceDN w:val="0"/>
              <w:adjustRightInd w:val="0"/>
              <w:ind w:left="266" w:right="-3091" w:hanging="266"/>
              <w:textAlignment w:val="baseline"/>
            </w:pPr>
            <w:r>
              <w:t>Parecer da categoria C</w:t>
            </w:r>
          </w:p>
          <w:p w14:paraId="32E1BBAC" w14:textId="08795BCB" w:rsidR="00C7486E" w:rsidRPr="00C7486E" w:rsidRDefault="00C7486E" w:rsidP="00C7486E">
            <w:pPr>
              <w:tabs>
                <w:tab w:val="center" w:pos="284"/>
              </w:tabs>
              <w:overflowPunct w:val="0"/>
              <w:autoSpaceDE w:val="0"/>
              <w:autoSpaceDN w:val="0"/>
              <w:adjustRightInd w:val="0"/>
              <w:ind w:left="266" w:right="-3091" w:hanging="266"/>
              <w:textAlignment w:val="baseline"/>
            </w:pPr>
            <w:r>
              <w:t>COM(2026) 183 final</w:t>
            </w:r>
          </w:p>
        </w:tc>
      </w:tr>
      <w:tr w:rsidR="00C7486E" w:rsidRPr="00C7486E" w14:paraId="292B55B3" w14:textId="77777777" w:rsidTr="0033503A">
        <w:tc>
          <w:tcPr>
            <w:tcW w:w="1077" w:type="pct"/>
            <w:vMerge/>
          </w:tcPr>
          <w:p w14:paraId="5379D155"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C7486E" w:rsidRDefault="00C7486E" w:rsidP="00C7486E">
            <w:pPr>
              <w:tabs>
                <w:tab w:val="center" w:pos="284"/>
              </w:tabs>
              <w:overflowPunct w:val="0"/>
              <w:autoSpaceDE w:val="0"/>
              <w:autoSpaceDN w:val="0"/>
              <w:adjustRightInd w:val="0"/>
              <w:ind w:left="266" w:right="-3091" w:hanging="266"/>
              <w:textAlignment w:val="baseline"/>
            </w:pPr>
            <w:r>
              <w:t>EESC-2026-01615-00-00-AC</w:t>
            </w:r>
          </w:p>
        </w:tc>
      </w:tr>
    </w:tbl>
    <w:p w14:paraId="7E836D6B" w14:textId="77777777" w:rsidR="00C7486E" w:rsidRPr="00C7486E" w:rsidRDefault="00C7486E" w:rsidP="00C7486E">
      <w:pPr>
        <w:tabs>
          <w:tab w:val="center" w:pos="284"/>
        </w:tabs>
        <w:overflowPunct w:val="0"/>
        <w:autoSpaceDE w:val="0"/>
        <w:autoSpaceDN w:val="0"/>
        <w:adjustRightInd w:val="0"/>
        <w:ind w:left="266" w:hanging="266"/>
        <w:textAlignment w:val="baseline"/>
        <w:rPr>
          <w:b/>
          <w:lang w:val="en-GB"/>
        </w:rPr>
      </w:pPr>
    </w:p>
    <w:p w14:paraId="1309A752"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rPr>
      </w:pPr>
      <w:r>
        <w:rPr>
          <w:b/>
        </w:rPr>
        <w:t>Pontos principais</w:t>
      </w:r>
    </w:p>
    <w:p w14:paraId="7464BB98"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lang w:val="en-GB"/>
        </w:rPr>
      </w:pPr>
    </w:p>
    <w:p w14:paraId="728E793D" w14:textId="408AA81B" w:rsidR="00C7486E" w:rsidRPr="00C7486E" w:rsidRDefault="00C7486E" w:rsidP="00AD2F07">
      <w:pPr>
        <w:pStyle w:val="ListParagraph"/>
        <w:ind w:left="0"/>
        <w:rPr>
          <w:szCs w:val="20"/>
        </w:rPr>
      </w:pPr>
      <w:r>
        <w:t xml:space="preserve">O Comité Económico e Social Europeu, considera que o conteúdo da proposta é satisfatório e que, de resto, havia sido já objeto do Parecer – </w:t>
      </w:r>
      <w:hyperlink r:id="rId53" w:history="1">
        <w:r>
          <w:rPr>
            <w:i/>
            <w:color w:val="0000FF"/>
            <w:u w:val="single"/>
          </w:rPr>
          <w:t>Transferências de resíduos – revisão das regras da UE</w:t>
        </w:r>
        <w:r w:rsidRPr="00C7486E">
          <w:rPr>
            <w:i/>
            <w:sz w:val="24"/>
            <w:vertAlign w:val="superscript"/>
            <w:lang w:val="en-GB"/>
          </w:rPr>
          <w:footnoteReference w:id="13"/>
        </w:r>
      </w:hyperlink>
      <w:r>
        <w:t>, adotado em 23 de fevereiro de 2022, o Comité decidiu emitir parecer favorável ao texto proposto, remetendo para a posição defendida no documento mencionado.</w:t>
      </w:r>
    </w:p>
    <w:p w14:paraId="5ECE176A" w14:textId="77777777" w:rsidR="00C7486E" w:rsidRPr="00C7486E" w:rsidRDefault="00C7486E" w:rsidP="00C7486E">
      <w:pPr>
        <w:widowControl w:val="0"/>
        <w:tabs>
          <w:tab w:val="left" w:pos="2968"/>
        </w:tabs>
        <w:overflowPunct w:val="0"/>
        <w:autoSpaceDE w:val="0"/>
        <w:autoSpaceDN w:val="0"/>
        <w:adjustRightInd w:val="0"/>
        <w:ind w:left="709"/>
        <w:textAlignment w:val="baseline"/>
        <w:rPr>
          <w:szCs w:val="20"/>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C7486E" w14:paraId="1031A70A" w14:textId="77777777" w:rsidTr="0033503A">
        <w:tc>
          <w:tcPr>
            <w:tcW w:w="1078" w:type="pct"/>
          </w:tcPr>
          <w:p w14:paraId="236519E5" w14:textId="77777777" w:rsidR="00C7486E" w:rsidRPr="00C7486E" w:rsidRDefault="00C7486E" w:rsidP="00AD2F07">
            <w:pPr>
              <w:overflowPunct w:val="0"/>
              <w:autoSpaceDE w:val="0"/>
              <w:autoSpaceDN w:val="0"/>
              <w:adjustRightInd w:val="0"/>
              <w:ind w:hanging="110"/>
              <w:textAlignment w:val="baseline"/>
              <w:rPr>
                <w:i/>
              </w:rPr>
            </w:pPr>
            <w:r>
              <w:rPr>
                <w:b/>
                <w:i/>
              </w:rPr>
              <w:t>Contacto</w:t>
            </w:r>
          </w:p>
        </w:tc>
        <w:tc>
          <w:tcPr>
            <w:tcW w:w="3922" w:type="pct"/>
          </w:tcPr>
          <w:p w14:paraId="789F3E9B" w14:textId="77777777" w:rsidR="00C7486E" w:rsidRPr="00C7486E" w:rsidRDefault="00C7486E" w:rsidP="00AD2F07">
            <w:pPr>
              <w:overflowPunct w:val="0"/>
              <w:autoSpaceDE w:val="0"/>
              <w:autoSpaceDN w:val="0"/>
              <w:adjustRightInd w:val="0"/>
              <w:ind w:hanging="110"/>
              <w:textAlignment w:val="baseline"/>
              <w:rPr>
                <w:i/>
              </w:rPr>
            </w:pPr>
            <w:r>
              <w:rPr>
                <w:i/>
              </w:rPr>
              <w:t>Arturo Íñiguez Yuste</w:t>
            </w:r>
          </w:p>
        </w:tc>
      </w:tr>
      <w:tr w:rsidR="00C7486E" w:rsidRPr="00C7486E" w14:paraId="62713B1B" w14:textId="77777777" w:rsidTr="0033503A">
        <w:tc>
          <w:tcPr>
            <w:tcW w:w="1078" w:type="pct"/>
          </w:tcPr>
          <w:p w14:paraId="5BE1DF4E" w14:textId="77777777" w:rsidR="00C7486E" w:rsidRPr="00C7486E" w:rsidRDefault="00C7486E" w:rsidP="00AD2F07">
            <w:pPr>
              <w:overflowPunct w:val="0"/>
              <w:autoSpaceDE w:val="0"/>
              <w:autoSpaceDN w:val="0"/>
              <w:adjustRightInd w:val="0"/>
              <w:ind w:hanging="110"/>
              <w:textAlignment w:val="baseline"/>
              <w:rPr>
                <w:i/>
              </w:rPr>
            </w:pPr>
            <w:r>
              <w:rPr>
                <w:i/>
              </w:rPr>
              <w:t>Tel.</w:t>
            </w:r>
          </w:p>
        </w:tc>
        <w:tc>
          <w:tcPr>
            <w:tcW w:w="3922" w:type="pct"/>
          </w:tcPr>
          <w:p w14:paraId="0340A7C7" w14:textId="77777777" w:rsidR="00C7486E" w:rsidRPr="00C7486E" w:rsidRDefault="00C7486E" w:rsidP="00AD2F07">
            <w:pPr>
              <w:overflowPunct w:val="0"/>
              <w:autoSpaceDE w:val="0"/>
              <w:autoSpaceDN w:val="0"/>
              <w:adjustRightInd w:val="0"/>
              <w:ind w:hanging="110"/>
              <w:textAlignment w:val="baseline"/>
              <w:rPr>
                <w:i/>
              </w:rPr>
            </w:pPr>
            <w:r>
              <w:rPr>
                <w:i/>
              </w:rPr>
              <w:t>+32 2 546 87 68</w:t>
            </w:r>
          </w:p>
        </w:tc>
      </w:tr>
      <w:tr w:rsidR="00C7486E" w:rsidRPr="00C7486E" w14:paraId="6971CBB9" w14:textId="77777777" w:rsidTr="0033503A">
        <w:tc>
          <w:tcPr>
            <w:tcW w:w="1078" w:type="pct"/>
          </w:tcPr>
          <w:p w14:paraId="2CF57565" w14:textId="77777777" w:rsidR="00C7486E" w:rsidRPr="00C7486E" w:rsidRDefault="00C7486E" w:rsidP="00AD2F07">
            <w:pPr>
              <w:overflowPunct w:val="0"/>
              <w:autoSpaceDE w:val="0"/>
              <w:autoSpaceDN w:val="0"/>
              <w:adjustRightInd w:val="0"/>
              <w:ind w:hanging="110"/>
              <w:textAlignment w:val="baseline"/>
              <w:rPr>
                <w:i/>
              </w:rPr>
            </w:pPr>
            <w:r>
              <w:rPr>
                <w:i/>
              </w:rPr>
              <w:t>Endereço eletrónico</w:t>
            </w:r>
          </w:p>
        </w:tc>
        <w:tc>
          <w:tcPr>
            <w:tcW w:w="3922" w:type="pct"/>
          </w:tcPr>
          <w:p w14:paraId="5FA57476" w14:textId="77777777" w:rsidR="00C7486E" w:rsidRPr="00C7486E" w:rsidRDefault="00075C8D" w:rsidP="00AD2F07">
            <w:pPr>
              <w:overflowPunct w:val="0"/>
              <w:autoSpaceDE w:val="0"/>
              <w:autoSpaceDN w:val="0"/>
              <w:adjustRightInd w:val="0"/>
              <w:ind w:hanging="110"/>
              <w:textAlignment w:val="baseline"/>
              <w:rPr>
                <w:i/>
                <w:iCs/>
              </w:rPr>
            </w:pPr>
            <w:hyperlink r:id="rId54" w:history="1">
              <w:r w:rsidR="00C7486E">
                <w:rPr>
                  <w:i/>
                  <w:color w:val="0000FF"/>
                  <w:u w:val="single"/>
                </w:rPr>
                <w:t>Arturo.Iniguez@eesc.europa.eu</w:t>
              </w:r>
            </w:hyperlink>
          </w:p>
        </w:tc>
      </w:tr>
    </w:tbl>
    <w:p w14:paraId="0AB0D1D5" w14:textId="77777777" w:rsidR="001766B2" w:rsidRDefault="001766B2" w:rsidP="001766B2">
      <w:pPr>
        <w:jc w:val="left"/>
      </w:pPr>
    </w:p>
    <w:p w14:paraId="715DB2BD" w14:textId="77777777" w:rsidR="007F5784" w:rsidRDefault="007F5784" w:rsidP="001766B2">
      <w:pPr>
        <w:jc w:val="left"/>
      </w:pPr>
      <w:r>
        <w:br w:type="page"/>
      </w:r>
    </w:p>
    <w:p w14:paraId="0521DEEF" w14:textId="2BEE9F85" w:rsidR="00CE6367" w:rsidRPr="00CE6367" w:rsidRDefault="00075C8D" w:rsidP="00CE6367">
      <w:pPr>
        <w:widowControl w:val="0"/>
        <w:numPr>
          <w:ilvl w:val="0"/>
          <w:numId w:val="16"/>
        </w:numPr>
        <w:overflowPunct w:val="0"/>
        <w:autoSpaceDE w:val="0"/>
        <w:autoSpaceDN w:val="0"/>
        <w:adjustRightInd w:val="0"/>
        <w:spacing w:line="276" w:lineRule="auto"/>
        <w:ind w:left="567" w:hanging="567"/>
        <w:contextualSpacing/>
        <w:textAlignment w:val="baseline"/>
        <w:rPr>
          <w:i/>
          <w:iCs/>
          <w:sz w:val="28"/>
          <w:szCs w:val="28"/>
        </w:rPr>
      </w:pPr>
      <w:hyperlink r:id="rId55" w:history="1">
        <w:r w:rsidR="00507B0A">
          <w:rPr>
            <w:b/>
            <w:i/>
            <w:color w:val="0000FF"/>
            <w:sz w:val="28"/>
            <w:u w:val="single"/>
          </w:rPr>
          <w:t>Ato legislativo sobre economia circular – Economia circular e consumo responsável de recursos dentro dos limites do planeta</w:t>
        </w:r>
      </w:hyperlink>
    </w:p>
    <w:p w14:paraId="7F7223B4" w14:textId="77777777" w:rsidR="00CE6367" w:rsidRDefault="00CE6367" w:rsidP="00CE6367">
      <w:pPr>
        <w:widowControl w:val="0"/>
        <w:overflowPunct w:val="0"/>
        <w:autoSpaceDE w:val="0"/>
        <w:autoSpaceDN w:val="0"/>
        <w:adjustRightInd w:val="0"/>
        <w:ind w:left="567"/>
        <w:textAlignment w:val="baseline"/>
        <w:rPr>
          <w:bCs/>
          <w:sz w:val="16"/>
          <w:szCs w:val="16"/>
          <w:lang w:val="en-GB"/>
        </w:rPr>
      </w:pPr>
    </w:p>
    <w:p w14:paraId="7CCA1AAF" w14:textId="77777777" w:rsidR="00803A79" w:rsidRDefault="00803A79" w:rsidP="00CE6367">
      <w:pPr>
        <w:widowControl w:val="0"/>
        <w:overflowPunct w:val="0"/>
        <w:autoSpaceDE w:val="0"/>
        <w:autoSpaceDN w:val="0"/>
        <w:adjustRightInd w:val="0"/>
        <w:ind w:left="567"/>
        <w:textAlignment w:val="baseline"/>
        <w:rPr>
          <w:bCs/>
          <w:sz w:val="16"/>
          <w:szCs w:val="16"/>
          <w:lang w:val="en-GB"/>
        </w:rPr>
      </w:pPr>
    </w:p>
    <w:p w14:paraId="41E127E1" w14:textId="77777777" w:rsidR="00803A79" w:rsidRDefault="00803A79" w:rsidP="00CE6367">
      <w:pPr>
        <w:widowControl w:val="0"/>
        <w:overflowPunct w:val="0"/>
        <w:autoSpaceDE w:val="0"/>
        <w:autoSpaceDN w:val="0"/>
        <w:adjustRightInd w:val="0"/>
        <w:ind w:left="567"/>
        <w:textAlignment w:val="baseline"/>
        <w:rPr>
          <w:bCs/>
          <w:sz w:val="16"/>
          <w:szCs w:val="16"/>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CE6367" w14:paraId="5BB56500" w14:textId="77777777" w:rsidTr="0033503A">
        <w:tc>
          <w:tcPr>
            <w:tcW w:w="1701" w:type="dxa"/>
          </w:tcPr>
          <w:p w14:paraId="58D0A906"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Relator</w:t>
            </w:r>
          </w:p>
        </w:tc>
        <w:tc>
          <w:tcPr>
            <w:tcW w:w="7621" w:type="dxa"/>
          </w:tcPr>
          <w:p w14:paraId="7FAF1470" w14:textId="77777777" w:rsidR="00CE6367" w:rsidRDefault="00CE6367" w:rsidP="00CE6367">
            <w:pPr>
              <w:tabs>
                <w:tab w:val="center" w:pos="284"/>
              </w:tabs>
              <w:overflowPunct w:val="0"/>
              <w:autoSpaceDE w:val="0"/>
              <w:autoSpaceDN w:val="0"/>
              <w:adjustRightInd w:val="0"/>
              <w:ind w:left="266" w:hanging="266"/>
              <w:textAlignment w:val="baseline"/>
              <w:rPr>
                <w:spacing w:val="-4"/>
              </w:rPr>
            </w:pPr>
            <w:r>
              <w:t>Cillian Lohan (IE – Grupo das Organizações da Sociedade Civil)</w:t>
            </w:r>
          </w:p>
          <w:p w14:paraId="618CDDA1" w14:textId="77777777" w:rsidR="0012433C" w:rsidRDefault="0012433C" w:rsidP="00CE6367">
            <w:pPr>
              <w:tabs>
                <w:tab w:val="center" w:pos="284"/>
              </w:tabs>
              <w:overflowPunct w:val="0"/>
              <w:autoSpaceDE w:val="0"/>
              <w:autoSpaceDN w:val="0"/>
              <w:adjustRightInd w:val="0"/>
              <w:ind w:left="266" w:hanging="266"/>
              <w:textAlignment w:val="baseline"/>
              <w:rPr>
                <w:b/>
                <w:bCs/>
                <w:spacing w:val="-4"/>
                <w:lang w:val="en-GB"/>
              </w:rPr>
            </w:pPr>
          </w:p>
          <w:p w14:paraId="57F1361A" w14:textId="77777777" w:rsidR="0012433C" w:rsidRPr="00CE6367" w:rsidRDefault="0012433C" w:rsidP="00CE6367">
            <w:pPr>
              <w:tabs>
                <w:tab w:val="center" w:pos="284"/>
              </w:tabs>
              <w:overflowPunct w:val="0"/>
              <w:autoSpaceDE w:val="0"/>
              <w:autoSpaceDN w:val="0"/>
              <w:adjustRightInd w:val="0"/>
              <w:ind w:left="266" w:hanging="266"/>
              <w:textAlignment w:val="baseline"/>
              <w:rPr>
                <w:b/>
                <w:bCs/>
                <w:spacing w:val="-4"/>
                <w:lang w:val="en-GB"/>
              </w:rPr>
            </w:pPr>
          </w:p>
        </w:tc>
      </w:tr>
      <w:tr w:rsidR="00CE6367" w:rsidRPr="00CE6367" w14:paraId="74785AE8" w14:textId="77777777" w:rsidTr="0033503A">
        <w:tc>
          <w:tcPr>
            <w:tcW w:w="1701" w:type="dxa"/>
          </w:tcPr>
          <w:p w14:paraId="58F09DDF"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Referência</w:t>
            </w:r>
          </w:p>
        </w:tc>
        <w:tc>
          <w:tcPr>
            <w:tcW w:w="7621" w:type="dxa"/>
          </w:tcPr>
          <w:p w14:paraId="6C54B023" w14:textId="40EF75AA" w:rsidR="0012433C" w:rsidRDefault="0012433C" w:rsidP="00CE6367">
            <w:pPr>
              <w:tabs>
                <w:tab w:val="center" w:pos="284"/>
              </w:tabs>
              <w:overflowPunct w:val="0"/>
              <w:autoSpaceDE w:val="0"/>
              <w:autoSpaceDN w:val="0"/>
              <w:adjustRightInd w:val="0"/>
              <w:ind w:left="266" w:hanging="266"/>
              <w:textAlignment w:val="baseline"/>
            </w:pPr>
            <w:r>
              <w:t>Parecer exploratório a pedido da Comissão Europeia</w:t>
            </w:r>
          </w:p>
          <w:p w14:paraId="21E54AEE" w14:textId="120BDE1D" w:rsidR="00CE6367" w:rsidRPr="00CE6367" w:rsidRDefault="00CE6367" w:rsidP="00CE6367">
            <w:pPr>
              <w:tabs>
                <w:tab w:val="center" w:pos="284"/>
              </w:tabs>
              <w:overflowPunct w:val="0"/>
              <w:autoSpaceDE w:val="0"/>
              <w:autoSpaceDN w:val="0"/>
              <w:adjustRightInd w:val="0"/>
              <w:ind w:left="266" w:hanging="266"/>
              <w:textAlignment w:val="baseline"/>
            </w:pPr>
            <w:r>
              <w:t>EESC-2026-00688-00-00-AC</w:t>
            </w:r>
          </w:p>
        </w:tc>
      </w:tr>
    </w:tbl>
    <w:p w14:paraId="48447D4D" w14:textId="77777777" w:rsidR="00CE6367" w:rsidRPr="00CE6367" w:rsidRDefault="00CE6367" w:rsidP="001450BA">
      <w:pPr>
        <w:overflowPunct w:val="0"/>
        <w:autoSpaceDE w:val="0"/>
        <w:autoSpaceDN w:val="0"/>
        <w:adjustRightInd w:val="0"/>
        <w:spacing w:line="192" w:lineRule="auto"/>
        <w:textAlignment w:val="baseline"/>
        <w:rPr>
          <w:bCs/>
          <w:lang w:val="en-GB"/>
        </w:rPr>
      </w:pPr>
    </w:p>
    <w:p w14:paraId="0687D91B"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
        </w:rPr>
      </w:pPr>
      <w:r>
        <w:rPr>
          <w:b/>
        </w:rPr>
        <w:t>Pontos principais</w:t>
      </w:r>
    </w:p>
    <w:p w14:paraId="24A08407" w14:textId="77777777" w:rsidR="00CE6367" w:rsidRPr="00CE6367" w:rsidRDefault="00CE6367" w:rsidP="001450BA">
      <w:pPr>
        <w:overflowPunct w:val="0"/>
        <w:autoSpaceDE w:val="0"/>
        <w:autoSpaceDN w:val="0"/>
        <w:adjustRightInd w:val="0"/>
        <w:spacing w:line="192" w:lineRule="auto"/>
        <w:textAlignment w:val="baseline"/>
        <w:rPr>
          <w:bCs/>
          <w:lang w:val="en-GB"/>
        </w:rPr>
      </w:pPr>
    </w:p>
    <w:p w14:paraId="3CF5C241" w14:textId="77777777" w:rsidR="00CE6367" w:rsidRDefault="00CE6367" w:rsidP="00CE6367">
      <w:pPr>
        <w:overflowPunct w:val="0"/>
        <w:autoSpaceDE w:val="0"/>
        <w:autoSpaceDN w:val="0"/>
        <w:adjustRightInd w:val="0"/>
        <w:spacing w:line="240" w:lineRule="auto"/>
        <w:textAlignment w:val="baseline"/>
        <w:rPr>
          <w:bCs/>
          <w:iCs/>
        </w:rPr>
      </w:pPr>
      <w:r>
        <w:t>O Comité Económico e Social Europeu:</w:t>
      </w:r>
    </w:p>
    <w:p w14:paraId="688A1317" w14:textId="77777777" w:rsidR="00B854D5" w:rsidRPr="00CE6367" w:rsidRDefault="00B854D5" w:rsidP="001450BA">
      <w:pPr>
        <w:overflowPunct w:val="0"/>
        <w:autoSpaceDE w:val="0"/>
        <w:autoSpaceDN w:val="0"/>
        <w:adjustRightInd w:val="0"/>
        <w:spacing w:line="192" w:lineRule="auto"/>
        <w:textAlignment w:val="baseline"/>
        <w:rPr>
          <w:bCs/>
          <w:iCs/>
          <w:lang w:val="en-GB"/>
        </w:rPr>
      </w:pPr>
    </w:p>
    <w:p w14:paraId="3B2A1CEB"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49" w:name="_Toc232773781"/>
      <w:bookmarkStart w:id="50" w:name="_Toc232774261"/>
      <w:r>
        <w:rPr>
          <w:sz w:val="21"/>
        </w:rPr>
        <w:t xml:space="preserve">recomenda que </w:t>
      </w:r>
      <w:r>
        <w:rPr>
          <w:b/>
          <w:sz w:val="21"/>
        </w:rPr>
        <w:t>a economia circular seja objeto de um ato legislativo</w:t>
      </w:r>
      <w:r>
        <w:rPr>
          <w:sz w:val="21"/>
        </w:rPr>
        <w:t xml:space="preserve"> – e não apenas de uma proposta – a fim de enviar um sinal forte sobre a liderança da União Europeia (UE) na promoção de mudanças urgentes e sistémicas para uma economia circular;</w:t>
      </w:r>
      <w:bookmarkEnd w:id="49"/>
      <w:bookmarkEnd w:id="50"/>
    </w:p>
    <w:p w14:paraId="59A42D06"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51" w:name="_Toc232773782"/>
      <w:bookmarkStart w:id="52" w:name="_Toc232774262"/>
      <w:r>
        <w:rPr>
          <w:sz w:val="21"/>
        </w:rPr>
        <w:t xml:space="preserve">insiste em que o ato legislativo deve ser acompanhado de um </w:t>
      </w:r>
      <w:r>
        <w:rPr>
          <w:b/>
          <w:sz w:val="21"/>
        </w:rPr>
        <w:t>levantamento</w:t>
      </w:r>
      <w:r>
        <w:rPr>
          <w:sz w:val="21"/>
        </w:rPr>
        <w:t xml:space="preserve"> claro de todas as regras, regulamentos, planos de ação e estratégias que compõem o quadro legislativo em prol da transição para a circularidade;</w:t>
      </w:r>
      <w:bookmarkEnd w:id="51"/>
      <w:bookmarkEnd w:id="52"/>
    </w:p>
    <w:p w14:paraId="0A602E3A"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53" w:name="_Toc232773783"/>
      <w:bookmarkStart w:id="54" w:name="_Toc232774263"/>
      <w:r>
        <w:rPr>
          <w:sz w:val="21"/>
        </w:rPr>
        <w:t xml:space="preserve">recomenda que a </w:t>
      </w:r>
      <w:r>
        <w:rPr>
          <w:b/>
          <w:sz w:val="21"/>
        </w:rPr>
        <w:t>tónica nos incentivos</w:t>
      </w:r>
      <w:r>
        <w:rPr>
          <w:sz w:val="21"/>
        </w:rPr>
        <w:t xml:space="preserve"> a um mercado forte e eficiente de matérias-primas secundárias seja uma pedra angular do ato legislativo;</w:t>
      </w:r>
      <w:bookmarkEnd w:id="53"/>
      <w:bookmarkEnd w:id="54"/>
    </w:p>
    <w:p w14:paraId="26DA21E4"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55" w:name="_Toc232773784"/>
      <w:bookmarkStart w:id="56" w:name="_Toc232774264"/>
      <w:r>
        <w:rPr>
          <w:sz w:val="21"/>
        </w:rPr>
        <w:t xml:space="preserve">propõe o reforço dos </w:t>
      </w:r>
      <w:r>
        <w:rPr>
          <w:b/>
          <w:sz w:val="21"/>
        </w:rPr>
        <w:t>mercados de matérias-primas secundárias</w:t>
      </w:r>
      <w:r>
        <w:rPr>
          <w:sz w:val="21"/>
        </w:rPr>
        <w:t xml:space="preserve"> e dos modelos de negócio circulares (reutilização, reparação, refabrico);</w:t>
      </w:r>
      <w:bookmarkEnd w:id="55"/>
      <w:bookmarkEnd w:id="56"/>
    </w:p>
    <w:p w14:paraId="1952F1DC"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57" w:name="_Toc232773785"/>
      <w:bookmarkStart w:id="58" w:name="_Toc232774265"/>
      <w:r>
        <w:rPr>
          <w:sz w:val="21"/>
        </w:rPr>
        <w:t xml:space="preserve">recomenda promover a utilização dos </w:t>
      </w:r>
      <w:r>
        <w:rPr>
          <w:b/>
          <w:sz w:val="21"/>
        </w:rPr>
        <w:t>contratos públicos</w:t>
      </w:r>
      <w:r>
        <w:rPr>
          <w:sz w:val="21"/>
        </w:rPr>
        <w:t xml:space="preserve">, reconfigurar a </w:t>
      </w:r>
      <w:r>
        <w:rPr>
          <w:b/>
          <w:sz w:val="21"/>
        </w:rPr>
        <w:t>responsabilidade alargada do produtor</w:t>
      </w:r>
      <w:r>
        <w:rPr>
          <w:sz w:val="21"/>
        </w:rPr>
        <w:t xml:space="preserve"> (para além da reciclagem, por exemplo, através de taxas ecomoduladas), assegurar a </w:t>
      </w:r>
      <w:r>
        <w:rPr>
          <w:b/>
          <w:sz w:val="21"/>
        </w:rPr>
        <w:t>rastreabilidade dos materiais</w:t>
      </w:r>
      <w:r>
        <w:rPr>
          <w:sz w:val="21"/>
        </w:rPr>
        <w:t xml:space="preserve">, bem como expandir a </w:t>
      </w:r>
      <w:r>
        <w:rPr>
          <w:b/>
          <w:sz w:val="21"/>
        </w:rPr>
        <w:t>conceção ecológica</w:t>
      </w:r>
      <w:r>
        <w:rPr>
          <w:sz w:val="21"/>
        </w:rPr>
        <w:t xml:space="preserve">, melhorar as </w:t>
      </w:r>
      <w:r>
        <w:rPr>
          <w:b/>
          <w:sz w:val="21"/>
        </w:rPr>
        <w:t>condições de trabalho</w:t>
      </w:r>
      <w:r>
        <w:rPr>
          <w:sz w:val="21"/>
        </w:rPr>
        <w:t xml:space="preserve"> e promover o </w:t>
      </w:r>
      <w:r>
        <w:rPr>
          <w:b/>
          <w:sz w:val="21"/>
        </w:rPr>
        <w:t>refabrico</w:t>
      </w:r>
      <w:r>
        <w:rPr>
          <w:sz w:val="21"/>
        </w:rPr>
        <w:t>;</w:t>
      </w:r>
      <w:bookmarkEnd w:id="57"/>
      <w:bookmarkEnd w:id="58"/>
    </w:p>
    <w:p w14:paraId="1E154A1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59" w:name="_Toc232773786"/>
      <w:bookmarkStart w:id="60" w:name="_Toc232774266"/>
      <w:r>
        <w:rPr>
          <w:sz w:val="21"/>
        </w:rPr>
        <w:t xml:space="preserve">recomenda que o ato legislativo contenha um </w:t>
      </w:r>
      <w:r>
        <w:rPr>
          <w:b/>
          <w:sz w:val="21"/>
        </w:rPr>
        <w:t>repositório</w:t>
      </w:r>
      <w:r>
        <w:rPr>
          <w:sz w:val="21"/>
        </w:rPr>
        <w:t xml:space="preserve"> regularmente atualizado de </w:t>
      </w:r>
      <w:r>
        <w:rPr>
          <w:b/>
          <w:sz w:val="21"/>
        </w:rPr>
        <w:t>boas práticas no domínio da economia circular</w:t>
      </w:r>
      <w:r>
        <w:rPr>
          <w:sz w:val="21"/>
        </w:rPr>
        <w:t xml:space="preserve">, com base na </w:t>
      </w:r>
      <w:r>
        <w:rPr>
          <w:b/>
          <w:sz w:val="21"/>
        </w:rPr>
        <w:t>Plataforma Europeia das Partes Interessadas na Economia Circular</w:t>
      </w:r>
      <w:r>
        <w:rPr>
          <w:sz w:val="21"/>
        </w:rPr>
        <w:t>. O repositório deve estar associado a indicadores e quadros de monitorização, a fim de ajudar a acompanhar os progressos realizados e a fundamentar a elaboração de políticas baseadas em dados concretos;</w:t>
      </w:r>
      <w:bookmarkEnd w:id="59"/>
      <w:bookmarkEnd w:id="60"/>
    </w:p>
    <w:p w14:paraId="31C7D43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61" w:name="_Toc232773787"/>
      <w:bookmarkStart w:id="62" w:name="_Toc232774267"/>
      <w:r>
        <w:rPr>
          <w:sz w:val="21"/>
        </w:rPr>
        <w:t xml:space="preserve">considera que a </w:t>
      </w:r>
      <w:r>
        <w:rPr>
          <w:b/>
          <w:sz w:val="21"/>
        </w:rPr>
        <w:t>rastreabilidade, a certificação, a rotulagem harmonizada e as normas técnicas</w:t>
      </w:r>
      <w:r>
        <w:rPr>
          <w:sz w:val="21"/>
        </w:rPr>
        <w:t xml:space="preserve"> devem ser os principais instrumentos para aumentar a confiança do mercado nas matérias-primas secundárias, apoiar a execução e a expansão em toda a UE;</w:t>
      </w:r>
      <w:bookmarkEnd w:id="61"/>
      <w:bookmarkEnd w:id="62"/>
    </w:p>
    <w:p w14:paraId="5A24C128"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63" w:name="_Toc232773788"/>
      <w:bookmarkStart w:id="64" w:name="_Toc232774268"/>
      <w:r>
        <w:rPr>
          <w:sz w:val="21"/>
        </w:rPr>
        <w:t xml:space="preserve">salienta que os </w:t>
      </w:r>
      <w:r>
        <w:rPr>
          <w:b/>
          <w:sz w:val="21"/>
        </w:rPr>
        <w:t>mediadores da transição</w:t>
      </w:r>
      <w:r>
        <w:rPr>
          <w:sz w:val="21"/>
        </w:rPr>
        <w:t xml:space="preserve"> devem ser formalmente reconhecidos e dotados de recursos para impulsionar a circularidade em todas as cadeias de valor;</w:t>
      </w:r>
      <w:bookmarkEnd w:id="63"/>
      <w:bookmarkEnd w:id="64"/>
    </w:p>
    <w:p w14:paraId="4F12F572"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65" w:name="_Toc232773789"/>
      <w:bookmarkStart w:id="66" w:name="_Toc232774269"/>
      <w:r>
        <w:rPr>
          <w:sz w:val="21"/>
        </w:rPr>
        <w:t xml:space="preserve">reconhece que é essencial assegurar uma </w:t>
      </w:r>
      <w:r>
        <w:rPr>
          <w:b/>
          <w:sz w:val="21"/>
        </w:rPr>
        <w:t>transição justa</w:t>
      </w:r>
      <w:r>
        <w:rPr>
          <w:sz w:val="21"/>
        </w:rPr>
        <w:t xml:space="preserve">: a sociedade civil, as cooperativas e as empresas sociais devem ser </w:t>
      </w:r>
      <w:r>
        <w:rPr>
          <w:b/>
          <w:sz w:val="21"/>
        </w:rPr>
        <w:t>cocriadoras</w:t>
      </w:r>
      <w:r>
        <w:rPr>
          <w:sz w:val="21"/>
        </w:rPr>
        <w:t xml:space="preserve"> e não apenas beneficiárias e importa promover </w:t>
      </w:r>
      <w:r>
        <w:rPr>
          <w:b/>
          <w:sz w:val="21"/>
        </w:rPr>
        <w:t>soluções circulares a preços comportáveis</w:t>
      </w:r>
      <w:r>
        <w:rPr>
          <w:sz w:val="21"/>
        </w:rPr>
        <w:t xml:space="preserve"> e incentivos acessíveis;</w:t>
      </w:r>
      <w:bookmarkEnd w:id="65"/>
      <w:bookmarkEnd w:id="66"/>
    </w:p>
    <w:p w14:paraId="255EEF0E"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67" w:name="_Toc232773790"/>
      <w:bookmarkStart w:id="68" w:name="_Toc232774270"/>
      <w:r>
        <w:rPr>
          <w:sz w:val="21"/>
        </w:rPr>
        <w:t>sublinha que a Plataforma Europeia das Partes Interessadas na Economia Circular deve funcionar como parceiro estratégico para articular as prioridades, testar novos indicadores, identificar os obstáculos à execução e acelerar a transição.</w:t>
      </w:r>
      <w:bookmarkEnd w:id="67"/>
      <w:bookmarkEnd w:id="68"/>
    </w:p>
    <w:p w14:paraId="4605C15B" w14:textId="77777777" w:rsidR="00CE6367" w:rsidRPr="00CE6367" w:rsidRDefault="00CE6367" w:rsidP="001450BA">
      <w:pPr>
        <w:overflowPunct w:val="0"/>
        <w:autoSpaceDE w:val="0"/>
        <w:autoSpaceDN w:val="0"/>
        <w:adjustRightInd w:val="0"/>
        <w:spacing w:line="192" w:lineRule="auto"/>
        <w:textAlignment w:val="baseline"/>
        <w:rPr>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CE6367" w:rsidRPr="00CE6367" w14:paraId="2C1324DD" w14:textId="77777777" w:rsidTr="00A16D01">
        <w:trPr>
          <w:trHeight w:val="300"/>
        </w:trPr>
        <w:tc>
          <w:tcPr>
            <w:tcW w:w="2093" w:type="dxa"/>
          </w:tcPr>
          <w:p w14:paraId="65D78EA8" w14:textId="77777777" w:rsidR="00CE6367" w:rsidRPr="00CE6367" w:rsidRDefault="00CE6367" w:rsidP="00CE6367">
            <w:pPr>
              <w:overflowPunct w:val="0"/>
              <w:autoSpaceDE w:val="0"/>
              <w:autoSpaceDN w:val="0"/>
              <w:adjustRightInd w:val="0"/>
              <w:spacing w:line="240" w:lineRule="auto"/>
              <w:textAlignment w:val="baseline"/>
              <w:rPr>
                <w:i/>
                <w:iCs/>
              </w:rPr>
            </w:pPr>
            <w:r>
              <w:rPr>
                <w:b/>
                <w:i/>
              </w:rPr>
              <w:t>Contacto</w:t>
            </w:r>
          </w:p>
        </w:tc>
        <w:tc>
          <w:tcPr>
            <w:tcW w:w="7229" w:type="dxa"/>
          </w:tcPr>
          <w:p w14:paraId="1988B1A1" w14:textId="4C6FD349" w:rsidR="00CE6367" w:rsidRPr="00AD2F07" w:rsidRDefault="00CE6367" w:rsidP="00AD2F07">
            <w:pPr>
              <w:rPr>
                <w:i/>
                <w:iCs/>
              </w:rPr>
            </w:pPr>
            <w:r>
              <w:rPr>
                <w:i/>
              </w:rPr>
              <w:t>Anna Cameron, Alice Senga</w:t>
            </w:r>
          </w:p>
        </w:tc>
      </w:tr>
      <w:tr w:rsidR="00CE6367" w:rsidRPr="00CE6367" w14:paraId="0F63230C" w14:textId="77777777" w:rsidTr="00A16D01">
        <w:trPr>
          <w:trHeight w:val="300"/>
        </w:trPr>
        <w:tc>
          <w:tcPr>
            <w:tcW w:w="2093" w:type="dxa"/>
          </w:tcPr>
          <w:p w14:paraId="7579EEAD" w14:textId="77777777" w:rsidR="00CE6367" w:rsidRPr="00CE6367" w:rsidRDefault="00CE6367" w:rsidP="00CE6367">
            <w:pPr>
              <w:overflowPunct w:val="0"/>
              <w:autoSpaceDE w:val="0"/>
              <w:autoSpaceDN w:val="0"/>
              <w:adjustRightInd w:val="0"/>
              <w:spacing w:line="240" w:lineRule="auto"/>
              <w:textAlignment w:val="baseline"/>
              <w:rPr>
                <w:i/>
              </w:rPr>
            </w:pPr>
            <w:r>
              <w:rPr>
                <w:i/>
              </w:rPr>
              <w:t>Tel.</w:t>
            </w:r>
          </w:p>
        </w:tc>
        <w:tc>
          <w:tcPr>
            <w:tcW w:w="7229" w:type="dxa"/>
          </w:tcPr>
          <w:p w14:paraId="61C64C1F" w14:textId="77777777" w:rsidR="00CE6367" w:rsidRPr="00047BEB" w:rsidRDefault="00CE6367" w:rsidP="00CE6367">
            <w:pPr>
              <w:overflowPunct w:val="0"/>
              <w:autoSpaceDE w:val="0"/>
              <w:autoSpaceDN w:val="0"/>
              <w:adjustRightInd w:val="0"/>
              <w:spacing w:line="240" w:lineRule="auto"/>
              <w:ind w:left="-55"/>
              <w:textAlignment w:val="baseline"/>
              <w:rPr>
                <w:i/>
                <w:iCs/>
              </w:rPr>
            </w:pPr>
            <w:r>
              <w:rPr>
                <w:i/>
              </w:rPr>
              <w:t>+32 2 546 82 28, +32 2 546 83 68</w:t>
            </w:r>
          </w:p>
        </w:tc>
      </w:tr>
      <w:tr w:rsidR="00CE6367" w:rsidRPr="00CE6367" w14:paraId="7C504899" w14:textId="77777777" w:rsidTr="00A16D01">
        <w:trPr>
          <w:trHeight w:val="300"/>
        </w:trPr>
        <w:tc>
          <w:tcPr>
            <w:tcW w:w="2093" w:type="dxa"/>
          </w:tcPr>
          <w:p w14:paraId="69443868" w14:textId="77777777" w:rsidR="00CE6367" w:rsidRPr="00CE6367" w:rsidRDefault="00CE6367" w:rsidP="00CE6367">
            <w:pPr>
              <w:overflowPunct w:val="0"/>
              <w:autoSpaceDE w:val="0"/>
              <w:autoSpaceDN w:val="0"/>
              <w:adjustRightInd w:val="0"/>
              <w:spacing w:line="240" w:lineRule="auto"/>
              <w:textAlignment w:val="baseline"/>
              <w:rPr>
                <w:i/>
              </w:rPr>
            </w:pPr>
            <w:r>
              <w:rPr>
                <w:i/>
              </w:rPr>
              <w:t>Endereço eletrónico</w:t>
            </w:r>
          </w:p>
        </w:tc>
        <w:tc>
          <w:tcPr>
            <w:tcW w:w="7229" w:type="dxa"/>
          </w:tcPr>
          <w:p w14:paraId="7934DEB2" w14:textId="77777777" w:rsidR="00CE6367" w:rsidRPr="00047BEB" w:rsidRDefault="00075C8D" w:rsidP="00CE6367">
            <w:pPr>
              <w:overflowPunct w:val="0"/>
              <w:autoSpaceDE w:val="0"/>
              <w:autoSpaceDN w:val="0"/>
              <w:adjustRightInd w:val="0"/>
              <w:spacing w:line="240" w:lineRule="auto"/>
              <w:ind w:left="-55"/>
              <w:textAlignment w:val="baseline"/>
              <w:rPr>
                <w:i/>
                <w:iCs/>
                <w:color w:val="0000FF"/>
                <w:u w:val="single"/>
              </w:rPr>
            </w:pPr>
            <w:hyperlink r:id="rId56" w:history="1">
              <w:r w:rsidR="00CE6367">
                <w:rPr>
                  <w:i/>
                  <w:color w:val="0000FF"/>
                  <w:u w:val="single"/>
                </w:rPr>
                <w:t>Anna.Cameron@eesc.europa.eu</w:t>
              </w:r>
            </w:hyperlink>
            <w:r w:rsidR="00CE6367">
              <w:rPr>
                <w:i/>
              </w:rPr>
              <w:t xml:space="preserve">, </w:t>
            </w:r>
            <w:hyperlink r:id="rId57" w:history="1">
              <w:r w:rsidR="00CE6367">
                <w:rPr>
                  <w:i/>
                  <w:color w:val="0000FF"/>
                  <w:u w:val="single"/>
                </w:rPr>
                <w:t>Alice.Senga@eesc.europa.eu</w:t>
              </w:r>
            </w:hyperlink>
          </w:p>
        </w:tc>
      </w:tr>
    </w:tbl>
    <w:p w14:paraId="33B043FA" w14:textId="6458A539" w:rsidR="009B3A75" w:rsidRPr="009B3A75" w:rsidRDefault="00075C8D" w:rsidP="001450BA">
      <w:pPr>
        <w:widowControl w:val="0"/>
        <w:numPr>
          <w:ilvl w:val="0"/>
          <w:numId w:val="4"/>
        </w:numPr>
        <w:overflowPunct w:val="0"/>
        <w:autoSpaceDE w:val="0"/>
        <w:autoSpaceDN w:val="0"/>
        <w:adjustRightInd w:val="0"/>
        <w:spacing w:line="240" w:lineRule="auto"/>
        <w:ind w:hanging="567"/>
        <w:textAlignment w:val="baseline"/>
        <w:rPr>
          <w:sz w:val="20"/>
          <w:szCs w:val="20"/>
        </w:rPr>
      </w:pPr>
      <w:hyperlink r:id="rId58" w:history="1">
        <w:r w:rsidR="009B3A75">
          <w:rPr>
            <w:b/>
            <w:i/>
            <w:color w:val="0000FF"/>
            <w:sz w:val="28"/>
            <w:u w:val="single"/>
          </w:rPr>
          <w:t>Avaliação da concretização dos objetivos da política agrícola comum</w:t>
        </w:r>
      </w:hyperlink>
    </w:p>
    <w:p w14:paraId="4DE602F8" w14:textId="77777777" w:rsidR="002C32C2" w:rsidRDefault="002C32C2" w:rsidP="001450BA">
      <w:pPr>
        <w:widowControl w:val="0"/>
        <w:overflowPunct w:val="0"/>
        <w:autoSpaceDE w:val="0"/>
        <w:autoSpaceDN w:val="0"/>
        <w:adjustRightInd w:val="0"/>
        <w:spacing w:line="192" w:lineRule="auto"/>
        <w:ind w:left="567"/>
        <w:textAlignment w:val="baseline"/>
        <w:rPr>
          <w:b/>
          <w:sz w:val="16"/>
          <w:szCs w:val="16"/>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B3A75" w:rsidRPr="009B3A75" w14:paraId="166B4AAE" w14:textId="77777777" w:rsidTr="0033503A">
        <w:tc>
          <w:tcPr>
            <w:tcW w:w="1077" w:type="pct"/>
          </w:tcPr>
          <w:p w14:paraId="266E23F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Relator</w:t>
            </w:r>
          </w:p>
        </w:tc>
        <w:tc>
          <w:tcPr>
            <w:tcW w:w="3923" w:type="pct"/>
          </w:tcPr>
          <w:p w14:paraId="6A674267" w14:textId="37C77517" w:rsidR="009B3A75" w:rsidRPr="009B3A75" w:rsidRDefault="009B3A75" w:rsidP="009B3A75">
            <w:pPr>
              <w:tabs>
                <w:tab w:val="center" w:pos="284"/>
              </w:tabs>
              <w:overflowPunct w:val="0"/>
              <w:autoSpaceDE w:val="0"/>
              <w:autoSpaceDN w:val="0"/>
              <w:adjustRightInd w:val="0"/>
              <w:ind w:left="266" w:right="-3091" w:hanging="266"/>
              <w:textAlignment w:val="baseline"/>
            </w:pPr>
            <w:r>
              <w:t>Joe Healy (IE – Grupo das Organizações da Sociedade Civil)</w:t>
            </w:r>
          </w:p>
        </w:tc>
      </w:tr>
      <w:tr w:rsidR="009B3A75" w:rsidRPr="009B3A75" w14:paraId="60BA1FF6" w14:textId="77777777" w:rsidTr="0033503A">
        <w:tc>
          <w:tcPr>
            <w:tcW w:w="1077" w:type="pct"/>
          </w:tcPr>
          <w:p w14:paraId="2D1C9FD9"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Correlator</w:t>
            </w:r>
          </w:p>
        </w:tc>
        <w:tc>
          <w:tcPr>
            <w:tcW w:w="3923" w:type="pct"/>
          </w:tcPr>
          <w:p w14:paraId="3E2D08DF" w14:textId="26CB2CDA" w:rsidR="00227E0A" w:rsidRPr="009B3A75" w:rsidRDefault="009B3A75" w:rsidP="009B3A75">
            <w:pPr>
              <w:tabs>
                <w:tab w:val="center" w:pos="284"/>
              </w:tabs>
              <w:overflowPunct w:val="0"/>
              <w:autoSpaceDE w:val="0"/>
              <w:autoSpaceDN w:val="0"/>
              <w:adjustRightInd w:val="0"/>
              <w:ind w:left="266" w:right="-3091" w:hanging="266"/>
              <w:textAlignment w:val="baseline"/>
            </w:pPr>
            <w:r>
              <w:t>Josep Puxeu Rocamora (ES – Grupo dos Empregadores)</w:t>
            </w:r>
          </w:p>
        </w:tc>
      </w:tr>
      <w:tr w:rsidR="009B3A75" w:rsidRPr="009B3A75" w14:paraId="254288FC" w14:textId="77777777" w:rsidTr="0033503A">
        <w:tc>
          <w:tcPr>
            <w:tcW w:w="1077" w:type="pct"/>
          </w:tcPr>
          <w:p w14:paraId="5F690F1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Referência</w:t>
            </w:r>
          </w:p>
        </w:tc>
        <w:tc>
          <w:tcPr>
            <w:tcW w:w="3923" w:type="pct"/>
          </w:tcPr>
          <w:p w14:paraId="4A36D851" w14:textId="10E3A6B4" w:rsidR="00227E0A" w:rsidRDefault="00227E0A" w:rsidP="009B3A75">
            <w:pPr>
              <w:tabs>
                <w:tab w:val="center" w:pos="284"/>
              </w:tabs>
              <w:overflowPunct w:val="0"/>
              <w:autoSpaceDE w:val="0"/>
              <w:autoSpaceDN w:val="0"/>
              <w:adjustRightInd w:val="0"/>
              <w:ind w:left="266" w:right="-3091" w:hanging="266"/>
              <w:textAlignment w:val="baseline"/>
            </w:pPr>
            <w:r>
              <w:t>Relatório de informação</w:t>
            </w:r>
          </w:p>
          <w:p w14:paraId="5C7590D8" w14:textId="155EA661" w:rsidR="009B3A75" w:rsidRPr="009B3A75" w:rsidRDefault="009B3A75" w:rsidP="009B3A75">
            <w:pPr>
              <w:tabs>
                <w:tab w:val="center" w:pos="284"/>
              </w:tabs>
              <w:overflowPunct w:val="0"/>
              <w:autoSpaceDE w:val="0"/>
              <w:autoSpaceDN w:val="0"/>
              <w:adjustRightInd w:val="0"/>
              <w:ind w:left="266" w:right="-3091" w:hanging="266"/>
              <w:textAlignment w:val="baseline"/>
            </w:pPr>
            <w:r>
              <w:t>EESC-2025-03221-00-00-RE</w:t>
            </w:r>
          </w:p>
        </w:tc>
      </w:tr>
      <w:tr w:rsidR="00114635" w:rsidRPr="009B3A75" w14:paraId="45B9885B" w14:textId="77777777" w:rsidTr="0033503A">
        <w:tc>
          <w:tcPr>
            <w:tcW w:w="1077" w:type="pct"/>
          </w:tcPr>
          <w:p w14:paraId="2FFF901C" w14:textId="77777777" w:rsidR="00114635" w:rsidRPr="009B3A75" w:rsidRDefault="00114635" w:rsidP="001450BA">
            <w:pPr>
              <w:tabs>
                <w:tab w:val="center" w:pos="284"/>
              </w:tabs>
              <w:overflowPunct w:val="0"/>
              <w:autoSpaceDE w:val="0"/>
              <w:autoSpaceDN w:val="0"/>
              <w:adjustRightInd w:val="0"/>
              <w:spacing w:line="240" w:lineRule="auto"/>
              <w:ind w:left="266" w:hanging="266"/>
              <w:textAlignment w:val="baseline"/>
              <w:rPr>
                <w:b/>
              </w:rPr>
            </w:pPr>
          </w:p>
        </w:tc>
        <w:tc>
          <w:tcPr>
            <w:tcW w:w="3923" w:type="pct"/>
          </w:tcPr>
          <w:p w14:paraId="7A4860E1" w14:textId="77777777" w:rsidR="00114635" w:rsidRDefault="00114635" w:rsidP="001450BA">
            <w:pPr>
              <w:tabs>
                <w:tab w:val="center" w:pos="284"/>
              </w:tabs>
              <w:overflowPunct w:val="0"/>
              <w:autoSpaceDE w:val="0"/>
              <w:autoSpaceDN w:val="0"/>
              <w:adjustRightInd w:val="0"/>
              <w:spacing w:line="240" w:lineRule="auto"/>
              <w:ind w:left="266" w:hanging="266"/>
              <w:textAlignment w:val="baseline"/>
            </w:pPr>
          </w:p>
        </w:tc>
      </w:tr>
    </w:tbl>
    <w:p w14:paraId="44421EDD" w14:textId="77777777" w:rsidR="00114635" w:rsidRPr="009B3A75" w:rsidRDefault="00114635" w:rsidP="001450BA">
      <w:pPr>
        <w:widowControl w:val="0"/>
        <w:overflowPunct w:val="0"/>
        <w:autoSpaceDE w:val="0"/>
        <w:autoSpaceDN w:val="0"/>
        <w:adjustRightInd w:val="0"/>
        <w:spacing w:line="192" w:lineRule="auto"/>
        <w:ind w:left="567"/>
        <w:textAlignment w:val="baseline"/>
        <w:rPr>
          <w:b/>
          <w:sz w:val="16"/>
          <w:szCs w:val="16"/>
          <w:lang w:val="en-GB"/>
        </w:rPr>
      </w:pPr>
    </w:p>
    <w:p w14:paraId="541E9EEB" w14:textId="77777777" w:rsidR="009B3A75" w:rsidRDefault="009B3A75" w:rsidP="001450BA">
      <w:pPr>
        <w:keepNext/>
        <w:keepLines/>
        <w:tabs>
          <w:tab w:val="center" w:pos="284"/>
        </w:tabs>
        <w:overflowPunct w:val="0"/>
        <w:autoSpaceDE w:val="0"/>
        <w:autoSpaceDN w:val="0"/>
        <w:adjustRightInd w:val="0"/>
        <w:spacing w:line="240" w:lineRule="auto"/>
        <w:ind w:left="266" w:hanging="266"/>
        <w:textAlignment w:val="baseline"/>
        <w:rPr>
          <w:b/>
        </w:rPr>
      </w:pPr>
      <w:r>
        <w:rPr>
          <w:b/>
        </w:rPr>
        <w:t>Pontos principais</w:t>
      </w:r>
    </w:p>
    <w:p w14:paraId="3FDE696D" w14:textId="77777777" w:rsidR="00D92322" w:rsidRDefault="00D92322" w:rsidP="001450BA">
      <w:pPr>
        <w:widowControl w:val="0"/>
        <w:overflowPunct w:val="0"/>
        <w:autoSpaceDE w:val="0"/>
        <w:autoSpaceDN w:val="0"/>
        <w:adjustRightInd w:val="0"/>
        <w:spacing w:line="192" w:lineRule="auto"/>
        <w:ind w:left="567"/>
        <w:textAlignment w:val="baseline"/>
        <w:rPr>
          <w:b/>
          <w:lang w:val="en-GB"/>
        </w:rPr>
      </w:pPr>
    </w:p>
    <w:p w14:paraId="35C36EF8" w14:textId="77777777" w:rsidR="009B3A75" w:rsidRPr="00AD2F07" w:rsidRDefault="009B3A75" w:rsidP="00AD2F07">
      <w:pPr>
        <w:pStyle w:val="ListParagraph"/>
        <w:numPr>
          <w:ilvl w:val="0"/>
          <w:numId w:val="36"/>
        </w:numPr>
        <w:overflowPunct w:val="0"/>
        <w:autoSpaceDE w:val="0"/>
        <w:autoSpaceDN w:val="0"/>
        <w:adjustRightInd w:val="0"/>
        <w:ind w:left="284" w:hanging="284"/>
        <w:textAlignment w:val="baseline"/>
        <w:rPr>
          <w:bCs/>
          <w:iCs/>
          <w:sz w:val="21"/>
          <w:szCs w:val="21"/>
        </w:rPr>
      </w:pPr>
      <w:r>
        <w:rPr>
          <w:sz w:val="21"/>
        </w:rPr>
        <w:t>Com base nos dados recolhidos durante o processo de avaliação através de reuniões com as partes interessadas nacionais e de um questionário em linha específico, o Comité Económico e Social Europeu recomenda:</w:t>
      </w:r>
    </w:p>
    <w:p w14:paraId="2584F284"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 xml:space="preserve">aumentar e indexar os pagamentos diretos e o financiamento global da PAC para combater a inflação, o aumento dos custos e a volatilidade do mercado; </w:t>
      </w:r>
    </w:p>
    <w:p w14:paraId="7858844C"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manter uma PAC assente em dois pilares, em que o primeiro pilar abrange o apoio aos rendimentos agrícolas através de pagamentos diretos e de apoio ao mercado e o segundo pilar abrange o desenvolvimento rural e o apoio às zonas rurais;</w:t>
      </w:r>
    </w:p>
    <w:p w14:paraId="76D84959"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reforçar a posição dos agricultores na cadeia de abastecimento alimentar e aumentar a transparência dos preços;</w:t>
      </w:r>
    </w:p>
    <w:p w14:paraId="6282D158"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reforçar as organizações de produtores, intensificar a aplicação da legislação em matéria de práticas comerciais desleais e assegurar uma forte equivalência das normas no âmbito da política comercial;</w:t>
      </w:r>
    </w:p>
    <w:p w14:paraId="4FA5FA1B"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melhorar e aumentar a renovação geracional, prestar apoio às mulheres e aos agricultores a tempo parcial e proporcionar uma política estável a longo prazo;</w:t>
      </w:r>
    </w:p>
    <w:p w14:paraId="2D78AF2F"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introduzir ou alargar incentivos financeiros e estruturais específicos, nomeadamente para as mulheres agricultoras e projetos liderados por mulheres, à semelhança das medidas adaptadas às questões de género aplicadas na Irlanda e em Espanha;</w:t>
      </w:r>
    </w:p>
    <w:p w14:paraId="09E55B98"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estabelecer objetivos ambientais mais ambiciosos com incentivos proporcionados e introduzir regimes ecológicos mais flexíveis, adaptados a cada região e acompanhados de compensação adequada e serviços de aconselhamento específicos;</w:t>
      </w:r>
    </w:p>
    <w:p w14:paraId="3EF78E91"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alargar a condicionalidade social aos setores de alto risco, como a horticultura, e aos trabalhadores migrantes/sazonais, avaliando cuidadosamente e dando resposta às preocupações manifestadas pelos agricultores, pelos grupos de empregadores e pelas administrações nacionais no que diz respeito à eficácia do mecanismo e ao seu potencial para aumentar os encargos administrativos sem proporcionar ao setor benefícios sociais evidentes;</w:t>
      </w:r>
    </w:p>
    <w:p w14:paraId="3A251AEE"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simplificar os encargos administrativos, em especial a nível das explorações agrícolas, preservando simultaneamente a responsabilização; reduzir os encargos burocráticos, aderindo ao princípio da declaração única;</w:t>
      </w:r>
    </w:p>
    <w:p w14:paraId="3C86F686"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aumentar o apoio ao LEADER e às medidas de desenvolvimento local. Reservar financiamento, reduzir a complexidade administrativa e integrar mais projetos agroalimentares e centrados nas explorações agrícolas, a fim de promover economias rurais inclusivas;</w:t>
      </w:r>
    </w:p>
    <w:p w14:paraId="20AC5942"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aumentar a participação da sociedade civil e estabelecer quadros permanentes de responsabilidade conjunta, períodos de consulta mais eficazes e mecanismos transparentes de retorno de informação;</w:t>
      </w:r>
    </w:p>
    <w:p w14:paraId="0EE90602"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assegurar que o apoio da PAC não é canalizado para sedes de empresas fora da UE;</w:t>
      </w:r>
    </w:p>
    <w:p w14:paraId="1C9823B7"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propor medidas específicas de apoio aos agricultores para garantir boas condições de vida aos trabalhadores sazonais.</w:t>
      </w:r>
    </w:p>
    <w:p w14:paraId="139EE4AC" w14:textId="77777777" w:rsidR="009B3A75" w:rsidRPr="009B3A75" w:rsidRDefault="009B3A75" w:rsidP="001450BA">
      <w:pPr>
        <w:widowControl w:val="0"/>
        <w:overflowPunct w:val="0"/>
        <w:autoSpaceDE w:val="0"/>
        <w:autoSpaceDN w:val="0"/>
        <w:adjustRightInd w:val="0"/>
        <w:spacing w:line="192" w:lineRule="auto"/>
        <w:ind w:left="567"/>
        <w:textAlignment w:val="baseline"/>
        <w:rPr>
          <w:rFonts w:asciiTheme="minorHAnsi" w:hAnsiTheme="minorHAnsi"/>
          <w:sz w:val="16"/>
          <w:szCs w:val="16"/>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B3A75" w:rsidRPr="009B3A75" w14:paraId="53B32B7E" w14:textId="77777777" w:rsidTr="0033503A">
        <w:tc>
          <w:tcPr>
            <w:tcW w:w="1078" w:type="pct"/>
          </w:tcPr>
          <w:p w14:paraId="51B74F02" w14:textId="77777777" w:rsidR="009B3A75" w:rsidRPr="009B3A75" w:rsidRDefault="009B3A75" w:rsidP="009B3A75">
            <w:pPr>
              <w:overflowPunct w:val="0"/>
              <w:autoSpaceDE w:val="0"/>
              <w:autoSpaceDN w:val="0"/>
              <w:adjustRightInd w:val="0"/>
              <w:textAlignment w:val="baseline"/>
              <w:rPr>
                <w:i/>
              </w:rPr>
            </w:pPr>
            <w:r>
              <w:rPr>
                <w:b/>
                <w:i/>
              </w:rPr>
              <w:t>Contacto</w:t>
            </w:r>
          </w:p>
        </w:tc>
        <w:tc>
          <w:tcPr>
            <w:tcW w:w="3922" w:type="pct"/>
          </w:tcPr>
          <w:p w14:paraId="005EE63C" w14:textId="2BAEE362" w:rsidR="009B3A75" w:rsidRPr="009B3A75" w:rsidRDefault="009B3A75" w:rsidP="009B3A75">
            <w:pPr>
              <w:overflowPunct w:val="0"/>
              <w:autoSpaceDE w:val="0"/>
              <w:autoSpaceDN w:val="0"/>
              <w:adjustRightInd w:val="0"/>
              <w:textAlignment w:val="baseline"/>
              <w:rPr>
                <w:i/>
              </w:rPr>
            </w:pPr>
            <w:r>
              <w:rPr>
                <w:i/>
              </w:rPr>
              <w:t>Myrto Kolyva</w:t>
            </w:r>
          </w:p>
        </w:tc>
      </w:tr>
      <w:tr w:rsidR="009B3A75" w:rsidRPr="009B3A75" w14:paraId="0C43599C" w14:textId="77777777" w:rsidTr="0033503A">
        <w:tc>
          <w:tcPr>
            <w:tcW w:w="1078" w:type="pct"/>
          </w:tcPr>
          <w:p w14:paraId="1B98543F" w14:textId="77777777" w:rsidR="009B3A75" w:rsidRPr="009B3A75" w:rsidRDefault="009B3A75" w:rsidP="009B3A75">
            <w:pPr>
              <w:overflowPunct w:val="0"/>
              <w:autoSpaceDE w:val="0"/>
              <w:autoSpaceDN w:val="0"/>
              <w:adjustRightInd w:val="0"/>
              <w:textAlignment w:val="baseline"/>
              <w:rPr>
                <w:i/>
              </w:rPr>
            </w:pPr>
            <w:r>
              <w:rPr>
                <w:i/>
              </w:rPr>
              <w:t>Tel.</w:t>
            </w:r>
          </w:p>
        </w:tc>
        <w:tc>
          <w:tcPr>
            <w:tcW w:w="3922" w:type="pct"/>
          </w:tcPr>
          <w:p w14:paraId="3DE4C416" w14:textId="77777777" w:rsidR="009B3A75" w:rsidRPr="009B3A75" w:rsidRDefault="009B3A75" w:rsidP="009B3A75">
            <w:pPr>
              <w:overflowPunct w:val="0"/>
              <w:autoSpaceDE w:val="0"/>
              <w:autoSpaceDN w:val="0"/>
              <w:adjustRightInd w:val="0"/>
              <w:textAlignment w:val="baseline"/>
              <w:rPr>
                <w:i/>
              </w:rPr>
            </w:pPr>
            <w:r>
              <w:rPr>
                <w:i/>
              </w:rPr>
              <w:t>+32 2 546 87 18</w:t>
            </w:r>
          </w:p>
        </w:tc>
      </w:tr>
      <w:tr w:rsidR="009B3A75" w:rsidRPr="009B3A75" w14:paraId="2E567427" w14:textId="77777777" w:rsidTr="0033503A">
        <w:tc>
          <w:tcPr>
            <w:tcW w:w="1078" w:type="pct"/>
          </w:tcPr>
          <w:p w14:paraId="0ED17271" w14:textId="77777777" w:rsidR="009B3A75" w:rsidRPr="009B3A75" w:rsidRDefault="009B3A75" w:rsidP="009B3A75">
            <w:pPr>
              <w:overflowPunct w:val="0"/>
              <w:autoSpaceDE w:val="0"/>
              <w:autoSpaceDN w:val="0"/>
              <w:adjustRightInd w:val="0"/>
              <w:textAlignment w:val="baseline"/>
              <w:rPr>
                <w:i/>
              </w:rPr>
            </w:pPr>
            <w:r>
              <w:rPr>
                <w:i/>
              </w:rPr>
              <w:lastRenderedPageBreak/>
              <w:t>Endereço eletrónico</w:t>
            </w:r>
          </w:p>
        </w:tc>
        <w:tc>
          <w:tcPr>
            <w:tcW w:w="3922" w:type="pct"/>
          </w:tcPr>
          <w:p w14:paraId="14201871" w14:textId="77777777" w:rsidR="009B3A75" w:rsidRPr="009B3A75" w:rsidRDefault="00075C8D" w:rsidP="009B3A75">
            <w:pPr>
              <w:overflowPunct w:val="0"/>
              <w:autoSpaceDE w:val="0"/>
              <w:autoSpaceDN w:val="0"/>
              <w:adjustRightInd w:val="0"/>
              <w:textAlignment w:val="baseline"/>
              <w:rPr>
                <w:i/>
              </w:rPr>
            </w:pPr>
            <w:hyperlink r:id="rId59" w:history="1">
              <w:r w:rsidR="00507B0A">
                <w:rPr>
                  <w:i/>
                  <w:color w:val="0000FF"/>
                  <w:u w:val="single"/>
                </w:rPr>
                <w:t>Myrto.Kolyva@eesc.europa.eu</w:t>
              </w:r>
            </w:hyperlink>
          </w:p>
        </w:tc>
      </w:tr>
    </w:tbl>
    <w:p w14:paraId="60D73D6C" w14:textId="77777777" w:rsidR="00CC0F66" w:rsidRDefault="00CC0F66" w:rsidP="001450BA">
      <w:pPr>
        <w:spacing w:after="160" w:line="192" w:lineRule="auto"/>
        <w:jc w:val="left"/>
      </w:pPr>
      <w:r>
        <w:br w:type="page"/>
      </w:r>
    </w:p>
    <w:p w14:paraId="38AEA40B" w14:textId="77777777" w:rsidR="00CE6367" w:rsidRDefault="00CE6367" w:rsidP="001766B2">
      <w:pPr>
        <w:jc w:val="left"/>
      </w:pPr>
    </w:p>
    <w:p w14:paraId="14026A78" w14:textId="4FAE1588" w:rsidR="007F5784" w:rsidRDefault="007F5784" w:rsidP="001766B2">
      <w:pPr>
        <w:pStyle w:val="Heading1"/>
        <w:rPr>
          <w:b/>
        </w:rPr>
      </w:pPr>
      <w:bookmarkStart w:id="69" w:name="_Toc232774271"/>
      <w:r>
        <w:rPr>
          <w:b/>
        </w:rPr>
        <w:t>RELAÇÕES EXTERNAS</w:t>
      </w:r>
      <w:bookmarkEnd w:id="69"/>
    </w:p>
    <w:p w14:paraId="3BBB3E68" w14:textId="77777777" w:rsidR="007F5784" w:rsidRDefault="007F5784" w:rsidP="001766B2"/>
    <w:p w14:paraId="15F9C1D2" w14:textId="5B846815" w:rsidR="00316F9C" w:rsidRPr="00316F9C" w:rsidRDefault="00075C8D" w:rsidP="00316F9C">
      <w:pPr>
        <w:widowControl w:val="0"/>
        <w:numPr>
          <w:ilvl w:val="0"/>
          <w:numId w:val="4"/>
        </w:numPr>
        <w:overflowPunct w:val="0"/>
        <w:autoSpaceDE w:val="0"/>
        <w:autoSpaceDN w:val="0"/>
        <w:adjustRightInd w:val="0"/>
        <w:ind w:hanging="567"/>
        <w:textAlignment w:val="baseline"/>
        <w:rPr>
          <w:b/>
          <w:bCs/>
          <w:i/>
          <w:iCs/>
          <w:color w:val="0000FF"/>
          <w:sz w:val="28"/>
          <w:szCs w:val="28"/>
          <w:u w:val="single"/>
        </w:rPr>
      </w:pPr>
      <w:hyperlink r:id="rId60" w:history="1">
        <w:r w:rsidR="00507B0A">
          <w:rPr>
            <w:b/>
            <w:i/>
            <w:color w:val="0000FF"/>
            <w:sz w:val="28"/>
            <w:u w:val="single"/>
          </w:rPr>
          <w:t>Reforçar a segurança económica da UE</w:t>
        </w:r>
      </w:hyperlink>
    </w:p>
    <w:p w14:paraId="298D50B5"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16F9C" w:rsidRPr="00316F9C" w14:paraId="0DEDFCED" w14:textId="77777777" w:rsidTr="0033503A">
        <w:tc>
          <w:tcPr>
            <w:tcW w:w="1077" w:type="pct"/>
          </w:tcPr>
          <w:p w14:paraId="2D5E0B2B"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Relator</w:t>
            </w:r>
          </w:p>
        </w:tc>
        <w:tc>
          <w:tcPr>
            <w:tcW w:w="3923" w:type="pct"/>
          </w:tcPr>
          <w:p w14:paraId="0BDF3B2E" w14:textId="0199D303" w:rsidR="00316F9C" w:rsidRPr="00316F9C" w:rsidRDefault="00316F9C" w:rsidP="00316F9C">
            <w:pPr>
              <w:tabs>
                <w:tab w:val="center" w:pos="284"/>
              </w:tabs>
              <w:overflowPunct w:val="0"/>
              <w:autoSpaceDE w:val="0"/>
              <w:autoSpaceDN w:val="0"/>
              <w:adjustRightInd w:val="0"/>
              <w:ind w:left="266" w:hanging="266"/>
              <w:textAlignment w:val="baseline"/>
            </w:pPr>
            <w:r>
              <w:t>Milena Angelova (BG – Grupo dos Empregadores)</w:t>
            </w:r>
          </w:p>
        </w:tc>
      </w:tr>
      <w:tr w:rsidR="00316F9C" w:rsidRPr="00316F9C" w14:paraId="4A27F68A" w14:textId="77777777" w:rsidTr="0033503A">
        <w:tc>
          <w:tcPr>
            <w:tcW w:w="5000" w:type="pct"/>
            <w:gridSpan w:val="2"/>
          </w:tcPr>
          <w:p w14:paraId="7E0CBFD3" w14:textId="77777777" w:rsidR="00316F9C" w:rsidRPr="00316F9C" w:rsidRDefault="00316F9C" w:rsidP="00316F9C">
            <w:pPr>
              <w:tabs>
                <w:tab w:val="center" w:pos="284"/>
              </w:tabs>
              <w:overflowPunct w:val="0"/>
              <w:autoSpaceDE w:val="0"/>
              <w:autoSpaceDN w:val="0"/>
              <w:adjustRightInd w:val="0"/>
              <w:spacing w:line="160" w:lineRule="exact"/>
              <w:ind w:left="266" w:hanging="266"/>
              <w:textAlignment w:val="baseline"/>
            </w:pPr>
          </w:p>
        </w:tc>
      </w:tr>
      <w:tr w:rsidR="00316F9C" w:rsidRPr="00316F9C" w14:paraId="63E60E68" w14:textId="77777777" w:rsidTr="0033503A">
        <w:tc>
          <w:tcPr>
            <w:tcW w:w="1077" w:type="pct"/>
            <w:vMerge w:val="restart"/>
          </w:tcPr>
          <w:p w14:paraId="7A29F3C1"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Referências</w:t>
            </w:r>
          </w:p>
        </w:tc>
        <w:tc>
          <w:tcPr>
            <w:tcW w:w="3923" w:type="pct"/>
          </w:tcPr>
          <w:p w14:paraId="3EDFDC07" w14:textId="09E9C34D" w:rsidR="00322B71" w:rsidRDefault="00322B71" w:rsidP="00316F9C">
            <w:pPr>
              <w:tabs>
                <w:tab w:val="center" w:pos="284"/>
              </w:tabs>
              <w:overflowPunct w:val="0"/>
              <w:autoSpaceDE w:val="0"/>
              <w:autoSpaceDN w:val="0"/>
              <w:adjustRightInd w:val="0"/>
              <w:ind w:left="266" w:hanging="266"/>
              <w:textAlignment w:val="baseline"/>
            </w:pPr>
            <w:r>
              <w:t>JOIN(2025) 945 final</w:t>
            </w:r>
          </w:p>
          <w:p w14:paraId="36793B55" w14:textId="4939863E" w:rsidR="00316F9C" w:rsidRPr="00316F9C" w:rsidRDefault="00316F9C" w:rsidP="00316F9C">
            <w:pPr>
              <w:tabs>
                <w:tab w:val="center" w:pos="284"/>
              </w:tabs>
              <w:overflowPunct w:val="0"/>
              <w:autoSpaceDE w:val="0"/>
              <w:autoSpaceDN w:val="0"/>
              <w:adjustRightInd w:val="0"/>
              <w:ind w:left="266" w:hanging="266"/>
              <w:textAlignment w:val="baseline"/>
            </w:pPr>
            <w:r>
              <w:t>EESC-2026-00590-00-00-AC</w:t>
            </w:r>
          </w:p>
        </w:tc>
      </w:tr>
      <w:tr w:rsidR="00316F9C" w:rsidRPr="00316F9C" w14:paraId="535F6FB7" w14:textId="77777777" w:rsidTr="0033503A">
        <w:tc>
          <w:tcPr>
            <w:tcW w:w="1077" w:type="pct"/>
            <w:vMerge/>
          </w:tcPr>
          <w:p w14:paraId="0BC3A684"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316F9C">
            <w:pPr>
              <w:tabs>
                <w:tab w:val="center" w:pos="284"/>
              </w:tabs>
              <w:overflowPunct w:val="0"/>
              <w:autoSpaceDE w:val="0"/>
              <w:autoSpaceDN w:val="0"/>
              <w:adjustRightInd w:val="0"/>
              <w:ind w:left="266" w:hanging="266"/>
              <w:textAlignment w:val="baseline"/>
            </w:pPr>
          </w:p>
        </w:tc>
      </w:tr>
    </w:tbl>
    <w:p w14:paraId="0F4D98B9"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p w14:paraId="2EE8B17F"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rPr>
      </w:pPr>
      <w:r>
        <w:rPr>
          <w:b/>
        </w:rPr>
        <w:t>Pontos principais</w:t>
      </w:r>
    </w:p>
    <w:p w14:paraId="2FEE2922"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D92322">
      <w:pPr>
        <w:overflowPunct w:val="0"/>
        <w:autoSpaceDE w:val="0"/>
        <w:autoSpaceDN w:val="0"/>
        <w:adjustRightInd w:val="0"/>
        <w:textAlignment w:val="baseline"/>
        <w:rPr>
          <w:bCs/>
          <w:iCs/>
        </w:rPr>
      </w:pPr>
      <w:r>
        <w:t>O Comité Económico e Social Europeu:</w:t>
      </w:r>
    </w:p>
    <w:p w14:paraId="03DB80AE" w14:textId="77777777" w:rsid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considera que a segurança económica é um objetivo crucial da União Europeia (UE) e preconiza uma ação urgente e integrada em todos os domínios políticos pertinentes, em especial as políticas de inovação, energia, transportes, digitalização, indústria, economia, comércio e parceria internacional, com uma atribuição clara de responsabilidades e uma coordenação eficaz entre os níveis nacional e da UE;</w:t>
      </w:r>
    </w:p>
    <w:p w14:paraId="495506AB" w14:textId="390EB250" w:rsidR="00316F9C" w:rsidRP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salienta que a segurança económica está estreitamente ligada à segurança global e que a UE deve preparar-se para a multiplicação dos riscos reforçando a sua economia, a sua capacidade de defesa, a resiliência democrática, as capacidades diplomáticas e a cooperação com parceiros que partilham dos mesmos valores;</w:t>
      </w:r>
    </w:p>
    <w:p w14:paraId="5DEDA004"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solicita medidas de grande impacto transversais para reforçar a competitividade da UE, a atratividade do investimento, alargando e diversificando simultaneamente as relações comerciais, criando parcerias internacionais mutuamente benéficas e estabelecendo uma distinção clara entre as dependências de baixo e de alto risco;</w:t>
      </w:r>
    </w:p>
    <w:p w14:paraId="0020A7C0"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salienta que bases económicas internas robustas – a estabilidade macroeconómica, uma capacidade de inovação e produção sólida, com um acesso seguro a fatores de produção, e um mercado único que funcione bem – são facilitadores estratégicos da segurança económica;</w:t>
      </w:r>
    </w:p>
    <w:p w14:paraId="7FD0329C"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realça a necessidade de um aumento significativo do investimento público e privado, a fim de reforçar a segurança económica da UE, incluindo através do reforço dos mercados financeiros da UE, indo da investigação e inovação à implantação e produção em grande escala;</w:t>
      </w:r>
    </w:p>
    <w:p w14:paraId="71327DE9"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defende o reforço da segurança e sustentabilidade das cadeias de abastecimento e infraestruturas, o desenvolvimento de uma base de produção forte e diversificada, e o fomento de aptidões e competências compatíveis com o mercado de trabalho e de conhecimentos especializados de alto nível em tecnologias essenciais;</w:t>
      </w:r>
    </w:p>
    <w:p w14:paraId="391549CF"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preconiza uma participação mais sólida, estruturada e significativa dos parceiros sociais, das organizações da sociedade civil e das instituições académicas, no desenvolvimento, aplicação e acompanhamento de políticas de segurança económica.</w:t>
      </w:r>
    </w:p>
    <w:p w14:paraId="00BD4EEA" w14:textId="77777777" w:rsidR="00316F9C" w:rsidRPr="00316F9C" w:rsidRDefault="00316F9C" w:rsidP="00D92322">
      <w:pPr>
        <w:widowControl w:val="0"/>
        <w:overflowPunct w:val="0"/>
        <w:autoSpaceDE w:val="0"/>
        <w:autoSpaceDN w:val="0"/>
        <w:adjustRightInd w:val="0"/>
        <w:ind w:left="709"/>
        <w:jc w:val="left"/>
        <w:textAlignment w:val="baseline"/>
        <w:rPr>
          <w:szCs w:val="20"/>
          <w:lang w:val="en-GB"/>
        </w:rPr>
      </w:pP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316F9C" w:rsidRDefault="00316F9C" w:rsidP="00316F9C">
            <w:pPr>
              <w:overflowPunct w:val="0"/>
              <w:autoSpaceDE w:val="0"/>
              <w:autoSpaceDN w:val="0"/>
              <w:adjustRightInd w:val="0"/>
              <w:spacing w:line="240" w:lineRule="auto"/>
              <w:textAlignment w:val="baseline"/>
              <w:rPr>
                <w:i/>
              </w:rPr>
            </w:pPr>
            <w:r>
              <w:rPr>
                <w:b/>
                <w:i/>
              </w:rPr>
              <w:t>Contacto</w:t>
            </w:r>
          </w:p>
        </w:tc>
        <w:tc>
          <w:tcPr>
            <w:tcW w:w="3444" w:type="pct"/>
          </w:tcPr>
          <w:p w14:paraId="1948D590" w14:textId="77777777" w:rsidR="00316F9C" w:rsidRPr="00316F9C" w:rsidRDefault="00316F9C" w:rsidP="00316F9C">
            <w:pPr>
              <w:overflowPunct w:val="0"/>
              <w:autoSpaceDE w:val="0"/>
              <w:autoSpaceDN w:val="0"/>
              <w:adjustRightInd w:val="0"/>
              <w:spacing w:line="240" w:lineRule="auto"/>
              <w:textAlignment w:val="baseline"/>
              <w:rPr>
                <w:i/>
              </w:rPr>
            </w:pPr>
            <w:r>
              <w:rPr>
                <w:i/>
              </w:rPr>
              <w:t>Marco Ristori</w:t>
            </w:r>
          </w:p>
        </w:tc>
      </w:tr>
      <w:tr w:rsidR="00316F9C" w:rsidRPr="00316F9C" w14:paraId="7B24D117" w14:textId="77777777" w:rsidTr="0033503A">
        <w:tc>
          <w:tcPr>
            <w:tcW w:w="1556" w:type="pct"/>
          </w:tcPr>
          <w:p w14:paraId="19034EC3" w14:textId="77777777" w:rsidR="00316F9C" w:rsidRPr="00316F9C" w:rsidRDefault="00316F9C" w:rsidP="00316F9C">
            <w:pPr>
              <w:overflowPunct w:val="0"/>
              <w:autoSpaceDE w:val="0"/>
              <w:autoSpaceDN w:val="0"/>
              <w:adjustRightInd w:val="0"/>
              <w:spacing w:line="240" w:lineRule="auto"/>
              <w:textAlignment w:val="baseline"/>
              <w:rPr>
                <w:i/>
              </w:rPr>
            </w:pPr>
            <w:r>
              <w:rPr>
                <w:i/>
              </w:rPr>
              <w:t>Tel.</w:t>
            </w:r>
          </w:p>
        </w:tc>
        <w:tc>
          <w:tcPr>
            <w:tcW w:w="3444" w:type="pct"/>
          </w:tcPr>
          <w:p w14:paraId="2EF153B3" w14:textId="77777777" w:rsidR="00316F9C" w:rsidRPr="00316F9C" w:rsidRDefault="00316F9C" w:rsidP="00316F9C">
            <w:pPr>
              <w:overflowPunct w:val="0"/>
              <w:autoSpaceDE w:val="0"/>
              <w:autoSpaceDN w:val="0"/>
              <w:adjustRightInd w:val="0"/>
              <w:spacing w:line="240" w:lineRule="auto"/>
              <w:textAlignment w:val="baseline"/>
              <w:rPr>
                <w:i/>
              </w:rPr>
            </w:pPr>
            <w:r>
              <w:rPr>
                <w:i/>
              </w:rPr>
              <w:t>+32 2 546 99 69</w:t>
            </w:r>
          </w:p>
        </w:tc>
      </w:tr>
      <w:tr w:rsidR="00316F9C" w:rsidRPr="00316F9C" w14:paraId="2E6AE22E" w14:textId="77777777" w:rsidTr="0033503A">
        <w:tc>
          <w:tcPr>
            <w:tcW w:w="1556" w:type="pct"/>
          </w:tcPr>
          <w:p w14:paraId="4E76621B" w14:textId="77777777" w:rsidR="00316F9C" w:rsidRPr="00316F9C" w:rsidRDefault="00316F9C" w:rsidP="00316F9C">
            <w:pPr>
              <w:overflowPunct w:val="0"/>
              <w:autoSpaceDE w:val="0"/>
              <w:autoSpaceDN w:val="0"/>
              <w:adjustRightInd w:val="0"/>
              <w:spacing w:line="240" w:lineRule="auto"/>
              <w:textAlignment w:val="baseline"/>
              <w:rPr>
                <w:i/>
              </w:rPr>
            </w:pPr>
            <w:r>
              <w:rPr>
                <w:i/>
              </w:rPr>
              <w:t>Endereço eletrónico</w:t>
            </w:r>
          </w:p>
        </w:tc>
        <w:tc>
          <w:tcPr>
            <w:tcW w:w="3444" w:type="pct"/>
          </w:tcPr>
          <w:p w14:paraId="2E9E7E4D" w14:textId="77777777" w:rsidR="00316F9C" w:rsidRPr="00316F9C" w:rsidRDefault="00075C8D" w:rsidP="00316F9C">
            <w:pPr>
              <w:overflowPunct w:val="0"/>
              <w:autoSpaceDE w:val="0"/>
              <w:autoSpaceDN w:val="0"/>
              <w:adjustRightInd w:val="0"/>
              <w:spacing w:line="240" w:lineRule="auto"/>
              <w:textAlignment w:val="baseline"/>
              <w:rPr>
                <w:i/>
              </w:rPr>
            </w:pPr>
            <w:hyperlink r:id="rId61" w:history="1">
              <w:r w:rsidR="00507B0A">
                <w:rPr>
                  <w:i/>
                  <w:color w:val="0000FF"/>
                  <w:u w:val="single"/>
                </w:rPr>
                <w:t>Marco.Ristori@eesc.europa.eu</w:t>
              </w:r>
            </w:hyperlink>
          </w:p>
          <w:p w14:paraId="1160174F" w14:textId="77777777" w:rsidR="00316F9C" w:rsidRPr="00316F9C" w:rsidRDefault="00316F9C" w:rsidP="00316F9C">
            <w:pPr>
              <w:overflowPunct w:val="0"/>
              <w:autoSpaceDE w:val="0"/>
              <w:autoSpaceDN w:val="0"/>
              <w:adjustRightInd w:val="0"/>
              <w:spacing w:line="240" w:lineRule="auto"/>
              <w:textAlignment w:val="baseline"/>
              <w:rPr>
                <w:i/>
              </w:rPr>
            </w:pPr>
          </w:p>
        </w:tc>
      </w:tr>
    </w:tbl>
    <w:p w14:paraId="00818601" w14:textId="77777777" w:rsidR="00CC0F66" w:rsidRDefault="00CC0F66" w:rsidP="001766B2"/>
    <w:p w14:paraId="528C73AA" w14:textId="46DE726B" w:rsidR="006D2C8A" w:rsidRPr="006D2C8A" w:rsidRDefault="006D2C8A" w:rsidP="009C704D">
      <w:pPr>
        <w:pStyle w:val="Heading1"/>
        <w:rPr>
          <w:b/>
        </w:rPr>
      </w:pPr>
      <w:bookmarkStart w:id="70" w:name="_Toc232774272"/>
      <w:r>
        <w:rPr>
          <w:b/>
          <w:color w:val="222A35" w:themeColor="text2" w:themeShade="80"/>
        </w:rPr>
        <w:lastRenderedPageBreak/>
        <w:t>COMISSÃO CONSULTIVA DAS MUTAÇÕES INDUSTRIAIS</w:t>
      </w:r>
      <w:bookmarkEnd w:id="70"/>
    </w:p>
    <w:p w14:paraId="713E272F" w14:textId="77777777" w:rsidR="006D2C8A" w:rsidRDefault="006D2C8A" w:rsidP="001766B2"/>
    <w:p w14:paraId="7593948E" w14:textId="0540C45A" w:rsidR="00D576FA" w:rsidRPr="00D576FA" w:rsidRDefault="00075C8D" w:rsidP="00D576FA">
      <w:pPr>
        <w:widowControl w:val="0"/>
        <w:numPr>
          <w:ilvl w:val="0"/>
          <w:numId w:val="4"/>
        </w:numPr>
        <w:overflowPunct w:val="0"/>
        <w:autoSpaceDE w:val="0"/>
        <w:autoSpaceDN w:val="0"/>
        <w:adjustRightInd w:val="0"/>
        <w:ind w:hanging="567"/>
        <w:textAlignment w:val="baseline"/>
        <w:rPr>
          <w:sz w:val="20"/>
          <w:szCs w:val="20"/>
        </w:rPr>
      </w:pPr>
      <w:hyperlink r:id="rId62" w:history="1">
        <w:r w:rsidR="00507B0A">
          <w:rPr>
            <w:b/>
            <w:i/>
            <w:color w:val="0000FF"/>
            <w:sz w:val="28"/>
            <w:u w:val="single"/>
          </w:rPr>
          <w:t>Plano de Ação RESourceEU</w:t>
        </w:r>
      </w:hyperlink>
    </w:p>
    <w:p w14:paraId="39B6F828" w14:textId="77777777" w:rsidR="00D576FA" w:rsidRPr="00D576FA" w:rsidRDefault="00D576FA" w:rsidP="00D576FA">
      <w:pPr>
        <w:widowControl w:val="0"/>
        <w:overflowPunct w:val="0"/>
        <w:autoSpaceDE w:val="0"/>
        <w:autoSpaceDN w:val="0"/>
        <w:adjustRightInd w:val="0"/>
        <w:ind w:left="567"/>
        <w:textAlignment w:val="baseline"/>
        <w:rPr>
          <w:sz w:val="20"/>
          <w:szCs w:val="20"/>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81"/>
      </w:tblGrid>
      <w:tr w:rsidR="00D576FA" w:rsidRPr="00D576FA" w14:paraId="35A09B50" w14:textId="77777777" w:rsidTr="0033503A">
        <w:tc>
          <w:tcPr>
            <w:tcW w:w="1641" w:type="dxa"/>
          </w:tcPr>
          <w:p w14:paraId="3B5AF803" w14:textId="77777777" w:rsidR="00D576FA" w:rsidRPr="00D576FA" w:rsidRDefault="00D576FA" w:rsidP="00D576FA">
            <w:pPr>
              <w:tabs>
                <w:tab w:val="center" w:pos="284"/>
              </w:tabs>
              <w:overflowPunct w:val="0"/>
              <w:autoSpaceDE w:val="0"/>
              <w:autoSpaceDN w:val="0"/>
              <w:adjustRightInd w:val="0"/>
              <w:ind w:left="266" w:hanging="266"/>
              <w:rPr>
                <w:b/>
              </w:rPr>
            </w:pPr>
            <w:r>
              <w:rPr>
                <w:b/>
              </w:rPr>
              <w:t>Relator</w:t>
            </w:r>
          </w:p>
        </w:tc>
        <w:tc>
          <w:tcPr>
            <w:tcW w:w="7681" w:type="dxa"/>
          </w:tcPr>
          <w:p w14:paraId="2BE970FE" w14:textId="20B97542" w:rsidR="00D576FA" w:rsidRPr="00D576FA" w:rsidRDefault="00D576FA" w:rsidP="00D576FA">
            <w:pPr>
              <w:tabs>
                <w:tab w:val="center" w:pos="284"/>
              </w:tabs>
              <w:overflowPunct w:val="0"/>
              <w:autoSpaceDE w:val="0"/>
              <w:autoSpaceDN w:val="0"/>
              <w:adjustRightInd w:val="0"/>
              <w:ind w:left="266" w:hanging="266"/>
            </w:pPr>
            <w:r>
              <w:t>Konstantinos Diamantouros (EL – Grupo dos Empregadores)</w:t>
            </w:r>
          </w:p>
        </w:tc>
      </w:tr>
      <w:tr w:rsidR="00D576FA" w:rsidRPr="00D576FA" w14:paraId="7162E97C" w14:textId="77777777" w:rsidTr="0033503A">
        <w:tc>
          <w:tcPr>
            <w:tcW w:w="1641" w:type="dxa"/>
            <w:hideMark/>
          </w:tcPr>
          <w:p w14:paraId="6D731A23" w14:textId="77777777" w:rsidR="00D576FA" w:rsidRPr="00D576FA" w:rsidRDefault="00D576FA" w:rsidP="00D576FA">
            <w:pPr>
              <w:tabs>
                <w:tab w:val="center" w:pos="284"/>
              </w:tabs>
              <w:overflowPunct w:val="0"/>
              <w:autoSpaceDE w:val="0"/>
              <w:autoSpaceDN w:val="0"/>
              <w:adjustRightInd w:val="0"/>
              <w:ind w:left="266" w:hanging="266"/>
              <w:rPr>
                <w:b/>
              </w:rPr>
            </w:pPr>
            <w:r>
              <w:rPr>
                <w:b/>
              </w:rPr>
              <w:t>Correlatora</w:t>
            </w:r>
          </w:p>
        </w:tc>
        <w:tc>
          <w:tcPr>
            <w:tcW w:w="7681" w:type="dxa"/>
            <w:hideMark/>
          </w:tcPr>
          <w:p w14:paraId="71905D27" w14:textId="05D42BAC" w:rsidR="00D576FA" w:rsidRDefault="00D576FA" w:rsidP="00D576FA">
            <w:pPr>
              <w:tabs>
                <w:tab w:val="center" w:pos="284"/>
              </w:tabs>
              <w:overflowPunct w:val="0"/>
              <w:autoSpaceDE w:val="0"/>
              <w:autoSpaceDN w:val="0"/>
              <w:adjustRightInd w:val="0"/>
              <w:ind w:left="266" w:hanging="266"/>
            </w:pPr>
            <w:r>
              <w:t>Agata Meysner (PL-Cat. 3)</w:t>
            </w:r>
          </w:p>
          <w:p w14:paraId="73BE94E4" w14:textId="77777777" w:rsidR="00543E9D" w:rsidRPr="00D576FA" w:rsidRDefault="00543E9D" w:rsidP="00D576FA">
            <w:pPr>
              <w:tabs>
                <w:tab w:val="center" w:pos="284"/>
              </w:tabs>
              <w:overflowPunct w:val="0"/>
              <w:autoSpaceDE w:val="0"/>
              <w:autoSpaceDN w:val="0"/>
              <w:adjustRightInd w:val="0"/>
              <w:ind w:left="266" w:hanging="266"/>
            </w:pPr>
          </w:p>
        </w:tc>
      </w:tr>
      <w:tr w:rsidR="00D576FA" w:rsidRPr="00D576FA" w14:paraId="35AC4197" w14:textId="77777777" w:rsidTr="0033503A">
        <w:tc>
          <w:tcPr>
            <w:tcW w:w="1641" w:type="dxa"/>
            <w:hideMark/>
          </w:tcPr>
          <w:p w14:paraId="7AA42138" w14:textId="77777777" w:rsidR="00D576FA" w:rsidRPr="00D576FA" w:rsidRDefault="00D576FA" w:rsidP="00D576FA">
            <w:pPr>
              <w:tabs>
                <w:tab w:val="center" w:pos="284"/>
              </w:tabs>
              <w:overflowPunct w:val="0"/>
              <w:autoSpaceDE w:val="0"/>
              <w:autoSpaceDN w:val="0"/>
              <w:adjustRightInd w:val="0"/>
              <w:ind w:left="266" w:hanging="266"/>
              <w:rPr>
                <w:b/>
              </w:rPr>
            </w:pPr>
            <w:r>
              <w:rPr>
                <w:b/>
              </w:rPr>
              <w:t>Referências</w:t>
            </w:r>
          </w:p>
        </w:tc>
        <w:tc>
          <w:tcPr>
            <w:tcW w:w="7681" w:type="dxa"/>
            <w:hideMark/>
          </w:tcPr>
          <w:p w14:paraId="08F1ECA8" w14:textId="3074E262" w:rsidR="00543E9D" w:rsidRDefault="00AD18D5" w:rsidP="00D576FA">
            <w:pPr>
              <w:tabs>
                <w:tab w:val="center" w:pos="284"/>
              </w:tabs>
              <w:overflowPunct w:val="0"/>
              <w:autoSpaceDE w:val="0"/>
              <w:autoSpaceDN w:val="0"/>
              <w:adjustRightInd w:val="0"/>
              <w:ind w:left="266" w:hanging="266"/>
            </w:pPr>
            <w:r>
              <w:t>COM(2025) 945 final</w:t>
            </w:r>
          </w:p>
          <w:p w14:paraId="059B6632" w14:textId="4A430A60" w:rsidR="00D576FA" w:rsidRPr="00D576FA" w:rsidRDefault="00D576FA" w:rsidP="00D576FA">
            <w:pPr>
              <w:tabs>
                <w:tab w:val="center" w:pos="284"/>
              </w:tabs>
              <w:overflowPunct w:val="0"/>
              <w:autoSpaceDE w:val="0"/>
              <w:autoSpaceDN w:val="0"/>
              <w:adjustRightInd w:val="0"/>
              <w:ind w:left="266" w:hanging="266"/>
            </w:pPr>
            <w:r>
              <w:t>EESC-2026-00431-00-00-AC</w:t>
            </w:r>
          </w:p>
        </w:tc>
      </w:tr>
    </w:tbl>
    <w:p w14:paraId="2C5D04E4"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rPr>
      </w:pPr>
      <w:r>
        <w:rPr>
          <w:b/>
        </w:rPr>
        <w:t>Pontos principais</w:t>
      </w:r>
    </w:p>
    <w:p w14:paraId="6E2EBF13"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Default="00D576FA" w:rsidP="00D576FA">
      <w:pPr>
        <w:keepNext/>
        <w:keepLines/>
        <w:tabs>
          <w:tab w:val="center" w:pos="284"/>
        </w:tabs>
        <w:overflowPunct w:val="0"/>
        <w:autoSpaceDE w:val="0"/>
        <w:autoSpaceDN w:val="0"/>
        <w:adjustRightInd w:val="0"/>
        <w:ind w:left="266" w:hanging="266"/>
        <w:textAlignment w:val="baseline"/>
        <w:rPr>
          <w:bCs/>
        </w:rPr>
      </w:pPr>
      <w:r>
        <w:t>O Comité Económico e Social Europeu:</w:t>
      </w:r>
    </w:p>
    <w:p w14:paraId="4C6A1B7A"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apoia o Plano de Ação RESourceEU enquanto passo importante para reforçar a resiliência das cadeias de valor das matérias-primas críticas da União Europeia (UE) e reduzir as dependências estratégicas;</w:t>
      </w:r>
    </w:p>
    <w:p w14:paraId="1DACE32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recomenda uma abordagem equilibrada que combine uma maior capacidade de produção europeia, medidas mais fortes em prol da circularidade, parcerias internacionais responsáveis, preços da energia competitivos, quadros regulamentares exequíveis e salvaguardas ambientais e sociais sólidas;</w:t>
      </w:r>
    </w:p>
    <w:p w14:paraId="0C92FBC1"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apoia procedimentos de licenciamento mais rápidos para projetos estratégicos europeus, a fim de acelerar o desenvolvimento de cadeias de valor de matérias-primas críticas na UE;</w:t>
      </w:r>
    </w:p>
    <w:p w14:paraId="7DD0D182"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recomenda a redução dos preços da energia industrial estruturalmente elevados e a facilitação de contratos de aquisição de energia renovável a longo prazo para as indústrias com utilização intensiva de energia;</w:t>
      </w:r>
    </w:p>
    <w:p w14:paraId="4F02637C"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apoia as medidas de eletrificação ao abrigo do Enquadramento para os Auxílios Estatais no Âmbito do Pacto da Indústria Limpa, mantendo simultaneamente a eficácia do Sistema de Comércio de Licenças de Emissão da União Europeia;</w:t>
      </w:r>
    </w:p>
    <w:p w14:paraId="29AF5E3F"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recomenda que se assegure que iniciativas como a taxonomia da UE melhoram o acesso ao financiamento para projetos estratégicos relacionados com matérias-primas críticas;</w:t>
      </w:r>
    </w:p>
    <w:p w14:paraId="47BF5454"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salienta que a próxima revisão da Diretiva-Quadro da Água não deve resultar numa redução das normas de proteção ambiental;</w:t>
      </w:r>
    </w:p>
    <w:p w14:paraId="1212F24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apoia a melhoria da reciclagem e da reutilização de matérias-primas críticas para reforçar a segurança dos recursos da UE e reduzir as exportações de resíduos;</w:t>
      </w:r>
    </w:p>
    <w:p w14:paraId="7BE49C5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recomenda o estabelecimento de definições claras de resíduos e de matérias-primas secundárias, a fim de facilitar a reciclagem, a valorização e a segurança do investimento;</w:t>
      </w:r>
    </w:p>
    <w:p w14:paraId="0C4F026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recomenda o reforço das cadeias de valor dos materiais da UE através de uma combinação de produção interna reforçada, taxas de reciclagem mais elevadas, medidas de conceção ecológica e uma maior eficiência dos materiais;</w:t>
      </w:r>
    </w:p>
    <w:p w14:paraId="4E1B53C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apoia a utilização da constituição de reservas estratégicas como medida complementar que não deve substituir as capacidades de produção, transformação e reciclagem internas da UE;</w:t>
      </w:r>
    </w:p>
    <w:p w14:paraId="0969BB8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recomenda a melhoria da transparência da governação relativamente às matérias-primas através de um melhor acompanhamento dos fluxos de materiais, dos níveis de existências e das decisões de afetação;</w:t>
      </w:r>
    </w:p>
    <w:p w14:paraId="384C19C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apoia a diversificação das cadeias de abastecimento através de parcerias internacionais equilibradas, reforçando simultaneamente as capacidades de extração, transformação, refinação e reciclagem da UE.</w:t>
      </w:r>
    </w:p>
    <w:p w14:paraId="5A852102" w14:textId="77777777" w:rsidR="00D576FA" w:rsidRPr="00D576FA" w:rsidRDefault="00D576FA" w:rsidP="00D576FA">
      <w:pPr>
        <w:spacing w:after="120" w:line="240" w:lineRule="auto"/>
        <w:ind w:left="568"/>
        <w:jc w:val="left"/>
        <w:rPr>
          <w:rFonts w:ascii="Calibri" w:hAnsi="Calibri"/>
          <w:lang w:val="en-GB" w:eastAsia="zh-CN"/>
        </w:rPr>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D576FA" w:rsidRDefault="00D576FA" w:rsidP="00D576FA">
            <w:pPr>
              <w:overflowPunct w:val="0"/>
              <w:autoSpaceDE w:val="0"/>
              <w:autoSpaceDN w:val="0"/>
              <w:adjustRightInd w:val="0"/>
              <w:textAlignment w:val="baseline"/>
              <w:rPr>
                <w:i/>
              </w:rPr>
            </w:pPr>
            <w:r>
              <w:rPr>
                <w:b/>
                <w:i/>
              </w:rPr>
              <w:t>Contacto</w:t>
            </w:r>
          </w:p>
        </w:tc>
        <w:tc>
          <w:tcPr>
            <w:tcW w:w="3923" w:type="pct"/>
          </w:tcPr>
          <w:p w14:paraId="61035A38" w14:textId="77679AFC" w:rsidR="00D576FA" w:rsidRPr="00D576FA" w:rsidRDefault="00D576FA" w:rsidP="00D576FA">
            <w:pPr>
              <w:overflowPunct w:val="0"/>
              <w:autoSpaceDE w:val="0"/>
              <w:autoSpaceDN w:val="0"/>
              <w:adjustRightInd w:val="0"/>
              <w:textAlignment w:val="baseline"/>
              <w:rPr>
                <w:i/>
              </w:rPr>
            </w:pPr>
            <w:r>
              <w:rPr>
                <w:i/>
              </w:rPr>
              <w:t>Adam Dorywalski</w:t>
            </w:r>
          </w:p>
        </w:tc>
      </w:tr>
      <w:tr w:rsidR="00D576FA" w:rsidRPr="00D576FA" w14:paraId="2E407A7E" w14:textId="77777777" w:rsidTr="0033503A">
        <w:tc>
          <w:tcPr>
            <w:tcW w:w="1077" w:type="pct"/>
          </w:tcPr>
          <w:p w14:paraId="68D5D5E9" w14:textId="77777777" w:rsidR="00D576FA" w:rsidRPr="00D576FA" w:rsidRDefault="00D576FA" w:rsidP="00D576FA">
            <w:pPr>
              <w:overflowPunct w:val="0"/>
              <w:autoSpaceDE w:val="0"/>
              <w:autoSpaceDN w:val="0"/>
              <w:adjustRightInd w:val="0"/>
              <w:textAlignment w:val="baseline"/>
              <w:rPr>
                <w:i/>
              </w:rPr>
            </w:pPr>
            <w:r>
              <w:rPr>
                <w:i/>
              </w:rPr>
              <w:t>Tel.</w:t>
            </w:r>
          </w:p>
        </w:tc>
        <w:tc>
          <w:tcPr>
            <w:tcW w:w="3923" w:type="pct"/>
          </w:tcPr>
          <w:p w14:paraId="6E7C366A" w14:textId="77777777" w:rsidR="00D576FA" w:rsidRPr="00D576FA" w:rsidRDefault="00D576FA" w:rsidP="00D576FA">
            <w:pPr>
              <w:overflowPunct w:val="0"/>
              <w:autoSpaceDE w:val="0"/>
              <w:autoSpaceDN w:val="0"/>
              <w:adjustRightInd w:val="0"/>
              <w:textAlignment w:val="baseline"/>
              <w:rPr>
                <w:i/>
              </w:rPr>
            </w:pPr>
            <w:r>
              <w:rPr>
                <w:i/>
              </w:rPr>
              <w:t>+32 2 546 93 97</w:t>
            </w:r>
          </w:p>
        </w:tc>
      </w:tr>
      <w:tr w:rsidR="00D576FA" w:rsidRPr="00D576FA" w14:paraId="2E41EE7A" w14:textId="77777777" w:rsidTr="0033503A">
        <w:tc>
          <w:tcPr>
            <w:tcW w:w="1077" w:type="pct"/>
          </w:tcPr>
          <w:p w14:paraId="7AA80285" w14:textId="77777777" w:rsidR="00D576FA" w:rsidRPr="00D576FA" w:rsidRDefault="00D576FA" w:rsidP="00D576FA">
            <w:pPr>
              <w:overflowPunct w:val="0"/>
              <w:autoSpaceDE w:val="0"/>
              <w:autoSpaceDN w:val="0"/>
              <w:adjustRightInd w:val="0"/>
              <w:textAlignment w:val="baseline"/>
              <w:rPr>
                <w:i/>
              </w:rPr>
            </w:pPr>
            <w:r>
              <w:rPr>
                <w:i/>
              </w:rPr>
              <w:t>Endereço eletrónico</w:t>
            </w:r>
          </w:p>
        </w:tc>
        <w:tc>
          <w:tcPr>
            <w:tcW w:w="3923" w:type="pct"/>
          </w:tcPr>
          <w:p w14:paraId="1A75A4DA" w14:textId="77777777" w:rsidR="00D576FA" w:rsidRPr="00D576FA" w:rsidRDefault="00075C8D" w:rsidP="00D576FA">
            <w:pPr>
              <w:overflowPunct w:val="0"/>
              <w:autoSpaceDE w:val="0"/>
              <w:autoSpaceDN w:val="0"/>
              <w:adjustRightInd w:val="0"/>
              <w:textAlignment w:val="baseline"/>
              <w:rPr>
                <w:i/>
              </w:rPr>
            </w:pPr>
            <w:hyperlink r:id="rId63" w:history="1">
              <w:r w:rsidR="00507B0A">
                <w:rPr>
                  <w:color w:val="0000FF"/>
                  <w:u w:val="single"/>
                </w:rPr>
                <w:t>Adam.Dorywalski@eesc.europa.eu</w:t>
              </w:r>
            </w:hyperlink>
          </w:p>
        </w:tc>
      </w:tr>
    </w:tbl>
    <w:p w14:paraId="7B95FE6F" w14:textId="77777777" w:rsidR="00D576FA" w:rsidRDefault="00D576FA">
      <w:pPr>
        <w:spacing w:after="160" w:line="259" w:lineRule="auto"/>
        <w:jc w:val="left"/>
      </w:pPr>
      <w:r>
        <w:br w:type="page"/>
      </w:r>
    </w:p>
    <w:p w14:paraId="0DD8CDD2" w14:textId="4F1CB8F8" w:rsidR="002F1C76" w:rsidRPr="002F1C76" w:rsidRDefault="00075C8D" w:rsidP="002F1C76">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4" w:history="1">
        <w:r w:rsidR="00507B0A">
          <w:rPr>
            <w:b/>
            <w:i/>
            <w:color w:val="0000FF"/>
            <w:sz w:val="28"/>
            <w:u w:val="single"/>
          </w:rPr>
          <w:t>Contributo do CESE para a Conferência das Nações Unidas sobre a Água de 2026: do Pacto Azul Europeu e da Estratégia Europeia de Resiliência Hídrica à ação para a água a nível mundial</w:t>
        </w:r>
      </w:hyperlink>
    </w:p>
    <w:p w14:paraId="515C96AD"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32853095" w14:textId="77777777" w:rsidR="002A49B2" w:rsidRPr="002F1C76" w:rsidRDefault="002A49B2" w:rsidP="002F1C76">
      <w:pPr>
        <w:tabs>
          <w:tab w:val="center" w:pos="284"/>
        </w:tabs>
        <w:overflowPunct w:val="0"/>
        <w:autoSpaceDE w:val="0"/>
        <w:autoSpaceDN w:val="0"/>
        <w:adjustRightInd w:val="0"/>
        <w:ind w:left="266" w:hanging="266"/>
        <w:textAlignment w:val="baseline"/>
        <w:rPr>
          <w:b/>
          <w:sz w:val="16"/>
          <w:szCs w:val="16"/>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2F1C76" w:rsidRPr="002F1C76" w14:paraId="5F36AD4E" w14:textId="77777777" w:rsidTr="0033503A">
        <w:tc>
          <w:tcPr>
            <w:tcW w:w="1701" w:type="dxa"/>
          </w:tcPr>
          <w:p w14:paraId="680D5D30"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Relator</w:t>
            </w:r>
          </w:p>
        </w:tc>
        <w:tc>
          <w:tcPr>
            <w:tcW w:w="7479" w:type="dxa"/>
          </w:tcPr>
          <w:p w14:paraId="63BCDB51" w14:textId="34FFB9F2" w:rsidR="002F1C76" w:rsidRPr="002F1C76" w:rsidRDefault="002F1C76" w:rsidP="002F1C76">
            <w:pPr>
              <w:tabs>
                <w:tab w:val="center" w:pos="284"/>
              </w:tabs>
              <w:overflowPunct w:val="0"/>
              <w:autoSpaceDE w:val="0"/>
              <w:autoSpaceDN w:val="0"/>
              <w:adjustRightInd w:val="0"/>
              <w:ind w:left="266" w:hanging="266"/>
              <w:textAlignment w:val="baseline"/>
            </w:pPr>
            <w:r>
              <w:t>Paul Rübig (AT – Grupo dos Empregadores)</w:t>
            </w:r>
          </w:p>
        </w:tc>
      </w:tr>
      <w:tr w:rsidR="002F1C76" w:rsidRPr="002F1C76" w14:paraId="4A554259" w14:textId="77777777" w:rsidTr="0033503A">
        <w:tc>
          <w:tcPr>
            <w:tcW w:w="1701" w:type="dxa"/>
          </w:tcPr>
          <w:p w14:paraId="4FA38557"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Correlator</w:t>
            </w:r>
          </w:p>
        </w:tc>
        <w:tc>
          <w:tcPr>
            <w:tcW w:w="7479" w:type="dxa"/>
          </w:tcPr>
          <w:p w14:paraId="21962977" w14:textId="77777777" w:rsidR="002F1C76" w:rsidRDefault="002F1C76" w:rsidP="002F1C76">
            <w:pPr>
              <w:tabs>
                <w:tab w:val="center" w:pos="284"/>
              </w:tabs>
              <w:overflowPunct w:val="0"/>
              <w:autoSpaceDE w:val="0"/>
              <w:autoSpaceDN w:val="0"/>
              <w:adjustRightInd w:val="0"/>
              <w:ind w:left="266" w:hanging="266"/>
              <w:textAlignment w:val="baseline"/>
            </w:pPr>
            <w:r>
              <w:t>Hervé Jeannin (FR – Grupo das Organizações da Sociedade Civil)</w:t>
            </w:r>
          </w:p>
          <w:p w14:paraId="4F3F4C0C" w14:textId="77777777" w:rsidR="002A49B2" w:rsidRPr="002F1C76" w:rsidRDefault="002A49B2" w:rsidP="002F1C76">
            <w:pPr>
              <w:tabs>
                <w:tab w:val="center" w:pos="284"/>
              </w:tabs>
              <w:overflowPunct w:val="0"/>
              <w:autoSpaceDE w:val="0"/>
              <w:autoSpaceDN w:val="0"/>
              <w:adjustRightInd w:val="0"/>
              <w:ind w:left="266" w:hanging="266"/>
              <w:textAlignment w:val="baseline"/>
            </w:pPr>
          </w:p>
        </w:tc>
      </w:tr>
      <w:tr w:rsidR="002F1C76" w:rsidRPr="002F1C76" w14:paraId="6030FF00" w14:textId="77777777" w:rsidTr="0033503A">
        <w:tc>
          <w:tcPr>
            <w:tcW w:w="1701" w:type="dxa"/>
          </w:tcPr>
          <w:p w14:paraId="43DF2FF1"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Referência</w:t>
            </w:r>
          </w:p>
        </w:tc>
        <w:tc>
          <w:tcPr>
            <w:tcW w:w="7479" w:type="dxa"/>
          </w:tcPr>
          <w:p w14:paraId="5A80743A" w14:textId="5515CF4A" w:rsidR="002A49B2" w:rsidRDefault="004343FD" w:rsidP="002F1C76">
            <w:pPr>
              <w:tabs>
                <w:tab w:val="center" w:pos="284"/>
              </w:tabs>
              <w:overflowPunct w:val="0"/>
              <w:autoSpaceDE w:val="0"/>
              <w:autoSpaceDN w:val="0"/>
              <w:adjustRightInd w:val="0"/>
              <w:ind w:left="266" w:hanging="266"/>
              <w:textAlignment w:val="baseline"/>
            </w:pPr>
            <w:r>
              <w:t>Parecer de iniciativa</w:t>
            </w:r>
          </w:p>
          <w:p w14:paraId="643F01B2" w14:textId="1BF0EF1E" w:rsidR="002F1C76" w:rsidRPr="002F1C76" w:rsidRDefault="002F1C76" w:rsidP="002F1C76">
            <w:pPr>
              <w:tabs>
                <w:tab w:val="center" w:pos="284"/>
              </w:tabs>
              <w:overflowPunct w:val="0"/>
              <w:autoSpaceDE w:val="0"/>
              <w:autoSpaceDN w:val="0"/>
              <w:adjustRightInd w:val="0"/>
              <w:ind w:left="266" w:hanging="266"/>
              <w:textAlignment w:val="baseline"/>
            </w:pPr>
            <w:r>
              <w:t>EESC-2026-00500-00-00-AC</w:t>
            </w:r>
          </w:p>
        </w:tc>
      </w:tr>
    </w:tbl>
    <w:p w14:paraId="52B38E12"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sz w:val="16"/>
          <w:szCs w:val="16"/>
          <w:lang w:val="en-GB"/>
        </w:rPr>
      </w:pPr>
    </w:p>
    <w:p w14:paraId="4D5E3808"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rPr>
      </w:pPr>
      <w:r>
        <w:rPr>
          <w:b/>
        </w:rPr>
        <w:t>Pontos principais</w:t>
      </w:r>
    </w:p>
    <w:p w14:paraId="32986F89"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1CFBB270" w14:textId="77777777" w:rsidR="002F1C76" w:rsidRDefault="002F1C76" w:rsidP="002F1C76">
      <w:pPr>
        <w:keepNext/>
        <w:keepLines/>
        <w:tabs>
          <w:tab w:val="center" w:pos="284"/>
        </w:tabs>
        <w:overflowPunct w:val="0"/>
        <w:autoSpaceDE w:val="0"/>
        <w:autoSpaceDN w:val="0"/>
        <w:adjustRightInd w:val="0"/>
        <w:ind w:left="266" w:hanging="266"/>
        <w:textAlignment w:val="baseline"/>
        <w:rPr>
          <w:bCs/>
        </w:rPr>
      </w:pPr>
      <w:r>
        <w:t>O Comité Económico e Social Europeu:</w:t>
      </w:r>
    </w:p>
    <w:p w14:paraId="7EF93A1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sublinha a importância da Conferência das Nações Unidas sobre a Água de 2026 para fazer da resiliência hídrica uma prioridade a nível mundial e apela para uma mudança de paradigma em todo o mundo: passar da utilização linear da água para sistemas circulares, reconhecendo a água como um bem público com valor social, ambiental e económico;</w:t>
      </w:r>
    </w:p>
    <w:p w14:paraId="3A368888"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apela para uma abordagem de governação horizontal que integre a água em todos os setores e níveis de governo à escala mundial, com a participação transversal da sociedade civil;</w:t>
      </w:r>
    </w:p>
    <w:p w14:paraId="59208CC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defende que a comunidade internacional deve condenar inequivocamente os ataques contra infraestruturas hídricas essenciais, indispensáveis à sobrevivência da população civil, e reconhecer que tal constitui um crime de guerra;</w:t>
      </w:r>
    </w:p>
    <w:p w14:paraId="50C5205B"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recomenda a aplicação sistemática de um «teste hídrico» a todas as iniciativas políticas pertinentes da UE e a nível mundial, a fim de avaliar o seu impacto nos recursos hídricos, na eficiência hídrica e na resiliência hídrica;</w:t>
      </w:r>
    </w:p>
    <w:p w14:paraId="3577252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considera que a água é um bem público e frisa que a acessibilidade dos preços da água para os grupos vulneráveis é fundamental para garantir a justiça hídrica a nível mundial; </w:t>
      </w:r>
    </w:p>
    <w:p w14:paraId="36D8A70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salienta que a consecução da resiliência hídrica requer uma mudança fundamental de comportamentos em todos os setores da sociedade, incluindo a adaptação das práticas agrícolas e industriais, o reforço das ações de adaptação e a conservação das zonas húmidas;</w:t>
      </w:r>
    </w:p>
    <w:p w14:paraId="308B8B6F"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considera que as soluções baseadas na natureza, incluindo as zonas húmidas, são infraestruturas críticas para a resiliência hídrica e devem ser integradas em todos os diálogos temáticos da Conferência das Nações Unidas sobre a Água de 2026;</w:t>
      </w:r>
    </w:p>
    <w:p w14:paraId="7470F265"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defende a mobilização de capital público e privado para apoiar uma carteira robusta de projetos mais suscetíveis de obter financiamento no âmbito do Objetivo de Desenvolvimento Sustentável (ODS) 6; </w:t>
      </w:r>
    </w:p>
    <w:p w14:paraId="2C0FFB1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defende um maior apoio aos serviços de água, saneamento e higiene, através de abordagens integradas e resilientes às alterações climáticas que combinem o desenvolvimento de infraestruturas, a governação e o reforço das capacidades, prestando especial atenção às comunidades vulneráveis e marginalizadas;</w:t>
      </w:r>
    </w:p>
    <w:p w14:paraId="7C1F5DB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estima que, em caso de conflito sobre a utilização da água, deve ser dada prioridade ao abastecimento de água potável;</w:t>
      </w:r>
    </w:p>
    <w:p w14:paraId="5A5B2B91"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solicita que se acelere a transição para uma sociedade inteligente na gestão da água a nível mundial;</w:t>
      </w:r>
    </w:p>
    <w:p w14:paraId="76A33DB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lastRenderedPageBreak/>
        <w:t>defende a fixação de metas mundiais para melhorar a eficiência hídrica em, pelo menos, 10% até 2030 e para aumentar significativamente os níveis de reutilização da água em todos os setores até ao mesmo ano;</w:t>
      </w:r>
    </w:p>
    <w:p w14:paraId="6F830F09"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recomenda o desenvolvimento de indicadores harmonizados, mecanismos de acompanhamento e quadros de comunicação de informações para acompanhar os progressos realizados no domínio da resiliência hídrica e assegurar a responsabilização a nível mundial.</w:t>
      </w:r>
    </w:p>
    <w:p w14:paraId="11E4B4CC" w14:textId="43757BA1" w:rsidR="002F1C76" w:rsidRPr="002F1C76" w:rsidRDefault="002F1C76" w:rsidP="002F1C76">
      <w:pPr>
        <w:overflowPunct w:val="0"/>
        <w:autoSpaceDE w:val="0"/>
        <w:autoSpaceDN w:val="0"/>
        <w:adjustRightInd w:val="0"/>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33503A">
        <w:tc>
          <w:tcPr>
            <w:tcW w:w="1090" w:type="pct"/>
          </w:tcPr>
          <w:p w14:paraId="0DF8B893" w14:textId="77777777" w:rsidR="002F1C76" w:rsidRPr="002F1C76" w:rsidRDefault="002F1C76" w:rsidP="002F1C76">
            <w:pPr>
              <w:overflowPunct w:val="0"/>
              <w:autoSpaceDE w:val="0"/>
              <w:autoSpaceDN w:val="0"/>
              <w:adjustRightInd w:val="0"/>
              <w:spacing w:line="240" w:lineRule="auto"/>
              <w:textAlignment w:val="baseline"/>
              <w:rPr>
                <w:i/>
              </w:rPr>
            </w:pPr>
            <w:r>
              <w:rPr>
                <w:b/>
                <w:i/>
              </w:rPr>
              <w:t>Contacto</w:t>
            </w:r>
          </w:p>
        </w:tc>
        <w:tc>
          <w:tcPr>
            <w:tcW w:w="3910" w:type="pct"/>
          </w:tcPr>
          <w:p w14:paraId="19CD974D" w14:textId="5401732D" w:rsidR="002F1C76" w:rsidRPr="00AD2F07" w:rsidRDefault="002F1C76" w:rsidP="00AD2F07">
            <w:r>
              <w:t>Luís Barbosa e Silva</w:t>
            </w:r>
          </w:p>
        </w:tc>
      </w:tr>
      <w:tr w:rsidR="002F1C76" w:rsidRPr="002F1C76" w14:paraId="52F36229" w14:textId="77777777" w:rsidTr="0033503A">
        <w:tc>
          <w:tcPr>
            <w:tcW w:w="1090" w:type="pct"/>
          </w:tcPr>
          <w:p w14:paraId="42C66415" w14:textId="77777777" w:rsidR="002F1C76" w:rsidRPr="002F1C76" w:rsidRDefault="002F1C76" w:rsidP="002F1C76">
            <w:pPr>
              <w:overflowPunct w:val="0"/>
              <w:autoSpaceDE w:val="0"/>
              <w:autoSpaceDN w:val="0"/>
              <w:adjustRightInd w:val="0"/>
              <w:spacing w:line="240" w:lineRule="auto"/>
              <w:textAlignment w:val="baseline"/>
              <w:rPr>
                <w:i/>
              </w:rPr>
            </w:pPr>
            <w:r>
              <w:rPr>
                <w:i/>
              </w:rPr>
              <w:t>Tel.</w:t>
            </w:r>
          </w:p>
        </w:tc>
        <w:tc>
          <w:tcPr>
            <w:tcW w:w="3910" w:type="pct"/>
          </w:tcPr>
          <w:p w14:paraId="4FFA5DF5" w14:textId="77777777" w:rsidR="002F1C76" w:rsidRPr="002F1C76" w:rsidRDefault="002F1C76" w:rsidP="002F1C76">
            <w:pPr>
              <w:overflowPunct w:val="0"/>
              <w:autoSpaceDE w:val="0"/>
              <w:autoSpaceDN w:val="0"/>
              <w:adjustRightInd w:val="0"/>
              <w:spacing w:line="240" w:lineRule="auto"/>
              <w:textAlignment w:val="baseline"/>
              <w:rPr>
                <w:i/>
              </w:rPr>
            </w:pPr>
            <w:r>
              <w:rPr>
                <w:i/>
              </w:rPr>
              <w:t>+32 2 546 88 46</w:t>
            </w:r>
          </w:p>
        </w:tc>
      </w:tr>
      <w:tr w:rsidR="002F1C76" w:rsidRPr="002F1C76" w14:paraId="2E3D8354" w14:textId="77777777" w:rsidTr="0033503A">
        <w:tc>
          <w:tcPr>
            <w:tcW w:w="1090" w:type="pct"/>
          </w:tcPr>
          <w:p w14:paraId="5E0996C9" w14:textId="77777777" w:rsidR="002F1C76" w:rsidRPr="002F1C76" w:rsidRDefault="002F1C76" w:rsidP="002F1C76">
            <w:pPr>
              <w:overflowPunct w:val="0"/>
              <w:autoSpaceDE w:val="0"/>
              <w:autoSpaceDN w:val="0"/>
              <w:adjustRightInd w:val="0"/>
              <w:spacing w:line="240" w:lineRule="auto"/>
              <w:textAlignment w:val="baseline"/>
              <w:rPr>
                <w:i/>
              </w:rPr>
            </w:pPr>
            <w:r>
              <w:rPr>
                <w:i/>
              </w:rPr>
              <w:t>Endereço eletrónico</w:t>
            </w:r>
          </w:p>
        </w:tc>
        <w:tc>
          <w:tcPr>
            <w:tcW w:w="3910" w:type="pct"/>
          </w:tcPr>
          <w:p w14:paraId="30EA7955" w14:textId="77777777" w:rsidR="002F1C76" w:rsidRPr="002F1C76" w:rsidRDefault="00075C8D" w:rsidP="002F1C76">
            <w:pPr>
              <w:overflowPunct w:val="0"/>
              <w:autoSpaceDE w:val="0"/>
              <w:autoSpaceDN w:val="0"/>
              <w:adjustRightInd w:val="0"/>
              <w:spacing w:line="240" w:lineRule="auto"/>
              <w:textAlignment w:val="baseline"/>
              <w:rPr>
                <w:i/>
              </w:rPr>
            </w:pPr>
            <w:hyperlink r:id="rId65" w:history="1">
              <w:r w:rsidR="00507B0A">
                <w:rPr>
                  <w:color w:val="0000FF"/>
                  <w:u w:val="single"/>
                </w:rPr>
                <w:t>Luis.BarbosaESilva@eesc.europa.eu</w:t>
              </w:r>
            </w:hyperlink>
          </w:p>
        </w:tc>
      </w:tr>
    </w:tbl>
    <w:p w14:paraId="32407242" w14:textId="77777777" w:rsidR="002F1C76" w:rsidRDefault="002F1C76">
      <w:pPr>
        <w:spacing w:after="160" w:line="259" w:lineRule="auto"/>
        <w:jc w:val="left"/>
      </w:pPr>
      <w:r>
        <w:br w:type="page"/>
      </w:r>
    </w:p>
    <w:p w14:paraId="54C9FA57" w14:textId="56AC6448" w:rsidR="00155921" w:rsidRPr="00155921" w:rsidRDefault="00075C8D" w:rsidP="00155921">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6" w:history="1">
        <w:r w:rsidR="00507B0A">
          <w:rPr>
            <w:b/>
            <w:i/>
            <w:color w:val="0000FF"/>
            <w:sz w:val="28"/>
            <w:u w:val="single"/>
          </w:rPr>
          <w:t>Acelerador do Pacto Azul – tecnologia, competências e financiamento para um futuro resiliente no domínio da água</w:t>
        </w:r>
      </w:hyperlink>
    </w:p>
    <w:p w14:paraId="6395CF71"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155921" w:rsidRPr="00155921" w14:paraId="1B418D30" w14:textId="77777777" w:rsidTr="0033503A">
        <w:tc>
          <w:tcPr>
            <w:tcW w:w="1701" w:type="dxa"/>
          </w:tcPr>
          <w:p w14:paraId="05441B37"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Relatora</w:t>
            </w:r>
          </w:p>
        </w:tc>
        <w:tc>
          <w:tcPr>
            <w:tcW w:w="5670" w:type="dxa"/>
          </w:tcPr>
          <w:p w14:paraId="20D4B572" w14:textId="2E8FFD51" w:rsidR="00155921" w:rsidRPr="00155921" w:rsidRDefault="00155921" w:rsidP="00155921">
            <w:pPr>
              <w:tabs>
                <w:tab w:val="center" w:pos="284"/>
              </w:tabs>
              <w:overflowPunct w:val="0"/>
              <w:autoSpaceDE w:val="0"/>
              <w:autoSpaceDN w:val="0"/>
              <w:adjustRightInd w:val="0"/>
              <w:ind w:left="266" w:hanging="266"/>
              <w:textAlignment w:val="baseline"/>
            </w:pPr>
            <w:r>
              <w:t>Magdalena Rzeczkowska (PL – Grupo dos Empregadores)</w:t>
            </w:r>
          </w:p>
        </w:tc>
      </w:tr>
      <w:tr w:rsidR="00155921" w:rsidRPr="00155921" w14:paraId="7A38D5F9" w14:textId="77777777" w:rsidTr="0033503A">
        <w:tc>
          <w:tcPr>
            <w:tcW w:w="1701" w:type="dxa"/>
          </w:tcPr>
          <w:p w14:paraId="3CD23BC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Correlatora</w:t>
            </w:r>
          </w:p>
        </w:tc>
        <w:tc>
          <w:tcPr>
            <w:tcW w:w="5670" w:type="dxa"/>
          </w:tcPr>
          <w:p w14:paraId="684D5814" w14:textId="64F5DA20" w:rsidR="00155921" w:rsidRPr="00155921" w:rsidRDefault="00155921" w:rsidP="00155921">
            <w:pPr>
              <w:tabs>
                <w:tab w:val="center" w:pos="284"/>
              </w:tabs>
              <w:overflowPunct w:val="0"/>
              <w:autoSpaceDE w:val="0"/>
              <w:autoSpaceDN w:val="0"/>
              <w:adjustRightInd w:val="0"/>
              <w:ind w:left="266" w:hanging="266"/>
              <w:textAlignment w:val="baseline"/>
            </w:pPr>
            <w:r>
              <w:t>Gaetano Stella (IT-Cat. 3)</w:t>
            </w:r>
          </w:p>
        </w:tc>
      </w:tr>
      <w:tr w:rsidR="00155921" w:rsidRPr="00155921" w14:paraId="48D78D0A" w14:textId="77777777" w:rsidTr="0033503A">
        <w:tc>
          <w:tcPr>
            <w:tcW w:w="7371" w:type="dxa"/>
            <w:gridSpan w:val="2"/>
          </w:tcPr>
          <w:p w14:paraId="7175A212" w14:textId="77777777" w:rsidR="00155921" w:rsidRPr="00155921" w:rsidRDefault="00155921" w:rsidP="00155921">
            <w:pPr>
              <w:tabs>
                <w:tab w:val="center" w:pos="284"/>
              </w:tabs>
              <w:overflowPunct w:val="0"/>
              <w:autoSpaceDE w:val="0"/>
              <w:autoSpaceDN w:val="0"/>
              <w:adjustRightInd w:val="0"/>
              <w:spacing w:line="160" w:lineRule="exact"/>
              <w:ind w:left="266" w:hanging="266"/>
              <w:textAlignment w:val="baseline"/>
            </w:pPr>
          </w:p>
        </w:tc>
      </w:tr>
      <w:tr w:rsidR="00155921" w:rsidRPr="00155921" w14:paraId="0C691604" w14:textId="77777777" w:rsidTr="0033503A">
        <w:tc>
          <w:tcPr>
            <w:tcW w:w="1701" w:type="dxa"/>
            <w:vMerge w:val="restart"/>
          </w:tcPr>
          <w:p w14:paraId="104AA642"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Referência</w:t>
            </w:r>
          </w:p>
        </w:tc>
        <w:tc>
          <w:tcPr>
            <w:tcW w:w="5670" w:type="dxa"/>
          </w:tcPr>
          <w:p w14:paraId="701B84C6" w14:textId="0DA0E88D" w:rsidR="00FF5009" w:rsidRDefault="00FF5009" w:rsidP="00155921">
            <w:pPr>
              <w:tabs>
                <w:tab w:val="center" w:pos="284"/>
              </w:tabs>
              <w:overflowPunct w:val="0"/>
              <w:autoSpaceDE w:val="0"/>
              <w:autoSpaceDN w:val="0"/>
              <w:adjustRightInd w:val="0"/>
              <w:ind w:left="266" w:hanging="266"/>
              <w:textAlignment w:val="baseline"/>
            </w:pPr>
            <w:r>
              <w:t>Parecer de iniciativa</w:t>
            </w:r>
          </w:p>
          <w:p w14:paraId="1AD8DB7D" w14:textId="46BDE553" w:rsidR="00155921" w:rsidRPr="00155921" w:rsidRDefault="00155921" w:rsidP="00155921">
            <w:pPr>
              <w:tabs>
                <w:tab w:val="center" w:pos="284"/>
              </w:tabs>
              <w:overflowPunct w:val="0"/>
              <w:autoSpaceDE w:val="0"/>
              <w:autoSpaceDN w:val="0"/>
              <w:adjustRightInd w:val="0"/>
              <w:ind w:left="266" w:hanging="266"/>
              <w:textAlignment w:val="baseline"/>
            </w:pPr>
            <w:r>
              <w:t>EESC-2026-00865-00-00-AC</w:t>
            </w:r>
          </w:p>
        </w:tc>
      </w:tr>
      <w:tr w:rsidR="00155921" w:rsidRPr="00155921" w14:paraId="26A96A54" w14:textId="77777777" w:rsidTr="0033503A">
        <w:tc>
          <w:tcPr>
            <w:tcW w:w="1701" w:type="dxa"/>
            <w:vMerge/>
          </w:tcPr>
          <w:p w14:paraId="367E557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155921" w:rsidRDefault="00155921" w:rsidP="00155921">
            <w:pPr>
              <w:tabs>
                <w:tab w:val="center" w:pos="284"/>
              </w:tabs>
              <w:overflowPunct w:val="0"/>
              <w:autoSpaceDE w:val="0"/>
              <w:autoSpaceDN w:val="0"/>
              <w:adjustRightInd w:val="0"/>
              <w:ind w:left="266" w:hanging="266"/>
              <w:textAlignment w:val="baseline"/>
            </w:pPr>
          </w:p>
        </w:tc>
      </w:tr>
    </w:tbl>
    <w:p w14:paraId="4C60CED7"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
        </w:rPr>
      </w:pPr>
      <w:r>
        <w:rPr>
          <w:b/>
        </w:rPr>
        <w:t>Pontos principais</w:t>
      </w:r>
    </w:p>
    <w:p w14:paraId="38EBDC08"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p w14:paraId="4B64F526"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Cs/>
        </w:rPr>
      </w:pPr>
      <w:r>
        <w:t>O Comité Económico e Social Europeu:</w:t>
      </w:r>
    </w:p>
    <w:p w14:paraId="7B1D8F43"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defende que a </w:t>
      </w:r>
      <w:r>
        <w:rPr>
          <w:b/>
        </w:rPr>
        <w:t>água seja</w:t>
      </w:r>
      <w:r>
        <w:t xml:space="preserve"> reconhecida como um fator de produção crítico para a competitividade e para a autonomia estratégica, a par da energia, e como uma prioridade estratégica e autónoma em todas as políticas da UE;</w:t>
      </w:r>
    </w:p>
    <w:p w14:paraId="380E031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propõe a criação de um Pacto Azul Europeu enquanto quadro de execução abrangente que associa a transformação industrial, as tecnologias inteligentes no domínio da água, as competências e os investimentos;</w:t>
      </w:r>
    </w:p>
    <w:p w14:paraId="0C9945AD"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reitera o seu apelo para que a legislação da UE seja submetida a um </w:t>
      </w:r>
      <w:r>
        <w:rPr>
          <w:b/>
        </w:rPr>
        <w:t>teste hídrico</w:t>
      </w:r>
      <w:r>
        <w:t>;</w:t>
      </w:r>
    </w:p>
    <w:p w14:paraId="6F12B9C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insta as instituições da UE a integrarem a resiliência hídrica em todos os instrumentos da política industrial, tornando as considerações relativas à água numa condição para as licenças, os investimentos e o apoio público;</w:t>
      </w:r>
    </w:p>
    <w:p w14:paraId="3C6E603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defende a integração progressiva da </w:t>
      </w:r>
      <w:r>
        <w:rPr>
          <w:b/>
        </w:rPr>
        <w:t>prioridade à eficiência hídrica</w:t>
      </w:r>
      <w:r>
        <w:t xml:space="preserve"> como </w:t>
      </w:r>
      <w:r>
        <w:rPr>
          <w:b/>
        </w:rPr>
        <w:t>requisito vinculativo na legislação da UE</w:t>
      </w:r>
      <w:r>
        <w:t xml:space="preserve">, nas </w:t>
      </w:r>
      <w:r>
        <w:rPr>
          <w:b/>
        </w:rPr>
        <w:t>condicionalidades de financiamento</w:t>
      </w:r>
      <w:r>
        <w:t xml:space="preserve"> e nas decisões de planeamento e investimento, com o apoio de uma metodologia comum da UE para medir a eficiência hídrica ao longo de todo o ciclo da água;</w:t>
      </w:r>
    </w:p>
    <w:p w14:paraId="716DCBC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salienta a importância de reconhecer a correlação entre água e energia como essencial para a descarbonização e a competitividade, nomeadamente no </w:t>
      </w:r>
      <w:r>
        <w:rPr>
          <w:b/>
        </w:rPr>
        <w:t>Regulamento Aceleração Industrial</w:t>
      </w:r>
      <w:r>
        <w:t>;</w:t>
      </w:r>
    </w:p>
    <w:p w14:paraId="1C2ED10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recomenda a integração da água como recurso estratégico no ato legislativo sobre economia circular, promovendo a eficiência hídrica, a reutilização, a prevenção da poluição e a recuperação de recursos;</w:t>
      </w:r>
    </w:p>
    <w:p w14:paraId="4B14F33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realça a necessidade de criar um espaço europeu de dados sobre a água, a fim de assegurar a transparência, a comparabilidade e a elaboração de políticas baseadas em dados concretos, com base em dados normalizados e interoperáveis;</w:t>
      </w:r>
    </w:p>
    <w:p w14:paraId="7DC2AB37"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preconiza um quadro coerente da UE para o financiamento da água e o reforço das reservas de projetos através do desenvolvimento de iniciativas como o Acelerador do Investimento na Resiliência Hídrica;</w:t>
      </w:r>
    </w:p>
    <w:p w14:paraId="302F45F5"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recomenda que se dê prioridade ao investimento na redução das fugas, em infraestruturas hídricas eficientes e em soluções baseadas na natureza, incluindo zonas húmidas, enquanto elementos fundamentais de um sistema hídrico resiliente; </w:t>
      </w:r>
    </w:p>
    <w:p w14:paraId="209B8DE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salienta a necessidade de alinhar as políticas em matéria de competências com a transição hídrica, nomeadamente através das atividades da Academia Europeia da Água;</w:t>
      </w:r>
    </w:p>
    <w:p w14:paraId="0AA00F8B"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solicita que a água seja reconhecida como prioridade transversal na ação externa da UE e que a Estratégia Global Gateway apoie a dimensão azul através de parcerias para as zonas húmidas lideradas pela UE.</w:t>
      </w: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b/>
                <w:i/>
              </w:rPr>
              <w:lastRenderedPageBreak/>
              <w:t>Contacto</w:t>
            </w:r>
          </w:p>
        </w:tc>
        <w:tc>
          <w:tcPr>
            <w:tcW w:w="3444" w:type="pct"/>
          </w:tcPr>
          <w:p w14:paraId="2764CEE3"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Heli Niemelä-Farrer</w:t>
            </w:r>
          </w:p>
        </w:tc>
      </w:tr>
      <w:tr w:rsidR="00155921" w:rsidRPr="003C5F5D" w14:paraId="135C6EA8" w14:textId="77777777" w:rsidTr="0033503A">
        <w:tc>
          <w:tcPr>
            <w:tcW w:w="1556" w:type="pct"/>
          </w:tcPr>
          <w:p w14:paraId="76D9E4DB"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Tel.</w:t>
            </w:r>
          </w:p>
        </w:tc>
        <w:tc>
          <w:tcPr>
            <w:tcW w:w="3444" w:type="pct"/>
          </w:tcPr>
          <w:p w14:paraId="202DAD42" w14:textId="5EC89CA2" w:rsidR="00155921" w:rsidRPr="00AD2F07" w:rsidRDefault="00155921" w:rsidP="00AD2F07">
            <w:pPr>
              <w:overflowPunct w:val="0"/>
              <w:autoSpaceDE w:val="0"/>
              <w:autoSpaceDN w:val="0"/>
              <w:adjustRightInd w:val="0"/>
              <w:spacing w:line="240" w:lineRule="auto"/>
              <w:ind w:left="360" w:hanging="360"/>
              <w:textAlignment w:val="baseline"/>
              <w:rPr>
                <w:i/>
              </w:rPr>
            </w:pPr>
            <w:r>
              <w:rPr>
                <w:i/>
              </w:rPr>
              <w:t>+32 2 282 24 64</w:t>
            </w:r>
          </w:p>
        </w:tc>
      </w:tr>
      <w:tr w:rsidR="00155921" w:rsidRPr="003C5F5D" w14:paraId="3F4A8900" w14:textId="77777777" w:rsidTr="0033503A">
        <w:tc>
          <w:tcPr>
            <w:tcW w:w="1556" w:type="pct"/>
          </w:tcPr>
          <w:p w14:paraId="5C0DE6EA"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Endereço eletrónico</w:t>
            </w:r>
          </w:p>
        </w:tc>
        <w:tc>
          <w:tcPr>
            <w:tcW w:w="3444" w:type="pct"/>
          </w:tcPr>
          <w:p w14:paraId="1C608E94" w14:textId="39E68AC3" w:rsidR="00155921" w:rsidRPr="003C5F5D" w:rsidRDefault="00075C8D" w:rsidP="00AD2F07">
            <w:pPr>
              <w:overflowPunct w:val="0"/>
              <w:autoSpaceDE w:val="0"/>
              <w:autoSpaceDN w:val="0"/>
              <w:adjustRightInd w:val="0"/>
              <w:spacing w:line="240" w:lineRule="auto"/>
              <w:ind w:left="360" w:hanging="360"/>
              <w:textAlignment w:val="baseline"/>
              <w:rPr>
                <w:i/>
              </w:rPr>
            </w:pPr>
            <w:hyperlink r:id="rId67" w:history="1">
              <w:r w:rsidR="0069529C">
                <w:rPr>
                  <w:rStyle w:val="Hyperlink"/>
                  <w:i/>
                </w:rPr>
                <w:t>Heli.Niemela-Farrer@eesc.europa.eu</w:t>
              </w:r>
            </w:hyperlink>
          </w:p>
        </w:tc>
      </w:tr>
    </w:tbl>
    <w:p w14:paraId="775C3064" w14:textId="77777777" w:rsidR="006D2C8A" w:rsidRPr="00AD2F07" w:rsidRDefault="006D2C8A" w:rsidP="001766B2">
      <w:pPr>
        <w:jc w:val="left"/>
        <w:rPr>
          <w:i/>
        </w:rPr>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2786" w14:textId="77777777" w:rsidR="00EC4751" w:rsidRDefault="00EC4751" w:rsidP="00B518C9">
      <w:pPr>
        <w:spacing w:line="240" w:lineRule="auto"/>
      </w:pPr>
      <w:r>
        <w:separator/>
      </w:r>
    </w:p>
  </w:endnote>
  <w:endnote w:type="continuationSeparator" w:id="0">
    <w:p w14:paraId="1E3A8536" w14:textId="77777777" w:rsidR="00EC4751" w:rsidRDefault="00EC475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7FF9" w14:textId="77777777" w:rsidR="00F66035" w:rsidRPr="00F66035" w:rsidRDefault="00F66035" w:rsidP="00F66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fldSimple w:instr=" NUMPAGES ">
      <w:r w:rsidR="00B815C6">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7DC1" w14:textId="77777777" w:rsidR="00F66035" w:rsidRPr="00F66035" w:rsidRDefault="00F66035" w:rsidP="00F660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fldSimple w:instr=" NUMPAGES ">
      <w:r>
        <w:t>30</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C092" w14:textId="77777777" w:rsidR="00EC4751" w:rsidRDefault="00EC4751" w:rsidP="00B518C9">
      <w:pPr>
        <w:spacing w:line="240" w:lineRule="auto"/>
      </w:pPr>
      <w:r>
        <w:separator/>
      </w:r>
    </w:p>
  </w:footnote>
  <w:footnote w:type="continuationSeparator" w:id="0">
    <w:p w14:paraId="11983166" w14:textId="77777777" w:rsidR="00EC4751" w:rsidRDefault="00EC4751"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Em conformidade com regulamentação aplicável em matéria de condições de trabalho, saúde e segurança, e os direitos sociais e laborais.</w:t>
      </w:r>
    </w:p>
  </w:footnote>
  <w:footnote w:id="2">
    <w:p w14:paraId="70D6F36B" w14:textId="77777777" w:rsidR="00180329" w:rsidRPr="00486EF6" w:rsidRDefault="00180329" w:rsidP="00180329">
      <w:pPr>
        <w:pStyle w:val="FootnoteText"/>
      </w:pPr>
      <w:r>
        <w:rPr>
          <w:rStyle w:val="FootnoteReference"/>
        </w:rPr>
        <w:footnoteRef/>
      </w:r>
      <w:r>
        <w:t xml:space="preserve"> </w:t>
      </w:r>
      <w:r>
        <w:tab/>
      </w:r>
      <w:hyperlink r:id="rId1" w:history="1">
        <w:r>
          <w:rPr>
            <w:rStyle w:val="Hyperlink"/>
          </w:rPr>
          <w:t>JO C, C/2025/5154, 28.10.2025</w:t>
        </w:r>
      </w:hyperlink>
    </w:p>
  </w:footnote>
  <w:footnote w:id="3">
    <w:p w14:paraId="01455579" w14:textId="77777777" w:rsidR="00180329" w:rsidRPr="000140D7" w:rsidRDefault="00180329" w:rsidP="00180329">
      <w:pPr>
        <w:pStyle w:val="FootnoteText"/>
      </w:pPr>
      <w:r>
        <w:rPr>
          <w:rStyle w:val="FootnoteReference"/>
        </w:rPr>
        <w:footnoteRef/>
      </w:r>
      <w:r>
        <w:t xml:space="preserve"> </w:t>
      </w:r>
      <w:r>
        <w:tab/>
      </w:r>
      <w:hyperlink r:id="rId2" w:history="1">
        <w:r>
          <w:rPr>
            <w:rStyle w:val="Hyperlink"/>
          </w:rPr>
          <w:t>JO C 293 de 18.8.2023, p. 144.</w:t>
        </w:r>
      </w:hyperlink>
    </w:p>
  </w:footnote>
  <w:footnote w:id="4">
    <w:p w14:paraId="5BECB156" w14:textId="77777777" w:rsidR="00180329" w:rsidRPr="000140D7" w:rsidRDefault="00180329" w:rsidP="00180329">
      <w:pPr>
        <w:pStyle w:val="FootnoteText"/>
      </w:pPr>
      <w:r>
        <w:rPr>
          <w:rStyle w:val="FootnoteReference"/>
        </w:rPr>
        <w:footnoteRef/>
      </w:r>
      <w:r>
        <w:t xml:space="preserve"> </w:t>
      </w:r>
      <w:r>
        <w:tab/>
      </w:r>
      <w:hyperlink r:id="rId3" w:history="1">
        <w:r>
          <w:rPr>
            <w:rStyle w:val="Hyperlink"/>
          </w:rPr>
          <w:t>JO C 290 de 29.7.2022, p. 149.</w:t>
        </w:r>
      </w:hyperlink>
    </w:p>
  </w:footnote>
  <w:footnote w:id="5">
    <w:p w14:paraId="225C1ACB" w14:textId="77777777" w:rsidR="00180329" w:rsidRPr="000140D7" w:rsidRDefault="00180329" w:rsidP="00180329">
      <w:pPr>
        <w:pStyle w:val="FootnoteText"/>
      </w:pPr>
      <w:r>
        <w:rPr>
          <w:rStyle w:val="FootnoteReference"/>
        </w:rPr>
        <w:footnoteRef/>
      </w:r>
      <w:r>
        <w:t xml:space="preserve"> </w:t>
      </w:r>
      <w:r>
        <w:tab/>
      </w:r>
      <w:hyperlink r:id="rId4" w:history="1">
        <w:r>
          <w:rPr>
            <w:rStyle w:val="Hyperlink"/>
          </w:rPr>
          <w:t>JO C 365 de 23.9.2022, p. 55.</w:t>
        </w:r>
      </w:hyperlink>
    </w:p>
  </w:footnote>
  <w:footnote w:id="6">
    <w:p w14:paraId="427CA7ED" w14:textId="77777777" w:rsidR="00180329" w:rsidRPr="000140D7" w:rsidRDefault="00180329" w:rsidP="00180329">
      <w:pPr>
        <w:pStyle w:val="FootnoteText"/>
      </w:pPr>
      <w:r>
        <w:rPr>
          <w:rStyle w:val="FootnoteReference"/>
        </w:rPr>
        <w:footnoteRef/>
      </w:r>
      <w:r>
        <w:t xml:space="preserve"> </w:t>
      </w:r>
      <w:r>
        <w:tab/>
      </w:r>
      <w:hyperlink r:id="rId5" w:history="1">
        <w:r>
          <w:rPr>
            <w:rStyle w:val="Hyperlink"/>
          </w:rPr>
          <w:t>JO C 123 de 9.4.2021, p. 72.</w:t>
        </w:r>
      </w:hyperlink>
    </w:p>
  </w:footnote>
  <w:footnote w:id="7">
    <w:p w14:paraId="43430231" w14:textId="77777777" w:rsidR="00180329" w:rsidRPr="000140D7" w:rsidRDefault="00180329" w:rsidP="00180329">
      <w:pPr>
        <w:pStyle w:val="FootnoteText"/>
      </w:pPr>
      <w:r>
        <w:rPr>
          <w:rStyle w:val="FootnoteReference"/>
        </w:rPr>
        <w:footnoteRef/>
      </w:r>
      <w:r>
        <w:tab/>
      </w:r>
      <w:hyperlink r:id="rId6" w:history="1">
        <w:r>
          <w:rPr>
            <w:rStyle w:val="Hyperlink"/>
          </w:rPr>
          <w:t>JO C 56 de 16.02.2021, p. 59</w:t>
        </w:r>
      </w:hyperlink>
      <w:r>
        <w:t>.</w:t>
      </w:r>
    </w:p>
  </w:footnote>
  <w:footnote w:id="8">
    <w:p w14:paraId="7CB7FC7F" w14:textId="77777777" w:rsidR="00180329" w:rsidRPr="000140D7" w:rsidRDefault="00180329" w:rsidP="00180329">
      <w:pPr>
        <w:pStyle w:val="FootnoteText"/>
      </w:pPr>
      <w:r>
        <w:rPr>
          <w:rStyle w:val="FootnoteReference"/>
        </w:rPr>
        <w:footnoteRef/>
      </w:r>
      <w:r>
        <w:tab/>
      </w:r>
      <w:hyperlink r:id="rId7" w:history="1">
        <w:r>
          <w:rPr>
            <w:rStyle w:val="Hyperlink"/>
          </w:rPr>
          <w:t>JO C 429 de 11.12.2020, p. 279</w:t>
        </w:r>
      </w:hyperlink>
      <w:r>
        <w:t>.</w:t>
      </w:r>
    </w:p>
  </w:footnote>
  <w:footnote w:id="9">
    <w:p w14:paraId="395E8727" w14:textId="77777777" w:rsidR="00180329" w:rsidRPr="000140D7" w:rsidRDefault="00180329" w:rsidP="00180329">
      <w:pPr>
        <w:pStyle w:val="FootnoteText"/>
      </w:pPr>
      <w:r>
        <w:rPr>
          <w:rStyle w:val="FootnoteReference"/>
        </w:rPr>
        <w:footnoteRef/>
      </w:r>
      <w:r>
        <w:tab/>
      </w:r>
      <w:hyperlink r:id="rId8" w:history="1">
        <w:r>
          <w:rPr>
            <w:rStyle w:val="Hyperlink"/>
          </w:rPr>
          <w:t>JO C 232 de 14.7.2020, p. 36</w:t>
        </w:r>
      </w:hyperlink>
      <w:r>
        <w:t>.</w:t>
      </w:r>
    </w:p>
  </w:footnote>
  <w:footnote w:id="10">
    <w:p w14:paraId="7A73B61C" w14:textId="77777777" w:rsidR="00180329" w:rsidRPr="000140D7" w:rsidRDefault="00180329" w:rsidP="00180329">
      <w:pPr>
        <w:pStyle w:val="FootnoteText"/>
      </w:pPr>
      <w:r>
        <w:rPr>
          <w:rStyle w:val="FootnoteReference"/>
        </w:rPr>
        <w:footnoteRef/>
      </w:r>
      <w:r>
        <w:t xml:space="preserve"> </w:t>
      </w:r>
      <w:r>
        <w:tab/>
      </w:r>
      <w:hyperlink r:id="rId9" w:history="1">
        <w:r>
          <w:rPr>
            <w:rStyle w:val="Hyperlink"/>
          </w:rPr>
          <w:t>JO C 159 de 15.5.2019, p. 60</w:t>
        </w:r>
      </w:hyperlink>
      <w:r>
        <w:t>.</w:t>
      </w:r>
    </w:p>
  </w:footnote>
  <w:footnote w:id="11">
    <w:p w14:paraId="441E534C" w14:textId="77777777" w:rsidR="00180329" w:rsidRPr="000140D7" w:rsidRDefault="00180329" w:rsidP="00180329">
      <w:pPr>
        <w:pStyle w:val="FootnoteText"/>
      </w:pPr>
      <w:r>
        <w:rPr>
          <w:rStyle w:val="FootnoteReference"/>
        </w:rPr>
        <w:footnoteRef/>
      </w:r>
      <w:r>
        <w:tab/>
      </w:r>
      <w:hyperlink r:id="rId10" w:history="1">
        <w:r>
          <w:rPr>
            <w:rStyle w:val="Hyperlink"/>
          </w:rPr>
          <w:t>JO C 34 de 2.2.2017, p. 142</w:t>
        </w:r>
      </w:hyperlink>
      <w:r>
        <w:t>.</w:t>
      </w:r>
    </w:p>
  </w:footnote>
  <w:footnote w:id="12">
    <w:p w14:paraId="5A6E5FA7" w14:textId="77777777" w:rsidR="00180329" w:rsidRPr="000140D7" w:rsidRDefault="00180329" w:rsidP="00180329">
      <w:pPr>
        <w:pStyle w:val="FootnoteText"/>
      </w:pPr>
      <w:r>
        <w:rPr>
          <w:rStyle w:val="FootnoteReference"/>
        </w:rPr>
        <w:footnoteRef/>
      </w:r>
      <w:r>
        <w:tab/>
      </w:r>
      <w:hyperlink r:id="rId11" w:history="1">
        <w:r>
          <w:rPr>
            <w:rStyle w:val="Hyperlink"/>
          </w:rPr>
          <w:t>JO C 303 de 19.8.2016, p. 116</w:t>
        </w:r>
      </w:hyperlink>
      <w:r>
        <w:t>.</w:t>
      </w:r>
    </w:p>
  </w:footnote>
  <w:footnote w:id="13">
    <w:p w14:paraId="4DA177E2" w14:textId="77777777" w:rsidR="00C7486E" w:rsidRPr="001B1007" w:rsidRDefault="00C7486E" w:rsidP="00C7486E">
      <w:pPr>
        <w:pStyle w:val="FootnoteText"/>
      </w:pPr>
      <w:r>
        <w:rPr>
          <w:rStyle w:val="FootnoteReference"/>
        </w:rPr>
        <w:footnoteRef/>
      </w:r>
      <w:r>
        <w:t xml:space="preserve"> </w:t>
      </w:r>
      <w:r>
        <w:tab/>
      </w:r>
      <w:hyperlink r:id="rId12" w:history="1">
        <w:r>
          <w:rPr>
            <w:rStyle w:val="Hyperlink"/>
          </w:rPr>
          <w:t>JO C 275 de 18.7.2022, p. 95.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5007"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1C6E" w14:textId="18442C7E"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C5AD" w14:textId="77777777" w:rsidR="00F66035" w:rsidRPr="00F66035" w:rsidRDefault="00F66035" w:rsidP="00F66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2"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5"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abstractNumId w:val="0"/>
  </w:num>
  <w:num w:numId="2">
    <w:abstractNumId w:val="35"/>
  </w:num>
  <w:num w:numId="3">
    <w:abstractNumId w:val="39"/>
  </w:num>
  <w:num w:numId="4">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abstractNumId w:val="40"/>
  </w:num>
  <w:num w:numId="6">
    <w:abstractNumId w:val="13"/>
  </w:num>
  <w:num w:numId="7">
    <w:abstractNumId w:val="23"/>
  </w:num>
  <w:num w:numId="8">
    <w:abstractNumId w:val="14"/>
  </w:num>
  <w:num w:numId="9">
    <w:abstractNumId w:val="29"/>
  </w:num>
  <w:num w:numId="10">
    <w:abstractNumId w:val="18"/>
  </w:num>
  <w:num w:numId="11">
    <w:abstractNumId w:val="41"/>
  </w:num>
  <w:num w:numId="12">
    <w:abstractNumId w:val="36"/>
  </w:num>
  <w:num w:numId="13">
    <w:abstractNumId w:val="6"/>
  </w:num>
  <w:num w:numId="14">
    <w:abstractNumId w:val="33"/>
  </w:num>
  <w:num w:numId="15">
    <w:abstractNumId w:val="17"/>
  </w:num>
  <w:num w:numId="16">
    <w:abstractNumId w:val="9"/>
  </w:num>
  <w:num w:numId="17">
    <w:abstractNumId w:val="34"/>
  </w:num>
  <w:num w:numId="18">
    <w:abstractNumId w:val="7"/>
  </w:num>
  <w:num w:numId="19">
    <w:abstractNumId w:val="12"/>
  </w:num>
  <w:num w:numId="20">
    <w:abstractNumId w:val="19"/>
  </w:num>
  <w:num w:numId="21">
    <w:abstractNumId w:val="20"/>
  </w:num>
  <w:num w:numId="22">
    <w:abstractNumId w:val="28"/>
  </w:num>
  <w:num w:numId="23">
    <w:abstractNumId w:val="2"/>
  </w:num>
  <w:num w:numId="24">
    <w:abstractNumId w:val="32"/>
  </w:num>
  <w:num w:numId="25">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abstractNumId w:val="30"/>
  </w:num>
  <w:num w:numId="27">
    <w:abstractNumId w:val="4"/>
  </w:num>
  <w:num w:numId="28">
    <w:abstractNumId w:val="42"/>
  </w:num>
  <w:num w:numId="29">
    <w:abstractNumId w:val="8"/>
  </w:num>
  <w:num w:numId="30">
    <w:abstractNumId w:val="10"/>
  </w:num>
  <w:num w:numId="31">
    <w:abstractNumId w:val="3"/>
  </w:num>
  <w:num w:numId="32">
    <w:abstractNumId w:val="26"/>
  </w:num>
  <w:num w:numId="33">
    <w:abstractNumId w:val="16"/>
  </w:num>
  <w:num w:numId="34">
    <w:abstractNumId w:val="27"/>
  </w:num>
  <w:num w:numId="35">
    <w:abstractNumId w:val="24"/>
  </w:num>
  <w:num w:numId="36">
    <w:abstractNumId w:val="11"/>
  </w:num>
  <w:num w:numId="37">
    <w:abstractNumId w:val="37"/>
  </w:num>
  <w:num w:numId="38">
    <w:abstractNumId w:val="38"/>
  </w:num>
  <w:num w:numId="39">
    <w:abstractNumId w:val="22"/>
  </w:num>
  <w:num w:numId="40">
    <w:abstractNumId w:val="15"/>
  </w:num>
  <w:num w:numId="41">
    <w:abstractNumId w:val="25"/>
  </w:num>
  <w:num w:numId="42">
    <w:abstractNumId w:val="31"/>
  </w:num>
  <w:num w:numId="43">
    <w:abstractNumId w:val="21"/>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5C8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0BA"/>
    <w:rsid w:val="001458B6"/>
    <w:rsid w:val="00155921"/>
    <w:rsid w:val="001766B2"/>
    <w:rsid w:val="001768E8"/>
    <w:rsid w:val="00180329"/>
    <w:rsid w:val="00181754"/>
    <w:rsid w:val="001A6B43"/>
    <w:rsid w:val="001A7530"/>
    <w:rsid w:val="001E391D"/>
    <w:rsid w:val="001F0054"/>
    <w:rsid w:val="001F20AE"/>
    <w:rsid w:val="001F5811"/>
    <w:rsid w:val="00206637"/>
    <w:rsid w:val="00213C8A"/>
    <w:rsid w:val="00225F13"/>
    <w:rsid w:val="00227E0A"/>
    <w:rsid w:val="00231CC4"/>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60734"/>
    <w:rsid w:val="00466148"/>
    <w:rsid w:val="00472D6F"/>
    <w:rsid w:val="00473523"/>
    <w:rsid w:val="00473921"/>
    <w:rsid w:val="00490197"/>
    <w:rsid w:val="004A5CD7"/>
    <w:rsid w:val="004C0F2C"/>
    <w:rsid w:val="004D73FC"/>
    <w:rsid w:val="004D7AC0"/>
    <w:rsid w:val="004E05E1"/>
    <w:rsid w:val="004E4AF0"/>
    <w:rsid w:val="004E56E2"/>
    <w:rsid w:val="004F6E3B"/>
    <w:rsid w:val="00507B0A"/>
    <w:rsid w:val="00507D28"/>
    <w:rsid w:val="00532089"/>
    <w:rsid w:val="00543E9D"/>
    <w:rsid w:val="00550D4E"/>
    <w:rsid w:val="00560A7D"/>
    <w:rsid w:val="00567A6B"/>
    <w:rsid w:val="005726B0"/>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558B9"/>
    <w:rsid w:val="0069529C"/>
    <w:rsid w:val="006A17CA"/>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A5F02"/>
    <w:rsid w:val="009B1D36"/>
    <w:rsid w:val="009B300F"/>
    <w:rsid w:val="009B3A75"/>
    <w:rsid w:val="009C704D"/>
    <w:rsid w:val="009E380B"/>
    <w:rsid w:val="009E55F6"/>
    <w:rsid w:val="009F330E"/>
    <w:rsid w:val="009F5DF3"/>
    <w:rsid w:val="00A07817"/>
    <w:rsid w:val="00A16D01"/>
    <w:rsid w:val="00A2057A"/>
    <w:rsid w:val="00A20E9D"/>
    <w:rsid w:val="00A272B2"/>
    <w:rsid w:val="00A50191"/>
    <w:rsid w:val="00A50553"/>
    <w:rsid w:val="00A60AA1"/>
    <w:rsid w:val="00A6192D"/>
    <w:rsid w:val="00A7581E"/>
    <w:rsid w:val="00AA0F50"/>
    <w:rsid w:val="00AA10E2"/>
    <w:rsid w:val="00AB3F28"/>
    <w:rsid w:val="00AD18D5"/>
    <w:rsid w:val="00AD2F07"/>
    <w:rsid w:val="00AF534A"/>
    <w:rsid w:val="00B018BF"/>
    <w:rsid w:val="00B078B6"/>
    <w:rsid w:val="00B203DA"/>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574F"/>
    <w:rsid w:val="00CB23D5"/>
    <w:rsid w:val="00CB6A20"/>
    <w:rsid w:val="00CC0F66"/>
    <w:rsid w:val="00CC2125"/>
    <w:rsid w:val="00CD2BE7"/>
    <w:rsid w:val="00CE6367"/>
    <w:rsid w:val="00CE679B"/>
    <w:rsid w:val="00CE7F25"/>
    <w:rsid w:val="00CF1B0A"/>
    <w:rsid w:val="00CF3A2E"/>
    <w:rsid w:val="00CF3EFE"/>
    <w:rsid w:val="00D43613"/>
    <w:rsid w:val="00D576FA"/>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B84"/>
    <w:rsid w:val="00FC456F"/>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 w:type="character" w:styleId="UnresolvedMention">
    <w:name w:val="Unresolved Mention"/>
    <w:basedOn w:val="DefaultParagraphFont"/>
    <w:uiPriority w:val="99"/>
    <w:semiHidden/>
    <w:unhideWhenUsed/>
    <w:rsid w:val="00572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26" Type="http://schemas.openxmlformats.org/officeDocument/2006/relationships/hyperlink" Target="https://www.eesc.europa.eu/pt/our-work/opinions-information-reports/information-reports/point-view-organised-civil-society-eu-member-states-national-reform-and-investment-proposals-and-their-implementation-0" TargetMode="External"/><Relationship Id="rId39" Type="http://schemas.openxmlformats.org/officeDocument/2006/relationships/hyperlink" Target="https://www.eesc.europa.eu/pt/our-work/opinions-information-reports/opinions/transposition-measures-regional-fisheries-management-organisations-rfmos-ii" TargetMode="External"/><Relationship Id="rId21" Type="http://schemas.openxmlformats.org/officeDocument/2006/relationships/hyperlink" Target="mailto:Maja.Radman@eesc.europa.eu" TargetMode="External"/><Relationship Id="rId34" Type="http://schemas.openxmlformats.org/officeDocument/2006/relationships/hyperlink" Target="https://www.eesc.europa.eu/pt/our-work/opinions-information-reports/opinions/implementing-new-european-bauhaus" TargetMode="External"/><Relationship Id="rId42" Type="http://schemas.openxmlformats.org/officeDocument/2006/relationships/hyperlink" Target="https://www.eesc.europa.eu/pt/our-work/opinions-information-reports/opinions/conservation-and-enforcement-measures-nafo" TargetMode="External"/><Relationship Id="rId47" Type="http://schemas.openxmlformats.org/officeDocument/2006/relationships/hyperlink" Target="https://www.eesc.europa.eu/pt/our-work/opinions-information-reports/opinions/multiannual-management-plan-bluefin-tuna" TargetMode="External"/><Relationship Id="rId50" Type="http://schemas.openxmlformats.org/officeDocument/2006/relationships/hyperlink" Target="https://www.eesc.europa.eu/pt/our-work/opinions-information-reports/opinions/fishing-authorisation-regulation" TargetMode="External"/><Relationship Id="rId55" Type="http://schemas.openxmlformats.org/officeDocument/2006/relationships/hyperlink" Target="https://www.eesc.europa.eu/pt/our-work/opinions-information-reports/opinions/circular-economy-act-circular-economy-and-responsible-resource-consumption-within-planetary-boundaries"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pt/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pt/our-work/opinions-information-reports/opinions/proposal-regulation-digital-networks-act-dna" TargetMode="External"/><Relationship Id="rId37" Type="http://schemas.openxmlformats.org/officeDocument/2006/relationships/hyperlink" Target="https://www.eesc.europa.eu/pt/o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pt/our-work/opinions-information-reports/opinions/amendment-regulations-concerning-international-fisheries-nafo-sprfmo-iotc-wcpfc-iattc-and-iccat" TargetMode="External"/><Relationship Id="rId45" Type="http://schemas.openxmlformats.org/officeDocument/2006/relationships/hyperlink" Target="https://www.eesc.europa.eu/pt/our-work/opinions-information-reports/opinions/fisheries-transposition-iattc-measures" TargetMode="External"/><Relationship Id="rId53" Type="http://schemas.openxmlformats.org/officeDocument/2006/relationships/hyperlink" Target="https://www.eesc.europa.eu/pt/our-work/opinions-information-reports/opinions?body_references_file_name=All&amp;field_body_references_file_nr_value=&amp;field_year_value=&amp;opinion_reference=&amp;opinion_status=39&amp;opinion_type=All&amp;plenary_session=0&amp;populate=Waste%20shipments%20&amp;rapporteur=&amp;related_events=All&amp;related_observatories=All&amp;related_policies_target_id=52249&amp;related_sections=All" TargetMode="External"/><Relationship Id="rId58" Type="http://schemas.openxmlformats.org/officeDocument/2006/relationships/hyperlink" Target="https://www.eesc.europa.eu/pt/our-work/opinions-information-reports/evaluation-report/evaluation-common-agricultural-policy-delivery-its-objectives" TargetMode="External"/><Relationship Id="rId66" Type="http://schemas.openxmlformats.org/officeDocument/2006/relationships/hyperlink" Target="https://www.eesc.europa.eu/pt/our-work/opinions-information-reports/opinions/blue-deal-accelerator-technology-skills-and-finance-water-resilient-future"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pt/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pt/our-work/opinions-information-reports/opinions/conservation-atlantic-tunas" TargetMode="External"/><Relationship Id="rId57" Type="http://schemas.openxmlformats.org/officeDocument/2006/relationships/hyperlink" Target="mailto:Alice.Senga@eesc.europa.eu" TargetMode="External"/><Relationship Id="rId61" Type="http://schemas.openxmlformats.org/officeDocument/2006/relationships/hyperlink" Target="mailto:Marco.Ristori@eesc.europa.eu"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June.Bedaton@eesc.europa.eu" TargetMode="External"/><Relationship Id="rId44" Type="http://schemas.openxmlformats.org/officeDocument/2006/relationships/hyperlink" Target="https://www.eesc.europa.eu/pt/our-work/opinions-information-reports/opinions/establishing-catch-documentation-programme-bluefin-tuna-thunnus-thynnus" TargetMode="External"/><Relationship Id="rId52" Type="http://schemas.openxmlformats.org/officeDocument/2006/relationships/hyperlink" Target="https://www.eesc.europa.eu/pt/our-work/opinions-information-reports/opinions/prohibition-export-mixed-municipal-waste-destined-recovery" TargetMode="External"/><Relationship Id="rId60" Type="http://schemas.openxmlformats.org/officeDocument/2006/relationships/hyperlink" Target="https://www.eesc.europa.eu/pt/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esc.europa.eu/pt/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pt/our-work/opinions-information-reports/information-reports/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pt/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pt/our-work/opinions-information-reports/opinions/conservation-and-control-measures-applicable-regulatory-area-northwest-atlantic-fisheries-organisation"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pt/our-work/opinions-information-reports/opinions/eesc-contribution-un-water-conference-2026-eu-blue-deal-and-water-resilience-strategy-global-water-action"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pt/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pt/our-work/opinions-information-reports/opinions/conservation-and-enforcement-measures-nafo-2020"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pt/documents/resolution/eesc-contribution-2027-european-commission-work-programme" TargetMode="External"/><Relationship Id="rId41" Type="http://schemas.openxmlformats.org/officeDocument/2006/relationships/hyperlink" Target="https://www.eesc.europa.eu/pt/our-work/opinions-information-reports/opinions/fisheries-naf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pt/our-work/opinions-information-reports/opinions/resourceeu-plan"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PT/TXT/?uri=CELEX:52020AE0223" TargetMode="External"/><Relationship Id="rId3" Type="http://schemas.openxmlformats.org/officeDocument/2006/relationships/hyperlink" Target="https://eur-lex.europa.eu/legal-content/pt/TXT/?uri=CELEX%3A52022AE1131&amp;qid=1780293387219" TargetMode="External"/><Relationship Id="rId7" Type="http://schemas.openxmlformats.org/officeDocument/2006/relationships/hyperlink" Target="https://eur-lex.europa.eu/legal-content/PT/TXT/?uri=CELEX:52020AE2842" TargetMode="External"/><Relationship Id="rId12" Type="http://schemas.openxmlformats.org/officeDocument/2006/relationships/hyperlink" Target="https://eur-lex.europa.eu/legal-content/PT/TXT/?uri=celex:52021AE5496" TargetMode="External"/><Relationship Id="rId2" Type="http://schemas.openxmlformats.org/officeDocument/2006/relationships/hyperlink" Target="https://eur-lex.europa.eu/legal-content/pt/TXT/?uri=CELEX%3A52023AE2283&amp;qid=1780293582307" TargetMode="External"/><Relationship Id="rId1" Type="http://schemas.openxmlformats.org/officeDocument/2006/relationships/hyperlink" Target="https://eur-lex.europa.eu/legal-content/pt/TXT/?uri=CELEX%3A52025AE0766&amp;qid=1780294159425" TargetMode="External"/><Relationship Id="rId6" Type="http://schemas.openxmlformats.org/officeDocument/2006/relationships/hyperlink" Target="https://eur-lex.europa.eu/legal-content/pt/TXT/?uri=OJ:C:2021:056:TOC" TargetMode="External"/><Relationship Id="rId11" Type="http://schemas.openxmlformats.org/officeDocument/2006/relationships/hyperlink" Target="https://eur-lex.europa.eu/legal-content/PT/TXT/?uri=CELEX:52015AE4398" TargetMode="External"/><Relationship Id="rId5" Type="http://schemas.openxmlformats.org/officeDocument/2006/relationships/hyperlink" Target="https://eur-lex.europa.eu/legal-content/PT/TXT/PDF/?uri=CELEX:52020AE5637" TargetMode="External"/><Relationship Id="rId10" Type="http://schemas.openxmlformats.org/officeDocument/2006/relationships/hyperlink" Target="https://eur-lex.europa.eu/legal-content/PT/TXT/?uri=CELEX:52016AE4324" TargetMode="External"/><Relationship Id="rId4" Type="http://schemas.openxmlformats.org/officeDocument/2006/relationships/hyperlink" Target="https://eur-lex.europa.eu/legal-content/pt/TXT/?uri=CELEX%3A52022AE0101&amp;qid=1780293688920" TargetMode="External"/><Relationship Id="rId9" Type="http://schemas.openxmlformats.org/officeDocument/2006/relationships/hyperlink" Target="https://eur-lex.europa.eu/legal-content/PT/TXT/?uri=CELEX:52018AE5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VP3JK3XSEPRV-1795132703-5834</_dlc_DocId>
    <_dlc_DocIdUrl xmlns="7d640e6d-779c-472f-a269-6b546787f1c9">
      <Url>http://dm/eesc/2026/_layouts/15/DocIdRedir.aspx?ID=VP3JK3XSEPRV-1795132703-5834</Url>
      <Description>VP3JK3XSEPRV-1795132703-5834</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PT</TermName>
          <TermId xmlns="http://schemas.microsoft.com/office/infopath/2007/PartnerControls">50ccc04a-eadd-42ae-a0cb-acaf45f812ba</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Rubano Noroes Silvana</DisplayName>
        <AccountId>1353</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2.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3.xml><?xml version="1.0" encoding="utf-8"?>
<ds:datastoreItem xmlns:ds="http://schemas.openxmlformats.org/officeDocument/2006/customXml" ds:itemID="{9C1A75F7-BFCF-46F1-9E0E-E88E623F8F24}"/>
</file>

<file path=customXml/itemProps4.xml><?xml version="1.0" encoding="utf-8"?>
<ds:datastoreItem xmlns:ds="http://schemas.openxmlformats.org/officeDocument/2006/customXml" ds:itemID="{A5982D98-2B49-4D8D-9E82-3A196D630916}">
  <ds:schemaRefs>
    <ds:schemaRef ds:uri="http://schemas.microsoft.com/sharepoint/v3/contenttype/forms"/>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9025</Words>
  <Characters>51445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Síntese dos Pareceres - 606.ª reunião plenária - junho de 2026</dc:title>
  <dc:subject>ADMIN</dc:subject>
  <dc:creator/>
  <cp:keywords>COR-EESC-2022-02583-00-00-ADMIN-TRA-EN</cp:keywords>
  <dc:description>Rapporteur:  - Original language: EN - Date of document: 20/05/2022 - Date of meeting:  - External documents:  - Administrator:  SUCIU Serban</dc:description>
  <cp:lastModifiedBy/>
  <cp:revision>10</cp:revision>
  <dcterms:created xsi:type="dcterms:W3CDTF">2026-06-26T07:05:00Z</dcterms:created>
  <dcterms:modified xsi:type="dcterms:W3CDTF">2026-07-02T10:18:00Z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9fd5f456-8637-46db-a63f-230ae1a450d8</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28;#PT|50ccc04a-eadd-42ae-a0cb-acaf45f812ba</vt:lpwstr>
  </property>
  <property fmtid="{D5CDD505-2E9C-101B-9397-08002B2CF9AE}" pid="33" name="AvailableTranslations_0">
    <vt:lpwstr>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