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7CB8F7D3" w:rsidR="004D7AC0" w:rsidRDefault="00FE6829" w:rsidP="001766B2">
      <w:pPr>
        <w:jc w:val="center"/>
      </w:pPr>
      <w:r>
        <w:rPr>
          <w:noProof/>
        </w:rPr>
        <w:drawing>
          <wp:inline distT="0" distB="0" distL="0" distR="0" wp14:anchorId="15F39C34" wp14:editId="0835382E">
            <wp:extent cx="1792605" cy="1239520"/>
            <wp:effectExtent l="0" t="0" r="0" b="0"/>
            <wp:docPr id="1" name="Picture 1" title="EESCLogo_LV"/>
            <wp:cNvGraphicFramePr/>
            <a:graphic xmlns:a="http://schemas.openxmlformats.org/drawingml/2006/main">
              <a:graphicData uri="http://schemas.openxmlformats.org/drawingml/2006/picture">
                <pic:pic xmlns:pic="http://schemas.openxmlformats.org/drawingml/2006/picture">
                  <pic:nvPicPr>
                    <pic:cNvPr id="1" name="Picture 1" title="EESCLogo_LV"/>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5F0865E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LV</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Briselē, 2026. gada 3. jūlijā</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 PLENĀRĀ SESIJA</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2026. gada 17. un 18. jūnijs</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PIEŅEMTO ATZINUMU UN REZOLŪCIJU, KĀ ARĪ INFORMATĪVO / NOVĒRTĒJUMA ZIŅOJUMU KOPSAVILKUMS</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Šis dokuments visās oficiālajās Eiropas Savienības valodās ir pieejams EESK tīmekļa vietnē:</w:t>
            </w:r>
            <w:r>
              <w:br/>
            </w:r>
            <w:r>
              <w:br/>
            </w:r>
            <w:hyperlink r:id="rId12" w:history="1">
              <w:r>
                <w:rPr>
                  <w:rStyle w:val="Hyperlink"/>
                </w:rPr>
                <w:t>https://www.eesc.europa.eu/lv/our-work/opinions-information-reports/plenary-session-summaries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Ar atzinumiem var iepazīties tiešsaistē, izmantojot EESK meklētājprogrammu:</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Satura rādītājs</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207FAD67" w14:textId="0486F312" w:rsidR="00427731" w:rsidRDefault="004D7AC0">
          <w:pPr>
            <w:pStyle w:val="TOC1"/>
            <w:tabs>
              <w:tab w:val="left" w:pos="440"/>
              <w:tab w:val="right" w:leader="dot" w:pos="9063"/>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33976376" w:history="1">
            <w:r w:rsidR="00427731" w:rsidRPr="0082024A">
              <w:rPr>
                <w:rStyle w:val="Hyperlink"/>
                <w:bCs/>
                <w:noProof/>
              </w:rPr>
              <w:t>1.</w:t>
            </w:r>
            <w:r w:rsidR="00427731">
              <w:rPr>
                <w:rFonts w:asciiTheme="minorHAnsi" w:eastAsiaTheme="minorEastAsia" w:hAnsiTheme="minorHAnsi" w:cstheme="minorBidi"/>
                <w:noProof/>
                <w:lang w:val="en-US"/>
              </w:rPr>
              <w:tab/>
            </w:r>
            <w:r w:rsidR="00427731" w:rsidRPr="0082024A">
              <w:rPr>
                <w:rStyle w:val="Hyperlink"/>
                <w:b/>
                <w:noProof/>
              </w:rPr>
              <w:t>REZOLŪCIJAS</w:t>
            </w:r>
            <w:r w:rsidR="00427731">
              <w:rPr>
                <w:noProof/>
                <w:webHidden/>
              </w:rPr>
              <w:tab/>
            </w:r>
            <w:r w:rsidR="00427731">
              <w:rPr>
                <w:noProof/>
                <w:webHidden/>
              </w:rPr>
              <w:fldChar w:fldCharType="begin"/>
            </w:r>
            <w:r w:rsidR="00427731">
              <w:rPr>
                <w:noProof/>
                <w:webHidden/>
              </w:rPr>
              <w:instrText xml:space="preserve"> PAGEREF _Toc233976376 \h </w:instrText>
            </w:r>
            <w:r w:rsidR="00427731">
              <w:rPr>
                <w:noProof/>
                <w:webHidden/>
              </w:rPr>
            </w:r>
            <w:r w:rsidR="00427731">
              <w:rPr>
                <w:noProof/>
                <w:webHidden/>
              </w:rPr>
              <w:fldChar w:fldCharType="separate"/>
            </w:r>
            <w:r w:rsidR="00427731">
              <w:rPr>
                <w:noProof/>
                <w:webHidden/>
              </w:rPr>
              <w:t>5</w:t>
            </w:r>
            <w:r w:rsidR="00427731">
              <w:rPr>
                <w:noProof/>
                <w:webHidden/>
              </w:rPr>
              <w:fldChar w:fldCharType="end"/>
            </w:r>
          </w:hyperlink>
        </w:p>
        <w:p w14:paraId="4F8CB92C" w14:textId="2D80F67D"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384" w:history="1">
            <w:r w:rsidRPr="0082024A">
              <w:rPr>
                <w:rStyle w:val="Hyperlink"/>
                <w:bCs/>
                <w:noProof/>
              </w:rPr>
              <w:t>2.</w:t>
            </w:r>
            <w:r>
              <w:rPr>
                <w:rFonts w:asciiTheme="minorHAnsi" w:eastAsiaTheme="minorEastAsia" w:hAnsiTheme="minorHAnsi" w:cstheme="minorBidi"/>
                <w:noProof/>
                <w:lang w:val="en-US"/>
              </w:rPr>
              <w:tab/>
            </w:r>
            <w:r w:rsidRPr="0082024A">
              <w:rPr>
                <w:rStyle w:val="Hyperlink"/>
                <w:b/>
                <w:noProof/>
              </w:rPr>
              <w:t>EKONOMIKAS UN MONETĀRĀ SAVIENĪBA, EKONOMISKĀ UN SOCIĀLĀ KOHĒZIJA</w:t>
            </w:r>
            <w:r>
              <w:rPr>
                <w:noProof/>
                <w:webHidden/>
              </w:rPr>
              <w:tab/>
            </w:r>
            <w:r>
              <w:rPr>
                <w:noProof/>
                <w:webHidden/>
              </w:rPr>
              <w:fldChar w:fldCharType="begin"/>
            </w:r>
            <w:r>
              <w:rPr>
                <w:noProof/>
                <w:webHidden/>
              </w:rPr>
              <w:instrText xml:space="preserve"> PAGEREF _Toc233976384 \h </w:instrText>
            </w:r>
            <w:r>
              <w:rPr>
                <w:noProof/>
                <w:webHidden/>
              </w:rPr>
            </w:r>
            <w:r>
              <w:rPr>
                <w:noProof/>
                <w:webHidden/>
              </w:rPr>
              <w:fldChar w:fldCharType="separate"/>
            </w:r>
            <w:r>
              <w:rPr>
                <w:noProof/>
                <w:webHidden/>
              </w:rPr>
              <w:t>8</w:t>
            </w:r>
            <w:r>
              <w:rPr>
                <w:noProof/>
                <w:webHidden/>
              </w:rPr>
              <w:fldChar w:fldCharType="end"/>
            </w:r>
          </w:hyperlink>
        </w:p>
        <w:p w14:paraId="508E3195" w14:textId="2C36EDFD"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396" w:history="1">
            <w:r w:rsidRPr="0082024A">
              <w:rPr>
                <w:rStyle w:val="Hyperlink"/>
                <w:bCs/>
                <w:noProof/>
              </w:rPr>
              <w:t>3.</w:t>
            </w:r>
            <w:r>
              <w:rPr>
                <w:rFonts w:asciiTheme="minorHAnsi" w:eastAsiaTheme="minorEastAsia" w:hAnsiTheme="minorHAnsi" w:cstheme="minorBidi"/>
                <w:noProof/>
                <w:lang w:val="en-US"/>
              </w:rPr>
              <w:tab/>
            </w:r>
            <w:r w:rsidRPr="0082024A">
              <w:rPr>
                <w:rStyle w:val="Hyperlink"/>
                <w:b/>
                <w:noProof/>
              </w:rPr>
              <w:t>NODARBINĀTĪBA, SOCIĀLĀS LIETAS UN PILSONISKUMS</w:t>
            </w:r>
            <w:r>
              <w:rPr>
                <w:noProof/>
                <w:webHidden/>
              </w:rPr>
              <w:tab/>
            </w:r>
            <w:r>
              <w:rPr>
                <w:noProof/>
                <w:webHidden/>
              </w:rPr>
              <w:fldChar w:fldCharType="begin"/>
            </w:r>
            <w:r>
              <w:rPr>
                <w:noProof/>
                <w:webHidden/>
              </w:rPr>
              <w:instrText xml:space="preserve"> PAGEREF _Toc233976396 \h </w:instrText>
            </w:r>
            <w:r>
              <w:rPr>
                <w:noProof/>
                <w:webHidden/>
              </w:rPr>
            </w:r>
            <w:r>
              <w:rPr>
                <w:noProof/>
                <w:webHidden/>
              </w:rPr>
              <w:fldChar w:fldCharType="separate"/>
            </w:r>
            <w:r>
              <w:rPr>
                <w:noProof/>
                <w:webHidden/>
              </w:rPr>
              <w:t>13</w:t>
            </w:r>
            <w:r>
              <w:rPr>
                <w:noProof/>
                <w:webHidden/>
              </w:rPr>
              <w:fldChar w:fldCharType="end"/>
            </w:r>
          </w:hyperlink>
        </w:p>
        <w:p w14:paraId="7A110E99" w14:textId="4F298AA0"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397" w:history="1">
            <w:r w:rsidRPr="0082024A">
              <w:rPr>
                <w:rStyle w:val="Hyperlink"/>
                <w:bCs/>
                <w:noProof/>
              </w:rPr>
              <w:t>4.</w:t>
            </w:r>
            <w:r>
              <w:rPr>
                <w:rFonts w:asciiTheme="minorHAnsi" w:eastAsiaTheme="minorEastAsia" w:hAnsiTheme="minorHAnsi" w:cstheme="minorBidi"/>
                <w:noProof/>
                <w:lang w:val="en-US"/>
              </w:rPr>
              <w:tab/>
            </w:r>
            <w:r w:rsidRPr="0082024A">
              <w:rPr>
                <w:rStyle w:val="Hyperlink"/>
                <w:b/>
                <w:noProof/>
              </w:rPr>
              <w:t>TRANSPORTS, ENERĢĒTIKA, INFRASTRUKTŪRA UN INFORMĀCIJAS SABIEDRĪBA</w:t>
            </w:r>
            <w:r>
              <w:rPr>
                <w:noProof/>
                <w:webHidden/>
              </w:rPr>
              <w:tab/>
            </w:r>
            <w:r>
              <w:rPr>
                <w:noProof/>
                <w:webHidden/>
              </w:rPr>
              <w:fldChar w:fldCharType="begin"/>
            </w:r>
            <w:r>
              <w:rPr>
                <w:noProof/>
                <w:webHidden/>
              </w:rPr>
              <w:instrText xml:space="preserve"> PAGEREF _Toc233976397 \h </w:instrText>
            </w:r>
            <w:r>
              <w:rPr>
                <w:noProof/>
                <w:webHidden/>
              </w:rPr>
            </w:r>
            <w:r>
              <w:rPr>
                <w:noProof/>
                <w:webHidden/>
              </w:rPr>
              <w:fldChar w:fldCharType="separate"/>
            </w:r>
            <w:r>
              <w:rPr>
                <w:noProof/>
                <w:webHidden/>
              </w:rPr>
              <w:t>15</w:t>
            </w:r>
            <w:r>
              <w:rPr>
                <w:noProof/>
                <w:webHidden/>
              </w:rPr>
              <w:fldChar w:fldCharType="end"/>
            </w:r>
          </w:hyperlink>
        </w:p>
        <w:p w14:paraId="7B69EBE1" w14:textId="30357A1E"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398" w:history="1">
            <w:r w:rsidRPr="0082024A">
              <w:rPr>
                <w:rStyle w:val="Hyperlink"/>
                <w:bCs/>
                <w:noProof/>
              </w:rPr>
              <w:t>5.</w:t>
            </w:r>
            <w:r>
              <w:rPr>
                <w:rFonts w:asciiTheme="minorHAnsi" w:eastAsiaTheme="minorEastAsia" w:hAnsiTheme="minorHAnsi" w:cstheme="minorBidi"/>
                <w:noProof/>
                <w:lang w:val="en-US"/>
              </w:rPr>
              <w:tab/>
            </w:r>
            <w:r w:rsidRPr="0082024A">
              <w:rPr>
                <w:rStyle w:val="Hyperlink"/>
                <w:b/>
                <w:noProof/>
              </w:rPr>
              <w:t>VIENOTAIS TIRGUS, RAŽOŠANA UN PATĒRIŅŠ</w:t>
            </w:r>
            <w:r>
              <w:rPr>
                <w:noProof/>
                <w:webHidden/>
              </w:rPr>
              <w:tab/>
            </w:r>
            <w:r>
              <w:rPr>
                <w:noProof/>
                <w:webHidden/>
              </w:rPr>
              <w:fldChar w:fldCharType="begin"/>
            </w:r>
            <w:r>
              <w:rPr>
                <w:noProof/>
                <w:webHidden/>
              </w:rPr>
              <w:instrText xml:space="preserve"> PAGEREF _Toc233976398 \h </w:instrText>
            </w:r>
            <w:r>
              <w:rPr>
                <w:noProof/>
                <w:webHidden/>
              </w:rPr>
            </w:r>
            <w:r>
              <w:rPr>
                <w:noProof/>
                <w:webHidden/>
              </w:rPr>
              <w:fldChar w:fldCharType="separate"/>
            </w:r>
            <w:r>
              <w:rPr>
                <w:noProof/>
                <w:webHidden/>
              </w:rPr>
              <w:t>18</w:t>
            </w:r>
            <w:r>
              <w:rPr>
                <w:noProof/>
                <w:webHidden/>
              </w:rPr>
              <w:fldChar w:fldCharType="end"/>
            </w:r>
          </w:hyperlink>
        </w:p>
        <w:p w14:paraId="298B10F3" w14:textId="13B2C8BC"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399" w:history="1">
            <w:r w:rsidRPr="0082024A">
              <w:rPr>
                <w:rStyle w:val="Hyperlink"/>
                <w:bCs/>
                <w:noProof/>
              </w:rPr>
              <w:t>6.</w:t>
            </w:r>
            <w:r>
              <w:rPr>
                <w:rFonts w:asciiTheme="minorHAnsi" w:eastAsiaTheme="minorEastAsia" w:hAnsiTheme="minorHAnsi" w:cstheme="minorBidi"/>
                <w:noProof/>
                <w:lang w:val="en-US"/>
              </w:rPr>
              <w:tab/>
            </w:r>
            <w:r w:rsidRPr="0082024A">
              <w:rPr>
                <w:rStyle w:val="Hyperlink"/>
                <w:b/>
                <w:noProof/>
              </w:rPr>
              <w:t>LAUKSAIMNIECĪBA, LAUKU ATTĪSTĪBA UN VIDE</w:t>
            </w:r>
            <w:r>
              <w:rPr>
                <w:noProof/>
                <w:webHidden/>
              </w:rPr>
              <w:tab/>
            </w:r>
            <w:r>
              <w:rPr>
                <w:noProof/>
                <w:webHidden/>
              </w:rPr>
              <w:fldChar w:fldCharType="begin"/>
            </w:r>
            <w:r>
              <w:rPr>
                <w:noProof/>
                <w:webHidden/>
              </w:rPr>
              <w:instrText xml:space="preserve"> PAGEREF _Toc233976399 \h </w:instrText>
            </w:r>
            <w:r>
              <w:rPr>
                <w:noProof/>
                <w:webHidden/>
              </w:rPr>
            </w:r>
            <w:r>
              <w:rPr>
                <w:noProof/>
                <w:webHidden/>
              </w:rPr>
              <w:fldChar w:fldCharType="separate"/>
            </w:r>
            <w:r>
              <w:rPr>
                <w:noProof/>
                <w:webHidden/>
              </w:rPr>
              <w:t>19</w:t>
            </w:r>
            <w:r>
              <w:rPr>
                <w:noProof/>
                <w:webHidden/>
              </w:rPr>
              <w:fldChar w:fldCharType="end"/>
            </w:r>
          </w:hyperlink>
        </w:p>
        <w:p w14:paraId="47DD7E98" w14:textId="63623BF8"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410" w:history="1">
            <w:r w:rsidRPr="0082024A">
              <w:rPr>
                <w:rStyle w:val="Hyperlink"/>
                <w:bCs/>
                <w:noProof/>
              </w:rPr>
              <w:t>7.</w:t>
            </w:r>
            <w:r>
              <w:rPr>
                <w:rFonts w:asciiTheme="minorHAnsi" w:eastAsiaTheme="minorEastAsia" w:hAnsiTheme="minorHAnsi" w:cstheme="minorBidi"/>
                <w:noProof/>
                <w:lang w:val="en-US"/>
              </w:rPr>
              <w:tab/>
            </w:r>
            <w:r w:rsidRPr="0082024A">
              <w:rPr>
                <w:rStyle w:val="Hyperlink"/>
                <w:b/>
                <w:noProof/>
              </w:rPr>
              <w:t>ĀRĒJĀS ATTIECĪBAS</w:t>
            </w:r>
            <w:r>
              <w:rPr>
                <w:noProof/>
                <w:webHidden/>
              </w:rPr>
              <w:tab/>
            </w:r>
            <w:r>
              <w:rPr>
                <w:noProof/>
                <w:webHidden/>
              </w:rPr>
              <w:fldChar w:fldCharType="begin"/>
            </w:r>
            <w:r>
              <w:rPr>
                <w:noProof/>
                <w:webHidden/>
              </w:rPr>
              <w:instrText xml:space="preserve"> PAGEREF _Toc233976410 \h </w:instrText>
            </w:r>
            <w:r>
              <w:rPr>
                <w:noProof/>
                <w:webHidden/>
              </w:rPr>
            </w:r>
            <w:r>
              <w:rPr>
                <w:noProof/>
                <w:webHidden/>
              </w:rPr>
              <w:fldChar w:fldCharType="separate"/>
            </w:r>
            <w:r>
              <w:rPr>
                <w:noProof/>
                <w:webHidden/>
              </w:rPr>
              <w:t>24</w:t>
            </w:r>
            <w:r>
              <w:rPr>
                <w:noProof/>
                <w:webHidden/>
              </w:rPr>
              <w:fldChar w:fldCharType="end"/>
            </w:r>
          </w:hyperlink>
        </w:p>
        <w:p w14:paraId="174E6749" w14:textId="582100A3" w:rsidR="00427731" w:rsidRDefault="00427731">
          <w:pPr>
            <w:pStyle w:val="TOC1"/>
            <w:tabs>
              <w:tab w:val="left" w:pos="440"/>
              <w:tab w:val="right" w:leader="dot" w:pos="9063"/>
            </w:tabs>
            <w:rPr>
              <w:rFonts w:asciiTheme="minorHAnsi" w:eastAsiaTheme="minorEastAsia" w:hAnsiTheme="minorHAnsi" w:cstheme="minorBidi"/>
              <w:noProof/>
              <w:lang w:val="en-US"/>
            </w:rPr>
          </w:pPr>
          <w:hyperlink w:anchor="_Toc233976411" w:history="1">
            <w:r w:rsidRPr="0082024A">
              <w:rPr>
                <w:rStyle w:val="Hyperlink"/>
                <w:bCs/>
                <w:noProof/>
              </w:rPr>
              <w:t>8.</w:t>
            </w:r>
            <w:r>
              <w:rPr>
                <w:rFonts w:asciiTheme="minorHAnsi" w:eastAsiaTheme="minorEastAsia" w:hAnsiTheme="minorHAnsi" w:cstheme="minorBidi"/>
                <w:noProof/>
                <w:lang w:val="en-US"/>
              </w:rPr>
              <w:tab/>
            </w:r>
            <w:r w:rsidRPr="0082024A">
              <w:rPr>
                <w:rStyle w:val="Hyperlink"/>
                <w:b/>
                <w:noProof/>
              </w:rPr>
              <w:t>RŪPNIECĪBAS PĀRMAIŅU KONSULTATĪVĀ KOMISIJA</w:t>
            </w:r>
            <w:r>
              <w:rPr>
                <w:noProof/>
                <w:webHidden/>
              </w:rPr>
              <w:tab/>
            </w:r>
            <w:r>
              <w:rPr>
                <w:noProof/>
                <w:webHidden/>
              </w:rPr>
              <w:fldChar w:fldCharType="begin"/>
            </w:r>
            <w:r>
              <w:rPr>
                <w:noProof/>
                <w:webHidden/>
              </w:rPr>
              <w:instrText xml:space="preserve"> PAGEREF _Toc233976411 \h </w:instrText>
            </w:r>
            <w:r>
              <w:rPr>
                <w:noProof/>
                <w:webHidden/>
              </w:rPr>
            </w:r>
            <w:r>
              <w:rPr>
                <w:noProof/>
                <w:webHidden/>
              </w:rPr>
              <w:fldChar w:fldCharType="separate"/>
            </w:r>
            <w:r>
              <w:rPr>
                <w:noProof/>
                <w:webHidden/>
              </w:rPr>
              <w:t>25</w:t>
            </w:r>
            <w:r>
              <w:rPr>
                <w:noProof/>
                <w:webHidden/>
              </w:rPr>
              <w:fldChar w:fldCharType="end"/>
            </w:r>
          </w:hyperlink>
        </w:p>
        <w:p w14:paraId="4982DD6A" w14:textId="35DD1BBC"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976376"/>
      <w:r>
        <w:rPr>
          <w:b/>
        </w:rPr>
        <w:lastRenderedPageBreak/>
        <w:t>REZOLŪCIJAS</w:t>
      </w:r>
      <w:bookmarkEnd w:id="0"/>
    </w:p>
    <w:p w14:paraId="01EA6291" w14:textId="77777777" w:rsidR="004D73FC" w:rsidRDefault="004D73FC" w:rsidP="004D73FC"/>
    <w:p w14:paraId="46E0AF65" w14:textId="06E43497" w:rsidR="00560A7D" w:rsidRPr="00560A7D" w:rsidRDefault="00CB0220" w:rsidP="00560A7D">
      <w:pPr>
        <w:widowControl w:val="0"/>
        <w:numPr>
          <w:ilvl w:val="0"/>
          <w:numId w:val="4"/>
        </w:numPr>
        <w:overflowPunct w:val="0"/>
        <w:autoSpaceDE w:val="0"/>
        <w:autoSpaceDN w:val="0"/>
        <w:adjustRightInd w:val="0"/>
        <w:ind w:hanging="567"/>
        <w:textAlignment w:val="baseline"/>
        <w:rPr>
          <w:sz w:val="20"/>
          <w:szCs w:val="20"/>
        </w:rPr>
      </w:pPr>
      <w:hyperlink r:id="rId20" w:history="1">
        <w:r w:rsidR="00560A7D">
          <w:rPr>
            <w:b/>
            <w:i/>
            <w:color w:val="0000FF"/>
            <w:sz w:val="28"/>
            <w:u w:val="single"/>
          </w:rPr>
          <w:t>EESK ieguldījums Eiropas Komisijas 2027. gada darba programmā.</w:t>
        </w:r>
      </w:hyperlink>
    </w:p>
    <w:p w14:paraId="34B5845E"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 xml:space="preserve">Ziņotāji: </w:t>
            </w:r>
          </w:p>
        </w:tc>
        <w:tc>
          <w:tcPr>
            <w:tcW w:w="3923" w:type="pct"/>
          </w:tcPr>
          <w:p w14:paraId="52D604F2" w14:textId="6314FC47" w:rsidR="00560A7D" w:rsidRPr="00560A7D" w:rsidRDefault="00560A7D" w:rsidP="00560A7D">
            <w:pPr>
              <w:tabs>
                <w:tab w:val="right" w:pos="3827"/>
                <w:tab w:val="left" w:pos="3969"/>
              </w:tabs>
              <w:autoSpaceDE w:val="0"/>
              <w:autoSpaceDN w:val="0"/>
              <w:jc w:val="left"/>
              <w:rPr>
                <w:bCs/>
              </w:rPr>
            </w:pPr>
            <w:r>
              <w:t>Marcin NOWACKI (Darba devēju grupa - PL)</w:t>
            </w:r>
          </w:p>
          <w:p w14:paraId="77889B0B" w14:textId="371F0B22" w:rsidR="00560A7D" w:rsidRPr="00560A7D" w:rsidRDefault="00560A7D" w:rsidP="00560A7D">
            <w:pPr>
              <w:tabs>
                <w:tab w:val="right" w:pos="3827"/>
                <w:tab w:val="left" w:pos="3969"/>
              </w:tabs>
              <w:autoSpaceDE w:val="0"/>
              <w:autoSpaceDN w:val="0"/>
              <w:jc w:val="left"/>
              <w:rPr>
                <w:bCs/>
              </w:rPr>
            </w:pPr>
            <w:r>
              <w:t>Carlos Manuel TRINDADE (Darba ņēmēju grupa - PT)</w:t>
            </w:r>
          </w:p>
          <w:p w14:paraId="6B36A469" w14:textId="3CFADAF0" w:rsidR="00560A7D" w:rsidRDefault="00560A7D" w:rsidP="00560A7D">
            <w:pPr>
              <w:tabs>
                <w:tab w:val="center" w:pos="284"/>
              </w:tabs>
              <w:overflowPunct w:val="0"/>
              <w:autoSpaceDE w:val="0"/>
              <w:autoSpaceDN w:val="0"/>
              <w:adjustRightInd w:val="0"/>
              <w:ind w:left="266" w:right="-3091" w:hanging="266"/>
              <w:textAlignment w:val="baseline"/>
              <w:rPr>
                <w:bCs/>
              </w:rPr>
            </w:pPr>
            <w:proofErr w:type="spellStart"/>
            <w:r>
              <w:t>Corina</w:t>
            </w:r>
            <w:proofErr w:type="spellEnd"/>
            <w:r>
              <w:t xml:space="preserve"> </w:t>
            </w:r>
            <w:proofErr w:type="spellStart"/>
            <w:r>
              <w:t>Andrea</w:t>
            </w:r>
            <w:proofErr w:type="spellEnd"/>
            <w:r>
              <w:t xml:space="preserve"> MURAFA BENGA (Pilsoniskās sabiedrības organizāciju grupa – RO)</w:t>
            </w:r>
          </w:p>
          <w:p w14:paraId="4EB0DAC0" w14:textId="668091EB" w:rsidR="00D72876" w:rsidRPr="00560A7D"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Atsauces</w:t>
            </w:r>
          </w:p>
        </w:tc>
        <w:tc>
          <w:tcPr>
            <w:tcW w:w="3923" w:type="pct"/>
          </w:tcPr>
          <w:p w14:paraId="4B482FDA" w14:textId="77777777" w:rsidR="001768E8" w:rsidRDefault="001768E8" w:rsidP="00560A7D">
            <w:pPr>
              <w:tabs>
                <w:tab w:val="center" w:pos="284"/>
              </w:tabs>
              <w:overflowPunct w:val="0"/>
              <w:autoSpaceDE w:val="0"/>
              <w:autoSpaceDN w:val="0"/>
              <w:adjustRightInd w:val="0"/>
              <w:ind w:left="266" w:right="-3091" w:hanging="266"/>
              <w:textAlignment w:val="baseline"/>
            </w:pPr>
            <w:r>
              <w:t>Rezolūcija</w:t>
            </w:r>
          </w:p>
          <w:p w14:paraId="6C8D19F3" w14:textId="2B893F25" w:rsidR="00560A7D" w:rsidRPr="00560A7D" w:rsidRDefault="00560A7D" w:rsidP="00560A7D">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Galvenās nostādnes</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Eiropas Savienībai būtu jāstiprina sava konkurētspēja, noturība un ilgtspējīgas izaugsmes spējas, veicinot spēcīgu, novatorisku un uzņēmējdarbībai labvēlīgu ekonomiku, kas dod uzņēmumiem iespēju ieguldīt, ieviest jauninājumus un radīt kvalitatīvas darbvietas visā Eiropā. Cenšoties to paveikt, Eiropas Savienībai cilvēki būtu jāizvirza pārmaiņu centrā, stiprinot Eiropas sociālo modeli, veicinot kvalitatīvu sociālo un pilsonisko dialogu un iekļaušanu un nodrošinot taisnīgu digitālo, enerģētikas un zaļo pārkārtošanos, kuras pamatā ir darba ņēmēju tiesības, prasmes, sociālais un pilsoniskais dialogs un vienlīdzīgas iespējas. Komisijas 2027. gada darba programmai būtu jāveicina šos prioritāšu īstenošana, paredzot pasākumus, kas atbalsta inovāciju, produktivitāti, investīcijas un regulējuma vienkāršošanu, kā arī īstenojot Eiropas sociālo tiesību pīlāru un nodrošinot taisnīgu mobilitāti, digitālo darba ņēmēju tiesības un prasmes un sociālos nosacījumus</w:t>
      </w:r>
      <w:r w:rsidRPr="00560A7D">
        <w:rPr>
          <w:sz w:val="24"/>
          <w:szCs w:val="20"/>
          <w:vertAlign w:val="superscript"/>
          <w:lang w:val="en-GB"/>
        </w:rPr>
        <w:footnoteReference w:id="1"/>
      </w:r>
      <w:r>
        <w:t xml:space="preserve"> ES finansējuma piešķiršanā un iepirkumā.</w:t>
      </w:r>
    </w:p>
    <w:p w14:paraId="0EB5DA92" w14:textId="55D0DD35"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Lai zaļo tehnoloģiju jomā saglabātu savu vadošo lomu pasaulē, Eiropas Savienībai ir vajadzīga konkurētspējas programma, kuras pamatā ir rūpniecības politika, inovācija, investīcijas un taisnīga digitālā un zaļā pārkārtošanās, kā arī padziļināts vienotais tirgus ar vienkāršākiem noteikumiem, mazāku sadrumstalotību un stingrāku izpildes panākšanu;</w:t>
      </w:r>
    </w:p>
    <w:p w14:paraId="0BE438D4" w14:textId="48C329B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Ar Eiropas rūpniecības politiku ir jāatbalsta cenas ziņā pieejama enerģija, drošas piegādes ķēdes un labāki pārrobežu savienojumi enerģētikas, transporta, telesakaru un piegādes sistēmu jomā, lai nodrošinātu kritiski svarīgas izejvielas un ūdens resursu noturību, kā arī taisnīgu pārkārtošanos, kas saglabā kvalitatīvu nodarbinātību un Eiropas rūpniecisko;</w:t>
      </w:r>
    </w:p>
    <w:p w14:paraId="36FA0247" w14:textId="703A961E" w:rsidR="00560A7D" w:rsidRPr="00825862" w:rsidRDefault="00560A7D" w:rsidP="00AD2F07">
      <w:pPr>
        <w:widowControl w:val="0"/>
        <w:numPr>
          <w:ilvl w:val="0"/>
          <w:numId w:val="20"/>
        </w:numPr>
        <w:overflowPunct w:val="0"/>
        <w:autoSpaceDE w:val="0"/>
        <w:autoSpaceDN w:val="0"/>
        <w:adjustRightInd w:val="0"/>
        <w:ind w:left="284" w:hanging="284"/>
        <w:textAlignment w:val="baseline"/>
        <w:rPr>
          <w:bCs/>
          <w:iCs/>
        </w:rPr>
      </w:pPr>
      <w:r>
        <w:t>EESK aicina Komisijas 2027. gada darba programmā nodrošināt visu daudzgadu finanšu shēmas (DFS) instrumentu pilnīgu apguvi un mērķorientētu, elastīgu pārplānošanu. 2027. gadā veiktajam sagatavošanas darbam ir jāveido pierādījumu bāze, pārvaldības sistēmas un partnerības struktūras, kas būs nākamās DFS pamatā. Nevienai stratēģiskai prioritātei — konkurētspējai, kohēzijai, sociālajam attīstībai vai zaļajiem vai ar aizsardzību saistītajiem mērķiem — nevajadzētu būt strukturāli pakārtotai citai prioritātei. Turklāt visām šajā EESK rezolūcijā minētajām prioritātēm būtu jāsaņem īpašs finansiālais atbalsts no DFS, nodrošinot taisnīgu ģeogrāfisko;</w:t>
      </w:r>
    </w:p>
    <w:p w14:paraId="30363ADB" w14:textId="129DEAAC"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Lai panāktu mieru, kopīgajās ES prioritātēs attiecībā uz sagatavotību, aizsardzību un drošību ir jāiekļauj spēcīgākas aizsardzības spējas, kopīgs iepirkums, militārā mobilitāte, </w:t>
      </w:r>
      <w:proofErr w:type="spellStart"/>
      <w:r>
        <w:t>kiberdrošība</w:t>
      </w:r>
      <w:proofErr w:type="spellEnd"/>
      <w:r>
        <w:t xml:space="preserve"> un kritiskās un civilās infrastruktūras aizsardzība, kā arī investīcijas noturīgu kopienu civilajā sagatavotībā, vienlaikus nodrošinot pārredzamību un demokrātisku pārraudzību;</w:t>
      </w:r>
    </w:p>
    <w:p w14:paraId="692A9E5E" w14:textId="4F4096E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Eiropas Savienībai būtu jāstiprina sava globālā loma, stratēģisko autonomiju saskaņojot ar </w:t>
      </w:r>
      <w:r>
        <w:lastRenderedPageBreak/>
        <w:t xml:space="preserve">ārpolitiku, tirdzniecības, rūpniecības un paplašināšanās politiku un vienlaikus atbalstot Ukrainu un paužot solidaritāti ar palestīniešu tautu, padziļinot sadarbību ar partneriem un uzlabojot noturību kritiski svarīgās nozarēs. Komisijas 2027. gada darba programmai būtu jāveicina šo prioritāšu īstenošana, atbalstot kandidātvalstis, stiprinot ārējo darbību, ekonomisko drošību un labāk izmantojot </w:t>
      </w:r>
      <w:proofErr w:type="spellStart"/>
      <w:r>
        <w:rPr>
          <w:i/>
          <w:iCs/>
        </w:rPr>
        <w:t>Global</w:t>
      </w:r>
      <w:proofErr w:type="spellEnd"/>
      <w:r>
        <w:rPr>
          <w:i/>
          <w:iCs/>
        </w:rPr>
        <w:t> </w:t>
      </w:r>
      <w:proofErr w:type="spellStart"/>
      <w:r>
        <w:rPr>
          <w:i/>
          <w:iCs/>
        </w:rPr>
        <w:t>Gateway</w:t>
      </w:r>
      <w:proofErr w:type="spellEnd"/>
      <w:r>
        <w:t xml:space="preserve"> un kopējo drošības un aizsardzības politiku.</w:t>
      </w:r>
    </w:p>
    <w:p w14:paraId="5F3E14D2" w14:textId="7BEB2F7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Eiropas Savienībai dzīves kvalitāte būtu jāuzskata par vienu no sociālās un demokrātiskās noturības pīlāriem. Komisijas 2027. gada darba programmā veselība, aprūpe, garīgā labbūtība, vienlīdzība, iekļaušana, rasisma apkarošana un piekļuve pamatpakalpojumiem būtu jāsasaista uz cilvēkiem vērstā programmā, ar ko tiek mazināta pastāvīgā nevienlīdzība un neaizsargātība. IKP izsekošana ir jāpapildina ar ilgtspējas un dzīves kvalitātes rādītājiem;</w:t>
      </w:r>
    </w:p>
    <w:p w14:paraId="19F85DB6" w14:textId="088967A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Nabadzība ir pielīdzināma demokrātiskai atstumtībai, un ES centieniem tādās jomās kā mājokļi, enerģētika, ūdensapgāde un pārtikas trūkums būtu jāveido saskaņota programma, kuras mērķi ir pieejamība cenas ziņā un taisnīgums;</w:t>
      </w:r>
    </w:p>
    <w:p w14:paraId="0C010A9E" w14:textId="77777777"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Ar Eiropas demokrātijas vairogu un Pilsoniskās sabiedrības stratēģiju būtu jāstiprina pilsoniskā telpa, neatkarīgi mediji, tiesiskums, līdztiesība, sieviešu tiesības un aizsardzība pret </w:t>
      </w:r>
      <w:proofErr w:type="spellStart"/>
      <w:r>
        <w:t>dzimumbalstītu</w:t>
      </w:r>
      <w:proofErr w:type="spellEnd"/>
      <w:r>
        <w:t xml:space="preserve"> vardarbību.</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Kontaktpersona:</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proofErr w:type="spellStart"/>
            <w:r>
              <w:rPr>
                <w:i/>
              </w:rPr>
              <w:t>Maja</w:t>
            </w:r>
            <w:proofErr w:type="spellEnd"/>
            <w:r>
              <w:rPr>
                <w:i/>
              </w:rPr>
              <w:t xml:space="preserve"> </w:t>
            </w:r>
            <w:proofErr w:type="spellStart"/>
            <w:r>
              <w:rPr>
                <w:i/>
              </w:rPr>
              <w:t>Radman</w:t>
            </w:r>
            <w:proofErr w:type="spellEnd"/>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Tālr.:</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+32 25469051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E-pasts:</w:t>
            </w:r>
          </w:p>
        </w:tc>
        <w:tc>
          <w:tcPr>
            <w:tcW w:w="3923" w:type="pct"/>
          </w:tcPr>
          <w:p w14:paraId="7A48524F" w14:textId="77777777" w:rsidR="00560A7D" w:rsidRPr="00560A7D" w:rsidRDefault="00CB0220" w:rsidP="00560A7D">
            <w:pPr>
              <w:overflowPunct w:val="0"/>
              <w:autoSpaceDE w:val="0"/>
              <w:autoSpaceDN w:val="0"/>
              <w:adjustRightInd w:val="0"/>
              <w:textAlignment w:val="baseline"/>
              <w:rPr>
                <w:i/>
              </w:rPr>
            </w:pPr>
            <w:hyperlink r:id="rId21" w:history="1">
              <w:r w:rsidR="00FE6829">
                <w:rPr>
                  <w:i/>
                  <w:color w:val="0000FF"/>
                  <w:u w:val="single"/>
                </w:rPr>
                <w:t>Maja.Radman@eesc.europa.eu</w:t>
              </w:r>
            </w:hyperlink>
            <w:r w:rsidR="00FE6829">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11DFE5B3" w:rsidR="007B7FD5" w:rsidRPr="001A7530" w:rsidRDefault="00CB0220"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sidR="007B7FD5">
          <w:rPr>
            <w:b/>
            <w:i/>
            <w:color w:val="0000FF"/>
            <w:sz w:val="28"/>
            <w:u w:val="single"/>
          </w:rPr>
          <w:t>EESK ieteikumi par reformu un investīciju priekšlikumiem, kas formulēti 2025.–2026. gada Eiropas pusgada cikla ietvaros</w:t>
        </w:r>
      </w:hyperlink>
      <w:r w:rsidR="007B7FD5">
        <w:t>.</w:t>
      </w:r>
    </w:p>
    <w:p w14:paraId="528C8105" w14:textId="77777777" w:rsidR="001A7530" w:rsidRDefault="001A7530"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rPr>
              <w:t>Ziņotāji</w:t>
            </w:r>
          </w:p>
        </w:tc>
        <w:tc>
          <w:tcPr>
            <w:tcW w:w="3982" w:type="pct"/>
          </w:tcPr>
          <w:p w14:paraId="7D19C4E1" w14:textId="77777777" w:rsidR="007B7FD5" w:rsidRPr="00AD2F07" w:rsidRDefault="007B7FD5" w:rsidP="00AD2F07">
            <w:proofErr w:type="spellStart"/>
            <w:r>
              <w:t>Gonçalo</w:t>
            </w:r>
            <w:proofErr w:type="spellEnd"/>
            <w:r>
              <w:t> LOBO XAVIER (Darba devēju grupa - PT)</w:t>
            </w:r>
          </w:p>
          <w:p w14:paraId="60A2DC34" w14:textId="557BAFA2" w:rsidR="007B7FD5" w:rsidRPr="00AD2F07" w:rsidRDefault="007B7FD5" w:rsidP="00AD2F07">
            <w:proofErr w:type="spellStart"/>
            <w:r>
              <w:t>Andrea</w:t>
            </w:r>
            <w:proofErr w:type="spellEnd"/>
            <w:r>
              <w:t> MONE (Darba ņēmēju grupa- IT)</w:t>
            </w:r>
          </w:p>
          <w:p w14:paraId="78BDC49D" w14:textId="77777777" w:rsidR="007B7FD5" w:rsidRDefault="007B7FD5" w:rsidP="00AD2F07">
            <w:proofErr w:type="spellStart"/>
            <w:r>
              <w:t>Luca</w:t>
            </w:r>
            <w:proofErr w:type="spellEnd"/>
            <w:r>
              <w:t> JAHIER (Pilsoniskās sabiedrības organizāciju grupa – IT)</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Atsauces</w:t>
            </w:r>
          </w:p>
        </w:tc>
        <w:tc>
          <w:tcPr>
            <w:tcW w:w="3982"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Rezolūcija</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0A41D968" w14:textId="77777777" w:rsidR="00730BB9" w:rsidRPr="007B7FD5"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Galvenās nostādnes</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EESK:</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bookmarkStart w:id="3" w:name="_Toc233976377"/>
      <w:r>
        <w:t xml:space="preserve">aicina vienotā tirgus īstenošanu pilnībā integrēt Eiropas pusgadā un KVAI līdztekus politiskajai </w:t>
      </w:r>
      <w:proofErr w:type="spellStart"/>
      <w:r>
        <w:t>pārskatatbildībai</w:t>
      </w:r>
      <w:proofErr w:type="spellEnd"/>
      <w:r>
        <w:t xml:space="preserve"> par vienotā tirgus noteikumu izpildi;</w:t>
      </w:r>
      <w:bookmarkEnd w:id="1"/>
      <w:bookmarkEnd w:id="2"/>
      <w:bookmarkEnd w:id="3"/>
    </w:p>
    <w:p w14:paraId="7E538C9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4" w:name="_Toc232773759"/>
      <w:bookmarkStart w:id="5" w:name="_Toc232774239"/>
      <w:bookmarkStart w:id="6" w:name="_Toc233976378"/>
      <w:r>
        <w:t>stingri noraida represīvu makroekonomisko nosacījumu loģiku un iesaka izveidot pozitīvu stimulu struktūru, kurā Eiropas pusgada ietvaros tiktu konstatētas stratēģiskas vājās vietas un DFS sniegtu mērķorientētu atbalstu to novēršanai;</w:t>
      </w:r>
      <w:bookmarkEnd w:id="4"/>
      <w:bookmarkEnd w:id="5"/>
      <w:bookmarkEnd w:id="6"/>
    </w:p>
    <w:p w14:paraId="6644B51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7" w:name="_Toc232773760"/>
      <w:bookmarkStart w:id="8" w:name="_Toc232774240"/>
      <w:bookmarkStart w:id="9" w:name="_Toc233976379"/>
      <w:r>
        <w:t>atzīst aizvien lielāko aizsardzības noturības un gatavības nozīmi un aicina izveidot normatīvo vidi, kas nodrošina juridisko noteiktību un atbalstu investīciju mobilizēšanai ES koordinētās spējās;</w:t>
      </w:r>
      <w:bookmarkEnd w:id="7"/>
      <w:bookmarkEnd w:id="8"/>
      <w:bookmarkEnd w:id="9"/>
    </w:p>
    <w:p w14:paraId="74E37370"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0" w:name="_Toc232773761"/>
      <w:bookmarkStart w:id="11" w:name="_Toc232774241"/>
      <w:bookmarkStart w:id="12" w:name="_Toc233976380"/>
      <w:r>
        <w:t>uzsver, ka būtu jāizveido fiskālā telpa, lai sasniegtu ES kopīgos sociālos mērķus un it īpaši palīdzētu Eiropas Komisijas nesen izveidotajam Sociālo ieguldījumu zināšanu centram;</w:t>
      </w:r>
      <w:bookmarkEnd w:id="10"/>
      <w:bookmarkEnd w:id="11"/>
      <w:bookmarkEnd w:id="12"/>
    </w:p>
    <w:p w14:paraId="54D09236"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3" w:name="_Toc232773762"/>
      <w:bookmarkStart w:id="14" w:name="_Toc232774242"/>
      <w:bookmarkStart w:id="15" w:name="_Toc233976381"/>
      <w:r>
        <w:t>īpaši uzsver, ka KVAI bieži netiek pietiekami novērtēti sociālie jautājumi, un uzskata, ka valdības rīcība būs jānosaka par obligātu un jāpastiprina, lai aktivizētu nepieciešamo dinamiku valstu līmenī nolūkā paātrināt reformu izstrādi, īstenošanu un ieviešanu, kā arī to demokrātisku novērtēšanu;</w:t>
      </w:r>
      <w:bookmarkEnd w:id="13"/>
      <w:bookmarkEnd w:id="14"/>
      <w:bookmarkEnd w:id="15"/>
    </w:p>
    <w:p w14:paraId="60860BA4"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6" w:name="_Toc232773763"/>
      <w:bookmarkStart w:id="17" w:name="_Toc232774243"/>
      <w:bookmarkStart w:id="18" w:name="_Toc233976382"/>
      <w:r>
        <w:t xml:space="preserve">iesaka pastiprināt sociālo partneru un pilsoniskās sabiedrības organizāciju iesaisti (lai pakāpeniski pastiprinātu partnerības principu virzībā uz DFS pārvaldības un Eiropas pusgada konverģenci), pārveidojot šo iesaisti no </w:t>
      </w:r>
      <w:proofErr w:type="spellStart"/>
      <w:r>
        <w:t>kvaziprocedūras</w:t>
      </w:r>
      <w:proofErr w:type="spellEnd"/>
      <w:r>
        <w:t xml:space="preserve"> prasības par būtisku politikas panākumu atslēgu;</w:t>
      </w:r>
      <w:bookmarkEnd w:id="16"/>
      <w:bookmarkEnd w:id="17"/>
      <w:bookmarkEnd w:id="18"/>
    </w:p>
    <w:p w14:paraId="11796D3F" w14:textId="77777777" w:rsidR="007B7FD5" w:rsidRDefault="007B7FD5" w:rsidP="003C393D">
      <w:pPr>
        <w:numPr>
          <w:ilvl w:val="0"/>
          <w:numId w:val="21"/>
        </w:numPr>
        <w:overflowPunct w:val="0"/>
        <w:autoSpaceDE w:val="0"/>
        <w:autoSpaceDN w:val="0"/>
        <w:adjustRightInd w:val="0"/>
        <w:ind w:left="284" w:hanging="284"/>
        <w:textAlignment w:val="baseline"/>
        <w:outlineLvl w:val="1"/>
        <w:rPr>
          <w:szCs w:val="20"/>
        </w:rPr>
      </w:pPr>
      <w:bookmarkStart w:id="19" w:name="_Toc232773764"/>
      <w:bookmarkStart w:id="20" w:name="_Toc232774244"/>
      <w:bookmarkStart w:id="21" w:name="_Toc233976383"/>
      <w:r>
        <w:t>aicina Komisiju uzlabot Eiropas pusgadā ietverto informēšanas un apspriešanās procesu kvalitāti un termiņus. Tas nozīmē investēt pilsoniskā un sociālā dialoga spēju veidošanā, stiprināt apspriešanās procesu un uzlabot to grafiku, nodrošināt labāku piekļuvi pārredzamiem un salīdzināmiem datiem un izveidot Eiropas kodeksu, kurā būtu izklāstīts, kā rīkot apspriešanās Eiropas pusgada ietvaros un kā izstrādāt un īstenot valstu plānus saskaņā ar valstu praksi un sociālā dialoga sistēmām;</w:t>
      </w:r>
      <w:bookmarkEnd w:id="19"/>
      <w:bookmarkEnd w:id="20"/>
      <w:bookmarkEnd w:id="21"/>
    </w:p>
    <w:p w14:paraId="7A60B51E" w14:textId="77777777" w:rsidR="007B7FD5" w:rsidRPr="007B7FD5" w:rsidRDefault="007B7FD5" w:rsidP="00AD2F07">
      <w:pPr>
        <w:widowControl w:val="0"/>
        <w:numPr>
          <w:ilvl w:val="0"/>
          <w:numId w:val="21"/>
        </w:numPr>
        <w:overflowPunct w:val="0"/>
        <w:autoSpaceDE w:val="0"/>
        <w:autoSpaceDN w:val="0"/>
        <w:adjustRightInd w:val="0"/>
        <w:ind w:left="284" w:hanging="284"/>
        <w:textAlignment w:val="baseline"/>
        <w:rPr>
          <w:bCs/>
          <w:iCs/>
        </w:rPr>
      </w:pPr>
      <w:r>
        <w:t>aicina ieviest obligātu partnerības kvalitātes un ietekmes novērtējumu. Tajā būtu jāizvērtē, cik lielā mērā to ieguldījums ir palīdzējis izveidot galīgās darbības programmas. Līdztekus minētajiem pasākumiem ir pašos pamatos jāvienkāršo īstenošanas mehānismi, ko veic kopā ar vadošajām iestādēm, reģionālajām struktūrām, sociālajiem partneriem un pilsoniskās sabiedrības organizācijām, lai nodrošinātu, ka revīzijas un uzraudzības sistēmas ir samērīgas un atbilst dalītas pārvaldības principam, neradot pārmērīgu birokrātisku dublēšanos.</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226"/>
      </w:tblGrid>
      <w:tr w:rsidR="009A5F02" w:rsidRPr="007B7FD5" w14:paraId="58873A49" w14:textId="77777777" w:rsidTr="00B10645">
        <w:tc>
          <w:tcPr>
            <w:tcW w:w="1126"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Kontaktpersona:</w:t>
            </w:r>
          </w:p>
        </w:tc>
        <w:tc>
          <w:tcPr>
            <w:tcW w:w="3874" w:type="pct"/>
          </w:tcPr>
          <w:p w14:paraId="52DE2030" w14:textId="22F28BA0" w:rsidR="009A5F02" w:rsidRPr="00AD2F07" w:rsidRDefault="009A5F02">
            <w:pPr>
              <w:overflowPunct w:val="0"/>
              <w:autoSpaceDE w:val="0"/>
              <w:autoSpaceDN w:val="0"/>
              <w:adjustRightInd w:val="0"/>
              <w:spacing w:line="240" w:lineRule="auto"/>
              <w:textAlignment w:val="baseline"/>
              <w:rPr>
                <w:i/>
              </w:rPr>
            </w:pPr>
            <w:proofErr w:type="spellStart"/>
            <w:r>
              <w:rPr>
                <w:i/>
              </w:rPr>
              <w:t>Colombe</w:t>
            </w:r>
            <w:proofErr w:type="spellEnd"/>
            <w:r>
              <w:rPr>
                <w:i/>
              </w:rPr>
              <w:t xml:space="preserve"> </w:t>
            </w:r>
            <w:proofErr w:type="spellStart"/>
            <w:r>
              <w:rPr>
                <w:i/>
              </w:rPr>
              <w:t>Gregoire</w:t>
            </w:r>
            <w:proofErr w:type="spellEnd"/>
          </w:p>
        </w:tc>
      </w:tr>
      <w:tr w:rsidR="009A5F02" w:rsidRPr="007B7FD5" w14:paraId="502BE6F2" w14:textId="77777777" w:rsidTr="00B10645">
        <w:tc>
          <w:tcPr>
            <w:tcW w:w="1126"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Tālr.:</w:t>
            </w:r>
          </w:p>
        </w:tc>
        <w:tc>
          <w:tcPr>
            <w:tcW w:w="3874"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+32 25469286</w:t>
            </w:r>
          </w:p>
        </w:tc>
      </w:tr>
      <w:tr w:rsidR="009A5F02" w:rsidRPr="007B7FD5" w14:paraId="190B7D28" w14:textId="77777777" w:rsidTr="00B10645">
        <w:trPr>
          <w:trHeight w:val="60"/>
        </w:trPr>
        <w:tc>
          <w:tcPr>
            <w:tcW w:w="1126"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E-pasts:</w:t>
            </w:r>
          </w:p>
        </w:tc>
        <w:tc>
          <w:tcPr>
            <w:tcW w:w="3874" w:type="pct"/>
          </w:tcPr>
          <w:p w14:paraId="3B839D90" w14:textId="42AB4678" w:rsidR="009A5F02" w:rsidRPr="00AD2F07" w:rsidRDefault="00CB0220">
            <w:pPr>
              <w:overflowPunct w:val="0"/>
              <w:autoSpaceDE w:val="0"/>
              <w:autoSpaceDN w:val="0"/>
              <w:adjustRightInd w:val="0"/>
              <w:spacing w:line="240" w:lineRule="auto"/>
              <w:textAlignment w:val="baseline"/>
              <w:rPr>
                <w:i/>
                <w:iCs/>
              </w:rPr>
            </w:pPr>
            <w:hyperlink r:id="rId23" w:history="1">
              <w:r w:rsidR="009A5F02">
                <w:rPr>
                  <w:rStyle w:val="Hyperlink"/>
                  <w:i/>
                </w:rPr>
                <w:t>Colombe.Gregoire@eesc.europa.eu</w:t>
              </w:r>
            </w:hyperlink>
          </w:p>
        </w:tc>
      </w:tr>
    </w:tbl>
    <w:p w14:paraId="217B26C0" w14:textId="77777777" w:rsidR="00897DCF" w:rsidRDefault="00897DCF">
      <w:pPr>
        <w:spacing w:after="160" w:line="259" w:lineRule="auto"/>
        <w:jc w:val="left"/>
      </w:pPr>
      <w:r>
        <w:br w:type="page"/>
      </w:r>
    </w:p>
    <w:p w14:paraId="4982DD6D" w14:textId="5D23D477" w:rsidR="004D7AC0" w:rsidRDefault="004D7AC0" w:rsidP="001766B2">
      <w:pPr>
        <w:pStyle w:val="Heading1"/>
        <w:rPr>
          <w:b/>
        </w:rPr>
      </w:pPr>
      <w:bookmarkStart w:id="22" w:name="_Toc233976384"/>
      <w:r>
        <w:rPr>
          <w:b/>
        </w:rPr>
        <w:lastRenderedPageBreak/>
        <w:t>EKONOMIKAS UN MONETĀRĀ SAVIENĪBA, EKONOMISKĀ UN SOCIĀLĀ KOHĒZIJA</w:t>
      </w:r>
      <w:bookmarkEnd w:id="22"/>
    </w:p>
    <w:p w14:paraId="4982DD6E" w14:textId="77777777" w:rsidR="004D7AC0" w:rsidRDefault="004D7AC0" w:rsidP="001766B2"/>
    <w:p w14:paraId="1B60319F" w14:textId="0E280A39" w:rsidR="00385A54" w:rsidRPr="00AD2F07" w:rsidRDefault="00CB0220" w:rsidP="00385A54">
      <w:pPr>
        <w:widowControl w:val="0"/>
        <w:numPr>
          <w:ilvl w:val="0"/>
          <w:numId w:val="4"/>
        </w:numPr>
        <w:overflowPunct w:val="0"/>
        <w:autoSpaceDE w:val="0"/>
        <w:autoSpaceDN w:val="0"/>
        <w:adjustRightInd w:val="0"/>
        <w:spacing w:after="120"/>
        <w:ind w:hanging="567"/>
        <w:textAlignment w:val="baseline"/>
        <w:rPr>
          <w:b/>
          <w:i/>
          <w:iCs/>
          <w:sz w:val="28"/>
          <w:szCs w:val="28"/>
        </w:rPr>
      </w:pPr>
      <w:hyperlink r:id="rId24" w:history="1">
        <w:r w:rsidR="00FE6829">
          <w:rPr>
            <w:b/>
            <w:i/>
            <w:color w:val="0000FF"/>
            <w:sz w:val="28"/>
            <w:u w:val="single"/>
          </w:rPr>
          <w:t>Stratēģija austrumu pierobežas reģioniem</w:t>
        </w:r>
      </w:hyperlink>
    </w:p>
    <w:p w14:paraId="179CFF14" w14:textId="77777777" w:rsidR="00473921" w:rsidRPr="00385A54" w:rsidRDefault="00473921" w:rsidP="00AD2F07">
      <w:pPr>
        <w:widowControl w:val="0"/>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85A54" w:rsidRPr="00385A54" w14:paraId="079290D7" w14:textId="77777777" w:rsidTr="0033503A">
        <w:tc>
          <w:tcPr>
            <w:tcW w:w="1701"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Ziņotāja:</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r>
              <w:rPr>
                <w:b/>
              </w:rPr>
              <w:t>Līdzziņotājs</w:t>
            </w:r>
          </w:p>
        </w:tc>
        <w:tc>
          <w:tcPr>
            <w:tcW w:w="7621"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r>
              <w:t>Katrīna ZARIŅA (Darba devēju grupa – LV)</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proofErr w:type="spellStart"/>
            <w:r>
              <w:t>Ionuţ</w:t>
            </w:r>
            <w:proofErr w:type="spellEnd"/>
            <w:r>
              <w:t> SIBIAN (Pilsoniskās sabiedrības organizāciju grupa - RO)</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Atsauces</w:t>
            </w:r>
          </w:p>
        </w:tc>
        <w:tc>
          <w:tcPr>
            <w:tcW w:w="7621"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 xml:space="preserve">COM(2026) 82 </w:t>
            </w:r>
            <w:proofErr w:type="spellStart"/>
            <w:r>
              <w:t>final</w:t>
            </w:r>
            <w:proofErr w:type="spellEnd"/>
          </w:p>
          <w:p w14:paraId="172DC3FB" w14:textId="357D1189" w:rsidR="00385A54" w:rsidRDefault="00385A54" w:rsidP="00385A54">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385A54">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Galvenās nostādnes</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EESK:</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6D88270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atzinīgi vērtē Komisijas paziņojumu un piekrīt, ka austrumu pierobežas reģioni ir stratēģiska prioritāte ES drošībai, kohēzijai un ilgtermiņa noturībai. Tie ir Eiropas robeža, nevis valstu perifērija, un to stabilitāte ir vitāli svarīga ES vērtībām, labklājībai un teritoriālajai integritātei. Komiteja aicina nodrošināt mērķorientētu un visaptverošu Eiropas Savienības reakciju, kas atspoguļotu specifisko drošības, ekonomisko un demogrāfisko spiedienu uz austrumu pierobežas reģioniem, kuru nevar novērst tikai ar standarta politikas instrumentiem vien; </w:t>
      </w:r>
    </w:p>
    <w:p w14:paraId="1B4D6B5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uzsver, ka pastāvīgie </w:t>
      </w:r>
      <w:proofErr w:type="spellStart"/>
      <w:r>
        <w:t>hibrīddraudi</w:t>
      </w:r>
      <w:proofErr w:type="spellEnd"/>
      <w:r>
        <w:t xml:space="preserve">, kiberuzbrukumi, infrastruktūras sabotāža, migrācijas izmantošana par ieroci un dezinformācija prasa koordinētu ES līmeņa reakciju, kas balstīta uz </w:t>
      </w:r>
      <w:proofErr w:type="spellStart"/>
      <w:r>
        <w:t>teritorialitātes</w:t>
      </w:r>
      <w:proofErr w:type="spellEnd"/>
      <w:r>
        <w:t xml:space="preserve"> principu. Komiteja atbalsta Austrumu flanga sardzi, Eiropas dronu aizsardzības iniciatīvu un spēcīgāku </w:t>
      </w:r>
      <w:proofErr w:type="spellStart"/>
      <w:r>
        <w:t>krīžsagatavotību</w:t>
      </w:r>
      <w:proofErr w:type="spellEnd"/>
      <w:r>
        <w:t>;</w:t>
      </w:r>
    </w:p>
    <w:p w14:paraId="041BCCF0"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ir dziļi nobažījusies par daudzu austrumu pierobežas reģionu straujo demogrāfisko lejupslīdi, proti, daži no tiem pēdējo desmit gadu laikā ir zaudējuši vairāk nekā 17 % iedzīvotāju. Tas apdraud darba tirgu, publiskās finanses, pamatpakalpojumus un ilgtermiņa teritoriālo kohēziju. Komiteja aicina veikt </w:t>
      </w:r>
      <w:proofErr w:type="spellStart"/>
      <w:r>
        <w:t>mērķorientētus</w:t>
      </w:r>
      <w:proofErr w:type="spellEnd"/>
      <w:r>
        <w:t xml:space="preserve"> demogrāfiskās </w:t>
      </w:r>
      <w:proofErr w:type="spellStart"/>
      <w:r>
        <w:t>revitalizācijas</w:t>
      </w:r>
      <w:proofErr w:type="spellEnd"/>
      <w:r>
        <w:t xml:space="preserve"> pasākumus, tostarp nodrošināt jauniešu noturēšanas stimulus, kvalitatīvas darbvietas, prasmju pilnveidi un labākus dzīves apstākļus;</w:t>
      </w:r>
    </w:p>
    <w:p w14:paraId="3991CEFB"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norāda, ka Krievijas agresijas karš un </w:t>
      </w:r>
      <w:proofErr w:type="spellStart"/>
      <w:r>
        <w:t>hibrīddraudi</w:t>
      </w:r>
      <w:proofErr w:type="spellEnd"/>
      <w:r>
        <w:t xml:space="preserve"> ir nesamērīgi smagi ietekmējuši austrumu pierobežas reģionus, izraisot lēnāku IKP pieaugumu, augstāku inflāciju, tirdzniecības traucējumus un mazākas investīcijas. Komiteja pauž bažas par to, ka ierosinātā pieeja galvenokārt balstās uz esošo resursu pārdali. Komiteja aicina sniegt īpašu papildu ES finansiālo atbalstu, tostarp pietiekamus piešķīrumus 2028.–2034. gada daudzgadu finanšu shēmas (DFS) ietvaros, ar skaidriem īstenošanas mehānismiem, tostarp konsolidētu partnerības principu, lai nodrošinātu rezultātus uz vietas;</w:t>
      </w:r>
    </w:p>
    <w:p w14:paraId="29BE4B13"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ierosina attiecībā uz ES austrumu pierobežas reģioniem Eiropas Konkurētspējas fonda ietvaros paredzēt īpašus programmas uzaicinājumus. Ar šādiem uzaicinājumiem vajadzētu pievērsties strukturāliem nelabvēlīgiem apstākļiem, atbalstīt vietējās uzņēmējdarbības ekosistēmas un stiprināt konkurētspēju un noturību reģionos, kuri saskaras ar demogrāfisko un drošības spiedienu. Komiteja iesaka arī veikt ES garantiju un riska dalīšanas pasākumus;</w:t>
      </w:r>
    </w:p>
    <w:p w14:paraId="0452F43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lastRenderedPageBreak/>
        <w:t xml:space="preserve">uzsver, ka galvenie problemātiskie jautājumi joprojām ir transports, enerģētika un digitālā </w:t>
      </w:r>
      <w:proofErr w:type="spellStart"/>
      <w:r>
        <w:t>savienotība</w:t>
      </w:r>
      <w:proofErr w:type="spellEnd"/>
      <w:r>
        <w:t xml:space="preserve">. Komiteja atbalsta ātrāku </w:t>
      </w:r>
      <w:r>
        <w:rPr>
          <w:i/>
          <w:iCs/>
        </w:rPr>
        <w:t>TEN-T</w:t>
      </w:r>
      <w:r>
        <w:t xml:space="preserve"> attīstību, divējāda lietojuma infrastruktūru, labākus pārrobežu savienojumus ar Ukrainu un Moldovu un noturīgus digitālos tīklus. Tā arī aicina tādu instrumentu ietvaros kā EISI un militārās mobilitātes finansējums īstenot divējāda lietojuma infrastruktūru un rūpnieciskos projektus, nodrošinot, ka investīcijas aizsardzībā un drošībā rada arī ieguvumus vietējai ekonomikai un darbvietas, kā arī veicina MVU līdzdalību;</w:t>
      </w:r>
    </w:p>
    <w:p w14:paraId="7D6FB36D"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atzinīgi vērtē koncentrēšanos uz cilvēkiem un kopienām un uzsver, ka drošība un noturība ir atkarīgas no spēcīgām sociālajām sistēmām, piekļūstamas veselības aprūpes, kvalitatīvas izglītības un efektīvas vietējās pārvaldības. Komiteja aicina ieviest spēcīgākus konkrētai vietai pielāgotus sociālā un pilsoniskā dialoga mehānismus un līdzdalības pieejas;</w:t>
      </w:r>
    </w:p>
    <w:p w14:paraId="4143477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uzskata, ka viens no austrumu pierobežas reģionu attīstības un noturības </w:t>
      </w:r>
      <w:proofErr w:type="spellStart"/>
      <w:r>
        <w:t>pamatpīlāriem</w:t>
      </w:r>
      <w:proofErr w:type="spellEnd"/>
      <w:r>
        <w:t xml:space="preserve"> ir administratīvās un institucionālās spējas veidošana;</w:t>
      </w:r>
    </w:p>
    <w:p w14:paraId="4D18BB27"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atbalsta ciešāku drošības, noturības un ekonomikas attīstības pasākumu integrāciju un vienlaikus uzsver, ka investīcijas </w:t>
      </w:r>
      <w:proofErr w:type="spellStart"/>
      <w:r>
        <w:t>savienotībā</w:t>
      </w:r>
      <w:proofErr w:type="spellEnd"/>
      <w:r>
        <w:t>, inovācijā un vietējās priekšrocībās ir ilgtspējīgas izaugsmes virzītājspēks. Ir vajadzīgs līdzsvars starp drošības un kohēzijas prioritātēm;</w:t>
      </w:r>
    </w:p>
    <w:p w14:paraId="48D09FBC"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uzsver, ka ir svarīgi pārskatīt valsts atbalsta regulējumu, lai austrumu pierobežas reģionos nodrošinātu lielāku elastību, ļaujot dalībvalstīm efektīvāk novērst investīciju nepietiekamību un tirgus nepilnības;</w:t>
      </w:r>
    </w:p>
    <w:p w14:paraId="068CBD9A"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atbalsta ikgadēju augsta līmeņa politisko dialogu un mudina Komisiju izstrādāt austrumu pierobežas reģioniem paredzētu ilgtermiņa stratēģisko satvaru, kas sniegtos tālāk par pašreizējo DFS, iekļaujot pilsonisko sabiedrību. Ar šādu satvaru austrumu pierobežas reģioni būtu jāatzīst par konkrētu transnacionālas teritorijas veidu saskaņā ar Teritoriālās attīstības programmu 2030. gadam. Komisijai kohēzijas ziņojumā būtu jāiekļauj nodaļa par austrumu pierobežas reģioniem.</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7727"/>
      </w:tblGrid>
      <w:tr w:rsidR="00385A54" w:rsidRPr="00385A54" w14:paraId="1F500A73" w14:textId="77777777" w:rsidTr="0033503A">
        <w:tc>
          <w:tcPr>
            <w:tcW w:w="1418" w:type="dxa"/>
          </w:tcPr>
          <w:p w14:paraId="549E9D31" w14:textId="77777777" w:rsidR="00385A54" w:rsidRPr="00385A54" w:rsidRDefault="00385A54" w:rsidP="00385A54">
            <w:pPr>
              <w:overflowPunct w:val="0"/>
              <w:autoSpaceDE w:val="0"/>
              <w:autoSpaceDN w:val="0"/>
              <w:adjustRightInd w:val="0"/>
              <w:textAlignment w:val="baseline"/>
              <w:rPr>
                <w:i/>
              </w:rPr>
            </w:pPr>
            <w:r>
              <w:rPr>
                <w:b/>
                <w:i/>
              </w:rPr>
              <w:t>Kontaktpersona:</w:t>
            </w:r>
          </w:p>
        </w:tc>
        <w:tc>
          <w:tcPr>
            <w:tcW w:w="7904" w:type="dxa"/>
          </w:tcPr>
          <w:p w14:paraId="6401420E" w14:textId="0F1EA9A6" w:rsidR="00385A54" w:rsidRPr="00385A54" w:rsidRDefault="00385A54" w:rsidP="00385A54">
            <w:pPr>
              <w:overflowPunct w:val="0"/>
              <w:autoSpaceDE w:val="0"/>
              <w:autoSpaceDN w:val="0"/>
              <w:adjustRightInd w:val="0"/>
              <w:textAlignment w:val="baseline"/>
              <w:rPr>
                <w:i/>
              </w:rPr>
            </w:pPr>
            <w:proofErr w:type="spellStart"/>
            <w:r>
              <w:rPr>
                <w:i/>
                <w:iCs/>
              </w:rPr>
              <w:t>Georgios</w:t>
            </w:r>
            <w:proofErr w:type="spellEnd"/>
            <w:r>
              <w:rPr>
                <w:i/>
                <w:iCs/>
              </w:rPr>
              <w:t xml:space="preserve"> </w:t>
            </w:r>
            <w:proofErr w:type="spellStart"/>
            <w:r>
              <w:rPr>
                <w:i/>
                <w:iCs/>
              </w:rPr>
              <w:t>Meleas</w:t>
            </w:r>
            <w:proofErr w:type="spellEnd"/>
          </w:p>
        </w:tc>
      </w:tr>
      <w:tr w:rsidR="00385A54" w:rsidRPr="00385A54" w14:paraId="5AA0741E" w14:textId="77777777" w:rsidTr="0033503A">
        <w:tc>
          <w:tcPr>
            <w:tcW w:w="1418" w:type="dxa"/>
          </w:tcPr>
          <w:p w14:paraId="5CAD9ED0" w14:textId="77777777" w:rsidR="00385A54" w:rsidRPr="00385A54" w:rsidRDefault="00385A54" w:rsidP="00385A54">
            <w:pPr>
              <w:overflowPunct w:val="0"/>
              <w:autoSpaceDE w:val="0"/>
              <w:autoSpaceDN w:val="0"/>
              <w:adjustRightInd w:val="0"/>
              <w:textAlignment w:val="baseline"/>
              <w:rPr>
                <w:i/>
              </w:rPr>
            </w:pPr>
            <w:r>
              <w:rPr>
                <w:i/>
              </w:rPr>
              <w:t>Tālr.:</w:t>
            </w:r>
          </w:p>
        </w:tc>
        <w:tc>
          <w:tcPr>
            <w:tcW w:w="7904" w:type="dxa"/>
          </w:tcPr>
          <w:p w14:paraId="0BB284E1" w14:textId="77777777" w:rsidR="00385A54" w:rsidRPr="00385A54" w:rsidRDefault="00385A54" w:rsidP="00385A54">
            <w:pPr>
              <w:overflowPunct w:val="0"/>
              <w:autoSpaceDE w:val="0"/>
              <w:autoSpaceDN w:val="0"/>
              <w:adjustRightInd w:val="0"/>
              <w:textAlignment w:val="baseline"/>
              <w:rPr>
                <w:i/>
              </w:rPr>
            </w:pPr>
            <w:r>
              <w:rPr>
                <w:i/>
              </w:rPr>
              <w:t>+32 25469795</w:t>
            </w:r>
          </w:p>
        </w:tc>
      </w:tr>
      <w:tr w:rsidR="00385A54" w:rsidRPr="00385A54" w14:paraId="0C327840" w14:textId="77777777" w:rsidTr="0033503A">
        <w:tc>
          <w:tcPr>
            <w:tcW w:w="1418" w:type="dxa"/>
          </w:tcPr>
          <w:p w14:paraId="58938E92" w14:textId="77777777" w:rsidR="00385A54" w:rsidRPr="00385A54" w:rsidRDefault="00385A54" w:rsidP="00385A54">
            <w:pPr>
              <w:overflowPunct w:val="0"/>
              <w:autoSpaceDE w:val="0"/>
              <w:autoSpaceDN w:val="0"/>
              <w:adjustRightInd w:val="0"/>
              <w:textAlignment w:val="baseline"/>
              <w:rPr>
                <w:i/>
              </w:rPr>
            </w:pPr>
            <w:r>
              <w:rPr>
                <w:i/>
              </w:rPr>
              <w:t>E-pasts:</w:t>
            </w:r>
          </w:p>
        </w:tc>
        <w:tc>
          <w:tcPr>
            <w:tcW w:w="7904" w:type="dxa"/>
          </w:tcPr>
          <w:p w14:paraId="2FD1518E" w14:textId="77777777" w:rsidR="00385A54" w:rsidRPr="00385A54" w:rsidRDefault="00CB0220" w:rsidP="00385A54">
            <w:pPr>
              <w:overflowPunct w:val="0"/>
              <w:autoSpaceDE w:val="0"/>
              <w:autoSpaceDN w:val="0"/>
              <w:adjustRightInd w:val="0"/>
              <w:textAlignment w:val="baseline"/>
              <w:rPr>
                <w:i/>
                <w:iCs/>
              </w:rPr>
            </w:pPr>
            <w:hyperlink r:id="rId25" w:history="1">
              <w:r w:rsidR="00FE6829">
                <w:rPr>
                  <w:i/>
                  <w:color w:val="0000FF"/>
                  <w:u w:val="single"/>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0C1E58E9" w14:textId="6BC63EA2" w:rsidR="004E4AF0" w:rsidRPr="004E4AF0" w:rsidRDefault="004D7AC0" w:rsidP="004E4AF0">
      <w:pPr>
        <w:pStyle w:val="ListParagraph"/>
        <w:widowControl w:val="0"/>
        <w:numPr>
          <w:ilvl w:val="0"/>
          <w:numId w:val="5"/>
        </w:numPr>
        <w:spacing w:after="120" w:line="276" w:lineRule="auto"/>
        <w:ind w:left="567" w:hanging="567"/>
        <w:rPr>
          <w:rFonts w:ascii="Calibri" w:hAnsi="Calibri"/>
        </w:rPr>
      </w:pPr>
      <w:r>
        <w:br w:type="page"/>
      </w:r>
      <w:hyperlink r:id="rId26" w:history="1">
        <w:r>
          <w:rPr>
            <w:b/>
            <w:i/>
            <w:color w:val="0000FF"/>
            <w:sz w:val="28"/>
            <w:u w:val="single"/>
          </w:rPr>
          <w:t>ES dalībvalstu organizētas pilsoniskās sabiedrības viedoklis par valstu reformu un investīciju priekšlikumiem un to īstenošanu (2025.–2026. gada Eiropas pusgada cikls)</w:t>
        </w:r>
      </w:hyperlink>
    </w:p>
    <w:p w14:paraId="0345A9FB" w14:textId="77777777" w:rsidR="004E4AF0" w:rsidRPr="004E4AF0" w:rsidRDefault="004E4AF0" w:rsidP="004E4AF0">
      <w:pPr>
        <w:widowControl w:val="0"/>
        <w:spacing w:line="276" w:lineRule="auto"/>
        <w:ind w:left="357"/>
        <w:contextualSpacing/>
        <w:jc w:val="left"/>
        <w:rPr>
          <w:bCs/>
          <w:iCs/>
          <w:sz w:val="16"/>
          <w:szCs w:val="16"/>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Ziņotāji:</w:t>
            </w:r>
          </w:p>
        </w:tc>
        <w:tc>
          <w:tcPr>
            <w:tcW w:w="3982" w:type="pct"/>
          </w:tcPr>
          <w:p w14:paraId="0A50EB3F" w14:textId="77777777" w:rsidR="004E4AF0" w:rsidRPr="004E4AF0" w:rsidRDefault="004E4AF0" w:rsidP="004E4AF0">
            <w:pPr>
              <w:tabs>
                <w:tab w:val="center" w:pos="284"/>
                <w:tab w:val="left" w:pos="3731"/>
              </w:tabs>
              <w:overflowPunct w:val="0"/>
              <w:autoSpaceDE w:val="0"/>
              <w:autoSpaceDN w:val="0"/>
              <w:adjustRightInd w:val="0"/>
              <w:ind w:left="266" w:hanging="266"/>
              <w:textAlignment w:val="baseline"/>
              <w:rPr>
                <w:b/>
                <w:bCs/>
              </w:rPr>
            </w:pPr>
            <w:proofErr w:type="spellStart"/>
            <w:r>
              <w:t>Gonçalo</w:t>
            </w:r>
            <w:proofErr w:type="spellEnd"/>
            <w:r>
              <w:t> LOBO XAVIER (Darba devēju grupa – PT)</w:t>
            </w:r>
          </w:p>
          <w:p w14:paraId="5D5D7EF1" w14:textId="2F5DD06D" w:rsidR="004E4AF0" w:rsidRPr="004E4AF0" w:rsidRDefault="004E4AF0" w:rsidP="004E4AF0">
            <w:pPr>
              <w:tabs>
                <w:tab w:val="center" w:pos="284"/>
              </w:tabs>
              <w:overflowPunct w:val="0"/>
              <w:autoSpaceDE w:val="0"/>
              <w:autoSpaceDN w:val="0"/>
              <w:adjustRightInd w:val="0"/>
              <w:ind w:left="266" w:hanging="266"/>
              <w:textAlignment w:val="baseline"/>
              <w:rPr>
                <w:b/>
                <w:bCs/>
              </w:rPr>
            </w:pPr>
            <w:proofErr w:type="spellStart"/>
            <w:r>
              <w:t>Andrea</w:t>
            </w:r>
            <w:proofErr w:type="spellEnd"/>
            <w:r>
              <w:t> MONE (Darba ņēmēju grupa – IT)</w:t>
            </w:r>
          </w:p>
          <w:p w14:paraId="5F1572BA" w14:textId="77777777" w:rsidR="004E4AF0" w:rsidRDefault="004E4AF0" w:rsidP="004E4AF0">
            <w:pPr>
              <w:tabs>
                <w:tab w:val="center" w:pos="284"/>
              </w:tabs>
              <w:overflowPunct w:val="0"/>
              <w:autoSpaceDE w:val="0"/>
              <w:autoSpaceDN w:val="0"/>
              <w:adjustRightInd w:val="0"/>
              <w:ind w:left="266" w:hanging="266"/>
              <w:textAlignment w:val="baseline"/>
              <w:rPr>
                <w:bCs/>
              </w:rPr>
            </w:pPr>
            <w:proofErr w:type="spellStart"/>
            <w:r>
              <w:t>Luca</w:t>
            </w:r>
            <w:proofErr w:type="spellEnd"/>
            <w:r>
              <w:t> JAHIER (Pilsoniskās sabiedrības organizāciju grupa - IT)</w:t>
            </w:r>
          </w:p>
          <w:p w14:paraId="66DBC016" w14:textId="77777777" w:rsidR="00B71B98" w:rsidRPr="004E4AF0" w:rsidRDefault="00B71B98" w:rsidP="004E4AF0">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Atsauces</w:t>
            </w:r>
          </w:p>
        </w:tc>
        <w:tc>
          <w:tcPr>
            <w:tcW w:w="3982" w:type="pct"/>
          </w:tcPr>
          <w:p w14:paraId="349365A9" w14:textId="77777777" w:rsidR="00B45ECE" w:rsidRDefault="004E4AF0" w:rsidP="004E4AF0">
            <w:pPr>
              <w:tabs>
                <w:tab w:val="center" w:pos="284"/>
              </w:tabs>
              <w:overflowPunct w:val="0"/>
              <w:autoSpaceDE w:val="0"/>
              <w:autoSpaceDN w:val="0"/>
              <w:adjustRightInd w:val="0"/>
              <w:ind w:left="266" w:hanging="266"/>
              <w:textAlignment w:val="baseline"/>
            </w:pPr>
            <w:r>
              <w:t xml:space="preserve">Informatīvs ziņojums </w:t>
            </w:r>
          </w:p>
          <w:p w14:paraId="449555DA" w14:textId="435F2821" w:rsidR="004E4AF0" w:rsidRPr="004E4AF0" w:rsidRDefault="004E4AF0" w:rsidP="004E4AF0">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4E4AF0">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4E4AF0">
      <w:pPr>
        <w:keepNext/>
        <w:keepLines/>
        <w:tabs>
          <w:tab w:val="center" w:pos="284"/>
        </w:tabs>
        <w:overflowPunct w:val="0"/>
        <w:autoSpaceDE w:val="0"/>
        <w:autoSpaceDN w:val="0"/>
        <w:adjustRightInd w:val="0"/>
        <w:ind w:left="266" w:hanging="266"/>
        <w:textAlignment w:val="baseline"/>
        <w:rPr>
          <w:b/>
        </w:rPr>
      </w:pPr>
      <w:r>
        <w:rPr>
          <w:b/>
        </w:rPr>
        <w:t>Galvenās nostādnes</w:t>
      </w:r>
    </w:p>
    <w:p w14:paraId="70193197" w14:textId="77777777" w:rsidR="008577D0" w:rsidRPr="004E4AF0"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7055CF" w:rsidRDefault="004E4AF0" w:rsidP="00AD2F07">
      <w:pPr>
        <w:widowControl w:val="0"/>
        <w:numPr>
          <w:ilvl w:val="0"/>
          <w:numId w:val="22"/>
        </w:numPr>
        <w:overflowPunct w:val="0"/>
        <w:autoSpaceDE w:val="0"/>
        <w:autoSpaceDN w:val="0"/>
        <w:adjustRightInd w:val="0"/>
        <w:ind w:left="284" w:hanging="284"/>
        <w:textAlignment w:val="baseline"/>
        <w:rPr>
          <w:bCs/>
          <w:iCs/>
        </w:rPr>
      </w:pPr>
      <w:r w:rsidRPr="007055CF">
        <w:rPr>
          <w:szCs w:val="24"/>
        </w:rPr>
        <w:t>Visās dalībvalstīs konkrētām valstīm adresētie ieteikumi ir plaši atzīti un tiek vērtēti kā kopumā pamatoti un atbilstoši svarīgākajām valsts ekonomiskajām un strukturālajām problēmām. Tomēr vienlaikus pastāvīgi tiek ziņots par nepilnībām attiecībā uz šo ieteikumu pārvēršanu konkrētos politikas pasākumos no valstu valdību puses, kā arī sociālo partneru un pilsoniskās sabiedrības iesaisti. Turklāt ieinteresētās personas bieži norāda uz politikas prioritāšu nelīdzsvarotību: sociālie aspekti, tajā skaitā darba tirgus apstākļi, atalgojums un nevienlīdzība, bieži tiek uzskatīti par nepietiekami iekļautiem dažādās politikas sistēmās. Šī nelīdzsvarotība tiek uzskatīta par plašāka strukturāla demokrātijas deficīta cēloni Eiropas pusgada ietvaros, un tas var apdraudēt gan ES politikas koordinācijas leģitimitāti, gan efektivitāti;</w:t>
      </w:r>
    </w:p>
    <w:p w14:paraId="66DD9109" w14:textId="3D11BDF0" w:rsidR="004E4AF0" w:rsidRPr="007055CF" w:rsidRDefault="004E4AF0" w:rsidP="00AD2F07">
      <w:pPr>
        <w:widowControl w:val="0"/>
        <w:numPr>
          <w:ilvl w:val="0"/>
          <w:numId w:val="22"/>
        </w:numPr>
        <w:overflowPunct w:val="0"/>
        <w:autoSpaceDE w:val="0"/>
        <w:autoSpaceDN w:val="0"/>
        <w:adjustRightInd w:val="0"/>
        <w:ind w:left="284" w:hanging="284"/>
        <w:textAlignment w:val="baseline"/>
        <w:rPr>
          <w:bCs/>
          <w:iCs/>
        </w:rPr>
      </w:pPr>
      <w:r w:rsidRPr="007055CF">
        <w:rPr>
          <w:szCs w:val="24"/>
        </w:rPr>
        <w:t>Attiecībā uz ANM īstenošanu daudzas ieinteresētās personas norāda uz neatbilstībām starp politikas izstrādi un faktisko izpildi, turklāt īstenošanu raksturo kā nevienmērīgu, daļēju vai apgrūtinātu ar administratīviem un institucionāliem ierobežojumiem;</w:t>
      </w:r>
    </w:p>
    <w:p w14:paraId="5D11EF9E" w14:textId="77777777" w:rsidR="004E4AF0" w:rsidRPr="007055CF" w:rsidRDefault="004E4AF0" w:rsidP="00AD2F07">
      <w:pPr>
        <w:widowControl w:val="0"/>
        <w:numPr>
          <w:ilvl w:val="0"/>
          <w:numId w:val="22"/>
        </w:numPr>
        <w:overflowPunct w:val="0"/>
        <w:autoSpaceDE w:val="0"/>
        <w:autoSpaceDN w:val="0"/>
        <w:adjustRightInd w:val="0"/>
        <w:ind w:left="284" w:hanging="284"/>
        <w:textAlignment w:val="baseline"/>
      </w:pPr>
      <w:r w:rsidRPr="007055CF">
        <w:rPr>
          <w:szCs w:val="24"/>
        </w:rPr>
        <w:t xml:space="preserve">Ieinteresētās personas ir uzskaitījušas ierobežotos resursus, smago administratīvo slogu un sadrumstalotus procesus, kas raksturīgi valsts vidēja termiņa fiskālā un strukturālā plāna un gada progresa ziņojuma īstenošanas uzraudzībā. Tas ietekmē gan reformu īstenošanu, gan spēju efektīvi sekot līdzi progresam. Šos ierobežojumus bieži vien pastiprina nepietiekama </w:t>
      </w:r>
      <w:proofErr w:type="spellStart"/>
      <w:r w:rsidRPr="007055CF">
        <w:rPr>
          <w:szCs w:val="24"/>
        </w:rPr>
        <w:t>pārredzamība</w:t>
      </w:r>
      <w:proofErr w:type="spellEnd"/>
      <w:r w:rsidRPr="007055CF">
        <w:rPr>
          <w:szCs w:val="24"/>
        </w:rPr>
        <w:t xml:space="preserve"> un ierobežota savlaicīgu un izmantojamu datu pieejamība;</w:t>
      </w:r>
    </w:p>
    <w:p w14:paraId="14226914" w14:textId="77777777" w:rsidR="004E4AF0" w:rsidRPr="007055CF" w:rsidRDefault="004E4AF0" w:rsidP="00AD2F07">
      <w:pPr>
        <w:widowControl w:val="0"/>
        <w:numPr>
          <w:ilvl w:val="0"/>
          <w:numId w:val="22"/>
        </w:numPr>
        <w:overflowPunct w:val="0"/>
        <w:autoSpaceDE w:val="0"/>
        <w:autoSpaceDN w:val="0"/>
        <w:adjustRightInd w:val="0"/>
        <w:ind w:left="284" w:hanging="284"/>
        <w:textAlignment w:val="baseline"/>
        <w:rPr>
          <w:bCs/>
          <w:iCs/>
        </w:rPr>
      </w:pPr>
      <w:r w:rsidRPr="007055CF">
        <w:rPr>
          <w:szCs w:val="24"/>
        </w:rPr>
        <w:t>Lai gan lielākajā daļā dalībvalstu pastāv oficiāli apspriešanās mehānismi, sociālo partneru un pilsoniskās sabiedrības organizāciju līdzdalība Eiropas pusgadā un ar to saistītajos ES instrumentos lielākoties ir raksturota kā pēc būtības neapmierinoša. Bieži vien tā notiek pārāk novēloti procesā vai arī vāji ietekmē galīgos politikas lēmumus. Tā rezultātā rodas iespaids, ka iesaiste joprojām lielā mērā ir drīzāk formāla, nevis tāda, kurai ir ietekme;</w:t>
      </w:r>
    </w:p>
    <w:p w14:paraId="0725CE3B"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sidRPr="007055CF">
        <w:rPr>
          <w:szCs w:val="24"/>
        </w:rPr>
        <w:t>Lai gan ciešāka saskaņotība starp ES instrumentiem, it īpaši Eiropas pusgadu un nākamo DFS, un valstu politikām tiek atzīta par potenciālu veidu, kā uzlabot saskanību un efektivitāti, ieinteresētās personas vairākās dalībvalstīs pauž bažas par tās sekām. Tās ietver iespējamo ietekmi uz valstu autonomiju, riskus demokrātiskajai uzraudzībai un iespējamu nelīdzsvarotību lēmumu pieņemšanas procesos, īpaši tad, ja pārvaldība kļūst centralizētāka vai tiek pastiprināta nosacījumu sistēma.</w:t>
      </w:r>
    </w:p>
    <w:p w14:paraId="33188707" w14:textId="77777777" w:rsidR="00B71B98" w:rsidRPr="004E4AF0" w:rsidRDefault="00B71B98" w:rsidP="004E4AF0">
      <w:pPr>
        <w:widowControl w:val="0"/>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4E4AF0">
            <w:pPr>
              <w:overflowPunct w:val="0"/>
              <w:autoSpaceDE w:val="0"/>
              <w:autoSpaceDN w:val="0"/>
              <w:adjustRightInd w:val="0"/>
              <w:spacing w:line="240" w:lineRule="auto"/>
              <w:textAlignment w:val="baseline"/>
              <w:rPr>
                <w:i/>
              </w:rPr>
            </w:pPr>
            <w:r>
              <w:rPr>
                <w:b/>
                <w:i/>
              </w:rPr>
              <w:t>Kontaktpersona:</w:t>
            </w:r>
          </w:p>
        </w:tc>
        <w:tc>
          <w:tcPr>
            <w:tcW w:w="3893" w:type="pct"/>
          </w:tcPr>
          <w:p w14:paraId="21351890" w14:textId="585E60C8" w:rsidR="004E4AF0" w:rsidRPr="004E4AF0" w:rsidRDefault="004E4AF0" w:rsidP="004E4AF0">
            <w:pPr>
              <w:overflowPunct w:val="0"/>
              <w:autoSpaceDE w:val="0"/>
              <w:autoSpaceDN w:val="0"/>
              <w:adjustRightInd w:val="0"/>
              <w:spacing w:line="240" w:lineRule="auto"/>
              <w:textAlignment w:val="baseline"/>
              <w:rPr>
                <w:i/>
              </w:rPr>
            </w:pPr>
            <w:proofErr w:type="spellStart"/>
            <w:r>
              <w:rPr>
                <w:i/>
              </w:rPr>
              <w:t>Colombe</w:t>
            </w:r>
            <w:proofErr w:type="spellEnd"/>
            <w:r>
              <w:rPr>
                <w:i/>
              </w:rPr>
              <w:t xml:space="preserve"> </w:t>
            </w:r>
            <w:proofErr w:type="spellStart"/>
            <w:r>
              <w:rPr>
                <w:i/>
              </w:rPr>
              <w:t>Gregoire</w:t>
            </w:r>
            <w:proofErr w:type="spellEnd"/>
          </w:p>
        </w:tc>
      </w:tr>
      <w:tr w:rsidR="004E4AF0" w:rsidRPr="004E4AF0" w14:paraId="2DD7B8C2" w14:textId="77777777" w:rsidTr="0033503A">
        <w:tc>
          <w:tcPr>
            <w:tcW w:w="1107" w:type="pct"/>
          </w:tcPr>
          <w:p w14:paraId="3C3D06C9" w14:textId="77777777" w:rsidR="004E4AF0" w:rsidRPr="004E4AF0" w:rsidRDefault="004E4AF0" w:rsidP="004E4AF0">
            <w:pPr>
              <w:overflowPunct w:val="0"/>
              <w:autoSpaceDE w:val="0"/>
              <w:autoSpaceDN w:val="0"/>
              <w:adjustRightInd w:val="0"/>
              <w:spacing w:line="240" w:lineRule="auto"/>
              <w:textAlignment w:val="baseline"/>
              <w:rPr>
                <w:i/>
              </w:rPr>
            </w:pPr>
            <w:r>
              <w:rPr>
                <w:i/>
              </w:rPr>
              <w:t>Tālr.:</w:t>
            </w:r>
          </w:p>
        </w:tc>
        <w:tc>
          <w:tcPr>
            <w:tcW w:w="3893" w:type="pct"/>
          </w:tcPr>
          <w:p w14:paraId="0C3A2630" w14:textId="77777777" w:rsidR="004E4AF0" w:rsidRPr="004E4AF0" w:rsidRDefault="004E4AF0" w:rsidP="004E4AF0">
            <w:pPr>
              <w:overflowPunct w:val="0"/>
              <w:autoSpaceDE w:val="0"/>
              <w:autoSpaceDN w:val="0"/>
              <w:adjustRightInd w:val="0"/>
              <w:spacing w:line="240" w:lineRule="auto"/>
              <w:textAlignment w:val="baseline"/>
              <w:rPr>
                <w:i/>
              </w:rPr>
            </w:pPr>
            <w:r>
              <w:rPr>
                <w:i/>
              </w:rPr>
              <w:t>+32 25469286</w:t>
            </w:r>
          </w:p>
        </w:tc>
      </w:tr>
      <w:tr w:rsidR="004E4AF0" w:rsidRPr="004E4AF0" w14:paraId="2F48F9FD" w14:textId="77777777" w:rsidTr="0033503A">
        <w:trPr>
          <w:trHeight w:val="243"/>
        </w:trPr>
        <w:tc>
          <w:tcPr>
            <w:tcW w:w="1107" w:type="pct"/>
          </w:tcPr>
          <w:p w14:paraId="47D7C298" w14:textId="77777777" w:rsidR="004E4AF0" w:rsidRPr="004E4AF0" w:rsidRDefault="004E4AF0" w:rsidP="004E4AF0">
            <w:pPr>
              <w:overflowPunct w:val="0"/>
              <w:autoSpaceDE w:val="0"/>
              <w:autoSpaceDN w:val="0"/>
              <w:adjustRightInd w:val="0"/>
              <w:spacing w:line="240" w:lineRule="auto"/>
              <w:textAlignment w:val="baseline"/>
              <w:rPr>
                <w:i/>
              </w:rPr>
            </w:pPr>
            <w:r>
              <w:rPr>
                <w:i/>
              </w:rPr>
              <w:t>E-pasts:</w:t>
            </w:r>
          </w:p>
        </w:tc>
        <w:tc>
          <w:tcPr>
            <w:tcW w:w="3893" w:type="pct"/>
          </w:tcPr>
          <w:p w14:paraId="3B510C13" w14:textId="77777777" w:rsidR="004E4AF0" w:rsidRPr="004E4AF0" w:rsidRDefault="00CB0220" w:rsidP="004E4AF0">
            <w:pPr>
              <w:overflowPunct w:val="0"/>
              <w:autoSpaceDE w:val="0"/>
              <w:autoSpaceDN w:val="0"/>
              <w:adjustRightInd w:val="0"/>
              <w:spacing w:line="240" w:lineRule="auto"/>
              <w:textAlignment w:val="baseline"/>
              <w:rPr>
                <w:i/>
                <w:iCs/>
              </w:rPr>
            </w:pPr>
            <w:hyperlink r:id="rId27" w:history="1">
              <w:r w:rsidR="00FE6829">
                <w:rPr>
                  <w:i/>
                  <w:color w:val="0000FF"/>
                  <w:u w:val="single"/>
                </w:rPr>
                <w:t>Colombe.Gregoire@eesc.europa.eu</w:t>
              </w:r>
            </w:hyperlink>
          </w:p>
        </w:tc>
      </w:tr>
    </w:tbl>
    <w:p w14:paraId="2BD242D5" w14:textId="1C7EB474" w:rsidR="00A07817" w:rsidRDefault="00385A54">
      <w:pPr>
        <w:spacing w:after="160" w:line="259" w:lineRule="auto"/>
        <w:jc w:val="left"/>
      </w:pPr>
      <w:r>
        <w:br w:type="page"/>
      </w:r>
    </w:p>
    <w:p w14:paraId="3238EE4E" w14:textId="4A2945FF" w:rsidR="00CB23D5" w:rsidRPr="00CB23D5" w:rsidRDefault="00CB0220" w:rsidP="00CB23D5">
      <w:pPr>
        <w:widowControl w:val="0"/>
        <w:numPr>
          <w:ilvl w:val="0"/>
          <w:numId w:val="4"/>
        </w:numPr>
        <w:overflowPunct w:val="0"/>
        <w:autoSpaceDE w:val="0"/>
        <w:autoSpaceDN w:val="0"/>
        <w:adjustRightInd w:val="0"/>
        <w:spacing w:after="120"/>
        <w:ind w:hanging="567"/>
        <w:textAlignment w:val="baseline"/>
        <w:rPr>
          <w:b/>
          <w:i/>
          <w:iCs/>
          <w:sz w:val="28"/>
          <w:szCs w:val="28"/>
        </w:rPr>
      </w:pPr>
      <w:hyperlink r:id="rId28" w:history="1">
        <w:r w:rsidR="00FE6829">
          <w:rPr>
            <w:b/>
            <w:i/>
            <w:color w:val="0000FF"/>
            <w:sz w:val="28"/>
            <w:u w:val="single"/>
          </w:rPr>
          <w:t>ES budžeta izdevumu apsekošanas un snieguma satvars</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Ziņotājs:</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Līdzziņotājs</w:t>
            </w:r>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Konstantinos DIAMANTOUROS (Darba devēju grupa – EL)</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Dominika BIEGON (Darba ņēmēju grupa – DE)</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Atsauces</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 xml:space="preserve">COM(2025) 545 </w:t>
            </w:r>
            <w:proofErr w:type="spellStart"/>
            <w:r>
              <w:t>final</w:t>
            </w:r>
            <w:proofErr w:type="spellEnd"/>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Galvenās nostādnes</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7777777" w:rsidR="00CB23D5" w:rsidRDefault="00CB23D5" w:rsidP="00CB23D5">
      <w:pPr>
        <w:overflowPunct w:val="0"/>
        <w:autoSpaceDE w:val="0"/>
        <w:autoSpaceDN w:val="0"/>
        <w:adjustRightInd w:val="0"/>
        <w:spacing w:line="240" w:lineRule="auto"/>
        <w:textAlignment w:val="baseline"/>
        <w:rPr>
          <w:bCs/>
          <w:iCs/>
        </w:rPr>
      </w:pPr>
      <w:r>
        <w:t>EESK:</w:t>
      </w:r>
    </w:p>
    <w:p w14:paraId="05CD6DE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3" w:name="_Toc232773766"/>
      <w:bookmarkStart w:id="24" w:name="_Toc232774246"/>
      <w:bookmarkStart w:id="25" w:name="_Toc233976385"/>
      <w:r>
        <w:rPr>
          <w:b/>
        </w:rPr>
        <w:t xml:space="preserve">atbalsta </w:t>
      </w:r>
      <w:r>
        <w:t>iniciatīvu visā daudzgadu finanšu shēmā (DFS) izveidot vienotu un saskaņotu iznākuma rādītāju un rezultātu rādītāju kopumu, saskaņot horizontālo principu piemērošanu, ieviest vienotu gada pārvaldības un snieguma ziņojumu un izveidot vienotu portālu visai ar DFS saistītajai informācijai;</w:t>
      </w:r>
      <w:bookmarkEnd w:id="23"/>
      <w:bookmarkEnd w:id="24"/>
      <w:bookmarkEnd w:id="25"/>
    </w:p>
    <w:p w14:paraId="34FDA71C"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6" w:name="_Toc232773767"/>
      <w:bookmarkStart w:id="27" w:name="_Toc232774247"/>
      <w:bookmarkStart w:id="28" w:name="_Toc233976386"/>
      <w:r>
        <w:rPr>
          <w:b/>
        </w:rPr>
        <w:t>norāda</w:t>
      </w:r>
      <w:r>
        <w:t xml:space="preserve">, ka Snieguma regula netieši definē </w:t>
      </w:r>
      <w:proofErr w:type="spellStart"/>
      <w:r>
        <w:t>atbalsttiesīgo</w:t>
      </w:r>
      <w:proofErr w:type="spellEnd"/>
      <w:r>
        <w:t xml:space="preserve"> programmu tvērumu </w:t>
      </w:r>
      <w:proofErr w:type="spellStart"/>
      <w:r>
        <w:t>ex</w:t>
      </w:r>
      <w:proofErr w:type="spellEnd"/>
      <w:r>
        <w:t xml:space="preserve"> </w:t>
      </w:r>
      <w:proofErr w:type="spellStart"/>
      <w:r>
        <w:t>ante</w:t>
      </w:r>
      <w:proofErr w:type="spellEnd"/>
      <w:r>
        <w:t>, un ES līdzekļu izmaksa ir saistīta ar tādu atskaites punktu un mērķrādītāju sasniegšanu, kuri jānosaka ar iznākuma rādītājiem un rezultātu rādītājiem. Tādējādi satvars kļūst ļoti politisks;</w:t>
      </w:r>
      <w:bookmarkEnd w:id="26"/>
      <w:bookmarkEnd w:id="27"/>
      <w:bookmarkEnd w:id="28"/>
      <w:r>
        <w:t xml:space="preserve"> </w:t>
      </w:r>
    </w:p>
    <w:p w14:paraId="0200AA8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9" w:name="_Toc232773768"/>
      <w:bookmarkStart w:id="30" w:name="_Toc232774248"/>
      <w:bookmarkStart w:id="31" w:name="_Toc233976387"/>
      <w:r>
        <w:rPr>
          <w:b/>
        </w:rPr>
        <w:t>uzsver</w:t>
      </w:r>
      <w:r>
        <w:t xml:space="preserve">, ka gadījumos, kad maksājumi ir atkarīgi no atskaites punktiem un mērķrādītājiem, rezultātus bieži vien ir grūti laikus izmērīt, it īpaši sociālo pasākumu jomā. tāpēc </w:t>
      </w:r>
      <w:r>
        <w:rPr>
          <w:b/>
        </w:rPr>
        <w:t xml:space="preserve">ierosina </w:t>
      </w:r>
      <w:r>
        <w:t>snieguma satvarā ieviest atteikuma iespēju: publiskajām iestādēm ir jābūt iespējai VRP plānu īstenošanā vai nu piemērot izmaksās balstītu finansējumu, ja ir objektīvas grūtības vākt un mērīt datus, vai papildināt kvantitatīvo pārskatu ar kvalitatīviem rādītājiem;</w:t>
      </w:r>
      <w:bookmarkEnd w:id="29"/>
      <w:bookmarkEnd w:id="30"/>
      <w:bookmarkEnd w:id="31"/>
    </w:p>
    <w:p w14:paraId="6E99B55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2" w:name="_Toc232773769"/>
      <w:bookmarkStart w:id="33" w:name="_Toc232774249"/>
      <w:bookmarkStart w:id="34" w:name="_Toc233976388"/>
      <w:r>
        <w:rPr>
          <w:b/>
        </w:rPr>
        <w:t xml:space="preserve">aicina </w:t>
      </w:r>
      <w:r>
        <w:t xml:space="preserve">plašākajā </w:t>
      </w:r>
      <w:proofErr w:type="spellStart"/>
      <w:r>
        <w:t>vidiskajā</w:t>
      </w:r>
      <w:proofErr w:type="spellEnd"/>
      <w:r>
        <w:t xml:space="preserve"> mērķī sekmēt biodaudzveidības izdevumu </w:t>
      </w:r>
      <w:proofErr w:type="spellStart"/>
      <w:r>
        <w:t>pamanāmību</w:t>
      </w:r>
      <w:proofErr w:type="spellEnd"/>
      <w:r>
        <w:t>;</w:t>
      </w:r>
      <w:bookmarkEnd w:id="32"/>
      <w:bookmarkEnd w:id="33"/>
      <w:bookmarkEnd w:id="34"/>
    </w:p>
    <w:p w14:paraId="19CF617E"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5" w:name="_Toc232773770"/>
      <w:bookmarkStart w:id="36" w:name="_Toc232774250"/>
      <w:bookmarkStart w:id="37" w:name="_Toc233976389"/>
      <w:r>
        <w:rPr>
          <w:b/>
        </w:rPr>
        <w:t>iesaka</w:t>
      </w:r>
      <w:r>
        <w:t xml:space="preserve"> nodrošināt pārredzamu, prognozējamu un samērīgu principa “nenodarīt būtisku kaitējumu” (NBK principa) piemērošanu visā ES budžetā. Šis princips būtu konsekventi jāpiemēro visās programmās, un tam būtu jābalstās uz skaidru būtiska kaitējuma definīciju. Tas būtu jāpiemēro proporcionāli faktiskajiem riskiem, ko kāda iniciatīva rada ar NBK principu aizsargātajiem mērķiem. Ar minēto proporcionalitāti būtu jānovērš situācija, ka tiek nepamatoti sodītas darbības, kuras, ja tās tiek veiktas Eiropas Savienībā, jau ir klimatam un videi ievērojami draudzīgākas nekā salīdzināmas darbības citur, tādējādi samazinot risku pārcelt investīcijas uz jurisdikcijām ar zemākiem standartiem. Turklāt NBK principa piemērošanā būtu jāņem vērā labuma guvēju lielums un spējas, atzīstot, ka mazāki subjekti var saskarties ar lielākām grūtībām ziņošanas prasību izpildē. Visbeidzot EESK uzskata, ka aizsardzības jomas atbrīvojumam no NBK principa piemērošanas vajadzētu būt </w:t>
      </w:r>
      <w:proofErr w:type="spellStart"/>
      <w:r>
        <w:t>mērķorientētam</w:t>
      </w:r>
      <w:proofErr w:type="spellEnd"/>
      <w:r>
        <w:t>, un tas nedrīkst pieļaut plašus darbību izņēmumus, aizbildinoties ar divējādu lietojumu;</w:t>
      </w:r>
      <w:bookmarkEnd w:id="35"/>
      <w:bookmarkEnd w:id="36"/>
      <w:bookmarkEnd w:id="37"/>
    </w:p>
    <w:p w14:paraId="43DBEBE0"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8" w:name="_Toc232773771"/>
      <w:bookmarkStart w:id="39" w:name="_Toc232774251"/>
      <w:bookmarkStart w:id="40" w:name="_Toc233976390"/>
      <w:r>
        <w:rPr>
          <w:b/>
        </w:rPr>
        <w:t>mudina</w:t>
      </w:r>
      <w:r>
        <w:t>, lai sociālo investīciju kvotā ieskaitītais finansējums joprojām būtu vērsts uz Eiropas Sociālā fonda (ESF);</w:t>
      </w:r>
      <w:bookmarkEnd w:id="38"/>
      <w:bookmarkEnd w:id="39"/>
      <w:bookmarkEnd w:id="40"/>
    </w:p>
    <w:p w14:paraId="66F4C6B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1" w:name="_Toc232773772"/>
      <w:bookmarkStart w:id="42" w:name="_Toc232774252"/>
      <w:bookmarkStart w:id="43" w:name="_Toc233976391"/>
      <w:r>
        <w:rPr>
          <w:b/>
        </w:rPr>
        <w:t>uzskata</w:t>
      </w:r>
      <w:r>
        <w:t xml:space="preserve">, ka Snieguma regulas 6. pants jāpadara stingrāks, lai nodrošinātu, ka gadījumos, kad tas ir iespējams un lietderīgi un atbilst nozaru noteikumiem, ES finansētas programmas un darbības palīdz radīt un saglabāt kvalitatīvas darbvietas, paredzot samērīgus sociālos nosacījumus, kā arī </w:t>
      </w:r>
      <w:r>
        <w:rPr>
          <w:b/>
        </w:rPr>
        <w:t>iesaka</w:t>
      </w:r>
      <w:r>
        <w:t xml:space="preserve"> sagatavot ikgadēju ziņojumu par kvalitatīvām darbvietām;</w:t>
      </w:r>
      <w:bookmarkEnd w:id="41"/>
      <w:bookmarkEnd w:id="42"/>
      <w:bookmarkEnd w:id="43"/>
    </w:p>
    <w:p w14:paraId="577757B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4" w:name="_Toc232773773"/>
      <w:bookmarkStart w:id="45" w:name="_Toc232774253"/>
      <w:bookmarkStart w:id="46" w:name="_Toc233976392"/>
      <w:r>
        <w:rPr>
          <w:b/>
        </w:rPr>
        <w:t>iesaka</w:t>
      </w:r>
      <w:r>
        <w:t xml:space="preserve"> noteikt kvantitatīvus un kvalitatīvus rādītājus organizētas pilsoniskās sabiedrības un sociālo partneru iesaistes mērīšanai no izstrādes līdz īstenošanas posmam, VRP plānu kontekstā padarot partnerības principu efektīvāku, jēgpilnāku, izpildāmu un izmērāmu;</w:t>
      </w:r>
      <w:bookmarkEnd w:id="44"/>
      <w:bookmarkEnd w:id="45"/>
      <w:bookmarkEnd w:id="46"/>
    </w:p>
    <w:p w14:paraId="186D7C33"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7" w:name="_Toc232773774"/>
      <w:bookmarkStart w:id="48" w:name="_Toc232774254"/>
      <w:bookmarkStart w:id="49" w:name="_Toc233976393"/>
      <w:r>
        <w:rPr>
          <w:b/>
        </w:rPr>
        <w:lastRenderedPageBreak/>
        <w:t>norāda</w:t>
      </w:r>
      <w:r>
        <w:t>: tiek gaidīts, ka pilsoniskās sabiedrības organizācijas un sociālie partneri izmantos Snieguma regulas rādītājus, lai politiku pārvērstu vietējā stratēģijā. Tāpēc EESK iesaka likumdevējiem palielināt tehnisko palīdzību;</w:t>
      </w:r>
      <w:bookmarkEnd w:id="47"/>
      <w:bookmarkEnd w:id="48"/>
      <w:bookmarkEnd w:id="49"/>
    </w:p>
    <w:p w14:paraId="3B426D2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0" w:name="_Toc232773775"/>
      <w:bookmarkStart w:id="51" w:name="_Toc232774255"/>
      <w:bookmarkStart w:id="52" w:name="_Toc233976394"/>
      <w:r>
        <w:rPr>
          <w:b/>
        </w:rPr>
        <w:t xml:space="preserve">atbalsta </w:t>
      </w:r>
      <w:r>
        <w:t>dzimumu līdztiesības aspekta integrēšanu snieguma satvarā kā horizontālu principu;</w:t>
      </w:r>
      <w:bookmarkEnd w:id="50"/>
      <w:bookmarkEnd w:id="51"/>
      <w:bookmarkEnd w:id="52"/>
    </w:p>
    <w:p w14:paraId="7E61FC4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3" w:name="_Toc232773776"/>
      <w:bookmarkStart w:id="54" w:name="_Toc232774256"/>
      <w:bookmarkStart w:id="55" w:name="_Toc233976395"/>
      <w:r>
        <w:rPr>
          <w:b/>
        </w:rPr>
        <w:t xml:space="preserve">ierosina </w:t>
      </w:r>
      <w:r>
        <w:t>ieviest dažas izmaiņas Komisijas priekšlikuma I PIELIKUMĀ “Intervences jomas un rādītāji”, kuras izklāstītas šā EESK atzinuma pielikumā.</w:t>
      </w:r>
      <w:bookmarkEnd w:id="53"/>
      <w:bookmarkEnd w:id="54"/>
      <w:bookmarkEnd w:id="55"/>
    </w:p>
    <w:p w14:paraId="10174553" w14:textId="77777777" w:rsidR="00CB23D5" w:rsidRPr="00CB23D5"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7727"/>
      </w:tblGrid>
      <w:tr w:rsidR="00CB23D5" w:rsidRPr="00CB23D5" w14:paraId="23F39269" w14:textId="77777777" w:rsidTr="0033503A">
        <w:tc>
          <w:tcPr>
            <w:tcW w:w="1418"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Kontaktpersona:</w:t>
            </w:r>
          </w:p>
        </w:tc>
        <w:tc>
          <w:tcPr>
            <w:tcW w:w="7904"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proofErr w:type="spellStart"/>
            <w:r>
              <w:rPr>
                <w:i/>
              </w:rPr>
              <w:t>Gerald</w:t>
            </w:r>
            <w:proofErr w:type="spellEnd"/>
            <w:r>
              <w:rPr>
                <w:i/>
              </w:rPr>
              <w:t xml:space="preserve"> </w:t>
            </w:r>
            <w:proofErr w:type="spellStart"/>
            <w:r>
              <w:rPr>
                <w:i/>
              </w:rPr>
              <w:t>Klec</w:t>
            </w:r>
            <w:proofErr w:type="spellEnd"/>
          </w:p>
        </w:tc>
      </w:tr>
      <w:tr w:rsidR="00CB23D5" w:rsidRPr="00CB23D5" w14:paraId="6D77B12F" w14:textId="77777777" w:rsidTr="0033503A">
        <w:tc>
          <w:tcPr>
            <w:tcW w:w="1418"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Tālr.:</w:t>
            </w:r>
          </w:p>
        </w:tc>
        <w:tc>
          <w:tcPr>
            <w:tcW w:w="7904"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+32 25469909</w:t>
            </w:r>
          </w:p>
        </w:tc>
      </w:tr>
      <w:tr w:rsidR="00CB23D5" w:rsidRPr="00CB23D5" w14:paraId="685173A5" w14:textId="77777777" w:rsidTr="0033503A">
        <w:tc>
          <w:tcPr>
            <w:tcW w:w="1418"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E-pasts:</w:t>
            </w:r>
          </w:p>
        </w:tc>
        <w:tc>
          <w:tcPr>
            <w:tcW w:w="7904" w:type="dxa"/>
          </w:tcPr>
          <w:p w14:paraId="478C3170" w14:textId="77777777" w:rsidR="00CB23D5" w:rsidRPr="00CB23D5" w:rsidRDefault="00CB0220" w:rsidP="00CB23D5">
            <w:pPr>
              <w:overflowPunct w:val="0"/>
              <w:autoSpaceDE w:val="0"/>
              <w:autoSpaceDN w:val="0"/>
              <w:adjustRightInd w:val="0"/>
              <w:spacing w:line="240" w:lineRule="auto"/>
              <w:textAlignment w:val="baseline"/>
              <w:rPr>
                <w:i/>
                <w:iCs/>
              </w:rPr>
            </w:pPr>
            <w:hyperlink r:id="rId29" w:history="1">
              <w:r w:rsidR="00FE6829">
                <w:rPr>
                  <w:i/>
                  <w:color w:val="0000FF"/>
                  <w:u w:val="single"/>
                </w:rPr>
                <w:t>Gerald.Klec@eesc.europa.eu</w:t>
              </w:r>
            </w:hyperlink>
          </w:p>
        </w:tc>
      </w:tr>
    </w:tbl>
    <w:p w14:paraId="4982DD98" w14:textId="18A27795" w:rsidR="009B300F" w:rsidRDefault="009B300F">
      <w:pPr>
        <w:spacing w:after="160" w:line="259" w:lineRule="auto"/>
        <w:jc w:val="left"/>
      </w:pPr>
      <w:r>
        <w:br w:type="page"/>
      </w:r>
    </w:p>
    <w:p w14:paraId="4982DD99" w14:textId="77777777" w:rsidR="004D7AC0" w:rsidRDefault="004D7AC0" w:rsidP="001766B2">
      <w:pPr>
        <w:pStyle w:val="Heading1"/>
        <w:rPr>
          <w:b/>
        </w:rPr>
      </w:pPr>
      <w:bookmarkStart w:id="56" w:name="_Toc75527081"/>
      <w:bookmarkStart w:id="57" w:name="_Toc233976396"/>
      <w:r>
        <w:rPr>
          <w:b/>
        </w:rPr>
        <w:lastRenderedPageBreak/>
        <w:t>NODARBINĀTĪBA, SOCIĀLĀS LIETAS UN PILSONISKUMS</w:t>
      </w:r>
      <w:bookmarkEnd w:id="56"/>
      <w:bookmarkEnd w:id="57"/>
    </w:p>
    <w:p w14:paraId="4982DD9A" w14:textId="77777777" w:rsidR="004D7AC0" w:rsidRDefault="004D7AC0" w:rsidP="001766B2"/>
    <w:p w14:paraId="23BBD8D2" w14:textId="3CAA0A91" w:rsidR="000745CD" w:rsidRPr="00AD2F07" w:rsidRDefault="00CB0220" w:rsidP="00AD2F07">
      <w:pPr>
        <w:pStyle w:val="ListParagraph"/>
        <w:numPr>
          <w:ilvl w:val="0"/>
          <w:numId w:val="42"/>
        </w:numPr>
        <w:ind w:left="567" w:hanging="567"/>
        <w:rPr>
          <w:sz w:val="28"/>
          <w:szCs w:val="28"/>
        </w:rPr>
      </w:pPr>
      <w:hyperlink r:id="rId30" w:history="1">
        <w:r w:rsidR="000745CD">
          <w:rPr>
            <w:rStyle w:val="Hyperlink"/>
            <w:b/>
            <w:i/>
            <w:sz w:val="28"/>
          </w:rPr>
          <w:t>Direktīvas par trauksmes cēlēju aizsardzību novērtējums</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sz w:val="20"/>
              </w:rPr>
              <w:t>Ziņotāja:</w:t>
            </w:r>
          </w:p>
        </w:tc>
        <w:tc>
          <w:tcPr>
            <w:tcW w:w="3923" w:type="pct"/>
          </w:tcPr>
          <w:p w14:paraId="452D71D0" w14:textId="77777777" w:rsidR="000745CD" w:rsidRDefault="000745CD" w:rsidP="000745CD">
            <w:pPr>
              <w:pStyle w:val="ListParagraph"/>
              <w:ind w:left="0"/>
              <w:rPr>
                <w:sz w:val="20"/>
                <w:szCs w:val="20"/>
              </w:rPr>
            </w:pPr>
            <w:proofErr w:type="spellStart"/>
            <w:r>
              <w:rPr>
                <w:sz w:val="20"/>
              </w:rPr>
              <w:t>Giulia</w:t>
            </w:r>
            <w:proofErr w:type="spellEnd"/>
            <w:r>
              <w:rPr>
                <w:sz w:val="20"/>
              </w:rPr>
              <w:t xml:space="preserve"> BARBUCCI (Darba ņēmēju grupa – IT)</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Atsauces</w:t>
            </w:r>
          </w:p>
        </w:tc>
        <w:tc>
          <w:tcPr>
            <w:tcW w:w="3923" w:type="pct"/>
          </w:tcPr>
          <w:p w14:paraId="3E6C6E04" w14:textId="568C191F" w:rsidR="00206637" w:rsidRDefault="00346312" w:rsidP="000745CD">
            <w:pPr>
              <w:pStyle w:val="ListParagraph"/>
              <w:ind w:left="0"/>
              <w:rPr>
                <w:sz w:val="20"/>
                <w:szCs w:val="20"/>
              </w:rPr>
            </w:pPr>
            <w:r>
              <w:rPr>
                <w:sz w:val="20"/>
              </w:rPr>
              <w:t>Informatīvs ziņojums</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0745CD" w:rsidRDefault="000745CD" w:rsidP="000745CD">
      <w:pPr>
        <w:pStyle w:val="ListParagraph"/>
        <w:ind w:left="0"/>
        <w:rPr>
          <w:b/>
          <w:lang w:val="en-GB"/>
        </w:rPr>
      </w:pPr>
    </w:p>
    <w:p w14:paraId="4D7E2A05" w14:textId="77777777" w:rsidR="000745CD" w:rsidRDefault="000745CD" w:rsidP="000745CD">
      <w:pPr>
        <w:pStyle w:val="ListParagraph"/>
        <w:ind w:left="0"/>
        <w:rPr>
          <w:b/>
        </w:rPr>
      </w:pPr>
      <w:r>
        <w:rPr>
          <w:b/>
        </w:rPr>
        <w:t>Galvenās nostādnes</w:t>
      </w:r>
    </w:p>
    <w:p w14:paraId="2657CDA1" w14:textId="77777777" w:rsidR="00206637" w:rsidRPr="000745CD" w:rsidRDefault="00206637" w:rsidP="000745CD">
      <w:pPr>
        <w:pStyle w:val="ListParagraph"/>
        <w:ind w:left="0"/>
        <w:rPr>
          <w:b/>
          <w:lang w:val="en-GB"/>
        </w:rPr>
      </w:pPr>
    </w:p>
    <w:p w14:paraId="7C1EF1FB" w14:textId="77777777" w:rsidR="000745CD" w:rsidRPr="000745CD" w:rsidRDefault="000745CD" w:rsidP="000745CD">
      <w:pPr>
        <w:pStyle w:val="ListParagraph"/>
        <w:ind w:left="0"/>
        <w:rPr>
          <w:b/>
          <w:lang w:val="en-GB"/>
        </w:rPr>
      </w:pPr>
    </w:p>
    <w:p w14:paraId="4A36272A" w14:textId="77777777" w:rsidR="000745CD" w:rsidRPr="000745CD" w:rsidRDefault="000745CD" w:rsidP="00AD2F07">
      <w:pPr>
        <w:pStyle w:val="ListParagraph"/>
        <w:numPr>
          <w:ilvl w:val="0"/>
          <w:numId w:val="26"/>
        </w:numPr>
        <w:ind w:left="284" w:hanging="284"/>
        <w:rPr>
          <w:bCs/>
        </w:rPr>
      </w:pPr>
      <w:r>
        <w:t>Pamatojoties uz ieinteresēto personu diskusijām un piecu valstu apmeklējumu laikā apkopotajiem aptaujas rezultātiem attiecībā uz efektivitāti, atbilstību un pilsoniskās sabiedrības pievienoto vērtību, EESK:</w:t>
      </w:r>
    </w:p>
    <w:p w14:paraId="1A894F33" w14:textId="77777777" w:rsidR="000745CD" w:rsidRPr="000745CD" w:rsidRDefault="000745CD" w:rsidP="00AD2F07">
      <w:pPr>
        <w:pStyle w:val="ListParagraph"/>
        <w:numPr>
          <w:ilvl w:val="0"/>
          <w:numId w:val="27"/>
        </w:numPr>
        <w:rPr>
          <w:bCs/>
        </w:rPr>
      </w:pPr>
      <w:r>
        <w:t>uzsver, ka direktīvas transponēšana apsekotajās valstīs kopumā ir būtiski sekmējusi tiesiskā regulējuma precizēšanu, spēcīgāku ziņošanas kanālu izveidi un iestāžu sadarbības uzlabošanu, lai gan praktiskajā īstenošanā joprojām ir būtiskas nepilnības;</w:t>
      </w:r>
    </w:p>
    <w:p w14:paraId="20B0224F" w14:textId="62642641" w:rsidR="000745CD" w:rsidRPr="000745CD" w:rsidRDefault="000745CD" w:rsidP="00AD2F07">
      <w:pPr>
        <w:pStyle w:val="ListParagraph"/>
        <w:numPr>
          <w:ilvl w:val="0"/>
          <w:numId w:val="27"/>
        </w:numPr>
        <w:rPr>
          <w:bCs/>
        </w:rPr>
      </w:pPr>
      <w:r>
        <w:t>norāda, ka daudzas ieinteresētās personas uzskata, ka pašreizējais aizsardzības aptvērums ir pārāk sašaurināts, it īpaši attiecībā uz sociāliem un ar darbavietu saistītiem jautājumiem, un uzsver, ka aizsardzības attiecināšana tikai uz konkrētām ES tiesību jomām, var radīt juridisko nenoteiktību un atturēt no ziņošanas;</w:t>
      </w:r>
    </w:p>
    <w:p w14:paraId="2020EED1" w14:textId="371C73B1" w:rsidR="000745CD" w:rsidRPr="000745CD" w:rsidRDefault="000745CD" w:rsidP="00AD2F07">
      <w:pPr>
        <w:pStyle w:val="ListParagraph"/>
        <w:numPr>
          <w:ilvl w:val="0"/>
          <w:numId w:val="27"/>
        </w:numPr>
        <w:rPr>
          <w:bCs/>
        </w:rPr>
      </w:pPr>
      <w:r>
        <w:t>uzsver, ka mazajiem uzņēmumiem bieži trūkst resursu un zināšanu, lai efektīvi ieviestu iekšējus ziņošanas mehānismus, un tādēļ iesaka apzināt kopīgas vai nozares līmeņa ziņošanas sistēmas saskaņā ar direktīvu;</w:t>
      </w:r>
    </w:p>
    <w:p w14:paraId="2A7691A8" w14:textId="77777777" w:rsidR="000745CD" w:rsidRPr="000745CD" w:rsidRDefault="000745CD" w:rsidP="00AD2F07">
      <w:pPr>
        <w:pStyle w:val="ListParagraph"/>
        <w:numPr>
          <w:ilvl w:val="0"/>
          <w:numId w:val="27"/>
        </w:numPr>
        <w:rPr>
          <w:bCs/>
        </w:rPr>
      </w:pPr>
      <w:r>
        <w:t>uzsver, ka pastāvošās bailes no represijām, ilgās procedūras un nevienmērīgais aizsardzības līmenis turpina mazināt uzticēšanos trauksmes celšanas sistēmām, mudinot ieinteresētās personas pieprasīt stingrākus preventīvos pasākumus, finansiālo palīdzību un atbalsta mehānismus ziņojošām personām;</w:t>
      </w:r>
    </w:p>
    <w:p w14:paraId="21BEA9AF" w14:textId="598F0C3D" w:rsidR="000745CD" w:rsidRPr="000745CD" w:rsidRDefault="000745CD" w:rsidP="00AD2F07">
      <w:pPr>
        <w:pStyle w:val="ListParagraph"/>
        <w:numPr>
          <w:ilvl w:val="0"/>
          <w:numId w:val="27"/>
        </w:numPr>
        <w:rPr>
          <w:bCs/>
        </w:rPr>
      </w:pPr>
      <w:r>
        <w:t>uzskata, ka dalībvalstīm būtu jāpiešķir pietiekami finanšu resursi, cilvēkresursi un mācību resursi iestādēm, kuras ir atbildīgas par trauksmes celšanas procedūrām, lai novērstu kavēšanos un spēju trūkumu un uzlabotu nepietiekamo izpratni par tiesisko aizsardzību;</w:t>
      </w:r>
    </w:p>
    <w:p w14:paraId="2A805546" w14:textId="77777777" w:rsidR="000745CD" w:rsidRPr="000745CD" w:rsidRDefault="000745CD" w:rsidP="00AD2F07">
      <w:pPr>
        <w:pStyle w:val="ListParagraph"/>
        <w:numPr>
          <w:ilvl w:val="0"/>
          <w:numId w:val="27"/>
        </w:numPr>
        <w:rPr>
          <w:bCs/>
        </w:rPr>
      </w:pPr>
      <w:r>
        <w:t>pieņem zināšanai atsevišķu ieinteresēto personu norādījumu, ka arodbiedrību, darba ņēmēju pārstāvju un pilsoniskās sabiedrības organizāciju iesaistīšana var stiprināt ziņošanas mehānismu efektivitāti, neatkarību un uzticamību un uzlabot informētību un īstenošanas praksi;</w:t>
      </w:r>
    </w:p>
    <w:p w14:paraId="185428D6" w14:textId="5FD5702D" w:rsidR="000745CD" w:rsidRPr="000745CD" w:rsidRDefault="000745CD" w:rsidP="00AD2F07">
      <w:pPr>
        <w:pStyle w:val="ListParagraph"/>
        <w:numPr>
          <w:ilvl w:val="0"/>
          <w:numId w:val="27"/>
        </w:numPr>
        <w:rPr>
          <w:bCs/>
        </w:rPr>
      </w:pPr>
      <w:r>
        <w:t>iesaka apsvērt iespēju valsts līmenī izveidot neatkarīgas daudzpusēju ieinteresēto personu padomdevējas struktūras, lai novērtētu ziņošanas sistēmas, analizētu strukturālās problēmas un atbalstītu apmācības un vadības iniciatīvas, kurās iesaistīta pilsoniskā sabiedrība un sociālie partneri;</w:t>
      </w:r>
    </w:p>
    <w:p w14:paraId="6FAF5B60" w14:textId="1A3D5D65" w:rsidR="000745CD" w:rsidRPr="000745CD" w:rsidRDefault="000745CD" w:rsidP="00AD2F07">
      <w:pPr>
        <w:pStyle w:val="ListParagraph"/>
        <w:numPr>
          <w:ilvl w:val="0"/>
          <w:numId w:val="27"/>
        </w:numPr>
        <w:rPr>
          <w:bCs/>
        </w:rPr>
      </w:pPr>
      <w:r>
        <w:t>uzsver, ka trauksmes celšanas sistēmas ir leģitīmākas un efektīvākas, ja mediji var droši ziņot par sabiedrības interešu jautājumiem, un daudzas ieinteresētās personas ir norādījušas, ka pārāk ierobežojoši konfidencialitātes noteikumi varētu apdraudēt publisko kontroli;</w:t>
      </w:r>
    </w:p>
    <w:p w14:paraId="35517693" w14:textId="3F34A683" w:rsidR="000745CD" w:rsidRPr="000745CD" w:rsidRDefault="000745CD" w:rsidP="00AD2F07">
      <w:pPr>
        <w:pStyle w:val="ListParagraph"/>
        <w:numPr>
          <w:ilvl w:val="0"/>
          <w:numId w:val="27"/>
        </w:numPr>
        <w:rPr>
          <w:bCs/>
        </w:rPr>
      </w:pPr>
      <w:r>
        <w:t xml:space="preserve">uzsver informētības uzlabošanas kampaņu svarīgo nozīmi, lai pārveidotu </w:t>
      </w:r>
      <w:proofErr w:type="spellStart"/>
      <w:r>
        <w:t>kultūrnosacīto</w:t>
      </w:r>
      <w:proofErr w:type="spellEnd"/>
      <w:r>
        <w:t xml:space="preserve"> izpratni par trauksmes celšanu un nodrošinātu, ka iedzīvotāji saprot savas tiesības un ir informēti par pieejamajiem ziņošanas mehānismiem;</w:t>
      </w:r>
    </w:p>
    <w:p w14:paraId="113EB342" w14:textId="77777777" w:rsidR="000745CD" w:rsidRDefault="000745CD" w:rsidP="000A25AC">
      <w:pPr>
        <w:pStyle w:val="ListParagraph"/>
        <w:numPr>
          <w:ilvl w:val="0"/>
          <w:numId w:val="27"/>
        </w:numPr>
        <w:rPr>
          <w:bCs/>
        </w:rPr>
      </w:pPr>
      <w:r>
        <w:lastRenderedPageBreak/>
        <w:t>aicina sistemātiski vākt un publicēt datus par trauksmes celšanas procedūrām, rezultātiem un turpmākiem pasākumiem, lai novērtētu valstu sistēmu efektivitāti un saskaņotību un konstatētu strukturālās nepilnības.</w:t>
      </w: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Kontaktpersona:</w:t>
            </w:r>
          </w:p>
        </w:tc>
        <w:tc>
          <w:tcPr>
            <w:tcW w:w="3923" w:type="pct"/>
          </w:tcPr>
          <w:p w14:paraId="2C894C0D" w14:textId="327D8196" w:rsidR="000745CD" w:rsidRPr="00AD2F07" w:rsidRDefault="000745CD" w:rsidP="00AA0F50">
            <w:pPr>
              <w:pStyle w:val="ListParagraph"/>
              <w:ind w:hanging="720"/>
              <w:rPr>
                <w:i/>
                <w:sz w:val="20"/>
                <w:szCs w:val="20"/>
              </w:rPr>
            </w:pPr>
            <w:proofErr w:type="spellStart"/>
            <w:r>
              <w:rPr>
                <w:i/>
                <w:sz w:val="20"/>
              </w:rPr>
              <w:t>June</w:t>
            </w:r>
            <w:proofErr w:type="spellEnd"/>
            <w:r>
              <w:rPr>
                <w:i/>
                <w:sz w:val="20"/>
              </w:rPr>
              <w:t xml:space="preserve"> </w:t>
            </w:r>
            <w:proofErr w:type="spellStart"/>
            <w:r>
              <w:rPr>
                <w:i/>
                <w:sz w:val="20"/>
              </w:rPr>
              <w:t>Bedaton</w:t>
            </w:r>
            <w:proofErr w:type="spellEnd"/>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Tālr.:</w:t>
            </w:r>
          </w:p>
        </w:tc>
        <w:tc>
          <w:tcPr>
            <w:tcW w:w="3923" w:type="pct"/>
          </w:tcPr>
          <w:p w14:paraId="631EB85F" w14:textId="61E4B99E" w:rsidR="000745CD" w:rsidRPr="00AD2F07" w:rsidRDefault="000745CD" w:rsidP="00AA0F50">
            <w:pPr>
              <w:pStyle w:val="ListParagraph"/>
              <w:ind w:hanging="720"/>
              <w:rPr>
                <w:i/>
                <w:sz w:val="20"/>
                <w:szCs w:val="20"/>
              </w:rPr>
            </w:pPr>
            <w:r>
              <w:rPr>
                <w:i/>
                <w:sz w:val="20"/>
              </w:rPr>
              <w:t>+32 25468134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E-pasts:</w:t>
            </w:r>
          </w:p>
        </w:tc>
        <w:tc>
          <w:tcPr>
            <w:tcW w:w="3923" w:type="pct"/>
          </w:tcPr>
          <w:p w14:paraId="7C5BBAC3" w14:textId="77777777" w:rsidR="000745CD" w:rsidRPr="00AD2F07" w:rsidRDefault="00CB0220" w:rsidP="00AA0F50">
            <w:pPr>
              <w:pStyle w:val="ListParagraph"/>
              <w:ind w:hanging="720"/>
              <w:rPr>
                <w:i/>
                <w:sz w:val="20"/>
                <w:szCs w:val="20"/>
              </w:rPr>
            </w:pPr>
            <w:hyperlink r:id="rId31" w:history="1">
              <w:r w:rsidR="000745CD">
                <w:rPr>
                  <w:rStyle w:val="Hyperlink"/>
                  <w:i/>
                  <w:sz w:val="20"/>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8" w:name="_Toc24617160"/>
      <w:bookmarkStart w:id="59" w:name="_Toc75527082"/>
      <w:bookmarkStart w:id="60" w:name="_Toc233976397"/>
      <w:r>
        <w:rPr>
          <w:b/>
        </w:rPr>
        <w:lastRenderedPageBreak/>
        <w:t>TRANSPORTS, ENERĢĒTIKA, INFRASTRUKTŪRA UN INFORMĀCIJAS SABIEDRĪBA</w:t>
      </w:r>
      <w:bookmarkEnd w:id="58"/>
      <w:bookmarkEnd w:id="59"/>
      <w:bookmarkEnd w:id="60"/>
    </w:p>
    <w:p w14:paraId="4982DDC7" w14:textId="77777777" w:rsidR="004D7AC0" w:rsidRDefault="004D7AC0" w:rsidP="001766B2"/>
    <w:p w14:paraId="18FC9B76" w14:textId="26E7931B" w:rsidR="00BC6333" w:rsidRPr="00BC6333" w:rsidRDefault="00CB0220" w:rsidP="00BC6333">
      <w:pPr>
        <w:widowControl w:val="0"/>
        <w:numPr>
          <w:ilvl w:val="0"/>
          <w:numId w:val="4"/>
        </w:numPr>
        <w:overflowPunct w:val="0"/>
        <w:autoSpaceDE w:val="0"/>
        <w:autoSpaceDN w:val="0"/>
        <w:adjustRightInd w:val="0"/>
        <w:ind w:hanging="567"/>
        <w:textAlignment w:val="baseline"/>
        <w:rPr>
          <w:b/>
        </w:rPr>
      </w:pPr>
      <w:hyperlink r:id="rId32" w:history="1">
        <w:r w:rsidR="00BC6333">
          <w:rPr>
            <w:b/>
            <w:i/>
            <w:color w:val="0000FF"/>
            <w:sz w:val="28"/>
            <w:u w:val="single"/>
          </w:rPr>
          <w:t>Digitālo tīklu akta priekšlikums (DTA)</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rPr>
              <w:t>Ziņotājs</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proofErr w:type="spellStart"/>
            <w:r>
              <w:t>Maurizio</w:t>
            </w:r>
            <w:proofErr w:type="spellEnd"/>
            <w:r>
              <w:t xml:space="preserve"> MENSI (Pilsoniskās sabiedrības organizāciju grupa – IT)</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Atsauces</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w:t>
            </w:r>
            <w:proofErr w:type="spellStart"/>
            <w:r>
              <w:t>final</w:t>
            </w:r>
            <w:proofErr w:type="spellEnd"/>
            <w:r>
              <w:t xml:space="preserve">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Galvenās nostādnes</w:t>
      </w:r>
    </w:p>
    <w:p w14:paraId="621ACDAF"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BC6333">
      <w:pPr>
        <w:overflowPunct w:val="0"/>
        <w:autoSpaceDE w:val="0"/>
        <w:autoSpaceDN w:val="0"/>
        <w:adjustRightInd w:val="0"/>
        <w:textAlignment w:val="baseline"/>
        <w:rPr>
          <w:bCs/>
          <w:iCs/>
        </w:rPr>
      </w:pPr>
      <w:r>
        <w:t>EESK:</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uzskata, ka regula kā DTA juridiskais instruments ir piemērota izvēle, lai novērstu iekšējā tirgus šķēršļus un nodrošinātu vienotus noteikumus;</w:t>
      </w:r>
    </w:p>
    <w:p w14:paraId="48D0747B"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aicina skaidri sadalīt kompetenci starp Digitālo tīklu biroju (</w:t>
      </w:r>
      <w:r>
        <w:rPr>
          <w:i/>
          <w:iCs/>
        </w:rPr>
        <w:t>ODN</w:t>
      </w:r>
      <w:r>
        <w:t>), Eiropas Elektronisko sakaru regulatoru iestādi (</w:t>
      </w:r>
      <w:r>
        <w:rPr>
          <w:i/>
          <w:iCs/>
        </w:rPr>
        <w:t>BEREC</w:t>
      </w:r>
      <w:r>
        <w:t>), Radiofrekvenču spektra politikas struktūru (</w:t>
      </w:r>
      <w:r>
        <w:rPr>
          <w:i/>
          <w:iCs/>
        </w:rPr>
        <w:t>RSPB)</w:t>
      </w:r>
      <w:r>
        <w:t xml:space="preserve"> un valstu regulatīvajām iestādēm (VRI), izvairoties no pārklāšanās un institucionālās dublēšanās; </w:t>
      </w:r>
    </w:p>
    <w:p w14:paraId="00115B85"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atzinīgi vērtē DTA sistēmisko pieeju atļauju piešķiršanai, radiofrekvenču spektram, vara kabeļu tīklu atvienošanai un pārvaldībai kā saskaņotai iekšējā tirgus stratēģijai;</w:t>
      </w:r>
    </w:p>
    <w:p w14:paraId="34F09FB6"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atbalsta stabilas, atjauninātas un pilnībā saskaņotas galalietotāju tiesības un aicina noteikt pakalpojumu kvalitātes standartu obligāto minimumu; </w:t>
      </w:r>
    </w:p>
    <w:p w14:paraId="0E2BCAE9"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iesaka nepārprotami izslēgt regulatīvās “taisnīgas sadales” shēmas, kas lieliem satura nodrošinātājiem uzliek obligātus maksājumus, pamatojoties uz datplūsmas apjomu vai izcelsmi;</w:t>
      </w:r>
    </w:p>
    <w:p w14:paraId="4113F9D4"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atzinīgi vērtē DTA satvaru pārejai no vara kabeļu tīkliem uz optiskās šķiedras kabeļu tīkliem un uzskata, ka tas ir būtiski droša un konkurētspējīga vienotā tirgus nodrošināšanai.</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BC6333">
            <w:pPr>
              <w:overflowPunct w:val="0"/>
              <w:autoSpaceDE w:val="0"/>
              <w:autoSpaceDN w:val="0"/>
              <w:adjustRightInd w:val="0"/>
              <w:textAlignment w:val="baseline"/>
              <w:rPr>
                <w:i/>
              </w:rPr>
            </w:pPr>
            <w:r>
              <w:rPr>
                <w:b/>
                <w:i/>
              </w:rPr>
              <w:t>Kontaktpersona:</w:t>
            </w:r>
          </w:p>
        </w:tc>
        <w:tc>
          <w:tcPr>
            <w:tcW w:w="7371" w:type="dxa"/>
          </w:tcPr>
          <w:p w14:paraId="342C232D" w14:textId="1660CEB4" w:rsidR="00BC6333" w:rsidRPr="00BC6333" w:rsidRDefault="00BC6333" w:rsidP="00BC6333">
            <w:pPr>
              <w:overflowPunct w:val="0"/>
              <w:autoSpaceDE w:val="0"/>
              <w:autoSpaceDN w:val="0"/>
              <w:adjustRightInd w:val="0"/>
              <w:textAlignment w:val="baseline"/>
              <w:rPr>
                <w:i/>
              </w:rPr>
            </w:pPr>
            <w:r>
              <w:rPr>
                <w:i/>
              </w:rPr>
              <w:t xml:space="preserve">Albert </w:t>
            </w:r>
            <w:proofErr w:type="spellStart"/>
            <w:r>
              <w:rPr>
                <w:i/>
              </w:rPr>
              <w:t>Precup</w:t>
            </w:r>
            <w:proofErr w:type="spellEnd"/>
          </w:p>
        </w:tc>
      </w:tr>
      <w:tr w:rsidR="00BC6333" w:rsidRPr="00BC6333" w14:paraId="41F9037C" w14:textId="77777777" w:rsidTr="0033503A">
        <w:tc>
          <w:tcPr>
            <w:tcW w:w="1809" w:type="dxa"/>
          </w:tcPr>
          <w:p w14:paraId="7F7AE18F" w14:textId="77777777" w:rsidR="00BC6333" w:rsidRPr="00BC6333" w:rsidRDefault="00BC6333" w:rsidP="00BC6333">
            <w:pPr>
              <w:overflowPunct w:val="0"/>
              <w:autoSpaceDE w:val="0"/>
              <w:autoSpaceDN w:val="0"/>
              <w:adjustRightInd w:val="0"/>
              <w:textAlignment w:val="baseline"/>
              <w:rPr>
                <w:i/>
              </w:rPr>
            </w:pPr>
            <w:r>
              <w:rPr>
                <w:i/>
              </w:rPr>
              <w:t>Tālr.:</w:t>
            </w:r>
          </w:p>
        </w:tc>
        <w:tc>
          <w:tcPr>
            <w:tcW w:w="7371" w:type="dxa"/>
          </w:tcPr>
          <w:p w14:paraId="282C2E4D" w14:textId="77777777" w:rsidR="00BC6333" w:rsidRPr="00BC6333" w:rsidRDefault="00BC6333" w:rsidP="00BC6333">
            <w:pPr>
              <w:overflowPunct w:val="0"/>
              <w:autoSpaceDE w:val="0"/>
              <w:autoSpaceDN w:val="0"/>
              <w:adjustRightInd w:val="0"/>
              <w:textAlignment w:val="baseline"/>
              <w:rPr>
                <w:i/>
              </w:rPr>
            </w:pPr>
            <w:r>
              <w:rPr>
                <w:i/>
              </w:rPr>
              <w:t>+32 25469326</w:t>
            </w:r>
          </w:p>
        </w:tc>
      </w:tr>
      <w:tr w:rsidR="00BC6333" w:rsidRPr="00BC6333" w14:paraId="6BCFE03C" w14:textId="77777777" w:rsidTr="0033503A">
        <w:tc>
          <w:tcPr>
            <w:tcW w:w="1809" w:type="dxa"/>
          </w:tcPr>
          <w:p w14:paraId="090778C7" w14:textId="77777777" w:rsidR="00BC6333" w:rsidRPr="00BC6333" w:rsidRDefault="00BC6333" w:rsidP="00BC6333">
            <w:pPr>
              <w:overflowPunct w:val="0"/>
              <w:autoSpaceDE w:val="0"/>
              <w:autoSpaceDN w:val="0"/>
              <w:adjustRightInd w:val="0"/>
              <w:textAlignment w:val="baseline"/>
              <w:rPr>
                <w:i/>
              </w:rPr>
            </w:pPr>
            <w:r>
              <w:rPr>
                <w:i/>
              </w:rPr>
              <w:t>E-pasts:</w:t>
            </w:r>
          </w:p>
        </w:tc>
        <w:tc>
          <w:tcPr>
            <w:tcW w:w="7371" w:type="dxa"/>
          </w:tcPr>
          <w:p w14:paraId="7EB11DC4" w14:textId="77777777" w:rsidR="00BC6333" w:rsidRPr="00BC6333" w:rsidRDefault="00CB0220" w:rsidP="00BC6333">
            <w:pPr>
              <w:overflowPunct w:val="0"/>
              <w:autoSpaceDE w:val="0"/>
              <w:autoSpaceDN w:val="0"/>
              <w:adjustRightInd w:val="0"/>
              <w:textAlignment w:val="baseline"/>
              <w:rPr>
                <w:i/>
                <w:iCs/>
              </w:rPr>
            </w:pPr>
            <w:hyperlink r:id="rId33" w:history="1">
              <w:r w:rsidR="00FE6829">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087344BF" w:rsidR="00490197" w:rsidRPr="00490197" w:rsidRDefault="00CB0220" w:rsidP="00490197">
      <w:pPr>
        <w:widowControl w:val="0"/>
        <w:numPr>
          <w:ilvl w:val="0"/>
          <w:numId w:val="9"/>
        </w:numPr>
        <w:overflowPunct w:val="0"/>
        <w:autoSpaceDE w:val="0"/>
        <w:autoSpaceDN w:val="0"/>
        <w:adjustRightInd w:val="0"/>
        <w:ind w:left="567" w:hanging="567"/>
        <w:textAlignment w:val="baseline"/>
        <w:rPr>
          <w:b/>
          <w:bCs/>
          <w:szCs w:val="20"/>
        </w:rPr>
      </w:pPr>
      <w:hyperlink r:id="rId34">
        <w:r w:rsidR="00FE6829">
          <w:rPr>
            <w:b/>
            <w:i/>
            <w:color w:val="0000FF"/>
            <w:sz w:val="28"/>
            <w:u w:val="single"/>
          </w:rPr>
          <w:t>Jaunā Eiropas “</w:t>
        </w:r>
        <w:proofErr w:type="spellStart"/>
        <w:r w:rsidR="00FE6829">
          <w:rPr>
            <w:b/>
            <w:i/>
            <w:color w:val="0000FF"/>
            <w:sz w:val="28"/>
            <w:u w:val="single"/>
          </w:rPr>
          <w:t>Bauhaus</w:t>
        </w:r>
        <w:proofErr w:type="spellEnd"/>
        <w:r w:rsidR="00FE6829">
          <w:rPr>
            <w:b/>
            <w:i/>
            <w:color w:val="0000FF"/>
            <w:sz w:val="28"/>
            <w:u w:val="single"/>
          </w:rPr>
          <w:t>” īstenošana</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Ziņotājs:</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r>
              <w:t>Rudolf KOLBE (Pilsoniskās sabiedrības organizāciju grupa – AT)</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Atsauces</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 xml:space="preserve">(COM(2025) 1026 </w:t>
            </w:r>
            <w:proofErr w:type="spellStart"/>
            <w:r>
              <w:t>final</w:t>
            </w:r>
            <w:proofErr w:type="spellEnd"/>
            <w:r>
              <w:t>)</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490197">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Galvenās nostādnes</w:t>
      </w:r>
    </w:p>
    <w:p w14:paraId="08AC2FA3"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490197">
      <w:pPr>
        <w:overflowPunct w:val="0"/>
        <w:autoSpaceDE w:val="0"/>
        <w:autoSpaceDN w:val="0"/>
        <w:adjustRightInd w:val="0"/>
        <w:textAlignment w:val="baseline"/>
        <w:rPr>
          <w:szCs w:val="20"/>
        </w:rPr>
      </w:pPr>
      <w:r>
        <w:t>EESK:</w:t>
      </w:r>
    </w:p>
    <w:p w14:paraId="461B86D3" w14:textId="77777777" w:rsidR="00CE679B" w:rsidRDefault="00CE679B" w:rsidP="00490197">
      <w:pPr>
        <w:overflowPunct w:val="0"/>
        <w:autoSpaceDE w:val="0"/>
        <w:autoSpaceDN w:val="0"/>
        <w:adjustRightInd w:val="0"/>
        <w:textAlignment w:val="baseline"/>
        <w:rPr>
          <w:szCs w:val="20"/>
          <w:lang w:val="en-GB"/>
        </w:rPr>
      </w:pPr>
    </w:p>
    <w:p w14:paraId="7A2B0BBF" w14:textId="55F230DC"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aicina Eiropas Komisiju </w:t>
      </w:r>
      <w:r>
        <w:rPr>
          <w:b/>
        </w:rPr>
        <w:t>izstrādāt galvenos snieguma rādītājus Jaunā Eiropas “</w:t>
      </w:r>
      <w:proofErr w:type="spellStart"/>
      <w:r>
        <w:rPr>
          <w:b/>
        </w:rPr>
        <w:t>Bauhaus</w:t>
      </w:r>
      <w:proofErr w:type="spellEnd"/>
      <w:r>
        <w:rPr>
          <w:b/>
        </w:rPr>
        <w:t>” vērtību un principu horizontālai un transversālai īstenošanai</w:t>
      </w:r>
      <w:r>
        <w:t xml:space="preserve"> jaunajās un pārskatītajās ES </w:t>
      </w:r>
      <w:proofErr w:type="spellStart"/>
      <w:r>
        <w:t>rīcībpolitikās</w:t>
      </w:r>
      <w:proofErr w:type="spellEnd"/>
      <w:r>
        <w:t xml:space="preserve"> un normatīvajos aktos un uzsver Jaunā Eiropas “</w:t>
      </w:r>
      <w:proofErr w:type="spellStart"/>
      <w:r>
        <w:t>Bauhaus</w:t>
      </w:r>
      <w:proofErr w:type="spellEnd"/>
      <w:r>
        <w:t>” un cenas ziņā pieejamu mājokļu politikas nedalāmību, kā arī to, ka nākamajā Jaunā Eiropas “</w:t>
      </w:r>
      <w:proofErr w:type="spellStart"/>
      <w:r>
        <w:t>Bauhaus</w:t>
      </w:r>
      <w:proofErr w:type="spellEnd"/>
      <w:r>
        <w:t>” īstenošanas posmā galvenā uzmanība jāpievērš ieguldījumiem ilgtspējīgos, cenas ziņā pieejamos un kvalitatīvos mājokļos;</w:t>
      </w:r>
    </w:p>
    <w:p w14:paraId="606E997E" w14:textId="474941E9"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atzinīgi vērtē to, ka drīzumā tiks pieņemts </w:t>
      </w:r>
      <w:r>
        <w:rPr>
          <w:b/>
        </w:rPr>
        <w:t>ieteikums par Jauno Eiropas “</w:t>
      </w:r>
      <w:proofErr w:type="spellStart"/>
      <w:r>
        <w:rPr>
          <w:b/>
        </w:rPr>
        <w:t>Bauhaus</w:t>
      </w:r>
      <w:proofErr w:type="spellEnd"/>
      <w:r>
        <w:rPr>
          <w:b/>
        </w:rPr>
        <w:t>”</w:t>
      </w:r>
      <w:r>
        <w:t xml:space="preserve"> un aicina ES dalībvalstis to īstenot kā tiltu starp ES un reģionālo vai vietējo līmeni, jo šajā kontekstā pasākumu koordinēšana ES līmenī var sniegt skaidru pievienoto vērtību, vienlaikus ievērojot subsidiaritāti;</w:t>
      </w:r>
    </w:p>
    <w:p w14:paraId="0E036166" w14:textId="77777777"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aicina Komisiju noteikt, ka gaidāmajā publiskā iepirkuma direktīvu pārskatīšanā publiskajām iestādēm attiecībā uz </w:t>
      </w:r>
      <w:r>
        <w:rPr>
          <w:b/>
        </w:rPr>
        <w:t>pakalpojumiem, kas veido būvēto vidi, ir jādod priekšroka aprites cikla un kvalitātes kritērijiem</w:t>
      </w:r>
      <w:r>
        <w:t xml:space="preserve"> un jāpilnveido, nevis jāmazina profesionālā izcilība, jo tā ir būtisks pamats Jaunā Eiropas “</w:t>
      </w:r>
      <w:proofErr w:type="spellStart"/>
      <w:r>
        <w:t>Bauhaus</w:t>
      </w:r>
      <w:proofErr w:type="spellEnd"/>
      <w:r>
        <w:t>” principu īstenošanai un vienlaikus nodrošina pieejamas prasmju pilnveides iespējas, it īpaši darba ņēmējiem, speciālistiem un MVU.</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Kontaktpersona:</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proofErr w:type="spellStart"/>
            <w:r>
              <w:rPr>
                <w:i/>
              </w:rPr>
              <w:t>Francesco</w:t>
            </w:r>
            <w:proofErr w:type="spellEnd"/>
            <w:r>
              <w:rPr>
                <w:i/>
              </w:rPr>
              <w:t xml:space="preserve"> </w:t>
            </w:r>
            <w:proofErr w:type="spellStart"/>
            <w:r>
              <w:rPr>
                <w:i/>
              </w:rPr>
              <w:t>Napolitano</w:t>
            </w:r>
            <w:proofErr w:type="spellEnd"/>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Tālr.:</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+32 25468921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E-pasts:</w:t>
            </w:r>
          </w:p>
        </w:tc>
        <w:tc>
          <w:tcPr>
            <w:tcW w:w="3922" w:type="pct"/>
          </w:tcPr>
          <w:p w14:paraId="3F6BD3D4" w14:textId="77777777" w:rsidR="00490197" w:rsidRPr="00490197" w:rsidRDefault="00CB0220" w:rsidP="00490197">
            <w:pPr>
              <w:overflowPunct w:val="0"/>
              <w:autoSpaceDE w:val="0"/>
              <w:autoSpaceDN w:val="0"/>
              <w:adjustRightInd w:val="0"/>
              <w:textAlignment w:val="baseline"/>
              <w:rPr>
                <w:i/>
              </w:rPr>
            </w:pPr>
            <w:hyperlink r:id="rId35" w:history="1">
              <w:r w:rsidR="00FE6829">
                <w:rPr>
                  <w:i/>
                  <w:color w:val="0000FF"/>
                  <w:u w:val="single"/>
                </w:rPr>
                <w:t>Francesco.Napolitano@eesc.europa.eu</w:t>
              </w:r>
            </w:hyperlink>
            <w:r w:rsidR="00FE6829">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60726740" w:rsidR="00645AB4" w:rsidRPr="00645AB4" w:rsidRDefault="00645AB4" w:rsidP="00645AB4">
      <w:pPr>
        <w:widowControl w:val="0"/>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lastRenderedPageBreak/>
        <w:fldChar w:fldCharType="begin"/>
      </w:r>
      <w:r w:rsidRPr="00645AB4">
        <w:rPr>
          <w:b/>
          <w:i/>
          <w:sz w:val="28"/>
        </w:rPr>
        <w:instrText>HYPERLINK "https://www.eesc.europa.eu/lv/our-work/opinions-information-reports/opinions/effective-simplification-transport-legislation-while-maintaining-high-social-standards"</w:instrText>
      </w:r>
      <w:r w:rsidRPr="00645AB4">
        <w:rPr>
          <w:b/>
          <w:i/>
          <w:sz w:val="28"/>
        </w:rPr>
        <w:fldChar w:fldCharType="separate"/>
      </w:r>
      <w:r>
        <w:rPr>
          <w:b/>
          <w:i/>
          <w:color w:val="0000FF"/>
          <w:sz w:val="28"/>
          <w:u w:val="single"/>
        </w:rPr>
        <w:t>Transporta tiesību aktu efektīva vienkāršošana, vienlaikus saglabājot augstus sociālos standartus</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7078"/>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Ziņotājs:</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Marco WAGENER (Darba ņēmēju grupa – LU)</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Atsauces</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Izpētes atzinums pēc Eiropas Komisijas pieprasījuma</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645AB4">
      <w:pPr>
        <w:contextualSpacing/>
        <w:rPr>
          <w:b/>
        </w:rPr>
      </w:pPr>
    </w:p>
    <w:p w14:paraId="45F1D2B0" w14:textId="77777777" w:rsidR="00645AB4" w:rsidRPr="00645AB4" w:rsidRDefault="00645AB4" w:rsidP="00645AB4">
      <w:pPr>
        <w:ind w:left="1134" w:hanging="1134"/>
        <w:contextualSpacing/>
        <w:rPr>
          <w:b/>
        </w:rPr>
      </w:pPr>
      <w:r>
        <w:rPr>
          <w:b/>
        </w:rPr>
        <w:t>EESK:</w:t>
      </w:r>
    </w:p>
    <w:p w14:paraId="692C8041" w14:textId="77777777" w:rsidR="00645AB4" w:rsidRPr="00645AB4" w:rsidRDefault="00645AB4" w:rsidP="00645AB4">
      <w:pPr>
        <w:ind w:left="1134" w:hanging="1134"/>
        <w:contextualSpacing/>
        <w:rPr>
          <w:b/>
        </w:rPr>
      </w:pPr>
    </w:p>
    <w:p w14:paraId="6B41210A"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 xml:space="preserve">atzīst nozīmīgo transporta </w:t>
      </w:r>
      <w:proofErr w:type="spellStart"/>
      <w:r>
        <w:t>acquis</w:t>
      </w:r>
      <w:proofErr w:type="spellEnd"/>
      <w:r>
        <w:t xml:space="preserve"> un uzsver, ka pārredzams un prognozējams transporta tiesiskais regulējums ir būtisks ES konkurētspējai un vienlaikus garantē augstus standartus darba ņēmējiem, klientiem un sociālo tiesību jomā. Šie pienākumi ir jāpiemēro arī </w:t>
      </w:r>
      <w:proofErr w:type="spellStart"/>
      <w:r>
        <w:t>ārpussavienības</w:t>
      </w:r>
      <w:proofErr w:type="spellEnd"/>
      <w:r>
        <w:t xml:space="preserve"> subjektiem, kas darbojas vienotajā tirgū. Konkurētspējai, sociālajām tiesībām un vides aizsardzībai arī turpmāk jābūt Eiropas modeļa centrā;</w:t>
      </w:r>
    </w:p>
    <w:p w14:paraId="3C9D7E42"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atbalsta digitalizāciju un sadarbspēju, lai modernizētu ar dokumentiem saistītās prasības pasažieru un kravu pārvadājumu jomā. Droši, pret viltojumiem aizsargāti digitālie rīki var vienkāršot administrēšanu, atbalstīt izpildi un uzlabot darba ņēmēju, darba devēju un pasažieru drošību un tiesības, vienlaikus vienkāršojot administratīvos uzdevumus un respektējot datu privātumu;</w:t>
      </w:r>
    </w:p>
    <w:p w14:paraId="01018D1C"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uzskata, ka ar vienkāršošanu būtu jāveicina digitāla, vieda un uz informāciju balstīta pašreizējo noteikumu piemērošana, it īpaši attiecībā uz darba un atpūtas laiku un darba ņēmēju pārrobežu mobilitāti, padarot nozari pievilcīgāku nepietiekami pārstāvētām grupām un palīdzot novērst darbaspēka trūkumu; Izteikti mobilajai transporta nozares darba videi ir vajadzīgi īpaši pielāgoti sociālās jomas tiesību akti;</w:t>
      </w:r>
    </w:p>
    <w:p w14:paraId="338F2A90"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uzsver sociālā dialoga nozīmi, jo sociālajiem partneriem ir vislabākās iespējas apzināt nevajadzīgus un nesamērīgus noteikumus un strukturētā nozaru dialogā ierosināt praktiskus vienkāršojumus, vienlaikus aizsargājot saimniecisko darbību un sociālos standartus;</w:t>
      </w:r>
    </w:p>
    <w:p w14:paraId="1660A36B" w14:textId="77777777" w:rsidR="00645AB4" w:rsidRPr="00645AB4" w:rsidRDefault="00645AB4" w:rsidP="00645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645AB4" w14:paraId="425F601C" w14:textId="77777777" w:rsidTr="0033503A">
        <w:tc>
          <w:tcPr>
            <w:tcW w:w="1668"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Kontaktpersona:</w:t>
            </w:r>
          </w:p>
        </w:tc>
        <w:tc>
          <w:tcPr>
            <w:tcW w:w="7654"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 xml:space="preserve">Aleksandra </w:t>
            </w:r>
            <w:proofErr w:type="spellStart"/>
            <w:r>
              <w:rPr>
                <w:i/>
              </w:rPr>
              <w:t>Šarman</w:t>
            </w:r>
            <w:proofErr w:type="spellEnd"/>
            <w:r>
              <w:rPr>
                <w:i/>
              </w:rPr>
              <w:t xml:space="preserve"> </w:t>
            </w:r>
            <w:proofErr w:type="spellStart"/>
            <w:r>
              <w:rPr>
                <w:i/>
              </w:rPr>
              <w:t>Grilc</w:t>
            </w:r>
            <w:proofErr w:type="spellEnd"/>
          </w:p>
        </w:tc>
      </w:tr>
      <w:tr w:rsidR="00645AB4" w:rsidRPr="00645AB4" w14:paraId="790D3AFD" w14:textId="77777777" w:rsidTr="0033503A">
        <w:tc>
          <w:tcPr>
            <w:tcW w:w="1668"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Tālr.:</w:t>
            </w:r>
          </w:p>
        </w:tc>
        <w:tc>
          <w:tcPr>
            <w:tcW w:w="7654"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+32 25468333</w:t>
            </w:r>
          </w:p>
        </w:tc>
      </w:tr>
      <w:tr w:rsidR="00645AB4" w:rsidRPr="00645AB4" w14:paraId="09663F49" w14:textId="77777777" w:rsidTr="0033503A">
        <w:trPr>
          <w:trHeight w:val="65"/>
        </w:trPr>
        <w:tc>
          <w:tcPr>
            <w:tcW w:w="1668"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E-pasts:</w:t>
            </w:r>
          </w:p>
        </w:tc>
        <w:tc>
          <w:tcPr>
            <w:tcW w:w="7654" w:type="dxa"/>
          </w:tcPr>
          <w:p w14:paraId="1CEE9F69" w14:textId="77777777" w:rsidR="00645AB4" w:rsidRPr="00645AB4" w:rsidRDefault="00CB0220" w:rsidP="00645AB4">
            <w:pPr>
              <w:overflowPunct w:val="0"/>
              <w:autoSpaceDE w:val="0"/>
              <w:autoSpaceDN w:val="0"/>
              <w:adjustRightInd w:val="0"/>
              <w:ind w:firstLine="29"/>
              <w:textAlignment w:val="baseline"/>
              <w:rPr>
                <w:i/>
                <w:iCs/>
              </w:rPr>
            </w:pPr>
            <w:hyperlink r:id="rId36" w:history="1">
              <w:r w:rsidR="00FE6829">
                <w:rPr>
                  <w:i/>
                  <w:color w:val="0000FF"/>
                  <w:u w:val="single"/>
                </w:rPr>
                <w:t>Aleksandra.SarmanGrilc@eesc.europa.eu</w:t>
              </w:r>
            </w:hyperlink>
            <w:r w:rsidR="00FE6829">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61" w:name="_Toc75527083"/>
      <w:bookmarkStart w:id="62" w:name="_Toc233976398"/>
      <w:r>
        <w:rPr>
          <w:b/>
        </w:rPr>
        <w:lastRenderedPageBreak/>
        <w:t>VIENOTAIS TIRGUS, RAŽOŠANA UN PATĒRIŅŠ</w:t>
      </w:r>
      <w:bookmarkEnd w:id="61"/>
      <w:bookmarkEnd w:id="62"/>
    </w:p>
    <w:p w14:paraId="4982DDF4" w14:textId="77777777" w:rsidR="004D7AC0" w:rsidRDefault="004D7AC0" w:rsidP="001766B2"/>
    <w:p w14:paraId="5E85AFB7" w14:textId="3925607E" w:rsidR="001F5811" w:rsidRPr="001F5811" w:rsidRDefault="00CB0220" w:rsidP="001F5811">
      <w:pPr>
        <w:widowControl w:val="0"/>
        <w:numPr>
          <w:ilvl w:val="0"/>
          <w:numId w:val="4"/>
        </w:numPr>
        <w:overflowPunct w:val="0"/>
        <w:autoSpaceDE w:val="0"/>
        <w:autoSpaceDN w:val="0"/>
        <w:adjustRightInd w:val="0"/>
        <w:ind w:hanging="567"/>
        <w:textAlignment w:val="baseline"/>
        <w:rPr>
          <w:szCs w:val="20"/>
        </w:rPr>
      </w:pPr>
      <w:hyperlink r:id="rId37" w:history="1">
        <w:r w:rsidR="001F5811">
          <w:rPr>
            <w:b/>
            <w:i/>
            <w:color w:val="0000FF"/>
            <w:sz w:val="28"/>
            <w:u w:val="single"/>
          </w:rPr>
          <w:t>Uzņēmējdarbības kopienas un pilsoniskās sabiedrības apsvērumi par Regulas (ES) Nr. 651/2014 par valsts atbalstu (Vispārējās grupu atbrīvojuma regulas – VGAR) pārskatīšanu</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Ziņotājs:</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proofErr w:type="spellStart"/>
            <w:r>
              <w:t>Giuseppe</w:t>
            </w:r>
            <w:proofErr w:type="spellEnd"/>
            <w:r>
              <w:t xml:space="preserve"> GUERINI (Pilsoniskās sabiedrības organizāciju grupa - IT)</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Atsauces</w:t>
            </w:r>
          </w:p>
        </w:tc>
        <w:tc>
          <w:tcPr>
            <w:tcW w:w="3909" w:type="pct"/>
          </w:tcPr>
          <w:p w14:paraId="22EA1514" w14:textId="77777777" w:rsidR="001F5811" w:rsidRPr="001F5811" w:rsidRDefault="001F5811" w:rsidP="001F5811">
            <w:pPr>
              <w:tabs>
                <w:tab w:val="center" w:pos="284"/>
              </w:tabs>
              <w:overflowPunct w:val="0"/>
              <w:autoSpaceDE w:val="0"/>
              <w:autoSpaceDN w:val="0"/>
              <w:adjustRightInd w:val="0"/>
              <w:ind w:left="266" w:hanging="266"/>
              <w:textAlignment w:val="baseline"/>
            </w:pPr>
            <w:r>
              <w:t>Pašiniciatīvas atzinums</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Galvenās nostādnes</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EESK:</w:t>
      </w:r>
    </w:p>
    <w:p w14:paraId="5C6B143F" w14:textId="77777777" w:rsidR="008B50BB" w:rsidRPr="001F5811" w:rsidRDefault="008B50BB" w:rsidP="001F5811">
      <w:pPr>
        <w:overflowPunct w:val="0"/>
        <w:autoSpaceDE w:val="0"/>
        <w:autoSpaceDN w:val="0"/>
        <w:adjustRightInd w:val="0"/>
        <w:textAlignment w:val="baseline"/>
        <w:rPr>
          <w:bCs/>
          <w:iCs/>
          <w:lang w:val="en-GB"/>
        </w:rPr>
      </w:pPr>
    </w:p>
    <w:p w14:paraId="67AB1500"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atzinīgi vērtē to, ka Komisija ir pārskatījusi VGAR</w:t>
      </w:r>
      <w:r>
        <w:t xml:space="preserve">, un atbalsta tās mērķi modernizēt un vienkāršot atbrīvojumus no valsts atbalsta, paplašināt </w:t>
      </w:r>
      <w:proofErr w:type="spellStart"/>
      <w:r>
        <w:t>atbalsttiesīgās</w:t>
      </w:r>
      <w:proofErr w:type="spellEnd"/>
      <w:r>
        <w:t xml:space="preserve"> kategorijas un uzlabot skaidrību un juridisko noteiktību pirms tās stāšanās spēkā 2027. gada 1. janvārī;</w:t>
      </w:r>
    </w:p>
    <w:p w14:paraId="2951888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stingri atbalsta vienkāršošanas centienus</w:t>
      </w:r>
      <w:r>
        <w:t xml:space="preserve">, it īpaši to, ka plašāk izmanto </w:t>
      </w:r>
      <w:r>
        <w:rPr>
          <w:b/>
        </w:rPr>
        <w:t>vienkāršotas izmaksu iespējas</w:t>
      </w:r>
      <w:r>
        <w:t xml:space="preserve"> (vienotas likmes, vienības izmaksas, vienreizēji maksājumi), lai samazinātu birokrātiju un atbilstības nodrošināšanas izmaksas, un vienlaikus atzīmē, ka teksts joprojām ir tehniski sarežģīts un prasa lietotājdraudzīgāku pieeju;</w:t>
      </w:r>
    </w:p>
    <w:p w14:paraId="37F0641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aicina sniegt lielāku atbalstu īstenošanai</w:t>
      </w:r>
      <w:r>
        <w:t xml:space="preserve"> un mudina Komisiju un dalībvalstis ieguldīt valsts/reģionālo/vietējo pārvaldes iestāžu </w:t>
      </w:r>
      <w:r>
        <w:rPr>
          <w:b/>
        </w:rPr>
        <w:t>apmācībā un spēju veidošanā</w:t>
      </w:r>
      <w:r>
        <w:t xml:space="preserve"> un publicēt </w:t>
      </w:r>
      <w:r>
        <w:rPr>
          <w:b/>
        </w:rPr>
        <w:t>norādījumu dokumentu</w:t>
      </w:r>
      <w:r>
        <w:t xml:space="preserve"> (kas tiek regulāri atjaunināts un apspriests);</w:t>
      </w:r>
    </w:p>
    <w:p w14:paraId="1C3D6CA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norāda uz galvenajiem darbības jomas un politikas atjauninājumiem</w:t>
      </w:r>
      <w:r>
        <w:t xml:space="preserve">, tostarp </w:t>
      </w:r>
      <w:r>
        <w:rPr>
          <w:b/>
        </w:rPr>
        <w:t>VGAR attiecināšanu uz lauksaimniecību</w:t>
      </w:r>
      <w:r>
        <w:t xml:space="preserve"> (skaidri koordinējot ar </w:t>
      </w:r>
      <w:r>
        <w:rPr>
          <w:b/>
        </w:rPr>
        <w:t>LGAR</w:t>
      </w:r>
      <w:r>
        <w:t xml:space="preserve">), sociālo uzņēmumu skaidru atzīšanu (saskaņā ar Sociālās ekonomikas rīcības plāna definīciju) un jaunus noteikumus par </w:t>
      </w:r>
      <w:r>
        <w:rPr>
          <w:b/>
        </w:rPr>
        <w:t>sociālajiem un cenas ziņā pieejamiem mājokļiem</w:t>
      </w:r>
      <w:r>
        <w:t xml:space="preserve"> saskaņā ar Lēmumu (ES) 2025/2630;</w:t>
      </w:r>
    </w:p>
    <w:p w14:paraId="7B7EEEE7"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izceļ godīgu konkurenci līdztekus sociālajiem aizsardzības pasākumiem</w:t>
      </w:r>
      <w:r>
        <w:t xml:space="preserve">, atzinīgi vērtē lielāku atbalstu </w:t>
      </w:r>
      <w:r>
        <w:rPr>
          <w:b/>
        </w:rPr>
        <w:t>nelabvēlīgākā situācijā esošiem darba ņēmējiem un personām ar invaliditāti</w:t>
      </w:r>
      <w:r>
        <w:t xml:space="preserve"> (tostarp priekšlikumu atzīt </w:t>
      </w:r>
      <w:r>
        <w:rPr>
          <w:b/>
        </w:rPr>
        <w:t>darba integrācijas sociālos uzņēmumus</w:t>
      </w:r>
      <w:r>
        <w:t xml:space="preserve">), vienlaikus uzsver, ka atbalsta saņēmējiem ir jāievēro </w:t>
      </w:r>
      <w:r>
        <w:rPr>
          <w:b/>
        </w:rPr>
        <w:t>darba aizsardzības un sociālās atbildības kritēriji</w:t>
      </w:r>
      <w:r>
        <w:t xml:space="preserve"> un ka finanšu starpniecības noteikumiem būtu jānodrošina ātra īstenošana bez nepamatotiem traucējumiem.</w:t>
      </w:r>
    </w:p>
    <w:p w14:paraId="4FA00DC0" w14:textId="77777777" w:rsidR="001F5811" w:rsidRPr="001F5811" w:rsidRDefault="001F5811" w:rsidP="001F5811">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7694"/>
      </w:tblGrid>
      <w:tr w:rsidR="001F5811" w:rsidRPr="001F5811" w14:paraId="41C90AC1" w14:textId="77777777" w:rsidTr="0033503A">
        <w:tc>
          <w:tcPr>
            <w:tcW w:w="742" w:type="pct"/>
          </w:tcPr>
          <w:p w14:paraId="4A3C6613" w14:textId="77777777" w:rsidR="001F5811" w:rsidRPr="001F5811" w:rsidRDefault="001F5811" w:rsidP="001F5811">
            <w:pPr>
              <w:overflowPunct w:val="0"/>
              <w:autoSpaceDE w:val="0"/>
              <w:autoSpaceDN w:val="0"/>
              <w:adjustRightInd w:val="0"/>
              <w:textAlignment w:val="baseline"/>
              <w:rPr>
                <w:i/>
              </w:rPr>
            </w:pPr>
            <w:r>
              <w:rPr>
                <w:b/>
                <w:i/>
              </w:rPr>
              <w:t>Kontaktpersona:</w:t>
            </w:r>
          </w:p>
        </w:tc>
        <w:tc>
          <w:tcPr>
            <w:tcW w:w="4258" w:type="pct"/>
          </w:tcPr>
          <w:p w14:paraId="0A24D341" w14:textId="1065C5E8" w:rsidR="001F5811" w:rsidRPr="001F5811" w:rsidRDefault="001F5811" w:rsidP="001F5811">
            <w:pPr>
              <w:overflowPunct w:val="0"/>
              <w:autoSpaceDE w:val="0"/>
              <w:autoSpaceDN w:val="0"/>
              <w:adjustRightInd w:val="0"/>
              <w:textAlignment w:val="baseline"/>
              <w:rPr>
                <w:i/>
              </w:rPr>
            </w:pPr>
            <w:r>
              <w:rPr>
                <w:i/>
              </w:rPr>
              <w:t xml:space="preserve">Silvia </w:t>
            </w:r>
            <w:proofErr w:type="spellStart"/>
            <w:r>
              <w:rPr>
                <w:i/>
              </w:rPr>
              <w:t>Staffa</w:t>
            </w:r>
            <w:proofErr w:type="spellEnd"/>
          </w:p>
        </w:tc>
      </w:tr>
      <w:tr w:rsidR="001F5811" w:rsidRPr="001F5811" w14:paraId="5DD1E7F5" w14:textId="77777777" w:rsidTr="0033503A">
        <w:tc>
          <w:tcPr>
            <w:tcW w:w="742" w:type="pct"/>
          </w:tcPr>
          <w:p w14:paraId="58AE530C" w14:textId="77777777" w:rsidR="001F5811" w:rsidRPr="001F5811" w:rsidRDefault="001F5811" w:rsidP="001F5811">
            <w:pPr>
              <w:overflowPunct w:val="0"/>
              <w:autoSpaceDE w:val="0"/>
              <w:autoSpaceDN w:val="0"/>
              <w:adjustRightInd w:val="0"/>
              <w:textAlignment w:val="baseline"/>
              <w:rPr>
                <w:i/>
              </w:rPr>
            </w:pPr>
            <w:r>
              <w:rPr>
                <w:i/>
              </w:rPr>
              <w:t>Tālr.:</w:t>
            </w:r>
          </w:p>
        </w:tc>
        <w:tc>
          <w:tcPr>
            <w:tcW w:w="4258" w:type="pct"/>
          </w:tcPr>
          <w:p w14:paraId="32B4D165" w14:textId="77777777" w:rsidR="001F5811" w:rsidRPr="001F5811" w:rsidRDefault="001F5811" w:rsidP="001F5811">
            <w:pPr>
              <w:overflowPunct w:val="0"/>
              <w:autoSpaceDE w:val="0"/>
              <w:autoSpaceDN w:val="0"/>
              <w:adjustRightInd w:val="0"/>
              <w:textAlignment w:val="baseline"/>
              <w:rPr>
                <w:i/>
              </w:rPr>
            </w:pPr>
            <w:r>
              <w:rPr>
                <w:i/>
              </w:rPr>
              <w:t>+32 25468378</w:t>
            </w:r>
          </w:p>
        </w:tc>
      </w:tr>
      <w:tr w:rsidR="001F5811" w:rsidRPr="001F5811" w14:paraId="3F8E7700" w14:textId="77777777" w:rsidTr="0033503A">
        <w:tc>
          <w:tcPr>
            <w:tcW w:w="742" w:type="pct"/>
          </w:tcPr>
          <w:p w14:paraId="58BC7ACB" w14:textId="77777777" w:rsidR="001F5811" w:rsidRPr="001F5811" w:rsidRDefault="001F5811" w:rsidP="001F5811">
            <w:pPr>
              <w:overflowPunct w:val="0"/>
              <w:autoSpaceDE w:val="0"/>
              <w:autoSpaceDN w:val="0"/>
              <w:adjustRightInd w:val="0"/>
              <w:textAlignment w:val="baseline"/>
              <w:rPr>
                <w:i/>
              </w:rPr>
            </w:pPr>
            <w:r>
              <w:rPr>
                <w:i/>
              </w:rPr>
              <w:t>E-pasts:</w:t>
            </w:r>
          </w:p>
        </w:tc>
        <w:tc>
          <w:tcPr>
            <w:tcW w:w="4258" w:type="pct"/>
          </w:tcPr>
          <w:p w14:paraId="51BFA0F3" w14:textId="77777777" w:rsidR="001F5811" w:rsidRPr="001F5811" w:rsidRDefault="00CB0220" w:rsidP="001F5811">
            <w:pPr>
              <w:overflowPunct w:val="0"/>
              <w:autoSpaceDE w:val="0"/>
              <w:autoSpaceDN w:val="0"/>
              <w:adjustRightInd w:val="0"/>
              <w:textAlignment w:val="baseline"/>
              <w:rPr>
                <w:i/>
                <w:iCs/>
              </w:rPr>
            </w:pPr>
            <w:hyperlink r:id="rId38" w:history="1">
              <w:r w:rsidR="00FE6829">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63" w:name="_Toc70322234"/>
      <w:bookmarkStart w:id="64" w:name="_Toc75527084"/>
      <w:bookmarkStart w:id="65" w:name="_Toc232773780"/>
      <w:bookmarkStart w:id="66" w:name="_Toc233976399"/>
      <w:r>
        <w:rPr>
          <w:b/>
        </w:rPr>
        <w:lastRenderedPageBreak/>
        <w:t>LAUKSAIMNIECĪBA, LAUKU ATTĪSTĪBA UN VIDE</w:t>
      </w:r>
      <w:bookmarkEnd w:id="63"/>
      <w:bookmarkEnd w:id="64"/>
      <w:bookmarkEnd w:id="65"/>
      <w:bookmarkEnd w:id="66"/>
    </w:p>
    <w:p w14:paraId="4982DE20" w14:textId="77777777" w:rsidR="004D7AC0" w:rsidRDefault="004D7AC0" w:rsidP="001766B2"/>
    <w:p w14:paraId="599FEAFA" w14:textId="3FBCFDB1" w:rsidR="00180329" w:rsidRPr="00180329" w:rsidRDefault="00CB0220" w:rsidP="00180329">
      <w:pPr>
        <w:widowControl w:val="0"/>
        <w:numPr>
          <w:ilvl w:val="0"/>
          <w:numId w:val="4"/>
        </w:numPr>
        <w:overflowPunct w:val="0"/>
        <w:autoSpaceDE w:val="0"/>
        <w:autoSpaceDN w:val="0"/>
        <w:adjustRightInd w:val="0"/>
        <w:ind w:hanging="567"/>
        <w:textAlignment w:val="baseline"/>
        <w:rPr>
          <w:b/>
          <w:bCs/>
          <w:szCs w:val="20"/>
        </w:rPr>
      </w:pPr>
      <w:hyperlink r:id="rId39" w:history="1">
        <w:r w:rsidR="00FE6829">
          <w:rPr>
            <w:b/>
            <w:i/>
            <w:color w:val="0000FF"/>
            <w:sz w:val="28"/>
            <w:u w:val="single"/>
          </w:rPr>
          <w:t>Reģionālo zvejniecības pārvaldības organizāciju (RZPO) pasākumu transponēšana: RZPO II</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Atsauces</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C kategorijas atzinums</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 xml:space="preserve">COM(2026) 198 </w:t>
            </w:r>
            <w:proofErr w:type="spellStart"/>
            <w:r>
              <w:t>final</w:t>
            </w:r>
            <w:proofErr w:type="spellEnd"/>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180329" w:rsidRDefault="00180329" w:rsidP="00180329">
      <w:pPr>
        <w:tabs>
          <w:tab w:val="center" w:pos="284"/>
        </w:tabs>
        <w:overflowPunct w:val="0"/>
        <w:autoSpaceDE w:val="0"/>
        <w:autoSpaceDN w:val="0"/>
        <w:adjustRightInd w:val="0"/>
        <w:ind w:left="266" w:hanging="266"/>
        <w:textAlignment w:val="baseline"/>
        <w:rPr>
          <w:b/>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Galvenās nostādnes</w:t>
      </w:r>
    </w:p>
    <w:p w14:paraId="705E9329"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lang w:val="en-GB"/>
        </w:rPr>
      </w:pPr>
    </w:p>
    <w:p w14:paraId="7EFE52D9" w14:textId="67F7E341" w:rsidR="00180329" w:rsidRPr="00180329" w:rsidRDefault="00180329" w:rsidP="00AD2F07">
      <w:pPr>
        <w:overflowPunct w:val="0"/>
        <w:autoSpaceDE w:val="0"/>
        <w:autoSpaceDN w:val="0"/>
        <w:adjustRightInd w:val="0"/>
        <w:textAlignment w:val="baseline"/>
      </w:pPr>
      <w:r>
        <w:t>Par minētā priekšlikuma saturu EESK savu viedokli jau paudusi atzinumos:</w:t>
      </w:r>
    </w:p>
    <w:p w14:paraId="7DBD4597"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sidR="00180329">
          <w:rPr>
            <w:i/>
            <w:color w:val="0000FF"/>
            <w:u w:val="single"/>
          </w:rPr>
          <w:t>Grozījumi regulās, kas attiecas uz starptautisko zvejniecību (NAFO, SPRFMO, IOTC, WCPFC, IATTC un ICCAT)</w:t>
        </w:r>
        <w:r w:rsidR="00180329" w:rsidRPr="00180329">
          <w:rPr>
            <w:i/>
            <w:iCs/>
            <w:sz w:val="24"/>
            <w:vertAlign w:val="superscript"/>
            <w:lang w:val="en-GB" w:eastAsia="zh-CN"/>
          </w:rPr>
          <w:footnoteReference w:id="2"/>
        </w:r>
      </w:hyperlink>
      <w:r w:rsidR="00180329">
        <w:t>, pieņemts 2025. gada 16. jūlijā,</w:t>
      </w:r>
    </w:p>
    <w:p w14:paraId="6123AE4F"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sidR="00180329">
          <w:rPr>
            <w:i/>
            <w:iCs/>
            <w:color w:val="0000FF"/>
            <w:u w:val="single"/>
          </w:rPr>
          <w:t>Zvejniecība – NAFO</w:t>
        </w:r>
      </w:hyperlink>
      <w:r w:rsidR="00180329" w:rsidRPr="00180329">
        <w:rPr>
          <w:sz w:val="24"/>
          <w:vertAlign w:val="superscript"/>
          <w:lang w:val="en-GB" w:eastAsia="zh-CN"/>
        </w:rPr>
        <w:footnoteReference w:id="3"/>
      </w:r>
      <w:r w:rsidR="00180329">
        <w:t>, pieņemts 2023. gada 15. jūnijā,</w:t>
      </w:r>
    </w:p>
    <w:p w14:paraId="30E301AA"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sidR="00180329">
          <w:rPr>
            <w:i/>
            <w:iCs/>
            <w:color w:val="0000FF"/>
            <w:u w:val="single"/>
          </w:rPr>
          <w:t>Saglabāšanas un izpildes panākšanas pasākumi – NAFO</w:t>
        </w:r>
      </w:hyperlink>
      <w:r w:rsidR="00180329" w:rsidRPr="00180329">
        <w:rPr>
          <w:sz w:val="24"/>
          <w:vertAlign w:val="superscript"/>
          <w:lang w:val="en-GB" w:eastAsia="zh-CN"/>
        </w:rPr>
        <w:footnoteReference w:id="4"/>
      </w:r>
      <w:r w:rsidR="00180329">
        <w:t>, pieņemts 2022. gada 24. martā,</w:t>
      </w:r>
    </w:p>
    <w:p w14:paraId="0FC39EFE"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sidR="00180329">
          <w:rPr>
            <w:i/>
            <w:iCs/>
            <w:color w:val="0000FF"/>
            <w:u w:val="single"/>
          </w:rPr>
          <w:t>Atlantijas tunzivju saglabāšana (ICCAT)</w:t>
        </w:r>
      </w:hyperlink>
      <w:r w:rsidR="00180329" w:rsidRPr="00180329">
        <w:rPr>
          <w:sz w:val="24"/>
          <w:vertAlign w:val="superscript"/>
          <w:lang w:val="en-GB" w:eastAsia="zh-CN"/>
        </w:rPr>
        <w:footnoteReference w:id="5"/>
      </w:r>
      <w:r w:rsidR="00180329">
        <w:t>, pieņemts 2022. gada 15. jūnijā,</w:t>
      </w:r>
    </w:p>
    <w:p w14:paraId="5EB72DA5"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sidR="00180329">
          <w:rPr>
            <w:i/>
            <w:color w:val="0000FF"/>
            <w:u w:val="single"/>
          </w:rPr>
          <w:t>Zilās tunzivs nozvejas dokumentēšana</w:t>
        </w:r>
        <w:r w:rsidR="00180329" w:rsidRPr="00180329">
          <w:rPr>
            <w:sz w:val="24"/>
            <w:vertAlign w:val="superscript"/>
            <w:lang w:val="en-GB" w:eastAsia="zh-CN"/>
          </w:rPr>
          <w:footnoteReference w:id="6"/>
        </w:r>
      </w:hyperlink>
      <w:r w:rsidR="00180329">
        <w:t>, pieņemts 2021. gada 27. janvārī,</w:t>
      </w:r>
    </w:p>
    <w:p w14:paraId="345EF5B3"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sidR="00180329">
          <w:rPr>
            <w:i/>
            <w:color w:val="0000FF"/>
            <w:u w:val="single"/>
          </w:rPr>
          <w:t>Zivsaimniecība – IATTC pasākumu transponēšana</w:t>
        </w:r>
        <w:r w:rsidR="00180329" w:rsidRPr="00180329">
          <w:rPr>
            <w:sz w:val="24"/>
            <w:vertAlign w:val="superscript"/>
            <w:lang w:val="en-GB" w:eastAsia="zh-CN"/>
          </w:rPr>
          <w:footnoteReference w:id="7"/>
        </w:r>
      </w:hyperlink>
      <w:r w:rsidR="00180329">
        <w:t>, pieņemts 2020. gada 2. decembrī,</w:t>
      </w:r>
    </w:p>
    <w:p w14:paraId="3A0496F0"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sidR="00180329">
          <w:rPr>
            <w:i/>
            <w:color w:val="0000FF"/>
            <w:u w:val="single"/>
          </w:rPr>
          <w:t>Saglabāšanas un izpildes panākšanas pasākumi – NAFO</w:t>
        </w:r>
      </w:hyperlink>
      <w:r w:rsidR="00180329" w:rsidRPr="00180329">
        <w:rPr>
          <w:sz w:val="24"/>
          <w:vertAlign w:val="superscript"/>
          <w:lang w:val="en-GB" w:eastAsia="zh-CN"/>
        </w:rPr>
        <w:footnoteReference w:id="8"/>
      </w:r>
      <w:r w:rsidR="00180329">
        <w:t>, pieņemts 2020. gada 18. septembrī,</w:t>
      </w:r>
    </w:p>
    <w:p w14:paraId="5D1F56E4"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7" w:history="1">
        <w:r w:rsidR="00180329">
          <w:rPr>
            <w:i/>
            <w:color w:val="0000FF"/>
            <w:u w:val="single"/>
          </w:rPr>
          <w:t>Zilās tunzivs krājumu daudzgadu pārvaldības plāns</w:t>
        </w:r>
      </w:hyperlink>
      <w:r w:rsidR="00180329" w:rsidRPr="00180329">
        <w:rPr>
          <w:sz w:val="24"/>
          <w:vertAlign w:val="superscript"/>
          <w:lang w:val="en-GB" w:eastAsia="zh-CN"/>
        </w:rPr>
        <w:footnoteReference w:id="9"/>
      </w:r>
      <w:r w:rsidR="00180329">
        <w:t>, pieņemts 2020. gada 7. maijā,</w:t>
      </w:r>
    </w:p>
    <w:p w14:paraId="165563A3"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sidR="00180329">
          <w:rPr>
            <w:i/>
            <w:color w:val="0000FF"/>
            <w:u w:val="single"/>
          </w:rPr>
          <w:t>Saglabāšanas un kontroles pasākumi Ziemeļrietumu Atlantijas zvejniecības organizācijas pārvaldes apgabalā</w:t>
        </w:r>
      </w:hyperlink>
      <w:r w:rsidR="00180329" w:rsidRPr="00180329">
        <w:rPr>
          <w:sz w:val="24"/>
          <w:vertAlign w:val="superscript"/>
          <w:lang w:val="en-GB" w:eastAsia="zh-CN"/>
        </w:rPr>
        <w:footnoteReference w:id="10"/>
      </w:r>
      <w:r w:rsidR="00180329">
        <w:t>, pieņemts 2019. gada 23. janvārī,</w:t>
      </w:r>
    </w:p>
    <w:p w14:paraId="64DC32E3" w14:textId="77777777" w:rsidR="00180329" w:rsidRPr="00180329" w:rsidRDefault="00CB0220"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sidR="00180329">
          <w:rPr>
            <w:i/>
            <w:iCs/>
            <w:color w:val="0000FF"/>
            <w:u w:val="single"/>
          </w:rPr>
          <w:t>Atlantijas tunzivju saglabāšana</w:t>
        </w:r>
      </w:hyperlink>
      <w:r w:rsidR="00180329" w:rsidRPr="00180329">
        <w:rPr>
          <w:sz w:val="24"/>
          <w:vertAlign w:val="superscript"/>
          <w:lang w:val="en-GB" w:eastAsia="zh-CN"/>
        </w:rPr>
        <w:footnoteReference w:id="11"/>
      </w:r>
      <w:r w:rsidR="00180329">
        <w:t>, pieņemts 2016. gada 19. oktobrī,</w:t>
      </w:r>
    </w:p>
    <w:p w14:paraId="6E992406" w14:textId="77777777" w:rsidR="00180329" w:rsidRPr="00180329" w:rsidRDefault="00CB0220" w:rsidP="00AD2F07">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hyperlink r:id="rId50" w:history="1">
        <w:r w:rsidR="00180329">
          <w:rPr>
            <w:i/>
            <w:color w:val="0000FF"/>
            <w:u w:val="single"/>
          </w:rPr>
          <w:t>Zvejas atļaujas</w:t>
        </w:r>
        <w:r w:rsidR="00180329" w:rsidRPr="00180329">
          <w:rPr>
            <w:sz w:val="24"/>
            <w:vertAlign w:val="superscript"/>
            <w:lang w:val="en-GB" w:eastAsia="zh-CN"/>
          </w:rPr>
          <w:footnoteReference w:id="12"/>
        </w:r>
      </w:hyperlink>
      <w:r w:rsidR="00180329">
        <w:t>, pieņemts 2016. gada 25. maijā,</w:t>
      </w:r>
    </w:p>
    <w:p w14:paraId="4114B3A9" w14:textId="77777777" w:rsidR="00180329" w:rsidRPr="00180329" w:rsidRDefault="00180329" w:rsidP="00AD2F07">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tā ir pieņēmusi lēmumu jaunu atzinumu par šo tematu neizstrādāt, bet atsaukties uz nostāju, ko tā paudusi šeit uzskaitītajos dokumentos.</w:t>
      </w:r>
    </w:p>
    <w:p w14:paraId="523D4025" w14:textId="77777777" w:rsidR="00180329" w:rsidRPr="00180329" w:rsidRDefault="00180329" w:rsidP="00180329">
      <w:pPr>
        <w:widowControl w:val="0"/>
        <w:tabs>
          <w:tab w:val="left" w:pos="2968"/>
        </w:tabs>
        <w:overflowPunct w:val="0"/>
        <w:autoSpaceDE w:val="0"/>
        <w:autoSpaceDN w:val="0"/>
        <w:adjustRightInd w:val="0"/>
        <w:ind w:left="709"/>
        <w:textAlignment w:val="baseline"/>
        <w:rPr>
          <w:szCs w:val="20"/>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180329">
            <w:pPr>
              <w:overflowPunct w:val="0"/>
              <w:autoSpaceDE w:val="0"/>
              <w:autoSpaceDN w:val="0"/>
              <w:adjustRightInd w:val="0"/>
              <w:textAlignment w:val="baseline"/>
              <w:rPr>
                <w:i/>
              </w:rPr>
            </w:pPr>
            <w:r>
              <w:rPr>
                <w:b/>
                <w:i/>
              </w:rPr>
              <w:t>Kontaktpersona:</w:t>
            </w:r>
          </w:p>
        </w:tc>
        <w:tc>
          <w:tcPr>
            <w:tcW w:w="3922" w:type="pct"/>
          </w:tcPr>
          <w:p w14:paraId="39F2A099" w14:textId="77777777" w:rsidR="00180329" w:rsidRPr="00180329" w:rsidRDefault="00180329" w:rsidP="00180329">
            <w:pPr>
              <w:overflowPunct w:val="0"/>
              <w:autoSpaceDE w:val="0"/>
              <w:autoSpaceDN w:val="0"/>
              <w:adjustRightInd w:val="0"/>
              <w:textAlignment w:val="baseline"/>
              <w:rPr>
                <w:i/>
              </w:rPr>
            </w:pPr>
            <w:proofErr w:type="spellStart"/>
            <w:r>
              <w:rPr>
                <w:i/>
              </w:rPr>
              <w:t>Arturo</w:t>
            </w:r>
            <w:proofErr w:type="spellEnd"/>
            <w:r>
              <w:rPr>
                <w:i/>
              </w:rPr>
              <w:t xml:space="preserve"> </w:t>
            </w:r>
            <w:proofErr w:type="spellStart"/>
            <w:r>
              <w:rPr>
                <w:i/>
              </w:rPr>
              <w:t>Iniguez</w:t>
            </w:r>
            <w:proofErr w:type="spellEnd"/>
            <w:r>
              <w:rPr>
                <w:i/>
              </w:rPr>
              <w:t xml:space="preserve"> </w:t>
            </w:r>
            <w:proofErr w:type="spellStart"/>
            <w:r>
              <w:rPr>
                <w:i/>
              </w:rPr>
              <w:t>Yuste</w:t>
            </w:r>
            <w:proofErr w:type="spellEnd"/>
          </w:p>
        </w:tc>
      </w:tr>
      <w:tr w:rsidR="00180329" w:rsidRPr="00180329" w14:paraId="534D3AAA" w14:textId="77777777" w:rsidTr="0033503A">
        <w:tc>
          <w:tcPr>
            <w:tcW w:w="1078" w:type="pct"/>
          </w:tcPr>
          <w:p w14:paraId="47B5DB5A" w14:textId="77777777" w:rsidR="00180329" w:rsidRPr="00180329" w:rsidRDefault="00180329" w:rsidP="00180329">
            <w:pPr>
              <w:overflowPunct w:val="0"/>
              <w:autoSpaceDE w:val="0"/>
              <w:autoSpaceDN w:val="0"/>
              <w:adjustRightInd w:val="0"/>
              <w:textAlignment w:val="baseline"/>
              <w:rPr>
                <w:i/>
              </w:rPr>
            </w:pPr>
            <w:r>
              <w:rPr>
                <w:i/>
              </w:rPr>
              <w:t>Tālr.:</w:t>
            </w:r>
          </w:p>
        </w:tc>
        <w:tc>
          <w:tcPr>
            <w:tcW w:w="3922" w:type="pct"/>
          </w:tcPr>
          <w:p w14:paraId="26ACEEAD" w14:textId="77777777" w:rsidR="00180329" w:rsidRPr="00180329" w:rsidRDefault="00180329" w:rsidP="00180329">
            <w:pPr>
              <w:overflowPunct w:val="0"/>
              <w:autoSpaceDE w:val="0"/>
              <w:autoSpaceDN w:val="0"/>
              <w:adjustRightInd w:val="0"/>
              <w:textAlignment w:val="baseline"/>
              <w:rPr>
                <w:i/>
              </w:rPr>
            </w:pPr>
            <w:r>
              <w:rPr>
                <w:i/>
              </w:rPr>
              <w:t>+32 25468768</w:t>
            </w:r>
          </w:p>
        </w:tc>
      </w:tr>
      <w:tr w:rsidR="00180329" w:rsidRPr="00180329" w14:paraId="3A1C7590" w14:textId="77777777" w:rsidTr="0033503A">
        <w:tc>
          <w:tcPr>
            <w:tcW w:w="1078" w:type="pct"/>
          </w:tcPr>
          <w:p w14:paraId="54D0611A" w14:textId="448EAB74" w:rsidR="00180329" w:rsidRPr="00180329" w:rsidRDefault="00180329" w:rsidP="00180329">
            <w:pPr>
              <w:overflowPunct w:val="0"/>
              <w:autoSpaceDE w:val="0"/>
              <w:autoSpaceDN w:val="0"/>
              <w:adjustRightInd w:val="0"/>
              <w:textAlignment w:val="baseline"/>
              <w:rPr>
                <w:i/>
              </w:rPr>
            </w:pPr>
            <w:r>
              <w:rPr>
                <w:i/>
              </w:rPr>
              <w:t>E-pasts:</w:t>
            </w:r>
          </w:p>
        </w:tc>
        <w:tc>
          <w:tcPr>
            <w:tcW w:w="3922" w:type="pct"/>
          </w:tcPr>
          <w:p w14:paraId="5929F803" w14:textId="77777777" w:rsidR="00180329" w:rsidRPr="00180329" w:rsidRDefault="00CB0220" w:rsidP="00180329">
            <w:pPr>
              <w:overflowPunct w:val="0"/>
              <w:autoSpaceDE w:val="0"/>
              <w:autoSpaceDN w:val="0"/>
              <w:adjustRightInd w:val="0"/>
              <w:textAlignment w:val="baseline"/>
              <w:rPr>
                <w:i/>
                <w:iCs/>
              </w:rPr>
            </w:pPr>
            <w:hyperlink r:id="rId51" w:history="1">
              <w:r w:rsidR="00FE6829">
                <w:rPr>
                  <w:i/>
                  <w:color w:val="0000FF"/>
                  <w:u w:val="single"/>
                </w:rPr>
                <w:t>Arturo.Iniguez@eesc.europa.eu</w:t>
              </w:r>
            </w:hyperlink>
          </w:p>
        </w:tc>
      </w:tr>
    </w:tbl>
    <w:p w14:paraId="59827EFE" w14:textId="77777777" w:rsidR="00F66035" w:rsidRDefault="00F66035">
      <w:pPr>
        <w:spacing w:after="160" w:line="259" w:lineRule="auto"/>
        <w:jc w:val="left"/>
        <w:rPr>
          <w:b/>
          <w:bCs/>
          <w:i/>
          <w:iCs/>
          <w:sz w:val="28"/>
          <w:szCs w:val="28"/>
        </w:rPr>
      </w:pPr>
      <w:r>
        <w:br w:type="page"/>
      </w:r>
    </w:p>
    <w:p w14:paraId="2E27F48E" w14:textId="2BD63052" w:rsidR="00C7486E" w:rsidRPr="00C7486E" w:rsidRDefault="00CB0220" w:rsidP="00C7486E">
      <w:pPr>
        <w:widowControl w:val="0"/>
        <w:numPr>
          <w:ilvl w:val="0"/>
          <w:numId w:val="4"/>
        </w:numPr>
        <w:overflowPunct w:val="0"/>
        <w:autoSpaceDE w:val="0"/>
        <w:autoSpaceDN w:val="0"/>
        <w:adjustRightInd w:val="0"/>
        <w:ind w:hanging="567"/>
        <w:textAlignment w:val="baseline"/>
        <w:rPr>
          <w:b/>
          <w:bCs/>
          <w:szCs w:val="20"/>
        </w:rPr>
      </w:pPr>
      <w:hyperlink r:id="rId52" w:history="1">
        <w:r w:rsidR="00FE6829">
          <w:rPr>
            <w:b/>
            <w:i/>
            <w:color w:val="0000FF"/>
            <w:sz w:val="28"/>
            <w:u w:val="single"/>
          </w:rPr>
          <w:t>Aizliegums eksportēt atgūšanai paredzētus jauktus sadzīves atkritumus</w:t>
        </w:r>
      </w:hyperlink>
    </w:p>
    <w:p w14:paraId="4DDDC07B" w14:textId="77777777" w:rsidR="00C7486E" w:rsidRDefault="00C7486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Atsauces</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C kategorijas atzinums</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 xml:space="preserve">COM(2026) 183 </w:t>
            </w:r>
            <w:proofErr w:type="spellStart"/>
            <w:r>
              <w:t>final</w:t>
            </w:r>
            <w:proofErr w:type="spellEnd"/>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Galvenās nostādnes</w:t>
      </w:r>
    </w:p>
    <w:p w14:paraId="7464BB98"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lang w:val="en-GB"/>
        </w:rPr>
      </w:pPr>
    </w:p>
    <w:p w14:paraId="728E793D" w14:textId="408AA81B" w:rsidR="00C7486E" w:rsidRPr="00C7486E" w:rsidRDefault="00C7486E" w:rsidP="00AD2F07">
      <w:pPr>
        <w:pStyle w:val="ListParagraph"/>
        <w:ind w:left="0"/>
        <w:rPr>
          <w:szCs w:val="20"/>
        </w:rPr>
      </w:pPr>
      <w:r>
        <w:t xml:space="preserve">EESK priekšlikuma saturs ir pieņemams un 2022. gada 23. februārī pieņemtajā atzinumā </w:t>
      </w:r>
      <w:hyperlink r:id="rId53" w:history="1">
        <w:r>
          <w:rPr>
            <w:i/>
            <w:color w:val="0000FF"/>
            <w:u w:val="single"/>
          </w:rPr>
          <w:t>Atkritumu sūtījumi – ES noteikumu pārskatīšana</w:t>
        </w:r>
        <w:r w:rsidRPr="00C7486E">
          <w:rPr>
            <w:i/>
            <w:sz w:val="24"/>
            <w:vertAlign w:val="superscript"/>
            <w:lang w:val="en-GB"/>
          </w:rPr>
          <w:footnoteReference w:id="13"/>
        </w:r>
      </w:hyperlink>
      <w:r>
        <w:t xml:space="preserve"> par šo tematu Komiteja jau ir izteikusies; tā nolēma ierosinātajam dokumentam sniegt pozitīvu atzinumu un atsaukties uz iepriekš minētajā atzinumā pausto viedokli.</w:t>
      </w:r>
    </w:p>
    <w:p w14:paraId="5ECE176A" w14:textId="77777777" w:rsidR="00C7486E" w:rsidRPr="00C7486E"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Kontaktpersona:</w:t>
            </w:r>
          </w:p>
        </w:tc>
        <w:tc>
          <w:tcPr>
            <w:tcW w:w="3922" w:type="pct"/>
          </w:tcPr>
          <w:p w14:paraId="789F3E9B" w14:textId="77777777" w:rsidR="00C7486E" w:rsidRPr="00C7486E" w:rsidRDefault="00C7486E" w:rsidP="00AD2F07">
            <w:pPr>
              <w:overflowPunct w:val="0"/>
              <w:autoSpaceDE w:val="0"/>
              <w:autoSpaceDN w:val="0"/>
              <w:adjustRightInd w:val="0"/>
              <w:ind w:hanging="110"/>
              <w:textAlignment w:val="baseline"/>
              <w:rPr>
                <w:i/>
              </w:rPr>
            </w:pPr>
            <w:proofErr w:type="spellStart"/>
            <w:r>
              <w:rPr>
                <w:i/>
              </w:rPr>
              <w:t>Arturo</w:t>
            </w:r>
            <w:proofErr w:type="spellEnd"/>
            <w:r>
              <w:rPr>
                <w:i/>
              </w:rPr>
              <w:t xml:space="preserve"> </w:t>
            </w:r>
            <w:proofErr w:type="spellStart"/>
            <w:r>
              <w:rPr>
                <w:i/>
              </w:rPr>
              <w:t>Iniguez</w:t>
            </w:r>
            <w:proofErr w:type="spellEnd"/>
            <w:r>
              <w:rPr>
                <w:i/>
              </w:rPr>
              <w:t xml:space="preserve"> </w:t>
            </w:r>
            <w:proofErr w:type="spellStart"/>
            <w:r>
              <w:rPr>
                <w:i/>
              </w:rPr>
              <w:t>Yuste</w:t>
            </w:r>
            <w:proofErr w:type="spellEnd"/>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Tālr.:</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+32 25468768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E-pasts:</w:t>
            </w:r>
          </w:p>
        </w:tc>
        <w:tc>
          <w:tcPr>
            <w:tcW w:w="3922" w:type="pct"/>
          </w:tcPr>
          <w:p w14:paraId="5FA57476" w14:textId="77777777" w:rsidR="00C7486E" w:rsidRPr="00C7486E" w:rsidRDefault="00CB0220" w:rsidP="00AD2F07">
            <w:pPr>
              <w:overflowPunct w:val="0"/>
              <w:autoSpaceDE w:val="0"/>
              <w:autoSpaceDN w:val="0"/>
              <w:adjustRightInd w:val="0"/>
              <w:ind w:hanging="110"/>
              <w:textAlignment w:val="baseline"/>
              <w:rPr>
                <w:i/>
                <w:iCs/>
              </w:rPr>
            </w:pPr>
            <w:hyperlink r:id="rId54" w:history="1">
              <w:r w:rsidR="00C7486E">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2BEE9F85" w:rsidR="00CE6367" w:rsidRPr="00CE6367" w:rsidRDefault="00CB0220" w:rsidP="00CE6367">
      <w:pPr>
        <w:widowControl w:val="0"/>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5" w:history="1">
        <w:r w:rsidR="00FE6829">
          <w:rPr>
            <w:b/>
            <w:i/>
            <w:color w:val="0000FF"/>
            <w:sz w:val="28"/>
            <w:u w:val="single"/>
          </w:rPr>
          <w:t>Aprites ekonomikas akts - Aprites ekonomika un atbildīgs resursu patēriņš planētas iespēju robežās</w:t>
        </w:r>
      </w:hyperlink>
    </w:p>
    <w:p w14:paraId="7F7223B4" w14:textId="33C51144" w:rsidR="00CE6367" w:rsidRDefault="00CE6367" w:rsidP="00CE6367">
      <w:pPr>
        <w:widowControl w:val="0"/>
        <w:overflowPunct w:val="0"/>
        <w:autoSpaceDE w:val="0"/>
        <w:autoSpaceDN w:val="0"/>
        <w:adjustRightInd w:val="0"/>
        <w:ind w:left="567"/>
        <w:textAlignment w:val="baseline"/>
        <w:rPr>
          <w:bCs/>
          <w:sz w:val="16"/>
          <w:szCs w:val="16"/>
          <w:lang w:val="en-GB"/>
        </w:rPr>
      </w:pPr>
    </w:p>
    <w:p w14:paraId="2A3432F9" w14:textId="77777777" w:rsidR="007055CF" w:rsidRDefault="007055CF" w:rsidP="00CE6367">
      <w:pPr>
        <w:widowControl w:val="0"/>
        <w:overflowPunct w:val="0"/>
        <w:autoSpaceDE w:val="0"/>
        <w:autoSpaceDN w:val="0"/>
        <w:adjustRightInd w:val="0"/>
        <w:ind w:left="567"/>
        <w:textAlignment w:val="baseline"/>
        <w:rPr>
          <w:bCs/>
          <w:sz w:val="16"/>
          <w:szCs w:val="16"/>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Ziņotājs:</w:t>
            </w:r>
          </w:p>
        </w:tc>
        <w:tc>
          <w:tcPr>
            <w:tcW w:w="7621" w:type="dxa"/>
          </w:tcPr>
          <w:p w14:paraId="7FAF1470" w14:textId="77777777" w:rsidR="00CE6367" w:rsidRDefault="00CE6367" w:rsidP="00CE6367">
            <w:pPr>
              <w:tabs>
                <w:tab w:val="center" w:pos="284"/>
              </w:tabs>
              <w:overflowPunct w:val="0"/>
              <w:autoSpaceDE w:val="0"/>
              <w:autoSpaceDN w:val="0"/>
              <w:adjustRightInd w:val="0"/>
              <w:ind w:left="266" w:hanging="266"/>
              <w:textAlignment w:val="baseline"/>
              <w:rPr>
                <w:spacing w:val="-4"/>
              </w:rPr>
            </w:pPr>
            <w:proofErr w:type="spellStart"/>
            <w:r>
              <w:t>Cillian</w:t>
            </w:r>
            <w:proofErr w:type="spellEnd"/>
            <w:r>
              <w:t xml:space="preserve"> LOHAN (Pilsoniskās sabiedrības organizāciju grupa - IE)</w:t>
            </w:r>
          </w:p>
          <w:p w14:paraId="618CDDA1" w14:textId="77777777" w:rsidR="0012433C" w:rsidRDefault="0012433C" w:rsidP="00CE6367">
            <w:pPr>
              <w:tabs>
                <w:tab w:val="center" w:pos="284"/>
              </w:tabs>
              <w:overflowPunct w:val="0"/>
              <w:autoSpaceDE w:val="0"/>
              <w:autoSpaceDN w:val="0"/>
              <w:adjustRightInd w:val="0"/>
              <w:ind w:left="266" w:hanging="266"/>
              <w:textAlignment w:val="baseline"/>
              <w:rPr>
                <w:b/>
                <w:bCs/>
                <w:spacing w:val="-4"/>
                <w:lang w:val="en-GB"/>
              </w:rPr>
            </w:pPr>
          </w:p>
          <w:p w14:paraId="57F1361A" w14:textId="77777777" w:rsidR="0012433C" w:rsidRPr="00CE6367"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Atsauces</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Izpētes atzinums pēc Eiropas Komisijas pieprasījuma</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CE6367">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Galvenās nostādnes</w:t>
      </w:r>
    </w:p>
    <w:p w14:paraId="24A08407"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77777777" w:rsidR="00CE6367" w:rsidRDefault="00CE6367" w:rsidP="00CE6367">
      <w:pPr>
        <w:overflowPunct w:val="0"/>
        <w:autoSpaceDE w:val="0"/>
        <w:autoSpaceDN w:val="0"/>
        <w:adjustRightInd w:val="0"/>
        <w:spacing w:line="240" w:lineRule="auto"/>
        <w:textAlignment w:val="baseline"/>
        <w:rPr>
          <w:bCs/>
          <w:iCs/>
        </w:rPr>
      </w:pPr>
      <w:r>
        <w:t>EESK:</w:t>
      </w:r>
    </w:p>
    <w:p w14:paraId="688A1317" w14:textId="77777777" w:rsidR="00B854D5" w:rsidRPr="00CE6367" w:rsidRDefault="00B854D5" w:rsidP="00CE6367">
      <w:pPr>
        <w:overflowPunct w:val="0"/>
        <w:autoSpaceDE w:val="0"/>
        <w:autoSpaceDN w:val="0"/>
        <w:adjustRightInd w:val="0"/>
        <w:spacing w:line="240" w:lineRule="auto"/>
        <w:textAlignment w:val="baseline"/>
        <w:rPr>
          <w:bCs/>
          <w:iCs/>
          <w:lang w:val="en-GB"/>
        </w:rPr>
      </w:pPr>
    </w:p>
    <w:p w14:paraId="3B2A1CEB"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7" w:name="_Toc232773781"/>
      <w:bookmarkStart w:id="68" w:name="_Toc232774261"/>
      <w:bookmarkStart w:id="69" w:name="_Toc233976400"/>
      <w:r>
        <w:rPr>
          <w:sz w:val="21"/>
        </w:rPr>
        <w:t xml:space="preserve">iesaka, lai </w:t>
      </w:r>
      <w:r>
        <w:rPr>
          <w:b/>
          <w:sz w:val="21"/>
        </w:rPr>
        <w:t>Aprites ekonomikas akts</w:t>
      </w:r>
      <w:r>
        <w:rPr>
          <w:sz w:val="21"/>
        </w:rPr>
        <w:t xml:space="preserve"> būtu ne tikai priekšlikums, bet arī </w:t>
      </w:r>
      <w:r>
        <w:rPr>
          <w:b/>
          <w:sz w:val="21"/>
        </w:rPr>
        <w:t>akts</w:t>
      </w:r>
      <w:r>
        <w:rPr>
          <w:sz w:val="21"/>
        </w:rPr>
        <w:t>, kas raida spēcīgu signālu, ka ES uzņemas vadošo lomu steidzamu un sistēmisku aprites ekonomikas pārmaiņu veicināšanā;</w:t>
      </w:r>
      <w:bookmarkEnd w:id="67"/>
      <w:bookmarkEnd w:id="68"/>
      <w:bookmarkEnd w:id="69"/>
    </w:p>
    <w:p w14:paraId="59A42D06"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0" w:name="_Toc232773782"/>
      <w:bookmarkStart w:id="71" w:name="_Toc232774262"/>
      <w:bookmarkStart w:id="72" w:name="_Toc233976401"/>
      <w:r>
        <w:rPr>
          <w:sz w:val="21"/>
        </w:rPr>
        <w:t>uzsver, ka akts ir jāpapildina ar skaidru pārskatu par visiem savstarpēji saistītajiem noteikumiem, regulējumu, rīcības plāniem un stratēģijām, kas veido tiesisko regulējumu pārejai uz aprites ekonomiku;</w:t>
      </w:r>
      <w:bookmarkEnd w:id="70"/>
      <w:bookmarkEnd w:id="71"/>
      <w:bookmarkEnd w:id="72"/>
    </w:p>
    <w:p w14:paraId="0A602E3A"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3" w:name="_Toc232773783"/>
      <w:bookmarkStart w:id="74" w:name="_Toc232774263"/>
      <w:bookmarkStart w:id="75" w:name="_Toc233976402"/>
      <w:r>
        <w:rPr>
          <w:sz w:val="21"/>
        </w:rPr>
        <w:t xml:space="preserve">ierosina par akta stūrakmeni noteikt </w:t>
      </w:r>
      <w:r>
        <w:rPr>
          <w:b/>
          <w:sz w:val="21"/>
        </w:rPr>
        <w:t>uzsvaru uz stimuliem</w:t>
      </w:r>
      <w:r>
        <w:rPr>
          <w:sz w:val="21"/>
        </w:rPr>
        <w:t xml:space="preserve"> spēcīgam, labi funkcionējošam otrreizējo izejvielu tirgum;</w:t>
      </w:r>
      <w:bookmarkEnd w:id="73"/>
      <w:bookmarkEnd w:id="74"/>
      <w:bookmarkEnd w:id="75"/>
    </w:p>
    <w:p w14:paraId="26DA21E4"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6" w:name="_Toc232773784"/>
      <w:bookmarkStart w:id="77" w:name="_Toc232774264"/>
      <w:bookmarkStart w:id="78" w:name="_Toc233976403"/>
      <w:r>
        <w:rPr>
          <w:sz w:val="21"/>
        </w:rPr>
        <w:t xml:space="preserve">ierosina stiprināt </w:t>
      </w:r>
      <w:r>
        <w:rPr>
          <w:b/>
          <w:sz w:val="21"/>
        </w:rPr>
        <w:t>otrreizējo izejvielu tirgus</w:t>
      </w:r>
      <w:r>
        <w:rPr>
          <w:sz w:val="21"/>
        </w:rPr>
        <w:t xml:space="preserve"> un </w:t>
      </w:r>
      <w:proofErr w:type="spellStart"/>
      <w:r>
        <w:rPr>
          <w:sz w:val="21"/>
        </w:rPr>
        <w:t>apritīgas</w:t>
      </w:r>
      <w:proofErr w:type="spellEnd"/>
      <w:r>
        <w:rPr>
          <w:sz w:val="21"/>
        </w:rPr>
        <w:t xml:space="preserve"> uzņēmējdarbības modeļus (atkalizmantošana, remonts, pārražošana);</w:t>
      </w:r>
      <w:bookmarkEnd w:id="76"/>
      <w:bookmarkEnd w:id="77"/>
      <w:bookmarkEnd w:id="78"/>
    </w:p>
    <w:p w14:paraId="1952F1DC"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9" w:name="_Toc232773785"/>
      <w:bookmarkStart w:id="80" w:name="_Toc232774265"/>
      <w:bookmarkStart w:id="81" w:name="_Toc233976404"/>
      <w:r>
        <w:rPr>
          <w:sz w:val="21"/>
        </w:rPr>
        <w:t xml:space="preserve">ierosina virzīt </w:t>
      </w:r>
      <w:r>
        <w:rPr>
          <w:b/>
          <w:sz w:val="21"/>
        </w:rPr>
        <w:t>publisko iepirkumu</w:t>
      </w:r>
      <w:r>
        <w:rPr>
          <w:sz w:val="21"/>
        </w:rPr>
        <w:t xml:space="preserve">, reformēt </w:t>
      </w:r>
      <w:r>
        <w:rPr>
          <w:b/>
          <w:sz w:val="21"/>
        </w:rPr>
        <w:t>paplašinātu ražotāja atbildību</w:t>
      </w:r>
      <w:r>
        <w:rPr>
          <w:sz w:val="21"/>
        </w:rPr>
        <w:t xml:space="preserve"> (neaprobežoties tikai ar reciklēšanu vien un, piemēram, noteikt </w:t>
      </w:r>
      <w:proofErr w:type="spellStart"/>
      <w:r>
        <w:rPr>
          <w:sz w:val="21"/>
        </w:rPr>
        <w:t>ekomodulētas</w:t>
      </w:r>
      <w:proofErr w:type="spellEnd"/>
      <w:r>
        <w:rPr>
          <w:sz w:val="21"/>
        </w:rPr>
        <w:t xml:space="preserve"> maksas), nodrošināt </w:t>
      </w:r>
      <w:r>
        <w:rPr>
          <w:b/>
          <w:sz w:val="21"/>
        </w:rPr>
        <w:t>materiālu izsekojamību</w:t>
      </w:r>
      <w:r>
        <w:rPr>
          <w:sz w:val="21"/>
        </w:rPr>
        <w:t xml:space="preserve">, kā arī izvērst </w:t>
      </w:r>
      <w:proofErr w:type="spellStart"/>
      <w:r>
        <w:rPr>
          <w:b/>
          <w:sz w:val="21"/>
        </w:rPr>
        <w:t>ekodizainu</w:t>
      </w:r>
      <w:proofErr w:type="spellEnd"/>
      <w:r>
        <w:rPr>
          <w:sz w:val="21"/>
        </w:rPr>
        <w:t xml:space="preserve">, uzlabot </w:t>
      </w:r>
      <w:r>
        <w:rPr>
          <w:b/>
          <w:sz w:val="21"/>
        </w:rPr>
        <w:t>darba apstākļus</w:t>
      </w:r>
      <w:r>
        <w:rPr>
          <w:sz w:val="21"/>
        </w:rPr>
        <w:t xml:space="preserve"> un popularizēt </w:t>
      </w:r>
      <w:r>
        <w:rPr>
          <w:b/>
          <w:sz w:val="21"/>
        </w:rPr>
        <w:t>pārražošanu</w:t>
      </w:r>
      <w:r>
        <w:rPr>
          <w:sz w:val="21"/>
        </w:rPr>
        <w:t>;</w:t>
      </w:r>
      <w:bookmarkEnd w:id="79"/>
      <w:bookmarkEnd w:id="80"/>
      <w:bookmarkEnd w:id="81"/>
    </w:p>
    <w:p w14:paraId="1E154A1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2" w:name="_Toc232773786"/>
      <w:bookmarkStart w:id="83" w:name="_Toc232774266"/>
      <w:bookmarkStart w:id="84" w:name="_Toc233976405"/>
      <w:r>
        <w:rPr>
          <w:sz w:val="21"/>
        </w:rPr>
        <w:t xml:space="preserve">iesaka aktam pievienot regulāri atjauninātu </w:t>
      </w:r>
      <w:r>
        <w:rPr>
          <w:b/>
          <w:sz w:val="21"/>
        </w:rPr>
        <w:t>aprites ekonomikas labas prakses repozitoriju</w:t>
      </w:r>
      <w:r>
        <w:rPr>
          <w:sz w:val="21"/>
        </w:rPr>
        <w:t>, pamatojoties uz Eiropas aprites ekonomikas jautājumos ieinteresēto personu platformas (</w:t>
      </w:r>
      <w:r>
        <w:rPr>
          <w:b/>
          <w:sz w:val="21"/>
        </w:rPr>
        <w:t>ECESP</w:t>
      </w:r>
      <w:r>
        <w:rPr>
          <w:sz w:val="21"/>
        </w:rPr>
        <w:t>) apkopotajiem piemēriem. Repozitorijam vajadzētu būt saistītam ar rādītājiem un uzraudzības sistēmām, kas palīdzētu sekot līdzi progresam un sniegt informāciju uz pierādījumiem balstītas politikas veidošanai;</w:t>
      </w:r>
      <w:bookmarkEnd w:id="82"/>
      <w:bookmarkEnd w:id="83"/>
      <w:bookmarkEnd w:id="84"/>
    </w:p>
    <w:p w14:paraId="31C7D43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5" w:name="_Toc232773787"/>
      <w:bookmarkStart w:id="86" w:name="_Toc232774267"/>
      <w:bookmarkStart w:id="87" w:name="_Toc233976406"/>
      <w:r>
        <w:rPr>
          <w:sz w:val="21"/>
        </w:rPr>
        <w:t xml:space="preserve">uzskata, ka </w:t>
      </w:r>
      <w:r>
        <w:rPr>
          <w:b/>
          <w:sz w:val="21"/>
        </w:rPr>
        <w:t>izsekojamība, sertifikācija, saskaņots marķējums un tehniskie standarti</w:t>
      </w:r>
      <w:r>
        <w:rPr>
          <w:sz w:val="21"/>
        </w:rPr>
        <w:t xml:space="preserve"> būtu jāizmanto kā galvenie instrumenti, lai veidotu tirgus uzticēšanos otrreizējām izejvielām un sekmētu īstenošanu un izvēršanu Eiropas Savienībā;</w:t>
      </w:r>
      <w:bookmarkEnd w:id="85"/>
      <w:bookmarkEnd w:id="86"/>
      <w:bookmarkEnd w:id="87"/>
    </w:p>
    <w:p w14:paraId="5A24C128"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88" w:name="_Toc232773788"/>
      <w:bookmarkStart w:id="89" w:name="_Toc232774268"/>
      <w:bookmarkStart w:id="90" w:name="_Toc233976407"/>
      <w:r>
        <w:rPr>
          <w:sz w:val="21"/>
        </w:rPr>
        <w:t xml:space="preserve">uzsver, ka ir oficiāli jāatzīst </w:t>
      </w:r>
      <w:r>
        <w:rPr>
          <w:b/>
          <w:sz w:val="21"/>
        </w:rPr>
        <w:t>pārejas starpnieki</w:t>
      </w:r>
      <w:r>
        <w:rPr>
          <w:sz w:val="21"/>
        </w:rPr>
        <w:t xml:space="preserve"> un tie jānodrošina ar resursiem, lai veicinātu </w:t>
      </w:r>
      <w:proofErr w:type="spellStart"/>
      <w:r>
        <w:rPr>
          <w:sz w:val="21"/>
        </w:rPr>
        <w:t>apritīgumu</w:t>
      </w:r>
      <w:proofErr w:type="spellEnd"/>
      <w:r>
        <w:rPr>
          <w:sz w:val="21"/>
        </w:rPr>
        <w:t xml:space="preserve"> visās vērtības ķēdēs;</w:t>
      </w:r>
      <w:bookmarkEnd w:id="88"/>
      <w:bookmarkEnd w:id="89"/>
      <w:bookmarkEnd w:id="90"/>
    </w:p>
    <w:p w14:paraId="4F12F572"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1" w:name="_Toc232773789"/>
      <w:bookmarkStart w:id="92" w:name="_Toc232774269"/>
      <w:bookmarkStart w:id="93" w:name="_Toc233976408"/>
      <w:r>
        <w:rPr>
          <w:sz w:val="21"/>
        </w:rPr>
        <w:t xml:space="preserve">atzīmē, ka </w:t>
      </w:r>
      <w:r>
        <w:rPr>
          <w:b/>
          <w:sz w:val="21"/>
        </w:rPr>
        <w:t>taisnīga pārkārtošanās</w:t>
      </w:r>
      <w:r>
        <w:rPr>
          <w:sz w:val="21"/>
        </w:rPr>
        <w:t xml:space="preserve"> ir ļoti nozīmīga: ar </w:t>
      </w:r>
      <w:r>
        <w:rPr>
          <w:b/>
          <w:sz w:val="21"/>
        </w:rPr>
        <w:t xml:space="preserve">piekļūstamiem </w:t>
      </w:r>
      <w:proofErr w:type="spellStart"/>
      <w:r>
        <w:rPr>
          <w:b/>
          <w:sz w:val="21"/>
        </w:rPr>
        <w:t>apritīgiem</w:t>
      </w:r>
      <w:proofErr w:type="spellEnd"/>
      <w:r>
        <w:rPr>
          <w:b/>
          <w:sz w:val="21"/>
        </w:rPr>
        <w:t xml:space="preserve"> risinājumiem</w:t>
      </w:r>
      <w:r>
        <w:rPr>
          <w:sz w:val="21"/>
        </w:rPr>
        <w:t xml:space="preserve"> un pieejamiem stimuliem jāpanāk, ka pilsoniskā sabiedrība, kooperatīvi un sociālie uzņēmumi ir ne tikai labuma guvēji, bet arī </w:t>
      </w:r>
      <w:proofErr w:type="spellStart"/>
      <w:r>
        <w:rPr>
          <w:b/>
          <w:sz w:val="21"/>
        </w:rPr>
        <w:t>līdzveidotāji</w:t>
      </w:r>
      <w:proofErr w:type="spellEnd"/>
      <w:r>
        <w:rPr>
          <w:sz w:val="21"/>
        </w:rPr>
        <w:t>;</w:t>
      </w:r>
      <w:bookmarkEnd w:id="91"/>
      <w:bookmarkEnd w:id="92"/>
      <w:bookmarkEnd w:id="93"/>
    </w:p>
    <w:p w14:paraId="255EEF0E"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4" w:name="_Toc232773790"/>
      <w:bookmarkStart w:id="95" w:name="_Toc232774270"/>
      <w:bookmarkStart w:id="96" w:name="_Toc233976409"/>
      <w:r>
        <w:rPr>
          <w:sz w:val="21"/>
        </w:rPr>
        <w:t>uzsver, ka ECESP būtu jāizmanto kā stratēģisks partneris, lai saskaņotu prioritātes, pārbaudītu jaunus rādītājus, apzinātu īstenošanas šķēršļus un palīdzētu paātrināt pārkārtošanos.</w:t>
      </w:r>
      <w:bookmarkEnd w:id="94"/>
      <w:bookmarkEnd w:id="95"/>
      <w:bookmarkEnd w:id="96"/>
    </w:p>
    <w:p w14:paraId="4605C15B" w14:textId="77777777" w:rsidR="00CE6367" w:rsidRPr="00CE6367" w:rsidRDefault="00CE6367" w:rsidP="00CE6367">
      <w:pPr>
        <w:overflowPunct w:val="0"/>
        <w:autoSpaceDE w:val="0"/>
        <w:autoSpaceDN w:val="0"/>
        <w:adjustRightInd w:val="0"/>
        <w:spacing w:line="240"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CE6367" w14:paraId="2C1324DD" w14:textId="77777777" w:rsidTr="0033503A">
        <w:trPr>
          <w:trHeight w:val="300"/>
        </w:trPr>
        <w:tc>
          <w:tcPr>
            <w:tcW w:w="1755" w:type="dxa"/>
          </w:tcPr>
          <w:p w14:paraId="65D78EA8" w14:textId="2F94490F" w:rsidR="00CE6367" w:rsidRPr="00CE6367" w:rsidRDefault="00CE6367" w:rsidP="00CE6367">
            <w:pPr>
              <w:overflowPunct w:val="0"/>
              <w:autoSpaceDE w:val="0"/>
              <w:autoSpaceDN w:val="0"/>
              <w:adjustRightInd w:val="0"/>
              <w:spacing w:line="240" w:lineRule="auto"/>
              <w:textAlignment w:val="baseline"/>
              <w:rPr>
                <w:i/>
                <w:iCs/>
              </w:rPr>
            </w:pPr>
            <w:r>
              <w:rPr>
                <w:b/>
                <w:i/>
              </w:rPr>
              <w:t>Kontaktpersona</w:t>
            </w:r>
            <w:r w:rsidR="007055CF">
              <w:rPr>
                <w:b/>
                <w:i/>
              </w:rPr>
              <w:t>s</w:t>
            </w:r>
            <w:r>
              <w:rPr>
                <w:b/>
                <w:i/>
              </w:rPr>
              <w:t>:</w:t>
            </w:r>
          </w:p>
        </w:tc>
        <w:tc>
          <w:tcPr>
            <w:tcW w:w="7567" w:type="dxa"/>
          </w:tcPr>
          <w:p w14:paraId="1988B1A1" w14:textId="4C6FD349" w:rsidR="00CE6367" w:rsidRPr="00AD2F07" w:rsidRDefault="00CE6367" w:rsidP="00AD2F07">
            <w:pPr>
              <w:rPr>
                <w:i/>
                <w:iCs/>
              </w:rPr>
            </w:pPr>
            <w:r>
              <w:rPr>
                <w:i/>
              </w:rPr>
              <w:t xml:space="preserve">Anna </w:t>
            </w:r>
            <w:proofErr w:type="spellStart"/>
            <w:r>
              <w:rPr>
                <w:i/>
              </w:rPr>
              <w:t>Cameron</w:t>
            </w:r>
            <w:proofErr w:type="spellEnd"/>
            <w:r>
              <w:rPr>
                <w:i/>
              </w:rPr>
              <w:t xml:space="preserve">, </w:t>
            </w:r>
            <w:proofErr w:type="spellStart"/>
            <w:r>
              <w:rPr>
                <w:i/>
              </w:rPr>
              <w:t>Alice</w:t>
            </w:r>
            <w:proofErr w:type="spellEnd"/>
            <w:r>
              <w:rPr>
                <w:i/>
              </w:rPr>
              <w:t xml:space="preserve"> </w:t>
            </w:r>
            <w:proofErr w:type="spellStart"/>
            <w:r>
              <w:rPr>
                <w:i/>
              </w:rPr>
              <w:t>Senga</w:t>
            </w:r>
            <w:proofErr w:type="spellEnd"/>
          </w:p>
        </w:tc>
      </w:tr>
      <w:tr w:rsidR="00CE6367" w:rsidRPr="00CE6367" w14:paraId="0F63230C" w14:textId="77777777" w:rsidTr="0033503A">
        <w:trPr>
          <w:trHeight w:val="300"/>
        </w:trPr>
        <w:tc>
          <w:tcPr>
            <w:tcW w:w="1755" w:type="dxa"/>
          </w:tcPr>
          <w:p w14:paraId="7579EEAD" w14:textId="77777777" w:rsidR="00CE6367" w:rsidRPr="00CE6367" w:rsidRDefault="00CE6367" w:rsidP="00CE6367">
            <w:pPr>
              <w:overflowPunct w:val="0"/>
              <w:autoSpaceDE w:val="0"/>
              <w:autoSpaceDN w:val="0"/>
              <w:adjustRightInd w:val="0"/>
              <w:spacing w:line="240" w:lineRule="auto"/>
              <w:textAlignment w:val="baseline"/>
              <w:rPr>
                <w:i/>
              </w:rPr>
            </w:pPr>
            <w:r>
              <w:rPr>
                <w:i/>
              </w:rPr>
              <w:t>Tālr.:</w:t>
            </w:r>
          </w:p>
        </w:tc>
        <w:tc>
          <w:tcPr>
            <w:tcW w:w="7567" w:type="dxa"/>
          </w:tcPr>
          <w:p w14:paraId="61C64C1F" w14:textId="77777777" w:rsidR="00CE6367" w:rsidRPr="00047BEB" w:rsidRDefault="00CE6367" w:rsidP="00CE6367">
            <w:pPr>
              <w:overflowPunct w:val="0"/>
              <w:autoSpaceDE w:val="0"/>
              <w:autoSpaceDN w:val="0"/>
              <w:adjustRightInd w:val="0"/>
              <w:spacing w:line="240" w:lineRule="auto"/>
              <w:ind w:left="-55"/>
              <w:textAlignment w:val="baseline"/>
              <w:rPr>
                <w:i/>
                <w:iCs/>
              </w:rPr>
            </w:pPr>
            <w:r>
              <w:rPr>
                <w:i/>
              </w:rPr>
              <w:t>+32 25468228, +32 25468368</w:t>
            </w:r>
          </w:p>
        </w:tc>
      </w:tr>
      <w:tr w:rsidR="00CE6367" w:rsidRPr="00CE6367" w14:paraId="7C504899" w14:textId="77777777" w:rsidTr="0033503A">
        <w:trPr>
          <w:trHeight w:val="300"/>
        </w:trPr>
        <w:tc>
          <w:tcPr>
            <w:tcW w:w="1755" w:type="dxa"/>
          </w:tcPr>
          <w:p w14:paraId="69443868" w14:textId="77777777" w:rsidR="00CE6367" w:rsidRPr="00CE6367" w:rsidRDefault="00CE6367" w:rsidP="00CE6367">
            <w:pPr>
              <w:overflowPunct w:val="0"/>
              <w:autoSpaceDE w:val="0"/>
              <w:autoSpaceDN w:val="0"/>
              <w:adjustRightInd w:val="0"/>
              <w:spacing w:line="240" w:lineRule="auto"/>
              <w:textAlignment w:val="baseline"/>
              <w:rPr>
                <w:i/>
              </w:rPr>
            </w:pPr>
            <w:r>
              <w:rPr>
                <w:i/>
              </w:rPr>
              <w:t>E-pasts:</w:t>
            </w:r>
          </w:p>
        </w:tc>
        <w:tc>
          <w:tcPr>
            <w:tcW w:w="7567" w:type="dxa"/>
          </w:tcPr>
          <w:p w14:paraId="7934DEB2" w14:textId="77777777" w:rsidR="00CE6367" w:rsidRPr="00047BEB" w:rsidRDefault="00CB0220" w:rsidP="00CE6367">
            <w:pPr>
              <w:overflowPunct w:val="0"/>
              <w:autoSpaceDE w:val="0"/>
              <w:autoSpaceDN w:val="0"/>
              <w:adjustRightInd w:val="0"/>
              <w:spacing w:line="240" w:lineRule="auto"/>
              <w:ind w:left="-55"/>
              <w:textAlignment w:val="baseline"/>
              <w:rPr>
                <w:i/>
                <w:iCs/>
                <w:color w:val="0000FF"/>
                <w:u w:val="single"/>
              </w:rPr>
            </w:pPr>
            <w:hyperlink r:id="rId56" w:history="1">
              <w:r w:rsidR="00CE6367">
                <w:rPr>
                  <w:i/>
                  <w:color w:val="0000FF"/>
                  <w:u w:val="single"/>
                </w:rPr>
                <w:t>Anna.Cameron@eesc.europa.eu</w:t>
              </w:r>
            </w:hyperlink>
            <w:r w:rsidR="00CE6367">
              <w:rPr>
                <w:i/>
              </w:rPr>
              <w:t xml:space="preserve">, </w:t>
            </w:r>
            <w:hyperlink r:id="rId57" w:history="1">
              <w:r w:rsidR="00CE6367">
                <w:rPr>
                  <w:i/>
                  <w:color w:val="0000FF"/>
                  <w:u w:val="single"/>
                </w:rPr>
                <w:t>Alice.Senga@eesc.europa.eu</w:t>
              </w:r>
            </w:hyperlink>
          </w:p>
        </w:tc>
      </w:tr>
    </w:tbl>
    <w:p w14:paraId="0E0ACB7E" w14:textId="0BBC94D1" w:rsidR="00CE6367" w:rsidRDefault="00CE6367" w:rsidP="001766B2">
      <w:pPr>
        <w:jc w:val="left"/>
      </w:pPr>
    </w:p>
    <w:p w14:paraId="5CA5D6AA" w14:textId="77777777" w:rsidR="00CE6367" w:rsidRDefault="00CE6367">
      <w:pPr>
        <w:spacing w:after="160" w:line="259" w:lineRule="auto"/>
        <w:jc w:val="left"/>
      </w:pPr>
      <w:r>
        <w:br w:type="page"/>
      </w:r>
    </w:p>
    <w:p w14:paraId="33B043FA" w14:textId="6458A539" w:rsidR="009B3A75" w:rsidRPr="009B3A75" w:rsidRDefault="00CB0220" w:rsidP="009B3A75">
      <w:pPr>
        <w:widowControl w:val="0"/>
        <w:numPr>
          <w:ilvl w:val="0"/>
          <w:numId w:val="4"/>
        </w:numPr>
        <w:overflowPunct w:val="0"/>
        <w:autoSpaceDE w:val="0"/>
        <w:autoSpaceDN w:val="0"/>
        <w:adjustRightInd w:val="0"/>
        <w:ind w:hanging="567"/>
        <w:textAlignment w:val="baseline"/>
        <w:rPr>
          <w:sz w:val="20"/>
          <w:szCs w:val="20"/>
        </w:rPr>
      </w:pPr>
      <w:hyperlink r:id="rId58" w:history="1">
        <w:r w:rsidR="009B3A75">
          <w:rPr>
            <w:b/>
            <w:i/>
            <w:color w:val="0000FF"/>
            <w:sz w:val="28"/>
            <w:u w:val="single"/>
          </w:rPr>
          <w:t>Kopējās lauksaimniecības politikas mērķu sasniegšanas novērtējums</w:t>
        </w:r>
      </w:hyperlink>
    </w:p>
    <w:p w14:paraId="4DE602F8" w14:textId="77777777" w:rsidR="002C32C2" w:rsidRPr="007055CF" w:rsidRDefault="002C32C2" w:rsidP="009B3A75">
      <w:pPr>
        <w:tabs>
          <w:tab w:val="center" w:pos="284"/>
        </w:tabs>
        <w:overflowPunct w:val="0"/>
        <w:autoSpaceDE w:val="0"/>
        <w:autoSpaceDN w:val="0"/>
        <w:adjustRightInd w:val="0"/>
        <w:ind w:left="266" w:hanging="266"/>
        <w:textAlignment w:val="baseline"/>
        <w:rPr>
          <w:b/>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Ziņotājs:</w:t>
            </w:r>
          </w:p>
        </w:tc>
        <w:tc>
          <w:tcPr>
            <w:tcW w:w="392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proofErr w:type="spellStart"/>
            <w:r>
              <w:t>Joe</w:t>
            </w:r>
            <w:proofErr w:type="spellEnd"/>
            <w:r>
              <w:t xml:space="preserve"> HEALY (Pilsoniskās sabiedrības organizāciju grupa – IE)</w:t>
            </w:r>
          </w:p>
        </w:tc>
      </w:tr>
      <w:tr w:rsidR="009B3A75" w:rsidRPr="009B3A75" w14:paraId="60BA1FF6" w14:textId="77777777" w:rsidTr="0033503A">
        <w:tc>
          <w:tcPr>
            <w:tcW w:w="1077" w:type="pct"/>
          </w:tcPr>
          <w:p w14:paraId="2D1C9FD9"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Līdzziņotājs</w:t>
            </w:r>
          </w:p>
        </w:tc>
        <w:tc>
          <w:tcPr>
            <w:tcW w:w="392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proofErr w:type="spellStart"/>
            <w:r>
              <w:t>Josep</w:t>
            </w:r>
            <w:proofErr w:type="spellEnd"/>
            <w:r>
              <w:t xml:space="preserve"> PUXEU ROCAMORA (Darba devēju grupa – ES)</w:t>
            </w:r>
          </w:p>
        </w:tc>
      </w:tr>
      <w:tr w:rsidR="009B3A75" w:rsidRPr="009B3A75" w14:paraId="254288FC" w14:textId="77777777" w:rsidTr="0033503A">
        <w:tc>
          <w:tcPr>
            <w:tcW w:w="107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Atsauces</w:t>
            </w:r>
          </w:p>
        </w:tc>
        <w:tc>
          <w:tcPr>
            <w:tcW w:w="392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Informatīvs ziņojums</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9B3A75">
            <w:pPr>
              <w:tabs>
                <w:tab w:val="center" w:pos="284"/>
              </w:tabs>
              <w:overflowPunct w:val="0"/>
              <w:autoSpaceDE w:val="0"/>
              <w:autoSpaceDN w:val="0"/>
              <w:adjustRightInd w:val="0"/>
              <w:ind w:left="266" w:hanging="266"/>
              <w:textAlignment w:val="baseline"/>
              <w:rPr>
                <w:b/>
              </w:rPr>
            </w:pPr>
          </w:p>
        </w:tc>
        <w:tc>
          <w:tcPr>
            <w:tcW w:w="3923" w:type="pct"/>
          </w:tcPr>
          <w:p w14:paraId="1399838C" w14:textId="77777777" w:rsidR="00114635" w:rsidRDefault="00114635" w:rsidP="009B3A75">
            <w:pPr>
              <w:tabs>
                <w:tab w:val="center" w:pos="284"/>
              </w:tabs>
              <w:overflowPunct w:val="0"/>
              <w:autoSpaceDE w:val="0"/>
              <w:autoSpaceDN w:val="0"/>
              <w:adjustRightInd w:val="0"/>
              <w:ind w:left="266" w:right="-3091" w:hanging="266"/>
              <w:textAlignment w:val="baseline"/>
            </w:pPr>
          </w:p>
          <w:p w14:paraId="7A4860E1" w14:textId="41DB42AB" w:rsidR="007055CF" w:rsidRDefault="007055CF" w:rsidP="009B3A75">
            <w:pPr>
              <w:tabs>
                <w:tab w:val="center" w:pos="284"/>
              </w:tabs>
              <w:overflowPunct w:val="0"/>
              <w:autoSpaceDE w:val="0"/>
              <w:autoSpaceDN w:val="0"/>
              <w:adjustRightInd w:val="0"/>
              <w:ind w:left="266" w:right="-3091" w:hanging="266"/>
              <w:textAlignment w:val="baseline"/>
            </w:pPr>
          </w:p>
        </w:tc>
      </w:tr>
    </w:tbl>
    <w:p w14:paraId="541E9EEB" w14:textId="77777777" w:rsidR="009B3A75" w:rsidRDefault="009B3A75" w:rsidP="009B3A75">
      <w:pPr>
        <w:keepNext/>
        <w:keepLines/>
        <w:tabs>
          <w:tab w:val="center" w:pos="284"/>
        </w:tabs>
        <w:overflowPunct w:val="0"/>
        <w:autoSpaceDE w:val="0"/>
        <w:autoSpaceDN w:val="0"/>
        <w:adjustRightInd w:val="0"/>
        <w:ind w:left="266" w:hanging="266"/>
        <w:textAlignment w:val="baseline"/>
        <w:rPr>
          <w:b/>
        </w:rPr>
      </w:pPr>
      <w:r>
        <w:rPr>
          <w:b/>
        </w:rPr>
        <w:t>Galvenās nostādnes</w:t>
      </w:r>
    </w:p>
    <w:p w14:paraId="3FDE696D" w14:textId="77777777" w:rsidR="00D92322" w:rsidRDefault="00D92322" w:rsidP="009B3A75">
      <w:pPr>
        <w:keepNext/>
        <w:keepLines/>
        <w:tabs>
          <w:tab w:val="center" w:pos="284"/>
        </w:tabs>
        <w:overflowPunct w:val="0"/>
        <w:autoSpaceDE w:val="0"/>
        <w:autoSpaceDN w:val="0"/>
        <w:adjustRightInd w:val="0"/>
        <w:ind w:left="266" w:hanging="266"/>
        <w:textAlignment w:val="baseline"/>
        <w:rPr>
          <w:b/>
          <w:lang w:val="en-GB"/>
        </w:rPr>
      </w:pPr>
    </w:p>
    <w:p w14:paraId="35C36EF8" w14:textId="77777777" w:rsidR="009B3A75" w:rsidRPr="007055CF" w:rsidRDefault="009B3A75" w:rsidP="00AD2F07">
      <w:pPr>
        <w:pStyle w:val="ListParagraph"/>
        <w:numPr>
          <w:ilvl w:val="0"/>
          <w:numId w:val="36"/>
        </w:numPr>
        <w:overflowPunct w:val="0"/>
        <w:autoSpaceDE w:val="0"/>
        <w:autoSpaceDN w:val="0"/>
        <w:adjustRightInd w:val="0"/>
        <w:ind w:left="284" w:hanging="284"/>
        <w:textAlignment w:val="baseline"/>
        <w:rPr>
          <w:bCs/>
          <w:iCs/>
        </w:rPr>
      </w:pPr>
      <w:r w:rsidRPr="007055CF">
        <w:rPr>
          <w:szCs w:val="24"/>
        </w:rPr>
        <w:t>Pamatojoties uz datiem, kas savākti novērtēšanas procesā gan sanāksmēs ar valstu ieinteresētajām personām, gan mērķtiecīgā tiešsaistes anketā, EESK iesaka:</w:t>
      </w:r>
    </w:p>
    <w:p w14:paraId="2584F284"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 xml:space="preserve">Tiešie maksājumi un kopējais KLP finansējums ir jāpalielina un jāindeksē, lai atsvērtu inflāciju, izmaksu pieaugumu un tirgus svārstīgumu; </w:t>
      </w:r>
    </w:p>
    <w:p w14:paraId="7858844C"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Saglabāt divu pīlāru KLP, kur pirmais pīlārs aptver atbalstu lauksaimniecības ienākumiem, izmantojot tiešos maksājumus un tirgus atbalstu, bet otrais pīlārs aptver lauku attīstību un atbalstu lauku apvidiem;</w:t>
      </w:r>
    </w:p>
    <w:p w14:paraId="76D84959"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Stiprināt lauksaimnieku pozīciju pārtikas piegādes ķēdē un uzlabot cenu pārredzamību;</w:t>
      </w:r>
    </w:p>
    <w:p w14:paraId="6282D158"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stiprināt ražotāju organizācijas, palielināt to tiesību aktu izpildi, kas attiecas uz negodīgu tirdzniecības praksi, un nodrošināt tirdzniecības politikas standartu stingru līdzvērtību;</w:t>
      </w:r>
    </w:p>
    <w:p w14:paraId="4FA5FA1B"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pilnveidot un pastiprināt paaudžu maiņu, sniegt atbalstu sievietēm un nepilna laika lauksaimniekiem un nodrošināt ilgtermiņa politikas stabilitāti;</w:t>
      </w:r>
    </w:p>
    <w:p w14:paraId="2D78AF2F"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ieviest vai paplašināt mērķtiecīgus finansiālus un strukturālus stimulus, īpaši sievietēm lauksaimniecēm un sieviešu vadītiem projektiem, līdzīgi Īrijas un Spānijas “uz dzimumu līdztiesību vērstiem pasākumiem”;</w:t>
      </w:r>
    </w:p>
    <w:p w14:paraId="09E55B98"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 xml:space="preserve">izvirzīt augstākus vides mērķus ar samērīgiem stimuliem un ieviest elastīgākas </w:t>
      </w:r>
      <w:proofErr w:type="spellStart"/>
      <w:r w:rsidRPr="007055CF">
        <w:rPr>
          <w:szCs w:val="24"/>
        </w:rPr>
        <w:t>ekoshēmas</w:t>
      </w:r>
      <w:proofErr w:type="spellEnd"/>
      <w:r w:rsidRPr="007055CF">
        <w:rPr>
          <w:szCs w:val="24"/>
        </w:rPr>
        <w:t>, kas būtu pielāgotas katram reģionam un ko papildinātu atbilstoša kompensācija un mērķtiecīgi konsultāciju pakalpojumi;</w:t>
      </w:r>
    </w:p>
    <w:p w14:paraId="3EF78E91"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paplašināt sociālos nosacījumu piemērošanu un tos attiecināt arī uz augsta riska nozarēm, piemēram, uz dārzkopību, un uz migrējošiem/sezonas darba ņēmējiem, un vienlaikus rūpīgi izvērtēt un novērst lauksaimnieku, darba devēju grupu un valstu pārvaldes iestāžu uzskaitītās problēmas, kuras rada mehānisma efektivitāte un tā spēja palielināt administratīvo slogu, bez skaidriem sociālajiem ieguvumiem nozarei;</w:t>
      </w:r>
    </w:p>
    <w:p w14:paraId="3A251AEE"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vienkāršot administratīvās prasības, it īpaši lauku saimniecību līmenī, vienlaikus saglabājot pārskatatbildību, un samazināt birokrātisko slogu, šajā nolūkā piemērojot vienreizējas iesniegšanas principu;</w:t>
      </w:r>
    </w:p>
    <w:p w14:paraId="3C86F686"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 xml:space="preserve">Palielināt atbalstu iniciatīvai </w:t>
      </w:r>
      <w:r w:rsidRPr="007055CF">
        <w:rPr>
          <w:i/>
          <w:iCs/>
          <w:szCs w:val="24"/>
        </w:rPr>
        <w:t>LEADER</w:t>
      </w:r>
      <w:r w:rsidRPr="007055CF">
        <w:rPr>
          <w:szCs w:val="24"/>
        </w:rPr>
        <w:t xml:space="preserve"> un vietējās attīstības pasākumiem. Norobežot finansējumu, mazināt administratīvo sarežģītību un integrēt vairāk uz lauku saimniecībām vērstus un ar lauksaimniecības pārtiku saistītus projektus, lai veicinātu iekļaujošu lauku ekonomiku;</w:t>
      </w:r>
    </w:p>
    <w:p w14:paraId="20AC5942"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pilnveidot pilsoniskās sabiedrības iesaisti un izveidot pastāvīgas kopīgas atbildības sistēmas, izstrādāt efektīvākus konsultāciju periodus un pārredzamus atgriezeniskās saites mehānismus;</w:t>
      </w:r>
    </w:p>
    <w:p w14:paraId="0EE90602" w14:textId="77777777"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t>nodrošināt, ka KLP atbalsts netiek piešķirts uzņēmumu galvenajiem birojiem ārpus Eiropas Savienības;</w:t>
      </w:r>
    </w:p>
    <w:p w14:paraId="65472182" w14:textId="77777777" w:rsidR="007055CF" w:rsidRDefault="007055CF">
      <w:pPr>
        <w:spacing w:after="160" w:line="259" w:lineRule="auto"/>
        <w:jc w:val="left"/>
        <w:rPr>
          <w:szCs w:val="24"/>
        </w:rPr>
      </w:pPr>
      <w:r>
        <w:rPr>
          <w:szCs w:val="24"/>
        </w:rPr>
        <w:br w:type="page"/>
      </w:r>
    </w:p>
    <w:p w14:paraId="1C9823B7" w14:textId="28913265" w:rsidR="009B3A75" w:rsidRPr="007055CF" w:rsidRDefault="009B3A75" w:rsidP="00AD2F07">
      <w:pPr>
        <w:widowControl w:val="0"/>
        <w:numPr>
          <w:ilvl w:val="0"/>
          <w:numId w:val="37"/>
        </w:numPr>
        <w:overflowPunct w:val="0"/>
        <w:autoSpaceDE w:val="0"/>
        <w:autoSpaceDN w:val="0"/>
        <w:adjustRightInd w:val="0"/>
        <w:textAlignment w:val="baseline"/>
        <w:rPr>
          <w:bCs/>
          <w:iCs/>
        </w:rPr>
      </w:pPr>
      <w:r w:rsidRPr="007055CF">
        <w:rPr>
          <w:szCs w:val="24"/>
        </w:rPr>
        <w:lastRenderedPageBreak/>
        <w:t>ierosināt konkrētus atbalsta pasākumus lauksaimniekiem, lai nodrošinātu labus dzīves apstākļus sezonas strādniekiem.</w:t>
      </w:r>
    </w:p>
    <w:p w14:paraId="139EE4AC" w14:textId="77777777" w:rsidR="009B3A75" w:rsidRPr="009B3A75" w:rsidRDefault="009B3A75" w:rsidP="009B3A75">
      <w:pPr>
        <w:widowControl w:val="0"/>
        <w:overflowPunct w:val="0"/>
        <w:autoSpaceDE w:val="0"/>
        <w:autoSpaceDN w:val="0"/>
        <w:adjustRightInd w:val="0"/>
        <w:ind w:left="567"/>
        <w:textAlignment w:val="baseline"/>
        <w:rPr>
          <w:rFonts w:asciiTheme="minorHAnsi" w:hAnsiTheme="minorHAnsi"/>
          <w:sz w:val="16"/>
          <w:szCs w:val="16"/>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Kontaktpersona:</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proofErr w:type="spellStart"/>
            <w:r>
              <w:rPr>
                <w:i/>
              </w:rPr>
              <w:t>Myrto</w:t>
            </w:r>
            <w:proofErr w:type="spellEnd"/>
            <w:r>
              <w:rPr>
                <w:i/>
              </w:rPr>
              <w:t xml:space="preserve"> </w:t>
            </w:r>
            <w:proofErr w:type="spellStart"/>
            <w:r>
              <w:rPr>
                <w:i/>
              </w:rPr>
              <w:t>Kolyva</w:t>
            </w:r>
            <w:proofErr w:type="spellEnd"/>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Tālr.:</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+32 25468718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t>E-pasts:</w:t>
            </w:r>
          </w:p>
        </w:tc>
        <w:tc>
          <w:tcPr>
            <w:tcW w:w="3922" w:type="pct"/>
          </w:tcPr>
          <w:p w14:paraId="14201871" w14:textId="77777777" w:rsidR="009B3A75" w:rsidRPr="009B3A75" w:rsidRDefault="00CB0220" w:rsidP="009B3A75">
            <w:pPr>
              <w:overflowPunct w:val="0"/>
              <w:autoSpaceDE w:val="0"/>
              <w:autoSpaceDN w:val="0"/>
              <w:adjustRightInd w:val="0"/>
              <w:textAlignment w:val="baseline"/>
              <w:rPr>
                <w:i/>
              </w:rPr>
            </w:pPr>
            <w:hyperlink r:id="rId59" w:history="1">
              <w:r w:rsidR="00FE6829">
                <w:rPr>
                  <w:i/>
                  <w:color w:val="0000FF"/>
                  <w:u w:val="single"/>
                </w:rPr>
                <w:t>Myrto.Kolyva@eesc.europa.eu</w:t>
              </w:r>
            </w:hyperlink>
          </w:p>
        </w:tc>
      </w:tr>
    </w:tbl>
    <w:p w14:paraId="60D73D6C" w14:textId="77777777" w:rsidR="00CC0F66" w:rsidRDefault="00CC0F66">
      <w:pPr>
        <w:spacing w:after="160" w:line="259" w:lineRule="auto"/>
        <w:jc w:val="left"/>
      </w:pPr>
      <w:r>
        <w:br w:type="page"/>
      </w:r>
    </w:p>
    <w:p w14:paraId="14026A78" w14:textId="4FAE1588" w:rsidR="007F5784" w:rsidRDefault="007F5784" w:rsidP="001766B2">
      <w:pPr>
        <w:pStyle w:val="Heading1"/>
        <w:rPr>
          <w:b/>
        </w:rPr>
      </w:pPr>
      <w:bookmarkStart w:id="97" w:name="_Toc233976410"/>
      <w:r>
        <w:rPr>
          <w:b/>
        </w:rPr>
        <w:lastRenderedPageBreak/>
        <w:t>ĀRĒJĀS ATTIECĪBAS</w:t>
      </w:r>
      <w:bookmarkEnd w:id="97"/>
    </w:p>
    <w:p w14:paraId="3BBB3E68" w14:textId="77777777" w:rsidR="007F5784" w:rsidRDefault="007F5784" w:rsidP="001766B2"/>
    <w:p w14:paraId="15F9C1D2" w14:textId="5B846815" w:rsidR="00316F9C" w:rsidRPr="00316F9C" w:rsidRDefault="00CB0220"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sidR="00FE6829">
          <w:rPr>
            <w:b/>
            <w:i/>
            <w:color w:val="0000FF"/>
            <w:sz w:val="28"/>
            <w:u w:val="single"/>
          </w:rPr>
          <w:t>ES ekonomiskās drošības stiprināšana</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Ziņotāja:</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r>
              <w:t>Milena ANGELOVA (Darba devēju grupa – BG)</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Atsauces</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 xml:space="preserve">JOIN(2025) 945 </w:t>
            </w:r>
            <w:proofErr w:type="spellStart"/>
            <w:r>
              <w:t>final</w:t>
            </w:r>
            <w:proofErr w:type="spellEnd"/>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Galvenās nostādnes</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92322">
      <w:pPr>
        <w:overflowPunct w:val="0"/>
        <w:autoSpaceDE w:val="0"/>
        <w:autoSpaceDN w:val="0"/>
        <w:adjustRightInd w:val="0"/>
        <w:textAlignment w:val="baseline"/>
        <w:rPr>
          <w:bCs/>
          <w:iCs/>
        </w:rPr>
      </w:pPr>
      <w:r>
        <w:t>EESK:</w:t>
      </w:r>
    </w:p>
    <w:p w14:paraId="03DB80AE" w14:textId="77777777" w:rsid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uzskata, ka ekonomiskā drošība ir būtisks ES mērķis, un aicina steidzami un integrēti rīkoties visās attiecīgajās politikas jomās, it īpaši inovācijas, enerģētikas, transporta, digitālajā, rūpniecības, ekonomikas, tirdzniecības un starptautiskās partnerības politikā, paredzot skaidrus pienākumus un efektīvu koordināciju starp ES un valstu līmeni;</w:t>
      </w:r>
    </w:p>
    <w:p w14:paraId="495506AB" w14:textId="390EB250" w:rsidR="00316F9C" w:rsidRP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uzsver, ka ekonomiskā drošība ir cieši saistīta ar visaptverošu drošību un ka ES ir jāsagatavojas dažādiem pieaugošiem riskiem, stiprinot savu ekonomiku, aizsardzības spējas, demokrātisko noturību, diplomātiskās spējas un sadarbību ar līdzīgi domājošiem partneriem;</w:t>
      </w:r>
    </w:p>
    <w:p w14:paraId="5DEDA004"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aicina veikt horizontālus lielas ietekmes pasākumus, lai stiprinātu ES konkurētspēju, investīciju pievilcību un noturību, vienlaikus paplašinot un dažādojot tirdzniecības attiecības, veidojot izdevīgas starptautiskās partnerības un skaidri nošķirot zema un augsta riska atkarību;</w:t>
      </w:r>
    </w:p>
    <w:p w14:paraId="0020A7C0"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uzsver, ka spēcīgi iekšējie pamati – makroekonomiskā stabilitāte, stabila inovācijas un ražošanas jauda, droša piekļuve galvenajiem resursiem un labi funkcionējošs vienotais tirgus – ir stratēģiski ekonomiskās drošības veicinātāji;</w:t>
      </w:r>
    </w:p>
    <w:p w14:paraId="7FD0329C"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uzsver, ka ir ievērojami jāpalielina privātās un publiskās investīcijas, lai stiprinātu ekonomisko drošību, tostarp uzlabojot ES finanšu tirgus un aptverot pētniecību un inovāciju izvēršanai un ražošanai;</w:t>
      </w:r>
    </w:p>
    <w:p w14:paraId="71327DE9"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aicina izvērst drošas un ilgtspējīgas piegādes ķēdes un infrastruktūru, spēcīgu un daudzveidīgu ražošanas bāzi, darba tirgum atbilstošas prasmes un kompetences, kā arī augstākā līmeņa zinātību pamattehnoloģiju jomā;</w:t>
      </w:r>
    </w:p>
    <w:p w14:paraId="391549CF"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aicina ekonomiskās drošības politikas izstrādē, īstenošanā un uzraudzībā stingri, strukturēti un jēgpilni iesaistīt sociālos partnerus, pilsoniskās sabiedrības organizācijas un akadēmiskās iestādes.</w:t>
      </w: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Kontaktpersona:</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 xml:space="preserve">Marco </w:t>
            </w:r>
            <w:proofErr w:type="spellStart"/>
            <w:r>
              <w:rPr>
                <w:i/>
              </w:rPr>
              <w:t>Ristori</w:t>
            </w:r>
            <w:proofErr w:type="spellEnd"/>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Tālr.:</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+32 25469969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E-pasts:</w:t>
            </w:r>
          </w:p>
        </w:tc>
        <w:tc>
          <w:tcPr>
            <w:tcW w:w="3444" w:type="pct"/>
          </w:tcPr>
          <w:p w14:paraId="2E9E7E4D" w14:textId="77777777" w:rsidR="00316F9C" w:rsidRPr="00316F9C" w:rsidRDefault="00CB0220" w:rsidP="00316F9C">
            <w:pPr>
              <w:overflowPunct w:val="0"/>
              <w:autoSpaceDE w:val="0"/>
              <w:autoSpaceDN w:val="0"/>
              <w:adjustRightInd w:val="0"/>
              <w:spacing w:line="240" w:lineRule="auto"/>
              <w:textAlignment w:val="baseline"/>
              <w:rPr>
                <w:i/>
              </w:rPr>
            </w:pPr>
            <w:hyperlink r:id="rId61" w:history="1">
              <w:r w:rsidR="00FE6829">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00818601" w14:textId="77777777" w:rsidR="00CC0F66" w:rsidRDefault="00CC0F66" w:rsidP="001766B2"/>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98" w:name="_Toc233976411"/>
      <w:r>
        <w:rPr>
          <w:b/>
          <w:color w:val="222A35" w:themeColor="text2" w:themeShade="80"/>
        </w:rPr>
        <w:lastRenderedPageBreak/>
        <w:t>RŪPNIECĪBAS PĀRMAIŅU KONSULTATĪVĀ KOMISIJA</w:t>
      </w:r>
      <w:bookmarkEnd w:id="98"/>
    </w:p>
    <w:p w14:paraId="713E272F" w14:textId="77777777" w:rsidR="006D2C8A" w:rsidRDefault="006D2C8A" w:rsidP="001766B2"/>
    <w:p w14:paraId="7593948E" w14:textId="0540C45A" w:rsidR="00D576FA" w:rsidRPr="00D576FA" w:rsidRDefault="00CB0220" w:rsidP="00D576FA">
      <w:pPr>
        <w:widowControl w:val="0"/>
        <w:numPr>
          <w:ilvl w:val="0"/>
          <w:numId w:val="4"/>
        </w:numPr>
        <w:overflowPunct w:val="0"/>
        <w:autoSpaceDE w:val="0"/>
        <w:autoSpaceDN w:val="0"/>
        <w:adjustRightInd w:val="0"/>
        <w:ind w:hanging="567"/>
        <w:textAlignment w:val="baseline"/>
        <w:rPr>
          <w:sz w:val="20"/>
          <w:szCs w:val="20"/>
        </w:rPr>
      </w:pPr>
      <w:hyperlink r:id="rId62" w:history="1">
        <w:proofErr w:type="spellStart"/>
        <w:r w:rsidR="00FE6829">
          <w:rPr>
            <w:b/>
            <w:i/>
            <w:color w:val="0000FF"/>
            <w:sz w:val="28"/>
            <w:u w:val="single"/>
          </w:rPr>
          <w:t>RESourceEU</w:t>
        </w:r>
        <w:proofErr w:type="spellEnd"/>
        <w:r w:rsidR="00FE6829">
          <w:rPr>
            <w:b/>
            <w:i/>
            <w:color w:val="0000FF"/>
            <w:sz w:val="28"/>
            <w:u w:val="single"/>
          </w:rPr>
          <w:t xml:space="preserve"> rīcības plāns</w:t>
        </w:r>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rPr>
              <w:t>Ziņotājs:</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Konstantinos DIAMANTOUROS (Darba devēju grupa – EL)</w:t>
            </w:r>
          </w:p>
        </w:tc>
      </w:tr>
      <w:tr w:rsidR="00D576FA" w:rsidRPr="00D576FA" w14:paraId="7162E97C" w14:textId="77777777" w:rsidTr="0033503A">
        <w:tc>
          <w:tcPr>
            <w:tcW w:w="1641" w:type="dxa"/>
            <w:hideMark/>
          </w:tcPr>
          <w:p w14:paraId="6D731A23" w14:textId="77777777" w:rsidR="00D576FA" w:rsidRPr="00D576FA" w:rsidRDefault="00D576FA" w:rsidP="00D576FA">
            <w:pPr>
              <w:tabs>
                <w:tab w:val="center" w:pos="284"/>
              </w:tabs>
              <w:overflowPunct w:val="0"/>
              <w:autoSpaceDE w:val="0"/>
              <w:autoSpaceDN w:val="0"/>
              <w:adjustRightInd w:val="0"/>
              <w:ind w:left="266" w:hanging="266"/>
              <w:rPr>
                <w:b/>
              </w:rPr>
            </w:pPr>
            <w:r>
              <w:rPr>
                <w:b/>
              </w:rPr>
              <w:t>Līdzziņotāja</w:t>
            </w:r>
          </w:p>
        </w:tc>
        <w:tc>
          <w:tcPr>
            <w:tcW w:w="7681" w:type="dxa"/>
            <w:hideMark/>
          </w:tcPr>
          <w:p w14:paraId="71905D27" w14:textId="05D42BAC" w:rsidR="00D576FA" w:rsidRDefault="00D576FA" w:rsidP="00D576FA">
            <w:pPr>
              <w:tabs>
                <w:tab w:val="center" w:pos="284"/>
              </w:tabs>
              <w:overflowPunct w:val="0"/>
              <w:autoSpaceDE w:val="0"/>
              <w:autoSpaceDN w:val="0"/>
              <w:adjustRightInd w:val="0"/>
              <w:ind w:left="266" w:hanging="266"/>
            </w:pPr>
            <w:r>
              <w:t>Agata MEYSNER (3. </w:t>
            </w:r>
            <w:proofErr w:type="spellStart"/>
            <w:r>
              <w:t>kat</w:t>
            </w:r>
            <w:proofErr w:type="spellEnd"/>
            <w:r>
              <w:t>. – PL)</w:t>
            </w:r>
          </w:p>
          <w:p w14:paraId="73BE94E4" w14:textId="77777777" w:rsidR="00543E9D" w:rsidRPr="00D576FA" w:rsidRDefault="00543E9D" w:rsidP="00D576FA">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Atsauces</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 xml:space="preserve">COM(2025) 945 </w:t>
            </w:r>
            <w:proofErr w:type="spellStart"/>
            <w:r>
              <w:t>final</w:t>
            </w:r>
            <w:proofErr w:type="spellEnd"/>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rPr>
      </w:pPr>
      <w:r>
        <w:rPr>
          <w:b/>
        </w:rPr>
        <w:t>Galvenās nostādnes</w:t>
      </w:r>
    </w:p>
    <w:p w14:paraId="6E2EBF13"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D576FA">
      <w:pPr>
        <w:keepNext/>
        <w:keepLines/>
        <w:tabs>
          <w:tab w:val="center" w:pos="284"/>
        </w:tabs>
        <w:overflowPunct w:val="0"/>
        <w:autoSpaceDE w:val="0"/>
        <w:autoSpaceDN w:val="0"/>
        <w:adjustRightInd w:val="0"/>
        <w:ind w:left="266" w:hanging="266"/>
        <w:textAlignment w:val="baseline"/>
        <w:rPr>
          <w:bCs/>
        </w:rPr>
      </w:pPr>
      <w:r>
        <w:t>EESK:</w:t>
      </w:r>
    </w:p>
    <w:p w14:paraId="4C6A1B7A"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 xml:space="preserve">atbalsta </w:t>
      </w:r>
      <w:proofErr w:type="spellStart"/>
      <w:r>
        <w:rPr>
          <w:i/>
          <w:iCs/>
        </w:rPr>
        <w:t>RESourceEU</w:t>
      </w:r>
      <w:proofErr w:type="spellEnd"/>
      <w:r>
        <w:t xml:space="preserve"> rīcības plānu jo tas ir svarīgs solis ceļā uz ES kritiski svarīgo izejvielu vērtības ķēžu noturības stiprināšanu un stratēģiskās atkarības mazināšanu;</w:t>
      </w:r>
    </w:p>
    <w:p w14:paraId="1DACE32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iesaka līdzsvarotu pieeju, kas apvieno lielāku Eiropas ražošanas jaudu, spēcīgākus apritīguma pasākumus, atbildīgas starptautiskās partnerības, konkurētspējīgas enerģijas cenas, īstenojamu tiesisko regulējumu un stingrus vides un sociālos aizsardzības pasākumus;</w:t>
      </w:r>
    </w:p>
    <w:p w14:paraId="0C92FBC1"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atbalsta ātrākas atļauju piešķiršanas procedūras stratēģiskiem Eiropas projektiem, lai paātrinātu kritiski svarīgo izejvielu vērtības ķēžu attīstību ES;</w:t>
      </w:r>
    </w:p>
    <w:p w14:paraId="7DD0D182"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iesaka samazināt strukturāli augstās rūpnieciskās enerģijas cenas un veicināt atjaunīgās elektroenerģijas ilgtermiņa pirkuma līgumus energoietilpīgām nozarēm;</w:t>
      </w:r>
    </w:p>
    <w:p w14:paraId="4F02637C"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atbalsta elektrifikācijas pasākumus saskaņā ar tīras rūpniecības valsts atbalsta regulējumu, vienlaikus saglabājot ES ETS efektivitāti;</w:t>
      </w:r>
    </w:p>
    <w:p w14:paraId="29AF5E3F"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 xml:space="preserve">iesaka nodrošināt, ka tādas iniciatīvas kā ES </w:t>
      </w:r>
      <w:proofErr w:type="spellStart"/>
      <w:r>
        <w:t>taksonomija</w:t>
      </w:r>
      <w:proofErr w:type="spellEnd"/>
      <w:r>
        <w:t xml:space="preserve"> uzlabo piekļuvi finansējumam stratēģiskiem projektiem, kas saistīti ar kritiski svarīgām izejvielām;</w:t>
      </w:r>
    </w:p>
    <w:p w14:paraId="47BF5454"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uzsver, ka gaidāmās Ūdens pamatdirektīvas pārskatīšanas rezultātā nedrīkst pazemināties vides aizsardzības standarti;</w:t>
      </w:r>
    </w:p>
    <w:p w14:paraId="1212F24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atbalsta kritiski svarīgo izejvielu reciklēšanas un atkalizmantošanas uzlabošanu, lai stiprinātu ES drošību resursu ziņā un samazinātu atkritumu eksportu;</w:t>
      </w:r>
    </w:p>
    <w:p w14:paraId="7BE49C5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iesaka noteikt skaidras atkritumu un otrreizējo izejvielu definīcijas, lai veicinātu reciklēšanu, reģenerāciju un ieguldījumu noteiktību;</w:t>
      </w:r>
    </w:p>
    <w:p w14:paraId="0C4F026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 xml:space="preserve">iesaka stiprināt ES materiālu vērtības ķēdes, apvienojot lielāku iekšzemes ražošanu, augstākus reciklēšanas rādītājus, ekodizaina pasākumus un uzlabotu </w:t>
      </w:r>
      <w:proofErr w:type="spellStart"/>
      <w:r>
        <w:t>materiālefektivitāti</w:t>
      </w:r>
      <w:proofErr w:type="spellEnd"/>
      <w:r>
        <w:t>;</w:t>
      </w:r>
    </w:p>
    <w:p w14:paraId="4E1B53C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atbalsta stratēģisko krājumu veidošanu kā papildu pasākumu, kam nevajadzētu aizstāt ES iekšzemes ražošanas, pārstrādes un reciklēšanas jaudu;</w:t>
      </w:r>
    </w:p>
    <w:p w14:paraId="0969BB8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iesaka uzlabot izejvielu pārvaldības pārredzamību, nodrošinot labāku uzraudzību attiecībā uz materiālu plūsmām, krājumu apmēru un sadales lēmumiem;</w:t>
      </w:r>
    </w:p>
    <w:p w14:paraId="384C19C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atbalsta centienus dažādot piegādes ķēdes, izmantojot līdzsvarotas starptautiskas partnerības, bet vienlaikus stiprinot ES ieguves, pārstrādes, rafinēšanas un reciklēšanas spējas.</w:t>
      </w:r>
    </w:p>
    <w:p w14:paraId="5A852102" w14:textId="77777777" w:rsidR="00D576FA" w:rsidRPr="00D576FA" w:rsidRDefault="00D576FA" w:rsidP="00D576FA">
      <w:pPr>
        <w:spacing w:after="120" w:line="240" w:lineRule="auto"/>
        <w:ind w:left="568"/>
        <w:jc w:val="left"/>
        <w:rPr>
          <w:rFonts w:ascii="Calibri" w:hAnsi="Calibri"/>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D576FA">
            <w:pPr>
              <w:overflowPunct w:val="0"/>
              <w:autoSpaceDE w:val="0"/>
              <w:autoSpaceDN w:val="0"/>
              <w:adjustRightInd w:val="0"/>
              <w:textAlignment w:val="baseline"/>
              <w:rPr>
                <w:i/>
              </w:rPr>
            </w:pPr>
            <w:r>
              <w:rPr>
                <w:b/>
                <w:i/>
              </w:rPr>
              <w:t>Kontaktpersona:</w:t>
            </w:r>
          </w:p>
        </w:tc>
        <w:tc>
          <w:tcPr>
            <w:tcW w:w="3923" w:type="pct"/>
          </w:tcPr>
          <w:p w14:paraId="61035A38" w14:textId="77679AFC" w:rsidR="00D576FA" w:rsidRPr="00D576FA" w:rsidRDefault="00D576FA" w:rsidP="00D576FA">
            <w:pPr>
              <w:overflowPunct w:val="0"/>
              <w:autoSpaceDE w:val="0"/>
              <w:autoSpaceDN w:val="0"/>
              <w:adjustRightInd w:val="0"/>
              <w:textAlignment w:val="baseline"/>
              <w:rPr>
                <w:i/>
              </w:rPr>
            </w:pPr>
            <w:r>
              <w:rPr>
                <w:i/>
              </w:rPr>
              <w:t xml:space="preserve">Adam </w:t>
            </w:r>
            <w:proofErr w:type="spellStart"/>
            <w:r>
              <w:rPr>
                <w:i/>
              </w:rPr>
              <w:t>Dorywalski</w:t>
            </w:r>
            <w:proofErr w:type="spellEnd"/>
          </w:p>
        </w:tc>
      </w:tr>
      <w:tr w:rsidR="00D576FA" w:rsidRPr="00D576FA" w14:paraId="2E407A7E" w14:textId="77777777" w:rsidTr="0033503A">
        <w:tc>
          <w:tcPr>
            <w:tcW w:w="1077" w:type="pct"/>
          </w:tcPr>
          <w:p w14:paraId="68D5D5E9" w14:textId="77777777" w:rsidR="00D576FA" w:rsidRPr="00D576FA" w:rsidRDefault="00D576FA" w:rsidP="00D576FA">
            <w:pPr>
              <w:overflowPunct w:val="0"/>
              <w:autoSpaceDE w:val="0"/>
              <w:autoSpaceDN w:val="0"/>
              <w:adjustRightInd w:val="0"/>
              <w:textAlignment w:val="baseline"/>
              <w:rPr>
                <w:i/>
              </w:rPr>
            </w:pPr>
            <w:r>
              <w:rPr>
                <w:i/>
              </w:rPr>
              <w:t>Tālr.:</w:t>
            </w:r>
          </w:p>
        </w:tc>
        <w:tc>
          <w:tcPr>
            <w:tcW w:w="3923" w:type="pct"/>
          </w:tcPr>
          <w:p w14:paraId="6E7C366A" w14:textId="77777777" w:rsidR="00D576FA" w:rsidRPr="00D576FA" w:rsidRDefault="00D576FA" w:rsidP="00D576FA">
            <w:pPr>
              <w:overflowPunct w:val="0"/>
              <w:autoSpaceDE w:val="0"/>
              <w:autoSpaceDN w:val="0"/>
              <w:adjustRightInd w:val="0"/>
              <w:textAlignment w:val="baseline"/>
              <w:rPr>
                <w:i/>
              </w:rPr>
            </w:pPr>
            <w:r>
              <w:rPr>
                <w:i/>
              </w:rPr>
              <w:t>+32 25469397</w:t>
            </w:r>
          </w:p>
        </w:tc>
      </w:tr>
      <w:tr w:rsidR="00D576FA" w:rsidRPr="00D576FA" w14:paraId="2E41EE7A" w14:textId="77777777" w:rsidTr="0033503A">
        <w:tc>
          <w:tcPr>
            <w:tcW w:w="1077" w:type="pct"/>
          </w:tcPr>
          <w:p w14:paraId="7AA80285" w14:textId="77777777" w:rsidR="00D576FA" w:rsidRPr="00D576FA" w:rsidRDefault="00D576FA" w:rsidP="00D576FA">
            <w:pPr>
              <w:overflowPunct w:val="0"/>
              <w:autoSpaceDE w:val="0"/>
              <w:autoSpaceDN w:val="0"/>
              <w:adjustRightInd w:val="0"/>
              <w:textAlignment w:val="baseline"/>
              <w:rPr>
                <w:i/>
              </w:rPr>
            </w:pPr>
            <w:r>
              <w:rPr>
                <w:i/>
              </w:rPr>
              <w:t>E-pasts:</w:t>
            </w:r>
          </w:p>
        </w:tc>
        <w:tc>
          <w:tcPr>
            <w:tcW w:w="3923" w:type="pct"/>
          </w:tcPr>
          <w:p w14:paraId="1A75A4DA" w14:textId="77777777" w:rsidR="00D576FA" w:rsidRPr="00D576FA" w:rsidRDefault="00CB0220" w:rsidP="00D576FA">
            <w:pPr>
              <w:overflowPunct w:val="0"/>
              <w:autoSpaceDE w:val="0"/>
              <w:autoSpaceDN w:val="0"/>
              <w:adjustRightInd w:val="0"/>
              <w:textAlignment w:val="baseline"/>
              <w:rPr>
                <w:i/>
              </w:rPr>
            </w:pPr>
            <w:hyperlink r:id="rId63" w:history="1">
              <w:r w:rsidR="00FE6829">
                <w:rPr>
                  <w:color w:val="0000FF"/>
                  <w:u w:val="single"/>
                </w:rPr>
                <w:t>Adam.Dorywalski@eesc.europa.eu</w:t>
              </w:r>
            </w:hyperlink>
          </w:p>
        </w:tc>
      </w:tr>
    </w:tbl>
    <w:p w14:paraId="7B95FE6F" w14:textId="77777777" w:rsidR="00D576FA" w:rsidRDefault="00D576FA">
      <w:pPr>
        <w:spacing w:after="160" w:line="259" w:lineRule="auto"/>
        <w:jc w:val="left"/>
      </w:pPr>
      <w:r>
        <w:br w:type="page"/>
      </w:r>
    </w:p>
    <w:p w14:paraId="0DD8CDD2" w14:textId="4F1CB8F8" w:rsidR="002F1C76" w:rsidRPr="002F1C76" w:rsidRDefault="00CB0220" w:rsidP="002F1C76">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4" w:history="1">
        <w:r w:rsidR="00FE6829">
          <w:rPr>
            <w:b/>
            <w:i/>
            <w:color w:val="0000FF"/>
            <w:sz w:val="28"/>
            <w:u w:val="single"/>
          </w:rPr>
          <w:t>EESK pienesums ANO 2026. gada konferencei par ūdeni: no ES zilā kursa un Ūdensresursu noturības stratēģijas līdz globālai rīcībai ūdensresursu jomā</w:t>
        </w:r>
      </w:hyperlink>
    </w:p>
    <w:p w14:paraId="515C96AD"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32853095" w14:textId="77777777" w:rsidR="002A49B2" w:rsidRPr="002F1C76" w:rsidRDefault="002A49B2"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2F1C76" w:rsidRPr="002F1C76" w14:paraId="5F36AD4E" w14:textId="77777777" w:rsidTr="0033503A">
        <w:tc>
          <w:tcPr>
            <w:tcW w:w="1701" w:type="dxa"/>
          </w:tcPr>
          <w:p w14:paraId="680D5D30"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Ziņotājs:</w:t>
            </w:r>
          </w:p>
        </w:tc>
        <w:tc>
          <w:tcPr>
            <w:tcW w:w="7479" w:type="dxa"/>
          </w:tcPr>
          <w:p w14:paraId="63BCDB51" w14:textId="34FFB9F2" w:rsidR="002F1C76" w:rsidRPr="002F1C76" w:rsidRDefault="002F1C76" w:rsidP="002F1C76">
            <w:pPr>
              <w:tabs>
                <w:tab w:val="center" w:pos="284"/>
              </w:tabs>
              <w:overflowPunct w:val="0"/>
              <w:autoSpaceDE w:val="0"/>
              <w:autoSpaceDN w:val="0"/>
              <w:adjustRightInd w:val="0"/>
              <w:ind w:left="266" w:hanging="266"/>
              <w:textAlignment w:val="baseline"/>
            </w:pPr>
            <w:r>
              <w:t>Paul RÜBIG (Darba devēju grupa – AT)</w:t>
            </w:r>
          </w:p>
        </w:tc>
      </w:tr>
      <w:tr w:rsidR="002F1C76" w:rsidRPr="002F1C76" w14:paraId="4A554259" w14:textId="77777777" w:rsidTr="0033503A">
        <w:tc>
          <w:tcPr>
            <w:tcW w:w="1701" w:type="dxa"/>
          </w:tcPr>
          <w:p w14:paraId="4FA38557"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Līdzziņotājs</w:t>
            </w:r>
          </w:p>
        </w:tc>
        <w:tc>
          <w:tcPr>
            <w:tcW w:w="7479" w:type="dxa"/>
          </w:tcPr>
          <w:p w14:paraId="21962977" w14:textId="77777777" w:rsidR="002F1C76" w:rsidRDefault="002F1C76" w:rsidP="002F1C76">
            <w:pPr>
              <w:tabs>
                <w:tab w:val="center" w:pos="284"/>
              </w:tabs>
              <w:overflowPunct w:val="0"/>
              <w:autoSpaceDE w:val="0"/>
              <w:autoSpaceDN w:val="0"/>
              <w:adjustRightInd w:val="0"/>
              <w:ind w:left="266" w:hanging="266"/>
              <w:textAlignment w:val="baseline"/>
            </w:pPr>
            <w:proofErr w:type="spellStart"/>
            <w:r>
              <w:t>Hervé</w:t>
            </w:r>
            <w:proofErr w:type="spellEnd"/>
            <w:r>
              <w:t> JEANNIN (Pilsoniskās sabiedrības organizāciju grupa – FR)</w:t>
            </w:r>
          </w:p>
          <w:p w14:paraId="4F3F4C0C" w14:textId="77777777" w:rsidR="002A49B2" w:rsidRPr="002F1C76" w:rsidRDefault="002A49B2" w:rsidP="002F1C76">
            <w:pPr>
              <w:tabs>
                <w:tab w:val="center" w:pos="284"/>
              </w:tabs>
              <w:overflowPunct w:val="0"/>
              <w:autoSpaceDE w:val="0"/>
              <w:autoSpaceDN w:val="0"/>
              <w:adjustRightInd w:val="0"/>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Atsauces</w:t>
            </w:r>
          </w:p>
        </w:tc>
        <w:tc>
          <w:tcPr>
            <w:tcW w:w="7479" w:type="dxa"/>
          </w:tcPr>
          <w:p w14:paraId="5A80743A" w14:textId="5515CF4A" w:rsidR="002A49B2" w:rsidRDefault="004343FD" w:rsidP="002F1C76">
            <w:pPr>
              <w:tabs>
                <w:tab w:val="center" w:pos="284"/>
              </w:tabs>
              <w:overflowPunct w:val="0"/>
              <w:autoSpaceDE w:val="0"/>
              <w:autoSpaceDN w:val="0"/>
              <w:adjustRightInd w:val="0"/>
              <w:ind w:left="266" w:hanging="266"/>
              <w:textAlignment w:val="baseline"/>
            </w:pPr>
            <w:r>
              <w:t>Pašiniciatīvas atzinums</w:t>
            </w:r>
          </w:p>
          <w:p w14:paraId="643F01B2" w14:textId="1BF0EF1E" w:rsidR="002F1C76" w:rsidRPr="002F1C76" w:rsidRDefault="002F1C76" w:rsidP="002F1C76">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sz w:val="16"/>
          <w:szCs w:val="16"/>
          <w:lang w:val="en-GB"/>
        </w:rPr>
      </w:pPr>
    </w:p>
    <w:p w14:paraId="4D5E3808"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rPr>
      </w:pPr>
      <w:r>
        <w:rPr>
          <w:b/>
        </w:rPr>
        <w:t>Galvenās nostādnes</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77777777" w:rsidR="002F1C76" w:rsidRDefault="002F1C76" w:rsidP="002F1C76">
      <w:pPr>
        <w:keepNext/>
        <w:keepLines/>
        <w:tabs>
          <w:tab w:val="center" w:pos="284"/>
        </w:tabs>
        <w:overflowPunct w:val="0"/>
        <w:autoSpaceDE w:val="0"/>
        <w:autoSpaceDN w:val="0"/>
        <w:adjustRightInd w:val="0"/>
        <w:ind w:left="266" w:hanging="266"/>
        <w:textAlignment w:val="baseline"/>
        <w:rPr>
          <w:bCs/>
        </w:rPr>
      </w:pPr>
      <w:r>
        <w:t>EESK:</w:t>
      </w:r>
    </w:p>
    <w:p w14:paraId="7EF93A1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uzsver, ka ir svarīgi 2026. gada ANO konferencē par ūdeni par globālu prioritāti noteikt ūdensresursu noturību un aicina mainīt paradigmu no lineāras ūdens izmantošanas uz </w:t>
      </w:r>
      <w:proofErr w:type="spellStart"/>
      <w:r>
        <w:t>apritīgām</w:t>
      </w:r>
      <w:proofErr w:type="spellEnd"/>
      <w:r>
        <w:t xml:space="preserve"> sistēmām, tādējādi atzīstot ūdeni par sabiedrisku labumu ar sociālu, </w:t>
      </w:r>
      <w:proofErr w:type="spellStart"/>
      <w:r>
        <w:t>vidisku</w:t>
      </w:r>
      <w:proofErr w:type="spellEnd"/>
      <w:r>
        <w:t xml:space="preserve"> un ekonomisku vērtību;</w:t>
      </w:r>
    </w:p>
    <w:p w14:paraId="3A368888"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aicina īstenot horizontālas pārvaldības pieeju, ūdensresursu jautājumu integrējot dažādos sektoros un pārvaldības līmeņos pasaules līmenī un transversāli iesaistot pilsonisko sabiedrību;</w:t>
      </w:r>
    </w:p>
    <w:p w14:paraId="59208CC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aicina starptautisko sabiedrību nepārprotami nosodīt uzbrukumus būtiskai ūdensresursu infrastruktūrai, kas ir neaizstājama civiliedzīvotāju izdzīvošanai, un atzīt to par kara noziegumu;</w:t>
      </w:r>
    </w:p>
    <w:p w14:paraId="50C5205B"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iesaka sistemātiski veikt “ietekmes uz </w:t>
      </w:r>
      <w:proofErr w:type="spellStart"/>
      <w:r>
        <w:t>ūdensresursiem</w:t>
      </w:r>
      <w:proofErr w:type="spellEnd"/>
      <w:r>
        <w:t xml:space="preserve"> testu” visās attiecīgajās ES un globālajās politikas iniciatīvās, lai novērtētu to ietekmi uz </w:t>
      </w:r>
      <w:proofErr w:type="spellStart"/>
      <w:r>
        <w:t>ūdensresursiem</w:t>
      </w:r>
      <w:proofErr w:type="spellEnd"/>
      <w:r>
        <w:t xml:space="preserve">, </w:t>
      </w:r>
      <w:proofErr w:type="spellStart"/>
      <w:r>
        <w:t>ūdensefektivitāti</w:t>
      </w:r>
      <w:proofErr w:type="spellEnd"/>
      <w:r>
        <w:t xml:space="preserve"> un ūdensresursu noturību;</w:t>
      </w:r>
    </w:p>
    <w:p w14:paraId="3577252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uzskata, ka ūdens ir sabiedrisks labums, un tāpēc uzsver, ka ūdens cenas </w:t>
      </w:r>
      <w:proofErr w:type="spellStart"/>
      <w:r>
        <w:t>pieņemamība</w:t>
      </w:r>
      <w:proofErr w:type="spellEnd"/>
      <w:r>
        <w:t xml:space="preserve"> neaizsargātām grupām ir izšķiroši nozīmīga ūdens taisnīguma nodrošināšanai pasaulē; </w:t>
      </w:r>
    </w:p>
    <w:p w14:paraId="36D8A70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uzsver: lai panāktu ūdensresursu noturību, ir būtiski jāmaina ieradumi visos sabiedrības sektoros, tostarp jāpielāgo lauksaimniecības un rūpniecības metodes, jāstiprina klimatadaptācija un jāsaglabā mitrāji;</w:t>
      </w:r>
    </w:p>
    <w:p w14:paraId="308B8B6F"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uzskata, ka dabā balstīti risinājumi, tostarp mitrāji, ir ūdens resursu noturībai kritiski svarīga infrastruktūra un ka tie ir jāiekļauj visos tematiskajos dialogos saistībā ar ANO 2026. gada konferenci par ūdeni;</w:t>
      </w:r>
    </w:p>
    <w:p w14:paraId="7470F265"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aicina mobilizēt publisko un privāto kapitālu un tādējādi atbalstīt stabilu rentablu 6. ilgtspējīgas attīstības mērķa (IAM) projektu plūsmu; </w:t>
      </w:r>
    </w:p>
    <w:p w14:paraId="2C0FFB1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aicina sniegt lielāku atbalstu tādā jomā kā ūdens, sanitārija un higiēna (</w:t>
      </w:r>
      <w:r>
        <w:rPr>
          <w:i/>
          <w:iCs/>
        </w:rPr>
        <w:t>WASH</w:t>
      </w:r>
      <w:r>
        <w:t xml:space="preserve">), izmantojot integrētas </w:t>
      </w:r>
      <w:proofErr w:type="spellStart"/>
      <w:r>
        <w:t>klimatnoturīgas</w:t>
      </w:r>
      <w:proofErr w:type="spellEnd"/>
      <w:r>
        <w:t xml:space="preserve"> pieejas, kas apvieno infrastruktūras attīstību, pārvaldību un spēju veidošanu un īpašu uzmanību pievēršot neaizsargātām un </w:t>
      </w:r>
      <w:proofErr w:type="spellStart"/>
      <w:r>
        <w:t>marginalizētām</w:t>
      </w:r>
      <w:proofErr w:type="spellEnd"/>
      <w:r>
        <w:t xml:space="preserve"> kopienām;</w:t>
      </w:r>
    </w:p>
    <w:p w14:paraId="7C1F5DB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uzskata, ka gadījumā, ja rodas ar ūdens izmantošanu saistīti konflikti, par prioritāti būtu jāizvirza dzeramā ūdens apgāde;</w:t>
      </w:r>
    </w:p>
    <w:p w14:paraId="5A5B2B91"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aicina visā pasaulē paātrināt pāreju uz ūdensresursu izmantošanas ziņā viedu sabiedrību;</w:t>
      </w:r>
    </w:p>
    <w:p w14:paraId="76A33DB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atbalsta globālu mērķrādītāju noteikšanu, lai līdz 2030. gadam paaugstinātu ūdens izmantošanas efektivitāti vismaz par 10 % un līdz tam pašam gadam ievērojami paaugstinātu ūdens atkalizmantošanas līmeni visās nozarēs;</w:t>
      </w:r>
    </w:p>
    <w:p w14:paraId="640090B5" w14:textId="77777777" w:rsidR="001D3CB1" w:rsidRDefault="001D3CB1">
      <w:pPr>
        <w:spacing w:after="160" w:line="259" w:lineRule="auto"/>
        <w:jc w:val="left"/>
      </w:pPr>
      <w:r>
        <w:br w:type="page"/>
      </w:r>
    </w:p>
    <w:p w14:paraId="6F830F09" w14:textId="3D32E178"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lastRenderedPageBreak/>
        <w:t>iesaka izstrādāt saskaņotus rādītājus, uzraudzības mehānismus un ziņošanas sistēmas, lai varētu sekot līdzi progresam ūdens resursu noturības jomā un nodrošinātu pārskatatbildību pasaules līmenī.</w:t>
      </w:r>
    </w:p>
    <w:p w14:paraId="11E4B4CC" w14:textId="43757BA1" w:rsidR="002F1C76" w:rsidRPr="002F1C76"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Kontaktpersona:</w:t>
            </w:r>
          </w:p>
        </w:tc>
        <w:tc>
          <w:tcPr>
            <w:tcW w:w="3910" w:type="pct"/>
          </w:tcPr>
          <w:p w14:paraId="19CD974D" w14:textId="5401732D" w:rsidR="002F1C76" w:rsidRPr="00AD2F07" w:rsidRDefault="002F1C76" w:rsidP="00AD2F07">
            <w:proofErr w:type="spellStart"/>
            <w:r>
              <w:t>Luís</w:t>
            </w:r>
            <w:proofErr w:type="spellEnd"/>
            <w:r>
              <w:t xml:space="preserve"> </w:t>
            </w:r>
            <w:proofErr w:type="spellStart"/>
            <w:r>
              <w:t>Barbosa</w:t>
            </w:r>
            <w:proofErr w:type="spellEnd"/>
            <w:r>
              <w:t xml:space="preserve">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Tālr.:</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+32 25468846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E-pasts:</w:t>
            </w:r>
          </w:p>
        </w:tc>
        <w:tc>
          <w:tcPr>
            <w:tcW w:w="3910" w:type="pct"/>
          </w:tcPr>
          <w:p w14:paraId="30EA7955" w14:textId="77777777" w:rsidR="002F1C76" w:rsidRPr="002F1C76" w:rsidRDefault="00CB0220" w:rsidP="002F1C76">
            <w:pPr>
              <w:overflowPunct w:val="0"/>
              <w:autoSpaceDE w:val="0"/>
              <w:autoSpaceDN w:val="0"/>
              <w:adjustRightInd w:val="0"/>
              <w:spacing w:line="240" w:lineRule="auto"/>
              <w:textAlignment w:val="baseline"/>
              <w:rPr>
                <w:i/>
              </w:rPr>
            </w:pPr>
            <w:hyperlink r:id="rId65" w:history="1">
              <w:r w:rsidR="00FE6829">
                <w:rPr>
                  <w:color w:val="0000FF"/>
                  <w:u w:val="single"/>
                </w:rPr>
                <w:t>Luis.BarbosaESilva@eesc.europa.eu</w:t>
              </w:r>
            </w:hyperlink>
          </w:p>
        </w:tc>
      </w:tr>
    </w:tbl>
    <w:p w14:paraId="32407242" w14:textId="77777777" w:rsidR="002F1C76" w:rsidRDefault="002F1C76">
      <w:pPr>
        <w:spacing w:after="160" w:line="259" w:lineRule="auto"/>
        <w:jc w:val="left"/>
      </w:pPr>
      <w:r>
        <w:br w:type="page"/>
      </w:r>
    </w:p>
    <w:p w14:paraId="54C9FA57" w14:textId="56AC6448" w:rsidR="00155921" w:rsidRPr="00155921" w:rsidRDefault="00CB0220"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sidR="00FE6829">
          <w:rPr>
            <w:b/>
            <w:i/>
            <w:color w:val="0000FF"/>
            <w:sz w:val="28"/>
            <w:u w:val="single"/>
          </w:rPr>
          <w:t>Zilā kursa paātrināšanas iniciatīva – tehnoloģijas, prasmes un finansējums ūdens resursu ziņā noturīgai nākotnei</w:t>
        </w:r>
      </w:hyperlink>
    </w:p>
    <w:p w14:paraId="6395CF71"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155921" w14:paraId="1B418D30" w14:textId="77777777" w:rsidTr="0033503A">
        <w:tc>
          <w:tcPr>
            <w:tcW w:w="1701" w:type="dxa"/>
          </w:tcPr>
          <w:p w14:paraId="05441B37"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Ziņotāja:</w:t>
            </w:r>
          </w:p>
        </w:tc>
        <w:tc>
          <w:tcPr>
            <w:tcW w:w="5670" w:type="dxa"/>
          </w:tcPr>
          <w:p w14:paraId="20D4B572" w14:textId="2E8FFD51" w:rsidR="00155921" w:rsidRPr="00155921" w:rsidRDefault="00155921" w:rsidP="00155921">
            <w:pPr>
              <w:tabs>
                <w:tab w:val="center" w:pos="284"/>
              </w:tabs>
              <w:overflowPunct w:val="0"/>
              <w:autoSpaceDE w:val="0"/>
              <w:autoSpaceDN w:val="0"/>
              <w:adjustRightInd w:val="0"/>
              <w:ind w:left="266" w:hanging="266"/>
              <w:textAlignment w:val="baseline"/>
            </w:pPr>
            <w:r>
              <w:t>Magdalena RZECZKOWSKA (Darba devēju grupa - PL)</w:t>
            </w:r>
          </w:p>
        </w:tc>
      </w:tr>
      <w:tr w:rsidR="00155921" w:rsidRPr="00155921" w14:paraId="7A38D5F9" w14:textId="77777777" w:rsidTr="0033503A">
        <w:tc>
          <w:tcPr>
            <w:tcW w:w="1701" w:type="dxa"/>
          </w:tcPr>
          <w:p w14:paraId="3CD23BC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Līdzziņotāja</w:t>
            </w:r>
          </w:p>
        </w:tc>
        <w:tc>
          <w:tcPr>
            <w:tcW w:w="5670" w:type="dxa"/>
          </w:tcPr>
          <w:p w14:paraId="684D5814" w14:textId="64F5DA20" w:rsidR="00155921" w:rsidRPr="00155921" w:rsidRDefault="00155921" w:rsidP="00155921">
            <w:pPr>
              <w:tabs>
                <w:tab w:val="center" w:pos="284"/>
              </w:tabs>
              <w:overflowPunct w:val="0"/>
              <w:autoSpaceDE w:val="0"/>
              <w:autoSpaceDN w:val="0"/>
              <w:adjustRightInd w:val="0"/>
              <w:ind w:left="266" w:hanging="266"/>
              <w:textAlignment w:val="baseline"/>
            </w:pPr>
            <w:proofErr w:type="spellStart"/>
            <w:r>
              <w:t>Lea</w:t>
            </w:r>
            <w:proofErr w:type="spellEnd"/>
            <w:r>
              <w:t xml:space="preserve"> APPULO (3. </w:t>
            </w:r>
            <w:proofErr w:type="spellStart"/>
            <w:r>
              <w:t>kat</w:t>
            </w:r>
            <w:proofErr w:type="spellEnd"/>
            <w:r>
              <w:t>. – IT)</w:t>
            </w:r>
          </w:p>
        </w:tc>
      </w:tr>
      <w:tr w:rsidR="00155921" w:rsidRPr="00155921" w14:paraId="48D78D0A" w14:textId="77777777" w:rsidTr="0033503A">
        <w:tc>
          <w:tcPr>
            <w:tcW w:w="7371" w:type="dxa"/>
            <w:gridSpan w:val="2"/>
          </w:tcPr>
          <w:p w14:paraId="7175A212" w14:textId="77777777" w:rsidR="00155921" w:rsidRPr="00155921"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Atsauces</w:t>
            </w:r>
          </w:p>
        </w:tc>
        <w:tc>
          <w:tcPr>
            <w:tcW w:w="5670" w:type="dxa"/>
          </w:tcPr>
          <w:p w14:paraId="701B84C6" w14:textId="0DA0E88D" w:rsidR="00FF5009" w:rsidRDefault="00FF5009" w:rsidP="00155921">
            <w:pPr>
              <w:tabs>
                <w:tab w:val="center" w:pos="284"/>
              </w:tabs>
              <w:overflowPunct w:val="0"/>
              <w:autoSpaceDE w:val="0"/>
              <w:autoSpaceDN w:val="0"/>
              <w:adjustRightInd w:val="0"/>
              <w:ind w:left="266" w:hanging="266"/>
              <w:textAlignment w:val="baseline"/>
            </w:pPr>
            <w:r>
              <w:t>Pašiniciatīvas atzinums</w:t>
            </w:r>
          </w:p>
          <w:p w14:paraId="1AD8DB7D" w14:textId="46BDE553" w:rsidR="00155921" w:rsidRPr="00155921" w:rsidRDefault="00155921" w:rsidP="00155921">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155921">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
        </w:rPr>
      </w:pPr>
      <w:r>
        <w:rPr>
          <w:b/>
        </w:rPr>
        <w:t>Galvenās nostādnes</w:t>
      </w:r>
    </w:p>
    <w:p w14:paraId="38EBDC08"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p w14:paraId="4B64F526"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Cs/>
        </w:rPr>
      </w:pPr>
      <w:r>
        <w:t>EESK:</w:t>
      </w:r>
    </w:p>
    <w:p w14:paraId="7B1D8F43"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aicina atzīt ūdeni par kritiski svarīgu ražošanas faktoru, kas ir konkurētspējas un stratēģiskās autonomijas pamatā un ir līdzvērtīgs enerģijai, un uzskatīt to par atsevišķu stratēģisku prioritāti visās ES politikas jomās;</w:t>
      </w:r>
    </w:p>
    <w:p w14:paraId="380E031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ierosina izveidot Zilā kursa paātrināšanas iniciatīvu kā visaptverošu īstenošanas satvaru, kas sasaista industriālo pārveidi, </w:t>
      </w:r>
      <w:proofErr w:type="spellStart"/>
      <w:r>
        <w:t>ūdensviedās</w:t>
      </w:r>
      <w:proofErr w:type="spellEnd"/>
      <w:r>
        <w:t xml:space="preserve"> tehnoloģijas, prasmes un investīcijas;</w:t>
      </w:r>
    </w:p>
    <w:p w14:paraId="0C9945AD"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atkārtoti aicina </w:t>
      </w:r>
      <w:r>
        <w:rPr>
          <w:b/>
        </w:rPr>
        <w:t>ieviest</w:t>
      </w:r>
      <w:r>
        <w:t xml:space="preserve"> attiecībā uz ES tiesību aktiem </w:t>
      </w:r>
      <w:r>
        <w:rPr>
          <w:b/>
        </w:rPr>
        <w:t>“ūdens testu”</w:t>
      </w:r>
      <w:r>
        <w:t>;</w:t>
      </w:r>
    </w:p>
    <w:p w14:paraId="6F12B9C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mudina ES iestādes ūdensresursu noturību integrēt visos rūpniecības politikas instrumentos, ūdens resursu apsvērumus padarot par nosacījumu atļauju piešķiršanai, investīcijām un publiskajam atbalstam;</w:t>
      </w:r>
    </w:p>
    <w:p w14:paraId="3C6E603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aicina pakāpeniski integrēt principu </w:t>
      </w:r>
      <w:r>
        <w:rPr>
          <w:b/>
        </w:rPr>
        <w:t>“</w:t>
      </w:r>
      <w:proofErr w:type="spellStart"/>
      <w:r>
        <w:rPr>
          <w:b/>
        </w:rPr>
        <w:t>ūdensefektivitāte</w:t>
      </w:r>
      <w:proofErr w:type="spellEnd"/>
      <w:r>
        <w:rPr>
          <w:b/>
        </w:rPr>
        <w:t xml:space="preserve"> pirmajā vietā”</w:t>
      </w:r>
      <w:r>
        <w:t xml:space="preserve"> kā </w:t>
      </w:r>
      <w:r>
        <w:rPr>
          <w:b/>
        </w:rPr>
        <w:t>saistošu prasību ES tiesību aktos</w:t>
      </w:r>
      <w:r>
        <w:t xml:space="preserve">, </w:t>
      </w:r>
      <w:r>
        <w:rPr>
          <w:b/>
        </w:rPr>
        <w:t>finansēšanas nosacījumos</w:t>
      </w:r>
      <w:r>
        <w:t xml:space="preserve"> un plānošanas un investīciju lēmumos un šos centienus atbalstīt ar saskaņotu ES metodiku ūdensefektivitātes mērīšanai visā ūdens aprites ciklā;</w:t>
      </w:r>
    </w:p>
    <w:p w14:paraId="716DCBC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uzsver, ka ir svarīgi atzīt ūdens un enerģijas saikni kā būtisku dekarbonizācijai un konkurētspējai, tostarp </w:t>
      </w:r>
      <w:r>
        <w:rPr>
          <w:b/>
        </w:rPr>
        <w:t>Industriālās attīstības paātrināšanas aktā</w:t>
      </w:r>
      <w:r>
        <w:t>;</w:t>
      </w:r>
    </w:p>
    <w:p w14:paraId="1C2ED10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iesaka ūdeni kā stratēģisku resursu integrēt Aprites ekonomikas aktā, veicinot </w:t>
      </w:r>
      <w:proofErr w:type="spellStart"/>
      <w:r>
        <w:t>ūdensefektivitāti</w:t>
      </w:r>
      <w:proofErr w:type="spellEnd"/>
      <w:r>
        <w:t>, atkalizmantošanu, piesārņojuma novēršanu un resursu atgūšanu;</w:t>
      </w:r>
    </w:p>
    <w:p w14:paraId="4B14F33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uzsver, ka ir jāizveido Eiropas ūdens datu telpa, lai nodrošinātu pārredzamību, salīdzināmību un uz pierādījumiem balstītu politikas veidošanu, pamatojoties uz standartizētiem un </w:t>
      </w:r>
      <w:proofErr w:type="spellStart"/>
      <w:r>
        <w:t>sadarbspējīgiem</w:t>
      </w:r>
      <w:proofErr w:type="spellEnd"/>
      <w:r>
        <w:t xml:space="preserve"> datiem;</w:t>
      </w:r>
    </w:p>
    <w:p w14:paraId="7DC2AB37"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aicina izveidot saskaņotu ES ūdens finansējuma sistēmu un stiprināt projektu plūsmas, turpinot attīstīt tādas iniciatīvas kā Ūdensresursu noturības investīciju paātrināšanas iniciatīva;</w:t>
      </w:r>
    </w:p>
    <w:p w14:paraId="302F45F5"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iesaka par prioritāti noteikt investīcijas noplūžu samazināšanā, </w:t>
      </w:r>
      <w:proofErr w:type="spellStart"/>
      <w:r>
        <w:t>ūdensefektīvā</w:t>
      </w:r>
      <w:proofErr w:type="spellEnd"/>
      <w:r>
        <w:t xml:space="preserve"> infrastruktūrā un dabā balstītos risinājumos, tostarp mitrājos, kas ir noturīgas ūdens sistēmas svarīgi elementi; </w:t>
      </w:r>
    </w:p>
    <w:p w14:paraId="209B8DE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uzsver, ka prasmju politika ir jāsaskaņo ar pāreju ūdens jomā, tostarp izmantojot Eiropas Ūdens akadēmijas darbības;</w:t>
      </w:r>
    </w:p>
    <w:p w14:paraId="0AA00F8B"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aicina atzīt ūdeni par transversālu prioritāti ES ārējā darbībā, un ar </w:t>
      </w:r>
      <w:proofErr w:type="spellStart"/>
      <w:r>
        <w:t>Global</w:t>
      </w:r>
      <w:proofErr w:type="spellEnd"/>
      <w:r>
        <w:t xml:space="preserve"> </w:t>
      </w:r>
      <w:proofErr w:type="spellStart"/>
      <w:r>
        <w:t>Gateway</w:t>
      </w:r>
      <w:proofErr w:type="spellEnd"/>
      <w:r>
        <w:t xml:space="preserve"> būtu jāatbalsta zilā dimensija, izmantojot ES vadītas mitrāju partnerības.</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t>Kontaktpersona:</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proofErr w:type="spellStart"/>
            <w:r>
              <w:rPr>
                <w:i/>
              </w:rPr>
              <w:t>Heli</w:t>
            </w:r>
            <w:proofErr w:type="spellEnd"/>
            <w:r>
              <w:rPr>
                <w:i/>
              </w:rPr>
              <w:t xml:space="preserve"> </w:t>
            </w:r>
            <w:proofErr w:type="spellStart"/>
            <w:r>
              <w:rPr>
                <w:i/>
              </w:rPr>
              <w:t>Niemela-Farrer</w:t>
            </w:r>
            <w:proofErr w:type="spellEnd"/>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Tālr.:</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+32 22822464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E-pasts:</w:t>
            </w:r>
          </w:p>
        </w:tc>
        <w:tc>
          <w:tcPr>
            <w:tcW w:w="3444" w:type="pct"/>
          </w:tcPr>
          <w:p w14:paraId="1C608E94" w14:textId="39E68AC3" w:rsidR="00155921" w:rsidRPr="003C5F5D" w:rsidRDefault="00CB0220" w:rsidP="00AD2F07">
            <w:pPr>
              <w:overflowPunct w:val="0"/>
              <w:autoSpaceDE w:val="0"/>
              <w:autoSpaceDN w:val="0"/>
              <w:adjustRightInd w:val="0"/>
              <w:spacing w:line="240" w:lineRule="auto"/>
              <w:ind w:left="360" w:hanging="360"/>
              <w:textAlignment w:val="baseline"/>
              <w:rPr>
                <w:i/>
              </w:rPr>
            </w:pPr>
            <w:hyperlink r:id="rId67" w:history="1">
              <w:r w:rsidR="0069529C">
                <w:rPr>
                  <w:rStyle w:val="Hyperlink"/>
                  <w:i/>
                </w:rPr>
                <w:t>Heli.Niemela-Farrer@eesc.europa.eu</w:t>
              </w:r>
            </w:hyperlink>
          </w:p>
        </w:tc>
      </w:tr>
    </w:tbl>
    <w:p w14:paraId="775C3064" w14:textId="77777777" w:rsidR="006D2C8A" w:rsidRPr="00AD2F07" w:rsidRDefault="006D2C8A" w:rsidP="001766B2">
      <w:pPr>
        <w:jc w:val="left"/>
        <w:rPr>
          <w:i/>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r w:rsidR="00CB0220">
      <w:fldChar w:fldCharType="begin"/>
    </w:r>
    <w:r w:rsidR="00CB0220">
      <w:instrText xml:space="preserve"> NUMPAGES </w:instrText>
    </w:r>
    <w:r w:rsidR="00CB0220">
      <w:fldChar w:fldCharType="separate"/>
    </w:r>
    <w:r w:rsidR="00B815C6">
      <w:t>1</w:t>
    </w:r>
    <w:r w:rsidR="00CB022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r w:rsidR="00CB0220">
      <w:fldChar w:fldCharType="begin"/>
    </w:r>
    <w:r w:rsidR="00CB0220">
      <w:instrText xml:space="preserve"> NUMPAGES </w:instrText>
    </w:r>
    <w:r w:rsidR="00CB0220">
      <w:fldChar w:fldCharType="separate"/>
    </w:r>
    <w:r>
      <w:t>30</w:t>
    </w:r>
    <w:r w:rsidR="00CB022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Noteikumos paredzētie darba apstākļi, veselība un drošība, sociālās un darba tiesības.</w:t>
      </w:r>
    </w:p>
  </w:footnote>
  <w:footnote w:id="2">
    <w:p w14:paraId="70D6F36B" w14:textId="77777777" w:rsidR="00180329" w:rsidRPr="00486EF6" w:rsidRDefault="00180329" w:rsidP="00180329">
      <w:pPr>
        <w:pStyle w:val="FootnoteText"/>
      </w:pPr>
      <w:r>
        <w:rPr>
          <w:rStyle w:val="FootnoteReference"/>
        </w:rPr>
        <w:footnoteRef/>
      </w:r>
      <w:r>
        <w:t xml:space="preserve"> </w:t>
      </w:r>
      <w:r>
        <w:tab/>
      </w:r>
      <w:hyperlink r:id="rId1" w:history="1">
        <w:r>
          <w:rPr>
            <w:rStyle w:val="Hyperlink"/>
          </w:rPr>
          <w:t>OV C C/2025/5154, 28.10.2025</w:t>
        </w:r>
      </w:hyperlink>
      <w:r>
        <w:t>.</w:t>
      </w:r>
    </w:p>
  </w:footnote>
  <w:footnote w:id="3">
    <w:p w14:paraId="01455579" w14:textId="77777777" w:rsidR="00180329" w:rsidRPr="000140D7" w:rsidRDefault="00180329" w:rsidP="00180329">
      <w:pPr>
        <w:pStyle w:val="FootnoteText"/>
      </w:pPr>
      <w:r>
        <w:rPr>
          <w:rStyle w:val="FootnoteReference"/>
        </w:rPr>
        <w:footnoteRef/>
      </w:r>
      <w:r>
        <w:t xml:space="preserve"> </w:t>
      </w:r>
      <w:r>
        <w:tab/>
      </w:r>
      <w:hyperlink r:id="rId2" w:history="1">
        <w:r>
          <w:rPr>
            <w:rStyle w:val="Hyperlink"/>
          </w:rPr>
          <w:t>OV C 293, 18.8.2023., 144. lpp</w:t>
        </w:r>
      </w:hyperlink>
      <w:r>
        <w:t>.</w:t>
      </w:r>
    </w:p>
  </w:footnote>
  <w:footnote w:id="4">
    <w:p w14:paraId="5BECB156" w14:textId="77777777" w:rsidR="00180329" w:rsidRPr="000140D7" w:rsidRDefault="00180329" w:rsidP="00180329">
      <w:pPr>
        <w:pStyle w:val="FootnoteText"/>
      </w:pPr>
      <w:r>
        <w:rPr>
          <w:rStyle w:val="FootnoteReference"/>
        </w:rPr>
        <w:footnoteRef/>
      </w:r>
      <w:r>
        <w:t xml:space="preserve"> </w:t>
      </w:r>
      <w:r>
        <w:tab/>
      </w:r>
      <w:hyperlink r:id="rId3" w:history="1">
        <w:r>
          <w:rPr>
            <w:rStyle w:val="Hyperlink"/>
          </w:rPr>
          <w:t>OV C 290, 29.7.2022., 149. lpp</w:t>
        </w:r>
      </w:hyperlink>
      <w:r>
        <w:t>.</w:t>
      </w:r>
    </w:p>
  </w:footnote>
  <w:footnote w:id="5">
    <w:p w14:paraId="225C1ACB" w14:textId="77777777" w:rsidR="00180329" w:rsidRPr="000140D7" w:rsidRDefault="00180329" w:rsidP="00180329">
      <w:pPr>
        <w:pStyle w:val="FootnoteText"/>
      </w:pPr>
      <w:r>
        <w:rPr>
          <w:rStyle w:val="FootnoteReference"/>
        </w:rPr>
        <w:footnoteRef/>
      </w:r>
      <w:r>
        <w:t xml:space="preserve"> </w:t>
      </w:r>
      <w:r>
        <w:tab/>
      </w:r>
      <w:hyperlink r:id="rId4" w:history="1">
        <w:r>
          <w:rPr>
            <w:rStyle w:val="Hyperlink"/>
          </w:rPr>
          <w:t>OV C 365, 23.9.2022., 55. lpp</w:t>
        </w:r>
      </w:hyperlink>
      <w:r>
        <w:t>.</w:t>
      </w:r>
    </w:p>
  </w:footnote>
  <w:footnote w:id="6">
    <w:p w14:paraId="427CA7ED" w14:textId="77777777" w:rsidR="00180329" w:rsidRPr="000140D7" w:rsidRDefault="00180329" w:rsidP="00180329">
      <w:pPr>
        <w:pStyle w:val="FootnoteText"/>
      </w:pPr>
      <w:r>
        <w:rPr>
          <w:rStyle w:val="FootnoteReference"/>
        </w:rPr>
        <w:footnoteRef/>
      </w:r>
      <w:r>
        <w:t xml:space="preserve"> </w:t>
      </w:r>
      <w:r>
        <w:tab/>
      </w:r>
      <w:hyperlink r:id="rId5" w:history="1">
        <w:r>
          <w:rPr>
            <w:rStyle w:val="Hyperlink"/>
          </w:rPr>
          <w:t>OV C 123, 9.4.2021., 72. lpp</w:t>
        </w:r>
      </w:hyperlink>
      <w:r>
        <w:t>.,</w:t>
      </w:r>
    </w:p>
  </w:footnote>
  <w:footnote w:id="7">
    <w:p w14:paraId="43430231" w14:textId="77777777" w:rsidR="00180329" w:rsidRPr="000140D7" w:rsidRDefault="00180329" w:rsidP="00180329">
      <w:pPr>
        <w:pStyle w:val="FootnoteText"/>
      </w:pPr>
      <w:r>
        <w:rPr>
          <w:rStyle w:val="FootnoteReference"/>
        </w:rPr>
        <w:footnoteRef/>
      </w:r>
      <w:r>
        <w:t xml:space="preserve"> </w:t>
      </w:r>
      <w:r>
        <w:tab/>
      </w:r>
      <w:hyperlink r:id="rId6" w:history="1">
        <w:r>
          <w:rPr>
            <w:rStyle w:val="Hyperlink"/>
          </w:rPr>
          <w:t>OV C 56, 16.2.2021., 59. lpp</w:t>
        </w:r>
      </w:hyperlink>
      <w:r>
        <w:t>.,</w:t>
      </w:r>
    </w:p>
  </w:footnote>
  <w:footnote w:id="8">
    <w:p w14:paraId="7CB7FC7F" w14:textId="77777777" w:rsidR="00180329" w:rsidRPr="000140D7" w:rsidRDefault="00180329" w:rsidP="00180329">
      <w:pPr>
        <w:pStyle w:val="FootnoteText"/>
      </w:pPr>
      <w:r>
        <w:rPr>
          <w:rStyle w:val="FootnoteReference"/>
        </w:rPr>
        <w:footnoteRef/>
      </w:r>
      <w:r>
        <w:t xml:space="preserve"> </w:t>
      </w:r>
      <w:r>
        <w:tab/>
      </w:r>
      <w:hyperlink r:id="rId7" w:history="1">
        <w:r>
          <w:rPr>
            <w:rStyle w:val="Hyperlink"/>
          </w:rPr>
          <w:t>OV C 429, 11.12.2020., 279. lpp</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r>
          <w:rPr>
            <w:rStyle w:val="Hyperlink"/>
          </w:rPr>
          <w:t>OV C 232, 14.7.2020., 36. lpp</w:t>
        </w:r>
      </w:hyperlink>
      <w:r>
        <w:t>.</w:t>
      </w:r>
    </w:p>
  </w:footnote>
  <w:footnote w:id="10">
    <w:p w14:paraId="7A73B61C" w14:textId="77777777" w:rsidR="00180329" w:rsidRPr="000140D7" w:rsidRDefault="00180329" w:rsidP="00180329">
      <w:pPr>
        <w:pStyle w:val="FootnoteText"/>
      </w:pPr>
      <w:r>
        <w:rPr>
          <w:rStyle w:val="FootnoteReference"/>
        </w:rPr>
        <w:footnoteRef/>
      </w:r>
      <w:r>
        <w:t xml:space="preserve"> </w:t>
      </w:r>
      <w:r>
        <w:tab/>
      </w:r>
      <w:hyperlink r:id="rId9" w:history="1">
        <w:r>
          <w:rPr>
            <w:rStyle w:val="Hyperlink"/>
          </w:rPr>
          <w:t>OV C 159, 15.5.2019., 60. lpp</w:t>
        </w:r>
      </w:hyperlink>
      <w:r>
        <w:t>.</w:t>
      </w:r>
    </w:p>
  </w:footnote>
  <w:footnote w:id="11">
    <w:p w14:paraId="441E534C" w14:textId="77777777" w:rsidR="00180329" w:rsidRPr="000140D7" w:rsidRDefault="00180329" w:rsidP="00180329">
      <w:pPr>
        <w:pStyle w:val="FootnoteText"/>
      </w:pPr>
      <w:r>
        <w:rPr>
          <w:rStyle w:val="FootnoteReference"/>
        </w:rPr>
        <w:footnoteRef/>
      </w:r>
      <w:r>
        <w:tab/>
      </w:r>
      <w:hyperlink r:id="rId10" w:history="1">
        <w:r>
          <w:rPr>
            <w:rStyle w:val="Hyperlink"/>
          </w:rPr>
          <w:t>OV C 34, 2.2.2017., 142. lpp</w:t>
        </w:r>
      </w:hyperlink>
      <w:r>
        <w:t>.</w:t>
      </w:r>
    </w:p>
  </w:footnote>
  <w:footnote w:id="12">
    <w:p w14:paraId="5A6E5FA7" w14:textId="77777777" w:rsidR="00180329" w:rsidRPr="000140D7" w:rsidRDefault="00180329" w:rsidP="00180329">
      <w:pPr>
        <w:pStyle w:val="FootnoteText"/>
      </w:pPr>
      <w:r>
        <w:rPr>
          <w:rStyle w:val="FootnoteReference"/>
        </w:rPr>
        <w:footnoteRef/>
      </w:r>
      <w:r>
        <w:t xml:space="preserve"> </w:t>
      </w:r>
      <w:r>
        <w:tab/>
      </w:r>
      <w:hyperlink r:id="rId11" w:history="1">
        <w:r>
          <w:rPr>
            <w:rStyle w:val="Hyperlink"/>
          </w:rPr>
          <w:t>OV C 303, 19.8.2016., 116. lpp</w:t>
        </w:r>
      </w:hyperlink>
      <w:r>
        <w:t>.</w:t>
      </w:r>
    </w:p>
  </w:footnote>
  <w:footnote w:id="13">
    <w:p w14:paraId="4DA177E2" w14:textId="77777777" w:rsidR="00C7486E" w:rsidRPr="001B1007" w:rsidRDefault="00C7486E" w:rsidP="00C7486E">
      <w:pPr>
        <w:pStyle w:val="FootnoteText"/>
      </w:pPr>
      <w:r>
        <w:rPr>
          <w:rStyle w:val="FootnoteReference"/>
        </w:rPr>
        <w:footnoteRef/>
      </w:r>
      <w:r>
        <w:t xml:space="preserve"> </w:t>
      </w:r>
      <w:r>
        <w:tab/>
      </w:r>
      <w:hyperlink r:id="rId12" w:history="1">
        <w:r>
          <w:rPr>
            <w:rStyle w:val="Hyperlink"/>
          </w:rPr>
          <w:t>OV C 275, 18.7.2022., 95. lpp</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5"/>
  </w:num>
  <w:num w:numId="3">
    <w:abstractNumId w:val="39"/>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0"/>
  </w:num>
  <w:num w:numId="6">
    <w:abstractNumId w:val="13"/>
  </w:num>
  <w:num w:numId="7">
    <w:abstractNumId w:val="23"/>
  </w:num>
  <w:num w:numId="8">
    <w:abstractNumId w:val="14"/>
  </w:num>
  <w:num w:numId="9">
    <w:abstractNumId w:val="29"/>
  </w:num>
  <w:num w:numId="10">
    <w:abstractNumId w:val="18"/>
  </w:num>
  <w:num w:numId="11">
    <w:abstractNumId w:val="41"/>
  </w:num>
  <w:num w:numId="12">
    <w:abstractNumId w:val="36"/>
  </w:num>
  <w:num w:numId="13">
    <w:abstractNumId w:val="6"/>
  </w:num>
  <w:num w:numId="14">
    <w:abstractNumId w:val="33"/>
  </w:num>
  <w:num w:numId="15">
    <w:abstractNumId w:val="17"/>
  </w:num>
  <w:num w:numId="16">
    <w:abstractNumId w:val="9"/>
  </w:num>
  <w:num w:numId="17">
    <w:abstractNumId w:val="34"/>
  </w:num>
  <w:num w:numId="18">
    <w:abstractNumId w:val="7"/>
  </w:num>
  <w:num w:numId="19">
    <w:abstractNumId w:val="12"/>
  </w:num>
  <w:num w:numId="20">
    <w:abstractNumId w:val="19"/>
  </w:num>
  <w:num w:numId="21">
    <w:abstractNumId w:val="20"/>
  </w:num>
  <w:num w:numId="22">
    <w:abstractNumId w:val="28"/>
  </w:num>
  <w:num w:numId="23">
    <w:abstractNumId w:val="2"/>
  </w:num>
  <w:num w:numId="24">
    <w:abstractNumId w:val="32"/>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abstractNumId w:val="30"/>
  </w:num>
  <w:num w:numId="27">
    <w:abstractNumId w:val="4"/>
  </w:num>
  <w:num w:numId="28">
    <w:abstractNumId w:val="42"/>
  </w:num>
  <w:num w:numId="29">
    <w:abstractNumId w:val="8"/>
  </w:num>
  <w:num w:numId="30">
    <w:abstractNumId w:val="10"/>
  </w:num>
  <w:num w:numId="31">
    <w:abstractNumId w:val="3"/>
  </w:num>
  <w:num w:numId="32">
    <w:abstractNumId w:val="26"/>
  </w:num>
  <w:num w:numId="33">
    <w:abstractNumId w:val="16"/>
  </w:num>
  <w:num w:numId="34">
    <w:abstractNumId w:val="27"/>
  </w:num>
  <w:num w:numId="35">
    <w:abstractNumId w:val="24"/>
  </w:num>
  <w:num w:numId="36">
    <w:abstractNumId w:val="11"/>
  </w:num>
  <w:num w:numId="37">
    <w:abstractNumId w:val="37"/>
  </w:num>
  <w:num w:numId="38">
    <w:abstractNumId w:val="38"/>
  </w:num>
  <w:num w:numId="39">
    <w:abstractNumId w:val="22"/>
  </w:num>
  <w:num w:numId="40">
    <w:abstractNumId w:val="15"/>
  </w:num>
  <w:num w:numId="41">
    <w:abstractNumId w:val="25"/>
  </w:num>
  <w:num w:numId="42">
    <w:abstractNumId w:val="31"/>
  </w:num>
  <w:num w:numId="43">
    <w:abstractNumId w:val="21"/>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D3CB1"/>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27731"/>
    <w:rsid w:val="0043191A"/>
    <w:rsid w:val="004343FD"/>
    <w:rsid w:val="00436822"/>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055CF"/>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7817"/>
    <w:rsid w:val="00A2057A"/>
    <w:rsid w:val="00A20E9D"/>
    <w:rsid w:val="00A272B2"/>
    <w:rsid w:val="00A50191"/>
    <w:rsid w:val="00A50553"/>
    <w:rsid w:val="00A60AA1"/>
    <w:rsid w:val="00A6192D"/>
    <w:rsid w:val="00A7581E"/>
    <w:rsid w:val="00AA0F50"/>
    <w:rsid w:val="00AA10E2"/>
    <w:rsid w:val="00AB3F28"/>
    <w:rsid w:val="00AD18D5"/>
    <w:rsid w:val="00AD2F07"/>
    <w:rsid w:val="00AF534A"/>
    <w:rsid w:val="00B018BF"/>
    <w:rsid w:val="00B078B6"/>
    <w:rsid w:val="00B10645"/>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B0220"/>
    <w:rsid w:val="00CB23D5"/>
    <w:rsid w:val="00CB6A20"/>
    <w:rsid w:val="00CC0F66"/>
    <w:rsid w:val="00CC2125"/>
    <w:rsid w:val="00CD2BE7"/>
    <w:rsid w:val="00CE6367"/>
    <w:rsid w:val="00CE679B"/>
    <w:rsid w:val="00CE7F25"/>
    <w:rsid w:val="00CF1B0A"/>
    <w:rsid w:val="00CF3A2E"/>
    <w:rsid w:val="00CF3EFE"/>
    <w:rsid w:val="00D43613"/>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E6829"/>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26" Type="http://schemas.openxmlformats.org/officeDocument/2006/relationships/hyperlink" Target="https://www.eesc.europa.eu/lv/our-work/opinions-information-reports/information-reports/point-view-organised-civil-society-eu-member-states-national-reform-and-investment-proposals-and-their-implementation-0" TargetMode="External"/><Relationship Id="rId39" Type="http://schemas.openxmlformats.org/officeDocument/2006/relationships/hyperlink" Target="https://www.eesc.europa.eu/lv/our-work/opinions-information-reports/opinions/transposition-measures-regional-fisheries-management-organisations-rfmos-ii" TargetMode="External"/><Relationship Id="rId21" Type="http://schemas.openxmlformats.org/officeDocument/2006/relationships/hyperlink" Target="mailto:Maja.Radman@eesc.europa.eu" TargetMode="External"/><Relationship Id="rId34" Type="http://schemas.openxmlformats.org/officeDocument/2006/relationships/hyperlink" Target="https://www.eesc.europa.eu/lv/our-work/opinions-information-reports/opinions/implementing-new-european-bauhaus" TargetMode="External"/><Relationship Id="rId42" Type="http://schemas.openxmlformats.org/officeDocument/2006/relationships/hyperlink" Target="https://www.eesc.europa.eu/lv/our-work/opinions-information-reports/opinions/conservation-and-enforcement-measures-nafo" TargetMode="External"/><Relationship Id="rId47" Type="http://schemas.openxmlformats.org/officeDocument/2006/relationships/hyperlink" Target="https://www.eesc.europa.eu/lv/our-work/opinions-information-reports/opinions/multiannual-management-plan-bluefin-tuna" TargetMode="External"/><Relationship Id="rId50" Type="http://schemas.openxmlformats.org/officeDocument/2006/relationships/hyperlink" Target="https://www.eesc.europa.eu/lv/our-work/opinions-information-reports/opinions/fishing-authorisation-regulation" TargetMode="External"/><Relationship Id="rId55" Type="http://schemas.openxmlformats.org/officeDocument/2006/relationships/hyperlink" Target="https://www.eesc.europa.eu/lv/our-work/opinions-information-reports/opinions/circular-economy-act-circular-economy-and-responsible-resource-consumption-within-planetary-boundaries"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lv/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lv/our-work/opinions-information-reports/opinions/proposal-regulation-digital-networks-act-dna" TargetMode="External"/><Relationship Id="rId37" Type="http://schemas.openxmlformats.org/officeDocument/2006/relationships/hyperlink" Target="https://www.eesc.europa.eu/lv/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lv/our-work/opinions-information-reports/opinions/amendment-regulations-concerning-international-fisheries-nafo-sprfmo-iotc-wcpfc-iattc-and-iccat" TargetMode="External"/><Relationship Id="rId45" Type="http://schemas.openxmlformats.org/officeDocument/2006/relationships/hyperlink" Target="https://www.eesc.europa.eu/lv/our-work/opinions-information-reports/opinions/fisheries-transposition-iattc-measures" TargetMode="External"/><Relationship Id="rId53" Type="http://schemas.openxmlformats.org/officeDocument/2006/relationships/hyperlink" Target="https://www.eesc.europa.eu/en/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lv/our-work/opinions-information-reports/information-reports/evaluation-common-agricultural-policy-delivery-its-objectives" TargetMode="External"/><Relationship Id="rId66" Type="http://schemas.openxmlformats.org/officeDocument/2006/relationships/hyperlink" Target="https://www.eesc.europa.eu/lv/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lv/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lv/our-work/opinions-information-reports/opinions/conservation-atlantic-tunas" TargetMode="External"/><Relationship Id="rId57" Type="http://schemas.openxmlformats.org/officeDocument/2006/relationships/hyperlink" Target="mailto:Alice.Senga@eesc.europa.eu" TargetMode="External"/><Relationship Id="rId61" Type="http://schemas.openxmlformats.org/officeDocument/2006/relationships/hyperlink" Target="mailto:Marco.Ristori@eesc.europa.e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June.Bedaton@eesc.europa.eu" TargetMode="External"/><Relationship Id="rId44" Type="http://schemas.openxmlformats.org/officeDocument/2006/relationships/hyperlink" Target="https://www.eesc.europa.eu/lv/our-work/opinions-information-reports/opinions/establishing-catch-documentation-programme-bluefin-tuna-thunnus-thynnus" TargetMode="External"/><Relationship Id="rId52" Type="http://schemas.openxmlformats.org/officeDocument/2006/relationships/hyperlink" Target="https://www.eesc.europa.eu/lv/our-work/opinions-information-reports/opinions/prohibition-export-mixed-municipal-waste-destined-recovery" TargetMode="External"/><Relationship Id="rId60" Type="http://schemas.openxmlformats.org/officeDocument/2006/relationships/hyperlink" Target="https://www.eesc.europa.eu/lv/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esc.europa.eu/lv/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lv/our-work/opinions-information-reports/evaluation-report/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lv/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lv/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lv/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lv/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lv/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lv/documents/resolution/eesc-contribution-2027-european-commission-work-programme" TargetMode="External"/><Relationship Id="rId41" Type="http://schemas.openxmlformats.org/officeDocument/2006/relationships/hyperlink" Target="https://www.eesc.europa.eu/lv/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lv/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uriserv%3AOJ.C_.2020.232.01.0036.01.LAV&amp;toc=OJ%3AC%3A2020%3A232%3ATOC" TargetMode="External"/><Relationship Id="rId3" Type="http://schemas.openxmlformats.org/officeDocument/2006/relationships/hyperlink" Target="https://eur-lex.europa.eu/legal-content/LV/TXT/?uri=CELEX%3A52022AE1131&amp;qid=1780293387219" TargetMode="External"/><Relationship Id="rId7" Type="http://schemas.openxmlformats.org/officeDocument/2006/relationships/hyperlink" Target="https://eur-lex.europa.eu/legal-content/LV/TXT/?uri=uriserv%3AOJ.C_.2020.429.01.0279.01.LAV&amp;toc=OJ%3AC%3A2020%3A429%3ATOC" TargetMode="External"/><Relationship Id="rId12" Type="http://schemas.openxmlformats.org/officeDocument/2006/relationships/hyperlink" Target="https://eur-lex.europa.eu/legal-content/LV/TXT/?uri=CELEX:52021AE5496" TargetMode="External"/><Relationship Id="rId2" Type="http://schemas.openxmlformats.org/officeDocument/2006/relationships/hyperlink" Target="https://eur-lex.europa.eu/legal-content/LV/TXT/?uri=CELEX%3A52023AE2283&amp;qid=1780293582307" TargetMode="External"/><Relationship Id="rId1" Type="http://schemas.openxmlformats.org/officeDocument/2006/relationships/hyperlink" Target="https://eur-lex.europa.eu/legal-content/LV/TXT/?uri=CELEX%3A52025AE0766&amp;qid=1780294159425" TargetMode="External"/><Relationship Id="rId6" Type="http://schemas.openxmlformats.org/officeDocument/2006/relationships/hyperlink" Target="https://eur-lex.europa.eu/legal-content/LV/TXT/?uri=OJ:C:2021:056:TOC" TargetMode="External"/><Relationship Id="rId11" Type="http://schemas.openxmlformats.org/officeDocument/2006/relationships/hyperlink" Target="https://eur-lex.europa.eu/legal-content/LV/TXT/?uri=uriserv:OJ.C_.2016.303.01.0116.01.LAV&amp;toc=OJ:C:2016:303:TOC" TargetMode="External"/><Relationship Id="rId5" Type="http://schemas.openxmlformats.org/officeDocument/2006/relationships/hyperlink" Target="https://eur-lex.europa.eu/legal-content/LV/TXT/?uri=uriserv%3AOJ.C_.2021.123.01.0072.01.LAV&amp;toc=OJ%3AC%3A2021%3A123%3ATOC" TargetMode="External"/><Relationship Id="rId10" Type="http://schemas.openxmlformats.org/officeDocument/2006/relationships/hyperlink" Target="https://eur-lex.europa.eu/legal-content/LV/TXT/?uri=uriserv:OJ.C_.2017.034.01.0142.01.LAV&amp;toc=OJ:C:2017:034:TOC" TargetMode="External"/><Relationship Id="rId4" Type="http://schemas.openxmlformats.org/officeDocument/2006/relationships/hyperlink" Target="https://eur-lex.europa.eu/legal-content/LV/TXT/?uri=CELEX%3A52022AE0101&amp;qid=1780293688920" TargetMode="External"/><Relationship Id="rId9" Type="http://schemas.openxmlformats.org/officeDocument/2006/relationships/hyperlink" Target="https://eur-lex.europa.eu/legal-content/LV/TXT/?uri=uriserv:OJ.C_.2019.159.01.0060.01.LAV&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VP3JK3XSEPRV-1795132703-6015</_dlc_DocId>
    <_dlc_DocIdUrl xmlns="7d640e6d-779c-472f-a269-6b546787f1c9">
      <Url>http://dm/eesc/2026/_layouts/15/DocIdRedir.aspx?ID=VP3JK3XSEPRV-1795132703-6015</Url>
      <Description>VP3JK3XSEPRV-1795132703-6015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2026-07-03T12:00:00+00:00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Skubina Ieva</DisplayName>
        <AccountId>1450</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3.xml><?xml version="1.0" encoding="utf-8"?>
<ds:datastoreItem xmlns:ds="http://schemas.openxmlformats.org/officeDocument/2006/customXml" ds:itemID="{A7346867-8E80-44BC-ACD5-B755FCAB2800}"/>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8090</Words>
  <Characters>46114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Pieņemto atzinumu kopsavilkums - 606. plenārā sesija - 2026. gada jūnijs</dc:title>
  <dc:subject>ADMIN</dc:subject>
  <dc:creator/>
  <cp:keywords>COR-EESC-2022-02583-00-00-ADMIN-TRA-EN</cp:keywords>
  <dc:description>Rapporteur:  - Original language: EN - Date of document: 20/05/2022 - Date of meeting:  - External documents:  - Administrator:  SUCIU Serban</dc:description>
  <cp:lastModifiedBy/>
  <cp:revision>11</cp:revision>
  <dcterms:created xsi:type="dcterms:W3CDTF">2026-06-26T07:05:00Z</dcterms:created>
  <dcterms:modified xsi:type="dcterms:W3CDTF">2026-07-03T11:07:00Z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9bb7068e-b970-4efb-a84c-0de331c039b7</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36;#NL|55c6556c-b4f4-441d-9acf-c498d4f838bd;#34;#HR|2f555653-ed1a-4fe6-8362-9082d95989e5;#32;#PL|1e03da61-4678-4e07-b136-b5024ca9197b;#31;#SL|98a412ae-eb01-49e9-ae3d-585a81724cfc;#30;#SK|46d9fce0-ef79-4f71-b89b-cd6aa82426b8;#28;#PT|50ccc04a-eadd-42ae-a0cb-acaf45f812ba;#12;#ES|e7a6b05b-ae16-40c8-add9-68b64b03aeba;#25;#FI|87606a43-d45f-42d6-b8c9-e1a3457db5b7;#44;#LT|a7ff5ce7-6123-4f68-865a-a57c31810414;#23;#FR|d2afafd3-4c81-4f60-8f52-ee33f2f54ff3;#59;#SPL-CES|32d8cb1f-c9ec-4365-95c7-8385a18618ac;#19;#Unrestricted|826e22d7-d029-4ec0-a450-0c28ff673572;#18;#TCD|cd9d6eb6-3f4f-424a-b2d1-57c9d450eaaf;#13;#IT|0774613c-01ed-4e5d-a25d-11d2388de825;#46;#DA|5d49c027-8956-412b-aa16-e85a0f96ad0e;#11;#DE|f6b31e5a-26fa-4935-b661-318e46daf27e;#9;#TRA|150d2a88-1431-44e6-a8ca-0bb753ab8672;#7;#Final|ea5e6674-7b27-4bac-b091-73adbb394efe;#43;#BG|1a1b3951-7821-4e6a-85f5-5673fc08bd2c;#4;#EN|f2175f21-25d7-44a3-96da-d6a61b075e1b;#1;#EESC|422833ec-8d7e-4e65-8e4e-8bed07ffb729;#37;#HU|6b229040-c589-4408-b4c1-4285663d20a8</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51;#LV|46f7e311-5d9f-4663-b433-18aeccb7ace7</vt:lpwstr>
  </property>
  <property fmtid="{D5CDD505-2E9C-101B-9397-08002B2CF9AE}" pid="33" name="AvailableTranslations_0">
    <vt:lpwstr>SL|98a412ae-eb01-49e9-ae3d-585a81724cfc;FI|87606a43-d45f-42d6-b8c9-e1a3457db5b7;PT|50ccc04a-eadd-42ae-a0cb-acaf45f812ba;SK|46d9fce0-ef79-4f71-b89b-cd6aa82426b8;LT|a7ff5ce7-6123-4f68-865a-a57c31810414;BG|1a1b3951-7821-4e6a-85f5-5673fc08bd2c;PL|1e03da61-4678-4e07-b136-b5024ca9197b;HR|2f555653-ed1a-4fe6-8362-9082d95989e5;NL|55c6556c-b4f4-441d-9acf-c498d4f838bd;HU|6b229040-c589-4408-b4c1-4285663d20a8;DA|5d49c027-8956-412b-aa16-e85a0f96ad0e;FR|d2afafd3-4c81-4f60-8f52-ee33f2f54ff3;IT|0774613c-01ed-4e5d-a25d-11d2388de825;ES|e7a6b05b-ae16-40c8-add9-68b64b03aeba;EN|f2175f21-25d7-44a3-96da-d6a61b075e1b;DE|f6b31e5a-26fa-4935-b661-318e46daf27e</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