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7E467CEC" w:rsidR="004D7AC0" w:rsidRDefault="00A559CD" w:rsidP="001766B2">
      <w:pPr>
        <w:jc w:val="center"/>
      </w:pPr>
      <w:r>
        <w:rPr>
          <w:noProof/>
        </w:rPr>
        <w:drawing>
          <wp:inline distT="0" distB="0" distL="0" distR="0" wp14:anchorId="1C085332" wp14:editId="74FBE328">
            <wp:extent cx="1792605" cy="1239520"/>
            <wp:effectExtent l="0" t="0" r="0" b="0"/>
            <wp:docPr id="1" name="Picture 1" title="EESCLogo_ET"/>
            <wp:cNvGraphicFramePr/>
            <a:graphic xmlns:a="http://schemas.openxmlformats.org/drawingml/2006/main">
              <a:graphicData uri="http://schemas.openxmlformats.org/drawingml/2006/picture">
                <pic:pic xmlns:pic="http://schemas.openxmlformats.org/drawingml/2006/picture">
                  <pic:nvPicPr>
                    <pic:cNvPr id="1" name="Picture 1" title="EESCLogo_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713372A0">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ET</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Brüssel, 3. juuli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TÄISKOGU 606. ISTUNGJÄRK</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17.‒18. juuni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VASTUVÕETUD ARVAMUSTE, RESOLUTSIOONIDE JA TEABE-/HINDAMISARUANNETE KOKKUVÕTE</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Käesolev dokument on kättesaadav kõigis ELi ametlikes keeltes</w:t>
            </w:r>
            <w:r>
              <w:br/>
              <w:t>komitee kodulehel:</w:t>
            </w:r>
            <w:r>
              <w:br/>
            </w:r>
            <w:r>
              <w:br/>
            </w:r>
            <w:hyperlink r:id="rId12" w:history="1">
              <w:r>
                <w:rPr>
                  <w:rStyle w:val="Hyperlink"/>
                </w:rPr>
                <w:t>https://www.eesc.europa.eu/et/our-work/opinions-information-reports/plenary-session-summaries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Dokumendis nimetatud arvamustega saab tutvuda internetis, kasutades komitee otsingumootorit:</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Sisukord</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1C06FC81" w14:textId="78F9ED75" w:rsidR="001375C7" w:rsidRDefault="004D7AC0" w:rsidP="001375C7">
          <w:pPr>
            <w:pStyle w:val="TOC1"/>
            <w:tabs>
              <w:tab w:val="left" w:pos="440"/>
              <w:tab w:val="right" w:leader="dot" w:pos="9063"/>
            </w:tabs>
            <w:rPr>
              <w:rFonts w:asciiTheme="minorHAnsi" w:eastAsiaTheme="minorEastAsia" w:hAnsiTheme="minorHAnsi" w:cstheme="minorBidi"/>
              <w:noProof/>
              <w:lang w:eastAsia="et-EE"/>
            </w:rPr>
          </w:pPr>
          <w:r>
            <w:fldChar w:fldCharType="begin"/>
          </w:r>
          <w:r>
            <w:instrText xml:space="preserve"> TOC \o "1-3" \h \z \u </w:instrText>
          </w:r>
          <w:r>
            <w:fldChar w:fldCharType="separate"/>
          </w:r>
          <w:hyperlink w:anchor="_Toc233990019" w:history="1">
            <w:r w:rsidR="001375C7" w:rsidRPr="007A3B61">
              <w:rPr>
                <w:rStyle w:val="Hyperlink"/>
                <w:bCs/>
                <w:noProof/>
              </w:rPr>
              <w:t>1.</w:t>
            </w:r>
            <w:r w:rsidR="001375C7">
              <w:rPr>
                <w:rFonts w:asciiTheme="minorHAnsi" w:eastAsiaTheme="minorEastAsia" w:hAnsiTheme="minorHAnsi" w:cstheme="minorBidi"/>
                <w:noProof/>
                <w:lang w:eastAsia="et-EE"/>
              </w:rPr>
              <w:tab/>
            </w:r>
            <w:r w:rsidR="001375C7" w:rsidRPr="007A3B61">
              <w:rPr>
                <w:rStyle w:val="Hyperlink"/>
                <w:b/>
                <w:noProof/>
              </w:rPr>
              <w:t>RESOLUTSIOONID</w:t>
            </w:r>
            <w:r w:rsidR="001375C7">
              <w:rPr>
                <w:noProof/>
                <w:webHidden/>
              </w:rPr>
              <w:tab/>
            </w:r>
            <w:r w:rsidR="001375C7">
              <w:rPr>
                <w:noProof/>
                <w:webHidden/>
              </w:rPr>
              <w:fldChar w:fldCharType="begin"/>
            </w:r>
            <w:r w:rsidR="001375C7">
              <w:rPr>
                <w:noProof/>
                <w:webHidden/>
              </w:rPr>
              <w:instrText xml:space="preserve"> PAGEREF _Toc233990019 \h </w:instrText>
            </w:r>
            <w:r w:rsidR="001375C7">
              <w:rPr>
                <w:noProof/>
                <w:webHidden/>
              </w:rPr>
            </w:r>
            <w:r w:rsidR="001375C7">
              <w:rPr>
                <w:noProof/>
                <w:webHidden/>
              </w:rPr>
              <w:fldChar w:fldCharType="separate"/>
            </w:r>
            <w:r w:rsidR="001375C7">
              <w:rPr>
                <w:noProof/>
                <w:webHidden/>
              </w:rPr>
              <w:t>5</w:t>
            </w:r>
            <w:r w:rsidR="001375C7">
              <w:rPr>
                <w:noProof/>
                <w:webHidden/>
              </w:rPr>
              <w:fldChar w:fldCharType="end"/>
            </w:r>
          </w:hyperlink>
        </w:p>
        <w:p w14:paraId="17BCF90A" w14:textId="6B911DB7" w:rsidR="001375C7" w:rsidRDefault="001375C7" w:rsidP="001375C7">
          <w:pPr>
            <w:pStyle w:val="TOC1"/>
            <w:tabs>
              <w:tab w:val="left" w:pos="440"/>
              <w:tab w:val="right" w:leader="dot" w:pos="9063"/>
            </w:tabs>
            <w:rPr>
              <w:rFonts w:asciiTheme="minorHAnsi" w:eastAsiaTheme="minorEastAsia" w:hAnsiTheme="minorHAnsi" w:cstheme="minorBidi"/>
              <w:noProof/>
              <w:lang w:eastAsia="et-EE"/>
            </w:rPr>
          </w:pPr>
          <w:hyperlink w:anchor="_Toc233990027" w:history="1">
            <w:r w:rsidRPr="007A3B61">
              <w:rPr>
                <w:rStyle w:val="Hyperlink"/>
                <w:bCs/>
                <w:noProof/>
              </w:rPr>
              <w:t>2.</w:t>
            </w:r>
            <w:r>
              <w:rPr>
                <w:rFonts w:asciiTheme="minorHAnsi" w:eastAsiaTheme="minorEastAsia" w:hAnsiTheme="minorHAnsi" w:cstheme="minorBidi"/>
                <w:noProof/>
                <w:lang w:eastAsia="et-EE"/>
              </w:rPr>
              <w:tab/>
            </w:r>
            <w:r w:rsidRPr="007A3B61">
              <w:rPr>
                <w:rStyle w:val="Hyperlink"/>
                <w:b/>
                <w:noProof/>
              </w:rPr>
              <w:t>MAJANDUS- JA RAHALIIDU NING MAJANDUSLIKU JA SOTSIAALSE ÜHTEKUULUVUSE SEKTSIOON</w:t>
            </w:r>
            <w:r>
              <w:rPr>
                <w:noProof/>
                <w:webHidden/>
              </w:rPr>
              <w:tab/>
            </w:r>
            <w:r>
              <w:rPr>
                <w:noProof/>
                <w:webHidden/>
              </w:rPr>
              <w:fldChar w:fldCharType="begin"/>
            </w:r>
            <w:r>
              <w:rPr>
                <w:noProof/>
                <w:webHidden/>
              </w:rPr>
              <w:instrText xml:space="preserve"> PAGEREF _Toc233990027 \h </w:instrText>
            </w:r>
            <w:r>
              <w:rPr>
                <w:noProof/>
                <w:webHidden/>
              </w:rPr>
            </w:r>
            <w:r>
              <w:rPr>
                <w:noProof/>
                <w:webHidden/>
              </w:rPr>
              <w:fldChar w:fldCharType="separate"/>
            </w:r>
            <w:r>
              <w:rPr>
                <w:noProof/>
                <w:webHidden/>
              </w:rPr>
              <w:t>9</w:t>
            </w:r>
            <w:r>
              <w:rPr>
                <w:noProof/>
                <w:webHidden/>
              </w:rPr>
              <w:fldChar w:fldCharType="end"/>
            </w:r>
          </w:hyperlink>
        </w:p>
        <w:p w14:paraId="47AAB299" w14:textId="7EC5E5CD" w:rsidR="001375C7" w:rsidRDefault="001375C7">
          <w:pPr>
            <w:pStyle w:val="TOC1"/>
            <w:tabs>
              <w:tab w:val="left" w:pos="440"/>
              <w:tab w:val="right" w:leader="dot" w:pos="9063"/>
            </w:tabs>
            <w:rPr>
              <w:rFonts w:asciiTheme="minorHAnsi" w:eastAsiaTheme="minorEastAsia" w:hAnsiTheme="minorHAnsi" w:cstheme="minorBidi"/>
              <w:noProof/>
              <w:lang w:eastAsia="et-EE"/>
            </w:rPr>
          </w:pPr>
          <w:hyperlink w:anchor="_Toc233990039" w:history="1">
            <w:r w:rsidRPr="007A3B61">
              <w:rPr>
                <w:rStyle w:val="Hyperlink"/>
                <w:bCs/>
                <w:noProof/>
              </w:rPr>
              <w:t>3.</w:t>
            </w:r>
            <w:r>
              <w:rPr>
                <w:rFonts w:asciiTheme="minorHAnsi" w:eastAsiaTheme="minorEastAsia" w:hAnsiTheme="minorHAnsi" w:cstheme="minorBidi"/>
                <w:noProof/>
                <w:lang w:eastAsia="et-EE"/>
              </w:rPr>
              <w:tab/>
            </w:r>
            <w:r w:rsidRPr="007A3B61">
              <w:rPr>
                <w:rStyle w:val="Hyperlink"/>
                <w:b/>
                <w:noProof/>
              </w:rPr>
              <w:t>TÖÖHÕIVE, SOTSIAALKÜSIMUSTE JA KODAKONDSUSE SEKTSIOON</w:t>
            </w:r>
            <w:r>
              <w:rPr>
                <w:noProof/>
                <w:webHidden/>
              </w:rPr>
              <w:tab/>
            </w:r>
            <w:r>
              <w:rPr>
                <w:noProof/>
                <w:webHidden/>
              </w:rPr>
              <w:fldChar w:fldCharType="begin"/>
            </w:r>
            <w:r>
              <w:rPr>
                <w:noProof/>
                <w:webHidden/>
              </w:rPr>
              <w:instrText xml:space="preserve"> PAGEREF _Toc233990039 \h </w:instrText>
            </w:r>
            <w:r>
              <w:rPr>
                <w:noProof/>
                <w:webHidden/>
              </w:rPr>
            </w:r>
            <w:r>
              <w:rPr>
                <w:noProof/>
                <w:webHidden/>
              </w:rPr>
              <w:fldChar w:fldCharType="separate"/>
            </w:r>
            <w:r>
              <w:rPr>
                <w:noProof/>
                <w:webHidden/>
              </w:rPr>
              <w:t>14</w:t>
            </w:r>
            <w:r>
              <w:rPr>
                <w:noProof/>
                <w:webHidden/>
              </w:rPr>
              <w:fldChar w:fldCharType="end"/>
            </w:r>
          </w:hyperlink>
        </w:p>
        <w:p w14:paraId="7A9279BC" w14:textId="1E376CD2" w:rsidR="001375C7" w:rsidRDefault="001375C7">
          <w:pPr>
            <w:pStyle w:val="TOC1"/>
            <w:tabs>
              <w:tab w:val="left" w:pos="440"/>
              <w:tab w:val="right" w:leader="dot" w:pos="9063"/>
            </w:tabs>
            <w:rPr>
              <w:rFonts w:asciiTheme="minorHAnsi" w:eastAsiaTheme="minorEastAsia" w:hAnsiTheme="minorHAnsi" w:cstheme="minorBidi"/>
              <w:noProof/>
              <w:lang w:eastAsia="et-EE"/>
            </w:rPr>
          </w:pPr>
          <w:hyperlink w:anchor="_Toc233990040" w:history="1">
            <w:r w:rsidRPr="007A3B61">
              <w:rPr>
                <w:rStyle w:val="Hyperlink"/>
                <w:bCs/>
                <w:noProof/>
              </w:rPr>
              <w:t>4.</w:t>
            </w:r>
            <w:r>
              <w:rPr>
                <w:rFonts w:asciiTheme="minorHAnsi" w:eastAsiaTheme="minorEastAsia" w:hAnsiTheme="minorHAnsi" w:cstheme="minorBidi"/>
                <w:noProof/>
                <w:lang w:eastAsia="et-EE"/>
              </w:rPr>
              <w:tab/>
            </w:r>
            <w:r w:rsidRPr="007A3B61">
              <w:rPr>
                <w:rStyle w:val="Hyperlink"/>
                <w:b/>
                <w:noProof/>
              </w:rPr>
              <w:t>TRANSPORDI, ENERGEETIKA, INFRASTRUKTUURI JA INFOÜHISKONNA SEKTSIOON</w:t>
            </w:r>
            <w:r>
              <w:rPr>
                <w:noProof/>
                <w:webHidden/>
              </w:rPr>
              <w:tab/>
            </w:r>
            <w:r>
              <w:rPr>
                <w:noProof/>
                <w:webHidden/>
              </w:rPr>
              <w:fldChar w:fldCharType="begin"/>
            </w:r>
            <w:r>
              <w:rPr>
                <w:noProof/>
                <w:webHidden/>
              </w:rPr>
              <w:instrText xml:space="preserve"> PAGEREF _Toc233990040 \h </w:instrText>
            </w:r>
            <w:r>
              <w:rPr>
                <w:noProof/>
                <w:webHidden/>
              </w:rPr>
            </w:r>
            <w:r>
              <w:rPr>
                <w:noProof/>
                <w:webHidden/>
              </w:rPr>
              <w:fldChar w:fldCharType="separate"/>
            </w:r>
            <w:r>
              <w:rPr>
                <w:noProof/>
                <w:webHidden/>
              </w:rPr>
              <w:t>16</w:t>
            </w:r>
            <w:r>
              <w:rPr>
                <w:noProof/>
                <w:webHidden/>
              </w:rPr>
              <w:fldChar w:fldCharType="end"/>
            </w:r>
          </w:hyperlink>
        </w:p>
        <w:p w14:paraId="60551F8D" w14:textId="6AE3AE1A" w:rsidR="001375C7" w:rsidRDefault="001375C7">
          <w:pPr>
            <w:pStyle w:val="TOC1"/>
            <w:tabs>
              <w:tab w:val="left" w:pos="440"/>
              <w:tab w:val="right" w:leader="dot" w:pos="9063"/>
            </w:tabs>
            <w:rPr>
              <w:rFonts w:asciiTheme="minorHAnsi" w:eastAsiaTheme="minorEastAsia" w:hAnsiTheme="minorHAnsi" w:cstheme="minorBidi"/>
              <w:noProof/>
              <w:lang w:eastAsia="et-EE"/>
            </w:rPr>
          </w:pPr>
          <w:hyperlink w:anchor="_Toc233990041" w:history="1">
            <w:r w:rsidRPr="007A3B61">
              <w:rPr>
                <w:rStyle w:val="Hyperlink"/>
                <w:bCs/>
                <w:noProof/>
              </w:rPr>
              <w:t>5.</w:t>
            </w:r>
            <w:r>
              <w:rPr>
                <w:rFonts w:asciiTheme="minorHAnsi" w:eastAsiaTheme="minorEastAsia" w:hAnsiTheme="minorHAnsi" w:cstheme="minorBidi"/>
                <w:noProof/>
                <w:lang w:eastAsia="et-EE"/>
              </w:rPr>
              <w:tab/>
            </w:r>
            <w:r w:rsidRPr="007A3B61">
              <w:rPr>
                <w:rStyle w:val="Hyperlink"/>
                <w:b/>
                <w:noProof/>
              </w:rPr>
              <w:t>ÜHTSE TURU, TOOTMISE JA TARBIMISE SEKTSIOON</w:t>
            </w:r>
            <w:r>
              <w:rPr>
                <w:noProof/>
                <w:webHidden/>
              </w:rPr>
              <w:tab/>
            </w:r>
            <w:r>
              <w:rPr>
                <w:noProof/>
                <w:webHidden/>
              </w:rPr>
              <w:fldChar w:fldCharType="begin"/>
            </w:r>
            <w:r>
              <w:rPr>
                <w:noProof/>
                <w:webHidden/>
              </w:rPr>
              <w:instrText xml:space="preserve"> PAGEREF _Toc233990041 \h </w:instrText>
            </w:r>
            <w:r>
              <w:rPr>
                <w:noProof/>
                <w:webHidden/>
              </w:rPr>
            </w:r>
            <w:r>
              <w:rPr>
                <w:noProof/>
                <w:webHidden/>
              </w:rPr>
              <w:fldChar w:fldCharType="separate"/>
            </w:r>
            <w:r>
              <w:rPr>
                <w:noProof/>
                <w:webHidden/>
              </w:rPr>
              <w:t>19</w:t>
            </w:r>
            <w:r>
              <w:rPr>
                <w:noProof/>
                <w:webHidden/>
              </w:rPr>
              <w:fldChar w:fldCharType="end"/>
            </w:r>
          </w:hyperlink>
        </w:p>
        <w:p w14:paraId="47D3DA0E" w14:textId="7BD13E0B" w:rsidR="001375C7" w:rsidRDefault="001375C7" w:rsidP="001375C7">
          <w:pPr>
            <w:pStyle w:val="TOC1"/>
            <w:tabs>
              <w:tab w:val="left" w:pos="440"/>
              <w:tab w:val="right" w:leader="dot" w:pos="9063"/>
            </w:tabs>
            <w:rPr>
              <w:rFonts w:asciiTheme="minorHAnsi" w:eastAsiaTheme="minorEastAsia" w:hAnsiTheme="minorHAnsi" w:cstheme="minorBidi"/>
              <w:noProof/>
              <w:lang w:eastAsia="et-EE"/>
            </w:rPr>
          </w:pPr>
          <w:hyperlink w:anchor="_Toc233990042" w:history="1">
            <w:r w:rsidRPr="007A3B61">
              <w:rPr>
                <w:rStyle w:val="Hyperlink"/>
                <w:bCs/>
                <w:noProof/>
              </w:rPr>
              <w:t>6.</w:t>
            </w:r>
            <w:r>
              <w:rPr>
                <w:rFonts w:asciiTheme="minorHAnsi" w:eastAsiaTheme="minorEastAsia" w:hAnsiTheme="minorHAnsi" w:cstheme="minorBidi"/>
                <w:noProof/>
                <w:lang w:eastAsia="et-EE"/>
              </w:rPr>
              <w:tab/>
            </w:r>
            <w:r w:rsidRPr="007A3B61">
              <w:rPr>
                <w:rStyle w:val="Hyperlink"/>
                <w:b/>
                <w:noProof/>
              </w:rPr>
              <w:t>PÕLLUMAJANDUSE, MAAELU ARENGU JA KESKKONNA SEKTSIOON</w:t>
            </w:r>
            <w:r>
              <w:rPr>
                <w:noProof/>
                <w:webHidden/>
              </w:rPr>
              <w:tab/>
            </w:r>
            <w:r>
              <w:rPr>
                <w:noProof/>
                <w:webHidden/>
              </w:rPr>
              <w:fldChar w:fldCharType="begin"/>
            </w:r>
            <w:r>
              <w:rPr>
                <w:noProof/>
                <w:webHidden/>
              </w:rPr>
              <w:instrText xml:space="preserve"> PAGEREF _Toc233990042 \h </w:instrText>
            </w:r>
            <w:r>
              <w:rPr>
                <w:noProof/>
                <w:webHidden/>
              </w:rPr>
            </w:r>
            <w:r>
              <w:rPr>
                <w:noProof/>
                <w:webHidden/>
              </w:rPr>
              <w:fldChar w:fldCharType="separate"/>
            </w:r>
            <w:r>
              <w:rPr>
                <w:noProof/>
                <w:webHidden/>
              </w:rPr>
              <w:t>20</w:t>
            </w:r>
            <w:r>
              <w:rPr>
                <w:noProof/>
                <w:webHidden/>
              </w:rPr>
              <w:fldChar w:fldCharType="end"/>
            </w:r>
          </w:hyperlink>
        </w:p>
        <w:p w14:paraId="256138C8" w14:textId="5396790D" w:rsidR="001375C7" w:rsidRDefault="001375C7">
          <w:pPr>
            <w:pStyle w:val="TOC1"/>
            <w:tabs>
              <w:tab w:val="left" w:pos="440"/>
              <w:tab w:val="right" w:leader="dot" w:pos="9063"/>
            </w:tabs>
            <w:rPr>
              <w:rFonts w:asciiTheme="minorHAnsi" w:eastAsiaTheme="minorEastAsia" w:hAnsiTheme="minorHAnsi" w:cstheme="minorBidi"/>
              <w:noProof/>
              <w:lang w:eastAsia="et-EE"/>
            </w:rPr>
          </w:pPr>
          <w:hyperlink w:anchor="_Toc233990053" w:history="1">
            <w:r w:rsidRPr="007A3B61">
              <w:rPr>
                <w:rStyle w:val="Hyperlink"/>
                <w:bCs/>
                <w:noProof/>
              </w:rPr>
              <w:t>7.</w:t>
            </w:r>
            <w:r>
              <w:rPr>
                <w:rFonts w:asciiTheme="minorHAnsi" w:eastAsiaTheme="minorEastAsia" w:hAnsiTheme="minorHAnsi" w:cstheme="minorBidi"/>
                <w:noProof/>
                <w:lang w:eastAsia="et-EE"/>
              </w:rPr>
              <w:tab/>
            </w:r>
            <w:r w:rsidRPr="007A3B61">
              <w:rPr>
                <w:rStyle w:val="Hyperlink"/>
                <w:b/>
                <w:noProof/>
              </w:rPr>
              <w:t>VÄLISSUHETE SEKTSIOON</w:t>
            </w:r>
            <w:r>
              <w:rPr>
                <w:noProof/>
                <w:webHidden/>
              </w:rPr>
              <w:tab/>
            </w:r>
            <w:r>
              <w:rPr>
                <w:noProof/>
                <w:webHidden/>
              </w:rPr>
              <w:fldChar w:fldCharType="begin"/>
            </w:r>
            <w:r>
              <w:rPr>
                <w:noProof/>
                <w:webHidden/>
              </w:rPr>
              <w:instrText xml:space="preserve"> PAGEREF _Toc233990053 \h </w:instrText>
            </w:r>
            <w:r>
              <w:rPr>
                <w:noProof/>
                <w:webHidden/>
              </w:rPr>
            </w:r>
            <w:r>
              <w:rPr>
                <w:noProof/>
                <w:webHidden/>
              </w:rPr>
              <w:fldChar w:fldCharType="separate"/>
            </w:r>
            <w:r>
              <w:rPr>
                <w:noProof/>
                <w:webHidden/>
              </w:rPr>
              <w:t>27</w:t>
            </w:r>
            <w:r>
              <w:rPr>
                <w:noProof/>
                <w:webHidden/>
              </w:rPr>
              <w:fldChar w:fldCharType="end"/>
            </w:r>
          </w:hyperlink>
        </w:p>
        <w:p w14:paraId="1DCC2780" w14:textId="37F625AC" w:rsidR="001375C7" w:rsidRDefault="001375C7">
          <w:pPr>
            <w:pStyle w:val="TOC1"/>
            <w:tabs>
              <w:tab w:val="left" w:pos="440"/>
              <w:tab w:val="right" w:leader="dot" w:pos="9063"/>
            </w:tabs>
            <w:rPr>
              <w:rFonts w:asciiTheme="minorHAnsi" w:eastAsiaTheme="minorEastAsia" w:hAnsiTheme="minorHAnsi" w:cstheme="minorBidi"/>
              <w:noProof/>
              <w:lang w:eastAsia="et-EE"/>
            </w:rPr>
          </w:pPr>
          <w:hyperlink w:anchor="_Toc233990054" w:history="1">
            <w:r w:rsidRPr="007A3B61">
              <w:rPr>
                <w:rStyle w:val="Hyperlink"/>
                <w:bCs/>
                <w:noProof/>
              </w:rPr>
              <w:t>8.</w:t>
            </w:r>
            <w:r>
              <w:rPr>
                <w:rFonts w:asciiTheme="minorHAnsi" w:eastAsiaTheme="minorEastAsia" w:hAnsiTheme="minorHAnsi" w:cstheme="minorBidi"/>
                <w:noProof/>
                <w:lang w:eastAsia="et-EE"/>
              </w:rPr>
              <w:tab/>
            </w:r>
            <w:r w:rsidRPr="007A3B61">
              <w:rPr>
                <w:rStyle w:val="Hyperlink"/>
                <w:b/>
                <w:noProof/>
              </w:rPr>
              <w:t>TÖÖSTUSE MUUTUSTE NÕUANDEKOMISJON</w:t>
            </w:r>
            <w:r>
              <w:rPr>
                <w:noProof/>
                <w:webHidden/>
              </w:rPr>
              <w:tab/>
            </w:r>
            <w:r>
              <w:rPr>
                <w:noProof/>
                <w:webHidden/>
              </w:rPr>
              <w:fldChar w:fldCharType="begin"/>
            </w:r>
            <w:r>
              <w:rPr>
                <w:noProof/>
                <w:webHidden/>
              </w:rPr>
              <w:instrText xml:space="preserve"> PAGEREF _Toc233990054 \h </w:instrText>
            </w:r>
            <w:r>
              <w:rPr>
                <w:noProof/>
                <w:webHidden/>
              </w:rPr>
            </w:r>
            <w:r>
              <w:rPr>
                <w:noProof/>
                <w:webHidden/>
              </w:rPr>
              <w:fldChar w:fldCharType="separate"/>
            </w:r>
            <w:r>
              <w:rPr>
                <w:noProof/>
                <w:webHidden/>
              </w:rPr>
              <w:t>29</w:t>
            </w:r>
            <w:r>
              <w:rPr>
                <w:noProof/>
                <w:webHidden/>
              </w:rPr>
              <w:fldChar w:fldCharType="end"/>
            </w:r>
          </w:hyperlink>
        </w:p>
        <w:p w14:paraId="4982DD6A" w14:textId="3C1420FB"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990019"/>
      <w:r>
        <w:rPr>
          <w:b/>
        </w:rPr>
        <w:lastRenderedPageBreak/>
        <w:t>RESOLUTSIOONID</w:t>
      </w:r>
      <w:bookmarkEnd w:id="0"/>
    </w:p>
    <w:p w14:paraId="01EA6291" w14:textId="77777777" w:rsidR="004D73FC" w:rsidRDefault="004D73FC" w:rsidP="004D73FC"/>
    <w:p w14:paraId="46E0AF65" w14:textId="06E43497" w:rsidR="00560A7D" w:rsidRPr="00560A7D" w:rsidRDefault="004116B6" w:rsidP="00560A7D">
      <w:pPr>
        <w:widowControl w:val="0"/>
        <w:numPr>
          <w:ilvl w:val="0"/>
          <w:numId w:val="4"/>
        </w:numPr>
        <w:overflowPunct w:val="0"/>
        <w:autoSpaceDE w:val="0"/>
        <w:autoSpaceDN w:val="0"/>
        <w:adjustRightInd w:val="0"/>
        <w:ind w:hanging="567"/>
        <w:textAlignment w:val="baseline"/>
        <w:rPr>
          <w:sz w:val="20"/>
          <w:szCs w:val="20"/>
        </w:rPr>
      </w:pPr>
      <w:hyperlink r:id="rId20" w:history="1">
        <w:r w:rsidR="00560A7D">
          <w:rPr>
            <w:b/>
            <w:i/>
            <w:color w:val="0000FF"/>
            <w:sz w:val="28"/>
            <w:u w:val="single"/>
          </w:rPr>
          <w:t>Euroopa Majandus- ja Sotsiaalkomitee panus Euroopa Komisjoni 2027. aasta tööprogrammi</w:t>
        </w:r>
      </w:hyperlink>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Raportöörid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r>
              <w:t>Marcin NOWACKI (tööandjate rühm – PL)</w:t>
            </w:r>
          </w:p>
          <w:p w14:paraId="77889B0B" w14:textId="371F0B22" w:rsidR="00560A7D" w:rsidRPr="00560A7D" w:rsidRDefault="00560A7D" w:rsidP="00560A7D">
            <w:pPr>
              <w:tabs>
                <w:tab w:val="right" w:pos="3827"/>
                <w:tab w:val="left" w:pos="3969"/>
              </w:tabs>
              <w:autoSpaceDE w:val="0"/>
              <w:autoSpaceDN w:val="0"/>
              <w:jc w:val="left"/>
              <w:rPr>
                <w:bCs/>
              </w:rPr>
            </w:pPr>
            <w:r>
              <w:t>Carlos Manuel TRINDADE (töötajate rühm – PT)</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r>
              <w:t>Corina Andrea MURAFA BENGA (kodanikuühiskonna organisatsioonide rühm – RO)</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Viitedokument</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resolutsioon</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Põhipunktid</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Euroopa Liit peaks tugevdama oma konkurentsivõimet, vastupanuvõimet ja suutlikkust kestlikuks majanduskasvuks, edendades tugevat, uuenduslikku ja ettevõtlussõbralikku majandust, mis võimaldab ettevõtetel investeerida, teha uuendusi ja luua kvaliteetseid töökohti kogu Euroopas. Seda tehes peaks EL asetama inimesed muutuste keskmesse, tugevdades Euroopa sotsiaalset mudelit, edendades sotsiaal- ja kodanikuühiskonna dialoogi ja kaasatust ning tagades õiglase digi- ja rohepöörde ning energiasüsteemi ümberkujundamise, milles tuginetakse töötajate õigustele, oskustele, sotsiaaldialoogile ja võrdsetele võimalustele. 2027. aasta tööprogrammis tuleks neid prioriteete edendada meetmetega, millega toetatakse innovatsiooni, tootlikkust, investeeringuid ja regulatiivset lihtsustamist, samuti Euroopa sotsiaalõiguste samba rakendamist, õiglast liikuvust, digitöötajate õigusi ja oskusi ning sotsiaalset tingimuslikkust</w:t>
      </w:r>
      <w:r w:rsidRPr="00560A7D">
        <w:rPr>
          <w:sz w:val="24"/>
          <w:szCs w:val="20"/>
          <w:vertAlign w:val="superscript"/>
          <w:lang w:val="en-GB"/>
        </w:rPr>
        <w:footnoteReference w:id="1"/>
      </w:r>
      <w:r>
        <w:t xml:space="preserve"> ELi rahastamises ja hangetes.</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Et säilitada oma ülemaailmne juhtpositsioon rohetehnoloogia alal, vajab EL konkurentsivõime tegevuskava, mis põhineb tööstuspoliitikal, innovatsioonil, investeeringutel ning õiglasel digi- ja rohepöördel, samuti sügavamat ühtset turgu koos lihtsamate eeskirjade, väiksema killustatuse ning tugevama jõustamisega.</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Euroopa tööstuspoliitika peab toetama taskukohast energiat, kindlaid tarneahelaid ja paremaid piiriüleseid ühendusi energia-, transpordi-, telekommunikatsiooni- ja tarnesüsteemides, et kindlustada kriitilise toorme kättesaadavus ja veekerksus, tagades samal ajal õiglase ülemineku, mis kaitseb kvaliteetseid töökohti ja Euroopa tööstusbaasi.</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Komitee palub 2027. aasta tööprogrammis tagada kõigi mitmeaastase finantsraamistiku vahendite täielik ärakasutamine ning sihipärane ja paindlik ümberplaneerimine. 2027. aasta ettevalmistustöö peab looma tõendusbaasi, juhtimisraamistikud ja partnerlusstruktuurid, millele tugineb järgmine mitmeaastane finantsraamistik. Ühtegi strateegilist prioriteeti – konkurentsivõimet, ühtekuuluvust, sotsiaalset progressi ega rohe- või kaitse-eesmärke – ei tohiks struktuurselt allutada teisele. Lisaks peaksid kõik käesolevas komitee panuses nimetatud prioriteedid saama mitmeaastase finantsraamistiku kaudu sihtotstarbelist rahalist toetust, tagades selle õiglase geograafilise jaotuse.</w:t>
      </w:r>
    </w:p>
    <w:p w14:paraId="30363ADB" w14:textId="129DEAAC"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ELi ühised prioriteedid valmisoleku, kaitse ja julgeoleku valdkonnas peavad hõlmama tugevamat kaitsevõimet, ühishankeid, sõjalist liikuvust, küberturvalisust ning elutähtsa ja tsiviiltaristu kaitset, samuti investeeringuid tsiviilvalmisolekusse, et tugevdada kogukondade vastupanuvõimet, tagades samal ajal läbipaistvuse ja demokraatliku järelevalve eesmärgiga saavutada rahu.</w:t>
      </w:r>
    </w:p>
    <w:p w14:paraId="692A9E5E" w14:textId="4F4096E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EL peaks tugevdama oma üleilmset rolli, viies strateegilise autonoomia kooskõlla välis-, kaubandus-, tööstus- ja laienemispoliitikaga, toetades ühtlasi Ukrainat ning väljendades solidaarsust Palestiina rahvaga, süvendades koostööd partneritega ja suurendades vastupanuvõimet kriitilistes sektorites. 2027. aasta tööprogramm peaks neid prioriteete edendama kandidaatriikide toetamise, tugevama välistegevuse, majandusjulgeoleku, strateegia „Global Gateway“ ning ühise julgeoleku- ja kaitsepoliitika parema kasutamise kaudu.</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EL peaks käsitlema elukvaliteeti kui sotsiaalse ja demokraatliku vastupanuvõime tugisammast. 2027. aasta tööprogramm peaks koondama tervishoiu, vaimse heaolu, võrdsuse, kaasatuse, rassismivastasuse ja juurdepääsu elutähtsatele teenustele inimesekeskseks tegevuskavaks, milles käsitletakse püsivat ebavõrdsust ja haavatavust. SKP jälgimist tuleb täiendada kestlikkuse ja elukvaliteedi näitajatega.</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Kuna vaesus on samaväärne demokraatliku tõrjutusega, peaksid ELi meetmed eluasemevaesuse, energiaostuvõimetuse, vee- ja toidupuuduse valdkonnas moodustama ühtse tegevuskava, mille keskmes on taskukohasus ja õiglus.</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Euroopa demokraatia kaitsekilp ja kodanikuühiskonna strateegia peaksid tugevdama kodanikuühiskonna tegutsemisruumi, sõltumatut meediat, õigusriigi põhimõtet, võrdsust, naiste õigusi ja kaitset soolise vägivalla vastu.</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Kontaktisik</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E-post</w:t>
            </w:r>
          </w:p>
        </w:tc>
        <w:tc>
          <w:tcPr>
            <w:tcW w:w="3923" w:type="pct"/>
          </w:tcPr>
          <w:p w14:paraId="7A48524F" w14:textId="77777777" w:rsidR="00560A7D" w:rsidRPr="00560A7D" w:rsidRDefault="004116B6" w:rsidP="00560A7D">
            <w:pPr>
              <w:overflowPunct w:val="0"/>
              <w:autoSpaceDE w:val="0"/>
              <w:autoSpaceDN w:val="0"/>
              <w:adjustRightInd w:val="0"/>
              <w:textAlignment w:val="baseline"/>
              <w:rPr>
                <w:i/>
              </w:rPr>
            </w:pPr>
            <w:hyperlink r:id="rId21" w:history="1">
              <w:r w:rsidR="00A559CD">
                <w:rPr>
                  <w:i/>
                  <w:color w:val="0000FF"/>
                  <w:u w:val="single"/>
                </w:rPr>
                <w:t>Maja.Radman@eesc.europa.eu</w:t>
              </w:r>
            </w:hyperlink>
            <w:r w:rsidR="00A559CD">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11DFE5B3" w:rsidR="007B7FD5" w:rsidRPr="001A7530" w:rsidRDefault="004116B6"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Euroopa Majandus- ja Sotsiaalkomitee soovitused reformi- ja investeerimisettepanekute kohta, mis on esitatud Euroopa poolaasta 2025.–2026. aasta tsüklis</w:t>
        </w:r>
      </w:hyperlink>
    </w:p>
    <w:p w14:paraId="528C8105" w14:textId="77777777" w:rsidR="001A7530" w:rsidRDefault="001A7530"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p w14:paraId="20F779B7" w14:textId="77777777" w:rsidR="00730BB9" w:rsidRPr="007B7FD5" w:rsidRDefault="00730BB9"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Raportöörid</w:t>
            </w:r>
          </w:p>
        </w:tc>
        <w:tc>
          <w:tcPr>
            <w:tcW w:w="3982" w:type="pct"/>
          </w:tcPr>
          <w:p w14:paraId="7D19C4E1" w14:textId="77777777" w:rsidR="007B7FD5" w:rsidRPr="00AD2F07" w:rsidRDefault="007B7FD5" w:rsidP="00AD2F07">
            <w:r>
              <w:t>Gonçalo LOBO XAVIER (tööandjate rühm – PT)</w:t>
            </w:r>
          </w:p>
          <w:p w14:paraId="60A2DC34" w14:textId="557BAFA2" w:rsidR="007B7FD5" w:rsidRPr="00AD2F07" w:rsidRDefault="007B7FD5" w:rsidP="00AD2F07">
            <w:r>
              <w:t>Andrea MONE (töötajate rühm – IT)</w:t>
            </w:r>
          </w:p>
          <w:p w14:paraId="78BDC49D" w14:textId="77777777" w:rsidR="007B7FD5" w:rsidRDefault="007B7FD5" w:rsidP="00AD2F07">
            <w:r>
              <w:t>Luca JAHIER (kodanikuühiskonna organisatsioonide rühm –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Viitedokument</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resolutsioon</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6D0B44FD" w14:textId="77777777" w:rsidR="007B7FD5" w:rsidRDefault="007B7FD5" w:rsidP="007B7FD5">
      <w:pPr>
        <w:keepNext/>
        <w:keepLines/>
        <w:tabs>
          <w:tab w:val="center" w:pos="284"/>
        </w:tabs>
        <w:overflowPunct w:val="0"/>
        <w:autoSpaceDE w:val="0"/>
        <w:autoSpaceDN w:val="0"/>
        <w:adjustRightInd w:val="0"/>
        <w:textAlignment w:val="baseline"/>
        <w:rPr>
          <w:b/>
          <w:lang w:val="en-GB"/>
        </w:rPr>
      </w:pPr>
    </w:p>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Põhipunktid</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Euroopa Majandus- ja Sotsiaalkomitee</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990020"/>
      <w:r>
        <w:t>kutsub üles integreerima ühtse turu rakendamise – koos poliitilise vastutusega ühtse turu eeskirjade jõustamise eest – täielikult Euroopa poolaastasse ja riigipõhistesse soovitustesse;</w:t>
      </w:r>
      <w:bookmarkEnd w:id="1"/>
      <w:bookmarkEnd w:id="2"/>
      <w:bookmarkEnd w:id="3"/>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990021"/>
      <w:r>
        <w:t>on kindlalt vastu karistusliku makromajandusliku tingimuslikkuse loogikale ja soovitab positiivsete stiimulite struktuuri, milles Euroopa poolaasta tuvastab strateegilised kitsaskohad ja mitmeaastane finantsraamistik pakub sihipärast toetust nende kõrvaldamiseks;</w:t>
      </w:r>
      <w:bookmarkEnd w:id="4"/>
      <w:bookmarkEnd w:id="5"/>
      <w:bookmarkEnd w:id="6"/>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990022"/>
      <w:r>
        <w:t>tunnistab kaitsealase vastupanuvõime ja valmisoleku kasvavat tähtsust ning nõuab sellise regulatiivse keskkonna loomist, mis pakub õiguskindlust ja toetust investeeringute kaasamiseks ELi koordineeritud võimetesse;</w:t>
      </w:r>
      <w:bookmarkEnd w:id="7"/>
      <w:bookmarkEnd w:id="8"/>
      <w:bookmarkEnd w:id="9"/>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990023"/>
      <w:r>
        <w:t>rõhutab eelarvepoliitilise manööverdamisruumi loomise tähtsust, et saavutada ELi ühised sotsiaalsed eesmärgid ja eelkõige aidata kaasa Euroopa Komisjoni hiljuti loodud sotsiaalinvesteeringute keskusele;</w:t>
      </w:r>
      <w:bookmarkEnd w:id="10"/>
      <w:bookmarkEnd w:id="11"/>
      <w:bookmarkEnd w:id="12"/>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990024"/>
      <w:r>
        <w:t>toonitab eelkõige, et riigipõhistes soovitustes alahinnatakse sageli sotsiaalseid küsimusi. Komitee on veendunud, et valitsusi tuleb volitada tegutsema ja nende tegevust tugevdada, et käivitada riiklikul tasandil vajalik dünaamika, eesmärgiga kiirendada reformide kavandamist, rakendamist ja elluviimist ning nende demokraatlikku hindamist;</w:t>
      </w:r>
      <w:bookmarkEnd w:id="13"/>
      <w:bookmarkEnd w:id="14"/>
      <w:bookmarkEnd w:id="15"/>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990025"/>
      <w:r>
        <w:t>soovitab suurendada sotsiaalpartnerite ja kodanikuühiskonna organisatsioonide kaasamist (eesmärgiga tugevdada järk-järgult partnerluse põhimõtet, kui mitmeaastase finantsraamistiku ja Euroopa poolaasta juhtimine koonduvad), muutes selle kaasamise pigem üksnes menetluslikust nõudest poliitilise edu oluliseks tõukejõuks;</w:t>
      </w:r>
      <w:bookmarkEnd w:id="16"/>
      <w:bookmarkEnd w:id="17"/>
      <w:bookmarkEnd w:id="18"/>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990026"/>
      <w:r>
        <w:t>kutsub komisjoni üles parandama Euroopa poolaasta raames teavitamis- ja konsulteerimisprotsesside kvaliteeti ja ka ajastust. See hõlmab investeerimist kodanikuühiskonna ja sotsiaaldialoogi pidamise suutlikkuse suurendamisse, konsultatsiooniprotsesside tugevdamist ja nende ajakava parandamist, paremat juurdepääsu läbipaistvatele ja võrreldavatele andmetele ning sellise Euroopa tegevusjuhendi koostamist, milles sätestatakse, kuidas korraldada konsultatsioone Euroopa poolaasta raames ning kuidas koostada ja rakendada riiklikke kavasid kooskõlas riiklike tavade ja sotsiaaldialoogi raamistikega;</w:t>
      </w:r>
      <w:bookmarkEnd w:id="19"/>
      <w:bookmarkEnd w:id="20"/>
      <w:bookmarkEnd w:id="21"/>
    </w:p>
    <w:p w14:paraId="7A60B51E" w14:textId="77777777" w:rsidR="007B7FD5" w:rsidRPr="007B7FD5" w:rsidRDefault="007B7FD5" w:rsidP="00AD2F07">
      <w:pPr>
        <w:widowControl w:val="0"/>
        <w:numPr>
          <w:ilvl w:val="0"/>
          <w:numId w:val="21"/>
        </w:numPr>
        <w:overflowPunct w:val="0"/>
        <w:autoSpaceDE w:val="0"/>
        <w:autoSpaceDN w:val="0"/>
        <w:adjustRightInd w:val="0"/>
        <w:ind w:left="284" w:hanging="284"/>
        <w:textAlignment w:val="baseline"/>
        <w:rPr>
          <w:bCs/>
          <w:iCs/>
        </w:rPr>
      </w:pPr>
      <w:r>
        <w:t>nõuab partnerluse kvaliteedi ja mõju kohustusliku hindamise kehtestamist. Selle käigus tuleks uurida, mil määral on nende panus kujundanud lõplikke rakenduskavasid. Sellega peab kaasnema rakendusmehhanismide põhjalik lihtsustamine, mis on kavandatud koos korraldusasutuste, piirkondlike asutuste, sotsiaalpartnerite ja kodanikuühiskonna organisatsioonidega, tagamaks, et auditi- ja järelevalvesüsteemid on proportsionaalsed ja järgivad eelarve jagatud täitmise põhimõtet, põhjustamata liigset bürokraatlikku dubleerimist.</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6651"/>
      </w:tblGrid>
      <w:tr w:rsidR="009A5F02" w:rsidRPr="007B7FD5" w14:paraId="58873A49" w14:textId="77777777" w:rsidTr="00AD2F07">
        <w:tc>
          <w:tcPr>
            <w:tcW w:w="861"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Kontaktisik</w:t>
            </w:r>
          </w:p>
        </w:tc>
        <w:tc>
          <w:tcPr>
            <w:tcW w:w="4139" w:type="pct"/>
          </w:tcPr>
          <w:p w14:paraId="52DE2030" w14:textId="22F28BA0" w:rsidR="009A5F02" w:rsidRPr="00AD2F07" w:rsidRDefault="009A5F02">
            <w:pPr>
              <w:overflowPunct w:val="0"/>
              <w:autoSpaceDE w:val="0"/>
              <w:autoSpaceDN w:val="0"/>
              <w:adjustRightInd w:val="0"/>
              <w:spacing w:line="240" w:lineRule="auto"/>
              <w:textAlignment w:val="baseline"/>
              <w:rPr>
                <w:i/>
              </w:rPr>
            </w:pPr>
            <w:r>
              <w:rPr>
                <w:i/>
              </w:rPr>
              <w:t>Colombe Grégoire</w:t>
            </w:r>
          </w:p>
        </w:tc>
      </w:tr>
      <w:tr w:rsidR="009A5F02" w:rsidRPr="007B7FD5" w14:paraId="502BE6F2" w14:textId="77777777" w:rsidTr="00AD2F07">
        <w:tc>
          <w:tcPr>
            <w:tcW w:w="861"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Tel</w:t>
            </w:r>
          </w:p>
        </w:tc>
        <w:tc>
          <w:tcPr>
            <w:tcW w:w="4139"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AD2F07">
        <w:trPr>
          <w:trHeight w:val="60"/>
        </w:trPr>
        <w:tc>
          <w:tcPr>
            <w:tcW w:w="861"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E-post</w:t>
            </w:r>
          </w:p>
        </w:tc>
        <w:tc>
          <w:tcPr>
            <w:tcW w:w="4139" w:type="pct"/>
          </w:tcPr>
          <w:p w14:paraId="3B839D90" w14:textId="42AB4678" w:rsidR="009A5F02" w:rsidRPr="00AD2F07" w:rsidRDefault="004116B6">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5D23D477" w:rsidR="004D7AC0" w:rsidRDefault="004D7AC0" w:rsidP="001766B2">
      <w:pPr>
        <w:pStyle w:val="Heading1"/>
        <w:rPr>
          <w:b/>
        </w:rPr>
      </w:pPr>
      <w:bookmarkStart w:id="22" w:name="_Toc233990027"/>
      <w:r>
        <w:rPr>
          <w:b/>
        </w:rPr>
        <w:t>MAJANDUS- JA RAHALIIDU NING MAJANDUSLIKU JA SOTSIAALSE ÜHTEKUULUVUSE SEKTSIOON</w:t>
      </w:r>
      <w:bookmarkEnd w:id="22"/>
    </w:p>
    <w:p w14:paraId="4982DD6E" w14:textId="77777777" w:rsidR="004D7AC0" w:rsidRDefault="004D7AC0" w:rsidP="001766B2"/>
    <w:p w14:paraId="1B60319F" w14:textId="0E280A39" w:rsidR="00385A54" w:rsidRPr="00AD2F07" w:rsidRDefault="004116B6"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sidR="00A559CD">
          <w:rPr>
            <w:b/>
            <w:i/>
            <w:color w:val="0000FF"/>
            <w:sz w:val="28"/>
            <w:u w:val="single"/>
          </w:rPr>
          <w:t>Idapoolsete piirialade strateegia</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616"/>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bCs/>
              </w:rPr>
              <w:t>Raportöör</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bCs/>
              </w:rPr>
              <w:t>Kaasraportöör</w:t>
            </w:r>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(tööandjate rühm –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r>
              <w:t>Ionuţ SIBIAN (kodanikuühiskonna organisatsioonide rühm –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Viitedokumendid</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COM(2026) 82 final</w:t>
            </w:r>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Põhipunktid</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Euroopa Majandus- ja Sotsiaalkomitee</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väljendab heameelt komisjoni teatise üle ja nõustub, et idapoolsed piirialad on ELi julgeoleku, ühtekuuluvuse ja pikaajalise vastupanuvõime seisukohalt strateegiline prioriteet. Need on Euroopa piirialad, mitte riikide perifeersed piirkonnad, ning nende stabiilsus on ELi väärtuste, heaolu ja territoriaalse terviklikkuse jaoks ülioluline. Komitee nõuab ELi sihipärast ja terviklikku reageerimist, mis võtaks arvesse idapoolsete piirialade konkreetseid julgeoleku-, majandus- ja demograafilisi probleeme, kuna tavapärased poliitikavahendid üksi ei ole nende lahendamiseks piisavad;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rõhutab, et püsivad hübriidohud, küberründed, taristu sabotaaž, rände ärakasutamine ja desinformatsioon nõuavad territoriaalsuse põhimõttest lähtuvat kooskõlastatud reageerimist ELi tasandil. Komitee toetab idatiiva seiret, Euroopa droonikaitse algatust ja paremat kriisivalmidust;</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on sügavalt mures paljude idapoolsete piirialade kiiresti kahaneva rahvaarvu pärast: mõned neist on viimase kümnendiga kaotanud üle 17 % elanikkonnast. See ohustab tööturgu, riigi rahandust, elutähtsaid teenuseid ja pikaajalist territoriaalset ühtekuuluvust. Komitee nõuab sihipäraseid demograafilise taaselustamise meetmeid, sealhulgas stiimuleid noorte paigalejäämiseks, kvaliteetseid töökohti, oskuste arendamist ja paremaid elutingimusi;</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märgib, et Venemaa agressioonisõda ja hübriidohud on idapoolseid piirialasid mõjutanud ebaproportsionaalselt tugevasti, põhjustades aeglasemat SKP kasvu, kiiremat inflatsiooni, kaubandushäireid ja investeeringute vähenemist. Komitee on mures, et kavandatud lähenemisviis tugineb peamiselt olemasolevate vahendite ümberjaotamisele. Ta nõuab täiendavat sihtotstarbelist ELi rahalist toetust, sealhulgas piisavaid eraldisi mitmeaastase finantsraamistiku (2028–2034) alusel, ning selgeid rakendusmehhanisme (sealhulgas partnerluse põhimõte), et saavutada kohapeal tegelikke tulemusi;</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teeb ettepaneku pakkuda idapoolsetele piirialadele Euroopa Konkurentsivõime Fondi kaudu konkreetseid programmikonkursse. Need käsitleksid struktuurseid probleeme, toetaksid kohaliku ettevõtluse ökosüsteeme ning tugevdaksid nende piirkondade konkurentsi- ja vastupanuvõimet, mis seisavad silmitsi demograafilise ja julgeolekusurvega. Samuti soovitab komitee luua ELi tagatis- ja riskijagamismeetmed;</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rõhutab, et transport, energia ja digitaalne ühendatus on endiselt peamised kitsaskohad. Komitee toetab üleeuroopalise transpordivõrgu kiiremat arendamist, kahesuguse kasutusega taristut, paremaid piiriüleseid ühendusi Ukraina ja Moldovaga ning vastupidavaid digivõrke. Samuti nõuab komitee kahesuguse kasutusega taristu ja tööstusprojekte selliste vahendite raames nagu Euroopa ühendamise rahastu ja sõjaväelise liikuvuse rahastamine, tagades, et kaitse- ja julgeolekuinvesteeringud tooksid kohalikul tasandil kaasa ka majanduslikku kasu, töökohti ja VKEde osaluse;</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väljendab heameelt selle üle, et tähelepanu keskmes on inimesed ja kogukonnad, rõhutades, et julgeolek ja vastupanuvõime sõltuvad tugevatest sotsiaalsüsteemidest, kättesaadavatest tervishoiuteenustest, kvaliteetsest haridusest ja tõhusast kohalikust juhtimisest. Komitee kutsub üles kasutama tugevamaid kohapõhiseid sotsiaalse ja kodanikuühiskonna dialoogi mehhanisme ja osaluspõhiseid lähenemisviise;</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peab haldus- ja institutsioonilise suutlikkuse suurendamist idapoolsete piirialade arengu ja vastupanuvõime üheks alustalaks;</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toetab julgeoleku, vastupanuvõime ja majandusarengu meetmete tugevamat integreerimist, rõhutades samal ajal, et investeeringud ühendatusesse, innovatsiooni ja kohalikesse tugevustesse on kestliku majanduskasvu mootor. Tarvis on leida tasakaal julgeoleku- ja ühtekuuluvusprioriteetide vahel;</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toonitab, et oluline on vaadata läbi riigiabi raamistikud, et võimaldada idapoolsetel piirialadel suuremat paindlikkust, et liikmesriigid saaksid tõhusamalt tegeleda investeerimislünkade ja turutõrgetega;</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toetab iga-aastast kõrgetasemelist poliitilist dialoogi ja julgustab komisjoni töötama kodanikuühiskonda kaasates idapoolsete piirialade jaoks välja pikaajalise strateegilise raamistiku, mis ulatuks praegusest mitmeaastasest finantsraamistikust kaugemale. Selles raamistikus tuleks tunnistada idapoolsed piirialad üheks konkreetset tüüpi riikidevaheliseks alaks kooskõlas territoriaalse tegevuskavaga aastani 2030. Komisjon peaks lisama ühtekuuluvusaruandesse peatüki idapoolsete piirialade kohta.</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85A54" w:rsidRPr="00385A54" w14:paraId="1F500A73" w14:textId="77777777" w:rsidTr="0033503A">
        <w:tc>
          <w:tcPr>
            <w:tcW w:w="1418" w:type="dxa"/>
          </w:tcPr>
          <w:p w14:paraId="549E9D31" w14:textId="77777777" w:rsidR="00385A54" w:rsidRPr="00385A54" w:rsidRDefault="00385A54" w:rsidP="00385A54">
            <w:pPr>
              <w:overflowPunct w:val="0"/>
              <w:autoSpaceDE w:val="0"/>
              <w:autoSpaceDN w:val="0"/>
              <w:adjustRightInd w:val="0"/>
              <w:textAlignment w:val="baseline"/>
              <w:rPr>
                <w:i/>
              </w:rPr>
            </w:pPr>
            <w:r>
              <w:rPr>
                <w:b/>
                <w:i/>
              </w:rPr>
              <w:t>Kontaktisik</w:t>
            </w:r>
          </w:p>
        </w:tc>
        <w:tc>
          <w:tcPr>
            <w:tcW w:w="7904" w:type="dxa"/>
          </w:tcPr>
          <w:p w14:paraId="6401420E" w14:textId="0F1EA9A6" w:rsidR="00385A54" w:rsidRPr="00385A54" w:rsidRDefault="00385A54" w:rsidP="00385A54">
            <w:pPr>
              <w:overflowPunct w:val="0"/>
              <w:autoSpaceDE w:val="0"/>
              <w:autoSpaceDN w:val="0"/>
              <w:adjustRightInd w:val="0"/>
              <w:textAlignment w:val="baseline"/>
              <w:rPr>
                <w:i/>
              </w:rPr>
            </w:pPr>
            <w:r>
              <w:rPr>
                <w:i/>
              </w:rPr>
              <w:t>Georgios Meleas</w:t>
            </w:r>
          </w:p>
        </w:tc>
      </w:tr>
      <w:tr w:rsidR="00385A54" w:rsidRPr="00385A54" w14:paraId="5AA0741E" w14:textId="77777777" w:rsidTr="0033503A">
        <w:tc>
          <w:tcPr>
            <w:tcW w:w="1418" w:type="dxa"/>
          </w:tcPr>
          <w:p w14:paraId="5CAD9ED0" w14:textId="77777777" w:rsidR="00385A54" w:rsidRPr="00385A54" w:rsidRDefault="00385A54" w:rsidP="00385A54">
            <w:pPr>
              <w:overflowPunct w:val="0"/>
              <w:autoSpaceDE w:val="0"/>
              <w:autoSpaceDN w:val="0"/>
              <w:adjustRightInd w:val="0"/>
              <w:textAlignment w:val="baseline"/>
              <w:rPr>
                <w:i/>
              </w:rPr>
            </w:pPr>
            <w:r>
              <w:rPr>
                <w:i/>
              </w:rPr>
              <w:t>Tel</w:t>
            </w:r>
          </w:p>
        </w:tc>
        <w:tc>
          <w:tcPr>
            <w:tcW w:w="7904" w:type="dxa"/>
          </w:tcPr>
          <w:p w14:paraId="0BB284E1" w14:textId="77777777" w:rsidR="00385A54" w:rsidRPr="00385A54" w:rsidRDefault="00385A54" w:rsidP="00385A54">
            <w:pPr>
              <w:overflowPunct w:val="0"/>
              <w:autoSpaceDE w:val="0"/>
              <w:autoSpaceDN w:val="0"/>
              <w:adjustRightInd w:val="0"/>
              <w:textAlignment w:val="baseline"/>
              <w:rPr>
                <w:i/>
              </w:rPr>
            </w:pPr>
            <w:r>
              <w:rPr>
                <w:i/>
              </w:rPr>
              <w:t>+32 25469795</w:t>
            </w:r>
          </w:p>
        </w:tc>
      </w:tr>
      <w:tr w:rsidR="00385A54" w:rsidRPr="00385A54" w14:paraId="0C327840" w14:textId="77777777" w:rsidTr="0033503A">
        <w:tc>
          <w:tcPr>
            <w:tcW w:w="1418" w:type="dxa"/>
          </w:tcPr>
          <w:p w14:paraId="58938E92" w14:textId="77777777" w:rsidR="00385A54" w:rsidRPr="00385A54" w:rsidRDefault="00385A54" w:rsidP="00385A54">
            <w:pPr>
              <w:overflowPunct w:val="0"/>
              <w:autoSpaceDE w:val="0"/>
              <w:autoSpaceDN w:val="0"/>
              <w:adjustRightInd w:val="0"/>
              <w:textAlignment w:val="baseline"/>
              <w:rPr>
                <w:i/>
              </w:rPr>
            </w:pPr>
            <w:r>
              <w:rPr>
                <w:i/>
              </w:rPr>
              <w:t>E-post</w:t>
            </w:r>
          </w:p>
        </w:tc>
        <w:tc>
          <w:tcPr>
            <w:tcW w:w="7904" w:type="dxa"/>
          </w:tcPr>
          <w:p w14:paraId="2FD1518E" w14:textId="77777777" w:rsidR="00385A54" w:rsidRPr="00385A54" w:rsidRDefault="004116B6" w:rsidP="00385A54">
            <w:pPr>
              <w:overflowPunct w:val="0"/>
              <w:autoSpaceDE w:val="0"/>
              <w:autoSpaceDN w:val="0"/>
              <w:adjustRightInd w:val="0"/>
              <w:textAlignment w:val="baseline"/>
              <w:rPr>
                <w:i/>
                <w:iCs/>
              </w:rPr>
            </w:pPr>
            <w:hyperlink r:id="rId25" w:history="1">
              <w:r w:rsidR="00A559CD">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6" w:history="1">
        <w:r>
          <w:rPr>
            <w:b/>
            <w:i/>
            <w:color w:val="0000FF"/>
            <w:sz w:val="28"/>
            <w:u w:val="single"/>
          </w:rPr>
          <w:t>ELi liikmesriikide organiseeritud kodanikuühiskonna seisukoht riiklike reformi- ja investeerimisettepanekute ning nende rakendamise kohta (2025–2026. aasta Euroopa poolaasta tsükkel)</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Raportöörid</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r>
              <w:t>Gonçalo LOBO XAVIER (tööandjate rühm – PT)</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r>
              <w:t>Andrea MONE (töötajate rühm – IT)</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r>
              <w:t>Luca JAHIER (kodanikuühiskonna organisatsioonide rühm – IT)</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Viitedokument</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teabearuanne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Põhipunktid</w:t>
      </w:r>
    </w:p>
    <w:p w14:paraId="70193197" w14:textId="77777777" w:rsidR="008577D0" w:rsidRPr="004E4AF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Kõigis liikmesriikides on riigipõhised soovitused laialdaselt heaks kiidetud, neid peetakse üldiselt asjakohasteks ning kooskõlas olevaks peamiste riiklike majanduslike ja struktuursete probleemidega. Samas tuuakse pidevalt esile puudusi, mis on seotud nende soovituste muutmisega riikide valitsuste konkreetseteks poliitilisteks meetmeteks ning sotsiaalpartnerite ja kodanikuühiskonna kaasamisega. Lisaks toovad sidusrühmad sageli esile poliitiliste prioriteetide vahelise tasakaalustamatuse: sotsiaalset mõõdet, sealhulgas tööturu tingimusi, palku ja ebavõrdsust, peetakse eri poliitikaraamistikes sageli alaesindatud mõõtmeks. Arvatakse, et selline tasakaalustamatus suurendab Euroopa poolaasta raames laiemat struktuurset demokraatia defitsiiti, mis võib kahjustada nii ELi poliitika koordineerimise legitiimsust kui ka tõhusust.</w:t>
      </w:r>
    </w:p>
    <w:p w14:paraId="66DD9109" w14:textId="3D11BDF0"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Taaste- ja vastupidavusrahastu rakendamisel toovad paljud sidusrühmad esile lüngad poliitika kujundamise ja tegeliku elluviimise vahel. Rakendamine on ebaühtlane, osaline või haldus- ja institutsiooniliste piirangute tõttu tõkestatud.</w:t>
      </w:r>
    </w:p>
    <w:p w14:paraId="5D11EF9E"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sz w:val="21"/>
          <w:szCs w:val="21"/>
        </w:rPr>
      </w:pPr>
      <w:r>
        <w:rPr>
          <w:sz w:val="21"/>
        </w:rPr>
        <w:t>Seoses riikliku keskpika perioodi eelarve- ja struktuurikava ning iga-aastase eduaruande rakendamise jälgimisega tõid sidusrühmad välja piiratud ressursid, suure halduskoormuse ja killustatud protsessid. See mõjutab nii reformide elluviimist kui ka nende suutlikkust edusamme tõhusalt jälgida. Neid piiranguid süvendab sageli ebapiisav läbipaistvus ning õigeaegsete ja kasutatavate andmete piiratud kättesaadavus.</w:t>
      </w:r>
    </w:p>
    <w:p w14:paraId="14226914"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Kuigi enamikus liikmesriikides on olemas ametlikud konsultatsioonimehhanismid, peetakse sotsiaalpartnerite ja kodanikuühiskonna organisatsioonide osalemist Euroopa poolaastas ja sellega seotud ELi vahendites üldiselt sisuliselt ebapiisavaks. Tihti toimub see protsessi liiga hilises etapis või selle mõju lõplikele poliitilistele otsustele on piiratud. Selle tulemuseks on arusaam, et kaasamine on suures osas pigem menetluslik kui mõjus.</w:t>
      </w:r>
    </w:p>
    <w:p w14:paraId="0725CE3B"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Kuigi ELi vahendite, eelkõige Euroopa poolaasta ja järgmise mitmeaastase finantsraamistiku ning liikmesriikide poliitika suuremat kooskõla nähakse võimalusena parandada sidusust ja tõhusust, väljendavad mitme liikmesriigi sidusrühmad muret selle mõju üle. Esile tuuakse võimalikku mõju riikide autonoomiale, riske demokraatlikule järelevalvele ja võimalikku tasakaalustamatust otsustusprotsessides, eriti juhul, kui juhtimine muutub tsentraliseeritumaks või tingimuslikkus suureneb.</w:t>
      </w:r>
    </w:p>
    <w:p w14:paraId="33188707" w14:textId="77777777" w:rsidR="00B71B98" w:rsidRPr="004E4AF0" w:rsidRDefault="00B71B98" w:rsidP="004E4AF0">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Kontaktisik</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r>
              <w:rPr>
                <w:i/>
              </w:rPr>
              <w:t>Colombe Grégoire</w:t>
            </w:r>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Tel</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+32 25469286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E-post</w:t>
            </w:r>
          </w:p>
        </w:tc>
        <w:tc>
          <w:tcPr>
            <w:tcW w:w="3893" w:type="pct"/>
          </w:tcPr>
          <w:p w14:paraId="3B510C13" w14:textId="77777777" w:rsidR="004E4AF0" w:rsidRPr="004E4AF0" w:rsidRDefault="004116B6" w:rsidP="004E4AF0">
            <w:pPr>
              <w:overflowPunct w:val="0"/>
              <w:autoSpaceDE w:val="0"/>
              <w:autoSpaceDN w:val="0"/>
              <w:adjustRightInd w:val="0"/>
              <w:spacing w:line="240" w:lineRule="auto"/>
              <w:textAlignment w:val="baseline"/>
              <w:rPr>
                <w:i/>
                <w:iCs/>
              </w:rPr>
            </w:pPr>
            <w:hyperlink r:id="rId27" w:history="1">
              <w:r w:rsidR="00A559CD">
                <w:rPr>
                  <w:i/>
                  <w:color w:val="0000FF"/>
                  <w:u w:val="single"/>
                </w:rPr>
                <w:t>Colombe.Gregoire@eesc.europa.eu</w:t>
              </w:r>
            </w:hyperlink>
          </w:p>
        </w:tc>
      </w:tr>
    </w:tbl>
    <w:p w14:paraId="2BD242D5" w14:textId="1C7EB474" w:rsidR="00A07817" w:rsidRDefault="00385A54">
      <w:pPr>
        <w:spacing w:after="160" w:line="259" w:lineRule="auto"/>
        <w:jc w:val="left"/>
      </w:pPr>
      <w:r>
        <w:br w:type="page"/>
      </w:r>
    </w:p>
    <w:p w14:paraId="3238EE4E" w14:textId="4A2945FF" w:rsidR="00CB23D5" w:rsidRPr="00CB23D5" w:rsidRDefault="004116B6"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sidR="00A559CD">
          <w:rPr>
            <w:b/>
            <w:i/>
            <w:color w:val="0000FF"/>
            <w:sz w:val="28"/>
            <w:u w:val="single"/>
          </w:rPr>
          <w:t>ELi eelarvekulude jälgimise ja eelarve tulemuslikkuse raamistik</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Raportöör</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Kaasraportöör</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(tööandjate rühm –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(töötajate rühm –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Viitedokumendid</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Põhipunktid</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CB23D5">
      <w:pPr>
        <w:overflowPunct w:val="0"/>
        <w:autoSpaceDE w:val="0"/>
        <w:autoSpaceDN w:val="0"/>
        <w:adjustRightInd w:val="0"/>
        <w:spacing w:line="240" w:lineRule="auto"/>
        <w:textAlignment w:val="baseline"/>
        <w:rPr>
          <w:bCs/>
          <w:iCs/>
        </w:rPr>
      </w:pPr>
      <w:r>
        <w:t>Euroopa Majandus- ja Sotsiaalkomitee</w:t>
      </w: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990028"/>
      <w:r>
        <w:rPr>
          <w:b/>
        </w:rPr>
        <w:t>toetab</w:t>
      </w:r>
      <w:r>
        <w:t xml:space="preserve"> algatust luua ühtne ja sidus väljund- ja tulemusnäitajate kogum kogu mitmeaastase finantsraamistiku jaoks, ühtlustada horisontaalsete põhimõtete kohaldamist, võtta kasutusele ühtne iga-aastane haldus- ja tulemusaruanne ning luua ühtne portaal kogu mitmeaastase finantsraamistiku alase teabe jaoks;</w:t>
      </w:r>
      <w:bookmarkEnd w:id="23"/>
      <w:bookmarkEnd w:id="24"/>
      <w:bookmarkEnd w:id="25"/>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990029"/>
      <w:r>
        <w:rPr>
          <w:b/>
        </w:rPr>
        <w:t>juhib tähelepanu</w:t>
      </w:r>
      <w:r>
        <w:t xml:space="preserve"> asjaolule, et tulemusraamistiku määruses määratakse kaudselt abikõlblike programmide ulatus kindlaks eelnevalt, kusjuures ELi vahendite väljamaksmine seotud väljund- ja tulemusnäitajate abil määratletavate vahe-eesmärkide ning sihtväärtuste saavutamisega. See muudab raamistiku väga poliitiliseks;</w:t>
      </w:r>
      <w:bookmarkEnd w:id="26"/>
      <w:bookmarkEnd w:id="27"/>
      <w:bookmarkEnd w:id="28"/>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990030"/>
      <w:r>
        <w:rPr>
          <w:b/>
        </w:rPr>
        <w:t>rõhutab</w:t>
      </w:r>
      <w:r>
        <w:t xml:space="preserve">, et kui maksed sõltuvad vahe-eesmärkidest ja sihtväärtustest, on tulemusi sageli raske õigel ajal mõõta, eriti sotsiaalse sekkumise puhul. Seetõttu </w:t>
      </w:r>
      <w:r>
        <w:rPr>
          <w:b/>
        </w:rPr>
        <w:t>teeb</w:t>
      </w:r>
      <w:r>
        <w:t xml:space="preserve"> komitee </w:t>
      </w:r>
      <w:r>
        <w:rPr>
          <w:b/>
        </w:rPr>
        <w:t>ettepaneku</w:t>
      </w:r>
      <w:r>
        <w:t xml:space="preserve"> lisada tulemusraamistikku loobumisvõimalus: avaliku sektori asutustel peaks olema võimalik kohaldada riikliku ja piirkondliku partnerluse kavade rakendamisel kulupõhist rahastamist, kui andmete kogumisel ja mõõtmisel on objektiivseid raskusi, või täiendada kvantitatiivset aruandlust kvalitatiivsete näitajatega;</w:t>
      </w:r>
      <w:bookmarkEnd w:id="29"/>
      <w:bookmarkEnd w:id="30"/>
      <w:bookmarkEnd w:id="3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990031"/>
      <w:r>
        <w:rPr>
          <w:b/>
        </w:rPr>
        <w:t>nõuab</w:t>
      </w:r>
      <w:r>
        <w:t xml:space="preserve"> jõupingutusi, et soodustada elurikkuse kulutuste nähtavust laiema keskkonnaeesmärgi raames;</w:t>
      </w:r>
      <w:bookmarkEnd w:id="32"/>
      <w:bookmarkEnd w:id="33"/>
      <w:bookmarkEnd w:id="34"/>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990032"/>
      <w:r>
        <w:rPr>
          <w:b/>
        </w:rPr>
        <w:t>soovitab</w:t>
      </w:r>
      <w:r>
        <w:t xml:space="preserve"> tagada, et ELi eelarves kohaldataks läbipaistvalt, prognoositavalt ja proportsionaalselt põhimõtet „ei kahjusta oluliselt“. Põhimõtet tuleks kohaldada järjepidevalt kõigis programmides ja seda peaks toetama selge määratlus selle kohta, mis kujutab endast olulist kahju. Põhimõtte kohaldamine peaks olema proportsionaalne tegelike riskidega, mida mõni algatus võib endast kujutada eesmärkidele, mida kaitseb põhimõte „ei kahjusta oluliselt“. Niisugune proportsionaalsus peaks vältima selliste tegevuste põhjendamatut karistamist, mis on ELis juba praegu tunduvalt kliima- ja keskkonnahoidlikumad kui võrreldavad tegevused mujal, vähendades seeläbi investeeringute üleviimise ohtu madalamate standarditega jurisdiktsioonidesse. Lisaks tuleks põhimõtte „ei kahjusta oluliselt“ kohaldamisel võtta arvesse toetusesaajate suurust ja suutlikkust, mõistes, et väiksematel üksustel võib aruandlusnõuete täitmine olla raskem. Samuti leiab komitee, et kaitsevaldkonna vabastamine põhimõtte „ei kahjusta oluliselt“ kohaldamisest peaks olema sihipärane ega tohiks võimaldada kahesuguse kasutuse varjus toimuva tegevuse ulatuslikku väljajätmist;</w:t>
      </w:r>
      <w:bookmarkEnd w:id="35"/>
      <w:bookmarkEnd w:id="36"/>
      <w:bookmarkEnd w:id="37"/>
    </w:p>
    <w:p w14:paraId="43DBEBE0"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990033"/>
      <w:r>
        <w:rPr>
          <w:b/>
        </w:rPr>
        <w:t>kustub tungivalt üles</w:t>
      </w:r>
      <w:r>
        <w:t xml:space="preserve"> tagama, et sotsiaalsete investeeringute kvoodi raames arvestatav rahastamine keskenduks jätkuvalt Euroopa Sotsiaalfondi (ESF) põhieesmärkidele;</w:t>
      </w:r>
      <w:bookmarkEnd w:id="38"/>
      <w:bookmarkEnd w:id="39"/>
      <w:bookmarkEnd w:id="40"/>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990034"/>
      <w:r>
        <w:rPr>
          <w:b/>
        </w:rPr>
        <w:t>leiab</w:t>
      </w:r>
      <w:r>
        <w:t xml:space="preserve">, et tulemusraamistiku määruse artiklit 6 tuleb tugevdada, et ELi rahastatavad programmid ja tegevused aitaksid proportsionaalsete sotsiaalsete tingimuste kaudu luua ja säilitada kvaliteetseid töökohti, kui see on võimalik ja asjakohane ning kooskõlas valdkondlike eeskirjadega, ning </w:t>
      </w:r>
      <w:r>
        <w:rPr>
          <w:b/>
        </w:rPr>
        <w:t>teeb ettepaneku</w:t>
      </w:r>
      <w:r>
        <w:t xml:space="preserve"> esitada aastaaruanne töökohtade kvaliteedi kohta;</w:t>
      </w:r>
      <w:bookmarkEnd w:id="41"/>
      <w:bookmarkEnd w:id="42"/>
      <w:bookmarkEnd w:id="43"/>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990035"/>
      <w:r>
        <w:rPr>
          <w:b/>
        </w:rPr>
        <w:t>soovitab</w:t>
      </w:r>
      <w:r>
        <w:t xml:space="preserve"> määrata kindlaks kvantitatiivsed ja kvalitatiivsed näitajad, et mõõta organiseeritud kodanikuühiskonna ja sotsiaalpartnerite kaasamist alates kavandamisest kuni rakendamiseni. Nii muudetaks partnerluse põhimõte riikliku ja piirkondliku partnerluse kava kontekstis tõhusamaks, sisukamaks, rakendatavamaks ja mõõdetavamaks;</w:t>
      </w:r>
      <w:bookmarkEnd w:id="44"/>
      <w:bookmarkEnd w:id="45"/>
      <w:bookmarkEnd w:id="46"/>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990036"/>
      <w:r>
        <w:rPr>
          <w:b/>
        </w:rPr>
        <w:t>juhib tähelepanu</w:t>
      </w:r>
      <w:r>
        <w:t xml:space="preserve"> sellele, et kodanikuühiskonna organisatsioonid ja sotsiaalpartnerid peaksid kasutama tulemusraamistiku määruse näitajaid, et muuta poliitika kohalikuks strateegiaks. Seepärast soovitab komitee kaasseadusandjatel suurendada tehnilist abi;</w:t>
      </w:r>
      <w:bookmarkEnd w:id="47"/>
      <w:bookmarkEnd w:id="48"/>
      <w:bookmarkEnd w:id="49"/>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990037"/>
      <w:r>
        <w:rPr>
          <w:b/>
        </w:rPr>
        <w:t>pooldab</w:t>
      </w:r>
      <w:r>
        <w:t xml:space="preserve"> seda, et tulemusraamistikku lisatakse horisontaalse põhimõttena soolise võrdõiguslikkuse;</w:t>
      </w:r>
      <w:bookmarkEnd w:id="50"/>
      <w:bookmarkEnd w:id="51"/>
      <w:bookmarkEnd w:id="52"/>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990038"/>
      <w:r>
        <w:rPr>
          <w:b/>
        </w:rPr>
        <w:t>teeb</w:t>
      </w:r>
      <w:r>
        <w:t xml:space="preserve"> mõned muudatus</w:t>
      </w:r>
      <w:r>
        <w:rPr>
          <w:b/>
        </w:rPr>
        <w:t>ettepanekud</w:t>
      </w:r>
      <w:r>
        <w:t xml:space="preserve"> komisjoni ettepaneku I LISAS „Sekkumisvaldkonnad ja näitajad“. Need on esitatud komitee käesoleva arvamuse lisas.</w:t>
      </w:r>
      <w:bookmarkEnd w:id="53"/>
      <w:bookmarkEnd w:id="54"/>
      <w:bookmarkEnd w:id="55"/>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CB23D5" w:rsidRPr="00CB23D5" w14:paraId="23F39269" w14:textId="77777777" w:rsidTr="0033503A">
        <w:tc>
          <w:tcPr>
            <w:tcW w:w="1418"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Kontaktisik</w:t>
            </w:r>
          </w:p>
        </w:tc>
        <w:tc>
          <w:tcPr>
            <w:tcW w:w="7904"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r>
              <w:rPr>
                <w:i/>
              </w:rPr>
              <w:t>Gerald Klec</w:t>
            </w:r>
          </w:p>
        </w:tc>
      </w:tr>
      <w:tr w:rsidR="00CB23D5" w:rsidRPr="00CB23D5" w14:paraId="6D77B12F" w14:textId="77777777" w:rsidTr="0033503A">
        <w:tc>
          <w:tcPr>
            <w:tcW w:w="1418"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Tel</w:t>
            </w:r>
          </w:p>
        </w:tc>
        <w:tc>
          <w:tcPr>
            <w:tcW w:w="7904"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33503A">
        <w:tc>
          <w:tcPr>
            <w:tcW w:w="1418"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E-post</w:t>
            </w:r>
          </w:p>
        </w:tc>
        <w:tc>
          <w:tcPr>
            <w:tcW w:w="7904" w:type="dxa"/>
          </w:tcPr>
          <w:p w14:paraId="478C3170" w14:textId="77777777" w:rsidR="00CB23D5" w:rsidRPr="00CB23D5" w:rsidRDefault="004116B6" w:rsidP="00CB23D5">
            <w:pPr>
              <w:overflowPunct w:val="0"/>
              <w:autoSpaceDE w:val="0"/>
              <w:autoSpaceDN w:val="0"/>
              <w:adjustRightInd w:val="0"/>
              <w:spacing w:line="240" w:lineRule="auto"/>
              <w:textAlignment w:val="baseline"/>
              <w:rPr>
                <w:i/>
                <w:iCs/>
              </w:rPr>
            </w:pPr>
            <w:hyperlink r:id="rId29" w:history="1">
              <w:r w:rsidR="00A559CD">
                <w:rPr>
                  <w:i/>
                  <w:color w:val="0000FF"/>
                  <w:u w:val="single"/>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56" w:name="_Toc75527081"/>
      <w:bookmarkStart w:id="57" w:name="_Toc233990039"/>
      <w:r>
        <w:rPr>
          <w:b/>
        </w:rPr>
        <w:t>TÖÖHÕIVE, SOTSIAALKÜSIMUSTE JA KODAKONDSUSE SEKTSIOON</w:t>
      </w:r>
      <w:bookmarkEnd w:id="56"/>
      <w:bookmarkEnd w:id="57"/>
    </w:p>
    <w:p w14:paraId="4982DD9A" w14:textId="77777777" w:rsidR="004D7AC0" w:rsidRDefault="004D7AC0" w:rsidP="001766B2"/>
    <w:p w14:paraId="23BBD8D2" w14:textId="3CAA0A91" w:rsidR="000745CD" w:rsidRPr="00AD2F07" w:rsidRDefault="004116B6" w:rsidP="00AD2F07">
      <w:pPr>
        <w:pStyle w:val="ListParagraph"/>
        <w:numPr>
          <w:ilvl w:val="0"/>
          <w:numId w:val="42"/>
        </w:numPr>
        <w:ind w:left="567" w:hanging="567"/>
        <w:rPr>
          <w:sz w:val="28"/>
          <w:szCs w:val="28"/>
        </w:rPr>
      </w:pPr>
      <w:hyperlink r:id="rId30" w:history="1">
        <w:r w:rsidR="000745CD">
          <w:rPr>
            <w:rStyle w:val="Hyperlink"/>
            <w:b/>
            <w:i/>
            <w:sz w:val="28"/>
          </w:rPr>
          <w:t>Rikkumisest teatajate kaitse direktiivi hindamine</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Raportöör</w:t>
            </w:r>
          </w:p>
        </w:tc>
        <w:tc>
          <w:tcPr>
            <w:tcW w:w="3923" w:type="pct"/>
          </w:tcPr>
          <w:p w14:paraId="452D71D0" w14:textId="77777777" w:rsidR="000745CD" w:rsidRDefault="000745CD" w:rsidP="000745CD">
            <w:pPr>
              <w:pStyle w:val="ListParagraph"/>
              <w:ind w:left="0"/>
              <w:rPr>
                <w:sz w:val="20"/>
                <w:szCs w:val="20"/>
              </w:rPr>
            </w:pPr>
            <w:r>
              <w:rPr>
                <w:sz w:val="20"/>
              </w:rPr>
              <w:t>Giulia BARBUCCI (töötajate rühm –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Viitedokument</w:t>
            </w:r>
          </w:p>
        </w:tc>
        <w:tc>
          <w:tcPr>
            <w:tcW w:w="3923" w:type="pct"/>
          </w:tcPr>
          <w:p w14:paraId="3E6C6E04" w14:textId="568C191F" w:rsidR="00206637" w:rsidRDefault="00346312" w:rsidP="000745CD">
            <w:pPr>
              <w:pStyle w:val="ListParagraph"/>
              <w:ind w:left="0"/>
              <w:rPr>
                <w:sz w:val="20"/>
                <w:szCs w:val="20"/>
              </w:rPr>
            </w:pPr>
            <w:r>
              <w:rPr>
                <w:sz w:val="20"/>
              </w:rPr>
              <w:t>teabearuanne</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Põhipunktid</w:t>
      </w:r>
    </w:p>
    <w:p w14:paraId="2657CDA1" w14:textId="77777777" w:rsidR="00206637" w:rsidRPr="000745CD" w:rsidRDefault="00206637" w:rsidP="000745CD">
      <w:pPr>
        <w:pStyle w:val="ListParagraph"/>
        <w:ind w:left="0"/>
        <w:rPr>
          <w:b/>
          <w:lang w:val="en-GB"/>
        </w:rPr>
      </w:pPr>
    </w:p>
    <w:p w14:paraId="7C1EF1FB" w14:textId="77777777" w:rsidR="000745CD" w:rsidRPr="000745CD" w:rsidRDefault="000745CD" w:rsidP="000745CD">
      <w:pPr>
        <w:pStyle w:val="ListParagraph"/>
        <w:ind w:left="0"/>
        <w:rPr>
          <w:b/>
          <w:lang w:val="en-GB"/>
        </w:rPr>
      </w:pPr>
    </w:p>
    <w:p w14:paraId="4A36272A" w14:textId="77777777" w:rsidR="000745CD" w:rsidRPr="000745CD" w:rsidRDefault="000745CD" w:rsidP="00AD2F07">
      <w:pPr>
        <w:pStyle w:val="ListParagraph"/>
        <w:numPr>
          <w:ilvl w:val="0"/>
          <w:numId w:val="26"/>
        </w:numPr>
        <w:ind w:left="284" w:hanging="284"/>
        <w:rPr>
          <w:bCs/>
        </w:rPr>
      </w:pPr>
      <w:r>
        <w:t>Tuginedes sidusrühmade aruteludele ja viie riigikülastuse käigus kogutud uuringutulemustele tõhususe, asjakohasuse ja kodanikuühiskonna lisaväärtuse kohta, Euroopa Majandus- ja Sotsiaalkomitee</w:t>
      </w:r>
    </w:p>
    <w:p w14:paraId="1A894F33" w14:textId="77777777" w:rsidR="000745CD" w:rsidRPr="000745CD" w:rsidRDefault="000745CD" w:rsidP="00AD2F07">
      <w:pPr>
        <w:pStyle w:val="ListParagraph"/>
        <w:numPr>
          <w:ilvl w:val="0"/>
          <w:numId w:val="27"/>
        </w:numPr>
        <w:rPr>
          <w:bCs/>
        </w:rPr>
      </w:pPr>
      <w:r>
        <w:t>rõhutab, et analüüsitud riikides on direktiivi ülevõtmine olnud üldiselt oluline samm edasi õigusraamistike selgemaks muutmisel, tugevamate teavituskanalite loomisel, kaitsemehhanismide tugevdamisel, institutsioonilise koostöö tugevdamisel, samas kui rakendamise juures on siiski veel olulisi kitsaskohti;</w:t>
      </w:r>
    </w:p>
    <w:p w14:paraId="20B0224F" w14:textId="62642641" w:rsidR="000745CD" w:rsidRPr="000745CD" w:rsidRDefault="000745CD" w:rsidP="00AD2F07">
      <w:pPr>
        <w:pStyle w:val="ListParagraph"/>
        <w:numPr>
          <w:ilvl w:val="0"/>
          <w:numId w:val="27"/>
        </w:numPr>
        <w:rPr>
          <w:bCs/>
        </w:rPr>
      </w:pPr>
      <w:r>
        <w:t>märgib, et paljud sidusrühmad peavad praegust kaitse ulatust liiga kitsaks, eelkõige seoses sotsiaalsete ja töökohaga seotud küsimustega, ning rõhutab, et kaitse piiramine ELi õiguse konkreetsete valdkondadega võib tekitada õiguskindlusetust ja takistada teatamist;</w:t>
      </w:r>
    </w:p>
    <w:p w14:paraId="2020EED1" w14:textId="371C73B1" w:rsidR="000745CD" w:rsidRPr="000745CD" w:rsidRDefault="000745CD" w:rsidP="00AD2F07">
      <w:pPr>
        <w:pStyle w:val="ListParagraph"/>
        <w:numPr>
          <w:ilvl w:val="0"/>
          <w:numId w:val="27"/>
        </w:numPr>
        <w:rPr>
          <w:bCs/>
        </w:rPr>
      </w:pPr>
      <w:r>
        <w:t>rõhutab, et väikeettevõtjatel puuduvad sageli vahendid ja eksperditeadmised asutusesiseste aruandlusmehhanismide tõhusaks rakendamiseks, ning soovitab seetõttu uurida jagatud või sektori tasandi aruandlussüsteeme kooskõlas direktiiviga;</w:t>
      </w:r>
    </w:p>
    <w:p w14:paraId="2A7691A8" w14:textId="77777777" w:rsidR="000745CD" w:rsidRPr="000745CD" w:rsidRDefault="000745CD" w:rsidP="00AD2F07">
      <w:pPr>
        <w:pStyle w:val="ListParagraph"/>
        <w:numPr>
          <w:ilvl w:val="0"/>
          <w:numId w:val="27"/>
        </w:numPr>
        <w:rPr>
          <w:bCs/>
        </w:rPr>
      </w:pPr>
      <w:r>
        <w:t>rõhutab, et pidev hirm kättemaksu ees, pikad menetlused ja ebaühtlane kaitse õõnestavad jätkuvalt usaldust rikkumisest teatamise süsteemide vastu, ajendades sidusrühmi nõudma rikkumisest teatavatele isikutele tugevamaid ennetusmeetmeid, rahalist abi ja toetusmehhanisme;</w:t>
      </w:r>
    </w:p>
    <w:p w14:paraId="21BEA9AF" w14:textId="598F0C3D" w:rsidR="000745CD" w:rsidRPr="000745CD" w:rsidRDefault="000745CD" w:rsidP="00AD2F07">
      <w:pPr>
        <w:pStyle w:val="ListParagraph"/>
        <w:numPr>
          <w:ilvl w:val="0"/>
          <w:numId w:val="27"/>
        </w:numPr>
        <w:rPr>
          <w:bCs/>
        </w:rPr>
      </w:pPr>
      <w:r>
        <w:t>leiab, et liikmesriigid peaksid eraldama ressursse institutsioonidele, kes vastutavad rikkumisest teatamise menetluste eest, et toime tulla viivituste, võimekuslünkade ja piiratud teadlikkusega õiguslikest menetlustest;</w:t>
      </w:r>
    </w:p>
    <w:p w14:paraId="2A805546" w14:textId="77777777" w:rsidR="000745CD" w:rsidRPr="000745CD" w:rsidRDefault="000745CD" w:rsidP="00AD2F07">
      <w:pPr>
        <w:pStyle w:val="ListParagraph"/>
        <w:numPr>
          <w:ilvl w:val="0"/>
          <w:numId w:val="27"/>
        </w:numPr>
        <w:rPr>
          <w:bCs/>
        </w:rPr>
      </w:pPr>
      <w:r>
        <w:t>kuulas ära mõned sidusrühmad, kes ütlesid, et ametiühingute, töötajate esindajate ja kodanikuühiskonna organisatsioonide kaasamine võib suurendada aruandlusmehhanismide tõhusust, sõltumatust ja usaldusväärsust ning parandada teadlikkust ja rakendamistavasid;</w:t>
      </w:r>
    </w:p>
    <w:p w14:paraId="185428D6" w14:textId="5FD5702D" w:rsidR="000745CD" w:rsidRPr="000745CD" w:rsidRDefault="000745CD" w:rsidP="00AD2F07">
      <w:pPr>
        <w:pStyle w:val="ListParagraph"/>
        <w:numPr>
          <w:ilvl w:val="0"/>
          <w:numId w:val="27"/>
        </w:numPr>
        <w:rPr>
          <w:bCs/>
        </w:rPr>
      </w:pPr>
      <w:r>
        <w:t>soovitab kaaluda riiklikul tasandil mitut sidusrühma hõlmavate sõltumatute nõuandvate organite loomist, et hinnata aruandlussüsteeme, analüüsida struktuuriprobleeme ning toetada kodanikuühiskonda ja sotsiaalpartnereid kaasavaid koolitus- ja juhendamisalgatusi;</w:t>
      </w:r>
    </w:p>
    <w:p w14:paraId="6FAF5B60" w14:textId="1A3D5D65" w:rsidR="000745CD" w:rsidRPr="000745CD" w:rsidRDefault="000745CD" w:rsidP="00AD2F07">
      <w:pPr>
        <w:pStyle w:val="ListParagraph"/>
        <w:numPr>
          <w:ilvl w:val="0"/>
          <w:numId w:val="27"/>
        </w:numPr>
        <w:rPr>
          <w:bCs/>
        </w:rPr>
      </w:pPr>
      <w:r>
        <w:t>rõhutab, et rikkumisest teatamise raamistikud on legitiimsemad ja tõhusamad, kui meediaosalised saavad turvaliselt teatada avalikku huvi pakkuvatest küsimustest, kuna paljud sidusrühmad on väitnud, et liiga piiravad konfidentsiaalsuseeskirjad võivad õõnestada avalikku kontrolli;</w:t>
      </w:r>
    </w:p>
    <w:p w14:paraId="35517693" w14:textId="3F34A683" w:rsidR="000745CD" w:rsidRPr="000745CD" w:rsidRDefault="000745CD" w:rsidP="00AD2F07">
      <w:pPr>
        <w:pStyle w:val="ListParagraph"/>
        <w:numPr>
          <w:ilvl w:val="0"/>
          <w:numId w:val="27"/>
        </w:numPr>
        <w:rPr>
          <w:bCs/>
        </w:rPr>
      </w:pPr>
      <w:r>
        <w:t>toob esile teadlikkuse suurendamise kampaaniate olulisuse, kuna nende kaudu saab kujundada ümber kultuurilisi arusaamu rikkumisest teatamisest ning tagada, et kodanikud mõistavad oma õigusi ja olemasolevaid teatamismehhanisme;</w:t>
      </w:r>
    </w:p>
    <w:p w14:paraId="113EB342" w14:textId="77777777" w:rsidR="000745CD" w:rsidRDefault="000745CD" w:rsidP="000A25AC">
      <w:pPr>
        <w:pStyle w:val="ListParagraph"/>
        <w:numPr>
          <w:ilvl w:val="0"/>
          <w:numId w:val="27"/>
        </w:numPr>
        <w:rPr>
          <w:bCs/>
        </w:rPr>
      </w:pPr>
      <w:r>
        <w:t>nõuab, et süstemaatiliselt kogutaks ja avaldataks andmeid rikkumisest teatamise menetluste, tulemuste ja järelmeetmete kohta, et hinnata riiklike süsteemide tõhusust ja sidusust ning teha kindlaks struktuursed puudused.</w:t>
      </w:r>
    </w:p>
    <w:p w14:paraId="1D0606A3" w14:textId="77777777" w:rsidR="00AA0F50" w:rsidRDefault="00AA0F50" w:rsidP="00AA0F50">
      <w:pPr>
        <w:rPr>
          <w:bCs/>
          <w:lang w:val="en-GB"/>
        </w:rPr>
      </w:pP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Kontaktisik</w:t>
            </w:r>
          </w:p>
        </w:tc>
        <w:tc>
          <w:tcPr>
            <w:tcW w:w="3923" w:type="pct"/>
          </w:tcPr>
          <w:p w14:paraId="2C894C0D" w14:textId="327D8196" w:rsidR="000745CD" w:rsidRPr="00AD2F07" w:rsidRDefault="000745CD" w:rsidP="00AA0F50">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Tel</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E-post</w:t>
            </w:r>
          </w:p>
        </w:tc>
        <w:tc>
          <w:tcPr>
            <w:tcW w:w="3923" w:type="pct"/>
          </w:tcPr>
          <w:p w14:paraId="7C5BBAC3" w14:textId="77777777" w:rsidR="000745CD" w:rsidRPr="00AD2F07" w:rsidRDefault="004116B6" w:rsidP="00AA0F50">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8" w:name="_Toc24617160"/>
      <w:bookmarkStart w:id="59" w:name="_Toc75527082"/>
      <w:bookmarkStart w:id="60" w:name="_Toc233990040"/>
      <w:r>
        <w:rPr>
          <w:b/>
        </w:rPr>
        <w:t>TRANSPORDI, ENERGEETIKA, INFRASTRUKTUURI JA INFOÜHISKONNA SEKTSIOON</w:t>
      </w:r>
      <w:bookmarkEnd w:id="58"/>
      <w:bookmarkEnd w:id="59"/>
      <w:bookmarkEnd w:id="60"/>
    </w:p>
    <w:p w14:paraId="4982DDC7" w14:textId="77777777" w:rsidR="004D7AC0" w:rsidRDefault="004D7AC0" w:rsidP="001766B2"/>
    <w:p w14:paraId="18FC9B76" w14:textId="26E7931B" w:rsidR="00BC6333" w:rsidRPr="00BC6333" w:rsidRDefault="004116B6" w:rsidP="00BC6333">
      <w:pPr>
        <w:widowControl w:val="0"/>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Digivõrkude määruse ettepanek</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Raportöör</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r>
              <w:t>Maurizio MENSI (kodanikuühiskonna organisatsioonide rühm –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Viitedokumendid</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Põhipunktid</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Euroopa Majandus- ja Sotsiaalkomitee</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leiab, et määrus kui digivõrkude reguleerimise õiguslik vahend on sobiv valik, et kõrvaldada siseturutõkked ja tagada ühtsed eeskirjad;</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nõuab pädevuste selget jaotust digivõrkude ameti, elektroonilise side Euroopa reguleerivate asutuste ameti (BEREC), raadiospektripoliitika asutuse ja riiklike reguleerivate asutuste vahel, vältides kattumist ja institutsioonilist dubleerimist;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tunnustab digivõrkude määruse süsteemset lähenemist lubade andmisele, spektrile, vaskpaarvõrkude kasutuselt kõrvaldamisele ja juhtimisele kui siseturu sidusale strateegiale;</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toetab tugevaid, ajakohastatud ja täielikult ühtlustatud lõppkasutajate õigusi ning nõuab teenuse kvaliteedile miinimumstandardeid;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soovitab sõnaselgelt välistada regulatiivsed õiglase jagamise skeemid, mis kohustavad suuri sisuteenuste pakkujaid tegema makseid liiklusmahu või päritolu alusel;</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pooldab digivõrkude määruse vaskpaarvõrkudelt kiudoptilistele võrkudele ülemineku raamistikku ning peab seda turvalise ja konkurentsivõimelise ühtse turu jaoks väga tähtsaks.</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Kontaktisik</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r>
              <w:rPr>
                <w:i/>
              </w:rPr>
              <w:t>Albert Precup</w:t>
            </w:r>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Tel</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E-post</w:t>
            </w:r>
          </w:p>
        </w:tc>
        <w:tc>
          <w:tcPr>
            <w:tcW w:w="7371" w:type="dxa"/>
          </w:tcPr>
          <w:p w14:paraId="7EB11DC4" w14:textId="77777777" w:rsidR="00BC6333" w:rsidRPr="00BC6333" w:rsidRDefault="004116B6" w:rsidP="00BC6333">
            <w:pPr>
              <w:overflowPunct w:val="0"/>
              <w:autoSpaceDE w:val="0"/>
              <w:autoSpaceDN w:val="0"/>
              <w:adjustRightInd w:val="0"/>
              <w:textAlignment w:val="baseline"/>
              <w:rPr>
                <w:i/>
                <w:iCs/>
              </w:rPr>
            </w:pPr>
            <w:hyperlink r:id="rId33" w:history="1">
              <w:r w:rsidR="00A559CD">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87344BF" w:rsidR="00490197" w:rsidRPr="00490197" w:rsidRDefault="004116B6" w:rsidP="00490197">
      <w:pPr>
        <w:widowControl w:val="0"/>
        <w:numPr>
          <w:ilvl w:val="0"/>
          <w:numId w:val="9"/>
        </w:numPr>
        <w:overflowPunct w:val="0"/>
        <w:autoSpaceDE w:val="0"/>
        <w:autoSpaceDN w:val="0"/>
        <w:adjustRightInd w:val="0"/>
        <w:ind w:left="567" w:hanging="567"/>
        <w:textAlignment w:val="baseline"/>
        <w:rPr>
          <w:b/>
          <w:bCs/>
          <w:szCs w:val="20"/>
        </w:rPr>
      </w:pPr>
      <w:hyperlink r:id="rId34">
        <w:r w:rsidR="00A559CD">
          <w:rPr>
            <w:b/>
            <w:i/>
            <w:color w:val="0000FF"/>
            <w:sz w:val="28"/>
            <w:u w:val="single"/>
          </w:rPr>
          <w:t>Algatuse „Uus Euroopa Bauhaus“ teostus</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Raportöör</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(kodanikuühiskonna organisatsioonide rühm –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Viitedokumendid</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Põhipunktid</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Euroopa Majandus- ja Sotsiaalkomitee</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kutsub Euroopa Komisjoni üles töötama välja </w:t>
      </w:r>
      <w:r>
        <w:rPr>
          <w:b/>
        </w:rPr>
        <w:t>põhilised tulemusnäitajad uue Euroopa Bauhausi väärtuste ja põhimõtete horisontaalseks valdkondadevaheliseks rakendamiseks</w:t>
      </w:r>
      <w:r>
        <w:t xml:space="preserve"> uutes ja läbivaadatud ELi poliitikavaldkondades ja õigusaktides ning rõhutab, et uus Euroopa Bauhaus ja taskukohase eluaseme poliitika on lahutamatud ning uue Euroopa Bauhausi järgmises rakendusetapis tuleb keskenduda kestlikesse, taskukohastesse ja kvaliteetsetesse eluasemetesse investeerimisele;</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väljendab heameelt </w:t>
      </w:r>
      <w:r>
        <w:rPr>
          <w:b/>
        </w:rPr>
        <w:t>uut Euroopa Bauhausi käsitleva soovituse</w:t>
      </w:r>
      <w:r>
        <w:t xml:space="preserve"> peatse vastuvõtmise üle ning kutsub ELi liikmesriike üles tegutsema selle alusel kui sild ELi ja kohaliku/piirkondliku tasandi vahel, sest selles valdkonnas saavad ELi tasandi koordineerimismeetmed anda selget lisaväärtust, järgides samal ajal subsidiaarsuse põhimõtet;</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kutsub komisjoni üles sätestama, et avaliku sektori asutused peavad seadma riigihankedirektiivide eelseisva läbivaatamise käigus </w:t>
      </w:r>
      <w:r>
        <w:rPr>
          <w:b/>
        </w:rPr>
        <w:t>esikohale hoonestatud keskkonda kujundavate teenuste olelusringi ja kvaliteedikriteeriumid</w:t>
      </w:r>
      <w:r>
        <w:t xml:space="preserve"> ning edendama, mitte vähendama kutsealast tipptaset, sest see on oluline alus uue Euroopa Bauhausi põhimõtete rakendamiseks, tagades samal ajal kättesaadavad täiendõppe võimalused, eelkõige töötajatele, spetsialistidele ja VKEdele.</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Kontaktisik</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E-post</w:t>
            </w:r>
          </w:p>
        </w:tc>
        <w:tc>
          <w:tcPr>
            <w:tcW w:w="3922" w:type="pct"/>
          </w:tcPr>
          <w:p w14:paraId="3F6BD3D4" w14:textId="77777777" w:rsidR="00490197" w:rsidRPr="00490197" w:rsidRDefault="004116B6" w:rsidP="00490197">
            <w:pPr>
              <w:overflowPunct w:val="0"/>
              <w:autoSpaceDE w:val="0"/>
              <w:autoSpaceDN w:val="0"/>
              <w:adjustRightInd w:val="0"/>
              <w:textAlignment w:val="baseline"/>
              <w:rPr>
                <w:i/>
              </w:rPr>
            </w:pPr>
            <w:hyperlink r:id="rId35" w:history="1">
              <w:r w:rsidR="00A559CD">
                <w:rPr>
                  <w:i/>
                  <w:color w:val="0000FF"/>
                  <w:u w:val="single"/>
                </w:rPr>
                <w:t>Francesco.Napolitano@eesc.europa.eu</w:t>
              </w:r>
            </w:hyperlink>
            <w:r w:rsidR="00A559CD">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60726740"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fldChar w:fldCharType="begin"/>
      </w:r>
      <w:r w:rsidRPr="00645AB4">
        <w:rPr>
          <w:b/>
          <w:i/>
          <w:sz w:val="28"/>
        </w:rPr>
        <w:instrText>HYPERLINK "https://www.eesc.europa.eu/et/our-work/opinions-information-reports/opinions/effective-simplification-transport-legislation-while-maintaining-high-social-standards"</w:instrText>
      </w:r>
      <w:r w:rsidRPr="00645AB4">
        <w:rPr>
          <w:b/>
          <w:i/>
          <w:sz w:val="28"/>
        </w:rPr>
        <w:fldChar w:fldCharType="separate"/>
      </w:r>
      <w:r>
        <w:rPr>
          <w:b/>
          <w:i/>
          <w:color w:val="0000FF"/>
          <w:sz w:val="28"/>
          <w:u w:val="single"/>
        </w:rPr>
        <w:t>Transpordialaste õigusaktide tulemuslik lihtsustamine, säilitades ranged sotsiaalsed standardid</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7048"/>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Raportöör</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(töötajate rühm –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Viitedokument</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ettevalmistav arvamus Euroopa Komisjoni taotlusel</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77777777" w:rsidR="00645AB4" w:rsidRPr="00645AB4" w:rsidRDefault="00645AB4" w:rsidP="00645AB4">
      <w:pPr>
        <w:ind w:left="1134" w:hanging="1134"/>
        <w:contextualSpacing/>
        <w:rPr>
          <w:b/>
        </w:rPr>
      </w:pPr>
      <w:r>
        <w:rPr>
          <w:b/>
        </w:rPr>
        <w:t>Euroopa Majandus- ja Sotsiaalkomitee</w:t>
      </w:r>
    </w:p>
    <w:p w14:paraId="692C8041" w14:textId="77777777" w:rsidR="00645AB4" w:rsidRPr="00645AB4" w:rsidRDefault="00645AB4" w:rsidP="00645AB4">
      <w:pPr>
        <w:ind w:left="1134" w:hanging="1134"/>
        <w:contextualSpacing/>
        <w:rPr>
          <w:b/>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tunnistab transpordialase õigustiku tähtsust ja rõhutab, et läbipaistev ja prognoositav transpordialane õigusraamistik on ELi konkurentsivõime võti ning tagab samal ajal kõrged standardid töötajatele ja klientidele ning sotsiaalsete õiguste alal. Need kohustused peavad kehtima ka ühtsel turul tegutsevate ELi-väliste üksuste suhtes. Konkurentsivõime, sotsiaalsed õigused ja keskkonnakaitse peavad jääma Euroopa mudeli keskmesse;</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pooldab digitaliseerimist ja koostalitlusvõimet, et ajakohastada reisijate- ja kaubaveo dokumendinõudeid. Turvalised ja võltsimiskindlad digivahendid võivad lihtsustada haldust, toetada täitmise tagamist ning suurendada töötajate, tööandjate ja reisijate ohutust ja õigusi, lihtsustades samal ajal haldusülesandeid ja austades andmekaitset;</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on veendunud, et lihtsustamine peaks edendama kehtivate eeskirjade digitaalset, arukat ja teabepõhist kohaldamist eelkõige töö- ja puhkeaja ning töötajate piiriülese liikuvuse valdkonnas, mis muudaks sektori alaesindatud rühmade jaoks atraktiivsemaks ja aitaks lahendada tööjõupuudust. Väga liikuv töökeskkond transpordisektoris nõuab kohandatud sotsiaalõigusnorme;</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rõhutab sotsiaaldialoogi tähtsust, sest sotsiaalpartneritel on parimad võimalused teha kindlaks tarbetud ja ebaproportsionaalsed eeskirjad ning pakkuda struktureeritud valdkondliku dialoogi raames välja praktilisi lihtsustusi, kaitstes samal ajal äritegevust ja sotsiaalseid standardeid.</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Kontaktisik</w:t>
            </w:r>
          </w:p>
        </w:tc>
        <w:tc>
          <w:tcPr>
            <w:tcW w:w="7654"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Aleksandra Sarman Grilc</w:t>
            </w:r>
          </w:p>
        </w:tc>
      </w:tr>
      <w:tr w:rsidR="00645AB4" w:rsidRPr="00645AB4" w14:paraId="790D3AFD" w14:textId="77777777" w:rsidTr="0033503A">
        <w:tc>
          <w:tcPr>
            <w:tcW w:w="1668"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Tel</w:t>
            </w:r>
          </w:p>
        </w:tc>
        <w:tc>
          <w:tcPr>
            <w:tcW w:w="7654"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+32 25468333</w:t>
            </w:r>
          </w:p>
        </w:tc>
      </w:tr>
      <w:tr w:rsidR="00645AB4" w:rsidRPr="00645AB4" w14:paraId="09663F49" w14:textId="77777777" w:rsidTr="0033503A">
        <w:trPr>
          <w:trHeight w:val="65"/>
        </w:trPr>
        <w:tc>
          <w:tcPr>
            <w:tcW w:w="1668"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E-post</w:t>
            </w:r>
          </w:p>
        </w:tc>
        <w:tc>
          <w:tcPr>
            <w:tcW w:w="7654" w:type="dxa"/>
          </w:tcPr>
          <w:p w14:paraId="1CEE9F69" w14:textId="77777777" w:rsidR="00645AB4" w:rsidRPr="00645AB4" w:rsidRDefault="004116B6" w:rsidP="00645AB4">
            <w:pPr>
              <w:overflowPunct w:val="0"/>
              <w:autoSpaceDE w:val="0"/>
              <w:autoSpaceDN w:val="0"/>
              <w:adjustRightInd w:val="0"/>
              <w:ind w:firstLine="29"/>
              <w:textAlignment w:val="baseline"/>
              <w:rPr>
                <w:i/>
                <w:iCs/>
              </w:rPr>
            </w:pPr>
            <w:hyperlink r:id="rId36" w:history="1">
              <w:r w:rsidR="00A559CD">
                <w:rPr>
                  <w:i/>
                  <w:color w:val="0000FF"/>
                  <w:u w:val="single"/>
                </w:rPr>
                <w:t>Aleksandra.SarmanGrilc@eesc.europa.eu</w:t>
              </w:r>
            </w:hyperlink>
            <w:r w:rsidR="00A559CD">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61" w:name="_Toc75527083"/>
      <w:bookmarkStart w:id="62" w:name="_Toc233990041"/>
      <w:r>
        <w:rPr>
          <w:b/>
        </w:rPr>
        <w:t>ÜHTSE TURU, TOOTMISE JA TARBIMISE SEKTSIOON</w:t>
      </w:r>
      <w:bookmarkEnd w:id="61"/>
      <w:bookmarkEnd w:id="62"/>
    </w:p>
    <w:p w14:paraId="4982DDF4" w14:textId="77777777" w:rsidR="004D7AC0" w:rsidRDefault="004D7AC0" w:rsidP="001766B2"/>
    <w:p w14:paraId="5E85AFB7" w14:textId="3925607E" w:rsidR="001F5811" w:rsidRPr="001F5811" w:rsidRDefault="004116B6" w:rsidP="001F5811">
      <w:pPr>
        <w:widowControl w:val="0"/>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Äriringkondade ja kodanikuühiskonna tähelepanekud riigiabi käsitleva määruse (EL) nr 651/2014 (üldine grupierandi määrus) läbivaatamise kohta</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Raportöör</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r>
              <w:t>Giuseppe GUERINI (kodanikuühiskonna organisatsioonide rühm –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Viitedokument</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omaalgatuslik arvamus</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Põhipunktid</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Euroopa Majandus- ja Sotsiaalkomitee</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väljendab heameelt selle üle, et komisjon vaatab läbi üldise grupierandi määruse</w:t>
      </w:r>
      <w:r>
        <w:t>, ning toetab selle eesmärki ajakohastada ja lihtsustada riigiabi erandeid, laiendada abiliike ning parandada selgust ja õiguskindlust enne määruse jõustumist 1. jaanuaril 2027;</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toetab kindlalt lihtsustamispüüdlusi</w:t>
      </w:r>
      <w:r>
        <w:t xml:space="preserve">, eelkõige </w:t>
      </w:r>
      <w:r>
        <w:rPr>
          <w:b/>
        </w:rPr>
        <w:t>lihtsustatud kuluarvestuse võimaluste</w:t>
      </w:r>
      <w:r>
        <w:t xml:space="preserve"> (kindlad maksumäärad, ühikuhinnad ja ühekordsed maksed) laialdasemat kasutamist, et vähendada bürokraatiat ja nõuete täitmisega seotud kulusid, kuid märgib, et tekst on endiselt tehniliselt nõudlik ja vajab kasutajasõbralikumat lähenemisviisi;</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nõuab suuremat rakendustoetust</w:t>
      </w:r>
      <w:r>
        <w:t xml:space="preserve">, innustades komisjoni ja liikmesriike investeerima riiklike/piirkondlike/kohalike ametiasutuste </w:t>
      </w:r>
      <w:r>
        <w:rPr>
          <w:b/>
        </w:rPr>
        <w:t>koolitusse ja suutlikkuse suurendamisse</w:t>
      </w:r>
      <w:r>
        <w:t xml:space="preserve"> ning avaldama </w:t>
      </w:r>
      <w:r>
        <w:rPr>
          <w:b/>
        </w:rPr>
        <w:t>selgitustega juhenddokumendi</w:t>
      </w:r>
      <w:r>
        <w:t xml:space="preserve"> (mida korrapäraselt ajakohastatakse ja mille üle konsulteeritakse);</w:t>
      </w:r>
    </w:p>
    <w:p w14:paraId="1C3D6CA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rõhutab peamist kohaldamisala ja poliitika ajakohastamist</w:t>
      </w:r>
      <w:r>
        <w:t xml:space="preserve">, sealhulgas üldise grupierandi määruse laiendamist põllumajandusele (koos selge koordineerimisega </w:t>
      </w:r>
      <w:r>
        <w:rPr>
          <w:b/>
        </w:rPr>
        <w:t>põllumajanduse grupierandi määrusega</w:t>
      </w:r>
      <w:r>
        <w:t xml:space="preserve">), </w:t>
      </w:r>
      <w:r>
        <w:rPr>
          <w:b/>
        </w:rPr>
        <w:t>sotsiaalsete ettevõtete</w:t>
      </w:r>
      <w:r>
        <w:t xml:space="preserve"> sõnaselget tunnistamist (kooskõlas sotsiaalmajanduse tegevuskava määratlusega) ning uusi sätteid </w:t>
      </w:r>
      <w:r>
        <w:rPr>
          <w:b/>
        </w:rPr>
        <w:t>sotsiaaleluruumide ja taskukohaste eluasemete</w:t>
      </w:r>
      <w:r>
        <w:t xml:space="preserve"> kohta otsuse (EL) 2025/2630 valguses;</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rõhutab ausat konkurentsi ja sotsiaalseid kaitsemeetmeid</w:t>
      </w:r>
      <w:r>
        <w:t xml:space="preserve">, kiites suuremat toetust </w:t>
      </w:r>
      <w:r>
        <w:rPr>
          <w:b/>
        </w:rPr>
        <w:t>ebasoodsas olukorras olevatele töötajatele ja puuetega inimestele</w:t>
      </w:r>
      <w:r>
        <w:t xml:space="preserve"> (sealhulgas ettepanekut tunnistada </w:t>
      </w:r>
      <w:r>
        <w:rPr>
          <w:b/>
        </w:rPr>
        <w:t>töölelõimimisega tegelevaid sotsiaalseid ettevõtteid</w:t>
      </w:r>
      <w:r>
        <w:t xml:space="preserve">), rõhutades samal ajal, et abisaajad peavad järgima </w:t>
      </w:r>
      <w:r>
        <w:rPr>
          <w:b/>
        </w:rPr>
        <w:t>töötajate kaitse ja sotsiaalse vastutuse kriteeriume</w:t>
      </w:r>
      <w:r>
        <w:t xml:space="preserve"> ning et finantsvahendamise eeskirjad peaksid võimaldama kiiret rakendamist ja hoidma ära põhjendamatud moonutused.</w:t>
      </w:r>
    </w:p>
    <w:p w14:paraId="4FA00DC0" w14:textId="77777777" w:rsidR="001F5811" w:rsidRPr="001F5811"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7911"/>
      </w:tblGrid>
      <w:tr w:rsidR="001F5811" w:rsidRPr="001F5811" w14:paraId="41C90AC1" w14:textId="77777777" w:rsidTr="0033503A">
        <w:tc>
          <w:tcPr>
            <w:tcW w:w="742" w:type="pct"/>
          </w:tcPr>
          <w:p w14:paraId="4A3C6613" w14:textId="77777777" w:rsidR="001F5811" w:rsidRPr="001F5811" w:rsidRDefault="001F5811" w:rsidP="001F5811">
            <w:pPr>
              <w:overflowPunct w:val="0"/>
              <w:autoSpaceDE w:val="0"/>
              <w:autoSpaceDN w:val="0"/>
              <w:adjustRightInd w:val="0"/>
              <w:textAlignment w:val="baseline"/>
              <w:rPr>
                <w:i/>
              </w:rPr>
            </w:pPr>
            <w:r>
              <w:rPr>
                <w:b/>
                <w:i/>
              </w:rPr>
              <w:t>Kontaktisik</w:t>
            </w:r>
          </w:p>
        </w:tc>
        <w:tc>
          <w:tcPr>
            <w:tcW w:w="4258" w:type="pct"/>
          </w:tcPr>
          <w:p w14:paraId="0A24D341" w14:textId="1065C5E8" w:rsidR="001F5811" w:rsidRPr="001F5811" w:rsidRDefault="001F5811" w:rsidP="001F5811">
            <w:pPr>
              <w:overflowPunct w:val="0"/>
              <w:autoSpaceDE w:val="0"/>
              <w:autoSpaceDN w:val="0"/>
              <w:adjustRightInd w:val="0"/>
              <w:textAlignment w:val="baseline"/>
              <w:rPr>
                <w:i/>
              </w:rPr>
            </w:pPr>
            <w:r>
              <w:rPr>
                <w:i/>
              </w:rPr>
              <w:t>Silvia Staffa</w:t>
            </w:r>
          </w:p>
        </w:tc>
      </w:tr>
      <w:tr w:rsidR="001F5811" w:rsidRPr="001F5811" w14:paraId="5DD1E7F5" w14:textId="77777777" w:rsidTr="0033503A">
        <w:tc>
          <w:tcPr>
            <w:tcW w:w="742" w:type="pct"/>
          </w:tcPr>
          <w:p w14:paraId="58AE530C" w14:textId="77777777" w:rsidR="001F5811" w:rsidRPr="001F5811" w:rsidRDefault="001F5811" w:rsidP="001F5811">
            <w:pPr>
              <w:overflowPunct w:val="0"/>
              <w:autoSpaceDE w:val="0"/>
              <w:autoSpaceDN w:val="0"/>
              <w:adjustRightInd w:val="0"/>
              <w:textAlignment w:val="baseline"/>
              <w:rPr>
                <w:i/>
              </w:rPr>
            </w:pPr>
            <w:r>
              <w:rPr>
                <w:i/>
              </w:rPr>
              <w:t>Tel</w:t>
            </w:r>
          </w:p>
        </w:tc>
        <w:tc>
          <w:tcPr>
            <w:tcW w:w="4258" w:type="pct"/>
          </w:tcPr>
          <w:p w14:paraId="32B4D165" w14:textId="77777777" w:rsidR="001F5811" w:rsidRPr="001F5811" w:rsidRDefault="001F5811" w:rsidP="001F5811">
            <w:pPr>
              <w:overflowPunct w:val="0"/>
              <w:autoSpaceDE w:val="0"/>
              <w:autoSpaceDN w:val="0"/>
              <w:adjustRightInd w:val="0"/>
              <w:textAlignment w:val="baseline"/>
              <w:rPr>
                <w:i/>
              </w:rPr>
            </w:pPr>
            <w:r>
              <w:rPr>
                <w:i/>
              </w:rPr>
              <w:t>+32 25468378</w:t>
            </w:r>
          </w:p>
        </w:tc>
      </w:tr>
      <w:tr w:rsidR="001F5811" w:rsidRPr="001F5811" w14:paraId="3F8E7700" w14:textId="77777777" w:rsidTr="0033503A">
        <w:tc>
          <w:tcPr>
            <w:tcW w:w="742" w:type="pct"/>
          </w:tcPr>
          <w:p w14:paraId="58BC7ACB" w14:textId="77777777" w:rsidR="001F5811" w:rsidRPr="001F5811" w:rsidRDefault="001F5811" w:rsidP="001F5811">
            <w:pPr>
              <w:overflowPunct w:val="0"/>
              <w:autoSpaceDE w:val="0"/>
              <w:autoSpaceDN w:val="0"/>
              <w:adjustRightInd w:val="0"/>
              <w:textAlignment w:val="baseline"/>
              <w:rPr>
                <w:i/>
              </w:rPr>
            </w:pPr>
            <w:r>
              <w:rPr>
                <w:i/>
              </w:rPr>
              <w:t>E-post</w:t>
            </w:r>
          </w:p>
        </w:tc>
        <w:tc>
          <w:tcPr>
            <w:tcW w:w="4258" w:type="pct"/>
          </w:tcPr>
          <w:p w14:paraId="51BFA0F3" w14:textId="77777777" w:rsidR="001F5811" w:rsidRPr="001F5811" w:rsidRDefault="004116B6" w:rsidP="001F5811">
            <w:pPr>
              <w:overflowPunct w:val="0"/>
              <w:autoSpaceDE w:val="0"/>
              <w:autoSpaceDN w:val="0"/>
              <w:adjustRightInd w:val="0"/>
              <w:textAlignment w:val="baseline"/>
              <w:rPr>
                <w:i/>
                <w:iCs/>
              </w:rPr>
            </w:pPr>
            <w:hyperlink r:id="rId38" w:history="1">
              <w:r w:rsidR="00A559CD">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63" w:name="_Toc70322234"/>
      <w:bookmarkStart w:id="64" w:name="_Toc75527084"/>
      <w:bookmarkStart w:id="65" w:name="_Toc232773780"/>
      <w:bookmarkStart w:id="66" w:name="_Toc233990042"/>
      <w:r>
        <w:rPr>
          <w:b/>
        </w:rPr>
        <w:t>PÕLLUMAJANDUSE, MAAELU ARENGU JA KESKKONNA SEKTSIOON</w:t>
      </w:r>
      <w:bookmarkEnd w:id="63"/>
      <w:bookmarkEnd w:id="64"/>
      <w:bookmarkEnd w:id="65"/>
      <w:bookmarkEnd w:id="66"/>
    </w:p>
    <w:p w14:paraId="4982DE20" w14:textId="77777777" w:rsidR="004D7AC0" w:rsidRDefault="004D7AC0" w:rsidP="001766B2"/>
    <w:p w14:paraId="599FEAFA" w14:textId="3FBCFDB1" w:rsidR="00180329" w:rsidRPr="00180329" w:rsidRDefault="004116B6" w:rsidP="00180329">
      <w:pPr>
        <w:widowControl w:val="0"/>
        <w:numPr>
          <w:ilvl w:val="0"/>
          <w:numId w:val="4"/>
        </w:numPr>
        <w:overflowPunct w:val="0"/>
        <w:autoSpaceDE w:val="0"/>
        <w:autoSpaceDN w:val="0"/>
        <w:adjustRightInd w:val="0"/>
        <w:ind w:hanging="567"/>
        <w:textAlignment w:val="baseline"/>
        <w:rPr>
          <w:b/>
          <w:bCs/>
          <w:szCs w:val="20"/>
        </w:rPr>
      </w:pPr>
      <w:hyperlink r:id="rId39" w:history="1">
        <w:r w:rsidR="00A559CD">
          <w:rPr>
            <w:b/>
            <w:i/>
            <w:color w:val="0000FF"/>
            <w:sz w:val="28"/>
            <w:u w:val="single"/>
          </w:rPr>
          <w:t>Piirkondlike kalandusorganisatsioonide meetmete ülevõtmine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Viitedokumendid</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C-kategooria arvamus</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180329">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Põhipunktid</w:t>
      </w:r>
    </w:p>
    <w:p w14:paraId="705E9329"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lang w:val="en-GB"/>
        </w:rPr>
      </w:pPr>
    </w:p>
    <w:p w14:paraId="7EFE52D9" w14:textId="67F7E341" w:rsidR="00180329" w:rsidRPr="00180329" w:rsidRDefault="00180329" w:rsidP="00AD2F07">
      <w:pPr>
        <w:overflowPunct w:val="0"/>
        <w:autoSpaceDE w:val="0"/>
        <w:autoSpaceDN w:val="0"/>
        <w:adjustRightInd w:val="0"/>
        <w:textAlignment w:val="baseline"/>
      </w:pPr>
      <w:r>
        <w:t>Euroopa Majandus- ja Sotsiaalkomitee on oma seisukohti kõnealusel teemal juba väljendanud järgmistes arvamustes:</w:t>
      </w:r>
    </w:p>
    <w:p w14:paraId="7DBD4597"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i/>
            <w:color w:val="0000FF"/>
            <w:u w:val="single"/>
          </w:rPr>
          <w:t>Rahvusvahelist kalandust käsitlevate eeskirjade muutmine</w:t>
        </w:r>
      </w:hyperlink>
      <w:r w:rsidR="00180329">
        <w:t>,</w:t>
      </w:r>
      <w:r w:rsidR="00180329" w:rsidRPr="00180329">
        <w:rPr>
          <w:i/>
          <w:iCs/>
          <w:sz w:val="24"/>
          <w:vertAlign w:val="superscript"/>
          <w:lang w:val="en-GB" w:eastAsia="zh-CN"/>
        </w:rPr>
        <w:footnoteReference w:id="2"/>
      </w:r>
      <w:r w:rsidR="00180329">
        <w:t xml:space="preserve"> võeti vastu 16.7.2025;</w:t>
      </w:r>
    </w:p>
    <w:p w14:paraId="6123AE4F"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i/>
            <w:color w:val="0000FF"/>
            <w:u w:val="single"/>
          </w:rPr>
          <w:t>Kalandus – Loode-Atlandi Kalandusorganisatsioon</w:t>
        </w:r>
      </w:hyperlink>
      <w:r w:rsidR="00180329">
        <w:t>,</w:t>
      </w:r>
      <w:r w:rsidR="00180329" w:rsidRPr="00180329">
        <w:rPr>
          <w:sz w:val="24"/>
          <w:vertAlign w:val="superscript"/>
          <w:lang w:val="en-GB" w:eastAsia="zh-CN"/>
        </w:rPr>
        <w:footnoteReference w:id="3"/>
      </w:r>
      <w:r w:rsidR="00180329">
        <w:t xml:space="preserve"> võeti vastu 15.6.2023;</w:t>
      </w:r>
    </w:p>
    <w:p w14:paraId="30E301AA"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i/>
            <w:color w:val="0000FF"/>
            <w:u w:val="single"/>
          </w:rPr>
          <w:t>Loode-Atlandi Kalandusorganisatsiooni kaitse- ja rakendusmeetmed</w:t>
        </w:r>
      </w:hyperlink>
      <w:r w:rsidR="00180329">
        <w:t>,</w:t>
      </w:r>
      <w:r w:rsidR="00180329" w:rsidRPr="00180329">
        <w:rPr>
          <w:sz w:val="24"/>
          <w:vertAlign w:val="superscript"/>
          <w:lang w:val="en-GB" w:eastAsia="zh-CN"/>
        </w:rPr>
        <w:footnoteReference w:id="4"/>
      </w:r>
      <w:r w:rsidR="00180329">
        <w:t xml:space="preserve"> võeti vastu 24.3.2022;</w:t>
      </w:r>
    </w:p>
    <w:p w14:paraId="0FC39EFE"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i/>
            <w:color w:val="0000FF"/>
            <w:u w:val="single"/>
          </w:rPr>
          <w:t>Atlandi tuunikala kaitse</w:t>
        </w:r>
      </w:hyperlink>
      <w:r w:rsidR="00180329">
        <w:t>,</w:t>
      </w:r>
      <w:r w:rsidR="00180329" w:rsidRPr="00180329">
        <w:rPr>
          <w:sz w:val="24"/>
          <w:vertAlign w:val="superscript"/>
          <w:lang w:val="en-GB" w:eastAsia="zh-CN"/>
        </w:rPr>
        <w:footnoteReference w:id="5"/>
      </w:r>
      <w:r w:rsidR="00180329">
        <w:t xml:space="preserve"> võeti vastu 15.6.2022;</w:t>
      </w:r>
    </w:p>
    <w:p w14:paraId="5EB72DA5"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i/>
            <w:color w:val="0000FF"/>
            <w:u w:val="single"/>
          </w:rPr>
          <w:t>Hariliku tuuni püügi dokumenteerimine</w:t>
        </w:r>
      </w:hyperlink>
      <w:r w:rsidR="00180329">
        <w:t>,</w:t>
      </w:r>
      <w:r w:rsidR="00180329" w:rsidRPr="00180329">
        <w:rPr>
          <w:sz w:val="24"/>
          <w:vertAlign w:val="superscript"/>
          <w:lang w:val="en-GB" w:eastAsia="zh-CN"/>
        </w:rPr>
        <w:footnoteReference w:id="6"/>
      </w:r>
      <w:r w:rsidR="00180329">
        <w:t xml:space="preserve"> võeti vastu 27.1.2021;</w:t>
      </w:r>
    </w:p>
    <w:p w14:paraId="345EF5B3"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i/>
            <w:color w:val="0000FF"/>
            <w:u w:val="single"/>
          </w:rPr>
          <w:t>Kalandus – IATTC meetmete ülevõtmine</w:t>
        </w:r>
      </w:hyperlink>
      <w:r w:rsidR="00180329">
        <w:t>,</w:t>
      </w:r>
      <w:r w:rsidR="00180329" w:rsidRPr="00180329">
        <w:rPr>
          <w:sz w:val="24"/>
          <w:vertAlign w:val="superscript"/>
          <w:lang w:val="en-GB" w:eastAsia="zh-CN"/>
        </w:rPr>
        <w:footnoteReference w:id="7"/>
      </w:r>
      <w:r w:rsidR="00180329">
        <w:t xml:space="preserve"> võeti vastu 2.12.2020;</w:t>
      </w:r>
    </w:p>
    <w:p w14:paraId="3A0496F0"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i/>
            <w:color w:val="0000FF"/>
            <w:u w:val="single"/>
          </w:rPr>
          <w:t>Loode-Atlandi Kalandusorganisatsiooni kaitse- ja rakendusmeetmed</w:t>
        </w:r>
      </w:hyperlink>
      <w:r w:rsidR="00180329">
        <w:t>,</w:t>
      </w:r>
      <w:r w:rsidR="00180329" w:rsidRPr="00180329">
        <w:rPr>
          <w:sz w:val="24"/>
          <w:vertAlign w:val="superscript"/>
          <w:lang w:val="en-GB" w:eastAsia="zh-CN"/>
        </w:rPr>
        <w:footnoteReference w:id="8"/>
      </w:r>
      <w:r w:rsidR="00180329">
        <w:t xml:space="preserve"> võeti vastu 18.9.2020;</w:t>
      </w:r>
    </w:p>
    <w:p w14:paraId="5D1F56E4"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sidR="00180329">
          <w:rPr>
            <w:i/>
            <w:color w:val="0000FF"/>
            <w:u w:val="single"/>
          </w:rPr>
          <w:t>Hariliku tuuni varude majandamise mitmeaastane kava</w:t>
        </w:r>
      </w:hyperlink>
      <w:r w:rsidR="00180329">
        <w:t>,</w:t>
      </w:r>
      <w:r w:rsidR="00180329" w:rsidRPr="00180329">
        <w:rPr>
          <w:sz w:val="24"/>
          <w:vertAlign w:val="superscript"/>
          <w:lang w:val="en-GB" w:eastAsia="zh-CN"/>
        </w:rPr>
        <w:footnoteReference w:id="9"/>
      </w:r>
      <w:r w:rsidR="00180329">
        <w:t xml:space="preserve"> võeti vastu 7.5.2020;</w:t>
      </w:r>
    </w:p>
    <w:p w14:paraId="165563A3"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i/>
            <w:color w:val="0000FF"/>
            <w:u w:val="single"/>
          </w:rPr>
          <w:t>Loode-Atlandi Kalandusorganisatsiooni reguleerimispiirkonnas kohaldatavad kaitse- ja kontrollimeetmed</w:t>
        </w:r>
      </w:hyperlink>
      <w:r w:rsidR="00180329">
        <w:t>,</w:t>
      </w:r>
      <w:r w:rsidR="00180329" w:rsidRPr="00180329">
        <w:rPr>
          <w:sz w:val="24"/>
          <w:vertAlign w:val="superscript"/>
          <w:lang w:val="en-GB" w:eastAsia="zh-CN"/>
        </w:rPr>
        <w:footnoteReference w:id="10"/>
      </w:r>
      <w:r w:rsidR="00180329">
        <w:t xml:space="preserve"> võeti vastu 23.1.2019;</w:t>
      </w:r>
    </w:p>
    <w:p w14:paraId="64DC32E3" w14:textId="77777777" w:rsidR="00180329" w:rsidRPr="00180329" w:rsidRDefault="004116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i/>
            <w:color w:val="0000FF"/>
            <w:u w:val="single"/>
          </w:rPr>
          <w:t>Atlandi tuunikala kaitse</w:t>
        </w:r>
      </w:hyperlink>
      <w:r w:rsidR="00180329">
        <w:t>,</w:t>
      </w:r>
      <w:r w:rsidR="00180329" w:rsidRPr="00180329">
        <w:rPr>
          <w:sz w:val="24"/>
          <w:vertAlign w:val="superscript"/>
          <w:lang w:val="en-GB" w:eastAsia="zh-CN"/>
        </w:rPr>
        <w:footnoteReference w:id="11"/>
      </w:r>
      <w:r w:rsidR="00180329">
        <w:t xml:space="preserve"> võeti vastu 19.10.2016;</w:t>
      </w:r>
    </w:p>
    <w:p w14:paraId="6E992406" w14:textId="77777777" w:rsidR="00180329" w:rsidRPr="00180329" w:rsidRDefault="004116B6"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sidR="00180329">
          <w:rPr>
            <w:i/>
            <w:color w:val="0000FF"/>
            <w:u w:val="single"/>
          </w:rPr>
          <w:t>Kalapüügiload</w:t>
        </w:r>
      </w:hyperlink>
      <w:r w:rsidR="00180329">
        <w:t xml:space="preserve">; </w:t>
      </w:r>
      <w:r w:rsidR="00180329" w:rsidRPr="00180329">
        <w:rPr>
          <w:sz w:val="24"/>
          <w:vertAlign w:val="superscript"/>
          <w:lang w:val="en-GB" w:eastAsia="zh-CN"/>
        </w:rPr>
        <w:footnoteReference w:id="12"/>
      </w:r>
      <w:r w:rsidR="00180329">
        <w:t xml:space="preserve"> võeti vastu 25.5.2016.</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Komitee otsustas loobuda sel teemal uue arvamuse koostamisest ja viidata eelnimetatud dokumentides väljendatud seisukohtadele.</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Kontaktisik</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r>
              <w:rPr>
                <w:i/>
              </w:rPr>
              <w:t>Arturo Iniguez Yuste</w:t>
            </w:r>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Tel</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+32 25468768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E-post</w:t>
            </w:r>
          </w:p>
        </w:tc>
        <w:tc>
          <w:tcPr>
            <w:tcW w:w="3922" w:type="pct"/>
          </w:tcPr>
          <w:p w14:paraId="5929F803" w14:textId="77777777" w:rsidR="00180329" w:rsidRPr="00180329" w:rsidRDefault="004116B6" w:rsidP="00180329">
            <w:pPr>
              <w:overflowPunct w:val="0"/>
              <w:autoSpaceDE w:val="0"/>
              <w:autoSpaceDN w:val="0"/>
              <w:adjustRightInd w:val="0"/>
              <w:textAlignment w:val="baseline"/>
              <w:rPr>
                <w:i/>
                <w:iCs/>
              </w:rPr>
            </w:pPr>
            <w:hyperlink r:id="rId51" w:history="1">
              <w:r w:rsidR="00A559CD">
                <w:rPr>
                  <w:i/>
                  <w:color w:val="0000FF"/>
                  <w:u w:val="single"/>
                </w:rPr>
                <w:t>Arturo.Iniguez@eesc.europa.eu</w:t>
              </w:r>
            </w:hyperlink>
          </w:p>
        </w:tc>
      </w:tr>
    </w:tbl>
    <w:p w14:paraId="0A408A29" w14:textId="115A8A90" w:rsidR="00F66035" w:rsidRDefault="00F66035">
      <w:pPr>
        <w:widowControl w:val="0"/>
        <w:overflowPunct w:val="0"/>
        <w:autoSpaceDE w:val="0"/>
        <w:autoSpaceDN w:val="0"/>
        <w:adjustRightInd w:val="0"/>
        <w:ind w:firstLine="284"/>
        <w:textAlignment w:val="baseline"/>
        <w:rPr>
          <w:b/>
          <w:bCs/>
          <w:i/>
          <w:iCs/>
          <w:sz w:val="28"/>
          <w:szCs w:val="28"/>
          <w:lang w:val="en-GB"/>
        </w:rPr>
      </w:pPr>
    </w:p>
    <w:p w14:paraId="59827EFE" w14:textId="77777777" w:rsidR="00F66035" w:rsidRDefault="00F66035">
      <w:pPr>
        <w:spacing w:after="160" w:line="259" w:lineRule="auto"/>
        <w:jc w:val="left"/>
        <w:rPr>
          <w:b/>
          <w:bCs/>
          <w:i/>
          <w:iCs/>
          <w:sz w:val="28"/>
          <w:szCs w:val="28"/>
        </w:rPr>
      </w:pPr>
      <w:r>
        <w:br w:type="page"/>
      </w:r>
    </w:p>
    <w:p w14:paraId="2E27F48E" w14:textId="2BD63052" w:rsidR="00C7486E" w:rsidRPr="00C7486E" w:rsidRDefault="004116B6" w:rsidP="00C7486E">
      <w:pPr>
        <w:widowControl w:val="0"/>
        <w:numPr>
          <w:ilvl w:val="0"/>
          <w:numId w:val="4"/>
        </w:numPr>
        <w:overflowPunct w:val="0"/>
        <w:autoSpaceDE w:val="0"/>
        <w:autoSpaceDN w:val="0"/>
        <w:adjustRightInd w:val="0"/>
        <w:ind w:hanging="567"/>
        <w:textAlignment w:val="baseline"/>
        <w:rPr>
          <w:b/>
          <w:bCs/>
          <w:szCs w:val="20"/>
        </w:rPr>
      </w:pPr>
      <w:hyperlink r:id="rId52" w:history="1">
        <w:r w:rsidR="00A559CD">
          <w:rPr>
            <w:b/>
            <w:i/>
            <w:color w:val="0000FF"/>
            <w:sz w:val="28"/>
            <w:u w:val="single"/>
          </w:rPr>
          <w:t>Taaskasutamiseks ettenähtud segaolmejäätmete ekspordi keeld</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p w14:paraId="6004F686" w14:textId="77777777" w:rsidR="001F20AE" w:rsidRPr="00C7486E" w:rsidRDefault="001F20A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Viitedokumendid</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C-kategooria arvamus</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Põhipunktid</w:t>
      </w:r>
    </w:p>
    <w:p w14:paraId="7464BB98"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728E793D" w14:textId="408AA81B" w:rsidR="00C7486E" w:rsidRPr="00C7486E" w:rsidRDefault="00C7486E" w:rsidP="00AD2F07">
      <w:pPr>
        <w:pStyle w:val="ListParagraph"/>
        <w:ind w:left="0"/>
        <w:rPr>
          <w:szCs w:val="20"/>
        </w:rPr>
      </w:pPr>
      <w:r>
        <w:t xml:space="preserve">Euroopa Majandus- ja Sotsiaalkomitee nõustub ettepaneku sisuga ning on oma seisukohta kõnealusel teemal juba väljendanud varasemas arvamuses </w:t>
      </w:r>
      <w:hyperlink r:id="rId53" w:history="1">
        <w:r>
          <w:rPr>
            <w:i/>
            <w:color w:val="0000FF"/>
            <w:u w:val="single"/>
          </w:rPr>
          <w:t>„Jäätmesaadetised – ELi eeskirjade läbivaatamine“</w:t>
        </w:r>
      </w:hyperlink>
      <w:r>
        <w:t>, mis võeti vastu 23. veebruaril 2022</w:t>
      </w:r>
      <w:r w:rsidRPr="00C7486E">
        <w:rPr>
          <w:i/>
          <w:sz w:val="24"/>
          <w:vertAlign w:val="superscript"/>
          <w:lang w:val="en-GB"/>
        </w:rPr>
        <w:footnoteReference w:id="13"/>
      </w:r>
      <w:r>
        <w:t>. Ta otsustas esitada kõnealust ettepanekut pooldava arvamuse ning viidata eelnimetatud dokumendis väljendatud seisukohale.</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Kontaktisik</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r>
              <w:rPr>
                <w:i/>
              </w:rPr>
              <w:t>Arturo Iniguez Yuste</w:t>
            </w:r>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E-post</w:t>
            </w:r>
          </w:p>
        </w:tc>
        <w:tc>
          <w:tcPr>
            <w:tcW w:w="3922" w:type="pct"/>
          </w:tcPr>
          <w:p w14:paraId="5FA57476" w14:textId="77777777" w:rsidR="00C7486E" w:rsidRPr="00C7486E" w:rsidRDefault="004116B6" w:rsidP="00AD2F07">
            <w:pPr>
              <w:overflowPunct w:val="0"/>
              <w:autoSpaceDE w:val="0"/>
              <w:autoSpaceDN w:val="0"/>
              <w:adjustRightInd w:val="0"/>
              <w:ind w:hanging="110"/>
              <w:textAlignment w:val="baseline"/>
              <w:rPr>
                <w:i/>
                <w:iCs/>
              </w:rPr>
            </w:pPr>
            <w:hyperlink r:id="rId54"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2BEE9F85" w:rsidR="00CE6367" w:rsidRPr="00CE6367" w:rsidRDefault="004116B6"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sidR="00A559CD">
          <w:rPr>
            <w:b/>
            <w:i/>
            <w:color w:val="0000FF"/>
            <w:sz w:val="28"/>
            <w:u w:val="single"/>
          </w:rPr>
          <w:t>Ringmajanduse õigusakt. Ringmajandus ja ressursside vastutustundlik tarbimine planeedi taluvuspiirides</w:t>
        </w:r>
      </w:hyperlink>
    </w:p>
    <w:p w14:paraId="7F7223B4" w14:textId="77777777" w:rsidR="00CE6367" w:rsidRDefault="00CE6367" w:rsidP="00CE6367">
      <w:pPr>
        <w:widowControl w:val="0"/>
        <w:overflowPunct w:val="0"/>
        <w:autoSpaceDE w:val="0"/>
        <w:autoSpaceDN w:val="0"/>
        <w:adjustRightInd w:val="0"/>
        <w:ind w:left="567"/>
        <w:textAlignment w:val="baseline"/>
        <w:rPr>
          <w:bCs/>
          <w:sz w:val="16"/>
          <w:szCs w:val="16"/>
          <w:lang w:val="en-GB"/>
        </w:rPr>
      </w:pPr>
    </w:p>
    <w:p w14:paraId="7CCA1AAF"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p w14:paraId="41E127E1"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p w14:paraId="388481B9" w14:textId="77777777" w:rsidR="00803A79" w:rsidRPr="00CE6367" w:rsidRDefault="00803A79" w:rsidP="00CE6367">
      <w:pPr>
        <w:widowControl w:val="0"/>
        <w:overflowPunct w:val="0"/>
        <w:autoSpaceDE w:val="0"/>
        <w:autoSpaceDN w:val="0"/>
        <w:adjustRightInd w:val="0"/>
        <w:ind w:left="567"/>
        <w:textAlignment w:val="baseline"/>
        <w:rPr>
          <w:bCs/>
          <w:sz w:val="16"/>
          <w:szCs w:val="16"/>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Raportöör</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r>
              <w:t>Cillian LOHAN (kodanikuühiskonna organisatsioonide rühm – IE)</w:t>
            </w:r>
          </w:p>
          <w:p w14:paraId="618CDDA1" w14:textId="77777777" w:rsidR="0012433C" w:rsidRDefault="0012433C" w:rsidP="00CE6367">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Viitedokument</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ettevalmistav arvamus Euroopa Komisjoni taotlusel</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Põhipunktid</w:t>
      </w:r>
    </w:p>
    <w:p w14:paraId="24A08407"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Default="00CE6367" w:rsidP="00CE6367">
      <w:pPr>
        <w:overflowPunct w:val="0"/>
        <w:autoSpaceDE w:val="0"/>
        <w:autoSpaceDN w:val="0"/>
        <w:adjustRightInd w:val="0"/>
        <w:spacing w:line="240" w:lineRule="auto"/>
        <w:textAlignment w:val="baseline"/>
        <w:rPr>
          <w:bCs/>
          <w:iCs/>
        </w:rPr>
      </w:pPr>
      <w:r>
        <w:t>Euroopa Majandus- ja Sotsiaalkomitee</w:t>
      </w:r>
    </w:p>
    <w:p w14:paraId="688A1317" w14:textId="77777777" w:rsidR="00B854D5" w:rsidRPr="00CE6367" w:rsidRDefault="00B854D5" w:rsidP="00CE6367">
      <w:pPr>
        <w:overflowPunct w:val="0"/>
        <w:autoSpaceDE w:val="0"/>
        <w:autoSpaceDN w:val="0"/>
        <w:adjustRightInd w:val="0"/>
        <w:spacing w:line="240" w:lineRule="auto"/>
        <w:textAlignment w:val="baseline"/>
        <w:rPr>
          <w:bCs/>
          <w:iCs/>
          <w:lang w:val="en-GB"/>
        </w:rPr>
      </w:pPr>
    </w:p>
    <w:p w14:paraId="3B2A1CEB"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7" w:name="_Toc232773781"/>
      <w:bookmarkStart w:id="68" w:name="_Toc232774261"/>
      <w:bookmarkStart w:id="69" w:name="_Toc233990043"/>
      <w:r>
        <w:rPr>
          <w:sz w:val="21"/>
        </w:rPr>
        <w:t xml:space="preserve">soovitab, et </w:t>
      </w:r>
      <w:r>
        <w:rPr>
          <w:b/>
          <w:sz w:val="21"/>
        </w:rPr>
        <w:t>ringmajanduse õigusakt oleks õigusakt</w:t>
      </w:r>
      <w:r>
        <w:rPr>
          <w:sz w:val="21"/>
        </w:rPr>
        <w:t>, mitte ainult ettepanek, et saata tugev signaal ELi juhtpositsiooni kohta ringmajanduse kiirete ja süsteemsete muutuste edendamisel;</w:t>
      </w:r>
      <w:bookmarkEnd w:id="67"/>
      <w:bookmarkEnd w:id="68"/>
      <w:bookmarkEnd w:id="69"/>
    </w:p>
    <w:p w14:paraId="59A42D06"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0" w:name="_Toc232773782"/>
      <w:bookmarkStart w:id="71" w:name="_Toc232774262"/>
      <w:bookmarkStart w:id="72" w:name="_Toc233990044"/>
      <w:r>
        <w:rPr>
          <w:sz w:val="21"/>
        </w:rPr>
        <w:t xml:space="preserve">rõhutab, et õigusaktiga peab kaasas käima kõigi omavahel seotud normide, eeskirjade, tegevuskavade ja strateegiate selge </w:t>
      </w:r>
      <w:r>
        <w:rPr>
          <w:b/>
          <w:sz w:val="21"/>
        </w:rPr>
        <w:t>kaardistamine</w:t>
      </w:r>
      <w:r>
        <w:rPr>
          <w:sz w:val="21"/>
        </w:rPr>
        <w:t>, mille abil sõnastatakse ringmajandusele ülemineku õigusraamistik;</w:t>
      </w:r>
      <w:bookmarkEnd w:id="70"/>
      <w:bookmarkEnd w:id="71"/>
      <w:bookmarkEnd w:id="72"/>
    </w:p>
    <w:p w14:paraId="0A602E3A"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3" w:name="_Toc232773783"/>
      <w:bookmarkStart w:id="74" w:name="_Toc232774263"/>
      <w:bookmarkStart w:id="75" w:name="_Toc233990045"/>
      <w:r>
        <w:rPr>
          <w:sz w:val="21"/>
        </w:rPr>
        <w:t xml:space="preserve">soovitab, et õigusakti nurgakivi oleks </w:t>
      </w:r>
      <w:r>
        <w:rPr>
          <w:b/>
          <w:sz w:val="21"/>
        </w:rPr>
        <w:t>keskendumine</w:t>
      </w:r>
      <w:r>
        <w:rPr>
          <w:sz w:val="21"/>
        </w:rPr>
        <w:t xml:space="preserve"> tugeva ja hästi toimiva teisese toorme turu </w:t>
      </w:r>
      <w:r>
        <w:rPr>
          <w:b/>
          <w:sz w:val="21"/>
        </w:rPr>
        <w:t>stimuleerimisele</w:t>
      </w:r>
      <w:r>
        <w:rPr>
          <w:sz w:val="21"/>
        </w:rPr>
        <w:t>;</w:t>
      </w:r>
      <w:bookmarkEnd w:id="73"/>
      <w:bookmarkEnd w:id="74"/>
      <w:bookmarkEnd w:id="75"/>
    </w:p>
    <w:p w14:paraId="26DA21E4"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6" w:name="_Toc232773784"/>
      <w:bookmarkStart w:id="77" w:name="_Toc232774264"/>
      <w:bookmarkStart w:id="78" w:name="_Toc233990046"/>
      <w:r>
        <w:rPr>
          <w:sz w:val="21"/>
        </w:rPr>
        <w:t xml:space="preserve">teeb ettepaneku tugevdada </w:t>
      </w:r>
      <w:r>
        <w:rPr>
          <w:b/>
          <w:sz w:val="21"/>
        </w:rPr>
        <w:t>teisese toorme turge</w:t>
      </w:r>
      <w:r>
        <w:rPr>
          <w:sz w:val="21"/>
        </w:rPr>
        <w:t xml:space="preserve"> ja ringmajanduse ärimudeleid (korduskasutamine, parandamine, taastootmine);</w:t>
      </w:r>
      <w:bookmarkEnd w:id="76"/>
      <w:bookmarkEnd w:id="77"/>
      <w:bookmarkEnd w:id="78"/>
    </w:p>
    <w:p w14:paraId="1952F1DC"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9" w:name="_Toc232773785"/>
      <w:bookmarkStart w:id="80" w:name="_Toc232774265"/>
      <w:bookmarkStart w:id="81" w:name="_Toc233990047"/>
      <w:r>
        <w:rPr>
          <w:sz w:val="21"/>
        </w:rPr>
        <w:t xml:space="preserve">soovitab edendada </w:t>
      </w:r>
      <w:r>
        <w:rPr>
          <w:b/>
          <w:sz w:val="21"/>
        </w:rPr>
        <w:t>avalikke hankeid</w:t>
      </w:r>
      <w:r>
        <w:rPr>
          <w:sz w:val="21"/>
        </w:rPr>
        <w:t xml:space="preserve">, reformida </w:t>
      </w:r>
      <w:r>
        <w:rPr>
          <w:b/>
          <w:sz w:val="21"/>
        </w:rPr>
        <w:t>laiendatud tootjavastutust</w:t>
      </w:r>
      <w:r>
        <w:rPr>
          <w:sz w:val="21"/>
        </w:rPr>
        <w:t xml:space="preserve"> (minnes ringlussevõtust kaugemale, nt keskkonnahoidlikkust arvestavate tasude kaudu), tagada </w:t>
      </w:r>
      <w:r>
        <w:rPr>
          <w:b/>
          <w:sz w:val="21"/>
        </w:rPr>
        <w:t>materjalide jälgitavus</w:t>
      </w:r>
      <w:r>
        <w:rPr>
          <w:sz w:val="21"/>
        </w:rPr>
        <w:t xml:space="preserve">, võtta ulatuslikumalt kasutusele ökodisain, parandada </w:t>
      </w:r>
      <w:r>
        <w:rPr>
          <w:b/>
          <w:sz w:val="21"/>
        </w:rPr>
        <w:t>töötingimusi</w:t>
      </w:r>
      <w:r>
        <w:rPr>
          <w:sz w:val="21"/>
        </w:rPr>
        <w:t xml:space="preserve"> ja edendada </w:t>
      </w:r>
      <w:r>
        <w:rPr>
          <w:b/>
          <w:sz w:val="21"/>
        </w:rPr>
        <w:t>taastootmist</w:t>
      </w:r>
      <w:r>
        <w:rPr>
          <w:sz w:val="21"/>
        </w:rPr>
        <w:t>;</w:t>
      </w:r>
      <w:bookmarkEnd w:id="79"/>
      <w:bookmarkEnd w:id="80"/>
      <w:bookmarkEnd w:id="81"/>
    </w:p>
    <w:p w14:paraId="1E154A1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2" w:name="_Toc232773786"/>
      <w:bookmarkStart w:id="83" w:name="_Toc232774266"/>
      <w:bookmarkStart w:id="84" w:name="_Toc233990048"/>
      <w:r>
        <w:rPr>
          <w:sz w:val="21"/>
        </w:rPr>
        <w:t xml:space="preserve">soovitab lisada õigusaktile korrapäraselt ajakohastatava </w:t>
      </w:r>
      <w:r>
        <w:rPr>
          <w:b/>
          <w:sz w:val="21"/>
        </w:rPr>
        <w:t>ringmajanduse heade tavade hoidla</w:t>
      </w:r>
      <w:r>
        <w:rPr>
          <w:sz w:val="21"/>
        </w:rPr>
        <w:t xml:space="preserve">, mis põhineb </w:t>
      </w:r>
      <w:r>
        <w:rPr>
          <w:b/>
          <w:sz w:val="21"/>
        </w:rPr>
        <w:t>Euroopa ringmajanduse sidusrühmade platvormil</w:t>
      </w:r>
      <w:r>
        <w:rPr>
          <w:sz w:val="21"/>
        </w:rPr>
        <w:t>. Hoidla peaks olema seotud näitajate ja seireraamistikega, et aidata jälgida edusamme ja tagada tõenduspõhine poliitikakujundamine;</w:t>
      </w:r>
      <w:bookmarkEnd w:id="82"/>
      <w:bookmarkEnd w:id="83"/>
      <w:bookmarkEnd w:id="84"/>
    </w:p>
    <w:p w14:paraId="31C7D43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5" w:name="_Toc232773787"/>
      <w:bookmarkStart w:id="86" w:name="_Toc232774267"/>
      <w:bookmarkStart w:id="87" w:name="_Toc233990049"/>
      <w:r>
        <w:rPr>
          <w:sz w:val="21"/>
        </w:rPr>
        <w:t xml:space="preserve">on seisukohal, et </w:t>
      </w:r>
      <w:r>
        <w:rPr>
          <w:b/>
          <w:sz w:val="21"/>
        </w:rPr>
        <w:t>jälgitavust, sertifitseerimist, ühtlustatud märgistamist ja tehnilisi standardeid</w:t>
      </w:r>
      <w:r>
        <w:rPr>
          <w:sz w:val="21"/>
        </w:rPr>
        <w:t xml:space="preserve"> tuleks pidada peamisteks vahenditeks, mis aitavad suurendada turu usaldust teisese toorme vastu ning toetada rakendamist ja laiendamist ELis;</w:t>
      </w:r>
      <w:bookmarkEnd w:id="85"/>
      <w:bookmarkEnd w:id="86"/>
      <w:bookmarkEnd w:id="87"/>
    </w:p>
    <w:p w14:paraId="5A24C128"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88" w:name="_Toc232773788"/>
      <w:bookmarkStart w:id="89" w:name="_Toc232774268"/>
      <w:bookmarkStart w:id="90" w:name="_Toc233990050"/>
      <w:r>
        <w:rPr>
          <w:sz w:val="21"/>
        </w:rPr>
        <w:t xml:space="preserve">rõhutab, et </w:t>
      </w:r>
      <w:r>
        <w:rPr>
          <w:b/>
          <w:sz w:val="21"/>
        </w:rPr>
        <w:t>ülemineku vahendajaid</w:t>
      </w:r>
      <w:r>
        <w:rPr>
          <w:sz w:val="21"/>
        </w:rPr>
        <w:t xml:space="preserve"> tuleb ametlikult tunnustada ja neile tuleb eraldada vahendeid, et edendada väärtusahelates ringlust;</w:t>
      </w:r>
      <w:bookmarkEnd w:id="88"/>
      <w:bookmarkEnd w:id="89"/>
      <w:bookmarkEnd w:id="90"/>
    </w:p>
    <w:p w14:paraId="4F12F572"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1" w:name="_Toc232773789"/>
      <w:bookmarkStart w:id="92" w:name="_Toc232774269"/>
      <w:bookmarkStart w:id="93" w:name="_Toc233990051"/>
      <w:r>
        <w:rPr>
          <w:sz w:val="21"/>
        </w:rPr>
        <w:t xml:space="preserve">tunnistab, et </w:t>
      </w:r>
      <w:r>
        <w:rPr>
          <w:b/>
          <w:sz w:val="21"/>
        </w:rPr>
        <w:t>õiglane üleminek</w:t>
      </w:r>
      <w:r>
        <w:rPr>
          <w:sz w:val="21"/>
        </w:rPr>
        <w:t xml:space="preserve"> on hädavajalik: kodanikuühiskond, ühistud ja sotsiaalsed ettevõtted peaksid olema </w:t>
      </w:r>
      <w:r>
        <w:rPr>
          <w:b/>
          <w:sz w:val="21"/>
        </w:rPr>
        <w:t>kaasarhitektid</w:t>
      </w:r>
      <w:r>
        <w:rPr>
          <w:sz w:val="21"/>
        </w:rPr>
        <w:t xml:space="preserve">, mitte pelgalt kasusaajad. Selleks on vaja </w:t>
      </w:r>
      <w:r>
        <w:rPr>
          <w:b/>
          <w:sz w:val="21"/>
        </w:rPr>
        <w:t>taskukohaseid ringmajanduse lahendusi</w:t>
      </w:r>
      <w:r>
        <w:rPr>
          <w:sz w:val="21"/>
        </w:rPr>
        <w:t xml:space="preserve"> ja kergesti kättesaadavaid stiimuleid;</w:t>
      </w:r>
      <w:bookmarkEnd w:id="91"/>
      <w:bookmarkEnd w:id="92"/>
      <w:bookmarkEnd w:id="93"/>
    </w:p>
    <w:p w14:paraId="255EEF0E"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4" w:name="_Toc232773790"/>
      <w:bookmarkStart w:id="95" w:name="_Toc232774270"/>
      <w:bookmarkStart w:id="96" w:name="_Toc233990052"/>
      <w:r>
        <w:rPr>
          <w:sz w:val="21"/>
        </w:rPr>
        <w:t>rõhutab, et Euroopa ringmajanduse sidusrühmade platvormi tuleks kasutada strateegilise partnerina, et kooskõlastada prioriteete, katsetada uusi näitajaid, teha kindlaks rakendamise takistused ja kiirendada üleminekut.</w:t>
      </w:r>
      <w:bookmarkEnd w:id="94"/>
      <w:bookmarkEnd w:id="95"/>
      <w:bookmarkEnd w:id="96"/>
    </w:p>
    <w:p w14:paraId="4605C15B" w14:textId="77777777" w:rsidR="00CE6367" w:rsidRPr="00CE6367" w:rsidRDefault="00CE6367" w:rsidP="00CE6367">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33503A">
        <w:trPr>
          <w:trHeight w:val="300"/>
        </w:trPr>
        <w:tc>
          <w:tcPr>
            <w:tcW w:w="1755" w:type="dxa"/>
          </w:tcPr>
          <w:p w14:paraId="65D78EA8" w14:textId="77777777" w:rsidR="00CE6367" w:rsidRPr="00CE6367" w:rsidRDefault="00CE6367" w:rsidP="00CE6367">
            <w:pPr>
              <w:overflowPunct w:val="0"/>
              <w:autoSpaceDE w:val="0"/>
              <w:autoSpaceDN w:val="0"/>
              <w:adjustRightInd w:val="0"/>
              <w:spacing w:line="240" w:lineRule="auto"/>
              <w:textAlignment w:val="baseline"/>
              <w:rPr>
                <w:i/>
                <w:iCs/>
              </w:rPr>
            </w:pPr>
            <w:r>
              <w:rPr>
                <w:b/>
                <w:i/>
              </w:rPr>
              <w:t>Kontaktisikud</w:t>
            </w:r>
          </w:p>
        </w:tc>
        <w:tc>
          <w:tcPr>
            <w:tcW w:w="7567" w:type="dxa"/>
          </w:tcPr>
          <w:p w14:paraId="1988B1A1" w14:textId="4C6FD349" w:rsidR="00CE6367" w:rsidRPr="00AD2F07" w:rsidRDefault="00CE6367" w:rsidP="00AD2F07">
            <w:pPr>
              <w:rPr>
                <w:i/>
                <w:iCs/>
              </w:rPr>
            </w:pPr>
            <w:r>
              <w:rPr>
                <w:i/>
              </w:rPr>
              <w:t>Anna Cameron, Alice Senga</w:t>
            </w:r>
          </w:p>
        </w:tc>
      </w:tr>
      <w:tr w:rsidR="00CE6367" w:rsidRPr="00CE6367" w14:paraId="0F63230C" w14:textId="77777777" w:rsidTr="0033503A">
        <w:trPr>
          <w:trHeight w:val="300"/>
        </w:trPr>
        <w:tc>
          <w:tcPr>
            <w:tcW w:w="1755"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Tel</w:t>
            </w:r>
          </w:p>
        </w:tc>
        <w:tc>
          <w:tcPr>
            <w:tcW w:w="7567"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+32 25468228, +32 25468368</w:t>
            </w:r>
          </w:p>
        </w:tc>
      </w:tr>
      <w:tr w:rsidR="00CE6367" w:rsidRPr="00CE6367" w14:paraId="7C504899" w14:textId="77777777" w:rsidTr="0033503A">
        <w:trPr>
          <w:trHeight w:val="300"/>
        </w:trPr>
        <w:tc>
          <w:tcPr>
            <w:tcW w:w="1755"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E-post</w:t>
            </w:r>
          </w:p>
        </w:tc>
        <w:tc>
          <w:tcPr>
            <w:tcW w:w="7567" w:type="dxa"/>
          </w:tcPr>
          <w:p w14:paraId="7934DEB2" w14:textId="77777777" w:rsidR="00CE6367" w:rsidRPr="00047BEB" w:rsidRDefault="004116B6" w:rsidP="00CE6367">
            <w:pPr>
              <w:overflowPunct w:val="0"/>
              <w:autoSpaceDE w:val="0"/>
              <w:autoSpaceDN w:val="0"/>
              <w:adjustRightInd w:val="0"/>
              <w:spacing w:line="240" w:lineRule="auto"/>
              <w:ind w:left="-55"/>
              <w:textAlignment w:val="baseline"/>
              <w:rPr>
                <w:i/>
                <w:iCs/>
                <w:color w:val="0000FF"/>
                <w:u w:val="single"/>
              </w:rPr>
            </w:pPr>
            <w:hyperlink r:id="rId56" w:history="1">
              <w:r w:rsidR="00CE6367">
                <w:rPr>
                  <w:i/>
                  <w:color w:val="0000FF"/>
                  <w:u w:val="single"/>
                </w:rPr>
                <w:t>Anna.Cameron@eesc.europa.eu</w:t>
              </w:r>
            </w:hyperlink>
            <w:r w:rsidR="00CE6367">
              <w:rPr>
                <w:i/>
              </w:rPr>
              <w:t xml:space="preserve">, </w:t>
            </w:r>
            <w:hyperlink r:id="rId57" w:history="1">
              <w:r w:rsidR="00CE6367">
                <w:rPr>
                  <w:i/>
                  <w:color w:val="0000FF"/>
                  <w:u w:val="single"/>
                </w:rPr>
                <w:t>Alice.Senga@eesc.europa.eu</w:t>
              </w:r>
            </w:hyperlink>
          </w:p>
        </w:tc>
      </w:tr>
    </w:tbl>
    <w:p w14:paraId="0E0ACB7E" w14:textId="0BBC94D1" w:rsidR="00CE6367" w:rsidRDefault="00CE6367" w:rsidP="001766B2">
      <w:pPr>
        <w:jc w:val="left"/>
      </w:pPr>
    </w:p>
    <w:p w14:paraId="5CA5D6AA" w14:textId="77777777" w:rsidR="00CE6367" w:rsidRDefault="00CE6367">
      <w:pPr>
        <w:spacing w:after="160" w:line="259" w:lineRule="auto"/>
        <w:jc w:val="left"/>
      </w:pPr>
      <w:r>
        <w:br w:type="page"/>
      </w:r>
    </w:p>
    <w:p w14:paraId="33B043FA" w14:textId="6458A539" w:rsidR="009B3A75" w:rsidRPr="009B3A75" w:rsidRDefault="004116B6" w:rsidP="009B3A75">
      <w:pPr>
        <w:widowControl w:val="0"/>
        <w:numPr>
          <w:ilvl w:val="0"/>
          <w:numId w:val="4"/>
        </w:numPr>
        <w:overflowPunct w:val="0"/>
        <w:autoSpaceDE w:val="0"/>
        <w:autoSpaceDN w:val="0"/>
        <w:adjustRightInd w:val="0"/>
        <w:ind w:hanging="567"/>
        <w:textAlignment w:val="baseline"/>
        <w:rPr>
          <w:sz w:val="20"/>
          <w:szCs w:val="20"/>
        </w:rPr>
      </w:pPr>
      <w:hyperlink r:id="rId58" w:history="1">
        <w:r w:rsidR="009B3A75">
          <w:rPr>
            <w:b/>
            <w:i/>
            <w:color w:val="0000FF"/>
            <w:sz w:val="28"/>
            <w:u w:val="single"/>
          </w:rPr>
          <w:t>Ühise põllumajanduspoliitika eesmärkide saavutamise hindamine</w:t>
        </w:r>
      </w:hyperlink>
    </w:p>
    <w:p w14:paraId="4DE602F8" w14:textId="77777777" w:rsidR="002C32C2"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Raportöör</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r>
              <w:t>Joe HEALY (kodanikuühiskonna organisatsioonide rühm – IE)</w:t>
            </w:r>
          </w:p>
        </w:tc>
      </w:tr>
      <w:tr w:rsidR="009B3A75" w:rsidRPr="009B3A75" w14:paraId="60BA1FF6" w14:textId="77777777" w:rsidTr="0033503A">
        <w:tc>
          <w:tcPr>
            <w:tcW w:w="107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Kaasraportöör</w:t>
            </w:r>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r>
              <w:t>Josep PUXEU ROCAMORA (tööandjate rühm – 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Viitedokument</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teabearuanne</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9B3A75">
            <w:pPr>
              <w:tabs>
                <w:tab w:val="center" w:pos="284"/>
              </w:tabs>
              <w:overflowPunct w:val="0"/>
              <w:autoSpaceDE w:val="0"/>
              <w:autoSpaceDN w:val="0"/>
              <w:adjustRightInd w:val="0"/>
              <w:ind w:left="266" w:hanging="266"/>
              <w:textAlignment w:val="baseline"/>
              <w:rPr>
                <w:b/>
              </w:rPr>
            </w:pPr>
          </w:p>
        </w:tc>
        <w:tc>
          <w:tcPr>
            <w:tcW w:w="3923" w:type="pct"/>
          </w:tcPr>
          <w:p w14:paraId="7A4860E1" w14:textId="77777777" w:rsidR="00114635" w:rsidRDefault="00114635" w:rsidP="009B3A75">
            <w:pPr>
              <w:tabs>
                <w:tab w:val="center" w:pos="284"/>
              </w:tabs>
              <w:overflowPunct w:val="0"/>
              <w:autoSpaceDE w:val="0"/>
              <w:autoSpaceDN w:val="0"/>
              <w:adjustRightInd w:val="0"/>
              <w:ind w:left="266" w:right="-3091" w:hanging="266"/>
              <w:textAlignment w:val="baseline"/>
            </w:pPr>
          </w:p>
        </w:tc>
      </w:tr>
    </w:tbl>
    <w:p w14:paraId="44421EDD" w14:textId="77777777" w:rsidR="00114635" w:rsidRPr="009B3A75" w:rsidRDefault="00114635" w:rsidP="009B3A75">
      <w:pPr>
        <w:tabs>
          <w:tab w:val="center" w:pos="284"/>
        </w:tabs>
        <w:overflowPunct w:val="0"/>
        <w:autoSpaceDE w:val="0"/>
        <w:autoSpaceDN w:val="0"/>
        <w:adjustRightInd w:val="0"/>
        <w:ind w:left="266" w:hanging="266"/>
        <w:textAlignment w:val="baseline"/>
        <w:rPr>
          <w:b/>
          <w:sz w:val="16"/>
          <w:szCs w:val="16"/>
          <w:lang w:val="en-GB"/>
        </w:rPr>
      </w:pPr>
    </w:p>
    <w:p w14:paraId="541E9EEB" w14:textId="77777777" w:rsidR="009B3A75" w:rsidRDefault="009B3A75" w:rsidP="009B3A75">
      <w:pPr>
        <w:keepNext/>
        <w:keepLines/>
        <w:tabs>
          <w:tab w:val="center" w:pos="284"/>
        </w:tabs>
        <w:overflowPunct w:val="0"/>
        <w:autoSpaceDE w:val="0"/>
        <w:autoSpaceDN w:val="0"/>
        <w:adjustRightInd w:val="0"/>
        <w:ind w:left="266" w:hanging="266"/>
        <w:textAlignment w:val="baseline"/>
        <w:rPr>
          <w:b/>
        </w:rPr>
      </w:pPr>
      <w:r>
        <w:rPr>
          <w:b/>
        </w:rPr>
        <w:t>Põhipunktid</w:t>
      </w:r>
    </w:p>
    <w:p w14:paraId="3FDE696D" w14:textId="77777777" w:rsidR="00D92322" w:rsidRDefault="00D92322" w:rsidP="009B3A75">
      <w:pPr>
        <w:keepNext/>
        <w:keepLines/>
        <w:tabs>
          <w:tab w:val="center" w:pos="284"/>
        </w:tabs>
        <w:overflowPunct w:val="0"/>
        <w:autoSpaceDE w:val="0"/>
        <w:autoSpaceDN w:val="0"/>
        <w:adjustRightInd w:val="0"/>
        <w:ind w:left="266" w:hanging="266"/>
        <w:textAlignment w:val="baseline"/>
        <w:rPr>
          <w:b/>
          <w:lang w:val="en-GB"/>
        </w:rPr>
      </w:pPr>
    </w:p>
    <w:p w14:paraId="35C36EF8" w14:textId="77777777" w:rsidR="009B3A75" w:rsidRPr="00AD2F07" w:rsidRDefault="009B3A75" w:rsidP="00AD2F07">
      <w:pPr>
        <w:pStyle w:val="ListParagraph"/>
        <w:numPr>
          <w:ilvl w:val="0"/>
          <w:numId w:val="36"/>
        </w:numPr>
        <w:overflowPunct w:val="0"/>
        <w:autoSpaceDE w:val="0"/>
        <w:autoSpaceDN w:val="0"/>
        <w:adjustRightInd w:val="0"/>
        <w:ind w:left="284" w:hanging="284"/>
        <w:textAlignment w:val="baseline"/>
        <w:rPr>
          <w:bCs/>
          <w:iCs/>
          <w:sz w:val="21"/>
          <w:szCs w:val="21"/>
        </w:rPr>
      </w:pPr>
      <w:r>
        <w:rPr>
          <w:sz w:val="21"/>
        </w:rPr>
        <w:t>Tuginedes hindamisprotsessi käigus nii riiklike sidusrühmadega kohtumistel kui ka veebipõhise sihtküsitluse kaudu kogutud andmetele, soovitab Euroopa Majandus- ja Sotsiaalkomitee järgmist:</w:t>
      </w:r>
    </w:p>
    <w:p w14:paraId="2584F284"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 xml:space="preserve">otsetoetusi ja ÜPP üldist rahastamist tuleb suurendada ja indekseerida, et võidelda inflatsiooni, kasvavate kulude ja turu volatiilsuse vastu; </w:t>
      </w:r>
    </w:p>
    <w:p w14:paraId="7858844C"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säilitada kahesambaline ÜPP, mille esimene sammas hõlmab põllumajandustootjate sissetuleku toetamist otsetoetuste ja turutoetuste kaudu ning teine sammas maaelu arengut ja maapiirkondade toetamist;</w:t>
      </w:r>
    </w:p>
    <w:p w14:paraId="76D84959"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tugevdada põllumajandustootjate positsiooni toiduainete tarneahelas ja suurendada hindade läbipaistvust;</w:t>
      </w:r>
    </w:p>
    <w:p w14:paraId="6282D15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tugevdada tootjaorganisatsioone, tõhustada ebaausaid kaubandustavasid käsitlevate õigusaktide jõustamist ja tagada kaubanduspoliitika standardite suur samaväärsus;</w:t>
      </w:r>
    </w:p>
    <w:p w14:paraId="4FA5FA1B"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parandada ja suurendada põlvkondade vahetust, toetada naisi ja osalise tööajaga põllumajandustootjad ning tagada poliitika pikaajaline stabiilsus;</w:t>
      </w:r>
    </w:p>
    <w:p w14:paraId="2D78AF2F"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juurutada või laiendada sihipäraseid rahalisi ja struktuurseid stiimuleid, eelkõige naispõllumajandustootjate ja naiste juhitud projektide puhul, sarnaselt Iirimaa ja Hispaania soopõhistele meetmetele;</w:t>
      </w:r>
    </w:p>
    <w:p w14:paraId="09E55B9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seada kõrgemad keskkonnaeesmärgid koos proportsionaalsete stiimulitega ning võtta kasutusele ökokavad, mis on paindlikumad ja kohandatud igale piirkonnale ning millega kaasnevad asjakohane hüvitis ja sihipärased nõustamisteenused;</w:t>
      </w:r>
    </w:p>
    <w:p w14:paraId="3EF78E91"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laiendada sotsiaalset tingimuslikkust suure riskiga sektoritele, nagu aiandus, ning võõrtöötajatele/hooajatöötajatele. Samal ajal tuleb hoolikalt hinnata ja käsitleda põllumajandustootjate, tööandjate rühmade ja riiklike ametiasutuste muret mehhanismi tõhususe ja selle halduskoormust suurendava potentsiaali pärast, pakkumata sektorile selget sotsiaalset kasu;</w:t>
      </w:r>
    </w:p>
    <w:p w14:paraId="3A251AEE"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leevendada halduskoormust, eelkõige põllumajandusettevõtte tasandil, säilitades samal ajal vastutuse, ja vähendada bürokraatlikku koormust, järgides ühekordsuse põhimõtet;</w:t>
      </w:r>
    </w:p>
    <w:p w14:paraId="3C86F686"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suurendada toetust LEADERi ja kohaliku arengu meetmetele. Tuleb tagada rahastamine, vähendada halduskeerukust ning integreerida põllumajandusettevõttekesksemad ja põllumajandusliku toidutööstuse projektid, et edendada kaasavat maapiirkondade majandust;</w:t>
      </w:r>
    </w:p>
    <w:p w14:paraId="20AC594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parandada kodanikuühiskonna osalemist ja luua alalised ühise vastutuse raamistikud, tõhusamad konsultatsiooniperioodid ja läbipaistvad tagasisidemehhanismid;</w:t>
      </w:r>
    </w:p>
    <w:p w14:paraId="0EE9060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tagada see, et ÜPP toetus ei läheks ettevõtete peakorteritele väljaspool;</w:t>
      </w:r>
    </w:p>
    <w:p w14:paraId="1C9823B7"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soovitada erimeetmeid põllumajandustootjatele, et tagada hooajatöötajatele head elutingimused.</w:t>
      </w:r>
    </w:p>
    <w:p w14:paraId="139EE4AC" w14:textId="77777777" w:rsidR="009B3A75" w:rsidRPr="009B3A75" w:rsidRDefault="009B3A75" w:rsidP="009B3A75">
      <w:pPr>
        <w:widowControl w:val="0"/>
        <w:overflowPunct w:val="0"/>
        <w:autoSpaceDE w:val="0"/>
        <w:autoSpaceDN w:val="0"/>
        <w:adjustRightInd w:val="0"/>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Kontaktisik</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E-post</w:t>
            </w:r>
          </w:p>
        </w:tc>
        <w:tc>
          <w:tcPr>
            <w:tcW w:w="3922" w:type="pct"/>
          </w:tcPr>
          <w:p w14:paraId="14201871" w14:textId="77777777" w:rsidR="009B3A75" w:rsidRPr="009B3A75" w:rsidRDefault="004116B6" w:rsidP="009B3A75">
            <w:pPr>
              <w:overflowPunct w:val="0"/>
              <w:autoSpaceDE w:val="0"/>
              <w:autoSpaceDN w:val="0"/>
              <w:adjustRightInd w:val="0"/>
              <w:textAlignment w:val="baseline"/>
              <w:rPr>
                <w:i/>
              </w:rPr>
            </w:pPr>
            <w:hyperlink r:id="rId59" w:history="1">
              <w:r w:rsidR="00A559CD">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97" w:name="_Toc233990053"/>
      <w:r>
        <w:rPr>
          <w:b/>
        </w:rPr>
        <w:t>VÄLISSUHETE SEKTSIOON</w:t>
      </w:r>
      <w:bookmarkEnd w:id="97"/>
    </w:p>
    <w:p w14:paraId="3BBB3E68" w14:textId="77777777" w:rsidR="007F5784" w:rsidRDefault="007F5784" w:rsidP="001766B2"/>
    <w:p w14:paraId="15F9C1D2" w14:textId="5B846815" w:rsidR="00316F9C" w:rsidRPr="00316F9C" w:rsidRDefault="004116B6"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sidR="00A559CD">
          <w:rPr>
            <w:b/>
            <w:i/>
            <w:color w:val="0000FF"/>
            <w:sz w:val="28"/>
            <w:u w:val="single"/>
          </w:rPr>
          <w:t>ELi majandusjulgeoleku tugevdamine</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Raportöör</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(tööandjate rühm –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Viitedokumendid</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Põhipunktid</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Euroopa Majandus- ja Sotsiaalkomitee</w:t>
      </w:r>
    </w:p>
    <w:p w14:paraId="03DB80AE" w14:textId="77777777" w:rsid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on seisukohal, et majandusjulgeolek on Euroopa Liidu oluline eesmärk, ning nõuab kiireloomulisi ja integreeritud meetmeid kõigis asjaomastes poliitikavaldkondades, eelkõige innovatsiooni-, energia-, transpordi-, digi-, tööstus-, majandus-, kaubandus- ja rahvusvahelise partnerluse poliitikas, koos selge ülesannete jaotusega ning tõhusa koordineerimisega ELi ja liikmesriikide tasandi vahel;</w:t>
      </w:r>
    </w:p>
    <w:p w14:paraId="495506AB" w14:textId="390EB250" w:rsidR="00316F9C" w:rsidRP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rõhutab, et majandusjulgeolek on tihedalt seotud tervikliku julgeolekuga ning EL peab olema valmis mitmekordistunud riskideks, tugevdades oma majandust, kaitsevõimet, demokraatia vastupanuvõimet, diplomaatilist suutlikkust ja koostööd sarnaselt meelestatud partneritega;</w:t>
      </w:r>
    </w:p>
    <w:p w14:paraId="5DEDA004"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nõuab horisontaalseid suure mõjuga meetmeid, et suurendada ELi konkurentsivõimet, investeeringute atraktiivsust ja vastupanuvõimet, laiendades ja mitmekesistades samal ajal kaubandussuhteid, luues kasulikke rahvusvahelisi partnerlusi ning eristades selgelt väikese ja suure riskiga sõltuvusi;</w:t>
      </w:r>
    </w:p>
    <w:p w14:paraId="0020A7C0"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rõhutab, et tugevad sisemised alused – makromajanduslik stabiilsus, tugev innovatsioon ja tootmisvõimsus koos turvalise juurdepääsuga peamistele sisenditele ning hästi toimiv ühtne turg – on majandusjulgeoleku strateegilised võimaldajad;</w:t>
      </w:r>
    </w:p>
    <w:p w14:paraId="7FD0329C"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toonitab vajadust oluliselt suurendada era- ja avaliku sektori investeeringuid, et tugevdada majandusjulgeolekut, muu hulgas ELi finantsturgude tugevdamise abil ning hõlmates teadusuuringuid ja innovatsiooni kuni täiemahulise kasutuselevõtu ja tootmiseni;</w:t>
      </w:r>
    </w:p>
    <w:p w14:paraId="71327DE9"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kutsub üles tõhustama turvalisi ja kestlikke tarneahelaid ja taristut, tugevat ja mitmekesist tootmisbaasi, tööturule vastavaid oskusi ja teadmisi ning tipptasemel oskusteavet oluliste tehnoloogiate valdkonnas;</w:t>
      </w:r>
    </w:p>
    <w:p w14:paraId="391549CF"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nõuab sotsiaalpartnerite, kodanikuühiskonna organisatsioonide ja akadeemiliste asutuste jõulist, struktureeritud ja sisukat kaasamist majandusjulgeoleku poliitika väljatöötamisse, rakendamisse ja järelevalvesse.</w:t>
      </w:r>
    </w:p>
    <w:p w14:paraId="00BD4EEA" w14:textId="77777777" w:rsidR="00316F9C" w:rsidRPr="00316F9C" w:rsidRDefault="00316F9C" w:rsidP="00D92322">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Kontaktisik</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E-post</w:t>
            </w:r>
          </w:p>
        </w:tc>
        <w:tc>
          <w:tcPr>
            <w:tcW w:w="3444" w:type="pct"/>
          </w:tcPr>
          <w:p w14:paraId="2E9E7E4D" w14:textId="77777777" w:rsidR="00316F9C" w:rsidRPr="00316F9C" w:rsidRDefault="004116B6" w:rsidP="00316F9C">
            <w:pPr>
              <w:overflowPunct w:val="0"/>
              <w:autoSpaceDE w:val="0"/>
              <w:autoSpaceDN w:val="0"/>
              <w:adjustRightInd w:val="0"/>
              <w:spacing w:line="240" w:lineRule="auto"/>
              <w:textAlignment w:val="baseline"/>
              <w:rPr>
                <w:i/>
              </w:rPr>
            </w:pPr>
            <w:hyperlink r:id="rId61" w:history="1">
              <w:r w:rsidR="00A559CD">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00818601" w14:textId="77777777" w:rsidR="00CC0F66" w:rsidRDefault="00CC0F66" w:rsidP="001766B2"/>
    <w:p w14:paraId="3A098933"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98" w:name="_Toc233990054"/>
      <w:r>
        <w:rPr>
          <w:b/>
          <w:color w:val="222A35" w:themeColor="text2" w:themeShade="80"/>
        </w:rPr>
        <w:t>TÖÖSTUSE MUUTUSTE NÕUANDEKOMISJON</w:t>
      </w:r>
      <w:bookmarkEnd w:id="98"/>
    </w:p>
    <w:p w14:paraId="713E272F" w14:textId="77777777" w:rsidR="006D2C8A" w:rsidRDefault="006D2C8A" w:rsidP="001766B2"/>
    <w:p w14:paraId="7593948E" w14:textId="0540C45A" w:rsidR="00D576FA" w:rsidRPr="00D576FA" w:rsidRDefault="004116B6" w:rsidP="00D576FA">
      <w:pPr>
        <w:widowControl w:val="0"/>
        <w:numPr>
          <w:ilvl w:val="0"/>
          <w:numId w:val="4"/>
        </w:numPr>
        <w:overflowPunct w:val="0"/>
        <w:autoSpaceDE w:val="0"/>
        <w:autoSpaceDN w:val="0"/>
        <w:adjustRightInd w:val="0"/>
        <w:ind w:hanging="567"/>
        <w:textAlignment w:val="baseline"/>
        <w:rPr>
          <w:sz w:val="20"/>
          <w:szCs w:val="20"/>
        </w:rPr>
      </w:pPr>
      <w:hyperlink r:id="rId62" w:history="1">
        <w:r w:rsidR="00A559CD">
          <w:rPr>
            <w:b/>
            <w:i/>
            <w:color w:val="0000FF"/>
            <w:sz w:val="28"/>
            <w:u w:val="single"/>
          </w:rPr>
          <w:t>Tegevuskava „RESourceEU“</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616"/>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Raportöör</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(tööandjate rühm – EL)</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r>
              <w:rPr>
                <w:b/>
              </w:rPr>
              <w:t>Kaasraportöör</w:t>
            </w:r>
          </w:p>
        </w:tc>
        <w:tc>
          <w:tcPr>
            <w:tcW w:w="7681" w:type="dxa"/>
            <w:hideMark/>
          </w:tcPr>
          <w:p w14:paraId="71905D27" w14:textId="05D42BAC" w:rsidR="00D576FA" w:rsidRDefault="00D576FA" w:rsidP="00D576FA">
            <w:pPr>
              <w:tabs>
                <w:tab w:val="center" w:pos="284"/>
              </w:tabs>
              <w:overflowPunct w:val="0"/>
              <w:autoSpaceDE w:val="0"/>
              <w:autoSpaceDN w:val="0"/>
              <w:adjustRightInd w:val="0"/>
              <w:ind w:left="266" w:hanging="266"/>
            </w:pPr>
            <w:r>
              <w:t>Agata MEYSNER (PL – 3. kat)</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Viitedokumendid</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Põhipunktid</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Euroopa Majandus- ja Sotsiaalkomitee</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tegevuskava „RESourceEU“ kui olulist sammu ELi kriitiliste toormete väärtusahela vastupanuvõime tugevdamise ja strateegilise sõltuvuse vähendamise suunas;</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tasakaalustatud lähenemisviisi, milles on kombineeritud suurem Euroopa tootmisvõimsus, jõulisemad ringlusmeetmed, vastutustundlik rahvusvaheline partnerlus, konkurentsivõimelised energiahinnad, toimivad õigusraamistikud ning tugevad keskkonnaalased ja sotsiaalsed kaitsemeetmed;</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kiiremaid loamenetlusi strateegiliste Euroopa projektide jaoks, et kiirendada kriitiliste toormete väärtusahelate arendamist ELis;</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vähendada struktuurselt kõrgeid energiahindu tööstuses ja hõlbustada energiamahukate tööstusharude pikaajalisi taastuvelektri ostulepinguid;</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puhta tööstuse riigiabi raamistiku kohaseid elektrifitseerimismeetmeid, säilitades samal ajal ELi HKSi tõhususe;</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tagada, et sellised algatused nagu ELi taksonoomia parandaksid kriitilise toormega seotud strateegiliste projektide juurdepääsu rahastamisele;</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rõhutab, et veepoliitika raamdirektiivi eelseisev läbivaatamine ei tohi viia keskkonnakaitsestandardite alandamiseni;</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kriitilise toorme ringlussevõtu ja korduskasutamise parandamist, et tugevdada ELi kindlustatust ressurssidega ja vähendada jäätmete eksporti;</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kehtestada jäätmete ja teisese toorme selged määratlused, et hõlbustada ringlussevõttu, taaskasutamist ja investeerimiskindlust;</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tugevdada ELi materjalide väärtusahelaid, kombineerides suuremat omamaist tootmist, suuremaid ringlussevõtu määrasid, ökodisaini meetmeid ja suuremat materjalitõhusust;</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strateegiliste varude loomist täiendava meetmena, mis ei tohiks asendada ELi-sisest tootmis-, töötlemis- ja ringlussevõtusuutlikkust;</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soovitab parandada toormete haldamise läbipaistvust materjalivoogude, laovarude ja jaotamisotsuste parema jälgimise abil;</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toetab tarneahelate mitmekesistamist tasakaalustatud rahvusvaheliste partnerluste kaudu, tugevdades samal ajal ELi kaevandamis-, töötlemis-, rafineerimis- ja ringlussevõtusuutlikkust.</w:t>
      </w:r>
    </w:p>
    <w:p w14:paraId="5A852102" w14:textId="77777777" w:rsidR="00D576FA" w:rsidRPr="00D576FA" w:rsidRDefault="00D576FA" w:rsidP="00D576FA">
      <w:pPr>
        <w:spacing w:after="120"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Kontaktisik</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Adam Dorywalski</w:t>
            </w:r>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Tel</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E-post</w:t>
            </w:r>
          </w:p>
        </w:tc>
        <w:tc>
          <w:tcPr>
            <w:tcW w:w="3923" w:type="pct"/>
          </w:tcPr>
          <w:p w14:paraId="1A75A4DA" w14:textId="77777777" w:rsidR="00D576FA" w:rsidRPr="00D576FA" w:rsidRDefault="004116B6" w:rsidP="00D576FA">
            <w:pPr>
              <w:overflowPunct w:val="0"/>
              <w:autoSpaceDE w:val="0"/>
              <w:autoSpaceDN w:val="0"/>
              <w:adjustRightInd w:val="0"/>
              <w:textAlignment w:val="baseline"/>
              <w:rPr>
                <w:i/>
              </w:rPr>
            </w:pPr>
            <w:hyperlink r:id="rId63" w:history="1">
              <w:r w:rsidR="00A559CD">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4F1CB8F8" w:rsidR="002F1C76" w:rsidRPr="002F1C76" w:rsidRDefault="004116B6"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sidR="00A559CD">
          <w:rPr>
            <w:b/>
            <w:i/>
            <w:color w:val="0000FF"/>
            <w:sz w:val="28"/>
            <w:u w:val="single"/>
          </w:rPr>
          <w:t>Euroopa Majandus- ja Sotsiaalkomitee panus ÜRO 2026. aasta veekonverentsil: ELi sinisest kokkuleppest ja Euroopa veekerksuse strateegiast ülemaailmsete veemeetmeteni</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Raportöör</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r>
              <w:t>Paul RÜBIG (tööandjate rühm – AT)</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Kaasraportöör</w:t>
            </w:r>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r>
              <w:t>Hervé JEANNIN (kodanikuühiskonna organisatsioonide rühm – FR)</w:t>
            </w:r>
          </w:p>
          <w:p w14:paraId="4F3F4C0C" w14:textId="77777777" w:rsidR="002A49B2" w:rsidRPr="002F1C76" w:rsidRDefault="002A49B2" w:rsidP="002F1C76">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Viitedokument</w:t>
            </w:r>
          </w:p>
        </w:tc>
        <w:tc>
          <w:tcPr>
            <w:tcW w:w="7479" w:type="dxa"/>
          </w:tcPr>
          <w:p w14:paraId="5A80743A" w14:textId="5515CF4A" w:rsidR="002A49B2" w:rsidRDefault="004343FD" w:rsidP="002F1C76">
            <w:pPr>
              <w:tabs>
                <w:tab w:val="center" w:pos="284"/>
              </w:tabs>
              <w:overflowPunct w:val="0"/>
              <w:autoSpaceDE w:val="0"/>
              <w:autoSpaceDN w:val="0"/>
              <w:adjustRightInd w:val="0"/>
              <w:ind w:left="266" w:hanging="266"/>
              <w:textAlignment w:val="baseline"/>
            </w:pPr>
            <w:r>
              <w:t>omaalgatuslik arvamus</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Põhipunktid</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Euroopa Majandus- ja Sotsiaalkomitee</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rõhutab ÜRO 2026. aasta veekonverentsi tähtsust, et muuta veekerksus üleilmseks prioriteediks, ning nõuab ülemaailmset paradigmamuutust lineaarselt veekasutuselt ringluspõhistele süsteemidele ja seda, et vett tunnistataks sotsiaalse, keskkonna- ja majandusliku väärtusega avaliku hüvena;</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kutsub üles kasutama horisontaalse juhtimise lähenemisviisi, mis integreerib vee üleilmsel tasandil kõigis sektorites ja kõigil valitsustasanditel kodanikuühiskonna valdkonnaülesel osalusel;</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kutsub rahvusvahelist kogukonda üles mõistma üheselt hukka rünnakud tsiviilelanike ellujäämiseks hädavajaliku veetaristu vastu ning tunnistama selle sõjakuriteoks;</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soovitab süsteemselt teha kõigi asjakohaste ELi ja üleilmsete poliitikaalgatuste suhtes veetesti, et hinnata nende mõju veevarudele, veetõhususele ja veekerksusele;</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märgib, et vesi on avalik hüve, ning toonitab, et vee taskukohasus haavatavate rühmade jaoks on kriitilise tähtsusega, et tagada veealane õiglus kogu maailmas;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rõhutab, et veekerksuse saavutamine nõuab käitumise põhjalikku muutust kõigis ühiskonnasektorites, sealhulgas põllumajandus- ja tööstustavade kohandamise, kliimamuutustega kohanemise tugevdamise ja märgalade säilitamise kaudu;</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on seisukohal, et looduspõhised lahendused, sealhulgas märgalad, tuleks tunnistada veekerksuse seisukohast elutähtsaks taristuks ja kaasata kõigisse ÜRO 2026. aasta veekonverentsi temaatilistesse dialoogidesse;</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nõuab avaliku ja erasektori kapitali kaasamist, et toetada pangalaenu saamiseks sobilike kestliku arengu 6. eesmärgi projektikavade loomist;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nõuab vee, sanitaartingimuste ja hügieeni suuremat toetamist kliimamuutuste suhtes vastupanuvõimeliste lõimitud lähenemisviiside kaudu, milles on ühendatud taristu arendamine, juhtimine ja suutlikkuse suurendamine ning kus pööratakse eritähelepanu haavatavatele ja tõrjutud kogukondadele;</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pooldab seda, et veekasutuskonflikti korral tuleks prioriteediks seada joogiveega varustamine;</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nõuab, et kogu maailmas kiirendataks üleminekut aruka veekasutusega ühiskonnale;</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toetab üleilmsete eesmärkide seadmist, et parandada 2030. aastaks veetõhusust vähemalt 10 % ja suurendada samaks aastaks märkimisväärselt vee taaskasutuse taset kõigis sektorites;</w:t>
      </w:r>
    </w:p>
    <w:p w14:paraId="6F830F09"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soovitab töötada välja ühtlustatud näitajad, seiremehhanismid ja aruandlusraamistikud, et jälgida veekerksuse valdkonna edusamme ja tagada vastutus ülemaailmsel tasandil.</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Kontaktisik</w:t>
            </w:r>
          </w:p>
        </w:tc>
        <w:tc>
          <w:tcPr>
            <w:tcW w:w="3910" w:type="pct"/>
          </w:tcPr>
          <w:p w14:paraId="19CD974D" w14:textId="5401732D" w:rsidR="002F1C76" w:rsidRPr="00AD2F07" w:rsidRDefault="002F1C76" w:rsidP="00AD2F07">
            <w:r>
              <w:t>Luís Barbosa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E-post</w:t>
            </w:r>
          </w:p>
        </w:tc>
        <w:tc>
          <w:tcPr>
            <w:tcW w:w="3910" w:type="pct"/>
          </w:tcPr>
          <w:p w14:paraId="30EA7955" w14:textId="77777777" w:rsidR="002F1C76" w:rsidRPr="002F1C76" w:rsidRDefault="004116B6" w:rsidP="002F1C76">
            <w:pPr>
              <w:overflowPunct w:val="0"/>
              <w:autoSpaceDE w:val="0"/>
              <w:autoSpaceDN w:val="0"/>
              <w:adjustRightInd w:val="0"/>
              <w:spacing w:line="240" w:lineRule="auto"/>
              <w:textAlignment w:val="baseline"/>
              <w:rPr>
                <w:i/>
              </w:rPr>
            </w:pPr>
            <w:hyperlink r:id="rId65" w:history="1">
              <w:r w:rsidR="00A559CD">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56AC6448" w:rsidR="00155921" w:rsidRPr="00155921" w:rsidRDefault="004116B6"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sidR="00A559CD">
          <w:rPr>
            <w:b/>
            <w:i/>
            <w:color w:val="0000FF"/>
            <w:sz w:val="28"/>
            <w:u w:val="single"/>
          </w:rPr>
          <w:t>Sinikokkuleppe kiirendi – tehnoloogia, oskused ja rahastamine veekerkse tuleviku nimel</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Raportöör</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Magdalena RZECZKOWSKA (tööandjate rühm – PL)</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Kaasraportöör</w:t>
            </w:r>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r>
              <w:t>Lea APPULO (IT – 3. kat)</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Viitedokument</w:t>
            </w:r>
          </w:p>
        </w:tc>
        <w:tc>
          <w:tcPr>
            <w:tcW w:w="5670" w:type="dxa"/>
          </w:tcPr>
          <w:p w14:paraId="701B84C6" w14:textId="0DA0E88D" w:rsidR="00FF5009" w:rsidRDefault="00FF5009" w:rsidP="00155921">
            <w:pPr>
              <w:tabs>
                <w:tab w:val="center" w:pos="284"/>
              </w:tabs>
              <w:overflowPunct w:val="0"/>
              <w:autoSpaceDE w:val="0"/>
              <w:autoSpaceDN w:val="0"/>
              <w:adjustRightInd w:val="0"/>
              <w:ind w:left="266" w:hanging="266"/>
              <w:textAlignment w:val="baseline"/>
            </w:pPr>
            <w:r>
              <w:t>omaalgatuslik arvamus</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Põhipunktid</w:t>
      </w:r>
    </w:p>
    <w:p w14:paraId="38EBDC08"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p w14:paraId="4B64F526"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Cs/>
        </w:rPr>
      </w:pPr>
      <w:r>
        <w:t>Euroopa Majandus- ja Sotsiaalkomitee</w:t>
      </w:r>
    </w:p>
    <w:p w14:paraId="7B1D8F43"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kutsub üles </w:t>
      </w:r>
      <w:r>
        <w:rPr>
          <w:b/>
        </w:rPr>
        <w:t>käsitlema vett</w:t>
      </w:r>
      <w:r>
        <w:t xml:space="preserve"> sarnaselt energiaga konkurentsivõime ja strateegilise autonoomia aluseks oleva olulise tootmistegurina ning kõigi ELi poliitikavaldkondade strateegilise ja eraldiseisva prioriteedina;</w:t>
      </w:r>
    </w:p>
    <w:p w14:paraId="380E031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teeb ettepaneku luua sinikokkuleppe kiirendi kui terviklik rakendusraamistik, mis ühendab tööstuse ümberkujundamise, veesäästliku tehnoloogia, oskused ja investeeringud;</w:t>
      </w:r>
    </w:p>
    <w:p w14:paraId="0C9945AD"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kordab oma üleskutset </w:t>
      </w:r>
      <w:r>
        <w:rPr>
          <w:b/>
        </w:rPr>
        <w:t>kehtestada</w:t>
      </w:r>
      <w:r>
        <w:t xml:space="preserve"> ELi õigusaktide jaoks </w:t>
      </w:r>
      <w:r>
        <w:rPr>
          <w:b/>
        </w:rPr>
        <w:t>nn veetest</w:t>
      </w:r>
      <w:r>
        <w:t>;</w:t>
      </w:r>
    </w:p>
    <w:p w14:paraId="6F12B9C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nõuab, et ELi institutsioonid integreeriksid veekerksuse kõigisse tööstuspoliitika vahenditesse, muutes veeküsimused lubade väljastamise, investeeringute tegemise ja avaliku sektori toetuse saamise eeltingimuseks;</w:t>
      </w:r>
    </w:p>
    <w:p w14:paraId="3C6E603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kutsub üles järk-järgult integreerima </w:t>
      </w:r>
      <w:r>
        <w:rPr>
          <w:b/>
        </w:rPr>
        <w:t>veetõhususe esikohale seadmise põhimõtte siduva nõudena ELi õigusaktidesse</w:t>
      </w:r>
      <w:r>
        <w:t xml:space="preserve">, </w:t>
      </w:r>
      <w:r>
        <w:rPr>
          <w:b/>
        </w:rPr>
        <w:t>rahastamistingimustesse</w:t>
      </w:r>
      <w:r>
        <w:t xml:space="preserve"> ning kavandamis- ja investeerimisotsustesse. Seda peaks toetama ühine ELi metoodika veetõhususe mõõtmiseks kogu veeringluses;</w:t>
      </w:r>
    </w:p>
    <w:p w14:paraId="716DCBC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rõhutab, et oluline on tunnistada, muu hulgas </w:t>
      </w:r>
      <w:r>
        <w:rPr>
          <w:b/>
        </w:rPr>
        <w:t>tööstuse kiirendamise õigusaktis</w:t>
      </w:r>
      <w:r>
        <w:t>, vee ja energia seost, mis on tähtis süsinikuheite vähendamiseks ja konkurentsivõime suurendamiseks;</w:t>
      </w:r>
    </w:p>
    <w:p w14:paraId="1C2ED10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soovitab integreerida vee strateegilise ressursina ringmajanduse õigusakti, edendades vee tõhusust, taaskasutamist, saaste vältimist ja varude taastamist;</w:t>
      </w:r>
    </w:p>
    <w:p w14:paraId="4B14F33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rõhutab vajadust luua Euroopa veeandmeruum, et tagada läbipaistvus, võrreldavus ja tõenduspõhine poliitikakujundamine, mida toetavad standarditud ja koostalitlusvõimelised andmed;</w:t>
      </w:r>
    </w:p>
    <w:p w14:paraId="7DC2AB37"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kutsub üles looma ühtse ELi veemajanduse rahastamise raamistiku ja tugevdama projektikavasid, arendades edasi selliseid algatusi nagu veekerksuse investeeringute kiirendi;</w:t>
      </w:r>
    </w:p>
    <w:p w14:paraId="302F45F5"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soovitab seada esikohale investeeringud lekkevähendusse, veetõhusasse taristusse ja looduspõhistesse lahendustesse, muu hulgas märgaladesse, kui vastupidava veesüsteemi põhielementidesse; </w:t>
      </w:r>
    </w:p>
    <w:p w14:paraId="209B8DE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rõhutab vajadust viia oskuste poliitika kooskõlla veemajanduse üleminekuga, muu hulgas Euroopa veeakadeemia tegevuse abil;</w:t>
      </w:r>
    </w:p>
    <w:p w14:paraId="0AA00F8B"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kutsub üles tunnistama veeküsimused ELi välistegevuses valdkonnaüleseks prioriteediks. Strateegia „Global Gateway“ peaks toetama sinimõõdet ELi juhitavate märgalade partnerluste kaudu.</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Kontaktisik</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Heli Niemelä-Farrer</w:t>
            </w:r>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E-post</w:t>
            </w:r>
          </w:p>
        </w:tc>
        <w:tc>
          <w:tcPr>
            <w:tcW w:w="3444" w:type="pct"/>
          </w:tcPr>
          <w:p w14:paraId="1C608E94" w14:textId="39E68AC3" w:rsidR="00155921" w:rsidRPr="003C5F5D" w:rsidRDefault="004116B6" w:rsidP="00AD2F07">
            <w:pPr>
              <w:overflowPunct w:val="0"/>
              <w:autoSpaceDE w:val="0"/>
              <w:autoSpaceDN w:val="0"/>
              <w:adjustRightInd w:val="0"/>
              <w:spacing w:line="240" w:lineRule="auto"/>
              <w:ind w:left="360" w:hanging="360"/>
              <w:textAlignment w:val="baseline"/>
              <w:rPr>
                <w:i/>
              </w:rPr>
            </w:pPr>
            <w:hyperlink r:id="rId67" w:history="1">
              <w:r w:rsidR="0069529C">
                <w:rPr>
                  <w:rStyle w:val="Hyperlink"/>
                  <w:i/>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8CE0" w14:textId="77777777" w:rsidR="00A559CD" w:rsidRDefault="00A55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r w:rsidR="004116B6">
      <w:fldChar w:fldCharType="begin"/>
    </w:r>
    <w:r w:rsidR="004116B6">
      <w:instrText xml:space="preserve"> NUMPAGES </w:instrText>
    </w:r>
    <w:r w:rsidR="004116B6">
      <w:fldChar w:fldCharType="separate"/>
    </w:r>
    <w:r w:rsidR="00B815C6">
      <w:t>1</w:t>
    </w:r>
    <w:r w:rsidR="004116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9543" w14:textId="77777777" w:rsidR="00A559CD" w:rsidRDefault="00A559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r w:rsidR="004116B6">
      <w:fldChar w:fldCharType="begin"/>
    </w:r>
    <w:r w:rsidR="004116B6">
      <w:instrText xml:space="preserve"> NUMPAGES </w:instrText>
    </w:r>
    <w:r w:rsidR="004116B6">
      <w:fldChar w:fldCharType="separate"/>
    </w:r>
    <w:r>
      <w:t>30</w:t>
    </w:r>
    <w:r w:rsidR="004116B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Kooskõlas kohaldatavate töötingimuste, tervisekaitse ja ohutuse nõuete ning sotsiaalsete ja töötajate õigustega.</w:t>
      </w:r>
    </w:p>
  </w:footnote>
  <w:footnote w:id="2">
    <w:p w14:paraId="70D6F36B" w14:textId="77777777" w:rsidR="00180329" w:rsidRPr="00486EF6" w:rsidRDefault="00180329" w:rsidP="00180329">
      <w:pPr>
        <w:pStyle w:val="FootnoteText"/>
      </w:pPr>
      <w:r>
        <w:rPr>
          <w:rStyle w:val="FootnoteReference"/>
        </w:rPr>
        <w:footnoteRef/>
      </w:r>
      <w:r>
        <w:t xml:space="preserve"> </w:t>
      </w:r>
      <w:r>
        <w:tab/>
      </w:r>
      <w:hyperlink r:id="rId1" w:history="1">
        <w:r>
          <w:rPr>
            <w:rStyle w:val="Hyperlink"/>
          </w:rPr>
          <w:t>ELT C C/2025/5154, 28.10.2025</w:t>
        </w:r>
      </w:hyperlink>
      <w:r>
        <w:t>.</w:t>
      </w:r>
    </w:p>
  </w:footnote>
  <w:footnote w:id="3">
    <w:p w14:paraId="01455579" w14:textId="77777777" w:rsidR="00180329" w:rsidRPr="000140D7" w:rsidRDefault="00180329" w:rsidP="00180329">
      <w:pPr>
        <w:pStyle w:val="FootnoteText"/>
      </w:pPr>
      <w:r>
        <w:rPr>
          <w:rStyle w:val="FootnoteReference"/>
        </w:rPr>
        <w:footnoteRef/>
      </w:r>
      <w:r>
        <w:tab/>
        <w:t xml:space="preserve"> </w:t>
      </w:r>
      <w:hyperlink r:id="rId2" w:history="1">
        <w:r>
          <w:rPr>
            <w:rStyle w:val="Hyperlink"/>
          </w:rPr>
          <w:t>ELT C 293, 18.8.2023, lk 144</w:t>
        </w:r>
      </w:hyperlink>
      <w:r>
        <w:t>.</w:t>
      </w:r>
    </w:p>
  </w:footnote>
  <w:footnote w:id="4">
    <w:p w14:paraId="5BECB156" w14:textId="77777777" w:rsidR="00180329" w:rsidRPr="000140D7" w:rsidRDefault="00180329" w:rsidP="00180329">
      <w:pPr>
        <w:pStyle w:val="FootnoteText"/>
      </w:pPr>
      <w:r>
        <w:rPr>
          <w:rStyle w:val="FootnoteReference"/>
        </w:rPr>
        <w:footnoteRef/>
      </w:r>
      <w:r>
        <w:tab/>
        <w:t xml:space="preserve"> </w:t>
      </w:r>
      <w:hyperlink r:id="rId3" w:history="1">
        <w:r>
          <w:rPr>
            <w:rStyle w:val="Hyperlink"/>
          </w:rPr>
          <w:t>ELT C 290, 29.7.2022, lk 149</w:t>
        </w:r>
      </w:hyperlink>
      <w:r>
        <w:t>.</w:t>
      </w:r>
    </w:p>
  </w:footnote>
  <w:footnote w:id="5">
    <w:p w14:paraId="225C1ACB" w14:textId="77777777" w:rsidR="00180329" w:rsidRPr="000140D7" w:rsidRDefault="00180329" w:rsidP="00180329">
      <w:pPr>
        <w:pStyle w:val="FootnoteText"/>
      </w:pPr>
      <w:r>
        <w:rPr>
          <w:rStyle w:val="FootnoteReference"/>
        </w:rPr>
        <w:footnoteRef/>
      </w:r>
      <w:r>
        <w:tab/>
        <w:t xml:space="preserve"> </w:t>
      </w:r>
      <w:hyperlink r:id="rId4" w:history="1">
        <w:r>
          <w:rPr>
            <w:rStyle w:val="Hyperlink"/>
          </w:rPr>
          <w:t>ELT C 365, 23.9.2022, lk 55</w:t>
        </w:r>
      </w:hyperlink>
      <w:r>
        <w:t>.</w:t>
      </w:r>
    </w:p>
  </w:footnote>
  <w:footnote w:id="6">
    <w:p w14:paraId="427CA7ED" w14:textId="77777777" w:rsidR="00180329" w:rsidRPr="000140D7" w:rsidRDefault="00180329" w:rsidP="00180329">
      <w:pPr>
        <w:pStyle w:val="FootnoteText"/>
      </w:pPr>
      <w:r>
        <w:rPr>
          <w:rStyle w:val="FootnoteReference"/>
        </w:rPr>
        <w:footnoteRef/>
      </w:r>
      <w:r>
        <w:tab/>
        <w:t xml:space="preserve"> </w:t>
      </w:r>
      <w:hyperlink r:id="rId5" w:history="1">
        <w:r>
          <w:rPr>
            <w:rStyle w:val="Hyperlink"/>
          </w:rPr>
          <w:t>ELT C 123, 9.4.2021, lk 72</w:t>
        </w:r>
      </w:hyperlink>
      <w:r>
        <w:t>.</w:t>
      </w:r>
    </w:p>
  </w:footnote>
  <w:footnote w:id="7">
    <w:p w14:paraId="43430231" w14:textId="77777777" w:rsidR="00180329" w:rsidRPr="000140D7" w:rsidRDefault="00180329" w:rsidP="00180329">
      <w:pPr>
        <w:pStyle w:val="FootnoteText"/>
      </w:pPr>
      <w:r>
        <w:rPr>
          <w:rStyle w:val="FootnoteReference"/>
        </w:rPr>
        <w:footnoteRef/>
      </w:r>
      <w:r>
        <w:tab/>
      </w:r>
      <w:hyperlink r:id="rId6" w:history="1">
        <w:r>
          <w:rPr>
            <w:rStyle w:val="Hyperlink"/>
          </w:rPr>
          <w:t>ELT C 56, 16.2.2021, lk 59</w:t>
        </w:r>
      </w:hyperlink>
      <w:r>
        <w:t>.</w:t>
      </w:r>
    </w:p>
  </w:footnote>
  <w:footnote w:id="8">
    <w:p w14:paraId="7CB7FC7F" w14:textId="77777777" w:rsidR="00180329" w:rsidRPr="000140D7" w:rsidRDefault="00180329" w:rsidP="00180329">
      <w:pPr>
        <w:pStyle w:val="FootnoteText"/>
      </w:pPr>
      <w:r>
        <w:rPr>
          <w:rStyle w:val="FootnoteReference"/>
        </w:rPr>
        <w:footnoteRef/>
      </w:r>
      <w:r>
        <w:tab/>
      </w:r>
      <w:hyperlink r:id="rId7" w:history="1">
        <w:r>
          <w:rPr>
            <w:rStyle w:val="Hyperlink"/>
          </w:rPr>
          <w:t>ELT C 429, 11.12.2020, lk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ELT C 232, 14.7.2020, lk 36</w:t>
        </w:r>
      </w:hyperlink>
      <w:r>
        <w:t>.</w:t>
      </w:r>
    </w:p>
  </w:footnote>
  <w:footnote w:id="10">
    <w:p w14:paraId="7A73B61C" w14:textId="77777777" w:rsidR="00180329" w:rsidRPr="000140D7" w:rsidRDefault="00180329" w:rsidP="00180329">
      <w:pPr>
        <w:pStyle w:val="FootnoteText"/>
      </w:pPr>
      <w:r>
        <w:rPr>
          <w:rStyle w:val="FootnoteReference"/>
        </w:rPr>
        <w:footnoteRef/>
      </w:r>
      <w:r>
        <w:tab/>
      </w:r>
      <w:hyperlink r:id="rId9" w:history="1">
        <w:r>
          <w:rPr>
            <w:rStyle w:val="Hyperlink"/>
          </w:rPr>
          <w:t>ELT C 159, 15.5.2019, lk 60</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ELT C 34, 2.2.2017, lk 142</w:t>
        </w:r>
      </w:hyperlink>
      <w:r>
        <w:t>.</w:t>
      </w:r>
    </w:p>
  </w:footnote>
  <w:footnote w:id="12">
    <w:p w14:paraId="5A6E5FA7" w14:textId="77777777" w:rsidR="00180329" w:rsidRPr="000140D7" w:rsidRDefault="00180329" w:rsidP="00180329">
      <w:pPr>
        <w:pStyle w:val="FootnoteText"/>
      </w:pPr>
      <w:r>
        <w:rPr>
          <w:rStyle w:val="FootnoteReference"/>
        </w:rPr>
        <w:footnoteRef/>
      </w:r>
      <w:r>
        <w:t xml:space="preserve"> </w:t>
      </w:r>
      <w:r>
        <w:tab/>
      </w:r>
      <w:hyperlink r:id="rId11" w:history="1">
        <w:r>
          <w:rPr>
            <w:rStyle w:val="Hyperlink"/>
          </w:rPr>
          <w:t>ELT C 303, 19.8.2016, lk 116</w:t>
        </w:r>
      </w:hyperlink>
      <w:r>
        <w:t>.</w:t>
      </w:r>
    </w:p>
  </w:footnote>
  <w:footnote w:id="13">
    <w:p w14:paraId="4DA177E2" w14:textId="77777777" w:rsidR="00C7486E" w:rsidRPr="001B1007" w:rsidRDefault="00C7486E" w:rsidP="00C7486E">
      <w:pPr>
        <w:pStyle w:val="FootnoteText"/>
      </w:pPr>
      <w:r>
        <w:rPr>
          <w:rStyle w:val="FootnoteReference"/>
        </w:rPr>
        <w:footnoteRef/>
      </w:r>
      <w:r>
        <w:tab/>
      </w:r>
      <w:hyperlink r:id="rId12" w:history="1">
        <w:r>
          <w:rPr>
            <w:rStyle w:val="Hyperlink"/>
          </w:rPr>
          <w:t>ELT C 275, 18.7.2022, lk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C593" w14:textId="77777777" w:rsidR="00A559CD" w:rsidRDefault="00A55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AC88" w14:textId="77777777" w:rsidR="00A559CD" w:rsidRDefault="00A55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1FD" w14:textId="77777777" w:rsidR="00A559CD" w:rsidRDefault="00A55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5"/>
  </w:num>
  <w:num w:numId="3">
    <w:abstractNumId w:val="39"/>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0"/>
  </w:num>
  <w:num w:numId="6">
    <w:abstractNumId w:val="13"/>
  </w:num>
  <w:num w:numId="7">
    <w:abstractNumId w:val="23"/>
  </w:num>
  <w:num w:numId="8">
    <w:abstractNumId w:val="14"/>
  </w:num>
  <w:num w:numId="9">
    <w:abstractNumId w:val="29"/>
  </w:num>
  <w:num w:numId="10">
    <w:abstractNumId w:val="18"/>
  </w:num>
  <w:num w:numId="11">
    <w:abstractNumId w:val="41"/>
  </w:num>
  <w:num w:numId="12">
    <w:abstractNumId w:val="36"/>
  </w:num>
  <w:num w:numId="13">
    <w:abstractNumId w:val="6"/>
  </w:num>
  <w:num w:numId="14">
    <w:abstractNumId w:val="33"/>
  </w:num>
  <w:num w:numId="15">
    <w:abstractNumId w:val="17"/>
  </w:num>
  <w:num w:numId="16">
    <w:abstractNumId w:val="9"/>
  </w:num>
  <w:num w:numId="17">
    <w:abstractNumId w:val="34"/>
  </w:num>
  <w:num w:numId="18">
    <w:abstractNumId w:val="7"/>
  </w:num>
  <w:num w:numId="19">
    <w:abstractNumId w:val="12"/>
  </w:num>
  <w:num w:numId="20">
    <w:abstractNumId w:val="19"/>
  </w:num>
  <w:num w:numId="21">
    <w:abstractNumId w:val="20"/>
  </w:num>
  <w:num w:numId="22">
    <w:abstractNumId w:val="28"/>
  </w:num>
  <w:num w:numId="23">
    <w:abstractNumId w:val="2"/>
  </w:num>
  <w:num w:numId="24">
    <w:abstractNumId w:val="32"/>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0"/>
  </w:num>
  <w:num w:numId="27">
    <w:abstractNumId w:val="4"/>
  </w:num>
  <w:num w:numId="28">
    <w:abstractNumId w:val="42"/>
  </w:num>
  <w:num w:numId="29">
    <w:abstractNumId w:val="8"/>
  </w:num>
  <w:num w:numId="30">
    <w:abstractNumId w:val="10"/>
  </w:num>
  <w:num w:numId="31">
    <w:abstractNumId w:val="3"/>
  </w:num>
  <w:num w:numId="32">
    <w:abstractNumId w:val="26"/>
  </w:num>
  <w:num w:numId="33">
    <w:abstractNumId w:val="16"/>
  </w:num>
  <w:num w:numId="34">
    <w:abstractNumId w:val="27"/>
  </w:num>
  <w:num w:numId="35">
    <w:abstractNumId w:val="24"/>
  </w:num>
  <w:num w:numId="36">
    <w:abstractNumId w:val="11"/>
  </w:num>
  <w:num w:numId="37">
    <w:abstractNumId w:val="37"/>
  </w:num>
  <w:num w:numId="38">
    <w:abstractNumId w:val="38"/>
  </w:num>
  <w:num w:numId="39">
    <w:abstractNumId w:val="22"/>
  </w:num>
  <w:num w:numId="40">
    <w:abstractNumId w:val="15"/>
  </w:num>
  <w:num w:numId="41">
    <w:abstractNumId w:val="25"/>
  </w:num>
  <w:num w:numId="42">
    <w:abstractNumId w:val="31"/>
  </w:num>
  <w:num w:numId="43">
    <w:abstractNumId w:val="2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375C7"/>
    <w:rsid w:val="00141F00"/>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16B6"/>
    <w:rsid w:val="00414924"/>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B1901"/>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559CD"/>
    <w:rsid w:val="00A60AA1"/>
    <w:rsid w:val="00A6192D"/>
    <w:rsid w:val="00A7581E"/>
    <w:rsid w:val="00AA0F50"/>
    <w:rsid w:val="00AA10E2"/>
    <w:rsid w:val="00AB3F28"/>
    <w:rsid w:val="00AD18D5"/>
    <w:rsid w:val="00AD2F07"/>
    <w:rsid w:val="00AF534A"/>
    <w:rsid w:val="00B018BF"/>
    <w:rsid w:val="00B078B6"/>
    <w:rsid w:val="00B203DA"/>
    <w:rsid w:val="00B32A09"/>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et/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et/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et/our-work/opinions-information-reports/opinions/implementing-new-european-bauhaus" TargetMode="External"/><Relationship Id="rId42" Type="http://schemas.openxmlformats.org/officeDocument/2006/relationships/hyperlink" Target="https://www.eesc.europa.eu/et/our-work/opinions-information-reports/opinions/conservation-and-enforcement-measures-nafo" TargetMode="External"/><Relationship Id="rId47" Type="http://schemas.openxmlformats.org/officeDocument/2006/relationships/hyperlink" Target="https://www.eesc.europa.eu/et/our-work/opinions-information-reports/opinions/multiannual-management-plan-bluefin-tuna" TargetMode="External"/><Relationship Id="rId50" Type="http://schemas.openxmlformats.org/officeDocument/2006/relationships/hyperlink" Target="https://www.eesc.europa.eu/et/our-work/opinions-information-reports/opinions/fishing-authorisation-regulation" TargetMode="External"/><Relationship Id="rId55" Type="http://schemas.openxmlformats.org/officeDocument/2006/relationships/hyperlink" Target="https://www.eesc.europa.eu/et/our-work/opinions-information-reports/opinions/circular-economy-act-circular-economy-and-responsible-resource-consumption-within-planetary-boundaries"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et/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et/our-work/opinions-information-reports/opinions/proposal-regulation-digital-networks-act-dna" TargetMode="External"/><Relationship Id="rId37" Type="http://schemas.openxmlformats.org/officeDocument/2006/relationships/hyperlink" Target="https://www.eesc.europa.eu/et/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et/our-work/opinions-information-reports/opinions/amendment-regulations-concerning-international-fisheries-nafo-sprfmo-iotc-wcpfc-iattc-and-iccat" TargetMode="External"/><Relationship Id="rId45" Type="http://schemas.openxmlformats.org/officeDocument/2006/relationships/hyperlink" Target="https://www.eesc.europa.eu/et/our-work/opinions-information-reports/opinions/fisheries-transposition-iattc-measures" TargetMode="External"/><Relationship Id="rId53" Type="http://schemas.openxmlformats.org/officeDocument/2006/relationships/hyperlink" Target="https://www.eesc.europa.eu/et/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et/our-work/opinions-information-reports/information-reports/evaluation-common-agricultural-policy-delivery-its-objectives" TargetMode="External"/><Relationship Id="rId66" Type="http://schemas.openxmlformats.org/officeDocument/2006/relationships/hyperlink" Target="https://www.eesc.europa.eu/et/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et/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et/our-work/opinions-information-reports/opinions/conservation-atlantic-tunas" TargetMode="External"/><Relationship Id="rId57" Type="http://schemas.openxmlformats.org/officeDocument/2006/relationships/hyperlink" Target="mailto:Alice.Senga@eesc.europa.eu" TargetMode="External"/><Relationship Id="rId61" Type="http://schemas.openxmlformats.org/officeDocument/2006/relationships/hyperlink" Target="mailto:Marco.Ristori@eesc.europa.e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et/our-work/opinions-information-reports/opinions/establishing-catch-documentation-programme-bluefin-tuna-thunnus-thynnus" TargetMode="External"/><Relationship Id="rId52" Type="http://schemas.openxmlformats.org/officeDocument/2006/relationships/hyperlink" Target="https://www.eesc.europa.eu/et/our-work/opinions-information-reports/opinions/prohibition-export-mixed-municipal-waste-destined-recovery" TargetMode="External"/><Relationship Id="rId60" Type="http://schemas.openxmlformats.org/officeDocument/2006/relationships/hyperlink" Target="https://www.eesc.europa.eu/et/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en/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et/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et/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et/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en/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et/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et/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et/documents/resolution/eesc-contribution-2027-european-commission-work-programme" TargetMode="External"/><Relationship Id="rId41" Type="http://schemas.openxmlformats.org/officeDocument/2006/relationships/hyperlink" Target="https://www.eesc.europa.eu/et/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et/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T/TXT/?uri=uriserv%3AOJ.C_.2020.232.01.0036.01.EST&amp;toc=OJ%3AC%3A2020%3A232%3ATOC" TargetMode="External"/><Relationship Id="rId3" Type="http://schemas.openxmlformats.org/officeDocument/2006/relationships/hyperlink" Target="https://eur-lex.europa.eu/legal-content/ET/TXT/?uri=CELEX%3A52022AE1131&amp;qid=1780293387219" TargetMode="External"/><Relationship Id="rId7" Type="http://schemas.openxmlformats.org/officeDocument/2006/relationships/hyperlink" Target="https://eur-lex.europa.eu/legal-content/ET/TXT/?uri=uriserv%3AOJ.C_.2020.429.01.0279.01.EST&amp;toc=OJ%3AC%3A2020%3A429%3ATOC" TargetMode="External"/><Relationship Id="rId12" Type="http://schemas.openxmlformats.org/officeDocument/2006/relationships/hyperlink" Target="https://eur-lex.europa.eu/legal-content/ET/TXT/?uri=celex:52021AE5496" TargetMode="External"/><Relationship Id="rId2" Type="http://schemas.openxmlformats.org/officeDocument/2006/relationships/hyperlink" Target="https://eur-lex.europa.eu/legal-content/ET/TXT/?uri=CELEX%3A52023AE2283&amp;qid=1780293582307" TargetMode="External"/><Relationship Id="rId1" Type="http://schemas.openxmlformats.org/officeDocument/2006/relationships/hyperlink" Target="https://eur-lex.europa.eu/legal-content/ET/TXT/?uri=CELEX%3A52025AE0766&amp;qid=1780294159425" TargetMode="External"/><Relationship Id="rId6" Type="http://schemas.openxmlformats.org/officeDocument/2006/relationships/hyperlink" Target="https://eur-lex.europa.eu/legal-content/ET/TXT/?uri=OJ:C:2021:056:TOC" TargetMode="External"/><Relationship Id="rId11" Type="http://schemas.openxmlformats.org/officeDocument/2006/relationships/hyperlink" Target="https://eur-lex.europa.eu/legal-content/ET/TXT/?uri=uriserv:OJ.C_.2016.303.01.0116.01.EST&amp;toc=OJ:C:2016:303:TOC" TargetMode="External"/><Relationship Id="rId5" Type="http://schemas.openxmlformats.org/officeDocument/2006/relationships/hyperlink" Target="https://eur-lex.europa.eu/legal-content/ET/TXT/PDF/?uri=CELEX:52020AE5637" TargetMode="External"/><Relationship Id="rId10" Type="http://schemas.openxmlformats.org/officeDocument/2006/relationships/hyperlink" Target="https://eur-lex.europa.eu/legal-content/ET/TXT/?uri=uriserv:OJ.C_.2017.034.01.0142.01.EST&amp;toc=OJ:C:2017:034:TOC" TargetMode="External"/><Relationship Id="rId4" Type="http://schemas.openxmlformats.org/officeDocument/2006/relationships/hyperlink" Target="https://eur-lex.europa.eu/legal-content/ET/TXT/?uri=CELEX%3A52022AE0101&amp;qid=1780293688920" TargetMode="External"/><Relationship Id="rId9" Type="http://schemas.openxmlformats.org/officeDocument/2006/relationships/hyperlink" Target="https://eur-lex.europa.eu/legal-content/ET/TXT/?uri=uriserv:OJ.C_.2019.159.01.0060.01.EST&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VP3JK3XSEPRV-1795132703-6053</_dlc_DocId>
    <_dlc_DocIdUrl xmlns="7d640e6d-779c-472f-a269-6b546787f1c9">
      <Url>http://dm/eesc/2026/_layouts/15/DocIdRedir.aspx?ID=VP3JK3XSEPRV-1795132703-6053</Url>
      <Description>VP3JK3XSEPRV-1795132703-6053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2026-07-03T12:00:00+00:00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Veermäe Ülle</DisplayName>
        <AccountId>1439</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F575FEE9-16E7-4012-9EB3-469641E70941}"/>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7995</Words>
  <Characters>46372</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Arvamuste kokkuvõte- 606. täiskogu - juuni 2026</dc:title>
  <dc:subject>ADMIN</dc:subject>
  <dc:creator/>
  <cp:keywords>COR-EESC-2022-02583-00-00-ADMIN-TRA-EN</cp:keywords>
  <dc:description>Rapporteur:  - Original language: EN - Date of document: 20/05/2022 - Date of meeting:  - External documents:  - Administrator:  SUCIU Serban</dc:description>
  <cp:lastModifiedBy/>
  <cp:revision>12</cp:revision>
  <dcterms:created xsi:type="dcterms:W3CDTF">2026-06-26T07:05:00Z</dcterms:created>
  <dcterms:modified xsi:type="dcterms:W3CDTF">2026-07-03T15:17:00Z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8ef9e57c-9558-4222-9627-da7670a80f16</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59;#SPL-CES|32d8cb1f-c9ec-4365-95c7-8385a18618ac;#55;#RO|feb747a2-64cd-4299-af12-4833ddc30497;#51;#LV|46f7e311-5d9f-4663-b433-18aeccb7ace7;#46;#DA|5d49c027-8956-412b-aa16-e85a0f96ad0e;#45;#SV|c2ed69e7-a339-43d7-8f22-d93680a92aa0;#44;#LT|a7ff5ce7-6123-4f68-865a-a57c31810414;#43;#BG|1a1b3951-7821-4e6a-85f5-5673fc08bd2c;#37;#HU|6b229040-c589-4408-b4c1-4285663d20a8;#36;#NL|55c6556c-b4f4-441d-9acf-c498d4f838bd;#34;#HR|2f555653-ed1a-4fe6-8362-9082d95989e5;#32;#PL|1e03da61-4678-4e07-b136-b5024ca9197b;#31;#SL|98a412ae-eb01-49e9-ae3d-585a81724cfc;#30;#SK|46d9fce0-ef79-4f71-b89b-cd6aa82426b8;#29;#CS|72f9705b-0217-4fd3-bea2-cbc7ed80e26e;#28;#PT|50ccc04a-eadd-42ae-a0cb-acaf45f812ba;#25;#FI|87606a43-d45f-42d6-b8c9-e1a3457db5b7;#23;#FR|d2afafd3-4c81-4f60-8f52-ee33f2f54ff3;#19;#Unrestricted|826e22d7-d029-4ec0-a450-0c28ff673572;#18;#TCD|cd9d6eb6-3f4f-424a-b2d1-57c9d450eaaf;#13;#IT|0774613c-01ed-4e5d-a25d-11d2388de825;#12;#ES|e7a6b05b-ae16-40c8-add9-68b64b03aeba;#11;#DE|f6b31e5a-26fa-4935-b661-318e46daf27e;#9;#TRA|150d2a88-1431-44e6-a8ca-0bb753ab8672;#7;#Final|ea5e6674-7b27-4bac-b091-73adbb394efe;#4;#EN|f2175f21-25d7-44a3-96da-d6a61b075e1b;#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27;#ET|ff6c3f4c-b02c-4c3c-ab07-2c37995a7a0a</vt:lpwstr>
  </property>
  <property fmtid="{D5CDD505-2E9C-101B-9397-08002B2CF9AE}" pid="33" name="AvailableTranslations_0">
    <vt:lpwstr>LV|46f7e311-5d9f-4663-b433-18aeccb7ace7;SL|98a412ae-eb01-49e9-ae3d-585a81724cfc;FI|87606a43-d45f-42d6-b8c9-e1a3457db5b7;PT|50ccc04a-eadd-42ae-a0cb-acaf45f812ba;SK|46d9fce0-ef79-4f71-b89b-cd6aa82426b8;LT|a7ff5ce7-6123-4f68-865a-a57c31810414;BG|1a1b3951-7821-4e6a-85f5-5673fc08bd2c;SV|c2ed69e7-a339-43d7-8f22-d93680a92aa0;PL|1e03da61-4678-4e07-b136-b5024ca9197b;HR|2f555653-ed1a-4fe6-8362-9082d95989e5;CS|72f9705b-0217-4fd3-bea2-cbc7ed80e26e;NL|55c6556c-b4f4-441d-9acf-c498d4f838bd;RO|feb747a2-64cd-4299-af12-4833ddc30497;HU|6b229040-c589-4408-b4c1-4285663d20a8;DA|5d49c027-8956-412b-aa16-e85a0f96ad0e;FR|d2afafd3-4c81-4f60-8f52-ee33f2f54ff3;IT|0774613c-01ed-4e5d-a25d-11d2388de825;ES|e7a6b05b-ae16-40c8-add9-68b64b03aeba;EN|f2175f21-25d7-44a3-96da-d6a61b075e1b;DE|f6b31e5a-26fa-4935-b661-318e46daf27e</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