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554137" w:rsidRDefault="00077C4F" w:rsidP="00554137">
      <w:pPr>
        <w:spacing w:after="0" w:line="240" w:lineRule="auto"/>
        <w:ind w:left="-709"/>
        <w:rPr>
          <w:rFonts w:ascii="Times New Roman" w:hAnsi="Times New Roman"/>
          <w:bCs/>
          <w:sz w:val="4"/>
          <w:szCs w:val="4"/>
        </w:rPr>
      </w:pPr>
    </w:p>
    <w:tbl>
      <w:tblPr>
        <w:tblW w:w="1024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243"/>
      </w:tblGrid>
      <w:tr w:rsidR="001C4138" w:rsidRPr="00442552" w14:paraId="7E6372DC" w14:textId="77777777" w:rsidTr="64309751">
        <w:trPr>
          <w:jc w:val="center"/>
        </w:trPr>
        <w:tc>
          <w:tcPr>
            <w:tcW w:w="10243" w:type="dxa"/>
          </w:tcPr>
          <w:p w14:paraId="3A4EDC3A" w14:textId="66DBBDF6" w:rsidR="001C4138" w:rsidRPr="00C25FBA" w:rsidRDefault="00124EA4" w:rsidP="00C25FBA">
            <w:pPr>
              <w:pStyle w:val="ListData"/>
              <w:spacing w:before="120" w:after="120" w:line="276" w:lineRule="auto"/>
              <w:ind w:left="-45" w:right="102"/>
              <w:rPr>
                <w:rFonts w:ascii="Times New Roman" w:hAnsi="Times New Roman" w:cs="Times New Roman"/>
                <w:color w:val="auto"/>
                <w:sz w:val="24"/>
                <w:szCs w:val="24"/>
                <w:lang w:val="en-IE"/>
              </w:rPr>
            </w:pPr>
            <w:r w:rsidRPr="003B57C0">
              <w:rPr>
                <w:rFonts w:ascii="Times New Roman" w:hAnsi="Times New Roman" w:cs="Times New Roman"/>
                <w:b/>
                <w:sz w:val="24"/>
                <w:szCs w:val="24"/>
                <w:lang w:val="en-GB"/>
              </w:rPr>
              <w:t xml:space="preserve">Digital Omnibus </w:t>
            </w:r>
            <w:r w:rsidR="00554137" w:rsidRPr="003B57C0">
              <w:rPr>
                <w:rFonts w:ascii="Times New Roman" w:hAnsi="Times New Roman" w:cs="Times New Roman"/>
                <w:b/>
                <w:sz w:val="24"/>
                <w:szCs w:val="24"/>
                <w:lang w:val="en-GB"/>
              </w:rPr>
              <w:br/>
            </w:r>
            <w:r w:rsidR="003B57C0">
              <w:rPr>
                <w:rFonts w:ascii="Times New Roman" w:hAnsi="Times New Roman" w:cs="Times New Roman"/>
                <w:b/>
                <w:sz w:val="24"/>
                <w:szCs w:val="24"/>
                <w:lang w:val="en-IE"/>
              </w:rPr>
              <w:t>(mandatory opinion)</w:t>
            </w:r>
            <w:r w:rsidR="003B57C0">
              <w:rPr>
                <w:rFonts w:ascii="Times New Roman" w:hAnsi="Times New Roman" w:cs="Times New Roman"/>
                <w:b/>
                <w:sz w:val="24"/>
                <w:szCs w:val="24"/>
                <w:lang w:val="en-IE"/>
              </w:rPr>
              <w:br/>
            </w:r>
            <w:proofErr w:type="gramStart"/>
            <w:r w:rsidR="003B57C0">
              <w:rPr>
                <w:rFonts w:ascii="Times New Roman" w:hAnsi="Times New Roman" w:cs="Times New Roman"/>
                <w:b/>
                <w:sz w:val="24"/>
                <w:szCs w:val="24"/>
                <w:lang w:val="en-IE"/>
              </w:rPr>
              <w:t>COM(</w:t>
            </w:r>
            <w:proofErr w:type="gramEnd"/>
            <w:r w:rsidR="003B57C0">
              <w:rPr>
                <w:rFonts w:ascii="Times New Roman" w:hAnsi="Times New Roman" w:cs="Times New Roman"/>
                <w:b/>
                <w:sz w:val="24"/>
                <w:szCs w:val="24"/>
                <w:lang w:val="en-IE"/>
              </w:rPr>
              <w:t>2025)</w:t>
            </w:r>
            <w:r w:rsidR="000C696A">
              <w:rPr>
                <w:rFonts w:ascii="Times New Roman" w:hAnsi="Times New Roman" w:cs="Times New Roman"/>
                <w:b/>
                <w:sz w:val="24"/>
                <w:szCs w:val="24"/>
                <w:lang w:val="en-IE"/>
              </w:rPr>
              <w:t xml:space="preserve"> </w:t>
            </w:r>
            <w:r w:rsidR="003B57C0">
              <w:rPr>
                <w:rFonts w:ascii="Times New Roman" w:hAnsi="Times New Roman" w:cs="Times New Roman"/>
                <w:b/>
                <w:sz w:val="24"/>
                <w:szCs w:val="24"/>
                <w:lang w:val="en-IE"/>
              </w:rPr>
              <w:t>836 final,</w:t>
            </w:r>
            <w:r w:rsidR="001C4138" w:rsidRPr="003B57C0">
              <w:rPr>
                <w:rFonts w:ascii="Times New Roman" w:hAnsi="Times New Roman" w:cs="Times New Roman"/>
                <w:b/>
                <w:sz w:val="24"/>
                <w:szCs w:val="24"/>
                <w:lang w:val="en-IE"/>
              </w:rPr>
              <w:br/>
            </w:r>
            <w:r w:rsidRPr="003B57C0">
              <w:rPr>
                <w:rFonts w:ascii="Times New Roman" w:hAnsi="Times New Roman" w:cs="Times New Roman"/>
                <w:b/>
                <w:sz w:val="24"/>
                <w:szCs w:val="24"/>
                <w:lang w:val="en-IE"/>
              </w:rPr>
              <w:t>COM</w:t>
            </w:r>
            <w:r w:rsidR="00D5149D" w:rsidRPr="003B57C0">
              <w:rPr>
                <w:rFonts w:ascii="Times New Roman" w:hAnsi="Times New Roman" w:cs="Times New Roman"/>
                <w:b/>
                <w:sz w:val="24"/>
                <w:szCs w:val="24"/>
                <w:lang w:val="en-IE"/>
              </w:rPr>
              <w:t xml:space="preserve"> </w:t>
            </w:r>
            <w:r w:rsidRPr="003B57C0">
              <w:rPr>
                <w:rFonts w:ascii="Times New Roman" w:hAnsi="Times New Roman" w:cs="Times New Roman"/>
                <w:b/>
                <w:sz w:val="24"/>
                <w:szCs w:val="24"/>
                <w:lang w:val="en-IE"/>
              </w:rPr>
              <w:t>(2025) 837 final</w:t>
            </w:r>
            <w:r w:rsidR="001C4138" w:rsidRPr="003B57C0">
              <w:rPr>
                <w:rFonts w:ascii="Times New Roman" w:hAnsi="Times New Roman" w:cs="Times New Roman"/>
                <w:b/>
                <w:sz w:val="24"/>
                <w:szCs w:val="24"/>
                <w:lang w:val="en-IE"/>
              </w:rPr>
              <w:br/>
            </w:r>
            <w:r w:rsidRPr="003B57C0">
              <w:rPr>
                <w:rFonts w:ascii="Times New Roman" w:hAnsi="Times New Roman" w:cs="Times New Roman"/>
                <w:b/>
                <w:sz w:val="24"/>
                <w:szCs w:val="24"/>
                <w:lang w:val="en-IE"/>
              </w:rPr>
              <w:t>EESC-2025-03929-</w:t>
            </w:r>
            <w:r w:rsidR="00D5149D" w:rsidRPr="003B57C0">
              <w:rPr>
                <w:rFonts w:ascii="Times New Roman" w:hAnsi="Times New Roman" w:cs="Times New Roman"/>
                <w:b/>
                <w:sz w:val="24"/>
                <w:szCs w:val="24"/>
                <w:lang w:val="en-IE"/>
              </w:rPr>
              <w:t xml:space="preserve"> </w:t>
            </w:r>
            <w:r w:rsidR="001C4138" w:rsidRPr="003B57C0">
              <w:rPr>
                <w:rFonts w:ascii="Times New Roman" w:hAnsi="Times New Roman" w:cs="Times New Roman"/>
                <w:b/>
                <w:sz w:val="24"/>
                <w:szCs w:val="24"/>
                <w:lang w:val="en-GB"/>
              </w:rPr>
              <w:t xml:space="preserve">‒ </w:t>
            </w:r>
            <w:r w:rsidRPr="003B57C0">
              <w:rPr>
                <w:rFonts w:ascii="Times New Roman" w:hAnsi="Times New Roman" w:cs="Times New Roman"/>
                <w:b/>
                <w:sz w:val="24"/>
                <w:szCs w:val="24"/>
                <w:lang w:val="en-GB"/>
              </w:rPr>
              <w:t>INT/1108</w:t>
            </w:r>
            <w:r w:rsidR="001C4138" w:rsidRPr="003B57C0">
              <w:rPr>
                <w:rFonts w:ascii="Times New Roman" w:hAnsi="Times New Roman" w:cs="Times New Roman"/>
                <w:b/>
                <w:sz w:val="24"/>
                <w:szCs w:val="24"/>
                <w:lang w:val="en-GB"/>
              </w:rPr>
              <w:br/>
            </w:r>
            <w:r w:rsidRPr="003B57C0">
              <w:rPr>
                <w:rFonts w:ascii="Times New Roman" w:hAnsi="Times New Roman" w:cs="Times New Roman"/>
                <w:b/>
                <w:sz w:val="24"/>
                <w:szCs w:val="24"/>
                <w:lang w:val="en-GB"/>
              </w:rPr>
              <w:t>604</w:t>
            </w:r>
            <w:proofErr w:type="spellStart"/>
            <w:r w:rsidR="001C4138" w:rsidRPr="00C25FBA">
              <w:rPr>
                <w:rFonts w:ascii="Times New Roman" w:hAnsi="Times New Roman" w:cs="Times New Roman"/>
                <w:b/>
                <w:sz w:val="24"/>
                <w:szCs w:val="24"/>
                <w:vertAlign w:val="superscript"/>
                <w:lang w:val="en-IE"/>
              </w:rPr>
              <w:t>th</w:t>
            </w:r>
            <w:proofErr w:type="spellEnd"/>
            <w:r w:rsidR="001C4138" w:rsidRPr="00C25FBA">
              <w:rPr>
                <w:rFonts w:ascii="Times New Roman" w:hAnsi="Times New Roman" w:cs="Times New Roman"/>
                <w:b/>
                <w:sz w:val="24"/>
                <w:szCs w:val="24"/>
                <w:lang w:val="en-IE"/>
              </w:rPr>
              <w:t xml:space="preserve"> </w:t>
            </w:r>
            <w:r w:rsidR="001C4138" w:rsidRPr="003B57C0">
              <w:rPr>
                <w:rFonts w:ascii="Times New Roman" w:hAnsi="Times New Roman" w:cs="Times New Roman"/>
                <w:b/>
                <w:sz w:val="24"/>
                <w:szCs w:val="24"/>
                <w:lang w:val="en-GB"/>
              </w:rPr>
              <w:t xml:space="preserve">Plenary Session – </w:t>
            </w:r>
            <w:r w:rsidRPr="003B57C0">
              <w:rPr>
                <w:rFonts w:ascii="Times New Roman" w:hAnsi="Times New Roman" w:cs="Times New Roman"/>
                <w:b/>
                <w:sz w:val="24"/>
                <w:szCs w:val="24"/>
                <w:lang w:val="en-GB"/>
              </w:rPr>
              <w:t>March 2026</w:t>
            </w:r>
            <w:r w:rsidR="001C4138" w:rsidRPr="003B57C0">
              <w:rPr>
                <w:rFonts w:ascii="Times New Roman" w:hAnsi="Times New Roman" w:cs="Times New Roman"/>
                <w:b/>
                <w:sz w:val="24"/>
                <w:szCs w:val="24"/>
                <w:lang w:val="en-GB"/>
              </w:rPr>
              <w:br/>
              <w:t xml:space="preserve">Rapporteur: </w:t>
            </w:r>
            <w:r w:rsidRPr="003B57C0">
              <w:rPr>
                <w:rFonts w:ascii="Times New Roman" w:hAnsi="Times New Roman" w:cs="Times New Roman"/>
                <w:b/>
                <w:sz w:val="24"/>
                <w:szCs w:val="24"/>
                <w:lang w:val="en-GB"/>
              </w:rPr>
              <w:t>Heiko WILLEMS (DE-I)</w:t>
            </w:r>
            <w:r w:rsidR="001C4138" w:rsidRPr="003B57C0">
              <w:rPr>
                <w:rFonts w:ascii="Times New Roman" w:hAnsi="Times New Roman" w:cs="Times New Roman"/>
                <w:b/>
                <w:sz w:val="24"/>
                <w:szCs w:val="24"/>
                <w:lang w:val="en-GB"/>
              </w:rPr>
              <w:br/>
              <w:t xml:space="preserve">DG </w:t>
            </w:r>
            <w:r w:rsidRPr="003B57C0">
              <w:rPr>
                <w:rFonts w:ascii="Times New Roman" w:hAnsi="Times New Roman" w:cs="Times New Roman"/>
                <w:b/>
                <w:sz w:val="24"/>
                <w:szCs w:val="24"/>
                <w:lang w:val="en-GB"/>
              </w:rPr>
              <w:t>CNECT</w:t>
            </w:r>
            <w:r w:rsidR="001C4138" w:rsidRPr="003B57C0">
              <w:rPr>
                <w:rFonts w:ascii="Times New Roman" w:hAnsi="Times New Roman" w:cs="Times New Roman"/>
                <w:b/>
                <w:sz w:val="24"/>
                <w:szCs w:val="24"/>
                <w:lang w:val="en-GB"/>
              </w:rPr>
              <w:t xml:space="preserve"> –</w:t>
            </w:r>
            <w:r w:rsidRPr="003B57C0">
              <w:rPr>
                <w:rFonts w:ascii="Times New Roman" w:hAnsi="Times New Roman" w:cs="Times New Roman"/>
                <w:b/>
                <w:sz w:val="24"/>
                <w:szCs w:val="24"/>
                <w:lang w:val="en-GB"/>
              </w:rPr>
              <w:t xml:space="preserve"> </w:t>
            </w:r>
            <w:r w:rsidR="004A7932" w:rsidRPr="003B57C0">
              <w:rPr>
                <w:rFonts w:ascii="Times New Roman" w:hAnsi="Times New Roman" w:cs="Times New Roman"/>
                <w:b/>
                <w:bCs/>
                <w:kern w:val="28"/>
                <w:sz w:val="24"/>
                <w:szCs w:val="24"/>
                <w:lang w:val="en-GB"/>
              </w:rPr>
              <w:t>Executive Vice-President</w:t>
            </w:r>
            <w:r w:rsidR="001C4138" w:rsidRPr="003B57C0">
              <w:rPr>
                <w:rFonts w:ascii="Times New Roman" w:hAnsi="Times New Roman" w:cs="Times New Roman"/>
                <w:b/>
                <w:sz w:val="24"/>
                <w:szCs w:val="24"/>
                <w:lang w:val="en-GB"/>
              </w:rPr>
              <w:t xml:space="preserve"> </w:t>
            </w:r>
            <w:r w:rsidRPr="003B57C0">
              <w:rPr>
                <w:rFonts w:ascii="Times New Roman" w:hAnsi="Times New Roman" w:cs="Times New Roman"/>
                <w:b/>
                <w:sz w:val="24"/>
                <w:szCs w:val="24"/>
                <w:lang w:val="en-GB"/>
              </w:rPr>
              <w:t>VIRKKUNEN</w:t>
            </w:r>
          </w:p>
        </w:tc>
      </w:tr>
      <w:tr w:rsidR="00734613" w:rsidRPr="00442552" w14:paraId="1937071F" w14:textId="77777777" w:rsidTr="64309751">
        <w:trPr>
          <w:jc w:val="center"/>
        </w:trPr>
        <w:tc>
          <w:tcPr>
            <w:tcW w:w="10243" w:type="dxa"/>
          </w:tcPr>
          <w:p w14:paraId="1E50B4DB" w14:textId="6210B328"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 xml:space="preserve">European Commission position on points </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554137">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1C26" w14:paraId="673DDC1B" w14:textId="77777777" w:rsidTr="64309751">
        <w:trPr>
          <w:jc w:val="center"/>
        </w:trPr>
        <w:tc>
          <w:tcPr>
            <w:tcW w:w="10243" w:type="dxa"/>
          </w:tcPr>
          <w:p w14:paraId="65329F81" w14:textId="63FF53ED" w:rsidR="00124EA4" w:rsidRPr="00D5149D" w:rsidRDefault="0AB23863" w:rsidP="00D5149D">
            <w:pPr>
              <w:spacing w:before="120" w:after="120"/>
              <w:jc w:val="both"/>
              <w:rPr>
                <w:rFonts w:ascii="Times New Roman" w:eastAsia="Aptos" w:hAnsi="Times New Roman"/>
                <w:sz w:val="24"/>
                <w:szCs w:val="24"/>
                <w:lang w:val="en-US"/>
              </w:rPr>
            </w:pPr>
            <w:r w:rsidRPr="00D5149D">
              <w:rPr>
                <w:rFonts w:ascii="Times New Roman" w:eastAsia="Aptos" w:hAnsi="Times New Roman"/>
                <w:sz w:val="24"/>
                <w:szCs w:val="24"/>
                <w:lang w:val="en-US"/>
              </w:rPr>
              <w:t xml:space="preserve">The Commission welcomes the Committee’s opinion on the Digital and AI Omnibuses, which supports </w:t>
            </w:r>
            <w:r w:rsidR="3519E50F" w:rsidRPr="00D5149D">
              <w:rPr>
                <w:rFonts w:ascii="Times New Roman" w:eastAsia="Aptos" w:hAnsi="Times New Roman"/>
                <w:sz w:val="24"/>
                <w:szCs w:val="24"/>
                <w:lang w:val="en-US"/>
              </w:rPr>
              <w:t xml:space="preserve">the </w:t>
            </w:r>
            <w:r w:rsidRPr="00D5149D">
              <w:rPr>
                <w:rFonts w:ascii="Times New Roman" w:eastAsia="Aptos" w:hAnsi="Times New Roman"/>
                <w:sz w:val="24"/>
                <w:szCs w:val="24"/>
                <w:lang w:val="en-US"/>
              </w:rPr>
              <w:t xml:space="preserve">proposals’ </w:t>
            </w:r>
            <w:r w:rsidR="79F102F3" w:rsidRPr="00D5149D">
              <w:rPr>
                <w:rFonts w:ascii="Times New Roman" w:eastAsia="Aptos" w:hAnsi="Times New Roman"/>
                <w:sz w:val="24"/>
                <w:szCs w:val="24"/>
                <w:lang w:val="en-US"/>
              </w:rPr>
              <w:t>core objectives</w:t>
            </w:r>
            <w:r w:rsidRPr="00D5149D">
              <w:rPr>
                <w:rFonts w:ascii="Times New Roman" w:eastAsia="Aptos" w:hAnsi="Times New Roman"/>
                <w:sz w:val="24"/>
                <w:szCs w:val="24"/>
                <w:lang w:val="en-US"/>
              </w:rPr>
              <w:t xml:space="preserve"> of simplifying the digital rulebook and reducing </w:t>
            </w:r>
            <w:r w:rsidR="139ED24F" w:rsidRPr="00D5149D">
              <w:rPr>
                <w:rFonts w:ascii="Times New Roman" w:eastAsia="Aptos" w:hAnsi="Times New Roman"/>
                <w:sz w:val="24"/>
                <w:szCs w:val="24"/>
                <w:lang w:val="en-US"/>
              </w:rPr>
              <w:t>administrative burdens</w:t>
            </w:r>
            <w:r w:rsidRPr="00D5149D">
              <w:rPr>
                <w:rFonts w:ascii="Times New Roman" w:eastAsia="Aptos" w:hAnsi="Times New Roman"/>
                <w:sz w:val="24"/>
                <w:szCs w:val="24"/>
                <w:lang w:val="en-US"/>
              </w:rPr>
              <w:t xml:space="preserve"> while upholding fundamental rights, innovation, and competitiveness. </w:t>
            </w:r>
          </w:p>
          <w:p w14:paraId="57E3966E" w14:textId="1375AAC6" w:rsidR="00124EA4" w:rsidRPr="00D5149D" w:rsidRDefault="240F35DF" w:rsidP="00D5149D">
            <w:pPr>
              <w:pStyle w:val="ListParagraph"/>
              <w:numPr>
                <w:ilvl w:val="0"/>
                <w:numId w:val="2"/>
              </w:numPr>
              <w:spacing w:before="120" w:after="120"/>
              <w:jc w:val="both"/>
              <w:rPr>
                <w:rFonts w:ascii="Times New Roman" w:eastAsia="Aptos" w:hAnsi="Times New Roman"/>
                <w:b/>
                <w:bCs/>
                <w:sz w:val="24"/>
                <w:szCs w:val="24"/>
                <w:lang w:val="en-US"/>
              </w:rPr>
            </w:pPr>
            <w:r w:rsidRPr="00D5149D">
              <w:rPr>
                <w:rFonts w:ascii="Times New Roman" w:eastAsia="Aptos" w:hAnsi="Times New Roman"/>
                <w:b/>
                <w:bCs/>
                <w:sz w:val="24"/>
                <w:szCs w:val="24"/>
                <w:lang w:val="en-US"/>
              </w:rPr>
              <w:t xml:space="preserve">Digital Omnibus </w:t>
            </w:r>
            <w:r w:rsidR="476F1148" w:rsidRPr="00D5149D">
              <w:rPr>
                <w:rFonts w:ascii="Times New Roman" w:eastAsia="Aptos" w:hAnsi="Times New Roman"/>
                <w:b/>
                <w:bCs/>
                <w:sz w:val="24"/>
                <w:szCs w:val="24"/>
                <w:lang w:val="en-US"/>
              </w:rPr>
              <w:t xml:space="preserve">on AI </w:t>
            </w:r>
          </w:p>
          <w:p w14:paraId="509C4A13" w14:textId="5DE01C40" w:rsidR="00124EA4" w:rsidRPr="00D5149D" w:rsidRDefault="23DB442D" w:rsidP="00D5149D">
            <w:pPr>
              <w:spacing w:before="120" w:after="120"/>
              <w:jc w:val="both"/>
              <w:rPr>
                <w:rFonts w:ascii="Times New Roman" w:eastAsia="Aptos" w:hAnsi="Times New Roman"/>
                <w:sz w:val="24"/>
                <w:szCs w:val="24"/>
              </w:rPr>
            </w:pPr>
            <w:r w:rsidRPr="00D5149D">
              <w:rPr>
                <w:rFonts w:ascii="Times New Roman" w:eastAsia="Aptos" w:hAnsi="Times New Roman"/>
                <w:sz w:val="24"/>
                <w:szCs w:val="24"/>
                <w:lang w:val="en-US"/>
              </w:rPr>
              <w:t>T</w:t>
            </w:r>
            <w:r w:rsidR="11097C20" w:rsidRPr="00D5149D">
              <w:rPr>
                <w:rFonts w:ascii="Times New Roman" w:eastAsia="Aptos" w:hAnsi="Times New Roman"/>
                <w:sz w:val="24"/>
                <w:szCs w:val="24"/>
                <w:lang w:val="en-US"/>
              </w:rPr>
              <w:t>he Commission appreciates the Committee’s support for the proposals in the AI Omnibus</w:t>
            </w:r>
            <w:r w:rsidR="003B57C0">
              <w:rPr>
                <w:rStyle w:val="FootnoteReference"/>
                <w:rFonts w:ascii="Times New Roman" w:eastAsia="Aptos" w:hAnsi="Times New Roman"/>
                <w:sz w:val="24"/>
                <w:szCs w:val="24"/>
                <w:lang w:val="en-US"/>
              </w:rPr>
              <w:footnoteReference w:id="1"/>
            </w:r>
            <w:r w:rsidR="11097C20" w:rsidRPr="00D5149D">
              <w:rPr>
                <w:rFonts w:ascii="Times New Roman" w:eastAsia="Aptos" w:hAnsi="Times New Roman"/>
                <w:sz w:val="24"/>
                <w:szCs w:val="24"/>
                <w:lang w:val="en-US"/>
              </w:rPr>
              <w:t xml:space="preserve"> relating to a</w:t>
            </w:r>
            <w:r w:rsidR="003B57C0">
              <w:rPr>
                <w:rFonts w:ascii="Times New Roman" w:eastAsia="Aptos" w:hAnsi="Times New Roman"/>
                <w:sz w:val="24"/>
                <w:szCs w:val="24"/>
                <w:lang w:val="en-US"/>
              </w:rPr>
              <w:t> </w:t>
            </w:r>
            <w:r w:rsidR="11097C20" w:rsidRPr="00D5149D">
              <w:rPr>
                <w:rFonts w:ascii="Times New Roman" w:eastAsia="Aptos" w:hAnsi="Times New Roman"/>
                <w:sz w:val="24"/>
                <w:szCs w:val="24"/>
                <w:lang w:val="en-US"/>
              </w:rPr>
              <w:t xml:space="preserve">simplified regulatory framework </w:t>
            </w:r>
            <w:r w:rsidR="11097C20" w:rsidRPr="00D5149D">
              <w:rPr>
                <w:rFonts w:ascii="Times New Roman" w:eastAsia="Aptos" w:hAnsi="Times New Roman"/>
                <w:sz w:val="24"/>
                <w:szCs w:val="24"/>
              </w:rPr>
              <w:t xml:space="preserve">for small and medium-sized enterprises (SMEs) and small mid-caps (SMCs), the establishment of regulatory sandboxes by the AI Office, the provision of an appropriate framework for the use of data in the development of AI systems and the extension of the application deadlines for obligations relating to high-risk AI systems. </w:t>
            </w:r>
            <w:r w:rsidR="1CA83D13" w:rsidRPr="00D5149D">
              <w:rPr>
                <w:rFonts w:ascii="Times New Roman" w:eastAsia="Aptos" w:hAnsi="Times New Roman"/>
                <w:sz w:val="24"/>
                <w:szCs w:val="24"/>
              </w:rPr>
              <w:t xml:space="preserve">Regarding </w:t>
            </w:r>
            <w:r w:rsidR="11097C20" w:rsidRPr="00D5149D">
              <w:rPr>
                <w:rFonts w:ascii="Times New Roman" w:eastAsia="Aptos" w:hAnsi="Times New Roman"/>
                <w:sz w:val="24"/>
                <w:szCs w:val="24"/>
              </w:rPr>
              <w:t>the latter</w:t>
            </w:r>
            <w:r w:rsidR="11097C20" w:rsidRPr="00D5149D">
              <w:rPr>
                <w:rFonts w:ascii="Times New Roman" w:eastAsia="Aptos" w:hAnsi="Times New Roman"/>
                <w:sz w:val="24"/>
                <w:szCs w:val="24"/>
                <w:lang w:val="en-US"/>
              </w:rPr>
              <w:t xml:space="preserve">, it should be clarified that the purpose of the proposed extension is indeed to ensure better alignment between the applicability of </w:t>
            </w:r>
            <w:r w:rsidR="4DFD18BC" w:rsidRPr="00D5149D">
              <w:rPr>
                <w:rFonts w:ascii="Times New Roman" w:eastAsia="Aptos" w:hAnsi="Times New Roman"/>
                <w:sz w:val="24"/>
                <w:szCs w:val="24"/>
                <w:lang w:val="en-US"/>
              </w:rPr>
              <w:t xml:space="preserve">the </w:t>
            </w:r>
            <w:r w:rsidR="11097C20" w:rsidRPr="00D5149D">
              <w:rPr>
                <w:rFonts w:ascii="Times New Roman" w:eastAsia="Aptos" w:hAnsi="Times New Roman"/>
                <w:sz w:val="24"/>
                <w:szCs w:val="24"/>
              </w:rPr>
              <w:t xml:space="preserve">obligations for high-risk AI systems and </w:t>
            </w:r>
            <w:r w:rsidR="11097C20" w:rsidRPr="00D5149D">
              <w:rPr>
                <w:rFonts w:ascii="Times New Roman" w:eastAsia="Aptos" w:hAnsi="Times New Roman"/>
                <w:sz w:val="24"/>
                <w:szCs w:val="24"/>
                <w:lang w:val="en-US"/>
              </w:rPr>
              <w:t xml:space="preserve">the availability of the relevant standards and other support tools. </w:t>
            </w:r>
            <w:r w:rsidR="11097C20" w:rsidRPr="00D5149D">
              <w:rPr>
                <w:rFonts w:ascii="Times New Roman" w:eastAsia="Aptos" w:hAnsi="Times New Roman"/>
                <w:sz w:val="24"/>
                <w:szCs w:val="24"/>
              </w:rPr>
              <w:t xml:space="preserve">At the same time, </w:t>
            </w:r>
            <w:r w:rsidR="11097C20" w:rsidRPr="00D5149D">
              <w:rPr>
                <w:rFonts w:ascii="Times New Roman" w:eastAsia="Aptos" w:hAnsi="Times New Roman"/>
                <w:sz w:val="24"/>
                <w:szCs w:val="24"/>
                <w:lang w:val="en-US"/>
              </w:rPr>
              <w:t>for purposes of legal certainty and to ensure that rules which are central to</w:t>
            </w:r>
            <w:r w:rsidR="11097C20" w:rsidRPr="00D5149D">
              <w:rPr>
                <w:rFonts w:ascii="Times New Roman" w:eastAsia="Aptos" w:hAnsi="Times New Roman"/>
                <w:sz w:val="24"/>
                <w:szCs w:val="24"/>
              </w:rPr>
              <w:t xml:space="preserve"> achieving trustworthy AI do not remain inapplicable for an indefinite period, the postponement must remain clearly limited in time.</w:t>
            </w:r>
          </w:p>
          <w:p w14:paraId="051D03DD" w14:textId="273E2947" w:rsidR="00124EA4" w:rsidRPr="00D5149D" w:rsidRDefault="11097C20" w:rsidP="00D5149D">
            <w:pPr>
              <w:spacing w:after="160"/>
              <w:jc w:val="both"/>
              <w:rPr>
                <w:rFonts w:ascii="Times New Roman" w:eastAsia="Aptos" w:hAnsi="Times New Roman"/>
                <w:sz w:val="24"/>
                <w:szCs w:val="24"/>
              </w:rPr>
            </w:pPr>
            <w:r w:rsidRPr="00D5149D">
              <w:rPr>
                <w:rFonts w:ascii="Times New Roman" w:eastAsia="Aptos" w:hAnsi="Times New Roman"/>
                <w:sz w:val="24"/>
                <w:szCs w:val="24"/>
              </w:rPr>
              <w:t xml:space="preserve">The Commission takes note of the Committee’s proposal that, where specific risks arise, sectoral rules should be developed, </w:t>
            </w:r>
            <w:r w:rsidR="04FA5C81" w:rsidRPr="00D5149D">
              <w:rPr>
                <w:rFonts w:ascii="Times New Roman" w:eastAsia="Aptos" w:hAnsi="Times New Roman"/>
                <w:sz w:val="24"/>
                <w:szCs w:val="24"/>
              </w:rPr>
              <w:t>considering</w:t>
            </w:r>
            <w:r w:rsidRPr="00D5149D">
              <w:rPr>
                <w:rFonts w:ascii="Times New Roman" w:eastAsia="Aptos" w:hAnsi="Times New Roman"/>
                <w:sz w:val="24"/>
                <w:szCs w:val="24"/>
              </w:rPr>
              <w:t xml:space="preserve"> the position of social partners, civil society and others. </w:t>
            </w:r>
          </w:p>
          <w:p w14:paraId="19BDE807" w14:textId="1F4A0A17" w:rsidR="00124EA4" w:rsidRPr="00D5149D" w:rsidRDefault="11097C20" w:rsidP="00D5149D">
            <w:pPr>
              <w:spacing w:after="160"/>
              <w:jc w:val="both"/>
              <w:rPr>
                <w:rFonts w:ascii="Times New Roman" w:eastAsia="Aptos" w:hAnsi="Times New Roman"/>
                <w:sz w:val="24"/>
                <w:szCs w:val="24"/>
              </w:rPr>
            </w:pPr>
            <w:r w:rsidRPr="00D5149D">
              <w:rPr>
                <w:rFonts w:ascii="Times New Roman" w:eastAsia="Aptos" w:hAnsi="Times New Roman"/>
                <w:sz w:val="24"/>
                <w:szCs w:val="24"/>
              </w:rPr>
              <w:t>The Commission agrees that coherence should be ensured between the AI Act</w:t>
            </w:r>
            <w:r w:rsidR="003B57C0">
              <w:rPr>
                <w:rStyle w:val="FootnoteReference"/>
                <w:rFonts w:ascii="Times New Roman" w:eastAsia="Aptos" w:hAnsi="Times New Roman"/>
                <w:sz w:val="24"/>
                <w:szCs w:val="24"/>
              </w:rPr>
              <w:footnoteReference w:id="2"/>
            </w:r>
            <w:r w:rsidRPr="00D5149D">
              <w:rPr>
                <w:rFonts w:ascii="Times New Roman" w:eastAsia="Aptos" w:hAnsi="Times New Roman"/>
                <w:sz w:val="24"/>
                <w:szCs w:val="24"/>
              </w:rPr>
              <w:t xml:space="preserve">, Union product safety legislation and other sector-specific rules. In this regard, the </w:t>
            </w:r>
            <w:r w:rsidR="20222DBB" w:rsidRPr="00D5149D">
              <w:rPr>
                <w:rFonts w:ascii="Times New Roman" w:eastAsia="Aptos" w:hAnsi="Times New Roman"/>
                <w:sz w:val="24"/>
                <w:szCs w:val="24"/>
              </w:rPr>
              <w:t>amendments made via</w:t>
            </w:r>
            <w:r w:rsidRPr="00D5149D">
              <w:rPr>
                <w:rFonts w:ascii="Times New Roman" w:eastAsia="Aptos" w:hAnsi="Times New Roman"/>
                <w:sz w:val="24"/>
                <w:szCs w:val="24"/>
              </w:rPr>
              <w:t xml:space="preserve"> the AI Omnibus will further facilitate the practical implementation of the AI Act alongside sectoral legislation.</w:t>
            </w:r>
          </w:p>
          <w:p w14:paraId="373E9251" w14:textId="2BB7B360" w:rsidR="00124EA4" w:rsidRDefault="11097C20" w:rsidP="00D5149D">
            <w:pPr>
              <w:spacing w:after="160"/>
              <w:jc w:val="both"/>
              <w:rPr>
                <w:rFonts w:ascii="Times New Roman" w:eastAsia="Aptos" w:hAnsi="Times New Roman"/>
                <w:sz w:val="24"/>
                <w:szCs w:val="24"/>
              </w:rPr>
            </w:pPr>
            <w:r w:rsidRPr="00D5149D">
              <w:rPr>
                <w:rFonts w:ascii="Times New Roman" w:eastAsia="Aptos" w:hAnsi="Times New Roman"/>
                <w:sz w:val="24"/>
                <w:szCs w:val="24"/>
                <w:lang w:val="en-US"/>
              </w:rPr>
              <w:t>As regards a simplified regulatory approach for AI used in an internal corporate environment, it should be noted that the AI Act already follows a risk-based approach</w:t>
            </w:r>
            <w:r w:rsidRPr="00D5149D">
              <w:rPr>
                <w:rFonts w:ascii="Times New Roman" w:eastAsia="Aptos" w:hAnsi="Times New Roman"/>
                <w:sz w:val="24"/>
                <w:szCs w:val="24"/>
              </w:rPr>
              <w:t xml:space="preserve">, targeting only defined risk areas that warrant regulation. This means that most uses of AI in internal corporate contexts </w:t>
            </w:r>
            <w:r w:rsidRPr="00D5149D">
              <w:rPr>
                <w:rFonts w:ascii="Times New Roman" w:eastAsia="Aptos" w:hAnsi="Times New Roman"/>
                <w:sz w:val="24"/>
                <w:szCs w:val="24"/>
                <w:lang w:val="en-US"/>
              </w:rPr>
              <w:t xml:space="preserve">are not regulated under the AI Act. However, specific uses of AI, such as </w:t>
            </w:r>
            <w:r w:rsidRPr="00D5149D">
              <w:rPr>
                <w:rFonts w:ascii="Times New Roman" w:eastAsia="Aptos" w:hAnsi="Times New Roman"/>
                <w:sz w:val="24"/>
                <w:szCs w:val="24"/>
              </w:rPr>
              <w:t xml:space="preserve">AI systems used for recruitment purposes, should be treated as </w:t>
            </w:r>
            <w:proofErr w:type="gramStart"/>
            <w:r w:rsidRPr="00D5149D">
              <w:rPr>
                <w:rFonts w:ascii="Times New Roman" w:eastAsia="Aptos" w:hAnsi="Times New Roman"/>
                <w:sz w:val="24"/>
                <w:szCs w:val="24"/>
              </w:rPr>
              <w:t>high-risk</w:t>
            </w:r>
            <w:proofErr w:type="gramEnd"/>
            <w:r w:rsidRPr="00D5149D">
              <w:rPr>
                <w:rFonts w:ascii="Times New Roman" w:eastAsia="Aptos" w:hAnsi="Times New Roman"/>
                <w:sz w:val="24"/>
                <w:szCs w:val="24"/>
              </w:rPr>
              <w:t xml:space="preserve"> because they may materially affect individuals’ rights and opportunities. </w:t>
            </w:r>
            <w:r w:rsidRPr="00D5149D">
              <w:rPr>
                <w:rFonts w:ascii="Times New Roman" w:eastAsia="Aptos" w:hAnsi="Times New Roman"/>
                <w:sz w:val="24"/>
                <w:szCs w:val="24"/>
              </w:rPr>
              <w:lastRenderedPageBreak/>
              <w:t xml:space="preserve">This impact exists regardless of whether the system is deployed in intra-group context or elsewhere. </w:t>
            </w:r>
          </w:p>
          <w:p w14:paraId="37DFC79F" w14:textId="77777777" w:rsidR="00E62BBB" w:rsidRPr="00D5149D" w:rsidRDefault="00E62BBB" w:rsidP="00E62BBB">
            <w:pPr>
              <w:spacing w:after="160"/>
              <w:jc w:val="both"/>
              <w:rPr>
                <w:rFonts w:ascii="Times New Roman" w:eastAsia="Aptos" w:hAnsi="Times New Roman"/>
                <w:sz w:val="24"/>
                <w:szCs w:val="24"/>
              </w:rPr>
            </w:pPr>
            <w:r>
              <w:rPr>
                <w:rFonts w:ascii="Times New Roman" w:eastAsia="Aptos" w:hAnsi="Times New Roman"/>
                <w:sz w:val="24"/>
                <w:szCs w:val="24"/>
              </w:rPr>
              <w:t>The Commission notes that i</w:t>
            </w:r>
            <w:r w:rsidRPr="005D1B32">
              <w:rPr>
                <w:rFonts w:ascii="Times New Roman" w:eastAsia="Aptos" w:hAnsi="Times New Roman"/>
                <w:sz w:val="24"/>
                <w:szCs w:val="24"/>
              </w:rPr>
              <w:t xml:space="preserve">n developing implementing measures and guidance, </w:t>
            </w:r>
            <w:r>
              <w:rPr>
                <w:rFonts w:ascii="Times New Roman" w:eastAsia="Aptos" w:hAnsi="Times New Roman"/>
                <w:sz w:val="24"/>
                <w:szCs w:val="24"/>
              </w:rPr>
              <w:t>it shall</w:t>
            </w:r>
            <w:r w:rsidRPr="005D1B32">
              <w:rPr>
                <w:rFonts w:ascii="Times New Roman" w:eastAsia="Aptos" w:hAnsi="Times New Roman"/>
                <w:sz w:val="24"/>
                <w:szCs w:val="24"/>
              </w:rPr>
              <w:t xml:space="preserve"> continue to pursue practical simplification while maintaining a high level of protection for fundamental rights, health and safety, including in relation to the impact of AI systems on workers and working conditions.</w:t>
            </w:r>
          </w:p>
          <w:p w14:paraId="4C1F093E" w14:textId="0DE02A07" w:rsidR="001A1E9E" w:rsidRPr="00D5149D" w:rsidRDefault="11097C20" w:rsidP="00D5149D">
            <w:pPr>
              <w:spacing w:after="160"/>
              <w:jc w:val="both"/>
              <w:rPr>
                <w:rFonts w:ascii="Times New Roman" w:eastAsia="Aptos" w:hAnsi="Times New Roman"/>
                <w:sz w:val="24"/>
                <w:szCs w:val="24"/>
                <w:lang w:val="en-US"/>
              </w:rPr>
            </w:pPr>
            <w:r w:rsidRPr="00D5149D">
              <w:rPr>
                <w:rFonts w:ascii="Times New Roman" w:eastAsia="Aptos" w:hAnsi="Times New Roman"/>
                <w:sz w:val="24"/>
                <w:szCs w:val="24"/>
                <w:lang w:val="en-US"/>
              </w:rPr>
              <w:t xml:space="preserve">Finally, the Commission </w:t>
            </w:r>
            <w:r w:rsidR="00682E46" w:rsidRPr="00D5149D">
              <w:rPr>
                <w:rFonts w:ascii="Times New Roman" w:eastAsia="Aptos" w:hAnsi="Times New Roman"/>
                <w:sz w:val="24"/>
                <w:szCs w:val="24"/>
                <w:lang w:val="en-US"/>
              </w:rPr>
              <w:t>welcome</w:t>
            </w:r>
            <w:r w:rsidR="00933314" w:rsidRPr="00D5149D">
              <w:rPr>
                <w:rFonts w:ascii="Times New Roman" w:eastAsia="Aptos" w:hAnsi="Times New Roman"/>
                <w:sz w:val="24"/>
                <w:szCs w:val="24"/>
                <w:lang w:val="en-US"/>
              </w:rPr>
              <w:t xml:space="preserve">s the political agreement on AI Omnibus reached </w:t>
            </w:r>
            <w:r w:rsidR="1D009CC6" w:rsidRPr="00D5149D">
              <w:rPr>
                <w:rFonts w:ascii="Times New Roman" w:eastAsia="Aptos" w:hAnsi="Times New Roman"/>
                <w:sz w:val="24"/>
                <w:szCs w:val="24"/>
                <w:lang w:val="en-US"/>
              </w:rPr>
              <w:t xml:space="preserve">by </w:t>
            </w:r>
            <w:r w:rsidR="00933314" w:rsidRPr="00D5149D">
              <w:rPr>
                <w:rFonts w:ascii="Times New Roman" w:eastAsia="Aptos" w:hAnsi="Times New Roman"/>
                <w:sz w:val="24"/>
                <w:szCs w:val="24"/>
                <w:lang w:val="en-US"/>
              </w:rPr>
              <w:t>the co-legislators</w:t>
            </w:r>
            <w:r w:rsidR="000E6B20" w:rsidRPr="00D5149D">
              <w:rPr>
                <w:rFonts w:ascii="Times New Roman" w:eastAsia="Aptos" w:hAnsi="Times New Roman"/>
                <w:sz w:val="24"/>
                <w:szCs w:val="24"/>
                <w:lang w:val="en-US"/>
              </w:rPr>
              <w:t xml:space="preserve"> </w:t>
            </w:r>
            <w:r w:rsidR="6DD0DA4B" w:rsidRPr="00D5149D">
              <w:rPr>
                <w:rFonts w:ascii="Times New Roman" w:eastAsia="Aptos" w:hAnsi="Times New Roman"/>
                <w:sz w:val="24"/>
                <w:szCs w:val="24"/>
                <w:lang w:val="en-US"/>
              </w:rPr>
              <w:t>on 7</w:t>
            </w:r>
            <w:r w:rsidR="000E6B20" w:rsidRPr="00D5149D">
              <w:rPr>
                <w:rFonts w:ascii="Times New Roman" w:eastAsia="Aptos" w:hAnsi="Times New Roman"/>
                <w:sz w:val="24"/>
                <w:szCs w:val="24"/>
                <w:lang w:val="en-US"/>
              </w:rPr>
              <w:t xml:space="preserve"> May 2026</w:t>
            </w:r>
            <w:r w:rsidR="00933314" w:rsidRPr="00D5149D">
              <w:rPr>
                <w:rFonts w:ascii="Times New Roman" w:eastAsia="Aptos" w:hAnsi="Times New Roman"/>
                <w:sz w:val="24"/>
                <w:szCs w:val="24"/>
                <w:lang w:val="en-US"/>
              </w:rPr>
              <w:t>.</w:t>
            </w:r>
            <w:r w:rsidR="00B1276D" w:rsidRPr="00D5149D">
              <w:rPr>
                <w:rFonts w:ascii="Times New Roman" w:eastAsia="Aptos" w:hAnsi="Times New Roman"/>
                <w:sz w:val="24"/>
                <w:szCs w:val="24"/>
                <w:lang w:val="en-US"/>
              </w:rPr>
              <w:t xml:space="preserve"> </w:t>
            </w:r>
          </w:p>
          <w:p w14:paraId="433D9865" w14:textId="50914F26" w:rsidR="00124EA4" w:rsidRPr="00D5149D" w:rsidRDefault="367BECD6" w:rsidP="00D5149D">
            <w:pPr>
              <w:pStyle w:val="ListParagraph"/>
              <w:numPr>
                <w:ilvl w:val="0"/>
                <w:numId w:val="2"/>
              </w:numPr>
              <w:spacing w:before="120" w:after="120"/>
              <w:jc w:val="both"/>
              <w:rPr>
                <w:rFonts w:ascii="Times New Roman" w:eastAsia="Aptos" w:hAnsi="Times New Roman"/>
                <w:b/>
                <w:bCs/>
                <w:sz w:val="24"/>
                <w:szCs w:val="24"/>
                <w:lang w:val="en-US"/>
              </w:rPr>
            </w:pPr>
            <w:r w:rsidRPr="00D5149D">
              <w:rPr>
                <w:rFonts w:ascii="Times New Roman" w:eastAsia="Aptos" w:hAnsi="Times New Roman"/>
                <w:b/>
                <w:bCs/>
                <w:sz w:val="24"/>
                <w:szCs w:val="24"/>
                <w:lang w:val="en-US"/>
              </w:rPr>
              <w:t>Digital Omnibus</w:t>
            </w:r>
          </w:p>
          <w:p w14:paraId="4A1ED845" w14:textId="66FF340D" w:rsidR="00124EA4" w:rsidRPr="00D5149D" w:rsidRDefault="33A5A1F3" w:rsidP="00D5149D">
            <w:pPr>
              <w:spacing w:before="120" w:after="120"/>
              <w:jc w:val="both"/>
              <w:rPr>
                <w:rFonts w:ascii="Times New Roman" w:eastAsia="Aptos" w:hAnsi="Times New Roman"/>
                <w:sz w:val="24"/>
                <w:szCs w:val="24"/>
                <w:lang w:val="en-US"/>
              </w:rPr>
            </w:pPr>
            <w:r w:rsidRPr="00D5149D">
              <w:rPr>
                <w:rFonts w:ascii="Times New Roman" w:eastAsia="Aptos" w:hAnsi="Times New Roman"/>
                <w:sz w:val="24"/>
                <w:szCs w:val="24"/>
                <w:lang w:val="en-US"/>
              </w:rPr>
              <w:t>The Commission</w:t>
            </w:r>
            <w:r w:rsidR="12C5ED9E" w:rsidRPr="00D5149D">
              <w:rPr>
                <w:rFonts w:ascii="Times New Roman" w:eastAsia="Aptos" w:hAnsi="Times New Roman"/>
                <w:sz w:val="24"/>
                <w:szCs w:val="24"/>
                <w:lang w:val="en-US"/>
              </w:rPr>
              <w:t xml:space="preserve"> welcomes the EESC</w:t>
            </w:r>
            <w:r w:rsidR="00F95D57">
              <w:rPr>
                <w:rFonts w:ascii="Times New Roman" w:eastAsia="Aptos" w:hAnsi="Times New Roman"/>
                <w:sz w:val="24"/>
                <w:szCs w:val="24"/>
                <w:lang w:val="en-US"/>
              </w:rPr>
              <w:t>’s</w:t>
            </w:r>
            <w:r w:rsidR="12C5ED9E" w:rsidRPr="00D5149D">
              <w:rPr>
                <w:rFonts w:ascii="Times New Roman" w:eastAsia="Aptos" w:hAnsi="Times New Roman"/>
                <w:sz w:val="24"/>
                <w:szCs w:val="24"/>
                <w:lang w:val="en-US"/>
              </w:rPr>
              <w:t xml:space="preserve"> reflection on the measures proposed in the Digital Omnibus and</w:t>
            </w:r>
            <w:r w:rsidRPr="00D5149D">
              <w:rPr>
                <w:rFonts w:ascii="Times New Roman" w:eastAsia="Aptos" w:hAnsi="Times New Roman"/>
                <w:sz w:val="24"/>
                <w:szCs w:val="24"/>
                <w:lang w:val="en-US"/>
              </w:rPr>
              <w:t xml:space="preserve"> agrees with the </w:t>
            </w:r>
            <w:r w:rsidR="00F95D57">
              <w:rPr>
                <w:rFonts w:ascii="Times New Roman" w:eastAsia="Aptos" w:hAnsi="Times New Roman"/>
                <w:sz w:val="24"/>
                <w:szCs w:val="24"/>
                <w:lang w:val="en-US"/>
              </w:rPr>
              <w:t>Committee</w:t>
            </w:r>
            <w:r w:rsidR="00F95D57" w:rsidRPr="00D5149D">
              <w:rPr>
                <w:rFonts w:ascii="Times New Roman" w:eastAsia="Aptos" w:hAnsi="Times New Roman"/>
                <w:sz w:val="24"/>
                <w:szCs w:val="24"/>
                <w:lang w:val="en-US"/>
              </w:rPr>
              <w:t xml:space="preserve"> </w:t>
            </w:r>
            <w:r w:rsidRPr="00D5149D">
              <w:rPr>
                <w:rFonts w:ascii="Times New Roman" w:eastAsia="Aptos" w:hAnsi="Times New Roman"/>
                <w:sz w:val="24"/>
                <w:szCs w:val="24"/>
                <w:lang w:val="en-US"/>
              </w:rPr>
              <w:t xml:space="preserve">that pro-innovation regulation should be accompanied by high standards of fundamental rights protection. Equally, effective enforcement of digital legislation is indispensable to ensure a fair and secure European Digital Single Market. To achieve this balance, the Commission’s proposals focus on </w:t>
            </w:r>
            <w:proofErr w:type="spellStart"/>
            <w:r w:rsidR="00546F64" w:rsidRPr="00D5149D">
              <w:rPr>
                <w:rFonts w:ascii="Times New Roman" w:eastAsia="Aptos" w:hAnsi="Times New Roman"/>
                <w:sz w:val="24"/>
                <w:szCs w:val="24"/>
                <w:lang w:val="en-US"/>
              </w:rPr>
              <w:t>optimi</w:t>
            </w:r>
            <w:r w:rsidR="00546F64">
              <w:rPr>
                <w:rFonts w:ascii="Times New Roman" w:eastAsia="Aptos" w:hAnsi="Times New Roman"/>
                <w:sz w:val="24"/>
                <w:szCs w:val="24"/>
                <w:lang w:val="en-US"/>
              </w:rPr>
              <w:t>s</w:t>
            </w:r>
            <w:r w:rsidR="00546F64" w:rsidRPr="00D5149D">
              <w:rPr>
                <w:rFonts w:ascii="Times New Roman" w:eastAsia="Aptos" w:hAnsi="Times New Roman"/>
                <w:sz w:val="24"/>
                <w:szCs w:val="24"/>
                <w:lang w:val="en-US"/>
              </w:rPr>
              <w:t>ing</w:t>
            </w:r>
            <w:proofErr w:type="spellEnd"/>
            <w:r w:rsidRPr="00D5149D">
              <w:rPr>
                <w:rFonts w:ascii="Times New Roman" w:eastAsia="Aptos" w:hAnsi="Times New Roman"/>
                <w:sz w:val="24"/>
                <w:szCs w:val="24"/>
                <w:lang w:val="en-US"/>
              </w:rPr>
              <w:t xml:space="preserve"> EU legislation in two ways. </w:t>
            </w:r>
          </w:p>
          <w:p w14:paraId="411EE0E7" w14:textId="544F19B1" w:rsidR="00124EA4" w:rsidRDefault="33A5A1F3" w:rsidP="00D5149D">
            <w:pPr>
              <w:spacing w:before="120" w:after="120"/>
              <w:jc w:val="both"/>
              <w:rPr>
                <w:rFonts w:ascii="Times New Roman" w:eastAsia="Aptos" w:hAnsi="Times New Roman"/>
                <w:sz w:val="24"/>
                <w:szCs w:val="24"/>
                <w:lang w:val="en-US"/>
              </w:rPr>
            </w:pPr>
            <w:r w:rsidRPr="00D5149D">
              <w:rPr>
                <w:rFonts w:ascii="Times New Roman" w:eastAsia="Aptos" w:hAnsi="Times New Roman"/>
                <w:sz w:val="24"/>
                <w:szCs w:val="24"/>
                <w:lang w:val="en-US"/>
              </w:rPr>
              <w:t xml:space="preserve">The Commission </w:t>
            </w:r>
            <w:r w:rsidR="0164469F" w:rsidRPr="00D5149D">
              <w:rPr>
                <w:rFonts w:ascii="Times New Roman" w:eastAsia="Aptos" w:hAnsi="Times New Roman"/>
                <w:sz w:val="24"/>
                <w:szCs w:val="24"/>
                <w:lang w:val="en-US"/>
              </w:rPr>
              <w:t>proposes to</w:t>
            </w:r>
            <w:r w:rsidRPr="00D5149D">
              <w:rPr>
                <w:rFonts w:ascii="Times New Roman" w:eastAsia="Aptos" w:hAnsi="Times New Roman"/>
                <w:sz w:val="24"/>
                <w:szCs w:val="24"/>
                <w:lang w:val="en-US"/>
              </w:rPr>
              <w:t xml:space="preserve"> introduce targeted amendments to the General Data Protection Regulation (GDPR) to guarantee a more harmonious and predictable application across the Single Market, </w:t>
            </w:r>
            <w:r w:rsidR="00C154A3">
              <w:rPr>
                <w:rFonts w:ascii="Times New Roman" w:eastAsia="Aptos" w:hAnsi="Times New Roman"/>
                <w:sz w:val="24"/>
                <w:szCs w:val="24"/>
                <w:lang w:val="en-US"/>
              </w:rPr>
              <w:t xml:space="preserve">building on </w:t>
            </w:r>
            <w:r w:rsidR="66A7499F" w:rsidRPr="00D5149D">
              <w:rPr>
                <w:rFonts w:ascii="Times New Roman" w:eastAsia="Aptos" w:hAnsi="Times New Roman"/>
                <w:sz w:val="24"/>
                <w:szCs w:val="24"/>
                <w:lang w:val="en-US"/>
              </w:rPr>
              <w:t>the</w:t>
            </w:r>
            <w:r w:rsidRPr="00D5149D">
              <w:rPr>
                <w:rFonts w:ascii="Times New Roman" w:eastAsia="Aptos" w:hAnsi="Times New Roman"/>
                <w:sz w:val="24"/>
                <w:szCs w:val="24"/>
                <w:lang w:val="en-US"/>
              </w:rPr>
              <w:t xml:space="preserve"> interpretations provided by case law.  </w:t>
            </w:r>
          </w:p>
          <w:p w14:paraId="41801D5A" w14:textId="787D8680" w:rsidR="00125D62" w:rsidRPr="00546F64" w:rsidRDefault="00125D62" w:rsidP="00D5149D">
            <w:pPr>
              <w:spacing w:before="120" w:after="120"/>
              <w:jc w:val="both"/>
              <w:rPr>
                <w:rFonts w:ascii="Times New Roman" w:eastAsia="Aptos" w:hAnsi="Times New Roman"/>
                <w:sz w:val="24"/>
                <w:szCs w:val="24"/>
              </w:rPr>
            </w:pPr>
            <w:r w:rsidRPr="64309751">
              <w:rPr>
                <w:rFonts w:ascii="Times New Roman" w:eastAsia="Aptos" w:hAnsi="Times New Roman"/>
                <w:sz w:val="24"/>
                <w:szCs w:val="24"/>
                <w:lang w:val="en-US"/>
              </w:rPr>
              <w:t>The Commission</w:t>
            </w:r>
            <w:r w:rsidR="009E3C71" w:rsidRPr="64309751">
              <w:rPr>
                <w:rFonts w:ascii="Times New Roman" w:eastAsia="Aptos" w:hAnsi="Times New Roman"/>
                <w:sz w:val="24"/>
                <w:szCs w:val="24"/>
                <w:lang w:val="en-US"/>
              </w:rPr>
              <w:t xml:space="preserve"> share</w:t>
            </w:r>
            <w:r w:rsidR="000D2DAA" w:rsidRPr="64309751">
              <w:rPr>
                <w:rFonts w:ascii="Times New Roman" w:eastAsia="Aptos" w:hAnsi="Times New Roman"/>
                <w:sz w:val="24"/>
                <w:szCs w:val="24"/>
                <w:lang w:val="en-US"/>
              </w:rPr>
              <w:t xml:space="preserve">s </w:t>
            </w:r>
            <w:r w:rsidR="009E3C71" w:rsidRPr="64309751">
              <w:rPr>
                <w:rFonts w:ascii="Times New Roman" w:eastAsia="Aptos" w:hAnsi="Times New Roman"/>
                <w:sz w:val="24"/>
                <w:szCs w:val="24"/>
                <w:lang w:val="en-US"/>
              </w:rPr>
              <w:t xml:space="preserve">the EESC’s </w:t>
            </w:r>
            <w:r w:rsidR="006A6977" w:rsidRPr="64309751">
              <w:rPr>
                <w:rFonts w:ascii="Times New Roman" w:eastAsia="Aptos" w:hAnsi="Times New Roman"/>
                <w:sz w:val="24"/>
                <w:szCs w:val="24"/>
                <w:lang w:val="en-US"/>
              </w:rPr>
              <w:t xml:space="preserve">view that legal clarity and consistency are </w:t>
            </w:r>
            <w:r w:rsidR="004C15EC" w:rsidRPr="64309751">
              <w:rPr>
                <w:rFonts w:ascii="Times New Roman" w:eastAsia="Aptos" w:hAnsi="Times New Roman"/>
                <w:sz w:val="24"/>
                <w:szCs w:val="24"/>
                <w:lang w:val="en-US"/>
              </w:rPr>
              <w:t>essential across digital legislation</w:t>
            </w:r>
            <w:r w:rsidR="00987D39">
              <w:rPr>
                <w:rFonts w:ascii="Times New Roman" w:eastAsia="Aptos" w:hAnsi="Times New Roman"/>
                <w:sz w:val="24"/>
                <w:szCs w:val="24"/>
                <w:lang w:val="en-US"/>
              </w:rPr>
              <w:t xml:space="preserve">, </w:t>
            </w:r>
            <w:proofErr w:type="gramStart"/>
            <w:r w:rsidR="00987D39">
              <w:rPr>
                <w:rFonts w:ascii="Times New Roman" w:eastAsia="Aptos" w:hAnsi="Times New Roman"/>
                <w:sz w:val="24"/>
                <w:szCs w:val="24"/>
                <w:lang w:val="en-US"/>
              </w:rPr>
              <w:t>in particular when</w:t>
            </w:r>
            <w:proofErr w:type="gramEnd"/>
            <w:r w:rsidR="00987D39">
              <w:rPr>
                <w:rFonts w:ascii="Times New Roman" w:eastAsia="Aptos" w:hAnsi="Times New Roman"/>
                <w:sz w:val="24"/>
                <w:szCs w:val="24"/>
                <w:lang w:val="en-US"/>
              </w:rPr>
              <w:t xml:space="preserve"> it comes to the use of data – personal and non-personal – for building competitive digital solutions and AI in Europe</w:t>
            </w:r>
            <w:r w:rsidR="004C15EC" w:rsidRPr="64309751">
              <w:rPr>
                <w:rFonts w:ascii="Times New Roman" w:eastAsia="Aptos" w:hAnsi="Times New Roman"/>
                <w:sz w:val="24"/>
                <w:szCs w:val="24"/>
                <w:lang w:val="en-US"/>
              </w:rPr>
              <w:t>. T</w:t>
            </w:r>
            <w:r w:rsidR="004D137D" w:rsidRPr="64309751">
              <w:rPr>
                <w:rFonts w:ascii="Times New Roman" w:eastAsia="Aptos" w:hAnsi="Times New Roman"/>
                <w:sz w:val="24"/>
                <w:szCs w:val="24"/>
                <w:lang w:val="en-US"/>
              </w:rPr>
              <w:t>he</w:t>
            </w:r>
            <w:r w:rsidR="008D1B6E" w:rsidRPr="64309751">
              <w:rPr>
                <w:rFonts w:ascii="Times New Roman" w:eastAsia="Aptos" w:hAnsi="Times New Roman"/>
                <w:sz w:val="24"/>
                <w:szCs w:val="24"/>
                <w:lang w:val="en-US"/>
              </w:rPr>
              <w:t xml:space="preserve"> Digital Omnibu</w:t>
            </w:r>
            <w:r w:rsidR="004C15EC" w:rsidRPr="64309751">
              <w:rPr>
                <w:rFonts w:ascii="Times New Roman" w:eastAsia="Aptos" w:hAnsi="Times New Roman"/>
                <w:sz w:val="24"/>
                <w:szCs w:val="24"/>
                <w:lang w:val="en-US"/>
              </w:rPr>
              <w:t>s proposal</w:t>
            </w:r>
            <w:r w:rsidR="004D137D" w:rsidRPr="64309751">
              <w:rPr>
                <w:rFonts w:ascii="Times New Roman" w:eastAsia="Aptos" w:hAnsi="Times New Roman"/>
                <w:sz w:val="24"/>
                <w:szCs w:val="24"/>
                <w:lang w:val="en-US"/>
              </w:rPr>
              <w:t xml:space="preserve"> </w:t>
            </w:r>
            <w:r w:rsidR="00BC7064" w:rsidRPr="64309751">
              <w:rPr>
                <w:rFonts w:ascii="Times New Roman" w:eastAsia="Aptos" w:hAnsi="Times New Roman"/>
                <w:sz w:val="24"/>
                <w:szCs w:val="24"/>
                <w:lang w:val="en-US"/>
              </w:rPr>
              <w:t>aims to clarify</w:t>
            </w:r>
            <w:r w:rsidR="004C15EC" w:rsidRPr="64309751">
              <w:rPr>
                <w:rFonts w:ascii="Times New Roman" w:eastAsia="Aptos" w:hAnsi="Times New Roman"/>
                <w:sz w:val="24"/>
                <w:szCs w:val="24"/>
                <w:lang w:val="en-US"/>
              </w:rPr>
              <w:t xml:space="preserve"> </w:t>
            </w:r>
            <w:r w:rsidR="008D1B6E" w:rsidRPr="64309751">
              <w:rPr>
                <w:rFonts w:ascii="Times New Roman" w:eastAsia="Aptos" w:hAnsi="Times New Roman"/>
                <w:sz w:val="24"/>
                <w:szCs w:val="24"/>
                <w:lang w:val="en-US"/>
              </w:rPr>
              <w:t xml:space="preserve">the </w:t>
            </w:r>
            <w:r w:rsidR="00987D39">
              <w:rPr>
                <w:rFonts w:ascii="Times New Roman" w:eastAsia="Aptos" w:hAnsi="Times New Roman"/>
                <w:sz w:val="24"/>
                <w:szCs w:val="24"/>
                <w:lang w:val="en-US"/>
              </w:rPr>
              <w:t xml:space="preserve">use of </w:t>
            </w:r>
            <w:proofErr w:type="spellStart"/>
            <w:r w:rsidR="00987D39">
              <w:rPr>
                <w:rFonts w:ascii="Times New Roman" w:eastAsia="Aptos" w:hAnsi="Times New Roman"/>
                <w:sz w:val="24"/>
                <w:szCs w:val="24"/>
                <w:lang w:val="en-US"/>
              </w:rPr>
              <w:t>pseudonymised</w:t>
            </w:r>
            <w:proofErr w:type="spellEnd"/>
            <w:r w:rsidR="00987D39">
              <w:rPr>
                <w:rFonts w:ascii="Times New Roman" w:eastAsia="Aptos" w:hAnsi="Times New Roman"/>
                <w:sz w:val="24"/>
                <w:szCs w:val="24"/>
                <w:lang w:val="en-US"/>
              </w:rPr>
              <w:t xml:space="preserve"> data</w:t>
            </w:r>
            <w:r w:rsidRPr="64309751">
              <w:rPr>
                <w:rFonts w:ascii="Times New Roman" w:eastAsia="Aptos" w:hAnsi="Times New Roman"/>
                <w:sz w:val="24"/>
                <w:szCs w:val="24"/>
                <w:lang w:val="en-US"/>
              </w:rPr>
              <w:t xml:space="preserve"> </w:t>
            </w:r>
            <w:r w:rsidRPr="64309751">
              <w:rPr>
                <w:rFonts w:ascii="Times New Roman" w:eastAsia="Aptos" w:hAnsi="Times New Roman"/>
                <w:sz w:val="24"/>
                <w:szCs w:val="24"/>
              </w:rPr>
              <w:t>while keeping the highest level of protection of personal data. </w:t>
            </w:r>
            <w:r w:rsidR="0096262D" w:rsidRPr="64309751">
              <w:rPr>
                <w:rFonts w:ascii="Times New Roman" w:eastAsia="Aptos" w:hAnsi="Times New Roman"/>
                <w:sz w:val="24"/>
                <w:szCs w:val="24"/>
              </w:rPr>
              <w:t xml:space="preserve">The proposed amendment </w:t>
            </w:r>
            <w:r w:rsidR="00B73795">
              <w:rPr>
                <w:rFonts w:ascii="Times New Roman" w:eastAsia="Aptos" w:hAnsi="Times New Roman"/>
                <w:sz w:val="24"/>
                <w:szCs w:val="24"/>
              </w:rPr>
              <w:t>builds on</w:t>
            </w:r>
            <w:r w:rsidR="00B73795" w:rsidRPr="64309751">
              <w:rPr>
                <w:rFonts w:ascii="Times New Roman" w:eastAsia="Aptos" w:hAnsi="Times New Roman"/>
                <w:sz w:val="24"/>
                <w:szCs w:val="24"/>
              </w:rPr>
              <w:t xml:space="preserve"> </w:t>
            </w:r>
            <w:r w:rsidR="00B73795">
              <w:rPr>
                <w:rFonts w:ascii="Times New Roman" w:eastAsia="Aptos" w:hAnsi="Times New Roman"/>
                <w:sz w:val="24"/>
                <w:szCs w:val="24"/>
              </w:rPr>
              <w:t>established</w:t>
            </w:r>
            <w:r w:rsidR="0096262D" w:rsidRPr="64309751">
              <w:rPr>
                <w:rFonts w:ascii="Times New Roman" w:eastAsia="Aptos" w:hAnsi="Times New Roman"/>
                <w:sz w:val="24"/>
                <w:szCs w:val="24"/>
              </w:rPr>
              <w:t xml:space="preserve"> case law </w:t>
            </w:r>
            <w:r w:rsidR="00AC71F8">
              <w:rPr>
                <w:rStyle w:val="FootnoteReference"/>
                <w:rFonts w:ascii="Times New Roman" w:eastAsia="Aptos" w:hAnsi="Times New Roman"/>
                <w:sz w:val="24"/>
                <w:szCs w:val="24"/>
              </w:rPr>
              <w:footnoteReference w:id="3"/>
            </w:r>
            <w:r w:rsidR="0096262D" w:rsidRPr="64309751">
              <w:rPr>
                <w:rFonts w:ascii="Times New Roman" w:eastAsia="Aptos" w:hAnsi="Times New Roman"/>
                <w:sz w:val="24"/>
                <w:szCs w:val="24"/>
              </w:rPr>
              <w:t>on how personal data sets can be safely turned into data that can be shared with third parties without disclosing the identity of the data subjects</w:t>
            </w:r>
            <w:r w:rsidR="00F66679" w:rsidRPr="64309751">
              <w:rPr>
                <w:rFonts w:ascii="Times New Roman" w:eastAsia="Aptos" w:hAnsi="Times New Roman"/>
                <w:sz w:val="24"/>
                <w:szCs w:val="24"/>
              </w:rPr>
              <w:t>.</w:t>
            </w:r>
            <w:r w:rsidR="00B845EA" w:rsidRPr="64309751">
              <w:rPr>
                <w:rFonts w:ascii="Times New Roman" w:eastAsia="Aptos" w:hAnsi="Times New Roman"/>
                <w:sz w:val="24"/>
                <w:szCs w:val="24"/>
              </w:rPr>
              <w:t xml:space="preserve"> </w:t>
            </w:r>
            <w:r w:rsidR="004254A1" w:rsidRPr="64309751">
              <w:rPr>
                <w:rFonts w:ascii="Times New Roman" w:eastAsia="Aptos" w:hAnsi="Times New Roman"/>
                <w:sz w:val="24"/>
                <w:szCs w:val="24"/>
              </w:rPr>
              <w:t>More broadly,</w:t>
            </w:r>
            <w:r w:rsidR="000A5FB9" w:rsidRPr="64309751">
              <w:rPr>
                <w:rFonts w:ascii="Times New Roman" w:eastAsia="Aptos" w:hAnsi="Times New Roman"/>
                <w:sz w:val="24"/>
                <w:szCs w:val="24"/>
              </w:rPr>
              <w:t xml:space="preserve"> </w:t>
            </w:r>
            <w:r w:rsidR="004254A1" w:rsidRPr="64309751">
              <w:rPr>
                <w:rFonts w:ascii="Times New Roman" w:eastAsia="Aptos" w:hAnsi="Times New Roman"/>
                <w:sz w:val="24"/>
                <w:szCs w:val="24"/>
              </w:rPr>
              <w:t xml:space="preserve">the </w:t>
            </w:r>
            <w:r w:rsidR="0087294A" w:rsidRPr="64309751">
              <w:rPr>
                <w:rFonts w:ascii="Times New Roman" w:eastAsia="Aptos" w:hAnsi="Times New Roman"/>
                <w:sz w:val="24"/>
                <w:szCs w:val="24"/>
              </w:rPr>
              <w:t xml:space="preserve">protection of fundamental rights and security of data remain the guiding principle </w:t>
            </w:r>
            <w:r w:rsidR="00075814" w:rsidRPr="64309751">
              <w:rPr>
                <w:rFonts w:ascii="Times New Roman" w:eastAsia="Aptos" w:hAnsi="Times New Roman"/>
                <w:sz w:val="24"/>
                <w:szCs w:val="24"/>
              </w:rPr>
              <w:t>in</w:t>
            </w:r>
            <w:r w:rsidR="000A5FB9" w:rsidRPr="64309751">
              <w:rPr>
                <w:rFonts w:ascii="Times New Roman" w:eastAsia="Aptos" w:hAnsi="Times New Roman"/>
                <w:sz w:val="24"/>
                <w:szCs w:val="24"/>
              </w:rPr>
              <w:t xml:space="preserve"> the design and application of data-sharing framework</w:t>
            </w:r>
            <w:r w:rsidR="00075814" w:rsidRPr="64309751">
              <w:rPr>
                <w:rFonts w:ascii="Times New Roman" w:eastAsia="Aptos" w:hAnsi="Times New Roman"/>
                <w:sz w:val="24"/>
                <w:szCs w:val="24"/>
              </w:rPr>
              <w:t xml:space="preserve">. </w:t>
            </w:r>
            <w:r w:rsidR="00B845EA" w:rsidRPr="64309751">
              <w:rPr>
                <w:rFonts w:ascii="Times New Roman" w:eastAsia="Aptos" w:hAnsi="Times New Roman"/>
                <w:sz w:val="24"/>
                <w:szCs w:val="24"/>
              </w:rPr>
              <w:t xml:space="preserve">The Commission also recognises the need to further clarify </w:t>
            </w:r>
            <w:r w:rsidR="00034E36" w:rsidRPr="64309751">
              <w:rPr>
                <w:rFonts w:ascii="Times New Roman" w:eastAsia="Aptos" w:hAnsi="Times New Roman"/>
                <w:sz w:val="24"/>
                <w:szCs w:val="24"/>
              </w:rPr>
              <w:t>other key concepts</w:t>
            </w:r>
            <w:r w:rsidR="00EF7F91">
              <w:rPr>
                <w:rFonts w:ascii="Times New Roman" w:eastAsia="Aptos" w:hAnsi="Times New Roman"/>
                <w:sz w:val="24"/>
                <w:szCs w:val="24"/>
              </w:rPr>
              <w:t xml:space="preserve"> which </w:t>
            </w:r>
            <w:r w:rsidR="009276A6">
              <w:rPr>
                <w:rFonts w:ascii="Times New Roman" w:eastAsia="Aptos" w:hAnsi="Times New Roman"/>
                <w:sz w:val="24"/>
                <w:szCs w:val="24"/>
              </w:rPr>
              <w:t>could be attained also through more practical guidance, including on th</w:t>
            </w:r>
            <w:r w:rsidR="004F1C26">
              <w:rPr>
                <w:rFonts w:ascii="Times New Roman" w:eastAsia="Aptos" w:hAnsi="Times New Roman"/>
                <w:sz w:val="24"/>
                <w:szCs w:val="24"/>
              </w:rPr>
              <w:t>e</w:t>
            </w:r>
            <w:r w:rsidR="009276A6">
              <w:rPr>
                <w:rFonts w:ascii="Times New Roman" w:eastAsia="Aptos" w:hAnsi="Times New Roman"/>
                <w:sz w:val="24"/>
                <w:szCs w:val="24"/>
              </w:rPr>
              <w:t xml:space="preserve"> interplay of different</w:t>
            </w:r>
            <w:r w:rsidR="004F1C26">
              <w:rPr>
                <w:rFonts w:ascii="Times New Roman" w:eastAsia="Aptos" w:hAnsi="Times New Roman"/>
                <w:sz w:val="24"/>
                <w:szCs w:val="24"/>
              </w:rPr>
              <w:t xml:space="preserve"> pieces of EU legislation.</w:t>
            </w:r>
            <w:r w:rsidR="009276A6">
              <w:rPr>
                <w:rFonts w:ascii="Times New Roman" w:eastAsia="Aptos" w:hAnsi="Times New Roman"/>
                <w:sz w:val="24"/>
                <w:szCs w:val="24"/>
              </w:rPr>
              <w:t xml:space="preserve"> </w:t>
            </w:r>
            <w:r w:rsidR="00142D53" w:rsidRPr="64309751">
              <w:rPr>
                <w:rFonts w:ascii="Times New Roman" w:eastAsia="Aptos" w:hAnsi="Times New Roman"/>
                <w:sz w:val="24"/>
                <w:szCs w:val="24"/>
              </w:rPr>
              <w:t xml:space="preserve"> </w:t>
            </w:r>
          </w:p>
          <w:p w14:paraId="30D14481" w14:textId="17029776" w:rsidR="00124EA4" w:rsidRPr="00D5149D" w:rsidRDefault="33A5A1F3" w:rsidP="00D5149D">
            <w:pPr>
              <w:spacing w:before="120" w:after="120"/>
              <w:jc w:val="both"/>
              <w:rPr>
                <w:rFonts w:ascii="Times New Roman" w:eastAsia="Aptos" w:hAnsi="Times New Roman"/>
                <w:sz w:val="24"/>
                <w:szCs w:val="24"/>
                <w:lang w:val="en-US"/>
              </w:rPr>
            </w:pPr>
            <w:r w:rsidRPr="00D5149D">
              <w:rPr>
                <w:rFonts w:ascii="Times New Roman" w:eastAsia="Aptos" w:hAnsi="Times New Roman"/>
                <w:sz w:val="24"/>
                <w:szCs w:val="24"/>
                <w:lang w:val="en-US"/>
              </w:rPr>
              <w:t xml:space="preserve">In addition, the Commission </w:t>
            </w:r>
            <w:r w:rsidR="792013E7" w:rsidRPr="00D5149D">
              <w:rPr>
                <w:rFonts w:ascii="Times New Roman" w:eastAsia="Aptos" w:hAnsi="Times New Roman"/>
                <w:sz w:val="24"/>
                <w:szCs w:val="24"/>
                <w:lang w:val="en-US"/>
              </w:rPr>
              <w:t>proposes</w:t>
            </w:r>
            <w:r w:rsidR="050E80E0" w:rsidRPr="00D5149D">
              <w:rPr>
                <w:rFonts w:ascii="Times New Roman" w:eastAsia="Aptos" w:hAnsi="Times New Roman"/>
                <w:sz w:val="24"/>
                <w:szCs w:val="24"/>
                <w:lang w:val="en-US"/>
              </w:rPr>
              <w:t xml:space="preserve"> to</w:t>
            </w:r>
            <w:r w:rsidRPr="00D5149D">
              <w:rPr>
                <w:rFonts w:ascii="Times New Roman" w:eastAsia="Aptos" w:hAnsi="Times New Roman"/>
                <w:sz w:val="24"/>
                <w:szCs w:val="24"/>
                <w:lang w:val="en-US"/>
              </w:rPr>
              <w:t xml:space="preserve"> streamline the implementation of the Data Act</w:t>
            </w:r>
            <w:r w:rsidR="003B57C0">
              <w:rPr>
                <w:rStyle w:val="FootnoteReference"/>
                <w:rFonts w:ascii="Times New Roman" w:eastAsia="Aptos" w:hAnsi="Times New Roman"/>
                <w:sz w:val="24"/>
                <w:szCs w:val="24"/>
                <w:lang w:val="en-US"/>
              </w:rPr>
              <w:footnoteReference w:id="4"/>
            </w:r>
            <w:r w:rsidRPr="00D5149D">
              <w:rPr>
                <w:rFonts w:ascii="Times New Roman" w:eastAsia="Aptos" w:hAnsi="Times New Roman"/>
                <w:sz w:val="24"/>
                <w:szCs w:val="24"/>
                <w:lang w:val="en-US"/>
              </w:rPr>
              <w:t xml:space="preserve"> by addressing practical challenges and reducing friction for businesses</w:t>
            </w:r>
            <w:r w:rsidR="6CC5EC1B" w:rsidRPr="00D5149D">
              <w:rPr>
                <w:rFonts w:ascii="Times New Roman" w:eastAsia="Aptos" w:hAnsi="Times New Roman"/>
                <w:sz w:val="24"/>
                <w:szCs w:val="24"/>
                <w:lang w:val="en-US"/>
              </w:rPr>
              <w:t xml:space="preserve"> and consolidating the data sharing acquis into one act, cutting the complexity of four different laws</w:t>
            </w:r>
            <w:r w:rsidRPr="00D5149D">
              <w:rPr>
                <w:rFonts w:ascii="Times New Roman" w:eastAsia="Aptos" w:hAnsi="Times New Roman"/>
                <w:sz w:val="24"/>
                <w:szCs w:val="24"/>
                <w:lang w:val="en-US"/>
              </w:rPr>
              <w:t xml:space="preserve">. </w:t>
            </w:r>
            <w:r w:rsidR="447D8591" w:rsidRPr="00D5149D">
              <w:rPr>
                <w:rFonts w:ascii="Times New Roman" w:eastAsia="Aptos" w:hAnsi="Times New Roman"/>
                <w:sz w:val="24"/>
                <w:szCs w:val="24"/>
                <w:lang w:val="en-US"/>
              </w:rPr>
              <w:t xml:space="preserve">In addition, </w:t>
            </w:r>
            <w:r w:rsidR="0166AECA" w:rsidRPr="00D5149D">
              <w:rPr>
                <w:rFonts w:ascii="Times New Roman" w:eastAsia="Aptos" w:hAnsi="Times New Roman"/>
                <w:sz w:val="24"/>
                <w:szCs w:val="24"/>
                <w:lang w:val="en-US"/>
              </w:rPr>
              <w:t>a</w:t>
            </w:r>
            <w:r w:rsidRPr="00D5149D">
              <w:rPr>
                <w:rFonts w:ascii="Times New Roman" w:eastAsia="Aptos" w:hAnsi="Times New Roman"/>
                <w:sz w:val="24"/>
                <w:szCs w:val="24"/>
                <w:lang w:val="en-US"/>
              </w:rPr>
              <w:t xml:space="preserve"> prime example of a concrete approach to simplification is the Single-Entry-Point for incident reporting. This initiative demonstrates how simplification can improve cybersecurity compliance and significantly reduce administrative </w:t>
            </w:r>
            <w:r w:rsidR="00546F64" w:rsidRPr="00D5149D">
              <w:rPr>
                <w:rFonts w:ascii="Times New Roman" w:eastAsia="Aptos" w:hAnsi="Times New Roman"/>
                <w:sz w:val="24"/>
                <w:szCs w:val="24"/>
                <w:lang w:val="en-US"/>
              </w:rPr>
              <w:t>overheads. To</w:t>
            </w:r>
            <w:r w:rsidRPr="00D5149D">
              <w:rPr>
                <w:rFonts w:ascii="Times New Roman" w:eastAsia="Aptos" w:hAnsi="Times New Roman"/>
                <w:sz w:val="24"/>
                <w:szCs w:val="24"/>
                <w:lang w:val="en-US"/>
              </w:rPr>
              <w:t xml:space="preserve"> deepen the analysis of these simplification measures, the Commission is preparing the Digital Fitness Check that will further widen the scope of our stress-testing. This exercise </w:t>
            </w:r>
            <w:r w:rsidR="1C9EC313" w:rsidRPr="00D5149D">
              <w:rPr>
                <w:rFonts w:ascii="Times New Roman" w:eastAsia="Aptos" w:hAnsi="Times New Roman"/>
                <w:sz w:val="24"/>
                <w:szCs w:val="24"/>
                <w:lang w:val="en-US"/>
              </w:rPr>
              <w:t>will assess</w:t>
            </w:r>
            <w:r w:rsidRPr="00D5149D">
              <w:rPr>
                <w:rFonts w:ascii="Times New Roman" w:eastAsia="Aptos" w:hAnsi="Times New Roman"/>
                <w:sz w:val="24"/>
                <w:szCs w:val="24"/>
                <w:lang w:val="en-US"/>
              </w:rPr>
              <w:t xml:space="preserve"> the interplay between different rules and their cumulative impact on businesses, paying particular attention to small and medium-sized enterprises (SMEs). </w:t>
            </w:r>
          </w:p>
        </w:tc>
      </w:tr>
    </w:tbl>
    <w:p w14:paraId="41D86A3C" w14:textId="77777777" w:rsidR="00554137" w:rsidRPr="00554137" w:rsidRDefault="00554137" w:rsidP="00124EA4">
      <w:pPr>
        <w:spacing w:after="120"/>
        <w:rPr>
          <w:rFonts w:ascii="Times New Roman" w:hAnsi="Times New Roman"/>
          <w:b/>
          <w:sz w:val="16"/>
          <w:szCs w:val="16"/>
          <w:u w:val="single"/>
        </w:rPr>
      </w:pPr>
    </w:p>
    <w:sectPr w:rsidR="00554137" w:rsidRPr="005541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A376A" w14:textId="77777777" w:rsidR="00C1126D" w:rsidRDefault="00C1126D" w:rsidP="00FF63EA">
      <w:pPr>
        <w:spacing w:after="0" w:line="240" w:lineRule="auto"/>
      </w:pPr>
      <w:r>
        <w:separator/>
      </w:r>
    </w:p>
  </w:endnote>
  <w:endnote w:type="continuationSeparator" w:id="0">
    <w:p w14:paraId="3081AA3F" w14:textId="77777777" w:rsidR="00C1126D" w:rsidRDefault="00C1126D"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9C7FC" w14:textId="77777777" w:rsidR="00C1126D" w:rsidRDefault="00C1126D" w:rsidP="00FF63EA">
      <w:pPr>
        <w:spacing w:after="0" w:line="240" w:lineRule="auto"/>
      </w:pPr>
      <w:r>
        <w:separator/>
      </w:r>
    </w:p>
  </w:footnote>
  <w:footnote w:type="continuationSeparator" w:id="0">
    <w:p w14:paraId="532887F3" w14:textId="77777777" w:rsidR="00C1126D" w:rsidRDefault="00C1126D" w:rsidP="00FF63EA">
      <w:pPr>
        <w:spacing w:after="0" w:line="240" w:lineRule="auto"/>
      </w:pPr>
      <w:r>
        <w:continuationSeparator/>
      </w:r>
    </w:p>
  </w:footnote>
  <w:footnote w:id="1">
    <w:p w14:paraId="483DF464" w14:textId="563D9CF8" w:rsidR="003B57C0" w:rsidRPr="00224BC5" w:rsidRDefault="003B57C0" w:rsidP="00C25FBA">
      <w:pPr>
        <w:pStyle w:val="FootnoteText"/>
        <w:widowControl w:val="0"/>
        <w:spacing w:after="0" w:line="240" w:lineRule="auto"/>
        <w:jc w:val="both"/>
        <w:rPr>
          <w:rFonts w:ascii="Times New Roman" w:hAnsi="Times New Roman"/>
          <w:lang w:val="en-IE"/>
        </w:rPr>
      </w:pPr>
      <w:r w:rsidRPr="00C25FBA">
        <w:rPr>
          <w:rStyle w:val="FootnoteReference"/>
          <w:rFonts w:ascii="Times New Roman" w:hAnsi="Times New Roman"/>
        </w:rPr>
        <w:footnoteRef/>
      </w:r>
      <w:r w:rsidRPr="00224BC5">
        <w:rPr>
          <w:rFonts w:ascii="Times New Roman" w:hAnsi="Times New Roman"/>
          <w:lang w:val="en-IE"/>
        </w:rPr>
        <w:t xml:space="preserve"> </w:t>
      </w:r>
      <w:r w:rsidRPr="00224BC5">
        <w:rPr>
          <w:rFonts w:ascii="Times New Roman" w:hAnsi="Times New Roman"/>
          <w:lang w:val="en-IE"/>
        </w:rPr>
        <w:tab/>
        <w:t>COM(2025)836 final (</w:t>
      </w:r>
      <w:hyperlink r:id="rId1" w:history="1">
        <w:r w:rsidRPr="00224BC5">
          <w:rPr>
            <w:rStyle w:val="Hyperlink"/>
            <w:rFonts w:ascii="Times New Roman" w:hAnsi="Times New Roman"/>
            <w:lang w:val="en-IE"/>
          </w:rPr>
          <w:t>EUR-Lex - 52025PC0836 - EN - EUR-Lex</w:t>
        </w:r>
      </w:hyperlink>
      <w:r w:rsidRPr="00224BC5">
        <w:rPr>
          <w:rFonts w:ascii="Times New Roman" w:hAnsi="Times New Roman"/>
          <w:lang w:val="en-IE"/>
        </w:rPr>
        <w:t>).</w:t>
      </w:r>
    </w:p>
  </w:footnote>
  <w:footnote w:id="2">
    <w:p w14:paraId="7671D564" w14:textId="06542747" w:rsidR="003B57C0" w:rsidRPr="00C25FBA" w:rsidRDefault="003B57C0" w:rsidP="00C25FBA">
      <w:pPr>
        <w:pStyle w:val="FootnoteText"/>
        <w:widowControl w:val="0"/>
        <w:spacing w:after="0" w:line="240" w:lineRule="auto"/>
        <w:jc w:val="both"/>
        <w:rPr>
          <w:rFonts w:ascii="Times New Roman" w:hAnsi="Times New Roman"/>
          <w:lang w:val="en-IE"/>
        </w:rPr>
      </w:pPr>
      <w:r w:rsidRPr="00C25FBA">
        <w:rPr>
          <w:rStyle w:val="FootnoteReference"/>
          <w:rFonts w:ascii="Times New Roman" w:hAnsi="Times New Roman"/>
        </w:rPr>
        <w:footnoteRef/>
      </w:r>
      <w:r w:rsidRPr="00C25FBA">
        <w:rPr>
          <w:rFonts w:ascii="Times New Roman" w:hAnsi="Times New Roman"/>
        </w:rPr>
        <w:t xml:space="preserve"> </w:t>
      </w:r>
      <w:r w:rsidRPr="00C25FBA">
        <w:rPr>
          <w:rFonts w:ascii="Times New Roman" w:hAnsi="Times New Roman"/>
          <w:lang w:val="en-IE"/>
        </w:rPr>
        <w:tab/>
      </w:r>
      <w:r w:rsidRPr="00C25FBA">
        <w:rPr>
          <w:rFonts w:ascii="Times New Roman" w:hAnsi="Times New Roman"/>
        </w:rPr>
        <w:t>Regulation (EU) 2024/1689 of the European Parliament and of the Council of 13 June 2024 laying down harmonised rules on artificial intelligence and amending Regulations (EC) No 300/2008, (EU) No 167/2013, (EU) No 168/2013, (EU) 2018/858, (EU) 2018/1139 and (EU) 2019/2144 and Directives 2014/90/EU, (EU) 2016/797 and (EU) 2020/1828 (Artificial Intelligence Act)  ( </w:t>
      </w:r>
      <w:hyperlink r:id="rId2" w:tooltip="Gives access to this document through its ELI URI." w:history="1">
        <w:r w:rsidRPr="00C25FBA">
          <w:rPr>
            <w:rStyle w:val="Hyperlink"/>
            <w:rFonts w:ascii="Times New Roman" w:hAnsi="Times New Roman"/>
          </w:rPr>
          <w:t>http://data.europa.eu/eli/reg/2024/1689/oj</w:t>
        </w:r>
      </w:hyperlink>
      <w:r w:rsidRPr="00C25FBA">
        <w:rPr>
          <w:rFonts w:ascii="Times New Roman" w:hAnsi="Times New Roman"/>
        </w:rPr>
        <w:t>).</w:t>
      </w:r>
    </w:p>
  </w:footnote>
  <w:footnote w:id="3">
    <w:p w14:paraId="2E84EAFA" w14:textId="6A867C27" w:rsidR="00AC71F8" w:rsidRPr="004F1C26" w:rsidRDefault="00AC71F8" w:rsidP="00CC55AE">
      <w:pPr>
        <w:pStyle w:val="FootnoteText"/>
        <w:spacing w:after="0" w:line="240" w:lineRule="auto"/>
        <w:jc w:val="both"/>
        <w:rPr>
          <w:lang w:val="en-IE"/>
        </w:rPr>
      </w:pPr>
      <w:r>
        <w:rPr>
          <w:rStyle w:val="FootnoteReference"/>
        </w:rPr>
        <w:footnoteRef/>
      </w:r>
      <w:r w:rsidRPr="00AC71F8">
        <w:rPr>
          <w:lang w:val="en-IE"/>
        </w:rPr>
        <w:t xml:space="preserve"> </w:t>
      </w:r>
      <w:r>
        <w:rPr>
          <w:lang w:val="en-IE"/>
        </w:rPr>
        <w:tab/>
      </w:r>
      <w:r w:rsidR="003B5021" w:rsidRPr="003B5021">
        <w:rPr>
          <w:rFonts w:ascii="Times New Roman" w:hAnsi="Times New Roman"/>
          <w:lang w:val="en-IE"/>
        </w:rPr>
        <w:t>Judgment of the Court (First Chamber) of 4 September 2025. European Data Protection Supervisor v Single Resolution Board</w:t>
      </w:r>
      <w:r w:rsidR="00EE58CA">
        <w:rPr>
          <w:rFonts w:ascii="Times New Roman" w:hAnsi="Times New Roman"/>
          <w:lang w:val="en-IE"/>
        </w:rPr>
        <w:t>,</w:t>
      </w:r>
      <w:r w:rsidR="003B5021" w:rsidRPr="003B5021">
        <w:rPr>
          <w:rFonts w:ascii="Times New Roman" w:hAnsi="Times New Roman"/>
          <w:lang w:val="en-IE"/>
        </w:rPr>
        <w:t xml:space="preserve"> </w:t>
      </w:r>
      <w:r w:rsidR="003B5021" w:rsidRPr="004F1C26">
        <w:rPr>
          <w:rFonts w:ascii="Times New Roman" w:hAnsi="Times New Roman"/>
          <w:lang w:val="en-IE"/>
        </w:rPr>
        <w:t>Case C-413/23 P (</w:t>
      </w:r>
      <w:hyperlink r:id="rId3" w:tgtFrame="_blank" w:tooltip="https://eur-lex.europa.eu/legal-content/en/txt/?uri=celex:62023cj0413" w:history="1">
        <w:r w:rsidR="003B5021" w:rsidRPr="004F1C26">
          <w:rPr>
            <w:rStyle w:val="Hyperlink"/>
            <w:rFonts w:ascii="Times New Roman" w:hAnsi="Times New Roman"/>
            <w:lang w:val="en-IE"/>
          </w:rPr>
          <w:t>EUR-Lex - 62023CJ0413 - EN - EUR-Lex</w:t>
        </w:r>
      </w:hyperlink>
      <w:r w:rsidR="003B5021" w:rsidRPr="004F1C26">
        <w:rPr>
          <w:rFonts w:ascii="Times New Roman" w:hAnsi="Times New Roman"/>
          <w:lang w:val="en-IE"/>
        </w:rPr>
        <w:t>)</w:t>
      </w:r>
      <w:r w:rsidR="00EE58CA" w:rsidRPr="004F1C26">
        <w:rPr>
          <w:rFonts w:ascii="Times New Roman" w:hAnsi="Times New Roman"/>
          <w:lang w:val="en-IE"/>
        </w:rPr>
        <w:t xml:space="preserve"> and earlier case-law referred therein.</w:t>
      </w:r>
    </w:p>
  </w:footnote>
  <w:footnote w:id="4">
    <w:p w14:paraId="03987F83" w14:textId="1E18A182" w:rsidR="003B57C0" w:rsidRPr="00C25FBA" w:rsidRDefault="003B57C0" w:rsidP="00CC55AE">
      <w:pPr>
        <w:pStyle w:val="FootnoteText"/>
        <w:widowControl w:val="0"/>
        <w:spacing w:after="0" w:line="240" w:lineRule="auto"/>
        <w:jc w:val="both"/>
        <w:rPr>
          <w:rFonts w:ascii="Times New Roman" w:hAnsi="Times New Roman"/>
          <w:lang w:val="en-IE"/>
        </w:rPr>
      </w:pPr>
      <w:r w:rsidRPr="00C25FBA">
        <w:rPr>
          <w:rStyle w:val="FootnoteReference"/>
          <w:rFonts w:ascii="Times New Roman" w:hAnsi="Times New Roman"/>
        </w:rPr>
        <w:footnoteRef/>
      </w:r>
      <w:r w:rsidRPr="00C25FBA">
        <w:rPr>
          <w:rFonts w:ascii="Times New Roman" w:hAnsi="Times New Roman"/>
        </w:rPr>
        <w:t xml:space="preserve"> </w:t>
      </w:r>
      <w:r w:rsidRPr="00C25FBA">
        <w:rPr>
          <w:rFonts w:ascii="Times New Roman" w:hAnsi="Times New Roman"/>
          <w:lang w:val="en-IE"/>
        </w:rPr>
        <w:tab/>
      </w:r>
      <w:r w:rsidRPr="00C25FBA">
        <w:rPr>
          <w:rFonts w:ascii="Times New Roman" w:hAnsi="Times New Roman"/>
        </w:rPr>
        <w:t>Regulation (EU) 2023/2854 of the European Parliament and of the Council of 13 December 2023 on harmonised rules on fair access to and use of data and amending Regulation (EU) 2017/2394 and Directive (EU) 2020/1828 (Data Act)  (</w:t>
      </w:r>
      <w:hyperlink r:id="rId4" w:tooltip="Gives access to this document through its ELI URI." w:history="1">
        <w:r w:rsidRPr="00C25FBA">
          <w:rPr>
            <w:rStyle w:val="Hyperlink"/>
            <w:rFonts w:ascii="Times New Roman" w:hAnsi="Times New Roman"/>
          </w:rPr>
          <w:t>http://data.europa.eu/eli/reg/2023/2854/oj</w:t>
        </w:r>
      </w:hyperlink>
      <w:r w:rsidRPr="00C25FBA">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4EB76"/>
    <w:multiLevelType w:val="hybridMultilevel"/>
    <w:tmpl w:val="04C09982"/>
    <w:lvl w:ilvl="0" w:tplc="878C9CE6">
      <w:start w:val="1"/>
      <w:numFmt w:val="bullet"/>
      <w:lvlText w:val="·"/>
      <w:lvlJc w:val="left"/>
      <w:pPr>
        <w:ind w:left="720" w:hanging="360"/>
      </w:pPr>
      <w:rPr>
        <w:rFonts w:ascii="Symbol" w:hAnsi="Symbol" w:hint="default"/>
      </w:rPr>
    </w:lvl>
    <w:lvl w:ilvl="1" w:tplc="B2E20786">
      <w:start w:val="1"/>
      <w:numFmt w:val="bullet"/>
      <w:lvlText w:val="o"/>
      <w:lvlJc w:val="left"/>
      <w:pPr>
        <w:ind w:left="1440" w:hanging="360"/>
      </w:pPr>
      <w:rPr>
        <w:rFonts w:ascii="Courier New" w:hAnsi="Courier New" w:hint="default"/>
      </w:rPr>
    </w:lvl>
    <w:lvl w:ilvl="2" w:tplc="FBD2539C">
      <w:start w:val="1"/>
      <w:numFmt w:val="bullet"/>
      <w:lvlText w:val=""/>
      <w:lvlJc w:val="left"/>
      <w:pPr>
        <w:ind w:left="2160" w:hanging="360"/>
      </w:pPr>
      <w:rPr>
        <w:rFonts w:ascii="Wingdings" w:hAnsi="Wingdings" w:hint="default"/>
      </w:rPr>
    </w:lvl>
    <w:lvl w:ilvl="3" w:tplc="0736E80E">
      <w:start w:val="1"/>
      <w:numFmt w:val="bullet"/>
      <w:lvlText w:val=""/>
      <w:lvlJc w:val="left"/>
      <w:pPr>
        <w:ind w:left="2880" w:hanging="360"/>
      </w:pPr>
      <w:rPr>
        <w:rFonts w:ascii="Symbol" w:hAnsi="Symbol" w:hint="default"/>
      </w:rPr>
    </w:lvl>
    <w:lvl w:ilvl="4" w:tplc="038088D4">
      <w:start w:val="1"/>
      <w:numFmt w:val="bullet"/>
      <w:lvlText w:val="o"/>
      <w:lvlJc w:val="left"/>
      <w:pPr>
        <w:ind w:left="3600" w:hanging="360"/>
      </w:pPr>
      <w:rPr>
        <w:rFonts w:ascii="Courier New" w:hAnsi="Courier New" w:hint="default"/>
      </w:rPr>
    </w:lvl>
    <w:lvl w:ilvl="5" w:tplc="CBF27DA4">
      <w:start w:val="1"/>
      <w:numFmt w:val="bullet"/>
      <w:lvlText w:val=""/>
      <w:lvlJc w:val="left"/>
      <w:pPr>
        <w:ind w:left="4320" w:hanging="360"/>
      </w:pPr>
      <w:rPr>
        <w:rFonts w:ascii="Wingdings" w:hAnsi="Wingdings" w:hint="default"/>
      </w:rPr>
    </w:lvl>
    <w:lvl w:ilvl="6" w:tplc="8946AA2A">
      <w:start w:val="1"/>
      <w:numFmt w:val="bullet"/>
      <w:lvlText w:val=""/>
      <w:lvlJc w:val="left"/>
      <w:pPr>
        <w:ind w:left="5040" w:hanging="360"/>
      </w:pPr>
      <w:rPr>
        <w:rFonts w:ascii="Symbol" w:hAnsi="Symbol" w:hint="default"/>
      </w:rPr>
    </w:lvl>
    <w:lvl w:ilvl="7" w:tplc="81D2CB68">
      <w:start w:val="1"/>
      <w:numFmt w:val="bullet"/>
      <w:lvlText w:val="o"/>
      <w:lvlJc w:val="left"/>
      <w:pPr>
        <w:ind w:left="5760" w:hanging="360"/>
      </w:pPr>
      <w:rPr>
        <w:rFonts w:ascii="Courier New" w:hAnsi="Courier New" w:hint="default"/>
      </w:rPr>
    </w:lvl>
    <w:lvl w:ilvl="8" w:tplc="CB5623B4">
      <w:start w:val="1"/>
      <w:numFmt w:val="bullet"/>
      <w:lvlText w:val=""/>
      <w:lvlJc w:val="left"/>
      <w:pPr>
        <w:ind w:left="6480" w:hanging="360"/>
      </w:pPr>
      <w:rPr>
        <w:rFonts w:ascii="Wingdings" w:hAnsi="Wingdings" w:hint="default"/>
      </w:rPr>
    </w:lvl>
  </w:abstractNum>
  <w:abstractNum w:abstractNumId="1" w15:restartNumberingAfterBreak="0">
    <w:nsid w:val="4204AEE6"/>
    <w:multiLevelType w:val="hybridMultilevel"/>
    <w:tmpl w:val="37CCE484"/>
    <w:lvl w:ilvl="0" w:tplc="51188F34">
      <w:start w:val="1"/>
      <w:numFmt w:val="upperLetter"/>
      <w:lvlText w:val="%1."/>
      <w:lvlJc w:val="left"/>
      <w:pPr>
        <w:ind w:left="720" w:hanging="360"/>
      </w:pPr>
    </w:lvl>
    <w:lvl w:ilvl="1" w:tplc="5038F666">
      <w:start w:val="1"/>
      <w:numFmt w:val="lowerLetter"/>
      <w:lvlText w:val="%2."/>
      <w:lvlJc w:val="left"/>
      <w:pPr>
        <w:ind w:left="1440" w:hanging="360"/>
      </w:pPr>
    </w:lvl>
    <w:lvl w:ilvl="2" w:tplc="35BA6962">
      <w:start w:val="1"/>
      <w:numFmt w:val="lowerRoman"/>
      <w:lvlText w:val="%3."/>
      <w:lvlJc w:val="right"/>
      <w:pPr>
        <w:ind w:left="2160" w:hanging="180"/>
      </w:pPr>
    </w:lvl>
    <w:lvl w:ilvl="3" w:tplc="54326E06">
      <w:start w:val="1"/>
      <w:numFmt w:val="decimal"/>
      <w:lvlText w:val="%4."/>
      <w:lvlJc w:val="left"/>
      <w:pPr>
        <w:ind w:left="2880" w:hanging="360"/>
      </w:pPr>
    </w:lvl>
    <w:lvl w:ilvl="4" w:tplc="65F24A3C">
      <w:start w:val="1"/>
      <w:numFmt w:val="lowerLetter"/>
      <w:lvlText w:val="%5."/>
      <w:lvlJc w:val="left"/>
      <w:pPr>
        <w:ind w:left="3600" w:hanging="360"/>
      </w:pPr>
    </w:lvl>
    <w:lvl w:ilvl="5" w:tplc="6A6ACB44">
      <w:start w:val="1"/>
      <w:numFmt w:val="lowerRoman"/>
      <w:lvlText w:val="%6."/>
      <w:lvlJc w:val="right"/>
      <w:pPr>
        <w:ind w:left="4320" w:hanging="180"/>
      </w:pPr>
    </w:lvl>
    <w:lvl w:ilvl="6" w:tplc="8B86F5F2">
      <w:start w:val="1"/>
      <w:numFmt w:val="decimal"/>
      <w:lvlText w:val="%7."/>
      <w:lvlJc w:val="left"/>
      <w:pPr>
        <w:ind w:left="5040" w:hanging="360"/>
      </w:pPr>
    </w:lvl>
    <w:lvl w:ilvl="7" w:tplc="F0CA17CC">
      <w:start w:val="1"/>
      <w:numFmt w:val="lowerLetter"/>
      <w:lvlText w:val="%8."/>
      <w:lvlJc w:val="left"/>
      <w:pPr>
        <w:ind w:left="5760" w:hanging="360"/>
      </w:pPr>
    </w:lvl>
    <w:lvl w:ilvl="8" w:tplc="69FA10FE">
      <w:start w:val="1"/>
      <w:numFmt w:val="lowerRoman"/>
      <w:lvlText w:val="%9."/>
      <w:lvlJc w:val="right"/>
      <w:pPr>
        <w:ind w:left="6480" w:hanging="180"/>
      </w:pPr>
    </w:lvl>
  </w:abstractNum>
  <w:abstractNum w:abstractNumId="2" w15:restartNumberingAfterBreak="0">
    <w:nsid w:val="64FFC847"/>
    <w:multiLevelType w:val="hybridMultilevel"/>
    <w:tmpl w:val="E6BE82AA"/>
    <w:lvl w:ilvl="0" w:tplc="40F0C8FA">
      <w:start w:val="1"/>
      <w:numFmt w:val="bullet"/>
      <w:lvlText w:val=""/>
      <w:lvlJc w:val="left"/>
      <w:pPr>
        <w:ind w:left="720" w:hanging="360"/>
      </w:pPr>
      <w:rPr>
        <w:rFonts w:ascii="Symbol" w:hAnsi="Symbol" w:hint="default"/>
      </w:rPr>
    </w:lvl>
    <w:lvl w:ilvl="1" w:tplc="A9CCA3EC">
      <w:start w:val="1"/>
      <w:numFmt w:val="bullet"/>
      <w:lvlText w:val="o"/>
      <w:lvlJc w:val="left"/>
      <w:pPr>
        <w:ind w:left="1440" w:hanging="360"/>
      </w:pPr>
      <w:rPr>
        <w:rFonts w:ascii="Courier New" w:hAnsi="Courier New" w:hint="default"/>
      </w:rPr>
    </w:lvl>
    <w:lvl w:ilvl="2" w:tplc="15F6CB68">
      <w:start w:val="1"/>
      <w:numFmt w:val="bullet"/>
      <w:lvlText w:val=""/>
      <w:lvlJc w:val="left"/>
      <w:pPr>
        <w:ind w:left="2160" w:hanging="360"/>
      </w:pPr>
      <w:rPr>
        <w:rFonts w:ascii="Wingdings" w:hAnsi="Wingdings" w:hint="default"/>
      </w:rPr>
    </w:lvl>
    <w:lvl w:ilvl="3" w:tplc="D1E83D24">
      <w:start w:val="1"/>
      <w:numFmt w:val="bullet"/>
      <w:lvlText w:val=""/>
      <w:lvlJc w:val="left"/>
      <w:pPr>
        <w:ind w:left="2880" w:hanging="360"/>
      </w:pPr>
      <w:rPr>
        <w:rFonts w:ascii="Symbol" w:hAnsi="Symbol" w:hint="default"/>
      </w:rPr>
    </w:lvl>
    <w:lvl w:ilvl="4" w:tplc="E3A6DC5E">
      <w:start w:val="1"/>
      <w:numFmt w:val="bullet"/>
      <w:lvlText w:val="o"/>
      <w:lvlJc w:val="left"/>
      <w:pPr>
        <w:ind w:left="3600" w:hanging="360"/>
      </w:pPr>
      <w:rPr>
        <w:rFonts w:ascii="Courier New" w:hAnsi="Courier New" w:hint="default"/>
      </w:rPr>
    </w:lvl>
    <w:lvl w:ilvl="5" w:tplc="87100D02">
      <w:start w:val="1"/>
      <w:numFmt w:val="bullet"/>
      <w:lvlText w:val=""/>
      <w:lvlJc w:val="left"/>
      <w:pPr>
        <w:ind w:left="4320" w:hanging="360"/>
      </w:pPr>
      <w:rPr>
        <w:rFonts w:ascii="Wingdings" w:hAnsi="Wingdings" w:hint="default"/>
      </w:rPr>
    </w:lvl>
    <w:lvl w:ilvl="6" w:tplc="6052AB76">
      <w:start w:val="1"/>
      <w:numFmt w:val="bullet"/>
      <w:lvlText w:val=""/>
      <w:lvlJc w:val="left"/>
      <w:pPr>
        <w:ind w:left="5040" w:hanging="360"/>
      </w:pPr>
      <w:rPr>
        <w:rFonts w:ascii="Symbol" w:hAnsi="Symbol" w:hint="default"/>
      </w:rPr>
    </w:lvl>
    <w:lvl w:ilvl="7" w:tplc="4A10B62A">
      <w:start w:val="1"/>
      <w:numFmt w:val="bullet"/>
      <w:lvlText w:val="o"/>
      <w:lvlJc w:val="left"/>
      <w:pPr>
        <w:ind w:left="5760" w:hanging="360"/>
      </w:pPr>
      <w:rPr>
        <w:rFonts w:ascii="Courier New" w:hAnsi="Courier New" w:hint="default"/>
      </w:rPr>
    </w:lvl>
    <w:lvl w:ilvl="8" w:tplc="1986955C">
      <w:start w:val="1"/>
      <w:numFmt w:val="bullet"/>
      <w:lvlText w:val=""/>
      <w:lvlJc w:val="left"/>
      <w:pPr>
        <w:ind w:left="6480" w:hanging="360"/>
      </w:pPr>
      <w:rPr>
        <w:rFonts w:ascii="Wingdings" w:hAnsi="Wingdings" w:hint="default"/>
      </w:rPr>
    </w:lvl>
  </w:abstractNum>
  <w:abstractNum w:abstractNumId="3" w15:restartNumberingAfterBreak="0">
    <w:nsid w:val="7418EF05"/>
    <w:multiLevelType w:val="hybridMultilevel"/>
    <w:tmpl w:val="E676DF8A"/>
    <w:lvl w:ilvl="0" w:tplc="69A0AD50">
      <w:start w:val="1"/>
      <w:numFmt w:val="bullet"/>
      <w:lvlText w:val="·"/>
      <w:lvlJc w:val="left"/>
      <w:pPr>
        <w:ind w:left="720" w:hanging="360"/>
      </w:pPr>
      <w:rPr>
        <w:rFonts w:ascii="Symbol" w:hAnsi="Symbol" w:hint="default"/>
      </w:rPr>
    </w:lvl>
    <w:lvl w:ilvl="1" w:tplc="6D92EF62">
      <w:start w:val="1"/>
      <w:numFmt w:val="bullet"/>
      <w:lvlText w:val="o"/>
      <w:lvlJc w:val="left"/>
      <w:pPr>
        <w:ind w:left="1440" w:hanging="360"/>
      </w:pPr>
      <w:rPr>
        <w:rFonts w:ascii="Courier New" w:hAnsi="Courier New" w:hint="default"/>
      </w:rPr>
    </w:lvl>
    <w:lvl w:ilvl="2" w:tplc="0D84DF28">
      <w:start w:val="1"/>
      <w:numFmt w:val="bullet"/>
      <w:lvlText w:val=""/>
      <w:lvlJc w:val="left"/>
      <w:pPr>
        <w:ind w:left="2160" w:hanging="360"/>
      </w:pPr>
      <w:rPr>
        <w:rFonts w:ascii="Wingdings" w:hAnsi="Wingdings" w:hint="default"/>
      </w:rPr>
    </w:lvl>
    <w:lvl w:ilvl="3" w:tplc="B88C89C0">
      <w:start w:val="1"/>
      <w:numFmt w:val="bullet"/>
      <w:lvlText w:val=""/>
      <w:lvlJc w:val="left"/>
      <w:pPr>
        <w:ind w:left="2880" w:hanging="360"/>
      </w:pPr>
      <w:rPr>
        <w:rFonts w:ascii="Symbol" w:hAnsi="Symbol" w:hint="default"/>
      </w:rPr>
    </w:lvl>
    <w:lvl w:ilvl="4" w:tplc="1C566D64">
      <w:start w:val="1"/>
      <w:numFmt w:val="bullet"/>
      <w:lvlText w:val="o"/>
      <w:lvlJc w:val="left"/>
      <w:pPr>
        <w:ind w:left="3600" w:hanging="360"/>
      </w:pPr>
      <w:rPr>
        <w:rFonts w:ascii="Courier New" w:hAnsi="Courier New" w:hint="default"/>
      </w:rPr>
    </w:lvl>
    <w:lvl w:ilvl="5" w:tplc="12EAE854">
      <w:start w:val="1"/>
      <w:numFmt w:val="bullet"/>
      <w:lvlText w:val=""/>
      <w:lvlJc w:val="left"/>
      <w:pPr>
        <w:ind w:left="4320" w:hanging="360"/>
      </w:pPr>
      <w:rPr>
        <w:rFonts w:ascii="Wingdings" w:hAnsi="Wingdings" w:hint="default"/>
      </w:rPr>
    </w:lvl>
    <w:lvl w:ilvl="6" w:tplc="9000BA34">
      <w:start w:val="1"/>
      <w:numFmt w:val="bullet"/>
      <w:lvlText w:val=""/>
      <w:lvlJc w:val="left"/>
      <w:pPr>
        <w:ind w:left="5040" w:hanging="360"/>
      </w:pPr>
      <w:rPr>
        <w:rFonts w:ascii="Symbol" w:hAnsi="Symbol" w:hint="default"/>
      </w:rPr>
    </w:lvl>
    <w:lvl w:ilvl="7" w:tplc="D9BEEC56">
      <w:start w:val="1"/>
      <w:numFmt w:val="bullet"/>
      <w:lvlText w:val="o"/>
      <w:lvlJc w:val="left"/>
      <w:pPr>
        <w:ind w:left="5760" w:hanging="360"/>
      </w:pPr>
      <w:rPr>
        <w:rFonts w:ascii="Courier New" w:hAnsi="Courier New" w:hint="default"/>
      </w:rPr>
    </w:lvl>
    <w:lvl w:ilvl="8" w:tplc="3788E71A">
      <w:start w:val="1"/>
      <w:numFmt w:val="bullet"/>
      <w:lvlText w:val=""/>
      <w:lvlJc w:val="left"/>
      <w:pPr>
        <w:ind w:left="6480" w:hanging="360"/>
      </w:pPr>
      <w:rPr>
        <w:rFonts w:ascii="Wingdings" w:hAnsi="Wingdings" w:hint="default"/>
      </w:rPr>
    </w:lvl>
  </w:abstractNum>
  <w:num w:numId="1" w16cid:durableId="195314213">
    <w:abstractNumId w:val="0"/>
  </w:num>
  <w:num w:numId="2" w16cid:durableId="1745760248">
    <w:abstractNumId w:val="2"/>
  </w:num>
  <w:num w:numId="3" w16cid:durableId="1737819974">
    <w:abstractNumId w:val="1"/>
  </w:num>
  <w:num w:numId="4" w16cid:durableId="922229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77C4F"/>
    <w:rsid w:val="00012A37"/>
    <w:rsid w:val="00034E36"/>
    <w:rsid w:val="00046B15"/>
    <w:rsid w:val="00050DC7"/>
    <w:rsid w:val="00075814"/>
    <w:rsid w:val="00076109"/>
    <w:rsid w:val="00077C4F"/>
    <w:rsid w:val="0009417C"/>
    <w:rsid w:val="00097146"/>
    <w:rsid w:val="000A5FB9"/>
    <w:rsid w:val="000C696A"/>
    <w:rsid w:val="000D2DAA"/>
    <w:rsid w:val="000E6B20"/>
    <w:rsid w:val="000F0274"/>
    <w:rsid w:val="000F5FD8"/>
    <w:rsid w:val="001003EF"/>
    <w:rsid w:val="0010423F"/>
    <w:rsid w:val="00107DBA"/>
    <w:rsid w:val="001111F1"/>
    <w:rsid w:val="001167C0"/>
    <w:rsid w:val="00116F5B"/>
    <w:rsid w:val="00124EA4"/>
    <w:rsid w:val="00125D62"/>
    <w:rsid w:val="00135C2A"/>
    <w:rsid w:val="00142D53"/>
    <w:rsid w:val="001430BE"/>
    <w:rsid w:val="001952A1"/>
    <w:rsid w:val="001A1E9E"/>
    <w:rsid w:val="001B0E0B"/>
    <w:rsid w:val="001C4138"/>
    <w:rsid w:val="001D4E02"/>
    <w:rsid w:val="001E1EF4"/>
    <w:rsid w:val="001E736D"/>
    <w:rsid w:val="001F2EC6"/>
    <w:rsid w:val="001F65D0"/>
    <w:rsid w:val="00204C24"/>
    <w:rsid w:val="0020763C"/>
    <w:rsid w:val="00217E59"/>
    <w:rsid w:val="00224BC5"/>
    <w:rsid w:val="00243234"/>
    <w:rsid w:val="002A0AF7"/>
    <w:rsid w:val="002B172A"/>
    <w:rsid w:val="002D7185"/>
    <w:rsid w:val="002F03FA"/>
    <w:rsid w:val="003004D2"/>
    <w:rsid w:val="00306D11"/>
    <w:rsid w:val="00310647"/>
    <w:rsid w:val="003220E7"/>
    <w:rsid w:val="003310F6"/>
    <w:rsid w:val="003349A3"/>
    <w:rsid w:val="003517DC"/>
    <w:rsid w:val="003649E3"/>
    <w:rsid w:val="0037121D"/>
    <w:rsid w:val="003742B0"/>
    <w:rsid w:val="00377967"/>
    <w:rsid w:val="003808BF"/>
    <w:rsid w:val="00386143"/>
    <w:rsid w:val="00392368"/>
    <w:rsid w:val="003B5021"/>
    <w:rsid w:val="003B57C0"/>
    <w:rsid w:val="003B58DC"/>
    <w:rsid w:val="003F686E"/>
    <w:rsid w:val="004254A1"/>
    <w:rsid w:val="00442552"/>
    <w:rsid w:val="00455A1C"/>
    <w:rsid w:val="004675B5"/>
    <w:rsid w:val="004770D6"/>
    <w:rsid w:val="00477575"/>
    <w:rsid w:val="0049246C"/>
    <w:rsid w:val="00494F7F"/>
    <w:rsid w:val="004A6EBC"/>
    <w:rsid w:val="004A7932"/>
    <w:rsid w:val="004C0B61"/>
    <w:rsid w:val="004C15EC"/>
    <w:rsid w:val="004C7604"/>
    <w:rsid w:val="004D137D"/>
    <w:rsid w:val="004F1C26"/>
    <w:rsid w:val="004F6117"/>
    <w:rsid w:val="004F63F1"/>
    <w:rsid w:val="004F651E"/>
    <w:rsid w:val="005173C7"/>
    <w:rsid w:val="0052596B"/>
    <w:rsid w:val="00534854"/>
    <w:rsid w:val="00546F64"/>
    <w:rsid w:val="00554137"/>
    <w:rsid w:val="00554D8D"/>
    <w:rsid w:val="00573835"/>
    <w:rsid w:val="00581306"/>
    <w:rsid w:val="00594FDF"/>
    <w:rsid w:val="005C3105"/>
    <w:rsid w:val="005D1B32"/>
    <w:rsid w:val="005D695F"/>
    <w:rsid w:val="006404CE"/>
    <w:rsid w:val="00642878"/>
    <w:rsid w:val="00682E46"/>
    <w:rsid w:val="006929A4"/>
    <w:rsid w:val="00692C2F"/>
    <w:rsid w:val="00695797"/>
    <w:rsid w:val="00696A5E"/>
    <w:rsid w:val="006A6977"/>
    <w:rsid w:val="006B07F6"/>
    <w:rsid w:val="006B3B69"/>
    <w:rsid w:val="006F28A2"/>
    <w:rsid w:val="0072270A"/>
    <w:rsid w:val="00734613"/>
    <w:rsid w:val="007351D2"/>
    <w:rsid w:val="00751910"/>
    <w:rsid w:val="00751E60"/>
    <w:rsid w:val="00752F1C"/>
    <w:rsid w:val="007547B5"/>
    <w:rsid w:val="00765389"/>
    <w:rsid w:val="00766444"/>
    <w:rsid w:val="00795A9E"/>
    <w:rsid w:val="007A606D"/>
    <w:rsid w:val="007C2214"/>
    <w:rsid w:val="00807B48"/>
    <w:rsid w:val="008135CA"/>
    <w:rsid w:val="0081584F"/>
    <w:rsid w:val="0083189E"/>
    <w:rsid w:val="00833DA9"/>
    <w:rsid w:val="0084079E"/>
    <w:rsid w:val="008459FF"/>
    <w:rsid w:val="008703BF"/>
    <w:rsid w:val="0087294A"/>
    <w:rsid w:val="008750B3"/>
    <w:rsid w:val="00891299"/>
    <w:rsid w:val="008925CE"/>
    <w:rsid w:val="00895E25"/>
    <w:rsid w:val="008C4D41"/>
    <w:rsid w:val="008D1B6E"/>
    <w:rsid w:val="008F6DA7"/>
    <w:rsid w:val="009175C1"/>
    <w:rsid w:val="009276A6"/>
    <w:rsid w:val="009320ED"/>
    <w:rsid w:val="00933314"/>
    <w:rsid w:val="0096262D"/>
    <w:rsid w:val="00981F45"/>
    <w:rsid w:val="00986A73"/>
    <w:rsid w:val="00987D39"/>
    <w:rsid w:val="00994D12"/>
    <w:rsid w:val="009A17AD"/>
    <w:rsid w:val="009A3524"/>
    <w:rsid w:val="009B128B"/>
    <w:rsid w:val="009B3664"/>
    <w:rsid w:val="009B6A3E"/>
    <w:rsid w:val="009E2DDA"/>
    <w:rsid w:val="009E3C71"/>
    <w:rsid w:val="009E4B16"/>
    <w:rsid w:val="009F251D"/>
    <w:rsid w:val="00A16F07"/>
    <w:rsid w:val="00A62C7B"/>
    <w:rsid w:val="00A7709A"/>
    <w:rsid w:val="00AA0D0B"/>
    <w:rsid w:val="00AC71F8"/>
    <w:rsid w:val="00AE1842"/>
    <w:rsid w:val="00AE3C7C"/>
    <w:rsid w:val="00B0466D"/>
    <w:rsid w:val="00B1276D"/>
    <w:rsid w:val="00B31306"/>
    <w:rsid w:val="00B40859"/>
    <w:rsid w:val="00B42814"/>
    <w:rsid w:val="00B52501"/>
    <w:rsid w:val="00B73795"/>
    <w:rsid w:val="00B83936"/>
    <w:rsid w:val="00B845EA"/>
    <w:rsid w:val="00B9785A"/>
    <w:rsid w:val="00BC6AD6"/>
    <w:rsid w:val="00BC7064"/>
    <w:rsid w:val="00BD6EB7"/>
    <w:rsid w:val="00C02E46"/>
    <w:rsid w:val="00C1126D"/>
    <w:rsid w:val="00C154A3"/>
    <w:rsid w:val="00C156BA"/>
    <w:rsid w:val="00C166BF"/>
    <w:rsid w:val="00C25FBA"/>
    <w:rsid w:val="00C37BDD"/>
    <w:rsid w:val="00C54D27"/>
    <w:rsid w:val="00C64504"/>
    <w:rsid w:val="00C72785"/>
    <w:rsid w:val="00C76EEB"/>
    <w:rsid w:val="00C95536"/>
    <w:rsid w:val="00C9685B"/>
    <w:rsid w:val="00CC55AE"/>
    <w:rsid w:val="00CE27BE"/>
    <w:rsid w:val="00CF41BD"/>
    <w:rsid w:val="00D01F5A"/>
    <w:rsid w:val="00D05202"/>
    <w:rsid w:val="00D11445"/>
    <w:rsid w:val="00D1323B"/>
    <w:rsid w:val="00D1716E"/>
    <w:rsid w:val="00D23594"/>
    <w:rsid w:val="00D32445"/>
    <w:rsid w:val="00D3553A"/>
    <w:rsid w:val="00D50487"/>
    <w:rsid w:val="00D5149D"/>
    <w:rsid w:val="00D64E05"/>
    <w:rsid w:val="00D87BD2"/>
    <w:rsid w:val="00D90590"/>
    <w:rsid w:val="00D906BD"/>
    <w:rsid w:val="00D92FD3"/>
    <w:rsid w:val="00D9399D"/>
    <w:rsid w:val="00DA3B6E"/>
    <w:rsid w:val="00DB1716"/>
    <w:rsid w:val="00DB7581"/>
    <w:rsid w:val="00DC70C1"/>
    <w:rsid w:val="00E01607"/>
    <w:rsid w:val="00E15F54"/>
    <w:rsid w:val="00E25A54"/>
    <w:rsid w:val="00E33CB4"/>
    <w:rsid w:val="00E62BBB"/>
    <w:rsid w:val="00E6374D"/>
    <w:rsid w:val="00E74E7E"/>
    <w:rsid w:val="00E755D8"/>
    <w:rsid w:val="00E83C12"/>
    <w:rsid w:val="00E904C8"/>
    <w:rsid w:val="00EA1BBF"/>
    <w:rsid w:val="00EB29A9"/>
    <w:rsid w:val="00EB684C"/>
    <w:rsid w:val="00EB77D2"/>
    <w:rsid w:val="00ED326C"/>
    <w:rsid w:val="00EE58CA"/>
    <w:rsid w:val="00EF7F91"/>
    <w:rsid w:val="00F316C8"/>
    <w:rsid w:val="00F33F23"/>
    <w:rsid w:val="00F61A0D"/>
    <w:rsid w:val="00F632DE"/>
    <w:rsid w:val="00F66679"/>
    <w:rsid w:val="00F735E4"/>
    <w:rsid w:val="00F95D57"/>
    <w:rsid w:val="00F97687"/>
    <w:rsid w:val="00FB7834"/>
    <w:rsid w:val="00FD4B6A"/>
    <w:rsid w:val="00FD4C59"/>
    <w:rsid w:val="00FF03A8"/>
    <w:rsid w:val="00FF1A38"/>
    <w:rsid w:val="00FF2670"/>
    <w:rsid w:val="00FF63EA"/>
    <w:rsid w:val="0145162B"/>
    <w:rsid w:val="0164469F"/>
    <w:rsid w:val="0166AECA"/>
    <w:rsid w:val="02C7A5C9"/>
    <w:rsid w:val="0370FFBC"/>
    <w:rsid w:val="037F71C5"/>
    <w:rsid w:val="0421B97B"/>
    <w:rsid w:val="04FA5C81"/>
    <w:rsid w:val="050E80E0"/>
    <w:rsid w:val="059E039B"/>
    <w:rsid w:val="05AAE9F3"/>
    <w:rsid w:val="06F60A03"/>
    <w:rsid w:val="076A2276"/>
    <w:rsid w:val="08CAEEDE"/>
    <w:rsid w:val="095E659E"/>
    <w:rsid w:val="0AB23863"/>
    <w:rsid w:val="0AFC7AD8"/>
    <w:rsid w:val="0B5C42FD"/>
    <w:rsid w:val="0BBD7254"/>
    <w:rsid w:val="0BC6E3DC"/>
    <w:rsid w:val="0C950F6D"/>
    <w:rsid w:val="0CA17DE6"/>
    <w:rsid w:val="0CD66FEF"/>
    <w:rsid w:val="0CE3DB21"/>
    <w:rsid w:val="0D36D920"/>
    <w:rsid w:val="0D55CD8A"/>
    <w:rsid w:val="0DD11C5A"/>
    <w:rsid w:val="0E40DACD"/>
    <w:rsid w:val="0EDFA6A8"/>
    <w:rsid w:val="0EF5FFBC"/>
    <w:rsid w:val="0F8B6499"/>
    <w:rsid w:val="109D7414"/>
    <w:rsid w:val="11097C20"/>
    <w:rsid w:val="1109FA6F"/>
    <w:rsid w:val="12C5ED9E"/>
    <w:rsid w:val="13486A8C"/>
    <w:rsid w:val="139ED24F"/>
    <w:rsid w:val="141CF8B7"/>
    <w:rsid w:val="14298FDB"/>
    <w:rsid w:val="14C6D03E"/>
    <w:rsid w:val="1569346D"/>
    <w:rsid w:val="15942C40"/>
    <w:rsid w:val="15CAC89B"/>
    <w:rsid w:val="1764BE41"/>
    <w:rsid w:val="18EC0171"/>
    <w:rsid w:val="1ADF94DA"/>
    <w:rsid w:val="1C9EC313"/>
    <w:rsid w:val="1CA218DE"/>
    <w:rsid w:val="1CA83D13"/>
    <w:rsid w:val="1D009CC6"/>
    <w:rsid w:val="1E2527B6"/>
    <w:rsid w:val="1E3EC462"/>
    <w:rsid w:val="1F1DBB50"/>
    <w:rsid w:val="1F67D0D7"/>
    <w:rsid w:val="20222DBB"/>
    <w:rsid w:val="213EE8C3"/>
    <w:rsid w:val="231A622C"/>
    <w:rsid w:val="233CCD25"/>
    <w:rsid w:val="23DB442D"/>
    <w:rsid w:val="240F35DF"/>
    <w:rsid w:val="25BD9C7A"/>
    <w:rsid w:val="26AB2C20"/>
    <w:rsid w:val="279209B9"/>
    <w:rsid w:val="279E11ED"/>
    <w:rsid w:val="27A64C0A"/>
    <w:rsid w:val="28C93FE6"/>
    <w:rsid w:val="2912562D"/>
    <w:rsid w:val="2A02CD0D"/>
    <w:rsid w:val="2A821517"/>
    <w:rsid w:val="2B228D07"/>
    <w:rsid w:val="2B64C04B"/>
    <w:rsid w:val="2B9CD535"/>
    <w:rsid w:val="2CEF6E4C"/>
    <w:rsid w:val="2DAFF85C"/>
    <w:rsid w:val="2E47A842"/>
    <w:rsid w:val="3020E71E"/>
    <w:rsid w:val="31ACBD71"/>
    <w:rsid w:val="32797B84"/>
    <w:rsid w:val="33A5A1F3"/>
    <w:rsid w:val="33A860AD"/>
    <w:rsid w:val="33C1ED87"/>
    <w:rsid w:val="33C767F5"/>
    <w:rsid w:val="3519E50F"/>
    <w:rsid w:val="35779AF6"/>
    <w:rsid w:val="367BECD6"/>
    <w:rsid w:val="36B53BFE"/>
    <w:rsid w:val="36E35F84"/>
    <w:rsid w:val="37433CAC"/>
    <w:rsid w:val="39E2085C"/>
    <w:rsid w:val="3ABFD6F3"/>
    <w:rsid w:val="3C284E1E"/>
    <w:rsid w:val="3C495362"/>
    <w:rsid w:val="3DB4DAB7"/>
    <w:rsid w:val="3DB5534A"/>
    <w:rsid w:val="3DC4789A"/>
    <w:rsid w:val="3DED72AE"/>
    <w:rsid w:val="3F8634A7"/>
    <w:rsid w:val="401BF125"/>
    <w:rsid w:val="4090E027"/>
    <w:rsid w:val="41B58BF1"/>
    <w:rsid w:val="42078657"/>
    <w:rsid w:val="42119DA6"/>
    <w:rsid w:val="431DCADB"/>
    <w:rsid w:val="447D8591"/>
    <w:rsid w:val="4496B50E"/>
    <w:rsid w:val="45326800"/>
    <w:rsid w:val="460B3AE1"/>
    <w:rsid w:val="476F1148"/>
    <w:rsid w:val="47A3DCF2"/>
    <w:rsid w:val="49B0AF24"/>
    <w:rsid w:val="49CB20D8"/>
    <w:rsid w:val="4A56B27C"/>
    <w:rsid w:val="4AAA773A"/>
    <w:rsid w:val="4C29457A"/>
    <w:rsid w:val="4C45B320"/>
    <w:rsid w:val="4C9AE583"/>
    <w:rsid w:val="4D019139"/>
    <w:rsid w:val="4D4A2A61"/>
    <w:rsid w:val="4DA86618"/>
    <w:rsid w:val="4DFD18BC"/>
    <w:rsid w:val="4EF05050"/>
    <w:rsid w:val="4F5EE58D"/>
    <w:rsid w:val="50B4675D"/>
    <w:rsid w:val="527F370D"/>
    <w:rsid w:val="545738EB"/>
    <w:rsid w:val="564473B6"/>
    <w:rsid w:val="569FA68F"/>
    <w:rsid w:val="5982F2B9"/>
    <w:rsid w:val="5A3AC699"/>
    <w:rsid w:val="5B004D2A"/>
    <w:rsid w:val="5E8ABA62"/>
    <w:rsid w:val="5F7D94F2"/>
    <w:rsid w:val="60228346"/>
    <w:rsid w:val="605BAE8F"/>
    <w:rsid w:val="61EFD6CE"/>
    <w:rsid w:val="64309751"/>
    <w:rsid w:val="6451E1C8"/>
    <w:rsid w:val="656379D0"/>
    <w:rsid w:val="657546D1"/>
    <w:rsid w:val="6610AC0A"/>
    <w:rsid w:val="669A9EA6"/>
    <w:rsid w:val="66A7499F"/>
    <w:rsid w:val="693B3FC0"/>
    <w:rsid w:val="6959D64A"/>
    <w:rsid w:val="6B18AFC2"/>
    <w:rsid w:val="6C69A6CE"/>
    <w:rsid w:val="6CC5EC1B"/>
    <w:rsid w:val="6CCFCFF8"/>
    <w:rsid w:val="6CD20685"/>
    <w:rsid w:val="6D23B6BD"/>
    <w:rsid w:val="6DD0DA4B"/>
    <w:rsid w:val="6DF19C16"/>
    <w:rsid w:val="6E93A340"/>
    <w:rsid w:val="6EBD2ECF"/>
    <w:rsid w:val="6F251A1F"/>
    <w:rsid w:val="7130DE4B"/>
    <w:rsid w:val="72CF780C"/>
    <w:rsid w:val="74EA7751"/>
    <w:rsid w:val="75F44DEE"/>
    <w:rsid w:val="767D5143"/>
    <w:rsid w:val="772F7D26"/>
    <w:rsid w:val="792013E7"/>
    <w:rsid w:val="79F102F3"/>
    <w:rsid w:val="7AAB8C62"/>
    <w:rsid w:val="7AB19A68"/>
    <w:rsid w:val="7AD17F64"/>
    <w:rsid w:val="7C98D5F9"/>
    <w:rsid w:val="7E750768"/>
    <w:rsid w:val="7F05884E"/>
    <w:rsid w:val="7F0BA339"/>
    <w:rsid w:val="7FB5C83D"/>
    <w:rsid w:val="7FC0E5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17645374-A708-49F7-92AF-A0376085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Data">
    <w:name w:val="List Data"/>
    <w:rsid w:val="00124EA4"/>
    <w:pPr>
      <w:widowControl w:val="0"/>
      <w:autoSpaceDE w:val="0"/>
      <w:autoSpaceDN w:val="0"/>
      <w:adjustRightInd w:val="0"/>
    </w:pPr>
    <w:rPr>
      <w:rFonts w:ascii="Arial" w:eastAsia="MS Mincho" w:hAnsi="Arial" w:cs="Arial"/>
      <w:color w:val="000000"/>
      <w:sz w:val="18"/>
      <w:szCs w:val="18"/>
      <w:lang w:val="fr-BE" w:eastAsia="fr-BE"/>
    </w:rPr>
  </w:style>
  <w:style w:type="paragraph" w:styleId="ListParagraph">
    <w:name w:val="List Paragraph"/>
    <w:basedOn w:val="Normal"/>
    <w:uiPriority w:val="34"/>
    <w:qFormat/>
    <w:rsid w:val="2DAFF85C"/>
    <w:pPr>
      <w:ind w:left="720"/>
      <w:contextualSpacing/>
    </w:pPr>
  </w:style>
  <w:style w:type="paragraph" w:styleId="Revision">
    <w:name w:val="Revision"/>
    <w:hidden/>
    <w:uiPriority w:val="99"/>
    <w:semiHidden/>
    <w:rsid w:val="009B3664"/>
    <w:rPr>
      <w:sz w:val="22"/>
      <w:szCs w:val="22"/>
      <w:lang w:val="en-GB" w:eastAsia="en-US"/>
    </w:rPr>
  </w:style>
  <w:style w:type="paragraph" w:styleId="FootnoteText">
    <w:name w:val="footnote text"/>
    <w:basedOn w:val="Normal"/>
    <w:link w:val="FootnoteTextChar"/>
    <w:uiPriority w:val="99"/>
    <w:semiHidden/>
    <w:unhideWhenUsed/>
    <w:rsid w:val="003B57C0"/>
    <w:rPr>
      <w:sz w:val="20"/>
      <w:szCs w:val="20"/>
    </w:rPr>
  </w:style>
  <w:style w:type="character" w:customStyle="1" w:styleId="FootnoteTextChar">
    <w:name w:val="Footnote Text Char"/>
    <w:link w:val="FootnoteText"/>
    <w:uiPriority w:val="99"/>
    <w:semiHidden/>
    <w:rsid w:val="003B57C0"/>
    <w:rPr>
      <w:lang w:eastAsia="en-US"/>
    </w:rPr>
  </w:style>
  <w:style w:type="character" w:styleId="FootnoteReference">
    <w:name w:val="footnote reference"/>
    <w:uiPriority w:val="99"/>
    <w:semiHidden/>
    <w:unhideWhenUsed/>
    <w:rsid w:val="003B57C0"/>
    <w:rPr>
      <w:vertAlign w:val="superscript"/>
    </w:rPr>
  </w:style>
  <w:style w:type="character" w:styleId="Hyperlink">
    <w:name w:val="Hyperlink"/>
    <w:uiPriority w:val="99"/>
    <w:unhideWhenUsed/>
    <w:rsid w:val="003B57C0"/>
    <w:rPr>
      <w:color w:val="0563C1"/>
      <w:u w:val="single"/>
    </w:rPr>
  </w:style>
  <w:style w:type="character" w:styleId="UnresolvedMention">
    <w:name w:val="Unresolved Mention"/>
    <w:uiPriority w:val="99"/>
    <w:semiHidden/>
    <w:unhideWhenUsed/>
    <w:rsid w:val="003B57C0"/>
    <w:rPr>
      <w:color w:val="605E5C"/>
      <w:shd w:val="clear" w:color="auto" w:fill="E1DFDD"/>
    </w:rPr>
  </w:style>
  <w:style w:type="character" w:styleId="CommentReference">
    <w:name w:val="annotation reference"/>
    <w:uiPriority w:val="99"/>
    <w:semiHidden/>
    <w:unhideWhenUsed/>
    <w:rsid w:val="00F95D57"/>
    <w:rPr>
      <w:sz w:val="16"/>
      <w:szCs w:val="16"/>
    </w:rPr>
  </w:style>
  <w:style w:type="paragraph" w:styleId="CommentText">
    <w:name w:val="annotation text"/>
    <w:basedOn w:val="Normal"/>
    <w:link w:val="CommentTextChar"/>
    <w:uiPriority w:val="99"/>
    <w:unhideWhenUsed/>
    <w:rsid w:val="00F95D57"/>
    <w:rPr>
      <w:sz w:val="20"/>
      <w:szCs w:val="20"/>
    </w:rPr>
  </w:style>
  <w:style w:type="character" w:customStyle="1" w:styleId="CommentTextChar">
    <w:name w:val="Comment Text Char"/>
    <w:link w:val="CommentText"/>
    <w:uiPriority w:val="99"/>
    <w:rsid w:val="00F95D57"/>
    <w:rPr>
      <w:lang w:eastAsia="en-US"/>
    </w:rPr>
  </w:style>
  <w:style w:type="paragraph" w:styleId="CommentSubject">
    <w:name w:val="annotation subject"/>
    <w:basedOn w:val="CommentText"/>
    <w:next w:val="CommentText"/>
    <w:link w:val="CommentSubjectChar"/>
    <w:uiPriority w:val="99"/>
    <w:semiHidden/>
    <w:unhideWhenUsed/>
    <w:rsid w:val="00F95D57"/>
    <w:rPr>
      <w:b/>
      <w:bCs/>
    </w:rPr>
  </w:style>
  <w:style w:type="character" w:customStyle="1" w:styleId="CommentSubjectChar">
    <w:name w:val="Comment Subject Char"/>
    <w:link w:val="CommentSubject"/>
    <w:uiPriority w:val="99"/>
    <w:semiHidden/>
    <w:rsid w:val="00F95D57"/>
    <w:rPr>
      <w:b/>
      <w:bCs/>
      <w:lang w:eastAsia="en-US"/>
    </w:rPr>
  </w:style>
  <w:style w:type="character" w:styleId="Mention">
    <w:name w:val="Mention"/>
    <w:uiPriority w:val="99"/>
    <w:unhideWhenUsed/>
    <w:rsid w:val="001A1E9E"/>
    <w:rPr>
      <w:color w:val="2B579A"/>
      <w:shd w:val="clear" w:color="auto" w:fill="E1DFDD"/>
    </w:rPr>
  </w:style>
  <w:style w:type="paragraph" w:styleId="Header">
    <w:name w:val="header"/>
    <w:basedOn w:val="Normal"/>
    <w:link w:val="HeaderChar"/>
    <w:uiPriority w:val="99"/>
    <w:semiHidden/>
    <w:unhideWhenUsed/>
    <w:rsid w:val="00986A73"/>
    <w:pPr>
      <w:tabs>
        <w:tab w:val="center" w:pos="4513"/>
        <w:tab w:val="right" w:pos="9026"/>
      </w:tabs>
    </w:pPr>
  </w:style>
  <w:style w:type="character" w:customStyle="1" w:styleId="HeaderChar">
    <w:name w:val="Header Char"/>
    <w:link w:val="Header"/>
    <w:uiPriority w:val="99"/>
    <w:semiHidden/>
    <w:rsid w:val="00986A73"/>
    <w:rPr>
      <w:sz w:val="22"/>
      <w:szCs w:val="22"/>
      <w:lang w:val="en-GB" w:eastAsia="en-US"/>
    </w:rPr>
  </w:style>
  <w:style w:type="paragraph" w:styleId="Footer">
    <w:name w:val="footer"/>
    <w:basedOn w:val="Normal"/>
    <w:link w:val="FooterChar"/>
    <w:uiPriority w:val="99"/>
    <w:semiHidden/>
    <w:unhideWhenUsed/>
    <w:rsid w:val="00986A73"/>
    <w:pPr>
      <w:tabs>
        <w:tab w:val="center" w:pos="4513"/>
        <w:tab w:val="right" w:pos="9026"/>
      </w:tabs>
    </w:pPr>
  </w:style>
  <w:style w:type="character" w:customStyle="1" w:styleId="FooterChar">
    <w:name w:val="Footer Char"/>
    <w:link w:val="Footer"/>
    <w:uiPriority w:val="99"/>
    <w:semiHidden/>
    <w:rsid w:val="00986A73"/>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62023CJ0413" TargetMode="External"/><Relationship Id="rId2" Type="http://schemas.openxmlformats.org/officeDocument/2006/relationships/hyperlink" Target="http://data.europa.eu/eli/reg/2024/1689/oj" TargetMode="External"/><Relationship Id="rId1" Type="http://schemas.openxmlformats.org/officeDocument/2006/relationships/hyperlink" Target="https://eur-lex.europa.eu/legal-content/EN/TXT/?uri=celex:52025PC0836" TargetMode="External"/><Relationship Id="rId4" Type="http://schemas.openxmlformats.org/officeDocument/2006/relationships/hyperlink" Target="http://data.europa.eu/eli/reg/2023/2854/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9351531-e2e0-4b63-be47-20ac970a084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18D6A216B63D498B67C1FF631BABE7" ma:contentTypeVersion="9" ma:contentTypeDescription="Create a new document." ma:contentTypeScope="" ma:versionID="cab8f1ea3daa96eb6fd48c1faa012da0">
  <xsd:schema xmlns:xsd="http://www.w3.org/2001/XMLSchema" xmlns:xs="http://www.w3.org/2001/XMLSchema" xmlns:p="http://schemas.microsoft.com/office/2006/metadata/properties" xmlns:ns3="f9351531-e2e0-4b63-be47-20ac970a084d" targetNamespace="http://schemas.microsoft.com/office/2006/metadata/properties" ma:root="true" ma:fieldsID="b9b6429db45439f9e535b57991764898" ns3:_="">
    <xsd:import namespace="f9351531-e2e0-4b63-be47-20ac970a084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51531-e2e0-4b63-be47-20ac970a084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091232-C4EE-4132-857A-05202D8C9D5B}">
  <ds:schemaRefs>
    <ds:schemaRef ds:uri="http://schemas.openxmlformats.org/officeDocument/2006/bibliography"/>
  </ds:schemaRefs>
</ds:datastoreItem>
</file>

<file path=customXml/itemProps2.xml><?xml version="1.0" encoding="utf-8"?>
<ds:datastoreItem xmlns:ds="http://schemas.openxmlformats.org/officeDocument/2006/customXml" ds:itemID="{9ACCDF54-B57B-4E75-9043-648AFDD71AAD}">
  <ds:schemaRefs>
    <ds:schemaRef ds:uri="http://schemas.microsoft.com/sharepoint/v3/contenttype/forms"/>
  </ds:schemaRefs>
</ds:datastoreItem>
</file>

<file path=customXml/itemProps3.xml><?xml version="1.0" encoding="utf-8"?>
<ds:datastoreItem xmlns:ds="http://schemas.openxmlformats.org/officeDocument/2006/customXml" ds:itemID="{CCA448A5-6765-4095-A144-A1CFA9C190FE}">
  <ds:schemaRefs>
    <ds:schemaRef ds:uri="http://www.w3.org/XML/1998/namespace"/>
    <ds:schemaRef ds:uri="http://schemas.openxmlformats.org/package/2006/metadata/core-properties"/>
    <ds:schemaRef ds:uri="http://schemas.microsoft.com/office/infopath/2007/PartnerControls"/>
    <ds:schemaRef ds:uri="http://purl.org/dc/terms/"/>
    <ds:schemaRef ds:uri="http://purl.org/dc/elements/1.1/"/>
    <ds:schemaRef ds:uri="http://schemas.microsoft.com/office/2006/documentManagement/types"/>
    <ds:schemaRef ds:uri="http://purl.org/dc/dcmitype/"/>
    <ds:schemaRef ds:uri="f9351531-e2e0-4b63-be47-20ac970a084d"/>
    <ds:schemaRef ds:uri="http://schemas.microsoft.com/office/2006/metadata/properties"/>
  </ds:schemaRefs>
</ds:datastoreItem>
</file>

<file path=customXml/itemProps4.xml><?xml version="1.0" encoding="utf-8"?>
<ds:datastoreItem xmlns:ds="http://schemas.openxmlformats.org/officeDocument/2006/customXml" ds:itemID="{F25DDF69-E6E2-4B7A-A148-EF4B297F1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51531-e2e0-4b63-be47-20ac970a0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829</Words>
  <Characters>4846</Characters>
  <Application>Microsoft Office Word</Application>
  <DocSecurity>0</DocSecurity>
  <Lines>69</Lines>
  <Paragraphs>17</Paragraphs>
  <ScaleCrop>false</ScaleCrop>
  <Company>European Commission</Company>
  <LinksUpToDate>false</LinksUpToDate>
  <CharactersWithSpaces>5658</CharactersWithSpaces>
  <SharedDoc>false</SharedDoc>
  <HLinks>
    <vt:vector size="24" baseType="variant">
      <vt:variant>
        <vt:i4>7077984</vt:i4>
      </vt:variant>
      <vt:variant>
        <vt:i4>9</vt:i4>
      </vt:variant>
      <vt:variant>
        <vt:i4>0</vt:i4>
      </vt:variant>
      <vt:variant>
        <vt:i4>5</vt:i4>
      </vt:variant>
      <vt:variant>
        <vt:lpwstr>http://data.europa.eu/eli/reg/2023/2854/oj</vt:lpwstr>
      </vt:variant>
      <vt:variant>
        <vt:lpwstr/>
      </vt:variant>
      <vt:variant>
        <vt:i4>393241</vt:i4>
      </vt:variant>
      <vt:variant>
        <vt:i4>6</vt:i4>
      </vt:variant>
      <vt:variant>
        <vt:i4>0</vt:i4>
      </vt:variant>
      <vt:variant>
        <vt:i4>5</vt:i4>
      </vt:variant>
      <vt:variant>
        <vt:lpwstr>https://eur-lex.europa.eu/legal-content/EN/TXT/?uri=celex:62023CJ0413</vt:lpwstr>
      </vt:variant>
      <vt:variant>
        <vt:lpwstr/>
      </vt:variant>
      <vt:variant>
        <vt:i4>6619235</vt:i4>
      </vt:variant>
      <vt:variant>
        <vt:i4>3</vt:i4>
      </vt:variant>
      <vt:variant>
        <vt:i4>0</vt:i4>
      </vt:variant>
      <vt:variant>
        <vt:i4>5</vt:i4>
      </vt:variant>
      <vt:variant>
        <vt:lpwstr>http://data.europa.eu/eli/reg/2024/1689/oj</vt:lpwstr>
      </vt:variant>
      <vt:variant>
        <vt:lpwstr/>
      </vt:variant>
      <vt:variant>
        <vt:i4>1507353</vt:i4>
      </vt:variant>
      <vt:variant>
        <vt:i4>0</vt:i4>
      </vt:variant>
      <vt:variant>
        <vt:i4>0</vt:i4>
      </vt:variant>
      <vt:variant>
        <vt:i4>5</vt:i4>
      </vt:variant>
      <vt:variant>
        <vt:lpwstr>https://eur-lex.europa.eu/legal-content/EN/TXT/?uri=celex:52025PC0836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dc:description/>
  <cp:lastModifiedBy>ROSSI Simona (SG)</cp:lastModifiedBy>
  <cp:revision>2</cp:revision>
  <cp:lastPrinted>2013-02-28T12:02:00Z</cp:lastPrinted>
  <dcterms:created xsi:type="dcterms:W3CDTF">2026-06-29T20:01:00Z</dcterms:created>
  <dcterms:modified xsi:type="dcterms:W3CDTF">2026-06-29T20:01:00Z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0x010100A218D6A216B63D498B67C1FF631BABE7</vt:lpwstr>
  </property>
</Properties>
</file>