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554137" w:rsidRDefault="00077C4F" w:rsidP="00554137">
      <w:pPr>
        <w:spacing w:after="0" w:line="240" w:lineRule="auto"/>
        <w:ind w:left="-709"/>
        <w:rPr>
          <w:rFonts w:ascii="Times New Roman" w:hAnsi="Times New Roman"/>
          <w:bCs/>
          <w:sz w:val="4"/>
          <w:szCs w:val="4"/>
        </w:rPr>
      </w:pPr>
    </w:p>
    <w:p w14:paraId="2193174B" w14:textId="77777777" w:rsidR="00C02A35" w:rsidRPr="00085DB9" w:rsidRDefault="00C02A35" w:rsidP="004A7932">
      <w:pPr>
        <w:spacing w:after="120"/>
        <w:rPr>
          <w:rFonts w:ascii="Times New Roman" w:hAnsi="Times New Roman"/>
          <w:b/>
          <w:sz w:val="2"/>
          <w:szCs w:val="2"/>
          <w:u w:val="single"/>
        </w:rPr>
      </w:pPr>
    </w:p>
    <w:tbl>
      <w:tblPr>
        <w:tblW w:w="1031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318"/>
      </w:tblGrid>
      <w:tr w:rsidR="001C4138" w:rsidRPr="004F6117" w14:paraId="30B76F57" w14:textId="77777777" w:rsidTr="00C37BDD">
        <w:trPr>
          <w:jc w:val="center"/>
        </w:trPr>
        <w:tc>
          <w:tcPr>
            <w:tcW w:w="10318" w:type="dxa"/>
          </w:tcPr>
          <w:p w14:paraId="3A99935F" w14:textId="3986DF12" w:rsidR="001C4138" w:rsidRPr="004F6117" w:rsidRDefault="00BE601F" w:rsidP="00BE601F">
            <w:pPr>
              <w:spacing w:before="120" w:after="120"/>
              <w:rPr>
                <w:rFonts w:ascii="Times New Roman" w:hAnsi="Times New Roman"/>
                <w:b/>
                <w:sz w:val="24"/>
                <w:szCs w:val="24"/>
              </w:rPr>
            </w:pPr>
            <w:r w:rsidRPr="00BE601F">
              <w:rPr>
                <w:rFonts w:ascii="Times New Roman" w:hAnsi="Times New Roman"/>
                <w:b/>
                <w:sz w:val="24"/>
                <w:szCs w:val="24"/>
              </w:rPr>
              <w:t>Common Agricultural Policy (CAP) post-2027</w:t>
            </w:r>
            <w:r w:rsidR="00554137">
              <w:rPr>
                <w:rFonts w:ascii="Times New Roman" w:hAnsi="Times New Roman"/>
                <w:b/>
                <w:sz w:val="24"/>
                <w:szCs w:val="24"/>
              </w:rPr>
              <w:br/>
              <w:t xml:space="preserve">(mandatory </w:t>
            </w:r>
            <w:r w:rsidR="003615D7">
              <w:rPr>
                <w:rFonts w:ascii="Times New Roman" w:hAnsi="Times New Roman"/>
                <w:b/>
                <w:sz w:val="24"/>
                <w:szCs w:val="24"/>
              </w:rPr>
              <w:t>opinion</w:t>
            </w:r>
            <w:r w:rsidR="00554137">
              <w:rPr>
                <w:rFonts w:ascii="Times New Roman" w:hAnsi="Times New Roman"/>
                <w:b/>
                <w:sz w:val="24"/>
                <w:szCs w:val="24"/>
              </w:rPr>
              <w:t>)</w:t>
            </w:r>
            <w:r w:rsidR="00554137" w:rsidRPr="00C93C3F">
              <w:rPr>
                <w:rFonts w:ascii="Times New Roman" w:hAnsi="Times New Roman"/>
                <w:b/>
                <w:sz w:val="24"/>
                <w:szCs w:val="24"/>
              </w:rPr>
              <w:br/>
            </w:r>
            <w:proofErr w:type="gramStart"/>
            <w:r w:rsidR="00554137" w:rsidRPr="00C93C3F">
              <w:rPr>
                <w:rFonts w:ascii="Times New Roman" w:hAnsi="Times New Roman"/>
                <w:b/>
                <w:sz w:val="24"/>
                <w:szCs w:val="24"/>
              </w:rPr>
              <w:t>COM(</w:t>
            </w:r>
            <w:proofErr w:type="gramEnd"/>
            <w:r w:rsidR="00554137" w:rsidRPr="00C93C3F">
              <w:rPr>
                <w:rFonts w:ascii="Times New Roman" w:hAnsi="Times New Roman"/>
                <w:b/>
                <w:sz w:val="24"/>
                <w:szCs w:val="24"/>
              </w:rPr>
              <w:t xml:space="preserve">2025) </w:t>
            </w:r>
            <w:r w:rsidR="00C02A35">
              <w:rPr>
                <w:rFonts w:ascii="Times New Roman" w:hAnsi="Times New Roman"/>
                <w:b/>
                <w:sz w:val="24"/>
                <w:szCs w:val="24"/>
              </w:rPr>
              <w:t>5</w:t>
            </w:r>
            <w:r>
              <w:rPr>
                <w:rFonts w:ascii="Times New Roman" w:hAnsi="Times New Roman"/>
                <w:b/>
                <w:sz w:val="24"/>
                <w:szCs w:val="24"/>
              </w:rPr>
              <w:t>60</w:t>
            </w:r>
            <w:r w:rsidR="00554137" w:rsidRPr="00C93C3F">
              <w:rPr>
                <w:rFonts w:ascii="Times New Roman" w:hAnsi="Times New Roman"/>
                <w:b/>
                <w:sz w:val="24"/>
                <w:szCs w:val="24"/>
              </w:rPr>
              <w:t xml:space="preserve"> final</w:t>
            </w:r>
            <w:r w:rsidR="00554137" w:rsidRPr="00C93C3F">
              <w:rPr>
                <w:rFonts w:ascii="Times New Roman" w:hAnsi="Times New Roman"/>
                <w:b/>
                <w:sz w:val="24"/>
                <w:szCs w:val="24"/>
              </w:rPr>
              <w:br/>
            </w:r>
            <w:r w:rsidR="00554137" w:rsidRPr="00C93C3F">
              <w:rPr>
                <w:rFonts w:ascii="Times New Roman" w:hAnsi="Times New Roman"/>
                <w:b/>
                <w:sz w:val="24"/>
                <w:szCs w:val="24"/>
                <w:lang w:val="en-IE"/>
              </w:rPr>
              <w:t>EESC-2025</w:t>
            </w:r>
            <w:r w:rsidR="00554137">
              <w:rPr>
                <w:rFonts w:ascii="Times New Roman" w:hAnsi="Times New Roman"/>
                <w:b/>
                <w:sz w:val="24"/>
                <w:szCs w:val="24"/>
                <w:lang w:val="en-IE"/>
              </w:rPr>
              <w:t>-</w:t>
            </w:r>
            <w:r w:rsidRPr="00BE601F">
              <w:rPr>
                <w:rFonts w:ascii="Times New Roman" w:hAnsi="Times New Roman"/>
                <w:b/>
                <w:sz w:val="24"/>
                <w:szCs w:val="24"/>
                <w:lang w:val="en-IE"/>
              </w:rPr>
              <w:t>02581</w:t>
            </w:r>
            <w:r w:rsidR="00554137" w:rsidRPr="00C93C3F">
              <w:rPr>
                <w:rFonts w:ascii="Times New Roman" w:hAnsi="Times New Roman"/>
                <w:b/>
                <w:sz w:val="24"/>
                <w:szCs w:val="24"/>
                <w:lang w:val="en-IE"/>
              </w:rPr>
              <w:t xml:space="preserve"> </w:t>
            </w:r>
            <w:r w:rsidR="00554137" w:rsidRPr="00C93C3F">
              <w:rPr>
                <w:rFonts w:ascii="Times New Roman" w:hAnsi="Times New Roman"/>
                <w:b/>
                <w:sz w:val="24"/>
                <w:szCs w:val="24"/>
              </w:rPr>
              <w:t xml:space="preserve">‒ </w:t>
            </w:r>
            <w:r w:rsidR="00C02A35">
              <w:rPr>
                <w:rFonts w:ascii="Times New Roman" w:hAnsi="Times New Roman"/>
                <w:b/>
                <w:sz w:val="24"/>
                <w:szCs w:val="24"/>
              </w:rPr>
              <w:t>NAT</w:t>
            </w:r>
            <w:r w:rsidR="00554137" w:rsidRPr="00C93C3F">
              <w:rPr>
                <w:rFonts w:ascii="Times New Roman" w:hAnsi="Times New Roman"/>
                <w:b/>
                <w:sz w:val="24"/>
                <w:szCs w:val="24"/>
              </w:rPr>
              <w:t>/</w:t>
            </w:r>
            <w:r w:rsidR="00C02A35">
              <w:rPr>
                <w:rFonts w:ascii="Times New Roman" w:hAnsi="Times New Roman"/>
                <w:b/>
                <w:sz w:val="24"/>
                <w:szCs w:val="24"/>
              </w:rPr>
              <w:t>96</w:t>
            </w:r>
            <w:r>
              <w:rPr>
                <w:rFonts w:ascii="Times New Roman" w:hAnsi="Times New Roman"/>
                <w:b/>
                <w:sz w:val="24"/>
                <w:szCs w:val="24"/>
              </w:rPr>
              <w:t>0</w:t>
            </w:r>
            <w:r w:rsidR="00554137" w:rsidRPr="00C93C3F">
              <w:rPr>
                <w:rFonts w:ascii="Times New Roman" w:hAnsi="Times New Roman"/>
                <w:b/>
                <w:sz w:val="24"/>
                <w:szCs w:val="24"/>
              </w:rPr>
              <w:br/>
            </w:r>
            <w:r w:rsidR="00C02A35">
              <w:rPr>
                <w:rFonts w:ascii="Times New Roman" w:hAnsi="Times New Roman"/>
                <w:b/>
                <w:sz w:val="24"/>
                <w:szCs w:val="24"/>
              </w:rPr>
              <w:t>602</w:t>
            </w:r>
            <w:proofErr w:type="spellStart"/>
            <w:r w:rsidR="00C02A35">
              <w:rPr>
                <w:rFonts w:ascii="Times New Roman" w:hAnsi="Times New Roman"/>
                <w:b/>
                <w:sz w:val="24"/>
                <w:szCs w:val="24"/>
                <w:vertAlign w:val="superscript"/>
                <w:lang w:val="en-IE"/>
              </w:rPr>
              <w:t>nd</w:t>
            </w:r>
            <w:proofErr w:type="spellEnd"/>
            <w:r w:rsidR="00554137" w:rsidRPr="00C93C3F">
              <w:rPr>
                <w:rFonts w:ascii="Times New Roman" w:hAnsi="Times New Roman"/>
                <w:b/>
                <w:sz w:val="24"/>
                <w:szCs w:val="24"/>
                <w:lang w:val="en-IE"/>
              </w:rPr>
              <w:t xml:space="preserve"> </w:t>
            </w:r>
            <w:r w:rsidR="00554137" w:rsidRPr="00C93C3F">
              <w:rPr>
                <w:rFonts w:ascii="Times New Roman" w:hAnsi="Times New Roman"/>
                <w:b/>
                <w:sz w:val="24"/>
                <w:szCs w:val="24"/>
              </w:rPr>
              <w:t xml:space="preserve">Plenary Session – </w:t>
            </w:r>
            <w:r w:rsidR="00C02A35">
              <w:rPr>
                <w:rFonts w:ascii="Times New Roman" w:hAnsi="Times New Roman"/>
                <w:b/>
                <w:sz w:val="24"/>
                <w:szCs w:val="24"/>
              </w:rPr>
              <w:t>January</w:t>
            </w:r>
            <w:r w:rsidR="00554137" w:rsidRPr="00C93C3F">
              <w:rPr>
                <w:rFonts w:ascii="Times New Roman" w:hAnsi="Times New Roman"/>
                <w:b/>
                <w:sz w:val="24"/>
                <w:szCs w:val="24"/>
              </w:rPr>
              <w:t xml:space="preserve"> 202</w:t>
            </w:r>
            <w:r w:rsidR="00C02A35">
              <w:rPr>
                <w:rFonts w:ascii="Times New Roman" w:hAnsi="Times New Roman"/>
                <w:b/>
                <w:sz w:val="24"/>
                <w:szCs w:val="24"/>
              </w:rPr>
              <w:t>6</w:t>
            </w:r>
            <w:r w:rsidR="00554137" w:rsidRPr="00C93C3F">
              <w:rPr>
                <w:rFonts w:ascii="Times New Roman" w:hAnsi="Times New Roman"/>
                <w:b/>
                <w:sz w:val="24"/>
                <w:szCs w:val="24"/>
              </w:rPr>
              <w:br/>
            </w:r>
            <w:r w:rsidRPr="00BE601F">
              <w:rPr>
                <w:rFonts w:ascii="Times New Roman" w:hAnsi="Times New Roman"/>
                <w:b/>
                <w:sz w:val="24"/>
                <w:szCs w:val="24"/>
              </w:rPr>
              <w:t xml:space="preserve">Rapporteur: Joe HEALY (IE-III) </w:t>
            </w:r>
            <w:r>
              <w:rPr>
                <w:rFonts w:ascii="Times New Roman" w:hAnsi="Times New Roman"/>
                <w:b/>
                <w:sz w:val="24"/>
                <w:szCs w:val="24"/>
              </w:rPr>
              <w:br/>
            </w:r>
            <w:r w:rsidRPr="00BE601F">
              <w:rPr>
                <w:rFonts w:ascii="Times New Roman" w:hAnsi="Times New Roman"/>
                <w:b/>
                <w:sz w:val="24"/>
                <w:szCs w:val="24"/>
              </w:rPr>
              <w:t>Co-rapporteur: Arnold PUECH D'ALISSAC (FR-I)</w:t>
            </w:r>
            <w:r>
              <w:rPr>
                <w:rFonts w:ascii="Times New Roman" w:hAnsi="Times New Roman"/>
                <w:b/>
                <w:sz w:val="24"/>
                <w:szCs w:val="24"/>
              </w:rPr>
              <w:br/>
            </w:r>
            <w:r w:rsidR="00554137" w:rsidRPr="00C93C3F">
              <w:rPr>
                <w:rFonts w:ascii="Times New Roman" w:hAnsi="Times New Roman"/>
                <w:b/>
                <w:sz w:val="24"/>
                <w:szCs w:val="24"/>
              </w:rPr>
              <w:t xml:space="preserve">DG </w:t>
            </w:r>
            <w:r w:rsidR="00C02A35">
              <w:rPr>
                <w:rFonts w:ascii="Times New Roman" w:hAnsi="Times New Roman"/>
                <w:b/>
                <w:sz w:val="24"/>
                <w:szCs w:val="24"/>
              </w:rPr>
              <w:t>AGRI</w:t>
            </w:r>
            <w:r w:rsidR="00554137" w:rsidRPr="00C93C3F">
              <w:rPr>
                <w:rFonts w:ascii="Times New Roman" w:hAnsi="Times New Roman"/>
                <w:b/>
                <w:sz w:val="24"/>
                <w:szCs w:val="24"/>
              </w:rPr>
              <w:t xml:space="preserve"> – Commissioner </w:t>
            </w:r>
            <w:r w:rsidR="00C02A35">
              <w:rPr>
                <w:rFonts w:ascii="Times New Roman" w:hAnsi="Times New Roman"/>
                <w:b/>
                <w:sz w:val="24"/>
                <w:szCs w:val="24"/>
              </w:rPr>
              <w:t>HANSEN</w:t>
            </w:r>
          </w:p>
        </w:tc>
      </w:tr>
      <w:tr w:rsidR="004F6117" w:rsidRPr="004F6117" w14:paraId="041809D9" w14:textId="77777777" w:rsidTr="00C37BDD">
        <w:trPr>
          <w:jc w:val="center"/>
        </w:trPr>
        <w:tc>
          <w:tcPr>
            <w:tcW w:w="10318" w:type="dxa"/>
          </w:tcPr>
          <w:p w14:paraId="52C253DC" w14:textId="6A508979" w:rsidR="004F6117" w:rsidRPr="004F6117" w:rsidRDefault="0049246C" w:rsidP="0049246C">
            <w:pPr>
              <w:spacing w:before="120" w:after="120"/>
              <w:jc w:val="center"/>
              <w:rPr>
                <w:rFonts w:ascii="Times New Roman" w:hAnsi="Times New Roman"/>
                <w:b/>
                <w:sz w:val="24"/>
                <w:szCs w:val="24"/>
                <w:highlight w:val="yellow"/>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554137">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4F6117" w:rsidRPr="00EB67FD" w14:paraId="461CAB07" w14:textId="77777777" w:rsidTr="00C37BDD">
        <w:trPr>
          <w:jc w:val="center"/>
        </w:trPr>
        <w:tc>
          <w:tcPr>
            <w:tcW w:w="10318" w:type="dxa"/>
          </w:tcPr>
          <w:p w14:paraId="54C18C5F" w14:textId="2BED8B9F" w:rsidR="00EB67FD" w:rsidRDefault="00944425" w:rsidP="00CA7AA6">
            <w:pPr>
              <w:pStyle w:val="ListParagraph"/>
              <w:widowControl w:val="0"/>
              <w:spacing w:before="120" w:after="120" w:line="276" w:lineRule="auto"/>
              <w:ind w:left="0"/>
              <w:contextualSpacing w:val="0"/>
              <w:jc w:val="both"/>
              <w:rPr>
                <w:rFonts w:ascii="Times New Roman" w:hAnsi="Times New Roman"/>
                <w:sz w:val="24"/>
                <w:szCs w:val="24"/>
                <w:lang w:val="en-IE"/>
              </w:rPr>
            </w:pPr>
            <w:r>
              <w:rPr>
                <w:rFonts w:ascii="Times New Roman" w:hAnsi="Times New Roman"/>
                <w:sz w:val="24"/>
                <w:szCs w:val="24"/>
              </w:rPr>
              <w:t>T</w:t>
            </w:r>
            <w:r w:rsidR="00EB67FD">
              <w:rPr>
                <w:rFonts w:ascii="Times New Roman" w:hAnsi="Times New Roman"/>
                <w:sz w:val="24"/>
                <w:szCs w:val="24"/>
                <w:lang w:val="en-IE"/>
              </w:rPr>
              <w:t>he Commission w</w:t>
            </w:r>
            <w:r w:rsidR="00EB67FD" w:rsidRPr="00EB67FD">
              <w:rPr>
                <w:rFonts w:ascii="Times New Roman" w:hAnsi="Times New Roman"/>
                <w:sz w:val="24"/>
                <w:szCs w:val="24"/>
                <w:lang w:val="en-IE"/>
              </w:rPr>
              <w:t>elcome</w:t>
            </w:r>
            <w:r w:rsidR="00AA2166">
              <w:rPr>
                <w:rFonts w:ascii="Times New Roman" w:hAnsi="Times New Roman"/>
                <w:sz w:val="24"/>
                <w:szCs w:val="24"/>
                <w:lang w:val="en-IE"/>
              </w:rPr>
              <w:t>s</w:t>
            </w:r>
            <w:r w:rsidR="00EB67FD" w:rsidRPr="00EB67FD">
              <w:rPr>
                <w:rFonts w:ascii="Times New Roman" w:hAnsi="Times New Roman"/>
                <w:sz w:val="24"/>
                <w:szCs w:val="24"/>
                <w:lang w:val="en-IE"/>
              </w:rPr>
              <w:t xml:space="preserve"> </w:t>
            </w:r>
            <w:r w:rsidR="00AA2166">
              <w:rPr>
                <w:rFonts w:ascii="Times New Roman" w:hAnsi="Times New Roman"/>
                <w:sz w:val="24"/>
                <w:szCs w:val="24"/>
                <w:lang w:val="en-IE"/>
              </w:rPr>
              <w:t>the</w:t>
            </w:r>
            <w:r w:rsidR="00EB67FD" w:rsidRPr="00EB67FD">
              <w:rPr>
                <w:rFonts w:ascii="Times New Roman" w:hAnsi="Times New Roman"/>
                <w:sz w:val="24"/>
                <w:szCs w:val="24"/>
                <w:lang w:val="en-IE"/>
              </w:rPr>
              <w:t xml:space="preserve"> support</w:t>
            </w:r>
            <w:r w:rsidR="004D685C">
              <w:rPr>
                <w:rFonts w:ascii="Times New Roman" w:hAnsi="Times New Roman"/>
                <w:sz w:val="24"/>
                <w:szCs w:val="24"/>
                <w:lang w:val="en-IE"/>
              </w:rPr>
              <w:t xml:space="preserve"> of the </w:t>
            </w:r>
            <w:r w:rsidR="003615D7">
              <w:rPr>
                <w:rFonts w:ascii="Times New Roman" w:hAnsi="Times New Roman"/>
                <w:sz w:val="24"/>
                <w:szCs w:val="24"/>
                <w:lang w:val="en-IE"/>
              </w:rPr>
              <w:t xml:space="preserve">Committee </w:t>
            </w:r>
            <w:r w:rsidR="004D685C">
              <w:rPr>
                <w:rFonts w:ascii="Times New Roman" w:hAnsi="Times New Roman"/>
                <w:sz w:val="24"/>
                <w:szCs w:val="24"/>
                <w:lang w:val="en-IE"/>
              </w:rPr>
              <w:t xml:space="preserve">in relation to </w:t>
            </w:r>
            <w:r w:rsidR="00EB67FD" w:rsidRPr="00EB67FD">
              <w:rPr>
                <w:rFonts w:ascii="Times New Roman" w:hAnsi="Times New Roman"/>
                <w:sz w:val="24"/>
                <w:szCs w:val="24"/>
                <w:lang w:val="en-IE"/>
              </w:rPr>
              <w:t xml:space="preserve">several elements of </w:t>
            </w:r>
            <w:r w:rsidR="00EB67FD">
              <w:rPr>
                <w:rFonts w:ascii="Times New Roman" w:hAnsi="Times New Roman"/>
                <w:sz w:val="24"/>
                <w:szCs w:val="24"/>
                <w:lang w:val="en-IE"/>
              </w:rPr>
              <w:t>the</w:t>
            </w:r>
            <w:r w:rsidR="004D685C">
              <w:rPr>
                <w:rFonts w:ascii="Times New Roman" w:hAnsi="Times New Roman"/>
                <w:sz w:val="24"/>
                <w:szCs w:val="24"/>
                <w:lang w:val="en-IE"/>
              </w:rPr>
              <w:t xml:space="preserve"> Common Agricultural Policy</w:t>
            </w:r>
            <w:r w:rsidR="00EB67FD">
              <w:rPr>
                <w:rFonts w:ascii="Times New Roman" w:hAnsi="Times New Roman"/>
                <w:sz w:val="24"/>
                <w:szCs w:val="24"/>
                <w:lang w:val="en-IE"/>
              </w:rPr>
              <w:t xml:space="preserve"> </w:t>
            </w:r>
            <w:r w:rsidR="004D685C">
              <w:rPr>
                <w:rFonts w:ascii="Times New Roman" w:hAnsi="Times New Roman"/>
                <w:sz w:val="24"/>
                <w:szCs w:val="24"/>
                <w:lang w:val="en-IE"/>
              </w:rPr>
              <w:t>(</w:t>
            </w:r>
            <w:r w:rsidR="00EB67FD">
              <w:rPr>
                <w:rFonts w:ascii="Times New Roman" w:hAnsi="Times New Roman"/>
                <w:sz w:val="24"/>
                <w:szCs w:val="24"/>
                <w:lang w:val="en-IE"/>
              </w:rPr>
              <w:t>CAP</w:t>
            </w:r>
            <w:r w:rsidR="004D685C">
              <w:rPr>
                <w:rFonts w:ascii="Times New Roman" w:hAnsi="Times New Roman"/>
                <w:sz w:val="24"/>
                <w:szCs w:val="24"/>
                <w:lang w:val="en-IE"/>
              </w:rPr>
              <w:t>)</w:t>
            </w:r>
            <w:r w:rsidR="00EB67FD" w:rsidRPr="00EB67FD">
              <w:rPr>
                <w:rFonts w:ascii="Times New Roman" w:hAnsi="Times New Roman"/>
                <w:sz w:val="24"/>
                <w:szCs w:val="24"/>
                <w:lang w:val="en-IE"/>
              </w:rPr>
              <w:t xml:space="preserve"> proposal, such as capping of the area-based income support</w:t>
            </w:r>
            <w:r w:rsidR="00AA2166">
              <w:rPr>
                <w:rFonts w:ascii="Times New Roman" w:hAnsi="Times New Roman"/>
                <w:sz w:val="24"/>
                <w:szCs w:val="24"/>
                <w:lang w:val="en-IE"/>
              </w:rPr>
              <w:t xml:space="preserve"> and </w:t>
            </w:r>
            <w:r w:rsidR="00EB67FD" w:rsidRPr="00EB67FD">
              <w:rPr>
                <w:rFonts w:ascii="Times New Roman" w:hAnsi="Times New Roman"/>
                <w:sz w:val="24"/>
                <w:szCs w:val="24"/>
                <w:lang w:val="en-IE"/>
              </w:rPr>
              <w:t>strengthening of generational renewal</w:t>
            </w:r>
            <w:r w:rsidR="00AA2166">
              <w:rPr>
                <w:rFonts w:ascii="Times New Roman" w:hAnsi="Times New Roman"/>
                <w:sz w:val="24"/>
                <w:szCs w:val="24"/>
                <w:lang w:val="en-IE"/>
              </w:rPr>
              <w:t>,</w:t>
            </w:r>
            <w:r w:rsidR="00EB67FD" w:rsidRPr="00EB67FD">
              <w:rPr>
                <w:rFonts w:ascii="Times New Roman" w:hAnsi="Times New Roman"/>
                <w:sz w:val="24"/>
                <w:szCs w:val="24"/>
                <w:lang w:val="en-IE"/>
              </w:rPr>
              <w:t xml:space="preserve"> which are critical element</w:t>
            </w:r>
            <w:r w:rsidR="004D685C">
              <w:rPr>
                <w:rFonts w:ascii="Times New Roman" w:hAnsi="Times New Roman"/>
                <w:sz w:val="24"/>
                <w:szCs w:val="24"/>
                <w:lang w:val="en-IE"/>
              </w:rPr>
              <w:t>s</w:t>
            </w:r>
            <w:r w:rsidR="00EB67FD" w:rsidRPr="00EB67FD">
              <w:rPr>
                <w:rFonts w:ascii="Times New Roman" w:hAnsi="Times New Roman"/>
                <w:sz w:val="24"/>
                <w:szCs w:val="24"/>
                <w:lang w:val="en-IE"/>
              </w:rPr>
              <w:t xml:space="preserve"> for the long-term development of the agricultural sector. </w:t>
            </w:r>
            <w:r w:rsidR="00AA2166">
              <w:rPr>
                <w:rFonts w:ascii="Times New Roman" w:hAnsi="Times New Roman"/>
                <w:sz w:val="24"/>
                <w:szCs w:val="24"/>
                <w:lang w:val="en-IE"/>
              </w:rPr>
              <w:t>The Commission also notes the positive assessment of the</w:t>
            </w:r>
            <w:r w:rsidR="004D685C">
              <w:rPr>
                <w:rFonts w:ascii="Times New Roman" w:hAnsi="Times New Roman"/>
                <w:sz w:val="24"/>
                <w:szCs w:val="24"/>
                <w:lang w:val="en-IE"/>
              </w:rPr>
              <w:t xml:space="preserve"> EESC concerning the</w:t>
            </w:r>
            <w:r w:rsidR="00AA2166">
              <w:rPr>
                <w:rFonts w:ascii="Times New Roman" w:hAnsi="Times New Roman"/>
                <w:sz w:val="24"/>
                <w:szCs w:val="24"/>
                <w:lang w:val="en-IE"/>
              </w:rPr>
              <w:t xml:space="preserve"> inflation indexation in the </w:t>
            </w:r>
            <w:r w:rsidR="004D685C">
              <w:rPr>
                <w:rFonts w:ascii="Times New Roman" w:hAnsi="Times New Roman"/>
                <w:sz w:val="24"/>
                <w:szCs w:val="24"/>
                <w:lang w:val="en-IE"/>
              </w:rPr>
              <w:t xml:space="preserve">future </w:t>
            </w:r>
            <w:r w:rsidR="003615D7">
              <w:rPr>
                <w:rFonts w:ascii="Times New Roman" w:hAnsi="Times New Roman"/>
                <w:sz w:val="24"/>
                <w:szCs w:val="24"/>
                <w:lang w:val="en-IE"/>
              </w:rPr>
              <w:t>Multiannual Financial Framework (</w:t>
            </w:r>
            <w:r w:rsidR="00AA2166">
              <w:rPr>
                <w:rFonts w:ascii="Times New Roman" w:hAnsi="Times New Roman"/>
                <w:sz w:val="24"/>
                <w:szCs w:val="24"/>
                <w:lang w:val="en-IE"/>
              </w:rPr>
              <w:t>MFF</w:t>
            </w:r>
            <w:r w:rsidR="003615D7">
              <w:rPr>
                <w:rFonts w:ascii="Times New Roman" w:hAnsi="Times New Roman"/>
                <w:sz w:val="24"/>
                <w:szCs w:val="24"/>
                <w:lang w:val="en-IE"/>
              </w:rPr>
              <w:t>)</w:t>
            </w:r>
            <w:r w:rsidR="00AA2166">
              <w:rPr>
                <w:rFonts w:ascii="Times New Roman" w:hAnsi="Times New Roman"/>
                <w:sz w:val="24"/>
                <w:szCs w:val="24"/>
                <w:lang w:val="en-IE"/>
              </w:rPr>
              <w:t xml:space="preserve"> proposal.</w:t>
            </w:r>
          </w:p>
          <w:p w14:paraId="6C6C2755" w14:textId="47003727" w:rsidR="00EB67FD" w:rsidRPr="00EB67FD" w:rsidRDefault="00AA2166" w:rsidP="00EB407D">
            <w:pPr>
              <w:pStyle w:val="ListParagraph"/>
              <w:widowControl w:val="0"/>
              <w:spacing w:before="120" w:after="120" w:line="276" w:lineRule="auto"/>
              <w:ind w:left="0"/>
              <w:contextualSpacing w:val="0"/>
              <w:jc w:val="both"/>
              <w:rPr>
                <w:rFonts w:ascii="Times New Roman" w:hAnsi="Times New Roman"/>
                <w:sz w:val="24"/>
                <w:szCs w:val="24"/>
                <w:lang w:val="en-IE"/>
              </w:rPr>
            </w:pPr>
            <w:r>
              <w:rPr>
                <w:rFonts w:ascii="Times New Roman" w:hAnsi="Times New Roman"/>
                <w:sz w:val="24"/>
                <w:szCs w:val="24"/>
                <w:lang w:val="en-IE"/>
              </w:rPr>
              <w:t>The Commission would like to elaborate on f</w:t>
            </w:r>
            <w:r w:rsidRPr="00EB67FD">
              <w:rPr>
                <w:rFonts w:ascii="Times New Roman" w:hAnsi="Times New Roman"/>
                <w:sz w:val="24"/>
                <w:szCs w:val="24"/>
                <w:lang w:val="en-IE"/>
              </w:rPr>
              <w:t>o</w:t>
            </w:r>
            <w:r>
              <w:rPr>
                <w:rFonts w:ascii="Times New Roman" w:hAnsi="Times New Roman"/>
                <w:sz w:val="24"/>
                <w:szCs w:val="24"/>
                <w:lang w:val="en-IE"/>
              </w:rPr>
              <w:t>u</w:t>
            </w:r>
            <w:r w:rsidRPr="00EB67FD">
              <w:rPr>
                <w:rFonts w:ascii="Times New Roman" w:hAnsi="Times New Roman"/>
                <w:sz w:val="24"/>
                <w:szCs w:val="24"/>
                <w:lang w:val="en-IE"/>
              </w:rPr>
              <w:t>r</w:t>
            </w:r>
            <w:r>
              <w:rPr>
                <w:rFonts w:ascii="Times New Roman" w:hAnsi="Times New Roman"/>
                <w:sz w:val="24"/>
                <w:szCs w:val="24"/>
                <w:lang w:val="en-IE"/>
              </w:rPr>
              <w:t xml:space="preserve"> </w:t>
            </w:r>
            <w:r w:rsidR="00FB5877">
              <w:rPr>
                <w:rFonts w:ascii="Times New Roman" w:hAnsi="Times New Roman"/>
                <w:sz w:val="24"/>
                <w:szCs w:val="24"/>
                <w:lang w:val="en-IE"/>
              </w:rPr>
              <w:t xml:space="preserve">main </w:t>
            </w:r>
            <w:r w:rsidR="00EB67FD" w:rsidRPr="00EB67FD">
              <w:rPr>
                <w:rFonts w:ascii="Times New Roman" w:hAnsi="Times New Roman"/>
                <w:sz w:val="24"/>
                <w:szCs w:val="24"/>
                <w:lang w:val="en-IE"/>
              </w:rPr>
              <w:t xml:space="preserve">aspects </w:t>
            </w:r>
            <w:r>
              <w:rPr>
                <w:rFonts w:ascii="Times New Roman" w:hAnsi="Times New Roman"/>
                <w:sz w:val="24"/>
                <w:szCs w:val="24"/>
                <w:lang w:val="en-IE"/>
              </w:rPr>
              <w:t xml:space="preserve">that </w:t>
            </w:r>
            <w:r w:rsidR="00EB67FD" w:rsidRPr="00EB67FD">
              <w:rPr>
                <w:rFonts w:ascii="Times New Roman" w:hAnsi="Times New Roman"/>
                <w:sz w:val="24"/>
                <w:szCs w:val="24"/>
                <w:lang w:val="en-IE"/>
              </w:rPr>
              <w:t>have been identified as critical by the EESC</w:t>
            </w:r>
            <w:r>
              <w:rPr>
                <w:rFonts w:ascii="Times New Roman" w:hAnsi="Times New Roman"/>
                <w:sz w:val="24"/>
                <w:szCs w:val="24"/>
                <w:lang w:val="en-IE"/>
              </w:rPr>
              <w:t>:</w:t>
            </w:r>
          </w:p>
          <w:p w14:paraId="0C2DCF82" w14:textId="629D8B25" w:rsidR="00EB67FD" w:rsidRPr="00EB67FD" w:rsidRDefault="006F6E08" w:rsidP="00EB407D">
            <w:pPr>
              <w:widowControl w:val="0"/>
              <w:numPr>
                <w:ilvl w:val="0"/>
                <w:numId w:val="2"/>
              </w:numPr>
              <w:spacing w:before="120" w:after="120"/>
              <w:jc w:val="both"/>
              <w:rPr>
                <w:rFonts w:ascii="Times New Roman" w:hAnsi="Times New Roman"/>
                <w:b/>
                <w:bCs/>
                <w:sz w:val="24"/>
                <w:szCs w:val="24"/>
                <w:u w:val="single"/>
                <w:lang w:val="en-IE"/>
              </w:rPr>
            </w:pPr>
            <w:r>
              <w:rPr>
                <w:rFonts w:ascii="Times New Roman" w:hAnsi="Times New Roman"/>
                <w:b/>
                <w:bCs/>
                <w:sz w:val="24"/>
                <w:szCs w:val="24"/>
                <w:u w:val="single"/>
                <w:lang w:val="en-IE"/>
              </w:rPr>
              <w:t>Lack of clear p</w:t>
            </w:r>
            <w:r w:rsidR="00EB67FD" w:rsidRPr="00EB67FD">
              <w:rPr>
                <w:rFonts w:ascii="Times New Roman" w:hAnsi="Times New Roman"/>
                <w:b/>
                <w:bCs/>
                <w:sz w:val="24"/>
                <w:szCs w:val="24"/>
                <w:u w:val="single"/>
                <w:lang w:val="en-IE"/>
              </w:rPr>
              <w:t>olicy objectives</w:t>
            </w:r>
          </w:p>
          <w:p w14:paraId="10AD7A19" w14:textId="5D5238D6" w:rsidR="00EB67FD" w:rsidRPr="00EB67FD" w:rsidRDefault="00EB67FD" w:rsidP="00CA7AA6">
            <w:pPr>
              <w:pStyle w:val="ListParagraph"/>
              <w:widowControl w:val="0"/>
              <w:spacing w:before="120" w:after="120" w:line="276" w:lineRule="auto"/>
              <w:ind w:left="0"/>
              <w:contextualSpacing w:val="0"/>
              <w:jc w:val="both"/>
              <w:rPr>
                <w:rFonts w:ascii="Times New Roman" w:hAnsi="Times New Roman"/>
                <w:sz w:val="24"/>
                <w:szCs w:val="24"/>
                <w:lang w:val="en-IE"/>
              </w:rPr>
            </w:pPr>
            <w:r w:rsidRPr="00EB67FD">
              <w:rPr>
                <w:rFonts w:ascii="Times New Roman" w:hAnsi="Times New Roman"/>
                <w:sz w:val="24"/>
                <w:szCs w:val="24"/>
                <w:lang w:val="en-IE"/>
              </w:rPr>
              <w:t>The</w:t>
            </w:r>
            <w:r w:rsidR="006F6E08">
              <w:rPr>
                <w:rFonts w:ascii="Times New Roman" w:hAnsi="Times New Roman"/>
                <w:sz w:val="24"/>
                <w:szCs w:val="24"/>
                <w:lang w:val="en-IE"/>
              </w:rPr>
              <w:t xml:space="preserve"> proposal for a </w:t>
            </w:r>
            <w:r w:rsidRPr="00EB67FD">
              <w:rPr>
                <w:rFonts w:ascii="Times New Roman" w:hAnsi="Times New Roman"/>
                <w:sz w:val="24"/>
                <w:szCs w:val="24"/>
                <w:lang w:val="en-IE"/>
              </w:rPr>
              <w:t>future CAP will continue to rely on a clear set of common objectives, which are included in the proposal for the National and Regional Partnership</w:t>
            </w:r>
            <w:r w:rsidR="008E1412">
              <w:rPr>
                <w:rFonts w:ascii="Times New Roman" w:hAnsi="Times New Roman"/>
                <w:sz w:val="24"/>
                <w:szCs w:val="24"/>
                <w:lang w:val="en-IE"/>
              </w:rPr>
              <w:t xml:space="preserve"> Plans</w:t>
            </w:r>
            <w:r w:rsidR="00C303BE">
              <w:rPr>
                <w:rFonts w:ascii="Times New Roman" w:hAnsi="Times New Roman"/>
                <w:sz w:val="24"/>
                <w:szCs w:val="24"/>
                <w:lang w:val="en-IE"/>
              </w:rPr>
              <w:t xml:space="preserve"> </w:t>
            </w:r>
            <w:r w:rsidRPr="00EB67FD">
              <w:rPr>
                <w:rFonts w:ascii="Times New Roman" w:hAnsi="Times New Roman"/>
                <w:sz w:val="24"/>
                <w:szCs w:val="24"/>
                <w:lang w:val="en-IE"/>
              </w:rPr>
              <w:t>(NRP</w:t>
            </w:r>
            <w:r w:rsidR="00CA7AA6">
              <w:rPr>
                <w:rFonts w:ascii="Times New Roman" w:hAnsi="Times New Roman"/>
                <w:sz w:val="24"/>
                <w:szCs w:val="24"/>
                <w:lang w:val="en-IE"/>
              </w:rPr>
              <w:t>P</w:t>
            </w:r>
            <w:r w:rsidRPr="00EB67FD">
              <w:rPr>
                <w:rFonts w:ascii="Times New Roman" w:hAnsi="Times New Roman"/>
                <w:sz w:val="24"/>
                <w:szCs w:val="24"/>
                <w:lang w:val="en-IE"/>
              </w:rPr>
              <w:t>) regulation</w:t>
            </w:r>
            <w:r w:rsidR="00AA2166">
              <w:rPr>
                <w:rStyle w:val="FootnoteReference"/>
                <w:rFonts w:ascii="Times New Roman" w:hAnsi="Times New Roman"/>
                <w:sz w:val="24"/>
                <w:szCs w:val="24"/>
                <w:lang w:val="en-IE"/>
              </w:rPr>
              <w:footnoteReference w:id="1"/>
            </w:r>
            <w:r w:rsidRPr="00EB67FD">
              <w:rPr>
                <w:rFonts w:ascii="Times New Roman" w:hAnsi="Times New Roman"/>
                <w:sz w:val="24"/>
                <w:szCs w:val="24"/>
                <w:lang w:val="en-IE"/>
              </w:rPr>
              <w:t xml:space="preserve">. The main objectives are: </w:t>
            </w:r>
          </w:p>
          <w:p w14:paraId="6A31D364" w14:textId="77777777" w:rsidR="00EB67FD" w:rsidRPr="00EB67FD" w:rsidRDefault="00EB67FD" w:rsidP="00EB407D">
            <w:pPr>
              <w:pStyle w:val="ListParagraph"/>
              <w:widowControl w:val="0"/>
              <w:numPr>
                <w:ilvl w:val="0"/>
                <w:numId w:val="1"/>
              </w:numPr>
              <w:spacing w:before="120" w:after="120" w:line="276" w:lineRule="auto"/>
              <w:contextualSpacing w:val="0"/>
              <w:jc w:val="both"/>
              <w:rPr>
                <w:rFonts w:ascii="Times New Roman" w:hAnsi="Times New Roman"/>
                <w:sz w:val="24"/>
                <w:szCs w:val="24"/>
                <w:lang w:val="en-IE"/>
              </w:rPr>
            </w:pPr>
            <w:r w:rsidRPr="00EB67FD">
              <w:rPr>
                <w:rFonts w:ascii="Times New Roman" w:hAnsi="Times New Roman"/>
                <w:sz w:val="24"/>
                <w:szCs w:val="24"/>
                <w:lang w:val="en-IE"/>
              </w:rPr>
              <w:t xml:space="preserve">supporting </w:t>
            </w:r>
            <w:r w:rsidRPr="00EB67FD">
              <w:rPr>
                <w:rFonts w:ascii="Times New Roman" w:hAnsi="Times New Roman"/>
                <w:b/>
                <w:bCs/>
                <w:sz w:val="24"/>
                <w:szCs w:val="24"/>
                <w:lang w:val="en-IE"/>
              </w:rPr>
              <w:t>fairer and sufficient income</w:t>
            </w:r>
            <w:r w:rsidRPr="00EB67FD">
              <w:rPr>
                <w:rFonts w:ascii="Times New Roman" w:hAnsi="Times New Roman"/>
                <w:sz w:val="24"/>
                <w:szCs w:val="24"/>
                <w:lang w:val="en-IE"/>
              </w:rPr>
              <w:t xml:space="preserve"> for farmers and their long-term competitiveness, including the farmers’ position in the value </w:t>
            </w:r>
            <w:proofErr w:type="gramStart"/>
            <w:r w:rsidRPr="00EB67FD">
              <w:rPr>
                <w:rFonts w:ascii="Times New Roman" w:hAnsi="Times New Roman"/>
                <w:sz w:val="24"/>
                <w:szCs w:val="24"/>
                <w:lang w:val="en-IE"/>
              </w:rPr>
              <w:t>chain;</w:t>
            </w:r>
            <w:proofErr w:type="gramEnd"/>
          </w:p>
          <w:p w14:paraId="14879A04" w14:textId="77777777" w:rsidR="00EB67FD" w:rsidRPr="00EB67FD" w:rsidRDefault="00EB67FD" w:rsidP="00CA7AA6">
            <w:pPr>
              <w:pStyle w:val="ListParagraph"/>
              <w:widowControl w:val="0"/>
              <w:numPr>
                <w:ilvl w:val="0"/>
                <w:numId w:val="1"/>
              </w:numPr>
              <w:spacing w:before="120" w:after="120" w:line="276" w:lineRule="auto"/>
              <w:jc w:val="both"/>
              <w:rPr>
                <w:rFonts w:ascii="Times New Roman" w:hAnsi="Times New Roman"/>
                <w:sz w:val="24"/>
                <w:szCs w:val="24"/>
                <w:lang w:val="en-IE"/>
              </w:rPr>
            </w:pPr>
            <w:r w:rsidRPr="00EB67FD">
              <w:rPr>
                <w:rFonts w:ascii="Times New Roman" w:hAnsi="Times New Roman"/>
                <w:sz w:val="24"/>
                <w:szCs w:val="24"/>
                <w:lang w:val="en-IE"/>
              </w:rPr>
              <w:t xml:space="preserve">contributing to long-term </w:t>
            </w:r>
            <w:r w:rsidRPr="00EB67FD">
              <w:rPr>
                <w:rFonts w:ascii="Times New Roman" w:hAnsi="Times New Roman"/>
                <w:b/>
                <w:bCs/>
                <w:sz w:val="24"/>
                <w:szCs w:val="24"/>
                <w:lang w:val="en-IE"/>
              </w:rPr>
              <w:t xml:space="preserve">food </w:t>
            </w:r>
            <w:proofErr w:type="gramStart"/>
            <w:r w:rsidRPr="00EB67FD">
              <w:rPr>
                <w:rFonts w:ascii="Times New Roman" w:hAnsi="Times New Roman"/>
                <w:b/>
                <w:bCs/>
                <w:sz w:val="24"/>
                <w:szCs w:val="24"/>
                <w:lang w:val="en-IE"/>
              </w:rPr>
              <w:t>security</w:t>
            </w:r>
            <w:r w:rsidRPr="00EB67FD">
              <w:rPr>
                <w:rFonts w:ascii="Times New Roman" w:hAnsi="Times New Roman"/>
                <w:sz w:val="24"/>
                <w:szCs w:val="24"/>
                <w:lang w:val="en-IE"/>
              </w:rPr>
              <w:t>;</w:t>
            </w:r>
            <w:proofErr w:type="gramEnd"/>
          </w:p>
          <w:p w14:paraId="312C5A81" w14:textId="3848F0EA" w:rsidR="00EB67FD" w:rsidRPr="00EB67FD" w:rsidRDefault="00EB67FD" w:rsidP="00CA7AA6">
            <w:pPr>
              <w:pStyle w:val="ListParagraph"/>
              <w:widowControl w:val="0"/>
              <w:numPr>
                <w:ilvl w:val="0"/>
                <w:numId w:val="1"/>
              </w:numPr>
              <w:spacing w:before="120" w:after="120" w:line="276" w:lineRule="auto"/>
              <w:jc w:val="both"/>
              <w:rPr>
                <w:rFonts w:ascii="Times New Roman" w:hAnsi="Times New Roman"/>
                <w:sz w:val="24"/>
                <w:szCs w:val="24"/>
                <w:lang w:val="en-IE"/>
              </w:rPr>
            </w:pPr>
            <w:r w:rsidRPr="00EB67FD">
              <w:rPr>
                <w:rFonts w:ascii="Times New Roman" w:hAnsi="Times New Roman"/>
                <w:sz w:val="24"/>
                <w:szCs w:val="24"/>
                <w:lang w:val="en-IE"/>
              </w:rPr>
              <w:t xml:space="preserve">improving the attractiveness and living standards in </w:t>
            </w:r>
            <w:r w:rsidRPr="00EB67FD">
              <w:rPr>
                <w:rFonts w:ascii="Times New Roman" w:hAnsi="Times New Roman"/>
                <w:b/>
                <w:bCs/>
                <w:sz w:val="24"/>
                <w:szCs w:val="24"/>
                <w:lang w:val="en-IE"/>
              </w:rPr>
              <w:t>rural areas</w:t>
            </w:r>
            <w:r w:rsidRPr="00EB67FD">
              <w:rPr>
                <w:rFonts w:ascii="Times New Roman" w:hAnsi="Times New Roman"/>
                <w:sz w:val="24"/>
                <w:szCs w:val="24"/>
                <w:lang w:val="en-IE"/>
              </w:rPr>
              <w:t xml:space="preserve"> and fostering </w:t>
            </w:r>
            <w:r w:rsidRPr="00EB67FD">
              <w:rPr>
                <w:rFonts w:ascii="Times New Roman" w:hAnsi="Times New Roman"/>
                <w:b/>
                <w:bCs/>
                <w:sz w:val="24"/>
                <w:szCs w:val="24"/>
                <w:lang w:val="en-IE"/>
              </w:rPr>
              <w:t>generational renewal</w:t>
            </w:r>
            <w:r w:rsidR="005F293E">
              <w:rPr>
                <w:rFonts w:ascii="Times New Roman" w:hAnsi="Times New Roman"/>
                <w:sz w:val="24"/>
                <w:szCs w:val="24"/>
                <w:lang w:val="en-IE"/>
              </w:rPr>
              <w:t xml:space="preserve"> as well as</w:t>
            </w:r>
            <w:r w:rsidRPr="00EB67FD">
              <w:rPr>
                <w:rFonts w:ascii="Times New Roman" w:hAnsi="Times New Roman"/>
                <w:sz w:val="24"/>
                <w:szCs w:val="24"/>
                <w:lang w:val="en-IE"/>
              </w:rPr>
              <w:t xml:space="preserve"> improving farmers’ preparedness and ability to cope with crises and </w:t>
            </w:r>
            <w:proofErr w:type="gramStart"/>
            <w:r w:rsidRPr="00EB67FD">
              <w:rPr>
                <w:rFonts w:ascii="Times New Roman" w:hAnsi="Times New Roman"/>
                <w:sz w:val="24"/>
                <w:szCs w:val="24"/>
                <w:lang w:val="en-IE"/>
              </w:rPr>
              <w:t>risks</w:t>
            </w:r>
            <w:r w:rsidR="005F293E">
              <w:rPr>
                <w:rFonts w:ascii="Times New Roman" w:hAnsi="Times New Roman"/>
                <w:sz w:val="24"/>
                <w:szCs w:val="24"/>
                <w:lang w:val="en-IE"/>
              </w:rPr>
              <w:t>;</w:t>
            </w:r>
            <w:proofErr w:type="gramEnd"/>
          </w:p>
          <w:p w14:paraId="0D98D28B" w14:textId="5C947959" w:rsidR="00EB67FD" w:rsidRDefault="00EB67FD" w:rsidP="00EB407D">
            <w:pPr>
              <w:pStyle w:val="ListParagraph"/>
              <w:widowControl w:val="0"/>
              <w:numPr>
                <w:ilvl w:val="0"/>
                <w:numId w:val="1"/>
              </w:numPr>
              <w:spacing w:before="120" w:after="120" w:line="276" w:lineRule="auto"/>
              <w:jc w:val="both"/>
              <w:rPr>
                <w:rFonts w:ascii="Times New Roman" w:hAnsi="Times New Roman"/>
                <w:sz w:val="24"/>
                <w:szCs w:val="24"/>
                <w:lang w:val="en-IE"/>
              </w:rPr>
            </w:pPr>
            <w:r w:rsidRPr="00EB67FD">
              <w:rPr>
                <w:rFonts w:ascii="Times New Roman" w:hAnsi="Times New Roman"/>
                <w:sz w:val="24"/>
                <w:szCs w:val="24"/>
                <w:lang w:val="en-IE"/>
              </w:rPr>
              <w:t xml:space="preserve">enhancing </w:t>
            </w:r>
            <w:r w:rsidRPr="00EB67FD">
              <w:rPr>
                <w:rFonts w:ascii="Times New Roman" w:hAnsi="Times New Roman"/>
                <w:b/>
                <w:bCs/>
                <w:sz w:val="24"/>
                <w:szCs w:val="24"/>
                <w:lang w:val="en-IE"/>
              </w:rPr>
              <w:t>sustainable agriculture</w:t>
            </w:r>
            <w:r w:rsidRPr="00EB67FD">
              <w:rPr>
                <w:rFonts w:ascii="Times New Roman" w:hAnsi="Times New Roman"/>
                <w:sz w:val="24"/>
                <w:szCs w:val="24"/>
                <w:lang w:val="en-IE"/>
              </w:rPr>
              <w:t>, including supporting efficient water management, restoration of biodiversity, soil and natural resources, and improving animal welfare.</w:t>
            </w:r>
          </w:p>
          <w:p w14:paraId="6A7E3C14" w14:textId="668E962C" w:rsidR="004D685C" w:rsidRPr="00EB67FD" w:rsidRDefault="004D685C" w:rsidP="00EB407D">
            <w:pPr>
              <w:pStyle w:val="ListParagraph"/>
              <w:widowControl w:val="0"/>
              <w:spacing w:before="120" w:after="120" w:line="276" w:lineRule="auto"/>
              <w:ind w:left="0"/>
              <w:jc w:val="both"/>
              <w:rPr>
                <w:rFonts w:ascii="Times New Roman" w:hAnsi="Times New Roman"/>
                <w:sz w:val="24"/>
                <w:szCs w:val="24"/>
                <w:lang w:val="en-IE"/>
              </w:rPr>
            </w:pPr>
            <w:r>
              <w:rPr>
                <w:rFonts w:ascii="Times New Roman" w:hAnsi="Times New Roman"/>
                <w:sz w:val="24"/>
                <w:szCs w:val="24"/>
                <w:lang w:val="en-IE"/>
              </w:rPr>
              <w:t>The NRP plans submitted by Member States will be assessed</w:t>
            </w:r>
            <w:r w:rsidR="002214DC">
              <w:rPr>
                <w:rFonts w:ascii="Times New Roman" w:hAnsi="Times New Roman"/>
                <w:sz w:val="24"/>
                <w:szCs w:val="24"/>
                <w:lang w:val="en-IE"/>
              </w:rPr>
              <w:t>, amongst other criteria,</w:t>
            </w:r>
            <w:r>
              <w:rPr>
                <w:rFonts w:ascii="Times New Roman" w:hAnsi="Times New Roman"/>
                <w:sz w:val="24"/>
                <w:szCs w:val="24"/>
                <w:lang w:val="en-IE"/>
              </w:rPr>
              <w:t xml:space="preserve"> </w:t>
            </w:r>
            <w:proofErr w:type="gramStart"/>
            <w:r>
              <w:rPr>
                <w:rFonts w:ascii="Times New Roman" w:hAnsi="Times New Roman"/>
                <w:sz w:val="24"/>
                <w:szCs w:val="24"/>
                <w:lang w:val="en-IE"/>
              </w:rPr>
              <w:t>on the basis of</w:t>
            </w:r>
            <w:proofErr w:type="gramEnd"/>
            <w:r>
              <w:rPr>
                <w:rFonts w:ascii="Times New Roman" w:hAnsi="Times New Roman"/>
                <w:sz w:val="24"/>
                <w:szCs w:val="24"/>
                <w:lang w:val="en-IE"/>
              </w:rPr>
              <w:t xml:space="preserve"> </w:t>
            </w:r>
            <w:r w:rsidR="002214DC">
              <w:rPr>
                <w:rFonts w:ascii="Times New Roman" w:hAnsi="Times New Roman"/>
                <w:sz w:val="24"/>
                <w:szCs w:val="24"/>
                <w:lang w:val="en-IE"/>
              </w:rPr>
              <w:t xml:space="preserve">how the NRP plans address </w:t>
            </w:r>
            <w:r>
              <w:rPr>
                <w:rFonts w:ascii="Times New Roman" w:hAnsi="Times New Roman"/>
                <w:sz w:val="24"/>
                <w:szCs w:val="24"/>
                <w:lang w:val="en-IE"/>
              </w:rPr>
              <w:t xml:space="preserve">these policy objectives and the overall ambition of the measures proposed. </w:t>
            </w:r>
          </w:p>
          <w:p w14:paraId="3AD1E381" w14:textId="48AE0DF0" w:rsidR="00EB67FD" w:rsidRPr="00EB67FD" w:rsidRDefault="006F6E08" w:rsidP="00EB407D">
            <w:pPr>
              <w:widowControl w:val="0"/>
              <w:numPr>
                <w:ilvl w:val="0"/>
                <w:numId w:val="2"/>
              </w:numPr>
              <w:spacing w:before="120" w:after="120"/>
              <w:jc w:val="both"/>
              <w:rPr>
                <w:rFonts w:ascii="Times New Roman" w:hAnsi="Times New Roman"/>
                <w:b/>
                <w:bCs/>
                <w:sz w:val="24"/>
                <w:szCs w:val="24"/>
                <w:u w:val="single"/>
                <w:lang w:val="en-IE"/>
              </w:rPr>
            </w:pPr>
            <w:r>
              <w:rPr>
                <w:rFonts w:ascii="Times New Roman" w:hAnsi="Times New Roman"/>
                <w:b/>
                <w:bCs/>
                <w:sz w:val="24"/>
                <w:szCs w:val="24"/>
                <w:u w:val="single"/>
                <w:lang w:val="en-IE"/>
              </w:rPr>
              <w:t>Lack of b</w:t>
            </w:r>
            <w:r w:rsidR="00EB67FD" w:rsidRPr="00EB67FD">
              <w:rPr>
                <w:rFonts w:ascii="Times New Roman" w:hAnsi="Times New Roman"/>
                <w:b/>
                <w:bCs/>
                <w:sz w:val="24"/>
                <w:szCs w:val="24"/>
                <w:u w:val="single"/>
                <w:lang w:val="en-IE"/>
              </w:rPr>
              <w:t>udget</w:t>
            </w:r>
          </w:p>
          <w:p w14:paraId="340CD531" w14:textId="20A9F27A" w:rsidR="00B34921" w:rsidRDefault="006F6E08" w:rsidP="00CA7AA6">
            <w:pPr>
              <w:pStyle w:val="ListParagraph"/>
              <w:widowControl w:val="0"/>
              <w:spacing w:before="120" w:after="120" w:line="276" w:lineRule="auto"/>
              <w:ind w:left="0"/>
              <w:contextualSpacing w:val="0"/>
              <w:jc w:val="both"/>
              <w:rPr>
                <w:rFonts w:ascii="Times New Roman" w:eastAsia="Times New Roman" w:hAnsi="Times New Roman"/>
                <w:kern w:val="0"/>
                <w:sz w:val="24"/>
                <w:szCs w:val="24"/>
                <w:lang w:val="en-IE" w:eastAsia="en-IE"/>
              </w:rPr>
            </w:pPr>
            <w:r>
              <w:rPr>
                <w:rFonts w:ascii="Times New Roman" w:eastAsia="Times New Roman" w:hAnsi="Times New Roman"/>
                <w:kern w:val="0"/>
                <w:sz w:val="24"/>
                <w:szCs w:val="24"/>
                <w:lang w:val="en-IE" w:eastAsia="en-IE"/>
              </w:rPr>
              <w:t>T</w:t>
            </w:r>
            <w:r w:rsidR="00EB67FD" w:rsidRPr="00EB67FD">
              <w:rPr>
                <w:rFonts w:ascii="Times New Roman" w:eastAsia="Times New Roman" w:hAnsi="Times New Roman"/>
                <w:kern w:val="0"/>
                <w:sz w:val="24"/>
                <w:szCs w:val="24"/>
                <w:lang w:val="en-IE" w:eastAsia="en-IE"/>
              </w:rPr>
              <w:t xml:space="preserve">he proposal secures a ringfenced amount of </w:t>
            </w:r>
            <w:r w:rsidR="00EB67FD" w:rsidRPr="00EB67FD">
              <w:rPr>
                <w:rFonts w:ascii="Times New Roman" w:eastAsia="Times New Roman" w:hAnsi="Times New Roman"/>
                <w:b/>
                <w:bCs/>
                <w:kern w:val="0"/>
                <w:sz w:val="24"/>
                <w:szCs w:val="24"/>
                <w:lang w:val="en-IE" w:eastAsia="en-IE"/>
              </w:rPr>
              <w:t>EUR 293.7 billion</w:t>
            </w:r>
            <w:r w:rsidR="00EB67FD" w:rsidRPr="00EB67FD">
              <w:rPr>
                <w:rFonts w:ascii="Times New Roman" w:eastAsia="Times New Roman" w:hAnsi="Times New Roman"/>
                <w:kern w:val="0"/>
                <w:sz w:val="24"/>
                <w:szCs w:val="24"/>
                <w:lang w:val="en-IE" w:eastAsia="en-IE"/>
              </w:rPr>
              <w:t xml:space="preserve"> </w:t>
            </w:r>
            <w:r w:rsidR="002214DC">
              <w:rPr>
                <w:rFonts w:ascii="Times New Roman" w:eastAsia="Times New Roman" w:hAnsi="Times New Roman"/>
                <w:kern w:val="0"/>
                <w:sz w:val="24"/>
                <w:szCs w:val="24"/>
                <w:lang w:val="en-IE" w:eastAsia="en-IE"/>
              </w:rPr>
              <w:t>for</w:t>
            </w:r>
            <w:r w:rsidR="00EB67FD" w:rsidRPr="00EB67FD">
              <w:rPr>
                <w:rFonts w:ascii="Times New Roman" w:eastAsia="Times New Roman" w:hAnsi="Times New Roman"/>
                <w:kern w:val="0"/>
                <w:sz w:val="24"/>
                <w:szCs w:val="24"/>
                <w:lang w:val="en-IE" w:eastAsia="en-IE"/>
              </w:rPr>
              <w:t xml:space="preserve"> farmers</w:t>
            </w:r>
            <w:r w:rsidR="003615D7">
              <w:rPr>
                <w:rFonts w:ascii="Times New Roman" w:eastAsia="Times New Roman" w:hAnsi="Times New Roman"/>
                <w:kern w:val="0"/>
                <w:sz w:val="24"/>
                <w:szCs w:val="24"/>
                <w:lang w:val="en-IE" w:eastAsia="en-IE"/>
              </w:rPr>
              <w:t>’</w:t>
            </w:r>
            <w:r w:rsidR="002214DC">
              <w:rPr>
                <w:rFonts w:ascii="Times New Roman" w:eastAsia="Times New Roman" w:hAnsi="Times New Roman"/>
                <w:kern w:val="0"/>
                <w:sz w:val="24"/>
                <w:szCs w:val="24"/>
                <w:lang w:val="en-IE" w:eastAsia="en-IE"/>
              </w:rPr>
              <w:t xml:space="preserve"> income, ensuring predictability and stability.</w:t>
            </w:r>
            <w:r>
              <w:rPr>
                <w:rFonts w:ascii="Times New Roman" w:eastAsia="Times New Roman" w:hAnsi="Times New Roman"/>
                <w:kern w:val="0"/>
                <w:sz w:val="24"/>
                <w:szCs w:val="24"/>
                <w:lang w:val="en-IE" w:eastAsia="en-IE"/>
              </w:rPr>
              <w:t xml:space="preserve"> </w:t>
            </w:r>
            <w:r w:rsidR="00EB67FD" w:rsidRPr="00EB67FD">
              <w:rPr>
                <w:rFonts w:ascii="Times New Roman" w:eastAsia="Times New Roman" w:hAnsi="Times New Roman"/>
                <w:kern w:val="0"/>
                <w:sz w:val="24"/>
                <w:szCs w:val="24"/>
                <w:lang w:val="en-IE" w:eastAsia="en-IE"/>
              </w:rPr>
              <w:t xml:space="preserve">This is a minimum amount </w:t>
            </w:r>
            <w:r w:rsidR="004D685C">
              <w:rPr>
                <w:rFonts w:ascii="Times New Roman" w:eastAsia="Times New Roman" w:hAnsi="Times New Roman"/>
                <w:kern w:val="0"/>
                <w:sz w:val="24"/>
                <w:szCs w:val="24"/>
                <w:lang w:val="en-IE" w:eastAsia="en-IE"/>
              </w:rPr>
              <w:t xml:space="preserve">proposed by the Commission, </w:t>
            </w:r>
            <w:r w:rsidR="00EB67FD" w:rsidRPr="00EB67FD">
              <w:rPr>
                <w:rFonts w:ascii="Times New Roman" w:eastAsia="Times New Roman" w:hAnsi="Times New Roman"/>
                <w:kern w:val="0"/>
                <w:sz w:val="24"/>
                <w:szCs w:val="24"/>
                <w:lang w:val="en-IE" w:eastAsia="en-IE"/>
              </w:rPr>
              <w:t xml:space="preserve">Member States </w:t>
            </w:r>
            <w:r w:rsidR="002214DC">
              <w:rPr>
                <w:rFonts w:ascii="Times New Roman" w:eastAsia="Times New Roman" w:hAnsi="Times New Roman"/>
                <w:kern w:val="0"/>
                <w:sz w:val="24"/>
                <w:szCs w:val="24"/>
                <w:lang w:val="en-IE" w:eastAsia="en-IE"/>
              </w:rPr>
              <w:t>will</w:t>
            </w:r>
            <w:r w:rsidR="00EB67FD" w:rsidRPr="00EB67FD">
              <w:rPr>
                <w:rFonts w:ascii="Times New Roman" w:eastAsia="Times New Roman" w:hAnsi="Times New Roman"/>
                <w:kern w:val="0"/>
                <w:sz w:val="24"/>
                <w:szCs w:val="24"/>
                <w:lang w:val="en-IE" w:eastAsia="en-IE"/>
              </w:rPr>
              <w:t xml:space="preserve"> </w:t>
            </w:r>
            <w:r>
              <w:rPr>
                <w:rFonts w:ascii="Times New Roman" w:eastAsia="Times New Roman" w:hAnsi="Times New Roman"/>
                <w:kern w:val="0"/>
                <w:sz w:val="24"/>
                <w:szCs w:val="24"/>
                <w:lang w:val="en-IE" w:eastAsia="en-IE"/>
              </w:rPr>
              <w:t xml:space="preserve">further </w:t>
            </w:r>
            <w:r w:rsidR="00EB67FD" w:rsidRPr="00EB67FD">
              <w:rPr>
                <w:rFonts w:ascii="Times New Roman" w:eastAsia="Times New Roman" w:hAnsi="Times New Roman"/>
                <w:kern w:val="0"/>
                <w:sz w:val="24"/>
                <w:szCs w:val="24"/>
                <w:lang w:val="en-IE" w:eastAsia="en-IE"/>
              </w:rPr>
              <w:t xml:space="preserve">tap into the </w:t>
            </w:r>
            <w:r w:rsidR="002214DC">
              <w:rPr>
                <w:rFonts w:ascii="Times New Roman" w:eastAsia="Times New Roman" w:hAnsi="Times New Roman"/>
                <w:kern w:val="0"/>
                <w:sz w:val="24"/>
                <w:szCs w:val="24"/>
                <w:lang w:val="en-IE" w:eastAsia="en-IE"/>
              </w:rPr>
              <w:t xml:space="preserve">NRP unallocated funds </w:t>
            </w:r>
            <w:r w:rsidR="00EB67FD" w:rsidRPr="00EB67FD">
              <w:rPr>
                <w:rFonts w:ascii="Times New Roman" w:eastAsia="Times New Roman" w:hAnsi="Times New Roman"/>
                <w:kern w:val="0"/>
                <w:sz w:val="24"/>
                <w:szCs w:val="24"/>
                <w:lang w:val="en-IE" w:eastAsia="en-IE"/>
              </w:rPr>
              <w:t>of EUR 453 billion</w:t>
            </w:r>
            <w:r w:rsidR="004D685C">
              <w:rPr>
                <w:rFonts w:ascii="Times New Roman" w:eastAsia="Times New Roman" w:hAnsi="Times New Roman"/>
                <w:kern w:val="0"/>
                <w:sz w:val="24"/>
                <w:szCs w:val="24"/>
                <w:lang w:val="en-IE" w:eastAsia="en-IE"/>
              </w:rPr>
              <w:t xml:space="preserve"> </w:t>
            </w:r>
            <w:r w:rsidR="002214DC">
              <w:rPr>
                <w:rFonts w:ascii="Times New Roman" w:eastAsia="Times New Roman" w:hAnsi="Times New Roman"/>
                <w:kern w:val="0"/>
                <w:sz w:val="24"/>
                <w:szCs w:val="24"/>
                <w:lang w:val="en-IE" w:eastAsia="en-IE"/>
              </w:rPr>
              <w:t xml:space="preserve">to also finance CAP priorities </w:t>
            </w:r>
            <w:r w:rsidR="004D685C">
              <w:rPr>
                <w:rFonts w:ascii="Times New Roman" w:eastAsia="Times New Roman" w:hAnsi="Times New Roman"/>
                <w:kern w:val="0"/>
                <w:sz w:val="24"/>
                <w:szCs w:val="24"/>
                <w:lang w:val="en-IE" w:eastAsia="en-IE"/>
              </w:rPr>
              <w:t>based on national needs</w:t>
            </w:r>
            <w:r w:rsidR="00EB67FD" w:rsidRPr="00EB67FD">
              <w:rPr>
                <w:rFonts w:ascii="Times New Roman" w:eastAsia="Times New Roman" w:hAnsi="Times New Roman"/>
                <w:kern w:val="0"/>
                <w:sz w:val="24"/>
                <w:szCs w:val="24"/>
                <w:lang w:val="en-IE" w:eastAsia="en-IE"/>
              </w:rPr>
              <w:t>.</w:t>
            </w:r>
            <w:r w:rsidR="00B34921">
              <w:rPr>
                <w:rFonts w:ascii="Times New Roman" w:eastAsia="Times New Roman" w:hAnsi="Times New Roman"/>
                <w:kern w:val="0"/>
                <w:sz w:val="24"/>
                <w:szCs w:val="24"/>
                <w:lang w:val="en-IE" w:eastAsia="en-IE"/>
              </w:rPr>
              <w:t xml:space="preserve"> </w:t>
            </w:r>
          </w:p>
          <w:p w14:paraId="60066D5E" w14:textId="29DD850B" w:rsidR="006F6E08" w:rsidRDefault="006F6E08" w:rsidP="00EB407D">
            <w:pPr>
              <w:pStyle w:val="ListParagraph"/>
              <w:widowControl w:val="0"/>
              <w:spacing w:before="120" w:after="120" w:line="276" w:lineRule="auto"/>
              <w:ind w:left="0"/>
              <w:contextualSpacing w:val="0"/>
              <w:jc w:val="both"/>
              <w:rPr>
                <w:rFonts w:ascii="Times New Roman" w:eastAsia="Times New Roman" w:hAnsi="Times New Roman"/>
                <w:kern w:val="0"/>
                <w:sz w:val="24"/>
                <w:szCs w:val="24"/>
                <w:lang w:val="en-IE" w:eastAsia="en-IE"/>
              </w:rPr>
            </w:pPr>
            <w:r>
              <w:rPr>
                <w:rFonts w:ascii="Times New Roman" w:eastAsia="Times New Roman" w:hAnsi="Times New Roman"/>
                <w:kern w:val="0"/>
                <w:sz w:val="24"/>
                <w:szCs w:val="24"/>
                <w:lang w:val="en-IE" w:eastAsia="en-IE"/>
              </w:rPr>
              <w:lastRenderedPageBreak/>
              <w:t>Moreover, to address market disturbances, t</w:t>
            </w:r>
            <w:r w:rsidR="00EB67FD" w:rsidRPr="00EB67FD">
              <w:rPr>
                <w:rFonts w:ascii="Times New Roman" w:eastAsia="Times New Roman" w:hAnsi="Times New Roman"/>
                <w:kern w:val="0"/>
                <w:sz w:val="24"/>
                <w:szCs w:val="24"/>
                <w:lang w:val="en-IE" w:eastAsia="en-IE"/>
              </w:rPr>
              <w:t>he proposal doubles the agricultural reserve, creating a</w:t>
            </w:r>
            <w:r w:rsidR="00C303BE">
              <w:rPr>
                <w:rFonts w:ascii="Times New Roman" w:eastAsia="Times New Roman" w:hAnsi="Times New Roman"/>
                <w:kern w:val="0"/>
                <w:sz w:val="24"/>
                <w:szCs w:val="24"/>
                <w:lang w:val="en-IE" w:eastAsia="en-IE"/>
              </w:rPr>
              <w:t> </w:t>
            </w:r>
            <w:r w:rsidR="003615D7">
              <w:rPr>
                <w:rFonts w:ascii="Times New Roman" w:eastAsia="Times New Roman" w:hAnsi="Times New Roman"/>
                <w:kern w:val="0"/>
                <w:sz w:val="24"/>
                <w:szCs w:val="24"/>
                <w:lang w:val="en-IE" w:eastAsia="en-IE"/>
              </w:rPr>
              <w:t>EUR </w:t>
            </w:r>
            <w:r w:rsidR="00EB67FD" w:rsidRPr="00EB67FD">
              <w:rPr>
                <w:rFonts w:ascii="Times New Roman" w:eastAsia="Times New Roman" w:hAnsi="Times New Roman"/>
                <w:kern w:val="0"/>
                <w:sz w:val="24"/>
                <w:szCs w:val="24"/>
                <w:lang w:val="en-IE" w:eastAsia="en-IE"/>
              </w:rPr>
              <w:t>6.3 billion</w:t>
            </w:r>
            <w:r w:rsidR="00EB67FD" w:rsidRPr="00EB67FD">
              <w:rPr>
                <w:rFonts w:ascii="Times New Roman" w:eastAsia="Times New Roman" w:hAnsi="Times New Roman"/>
                <w:b/>
                <w:bCs/>
                <w:kern w:val="0"/>
                <w:sz w:val="24"/>
                <w:szCs w:val="24"/>
                <w:lang w:val="en-IE" w:eastAsia="en-IE"/>
              </w:rPr>
              <w:t xml:space="preserve"> Unity Safety Net</w:t>
            </w:r>
            <w:r w:rsidR="00EB67FD" w:rsidRPr="00EB67FD">
              <w:rPr>
                <w:rFonts w:ascii="Times New Roman" w:eastAsia="Times New Roman" w:hAnsi="Times New Roman"/>
                <w:kern w:val="0"/>
                <w:sz w:val="24"/>
                <w:szCs w:val="24"/>
                <w:lang w:val="en-IE" w:eastAsia="en-IE"/>
              </w:rPr>
              <w:t>.</w:t>
            </w:r>
          </w:p>
          <w:p w14:paraId="284D2CEA" w14:textId="66C7A550" w:rsidR="00EB67FD" w:rsidRPr="00EB67FD" w:rsidRDefault="004D685C" w:rsidP="00EB407D">
            <w:pPr>
              <w:pStyle w:val="ListParagraph"/>
              <w:widowControl w:val="0"/>
              <w:spacing w:before="120" w:after="120" w:line="276" w:lineRule="auto"/>
              <w:ind w:left="0"/>
              <w:contextualSpacing w:val="0"/>
              <w:jc w:val="both"/>
              <w:rPr>
                <w:rFonts w:ascii="Times New Roman" w:eastAsia="Times New Roman" w:hAnsi="Times New Roman"/>
                <w:kern w:val="0"/>
                <w:sz w:val="24"/>
                <w:szCs w:val="24"/>
                <w:lang w:val="en-IE" w:eastAsia="en-IE"/>
              </w:rPr>
            </w:pPr>
            <w:r>
              <w:rPr>
                <w:rFonts w:ascii="Times New Roman" w:eastAsia="Times New Roman" w:hAnsi="Times New Roman"/>
                <w:kern w:val="0"/>
                <w:sz w:val="24"/>
                <w:szCs w:val="24"/>
                <w:lang w:val="en-IE" w:eastAsia="en-IE"/>
              </w:rPr>
              <w:t>Furthermore, t</w:t>
            </w:r>
            <w:r w:rsidR="006F6E08">
              <w:rPr>
                <w:rFonts w:ascii="Times New Roman" w:eastAsia="Times New Roman" w:hAnsi="Times New Roman"/>
                <w:kern w:val="0"/>
                <w:sz w:val="24"/>
                <w:szCs w:val="24"/>
                <w:lang w:val="en-IE" w:eastAsia="en-IE"/>
              </w:rPr>
              <w:t xml:space="preserve">o address natural </w:t>
            </w:r>
            <w:r w:rsidR="00EB67FD" w:rsidRPr="00EB67FD">
              <w:rPr>
                <w:rFonts w:ascii="Times New Roman" w:eastAsia="Times New Roman" w:hAnsi="Times New Roman"/>
                <w:kern w:val="0"/>
                <w:sz w:val="24"/>
                <w:szCs w:val="24"/>
                <w:lang w:val="en-IE" w:eastAsia="en-IE"/>
              </w:rPr>
              <w:t>disaster</w:t>
            </w:r>
            <w:r w:rsidR="006F6E08">
              <w:rPr>
                <w:rFonts w:ascii="Times New Roman" w:eastAsia="Times New Roman" w:hAnsi="Times New Roman"/>
                <w:kern w:val="0"/>
                <w:sz w:val="24"/>
                <w:szCs w:val="24"/>
                <w:lang w:val="en-IE" w:eastAsia="en-IE"/>
              </w:rPr>
              <w:t>s</w:t>
            </w:r>
            <w:r w:rsidR="003D2D79">
              <w:rPr>
                <w:rFonts w:ascii="Times New Roman" w:eastAsia="Times New Roman" w:hAnsi="Times New Roman"/>
                <w:kern w:val="0"/>
                <w:sz w:val="24"/>
                <w:szCs w:val="24"/>
                <w:lang w:val="en-IE" w:eastAsia="en-IE"/>
              </w:rPr>
              <w:t xml:space="preserve"> or catastrophic events </w:t>
            </w:r>
            <w:r w:rsidR="00EB67FD" w:rsidRPr="00EB67FD">
              <w:rPr>
                <w:rFonts w:ascii="Times New Roman" w:eastAsia="Times New Roman" w:hAnsi="Times New Roman"/>
                <w:kern w:val="0"/>
                <w:sz w:val="24"/>
                <w:szCs w:val="24"/>
                <w:lang w:val="en-IE" w:eastAsia="en-IE"/>
              </w:rPr>
              <w:t xml:space="preserve">—whether it’s floods, droughts, or animal diseases—Member States can </w:t>
            </w:r>
            <w:r>
              <w:rPr>
                <w:rFonts w:ascii="Times New Roman" w:eastAsia="Times New Roman" w:hAnsi="Times New Roman"/>
                <w:kern w:val="0"/>
                <w:sz w:val="24"/>
                <w:szCs w:val="24"/>
                <w:lang w:val="en-IE" w:eastAsia="en-IE"/>
              </w:rPr>
              <w:t>amend</w:t>
            </w:r>
            <w:r w:rsidRPr="00EB67FD">
              <w:rPr>
                <w:rFonts w:ascii="Times New Roman" w:eastAsia="Times New Roman" w:hAnsi="Times New Roman"/>
                <w:kern w:val="0"/>
                <w:sz w:val="24"/>
                <w:szCs w:val="24"/>
                <w:lang w:val="en-IE" w:eastAsia="en-IE"/>
              </w:rPr>
              <w:t xml:space="preserve"> </w:t>
            </w:r>
            <w:r w:rsidR="00EB67FD" w:rsidRPr="00EB67FD">
              <w:rPr>
                <w:rFonts w:ascii="Times New Roman" w:eastAsia="Times New Roman" w:hAnsi="Times New Roman"/>
                <w:kern w:val="0"/>
                <w:sz w:val="24"/>
                <w:szCs w:val="24"/>
                <w:lang w:val="en-IE" w:eastAsia="en-IE"/>
              </w:rPr>
              <w:t xml:space="preserve">their Plans </w:t>
            </w:r>
            <w:proofErr w:type="gramStart"/>
            <w:r>
              <w:rPr>
                <w:rFonts w:ascii="Times New Roman" w:eastAsia="Times New Roman" w:hAnsi="Times New Roman"/>
                <w:kern w:val="0"/>
                <w:sz w:val="24"/>
                <w:szCs w:val="24"/>
                <w:lang w:val="en-IE" w:eastAsia="en-IE"/>
              </w:rPr>
              <w:t>in order to</w:t>
            </w:r>
            <w:proofErr w:type="gramEnd"/>
            <w:r>
              <w:rPr>
                <w:rFonts w:ascii="Times New Roman" w:eastAsia="Times New Roman" w:hAnsi="Times New Roman"/>
                <w:kern w:val="0"/>
                <w:sz w:val="24"/>
                <w:szCs w:val="24"/>
                <w:lang w:val="en-IE" w:eastAsia="en-IE"/>
              </w:rPr>
              <w:t xml:space="preserve"> re-allocate </w:t>
            </w:r>
            <w:r w:rsidR="00EB67FD" w:rsidRPr="00EB67FD">
              <w:rPr>
                <w:rFonts w:ascii="Times New Roman" w:eastAsia="Times New Roman" w:hAnsi="Times New Roman"/>
                <w:kern w:val="0"/>
                <w:sz w:val="24"/>
                <w:szCs w:val="24"/>
                <w:lang w:val="en-IE" w:eastAsia="en-IE"/>
              </w:rPr>
              <w:t xml:space="preserve">up to </w:t>
            </w:r>
            <w:r w:rsidR="006F6E08">
              <w:rPr>
                <w:rFonts w:ascii="Times New Roman" w:eastAsia="Times New Roman" w:hAnsi="Times New Roman"/>
                <w:kern w:val="0"/>
                <w:sz w:val="24"/>
                <w:szCs w:val="24"/>
                <w:lang w:val="en-IE" w:eastAsia="en-IE"/>
              </w:rPr>
              <w:t xml:space="preserve">1% </w:t>
            </w:r>
            <w:r w:rsidR="00EB67FD" w:rsidRPr="00EB67FD">
              <w:rPr>
                <w:rFonts w:ascii="Times New Roman" w:eastAsia="Times New Roman" w:hAnsi="Times New Roman"/>
                <w:kern w:val="0"/>
                <w:sz w:val="24"/>
                <w:szCs w:val="24"/>
                <w:lang w:val="en-IE" w:eastAsia="en-IE"/>
              </w:rPr>
              <w:t>of their national envelope to address the consequences of a disaster</w:t>
            </w:r>
            <w:r w:rsidR="005F293E">
              <w:rPr>
                <w:rFonts w:ascii="Times New Roman" w:eastAsia="Times New Roman" w:hAnsi="Times New Roman"/>
                <w:kern w:val="0"/>
                <w:sz w:val="24"/>
                <w:szCs w:val="24"/>
                <w:lang w:val="en-IE" w:eastAsia="en-IE"/>
              </w:rPr>
              <w:t>. I</w:t>
            </w:r>
            <w:r w:rsidR="006F6E08">
              <w:rPr>
                <w:rFonts w:ascii="Times New Roman" w:eastAsia="Times New Roman" w:hAnsi="Times New Roman"/>
                <w:kern w:val="0"/>
                <w:sz w:val="24"/>
                <w:szCs w:val="24"/>
                <w:lang w:val="en-IE" w:eastAsia="en-IE"/>
              </w:rPr>
              <w:t>f that would be insufficient to address the damage, Member States can use 2.5% of their national envelope from the flexibility reserve.</w:t>
            </w:r>
          </w:p>
          <w:p w14:paraId="5D00E8A3" w14:textId="63887E82" w:rsidR="006F6E08" w:rsidRDefault="006F6E08" w:rsidP="00EB407D">
            <w:pPr>
              <w:pStyle w:val="ListParagraph"/>
              <w:widowControl w:val="0"/>
              <w:spacing w:before="120" w:after="120" w:line="276" w:lineRule="auto"/>
              <w:ind w:left="0"/>
              <w:contextualSpacing w:val="0"/>
              <w:jc w:val="both"/>
              <w:rPr>
                <w:rFonts w:ascii="Times New Roman" w:hAnsi="Times New Roman"/>
                <w:sz w:val="24"/>
                <w:szCs w:val="24"/>
                <w:lang w:val="en-IE"/>
              </w:rPr>
            </w:pPr>
            <w:r>
              <w:rPr>
                <w:rFonts w:ascii="Times New Roman" w:hAnsi="Times New Roman"/>
                <w:sz w:val="24"/>
                <w:szCs w:val="24"/>
                <w:lang w:val="en-IE"/>
              </w:rPr>
              <w:t xml:space="preserve">The Commission has carefully listened to </w:t>
            </w:r>
            <w:r w:rsidRPr="006F6E08">
              <w:rPr>
                <w:rFonts w:ascii="Times New Roman" w:hAnsi="Times New Roman"/>
                <w:sz w:val="24"/>
                <w:szCs w:val="24"/>
                <w:lang w:val="en-IE"/>
              </w:rPr>
              <w:t>the E</w:t>
            </w:r>
            <w:r w:rsidR="00AA2166">
              <w:rPr>
                <w:rFonts w:ascii="Times New Roman" w:hAnsi="Times New Roman"/>
                <w:sz w:val="24"/>
                <w:szCs w:val="24"/>
                <w:lang w:val="en-IE"/>
              </w:rPr>
              <w:t>ESC</w:t>
            </w:r>
            <w:r w:rsidRPr="006F6E08">
              <w:rPr>
                <w:rFonts w:ascii="Times New Roman" w:hAnsi="Times New Roman"/>
                <w:sz w:val="24"/>
                <w:szCs w:val="24"/>
                <w:lang w:val="en-IE"/>
              </w:rPr>
              <w:t xml:space="preserve"> and shown openness to some of the key concerns that have been expressed. This notably resulted in two letters from the Commission president</w:t>
            </w:r>
            <w:r>
              <w:rPr>
                <w:rFonts w:ascii="Times New Roman" w:hAnsi="Times New Roman"/>
                <w:sz w:val="24"/>
                <w:szCs w:val="24"/>
                <w:lang w:val="en-IE"/>
              </w:rPr>
              <w:t>,</w:t>
            </w:r>
            <w:r w:rsidR="00D20F41">
              <w:rPr>
                <w:rFonts w:ascii="Times New Roman" w:hAnsi="Times New Roman"/>
                <w:sz w:val="24"/>
                <w:szCs w:val="24"/>
                <w:lang w:val="en-IE"/>
              </w:rPr>
              <w:t xml:space="preserve"> suggesting additional possibilities to</w:t>
            </w:r>
            <w:r>
              <w:rPr>
                <w:rFonts w:ascii="Times New Roman" w:hAnsi="Times New Roman"/>
                <w:sz w:val="24"/>
                <w:szCs w:val="24"/>
                <w:lang w:val="en-IE"/>
              </w:rPr>
              <w:t xml:space="preserve"> </w:t>
            </w:r>
            <w:r w:rsidR="002214DC">
              <w:rPr>
                <w:rFonts w:ascii="Times New Roman" w:hAnsi="Times New Roman"/>
                <w:sz w:val="24"/>
                <w:szCs w:val="24"/>
                <w:lang w:val="en-IE"/>
              </w:rPr>
              <w:t xml:space="preserve">further support </w:t>
            </w:r>
            <w:r>
              <w:rPr>
                <w:rFonts w:ascii="Times New Roman" w:hAnsi="Times New Roman"/>
                <w:sz w:val="24"/>
                <w:szCs w:val="24"/>
                <w:lang w:val="en-IE"/>
              </w:rPr>
              <w:t>agriculture and rural areas.</w:t>
            </w:r>
          </w:p>
          <w:p w14:paraId="66D75BB9" w14:textId="23CB7749" w:rsidR="006F6E08" w:rsidRDefault="006F6E08" w:rsidP="00EB407D">
            <w:pPr>
              <w:pStyle w:val="ListParagraph"/>
              <w:widowControl w:val="0"/>
              <w:spacing w:before="120" w:after="120" w:line="276" w:lineRule="auto"/>
              <w:ind w:left="0"/>
              <w:contextualSpacing w:val="0"/>
              <w:jc w:val="both"/>
              <w:rPr>
                <w:rFonts w:ascii="Times New Roman" w:hAnsi="Times New Roman"/>
                <w:sz w:val="24"/>
                <w:szCs w:val="24"/>
                <w:lang w:val="en-IE"/>
              </w:rPr>
            </w:pPr>
            <w:r>
              <w:rPr>
                <w:rFonts w:ascii="Times New Roman" w:eastAsia="Times New Roman" w:hAnsi="Times New Roman"/>
                <w:kern w:val="0"/>
                <w:sz w:val="24"/>
                <w:szCs w:val="24"/>
                <w:lang w:val="en-IE" w:eastAsia="en-IE"/>
              </w:rPr>
              <w:t xml:space="preserve">First, </w:t>
            </w:r>
            <w:r w:rsidR="00887087">
              <w:rPr>
                <w:rFonts w:ascii="Times New Roman" w:eastAsia="Times New Roman" w:hAnsi="Times New Roman"/>
                <w:kern w:val="0"/>
                <w:sz w:val="24"/>
                <w:szCs w:val="24"/>
                <w:lang w:val="en-IE" w:eastAsia="en-IE"/>
              </w:rPr>
              <w:t xml:space="preserve">it is proposed that </w:t>
            </w:r>
            <w:r>
              <w:rPr>
                <w:rFonts w:ascii="Times New Roman" w:eastAsia="Times New Roman" w:hAnsi="Times New Roman"/>
                <w:kern w:val="0"/>
                <w:sz w:val="24"/>
                <w:szCs w:val="24"/>
                <w:lang w:val="en-IE" w:eastAsia="en-IE"/>
              </w:rPr>
              <w:t>e</w:t>
            </w:r>
            <w:r w:rsidR="00EB67FD" w:rsidRPr="006F6E08">
              <w:rPr>
                <w:rFonts w:ascii="Times New Roman" w:eastAsia="Times New Roman" w:hAnsi="Times New Roman"/>
                <w:kern w:val="0"/>
                <w:sz w:val="24"/>
                <w:szCs w:val="24"/>
                <w:lang w:val="en-IE" w:eastAsia="en-IE"/>
              </w:rPr>
              <w:t xml:space="preserve">very Member State commit at least 10% of their envelope </w:t>
            </w:r>
            <w:r w:rsidR="002214DC">
              <w:rPr>
                <w:rFonts w:ascii="Times New Roman" w:eastAsia="Times New Roman" w:hAnsi="Times New Roman"/>
                <w:kern w:val="0"/>
                <w:sz w:val="24"/>
                <w:szCs w:val="24"/>
                <w:lang w:val="en-IE" w:eastAsia="en-IE"/>
              </w:rPr>
              <w:t>(</w:t>
            </w:r>
            <w:r w:rsidR="005F293E">
              <w:rPr>
                <w:rFonts w:ascii="Times New Roman" w:eastAsia="Times New Roman" w:hAnsi="Times New Roman"/>
                <w:kern w:val="0"/>
                <w:sz w:val="24"/>
                <w:szCs w:val="24"/>
                <w:lang w:val="en-IE" w:eastAsia="en-IE"/>
              </w:rPr>
              <w:t>the ‘</w:t>
            </w:r>
            <w:r w:rsidR="002214DC">
              <w:rPr>
                <w:rFonts w:ascii="Times New Roman" w:eastAsia="Times New Roman" w:hAnsi="Times New Roman"/>
                <w:kern w:val="0"/>
                <w:sz w:val="24"/>
                <w:szCs w:val="24"/>
                <w:lang w:val="en-IE" w:eastAsia="en-IE"/>
              </w:rPr>
              <w:t>rural target</w:t>
            </w:r>
            <w:r w:rsidR="005F293E">
              <w:rPr>
                <w:rFonts w:ascii="Times New Roman" w:eastAsia="Times New Roman" w:hAnsi="Times New Roman"/>
                <w:kern w:val="0"/>
                <w:sz w:val="24"/>
                <w:szCs w:val="24"/>
                <w:lang w:val="en-IE" w:eastAsia="en-IE"/>
              </w:rPr>
              <w:t>’</w:t>
            </w:r>
            <w:r w:rsidR="002214DC">
              <w:rPr>
                <w:rFonts w:ascii="Times New Roman" w:eastAsia="Times New Roman" w:hAnsi="Times New Roman"/>
                <w:kern w:val="0"/>
                <w:sz w:val="24"/>
                <w:szCs w:val="24"/>
                <w:lang w:val="en-IE" w:eastAsia="en-IE"/>
              </w:rPr>
              <w:t>)</w:t>
            </w:r>
            <w:r w:rsidR="00EB67FD" w:rsidRPr="006F6E08">
              <w:rPr>
                <w:rFonts w:ascii="Times New Roman" w:eastAsia="Times New Roman" w:hAnsi="Times New Roman"/>
                <w:kern w:val="0"/>
                <w:sz w:val="24"/>
                <w:szCs w:val="24"/>
                <w:lang w:val="en-IE" w:eastAsia="en-IE"/>
              </w:rPr>
              <w:t>— that</w:t>
            </w:r>
            <w:r w:rsidR="005F293E">
              <w:rPr>
                <w:rFonts w:ascii="Times New Roman" w:eastAsia="Times New Roman" w:hAnsi="Times New Roman"/>
                <w:kern w:val="0"/>
                <w:sz w:val="24"/>
                <w:szCs w:val="24"/>
                <w:lang w:val="en-IE" w:eastAsia="en-IE"/>
              </w:rPr>
              <w:t xml:space="preserve"> i</w:t>
            </w:r>
            <w:r w:rsidR="00EB67FD" w:rsidRPr="006F6E08">
              <w:rPr>
                <w:rFonts w:ascii="Times New Roman" w:eastAsia="Times New Roman" w:hAnsi="Times New Roman"/>
                <w:kern w:val="0"/>
                <w:sz w:val="24"/>
                <w:szCs w:val="24"/>
                <w:lang w:val="en-IE" w:eastAsia="en-IE"/>
              </w:rPr>
              <w:t xml:space="preserve">s </w:t>
            </w:r>
            <w:r w:rsidR="003615D7">
              <w:rPr>
                <w:rFonts w:ascii="Times New Roman" w:eastAsia="Times New Roman" w:hAnsi="Times New Roman"/>
                <w:kern w:val="0"/>
                <w:sz w:val="24"/>
                <w:szCs w:val="24"/>
                <w:lang w:val="en-IE" w:eastAsia="en-IE"/>
              </w:rPr>
              <w:t xml:space="preserve">EUR </w:t>
            </w:r>
            <w:r w:rsidR="00EB67FD" w:rsidRPr="006F6E08">
              <w:rPr>
                <w:rFonts w:ascii="Times New Roman" w:eastAsia="Times New Roman" w:hAnsi="Times New Roman"/>
                <w:kern w:val="0"/>
                <w:sz w:val="24"/>
                <w:szCs w:val="24"/>
                <w:lang w:val="en-IE" w:eastAsia="en-IE"/>
              </w:rPr>
              <w:t>48.7 billion overall—to</w:t>
            </w:r>
            <w:r w:rsidR="002214DC">
              <w:rPr>
                <w:rFonts w:ascii="Times New Roman" w:eastAsia="Times New Roman" w:hAnsi="Times New Roman"/>
                <w:kern w:val="0"/>
                <w:sz w:val="24"/>
                <w:szCs w:val="24"/>
                <w:lang w:val="en-IE" w:eastAsia="en-IE"/>
              </w:rPr>
              <w:t xml:space="preserve"> support investments in</w:t>
            </w:r>
            <w:r w:rsidR="00EB67FD" w:rsidRPr="006F6E08">
              <w:rPr>
                <w:rFonts w:ascii="Times New Roman" w:eastAsia="Times New Roman" w:hAnsi="Times New Roman"/>
                <w:kern w:val="0"/>
                <w:sz w:val="24"/>
                <w:szCs w:val="24"/>
                <w:lang w:val="en-IE" w:eastAsia="en-IE"/>
              </w:rPr>
              <w:t xml:space="preserve"> </w:t>
            </w:r>
            <w:r w:rsidR="00EB67FD" w:rsidRPr="006F6E08">
              <w:rPr>
                <w:rFonts w:ascii="Times New Roman" w:eastAsia="Times New Roman" w:hAnsi="Times New Roman"/>
                <w:b/>
                <w:bCs/>
                <w:kern w:val="0"/>
                <w:sz w:val="24"/>
                <w:szCs w:val="24"/>
                <w:lang w:val="en-IE" w:eastAsia="en-IE"/>
              </w:rPr>
              <w:t xml:space="preserve">rural </w:t>
            </w:r>
            <w:r w:rsidR="002214DC" w:rsidRPr="00887DC8">
              <w:rPr>
                <w:rFonts w:ascii="Times New Roman" w:eastAsia="Times New Roman" w:hAnsi="Times New Roman"/>
                <w:kern w:val="0"/>
                <w:sz w:val="24"/>
                <w:szCs w:val="24"/>
                <w:lang w:val="en-IE" w:eastAsia="en-IE"/>
              </w:rPr>
              <w:t>areas</w:t>
            </w:r>
            <w:r w:rsidR="00EB67FD" w:rsidRPr="00EB67FD">
              <w:rPr>
                <w:rFonts w:ascii="Times New Roman" w:hAnsi="Times New Roman"/>
                <w:sz w:val="24"/>
                <w:szCs w:val="24"/>
                <w:lang w:val="en-IE"/>
              </w:rPr>
              <w:t>.</w:t>
            </w:r>
          </w:p>
          <w:p w14:paraId="05855CA3" w14:textId="3EF0166A" w:rsidR="00EB67FD" w:rsidRPr="006F6E08" w:rsidRDefault="006F6E08" w:rsidP="00EB407D">
            <w:pPr>
              <w:pStyle w:val="ListParagraph"/>
              <w:widowControl w:val="0"/>
              <w:spacing w:before="120" w:after="120" w:line="276" w:lineRule="auto"/>
              <w:ind w:left="0"/>
              <w:contextualSpacing w:val="0"/>
              <w:jc w:val="both"/>
              <w:rPr>
                <w:rFonts w:ascii="Times New Roman" w:hAnsi="Times New Roman"/>
                <w:sz w:val="24"/>
                <w:szCs w:val="24"/>
                <w:lang w:val="en-IE"/>
              </w:rPr>
            </w:pPr>
            <w:r>
              <w:rPr>
                <w:rFonts w:ascii="Times New Roman" w:hAnsi="Times New Roman"/>
                <w:sz w:val="24"/>
                <w:szCs w:val="24"/>
                <w:lang w:val="en-IE"/>
              </w:rPr>
              <w:t>Second,</w:t>
            </w:r>
            <w:r w:rsidR="00EB67FD" w:rsidRPr="00EB67FD">
              <w:rPr>
                <w:rFonts w:ascii="Times New Roman" w:eastAsia="Times New Roman" w:hAnsi="Times New Roman"/>
                <w:kern w:val="0"/>
                <w:sz w:val="24"/>
                <w:szCs w:val="24"/>
                <w:lang w:val="en-IE" w:eastAsia="en-IE"/>
              </w:rPr>
              <w:t xml:space="preserve"> if they wish so, Member States </w:t>
            </w:r>
            <w:r w:rsidR="003A5FC9">
              <w:rPr>
                <w:rFonts w:ascii="Times New Roman" w:eastAsia="Times New Roman" w:hAnsi="Times New Roman"/>
                <w:kern w:val="0"/>
                <w:sz w:val="24"/>
                <w:szCs w:val="24"/>
                <w:lang w:val="en-IE" w:eastAsia="en-IE"/>
              </w:rPr>
              <w:t>could</w:t>
            </w:r>
            <w:r w:rsidR="003A5FC9" w:rsidRPr="00EB67FD">
              <w:rPr>
                <w:rFonts w:ascii="Times New Roman" w:eastAsia="Times New Roman" w:hAnsi="Times New Roman"/>
                <w:kern w:val="0"/>
                <w:sz w:val="24"/>
                <w:szCs w:val="24"/>
                <w:lang w:val="en-IE" w:eastAsia="en-IE"/>
              </w:rPr>
              <w:t xml:space="preserve"> </w:t>
            </w:r>
            <w:r w:rsidR="00EB67FD" w:rsidRPr="00EB67FD">
              <w:rPr>
                <w:rFonts w:ascii="Times New Roman" w:eastAsia="Times New Roman" w:hAnsi="Times New Roman"/>
                <w:kern w:val="0"/>
                <w:sz w:val="24"/>
                <w:szCs w:val="24"/>
                <w:lang w:val="en-IE" w:eastAsia="en-IE"/>
              </w:rPr>
              <w:t xml:space="preserve">access roughly </w:t>
            </w:r>
            <w:r w:rsidR="003615D7">
              <w:rPr>
                <w:rFonts w:ascii="Times New Roman" w:eastAsia="Times New Roman" w:hAnsi="Times New Roman"/>
                <w:kern w:val="0"/>
                <w:sz w:val="24"/>
                <w:szCs w:val="24"/>
                <w:lang w:val="en-IE" w:eastAsia="en-IE"/>
              </w:rPr>
              <w:t xml:space="preserve">EUR </w:t>
            </w:r>
            <w:r w:rsidR="00EB67FD" w:rsidRPr="00EB67FD">
              <w:rPr>
                <w:rFonts w:ascii="Times New Roman" w:eastAsia="Times New Roman" w:hAnsi="Times New Roman"/>
                <w:kern w:val="0"/>
                <w:sz w:val="24"/>
                <w:szCs w:val="24"/>
                <w:lang w:val="en-IE" w:eastAsia="en-IE"/>
              </w:rPr>
              <w:t xml:space="preserve">45 billion of their </w:t>
            </w:r>
            <w:r w:rsidR="00EB67FD" w:rsidRPr="00EB67FD">
              <w:rPr>
                <w:rFonts w:ascii="Times New Roman" w:eastAsia="Times New Roman" w:hAnsi="Times New Roman"/>
                <w:b/>
                <w:bCs/>
                <w:kern w:val="0"/>
                <w:sz w:val="24"/>
                <w:szCs w:val="24"/>
                <w:lang w:val="en-IE" w:eastAsia="en-IE"/>
              </w:rPr>
              <w:t>flexibility amount</w:t>
            </w:r>
            <w:r w:rsidR="00EB67FD" w:rsidRPr="00EB67FD">
              <w:rPr>
                <w:rFonts w:ascii="Times New Roman" w:eastAsia="Times New Roman" w:hAnsi="Times New Roman"/>
                <w:kern w:val="0"/>
                <w:sz w:val="24"/>
                <w:szCs w:val="24"/>
                <w:lang w:val="en-IE" w:eastAsia="en-IE"/>
              </w:rPr>
              <w:t xml:space="preserve"> as early as 2028,</w:t>
            </w:r>
            <w:r w:rsidR="002214DC">
              <w:rPr>
                <w:rFonts w:ascii="Times New Roman" w:eastAsia="Times New Roman" w:hAnsi="Times New Roman"/>
                <w:kern w:val="0"/>
                <w:sz w:val="24"/>
                <w:szCs w:val="24"/>
                <w:lang w:val="en-IE" w:eastAsia="en-IE"/>
              </w:rPr>
              <w:t xml:space="preserve"> to support farmers and rural communities</w:t>
            </w:r>
            <w:r w:rsidR="00EB67FD" w:rsidRPr="00EB67FD">
              <w:rPr>
                <w:rFonts w:ascii="Times New Roman" w:eastAsia="Times New Roman" w:hAnsi="Times New Roman"/>
                <w:kern w:val="0"/>
                <w:sz w:val="24"/>
                <w:szCs w:val="24"/>
                <w:lang w:val="en-IE" w:eastAsia="en-IE"/>
              </w:rPr>
              <w:t>.</w:t>
            </w:r>
          </w:p>
          <w:p w14:paraId="683F7DB4" w14:textId="4E3FEDD9" w:rsidR="00EB67FD" w:rsidRPr="00EB67FD" w:rsidRDefault="00EB67FD" w:rsidP="00EB407D">
            <w:pPr>
              <w:pStyle w:val="ListParagraph"/>
              <w:widowControl w:val="0"/>
              <w:spacing w:before="120" w:after="120" w:line="276" w:lineRule="auto"/>
              <w:ind w:left="0"/>
              <w:contextualSpacing w:val="0"/>
              <w:jc w:val="both"/>
              <w:rPr>
                <w:rFonts w:ascii="Times New Roman" w:eastAsia="Times New Roman" w:hAnsi="Times New Roman"/>
                <w:kern w:val="0"/>
                <w:sz w:val="24"/>
                <w:szCs w:val="24"/>
                <w:lang w:val="en-IE" w:eastAsia="en-IE"/>
              </w:rPr>
            </w:pPr>
            <w:r w:rsidRPr="00EB67FD">
              <w:rPr>
                <w:rFonts w:ascii="Times New Roman" w:eastAsia="Times New Roman" w:hAnsi="Times New Roman"/>
                <w:kern w:val="0"/>
                <w:sz w:val="24"/>
                <w:szCs w:val="24"/>
                <w:lang w:val="en-IE" w:eastAsia="en-IE"/>
              </w:rPr>
              <w:t>More importantly, this is</w:t>
            </w:r>
            <w:r w:rsidR="00C77FC5">
              <w:rPr>
                <w:rFonts w:ascii="Times New Roman" w:eastAsia="Times New Roman" w:hAnsi="Times New Roman"/>
                <w:kern w:val="0"/>
                <w:sz w:val="24"/>
                <w:szCs w:val="24"/>
                <w:lang w:val="en-IE" w:eastAsia="en-IE"/>
              </w:rPr>
              <w:t xml:space="preserve"> </w:t>
            </w:r>
            <w:r w:rsidRPr="00EB67FD">
              <w:rPr>
                <w:rFonts w:ascii="Times New Roman" w:eastAsia="Times New Roman" w:hAnsi="Times New Roman"/>
                <w:kern w:val="0"/>
                <w:sz w:val="24"/>
                <w:szCs w:val="24"/>
                <w:lang w:val="en-IE" w:eastAsia="en-IE"/>
              </w:rPr>
              <w:t>n</w:t>
            </w:r>
            <w:r w:rsidR="00C77FC5">
              <w:rPr>
                <w:rFonts w:ascii="Times New Roman" w:eastAsia="Times New Roman" w:hAnsi="Times New Roman"/>
                <w:kern w:val="0"/>
                <w:sz w:val="24"/>
                <w:szCs w:val="24"/>
                <w:lang w:val="en-IE" w:eastAsia="en-IE"/>
              </w:rPr>
              <w:t>o</w:t>
            </w:r>
            <w:r w:rsidRPr="00EB67FD">
              <w:rPr>
                <w:rFonts w:ascii="Times New Roman" w:eastAsia="Times New Roman" w:hAnsi="Times New Roman"/>
                <w:kern w:val="0"/>
                <w:sz w:val="24"/>
                <w:szCs w:val="24"/>
                <w:lang w:val="en-IE" w:eastAsia="en-IE"/>
              </w:rPr>
              <w:t>t just about the level of resources, it</w:t>
            </w:r>
            <w:r w:rsidR="00C77FC5">
              <w:rPr>
                <w:rFonts w:ascii="Times New Roman" w:eastAsia="Times New Roman" w:hAnsi="Times New Roman"/>
                <w:kern w:val="0"/>
                <w:sz w:val="24"/>
                <w:szCs w:val="24"/>
                <w:lang w:val="en-IE" w:eastAsia="en-IE"/>
              </w:rPr>
              <w:t xml:space="preserve"> i</w:t>
            </w:r>
            <w:r w:rsidRPr="00EB67FD">
              <w:rPr>
                <w:rFonts w:ascii="Times New Roman" w:eastAsia="Times New Roman" w:hAnsi="Times New Roman"/>
                <w:kern w:val="0"/>
                <w:sz w:val="24"/>
                <w:szCs w:val="24"/>
                <w:lang w:val="en-IE" w:eastAsia="en-IE"/>
              </w:rPr>
              <w:t xml:space="preserve">s also about </w:t>
            </w:r>
            <w:r w:rsidRPr="00EB67FD">
              <w:rPr>
                <w:rFonts w:ascii="Times New Roman" w:eastAsia="Times New Roman" w:hAnsi="Times New Roman"/>
                <w:b/>
                <w:bCs/>
                <w:kern w:val="0"/>
                <w:sz w:val="24"/>
                <w:szCs w:val="24"/>
                <w:lang w:val="en-IE" w:eastAsia="en-IE"/>
              </w:rPr>
              <w:t>smarter spending</w:t>
            </w:r>
            <w:r w:rsidRPr="00EB67FD">
              <w:rPr>
                <w:rFonts w:ascii="Times New Roman" w:eastAsia="Times New Roman" w:hAnsi="Times New Roman"/>
                <w:kern w:val="0"/>
                <w:sz w:val="24"/>
                <w:szCs w:val="24"/>
                <w:lang w:val="en-IE" w:eastAsia="en-IE"/>
              </w:rPr>
              <w:t xml:space="preserve">. By leveraging </w:t>
            </w:r>
            <w:r w:rsidRPr="00EB67FD">
              <w:rPr>
                <w:rFonts w:ascii="Times New Roman" w:eastAsia="Times New Roman" w:hAnsi="Times New Roman"/>
                <w:b/>
                <w:bCs/>
                <w:kern w:val="0"/>
                <w:sz w:val="24"/>
                <w:szCs w:val="24"/>
                <w:lang w:val="en-IE" w:eastAsia="en-IE"/>
              </w:rPr>
              <w:t>synergies</w:t>
            </w:r>
            <w:r w:rsidRPr="00EB67FD">
              <w:rPr>
                <w:rFonts w:ascii="Times New Roman" w:eastAsia="Times New Roman" w:hAnsi="Times New Roman"/>
                <w:kern w:val="0"/>
                <w:sz w:val="24"/>
                <w:szCs w:val="24"/>
                <w:lang w:val="en-IE" w:eastAsia="en-IE"/>
              </w:rPr>
              <w:t xml:space="preserve"> under the </w:t>
            </w:r>
            <w:r w:rsidR="00C77FC5">
              <w:rPr>
                <w:rFonts w:ascii="Times New Roman" w:eastAsia="Times New Roman" w:hAnsi="Times New Roman"/>
                <w:kern w:val="0"/>
                <w:sz w:val="24"/>
                <w:szCs w:val="24"/>
                <w:lang w:val="en-IE" w:eastAsia="en-IE"/>
              </w:rPr>
              <w:t>NRP</w:t>
            </w:r>
            <w:r w:rsidRPr="00EB67FD">
              <w:rPr>
                <w:rFonts w:ascii="Times New Roman" w:eastAsia="Times New Roman" w:hAnsi="Times New Roman"/>
                <w:kern w:val="0"/>
                <w:sz w:val="24"/>
                <w:szCs w:val="24"/>
                <w:lang w:val="en-IE" w:eastAsia="en-IE"/>
              </w:rPr>
              <w:t xml:space="preserve"> Plans, we can link agriculture spending with other vital areas for investments like water management, renewable energy, and climate action.</w:t>
            </w:r>
          </w:p>
          <w:p w14:paraId="66C64DD6" w14:textId="77777777" w:rsidR="00EB67FD" w:rsidRPr="00EB67FD" w:rsidRDefault="00EB67FD" w:rsidP="00EB407D">
            <w:pPr>
              <w:pStyle w:val="ListParagraph"/>
              <w:widowControl w:val="0"/>
              <w:spacing w:before="120" w:after="120" w:line="276" w:lineRule="auto"/>
              <w:ind w:left="0"/>
              <w:contextualSpacing w:val="0"/>
              <w:jc w:val="both"/>
              <w:rPr>
                <w:rFonts w:ascii="Times New Roman" w:hAnsi="Times New Roman"/>
                <w:sz w:val="24"/>
                <w:szCs w:val="24"/>
                <w:lang w:val="en-IE"/>
              </w:rPr>
            </w:pPr>
            <w:r w:rsidRPr="00EB67FD">
              <w:rPr>
                <w:rFonts w:ascii="Times New Roman" w:hAnsi="Times New Roman"/>
                <w:sz w:val="24"/>
                <w:szCs w:val="24"/>
              </w:rPr>
              <w:t xml:space="preserve">Agriculture and the rural economy will also be able to harvest benefits and results from projects funded under the </w:t>
            </w:r>
            <w:r w:rsidRPr="00EB67FD">
              <w:rPr>
                <w:rFonts w:ascii="Times New Roman" w:hAnsi="Times New Roman"/>
                <w:b/>
                <w:bCs/>
                <w:sz w:val="24"/>
                <w:szCs w:val="24"/>
              </w:rPr>
              <w:t>European Competitiveness fund and Horizon.</w:t>
            </w:r>
          </w:p>
          <w:p w14:paraId="60A4F6B6" w14:textId="405292C8" w:rsidR="00EB67FD" w:rsidRPr="00EB67FD" w:rsidRDefault="00EB67FD" w:rsidP="00EB407D">
            <w:pPr>
              <w:pStyle w:val="ListParagraph"/>
              <w:widowControl w:val="0"/>
              <w:spacing w:before="120" w:after="120" w:line="276" w:lineRule="auto"/>
              <w:ind w:left="0"/>
              <w:contextualSpacing w:val="0"/>
              <w:jc w:val="both"/>
              <w:rPr>
                <w:rFonts w:ascii="Times New Roman" w:eastAsia="Times New Roman" w:hAnsi="Times New Roman"/>
                <w:kern w:val="0"/>
                <w:sz w:val="24"/>
                <w:szCs w:val="24"/>
                <w:lang w:val="en-IE" w:eastAsia="en-IE"/>
              </w:rPr>
            </w:pPr>
            <w:r w:rsidRPr="00EB67FD">
              <w:rPr>
                <w:rFonts w:ascii="Times New Roman" w:eastAsia="Times New Roman" w:hAnsi="Times New Roman"/>
                <w:kern w:val="0"/>
                <w:sz w:val="24"/>
                <w:szCs w:val="24"/>
                <w:lang w:val="en-IE" w:eastAsia="en-IE"/>
              </w:rPr>
              <w:t xml:space="preserve">The total EU budget allocated to the CAP </w:t>
            </w:r>
            <w:r w:rsidR="006F6E08">
              <w:rPr>
                <w:rFonts w:ascii="Times New Roman" w:eastAsia="Times New Roman" w:hAnsi="Times New Roman"/>
                <w:kern w:val="0"/>
                <w:sz w:val="24"/>
                <w:szCs w:val="24"/>
                <w:lang w:val="en-IE" w:eastAsia="en-IE"/>
              </w:rPr>
              <w:t xml:space="preserve">for the period 2028-2034 </w:t>
            </w:r>
            <w:r w:rsidRPr="00EB67FD">
              <w:rPr>
                <w:rFonts w:ascii="Times New Roman" w:eastAsia="Times New Roman" w:hAnsi="Times New Roman"/>
                <w:kern w:val="0"/>
                <w:sz w:val="24"/>
                <w:szCs w:val="24"/>
                <w:lang w:val="en-IE" w:eastAsia="en-IE"/>
              </w:rPr>
              <w:t>will be known when the NRP plans, based on Member States priorities, are approved.</w:t>
            </w:r>
            <w:r w:rsidR="002214DC" w:rsidRPr="00EB67FD">
              <w:rPr>
                <w:rFonts w:ascii="Times New Roman" w:eastAsia="Times New Roman" w:hAnsi="Times New Roman"/>
                <w:kern w:val="0"/>
                <w:sz w:val="24"/>
                <w:szCs w:val="24"/>
                <w:lang w:val="en-IE" w:eastAsia="en-IE"/>
              </w:rPr>
              <w:t xml:space="preserve"> However, </w:t>
            </w:r>
            <w:proofErr w:type="gramStart"/>
            <w:r w:rsidR="002214DC" w:rsidRPr="00EB67FD">
              <w:rPr>
                <w:rFonts w:ascii="Times New Roman" w:eastAsia="Times New Roman" w:hAnsi="Times New Roman"/>
                <w:kern w:val="0"/>
                <w:sz w:val="24"/>
                <w:szCs w:val="24"/>
                <w:lang w:val="en-IE" w:eastAsia="en-IE"/>
              </w:rPr>
              <w:t>taking into account</w:t>
            </w:r>
            <w:proofErr w:type="gramEnd"/>
            <w:r w:rsidR="002214DC" w:rsidRPr="00EB67FD">
              <w:rPr>
                <w:rFonts w:ascii="Times New Roman" w:eastAsia="Times New Roman" w:hAnsi="Times New Roman"/>
                <w:kern w:val="0"/>
                <w:sz w:val="24"/>
                <w:szCs w:val="24"/>
                <w:lang w:val="en-IE" w:eastAsia="en-IE"/>
              </w:rPr>
              <w:t xml:space="preserve"> all the sources of funds available to finance CAP priorities, Member States will have access to a larger pool of resources in the next MFF than today to finance CAP priorities.</w:t>
            </w:r>
          </w:p>
          <w:p w14:paraId="33999A81" w14:textId="51EC9F78" w:rsidR="00EB67FD" w:rsidRPr="00EB407D" w:rsidRDefault="00115EBC" w:rsidP="00EB407D">
            <w:pPr>
              <w:widowControl w:val="0"/>
              <w:numPr>
                <w:ilvl w:val="0"/>
                <w:numId w:val="2"/>
              </w:numPr>
              <w:spacing w:before="120" w:after="120"/>
              <w:jc w:val="both"/>
              <w:rPr>
                <w:rFonts w:ascii="Times New Roman" w:hAnsi="Times New Roman"/>
                <w:b/>
                <w:bCs/>
                <w:sz w:val="24"/>
                <w:szCs w:val="24"/>
                <w:u w:val="single"/>
                <w:lang w:val="en-IE"/>
              </w:rPr>
            </w:pPr>
            <w:r w:rsidRPr="00EB407D">
              <w:rPr>
                <w:rFonts w:ascii="Times New Roman" w:hAnsi="Times New Roman"/>
                <w:b/>
                <w:bCs/>
                <w:sz w:val="24"/>
                <w:szCs w:val="24"/>
                <w:u w:val="single"/>
                <w:lang w:val="en-IE"/>
              </w:rPr>
              <w:t>A</w:t>
            </w:r>
            <w:r w:rsidR="00FB5877" w:rsidRPr="00EB407D">
              <w:rPr>
                <w:rFonts w:ascii="Times New Roman" w:hAnsi="Times New Roman"/>
                <w:b/>
                <w:bCs/>
                <w:sz w:val="24"/>
                <w:szCs w:val="24"/>
                <w:u w:val="single"/>
                <w:lang w:val="en-IE"/>
              </w:rPr>
              <w:t>bolishment of the second pillar of the CAP</w:t>
            </w:r>
          </w:p>
          <w:p w14:paraId="26C92068" w14:textId="2B1EDA66" w:rsidR="00EB67FD" w:rsidRPr="00EB67FD" w:rsidRDefault="00106EB2" w:rsidP="00EB407D">
            <w:pPr>
              <w:pStyle w:val="ListParagraph"/>
              <w:widowControl w:val="0"/>
              <w:spacing w:before="120" w:after="120" w:line="276" w:lineRule="auto"/>
              <w:ind w:left="0"/>
              <w:contextualSpacing w:val="0"/>
              <w:jc w:val="both"/>
              <w:rPr>
                <w:rFonts w:ascii="Times New Roman" w:eastAsia="Times New Roman" w:hAnsi="Times New Roman"/>
                <w:kern w:val="0"/>
                <w:sz w:val="24"/>
                <w:szCs w:val="24"/>
                <w:lang w:val="en-IE" w:eastAsia="en-IE"/>
              </w:rPr>
            </w:pPr>
            <w:r>
              <w:rPr>
                <w:rFonts w:ascii="Times New Roman" w:eastAsia="Times New Roman" w:hAnsi="Times New Roman"/>
                <w:kern w:val="0"/>
                <w:sz w:val="24"/>
                <w:szCs w:val="24"/>
                <w:lang w:val="en-IE" w:eastAsia="en-IE"/>
              </w:rPr>
              <w:t>The EESC considers that</w:t>
            </w:r>
            <w:r w:rsidR="00FB5877" w:rsidRPr="00FB5877">
              <w:rPr>
                <w:rFonts w:ascii="Times New Roman" w:eastAsia="Times New Roman" w:hAnsi="Times New Roman"/>
                <w:kern w:val="0"/>
                <w:sz w:val="24"/>
                <w:szCs w:val="24"/>
                <w:lang w:val="en-IE" w:eastAsia="en-IE"/>
              </w:rPr>
              <w:t xml:space="preserve"> the proposal of a </w:t>
            </w:r>
            <w:r w:rsidR="00EB67FD" w:rsidRPr="00FB5877">
              <w:rPr>
                <w:rFonts w:ascii="Times New Roman" w:eastAsia="Times New Roman" w:hAnsi="Times New Roman"/>
                <w:kern w:val="0"/>
                <w:sz w:val="24"/>
                <w:szCs w:val="24"/>
                <w:lang w:val="en-IE" w:eastAsia="en-IE"/>
              </w:rPr>
              <w:t xml:space="preserve">single fund </w:t>
            </w:r>
            <w:r w:rsidR="00FB5877">
              <w:rPr>
                <w:rFonts w:ascii="Times New Roman" w:eastAsia="Times New Roman" w:hAnsi="Times New Roman"/>
                <w:kern w:val="0"/>
                <w:sz w:val="24"/>
                <w:szCs w:val="24"/>
                <w:lang w:val="en-IE" w:eastAsia="en-IE"/>
              </w:rPr>
              <w:t>implies</w:t>
            </w:r>
            <w:r w:rsidR="00FB5877" w:rsidRPr="00FB5877">
              <w:rPr>
                <w:rFonts w:ascii="Times New Roman" w:eastAsia="Times New Roman" w:hAnsi="Times New Roman"/>
                <w:kern w:val="0"/>
                <w:sz w:val="24"/>
                <w:szCs w:val="24"/>
                <w:lang w:val="en-IE" w:eastAsia="en-IE"/>
              </w:rPr>
              <w:t xml:space="preserve"> the </w:t>
            </w:r>
            <w:r w:rsidR="00EB67FD" w:rsidRPr="00FB5877">
              <w:rPr>
                <w:rFonts w:ascii="Times New Roman" w:eastAsia="Times New Roman" w:hAnsi="Times New Roman"/>
                <w:kern w:val="0"/>
                <w:sz w:val="24"/>
                <w:szCs w:val="24"/>
                <w:lang w:val="en-IE" w:eastAsia="en-IE"/>
              </w:rPr>
              <w:t xml:space="preserve">loss of the </w:t>
            </w:r>
            <w:r w:rsidR="00FB5877">
              <w:rPr>
                <w:rFonts w:ascii="Times New Roman" w:eastAsia="Times New Roman" w:hAnsi="Times New Roman"/>
                <w:kern w:val="0"/>
                <w:sz w:val="24"/>
                <w:szCs w:val="24"/>
                <w:lang w:val="en-IE" w:eastAsia="en-IE"/>
              </w:rPr>
              <w:t xml:space="preserve">CAP’s </w:t>
            </w:r>
            <w:r w:rsidR="00EB67FD" w:rsidRPr="00FB5877">
              <w:rPr>
                <w:rFonts w:ascii="Times New Roman" w:eastAsia="Times New Roman" w:hAnsi="Times New Roman"/>
                <w:kern w:val="0"/>
                <w:sz w:val="24"/>
                <w:szCs w:val="24"/>
                <w:lang w:val="en-IE" w:eastAsia="en-IE"/>
              </w:rPr>
              <w:t>second pillar</w:t>
            </w:r>
            <w:r w:rsidR="00FB5877" w:rsidRPr="00FB5877">
              <w:rPr>
                <w:rFonts w:ascii="Times New Roman" w:eastAsia="Times New Roman" w:hAnsi="Times New Roman"/>
                <w:kern w:val="0"/>
                <w:sz w:val="24"/>
                <w:szCs w:val="24"/>
                <w:lang w:val="en-IE" w:eastAsia="en-IE"/>
              </w:rPr>
              <w:t xml:space="preserve">. </w:t>
            </w:r>
            <w:r>
              <w:rPr>
                <w:rFonts w:ascii="Times New Roman" w:eastAsia="Times New Roman" w:hAnsi="Times New Roman"/>
                <w:kern w:val="0"/>
                <w:sz w:val="24"/>
                <w:szCs w:val="24"/>
                <w:lang w:val="en-IE" w:eastAsia="en-IE"/>
              </w:rPr>
              <w:t>T</w:t>
            </w:r>
            <w:r w:rsidR="00FB5877">
              <w:rPr>
                <w:rFonts w:ascii="Times New Roman" w:eastAsia="Times New Roman" w:hAnsi="Times New Roman"/>
                <w:kern w:val="0"/>
                <w:sz w:val="24"/>
                <w:szCs w:val="24"/>
                <w:lang w:val="en-IE" w:eastAsia="en-IE"/>
              </w:rPr>
              <w:t xml:space="preserve">he Commission </w:t>
            </w:r>
            <w:r w:rsidR="00EB67FD" w:rsidRPr="00FB5877">
              <w:rPr>
                <w:rFonts w:ascii="Times New Roman" w:eastAsia="Times New Roman" w:hAnsi="Times New Roman"/>
                <w:kern w:val="0"/>
                <w:sz w:val="24"/>
                <w:szCs w:val="24"/>
                <w:lang w:val="en-IE" w:eastAsia="en-IE"/>
              </w:rPr>
              <w:t>underline</w:t>
            </w:r>
            <w:r w:rsidR="00FB5877">
              <w:rPr>
                <w:rFonts w:ascii="Times New Roman" w:eastAsia="Times New Roman" w:hAnsi="Times New Roman"/>
                <w:kern w:val="0"/>
                <w:sz w:val="24"/>
                <w:szCs w:val="24"/>
                <w:lang w:val="en-IE" w:eastAsia="en-IE"/>
              </w:rPr>
              <w:t>s</w:t>
            </w:r>
            <w:r w:rsidR="00EB67FD" w:rsidRPr="00FB5877">
              <w:rPr>
                <w:rFonts w:ascii="Times New Roman" w:eastAsia="Times New Roman" w:hAnsi="Times New Roman"/>
                <w:kern w:val="0"/>
                <w:sz w:val="24"/>
                <w:szCs w:val="24"/>
                <w:lang w:val="en-IE" w:eastAsia="en-IE"/>
              </w:rPr>
              <w:t xml:space="preserve"> the need to modernise the way </w:t>
            </w:r>
            <w:r w:rsidR="00C77FC5">
              <w:rPr>
                <w:rFonts w:ascii="Times New Roman" w:eastAsia="Times New Roman" w:hAnsi="Times New Roman"/>
                <w:kern w:val="0"/>
                <w:sz w:val="24"/>
                <w:szCs w:val="24"/>
                <w:lang w:val="en-IE" w:eastAsia="en-IE"/>
              </w:rPr>
              <w:t>the EU</w:t>
            </w:r>
            <w:r w:rsidR="00C77FC5" w:rsidRPr="00FB5877">
              <w:rPr>
                <w:rFonts w:ascii="Times New Roman" w:eastAsia="Times New Roman" w:hAnsi="Times New Roman"/>
                <w:kern w:val="0"/>
                <w:sz w:val="24"/>
                <w:szCs w:val="24"/>
                <w:lang w:val="en-IE" w:eastAsia="en-IE"/>
              </w:rPr>
              <w:t xml:space="preserve"> </w:t>
            </w:r>
            <w:r w:rsidR="00EB67FD" w:rsidRPr="00FB5877">
              <w:rPr>
                <w:rFonts w:ascii="Times New Roman" w:eastAsia="Times New Roman" w:hAnsi="Times New Roman"/>
                <w:kern w:val="0"/>
                <w:sz w:val="24"/>
                <w:szCs w:val="24"/>
                <w:lang w:val="en-IE" w:eastAsia="en-IE"/>
              </w:rPr>
              <w:t>manage</w:t>
            </w:r>
            <w:r w:rsidR="00C77FC5">
              <w:rPr>
                <w:rFonts w:ascii="Times New Roman" w:eastAsia="Times New Roman" w:hAnsi="Times New Roman"/>
                <w:kern w:val="0"/>
                <w:sz w:val="24"/>
                <w:szCs w:val="24"/>
                <w:lang w:val="en-IE" w:eastAsia="en-IE"/>
              </w:rPr>
              <w:t>s</w:t>
            </w:r>
            <w:r w:rsidR="00EB67FD" w:rsidRPr="00FB5877">
              <w:rPr>
                <w:rFonts w:ascii="Times New Roman" w:eastAsia="Times New Roman" w:hAnsi="Times New Roman"/>
                <w:kern w:val="0"/>
                <w:sz w:val="24"/>
                <w:szCs w:val="24"/>
                <w:lang w:val="en-IE" w:eastAsia="en-IE"/>
              </w:rPr>
              <w:t xml:space="preserve"> </w:t>
            </w:r>
            <w:r w:rsidR="00C77FC5">
              <w:rPr>
                <w:rFonts w:ascii="Times New Roman" w:eastAsia="Times New Roman" w:hAnsi="Times New Roman"/>
                <w:kern w:val="0"/>
                <w:sz w:val="24"/>
                <w:szCs w:val="24"/>
                <w:lang w:val="en-IE" w:eastAsia="en-IE"/>
              </w:rPr>
              <w:t>its</w:t>
            </w:r>
            <w:r w:rsidR="00EB67FD" w:rsidRPr="00FB5877">
              <w:rPr>
                <w:rFonts w:ascii="Times New Roman" w:eastAsia="Times New Roman" w:hAnsi="Times New Roman"/>
                <w:kern w:val="0"/>
                <w:sz w:val="24"/>
                <w:szCs w:val="24"/>
                <w:lang w:val="en-IE" w:eastAsia="en-IE"/>
              </w:rPr>
              <w:t xml:space="preserve"> budget, includin</w:t>
            </w:r>
            <w:r w:rsidR="00EB67FD" w:rsidRPr="00EB67FD">
              <w:rPr>
                <w:rFonts w:ascii="Times New Roman" w:eastAsia="Times New Roman" w:hAnsi="Times New Roman"/>
                <w:kern w:val="0"/>
                <w:sz w:val="24"/>
                <w:szCs w:val="24"/>
                <w:lang w:val="en-IE" w:eastAsia="en-IE"/>
              </w:rPr>
              <w:t>g through synergies, and reduce the burden for both beneficiaries and administrations.</w:t>
            </w:r>
          </w:p>
          <w:p w14:paraId="6CAD102C" w14:textId="7E38F76D" w:rsidR="00EB67FD" w:rsidRPr="00EB67FD" w:rsidRDefault="00FB5877" w:rsidP="00EB407D">
            <w:pPr>
              <w:pStyle w:val="ListParagraph"/>
              <w:widowControl w:val="0"/>
              <w:spacing w:before="120" w:after="120" w:line="276" w:lineRule="auto"/>
              <w:ind w:left="0"/>
              <w:contextualSpacing w:val="0"/>
              <w:jc w:val="both"/>
              <w:rPr>
                <w:rFonts w:ascii="Times New Roman" w:eastAsia="Times New Roman" w:hAnsi="Times New Roman"/>
                <w:kern w:val="0"/>
                <w:sz w:val="24"/>
                <w:szCs w:val="24"/>
                <w:lang w:val="en-IE" w:eastAsia="en-IE"/>
              </w:rPr>
            </w:pPr>
            <w:r>
              <w:rPr>
                <w:rFonts w:ascii="Times New Roman" w:eastAsia="Times New Roman" w:hAnsi="Times New Roman"/>
                <w:kern w:val="0"/>
                <w:sz w:val="24"/>
                <w:szCs w:val="24"/>
                <w:lang w:val="en-IE" w:eastAsia="en-IE"/>
              </w:rPr>
              <w:t xml:space="preserve">While modernising the overall management, the </w:t>
            </w:r>
            <w:r w:rsidR="00EB67FD" w:rsidRPr="00EB67FD">
              <w:rPr>
                <w:rFonts w:ascii="Times New Roman" w:eastAsia="Times New Roman" w:hAnsi="Times New Roman"/>
                <w:kern w:val="0"/>
                <w:sz w:val="24"/>
                <w:szCs w:val="24"/>
                <w:lang w:val="en-IE" w:eastAsia="en-IE"/>
              </w:rPr>
              <w:t xml:space="preserve">CAP </w:t>
            </w:r>
            <w:r w:rsidR="00EB67FD" w:rsidRPr="00115EBC">
              <w:rPr>
                <w:rFonts w:ascii="Times New Roman" w:eastAsia="Times New Roman" w:hAnsi="Times New Roman"/>
                <w:kern w:val="0"/>
                <w:sz w:val="24"/>
                <w:szCs w:val="24"/>
                <w:lang w:val="en-IE" w:eastAsia="en-IE"/>
              </w:rPr>
              <w:t>proposal</w:t>
            </w:r>
            <w:r w:rsidR="00115EBC" w:rsidRPr="007D6D7C">
              <w:rPr>
                <w:rFonts w:ascii="Times New Roman" w:eastAsia="Times New Roman" w:hAnsi="Times New Roman"/>
                <w:sz w:val="24"/>
                <w:szCs w:val="24"/>
                <w:lang w:val="en-IE" w:eastAsia="en-IE"/>
              </w:rPr>
              <w:t xml:space="preserve"> </w:t>
            </w:r>
            <w:r w:rsidR="00EB67FD" w:rsidRPr="007D6D7C">
              <w:rPr>
                <w:rFonts w:ascii="Times New Roman" w:eastAsia="Times New Roman" w:hAnsi="Times New Roman"/>
                <w:sz w:val="24"/>
                <w:szCs w:val="24"/>
                <w:lang w:val="en-IE" w:eastAsia="en-IE"/>
              </w:rPr>
              <w:t>preserves</w:t>
            </w:r>
            <w:r w:rsidR="00EB67FD" w:rsidRPr="00EB67FD">
              <w:rPr>
                <w:rFonts w:ascii="Times New Roman" w:eastAsia="Times New Roman" w:hAnsi="Times New Roman"/>
                <w:kern w:val="0"/>
                <w:sz w:val="24"/>
                <w:szCs w:val="24"/>
                <w:lang w:val="en-IE" w:eastAsia="en-IE"/>
              </w:rPr>
              <w:t xml:space="preserve"> the toolbox from the current first and second </w:t>
            </w:r>
            <w:r w:rsidR="00D20F41" w:rsidRPr="00EB67FD">
              <w:rPr>
                <w:rFonts w:ascii="Times New Roman" w:eastAsia="Times New Roman" w:hAnsi="Times New Roman"/>
                <w:kern w:val="0"/>
                <w:sz w:val="24"/>
                <w:szCs w:val="24"/>
                <w:lang w:val="en-IE" w:eastAsia="en-IE"/>
              </w:rPr>
              <w:t>pilla</w:t>
            </w:r>
            <w:r w:rsidR="00D20F41">
              <w:rPr>
                <w:rFonts w:ascii="Times New Roman" w:eastAsia="Times New Roman" w:hAnsi="Times New Roman"/>
                <w:kern w:val="0"/>
                <w:sz w:val="24"/>
                <w:szCs w:val="24"/>
                <w:lang w:val="en-IE" w:eastAsia="en-IE"/>
              </w:rPr>
              <w:t>rs</w:t>
            </w:r>
            <w:r w:rsidR="00EB67FD" w:rsidRPr="00EB67FD">
              <w:rPr>
                <w:rFonts w:ascii="Times New Roman" w:eastAsia="Times New Roman" w:hAnsi="Times New Roman"/>
                <w:kern w:val="0"/>
                <w:sz w:val="24"/>
                <w:szCs w:val="24"/>
                <w:lang w:val="en-IE" w:eastAsia="en-IE"/>
              </w:rPr>
              <w:t xml:space="preserve"> that is available to farmers and rural communities. </w:t>
            </w:r>
            <w:r w:rsidR="00115EBC">
              <w:rPr>
                <w:rFonts w:ascii="Times New Roman" w:eastAsia="Times New Roman" w:hAnsi="Times New Roman"/>
                <w:kern w:val="0"/>
                <w:sz w:val="24"/>
                <w:szCs w:val="24"/>
                <w:lang w:val="en-IE" w:eastAsia="en-IE"/>
              </w:rPr>
              <w:t>It also e</w:t>
            </w:r>
            <w:r w:rsidR="00EB67FD" w:rsidRPr="00EB67FD">
              <w:rPr>
                <w:rFonts w:ascii="Times New Roman" w:eastAsia="Times New Roman" w:hAnsi="Times New Roman"/>
                <w:kern w:val="0"/>
                <w:sz w:val="24"/>
                <w:szCs w:val="24"/>
                <w:lang w:val="en-IE" w:eastAsia="en-IE"/>
              </w:rPr>
              <w:t xml:space="preserve">nsures </w:t>
            </w:r>
            <w:r w:rsidR="00115EBC">
              <w:rPr>
                <w:rFonts w:ascii="Times New Roman" w:eastAsia="Times New Roman" w:hAnsi="Times New Roman"/>
                <w:kern w:val="0"/>
                <w:sz w:val="24"/>
                <w:szCs w:val="24"/>
                <w:lang w:val="en-IE" w:eastAsia="en-IE"/>
              </w:rPr>
              <w:t>that a series of</w:t>
            </w:r>
            <w:r w:rsidR="00EB67FD" w:rsidRPr="00EB67FD">
              <w:rPr>
                <w:rFonts w:ascii="Times New Roman" w:eastAsia="Times New Roman" w:hAnsi="Times New Roman"/>
                <w:kern w:val="0"/>
                <w:sz w:val="24"/>
                <w:szCs w:val="24"/>
                <w:lang w:val="en-IE" w:eastAsia="en-IE"/>
              </w:rPr>
              <w:t xml:space="preserve"> measures are </w:t>
            </w:r>
            <w:r w:rsidR="00EB67FD" w:rsidRPr="007D6D7C">
              <w:rPr>
                <w:rFonts w:ascii="Times New Roman" w:eastAsia="Times New Roman" w:hAnsi="Times New Roman"/>
                <w:sz w:val="24"/>
                <w:szCs w:val="24"/>
                <w:lang w:val="en-IE" w:eastAsia="en-IE"/>
              </w:rPr>
              <w:t>mandatory</w:t>
            </w:r>
            <w:r w:rsidR="00EB67FD" w:rsidRPr="0021440A">
              <w:rPr>
                <w:rFonts w:ascii="Times New Roman" w:eastAsia="Times New Roman" w:hAnsi="Times New Roman"/>
                <w:kern w:val="0"/>
                <w:sz w:val="24"/>
                <w:szCs w:val="24"/>
                <w:lang w:val="en-IE" w:eastAsia="en-IE"/>
              </w:rPr>
              <w:t xml:space="preserve"> </w:t>
            </w:r>
            <w:r w:rsidR="00EB67FD" w:rsidRPr="00EB67FD">
              <w:rPr>
                <w:rFonts w:ascii="Times New Roman" w:eastAsia="Times New Roman" w:hAnsi="Times New Roman"/>
                <w:kern w:val="0"/>
                <w:sz w:val="24"/>
                <w:szCs w:val="24"/>
                <w:lang w:val="en-IE" w:eastAsia="en-IE"/>
              </w:rPr>
              <w:t>for Member States to program and offer the option for financial support to potential beneficiaries.</w:t>
            </w:r>
            <w:r w:rsidR="009C1DB2">
              <w:rPr>
                <w:rFonts w:ascii="Times New Roman" w:eastAsia="Times New Roman" w:hAnsi="Times New Roman"/>
                <w:kern w:val="0"/>
                <w:sz w:val="24"/>
                <w:szCs w:val="24"/>
                <w:lang w:val="en-IE" w:eastAsia="en-IE"/>
              </w:rPr>
              <w:t xml:space="preserve"> </w:t>
            </w:r>
            <w:r w:rsidR="00EB67FD" w:rsidRPr="00EB67FD">
              <w:rPr>
                <w:rFonts w:ascii="Times New Roman" w:eastAsia="Times New Roman" w:hAnsi="Times New Roman"/>
                <w:kern w:val="0"/>
                <w:sz w:val="24"/>
                <w:szCs w:val="24"/>
                <w:lang w:val="en-IE" w:eastAsia="en-IE"/>
              </w:rPr>
              <w:t xml:space="preserve">Without losing any rural development measures, the merging of the two pillars will greatly deliver on the reduction of administrative burden both for the administration and for the farmers, which was also an important demand from stakeholders. The proposal also </w:t>
            </w:r>
            <w:r w:rsidR="00106EB2">
              <w:rPr>
                <w:rFonts w:ascii="Times New Roman" w:eastAsia="Times New Roman" w:hAnsi="Times New Roman"/>
                <w:kern w:val="0"/>
                <w:sz w:val="24"/>
                <w:szCs w:val="24"/>
                <w:lang w:val="en-IE" w:eastAsia="en-IE"/>
              </w:rPr>
              <w:t xml:space="preserve">aims at </w:t>
            </w:r>
            <w:r w:rsidR="00EB67FD" w:rsidRPr="00EB67FD">
              <w:rPr>
                <w:rFonts w:ascii="Times New Roman" w:eastAsia="Times New Roman" w:hAnsi="Times New Roman"/>
                <w:kern w:val="0"/>
                <w:sz w:val="24"/>
                <w:szCs w:val="24"/>
                <w:lang w:val="en-IE" w:eastAsia="en-IE"/>
              </w:rPr>
              <w:t>allow</w:t>
            </w:r>
            <w:r w:rsidR="00106EB2">
              <w:rPr>
                <w:rFonts w:ascii="Times New Roman" w:eastAsia="Times New Roman" w:hAnsi="Times New Roman"/>
                <w:kern w:val="0"/>
                <w:sz w:val="24"/>
                <w:szCs w:val="24"/>
                <w:lang w:val="en-IE" w:eastAsia="en-IE"/>
              </w:rPr>
              <w:t>ing</w:t>
            </w:r>
            <w:r w:rsidR="00EB67FD" w:rsidRPr="00EB67FD">
              <w:rPr>
                <w:rFonts w:ascii="Times New Roman" w:eastAsia="Times New Roman" w:hAnsi="Times New Roman"/>
                <w:kern w:val="0"/>
                <w:sz w:val="24"/>
                <w:szCs w:val="24"/>
                <w:lang w:val="en-IE" w:eastAsia="en-IE"/>
              </w:rPr>
              <w:t xml:space="preserve"> Member States to better adapt those tools to the local reality, while farmers </w:t>
            </w:r>
            <w:r w:rsidR="00106EB2">
              <w:rPr>
                <w:rFonts w:ascii="Times New Roman" w:eastAsia="Times New Roman" w:hAnsi="Times New Roman"/>
                <w:kern w:val="0"/>
                <w:sz w:val="24"/>
                <w:szCs w:val="24"/>
                <w:lang w:val="en-IE" w:eastAsia="en-IE"/>
              </w:rPr>
              <w:t>would</w:t>
            </w:r>
            <w:r w:rsidR="00106EB2" w:rsidRPr="00EB67FD">
              <w:rPr>
                <w:rFonts w:ascii="Times New Roman" w:eastAsia="Times New Roman" w:hAnsi="Times New Roman"/>
                <w:kern w:val="0"/>
                <w:sz w:val="24"/>
                <w:szCs w:val="24"/>
                <w:lang w:val="en-IE" w:eastAsia="en-IE"/>
              </w:rPr>
              <w:t xml:space="preserve"> </w:t>
            </w:r>
            <w:r w:rsidR="00EB67FD" w:rsidRPr="00EB67FD">
              <w:rPr>
                <w:rFonts w:ascii="Times New Roman" w:eastAsia="Times New Roman" w:hAnsi="Times New Roman"/>
                <w:kern w:val="0"/>
                <w:sz w:val="24"/>
                <w:szCs w:val="24"/>
                <w:lang w:val="en-IE" w:eastAsia="en-IE"/>
              </w:rPr>
              <w:t>have more flexibility and more effective tools to deliver on environmental and climate challenges.</w:t>
            </w:r>
          </w:p>
          <w:p w14:paraId="46526005" w14:textId="67070D4B" w:rsidR="00EB67FD" w:rsidRPr="00EB67FD" w:rsidRDefault="00EB67FD" w:rsidP="00EB407D">
            <w:pPr>
              <w:pStyle w:val="ListParagraph"/>
              <w:widowControl w:val="0"/>
              <w:spacing w:before="120" w:after="120" w:line="276" w:lineRule="auto"/>
              <w:ind w:left="0"/>
              <w:contextualSpacing w:val="0"/>
              <w:jc w:val="both"/>
              <w:rPr>
                <w:rFonts w:ascii="Times New Roman" w:eastAsia="Times New Roman" w:hAnsi="Times New Roman"/>
                <w:kern w:val="0"/>
                <w:sz w:val="24"/>
                <w:szCs w:val="24"/>
                <w:lang w:val="en-IE" w:eastAsia="en-IE"/>
              </w:rPr>
            </w:pPr>
            <w:r w:rsidRPr="00EB67FD">
              <w:rPr>
                <w:rFonts w:ascii="Times New Roman" w:eastAsia="Times New Roman" w:hAnsi="Times New Roman"/>
                <w:kern w:val="0"/>
                <w:sz w:val="24"/>
                <w:szCs w:val="24"/>
                <w:lang w:val="en-IE" w:eastAsia="en-IE"/>
              </w:rPr>
              <w:t xml:space="preserve">Building on the experience of the last years, the CAP proposal offers </w:t>
            </w:r>
            <w:r w:rsidR="00FB5877" w:rsidRPr="00EB67FD">
              <w:rPr>
                <w:rFonts w:ascii="Times New Roman" w:eastAsia="Times New Roman" w:hAnsi="Times New Roman"/>
                <w:kern w:val="0"/>
                <w:sz w:val="24"/>
                <w:szCs w:val="24"/>
                <w:lang w:val="en-IE" w:eastAsia="en-IE"/>
              </w:rPr>
              <w:t>several</w:t>
            </w:r>
            <w:r w:rsidRPr="00EB67FD">
              <w:rPr>
                <w:rFonts w:ascii="Times New Roman" w:eastAsia="Times New Roman" w:hAnsi="Times New Roman"/>
                <w:kern w:val="0"/>
                <w:sz w:val="24"/>
                <w:szCs w:val="24"/>
                <w:lang w:val="en-IE" w:eastAsia="en-IE"/>
              </w:rPr>
              <w:t xml:space="preserve"> simplified possibilities, such as lump sum payments, simplified costs options or simpler rules, in the interest of Member States and European farmers.</w:t>
            </w:r>
          </w:p>
          <w:p w14:paraId="613A795B" w14:textId="46897F3D" w:rsidR="00EB67FD" w:rsidRPr="00EB67FD" w:rsidRDefault="00FB5877" w:rsidP="00EB407D">
            <w:pPr>
              <w:widowControl w:val="0"/>
              <w:numPr>
                <w:ilvl w:val="0"/>
                <w:numId w:val="2"/>
              </w:numPr>
              <w:spacing w:before="120" w:after="120"/>
              <w:jc w:val="both"/>
              <w:rPr>
                <w:rFonts w:ascii="Times New Roman" w:hAnsi="Times New Roman"/>
                <w:b/>
                <w:bCs/>
                <w:sz w:val="24"/>
                <w:szCs w:val="24"/>
                <w:u w:val="single"/>
                <w:lang w:val="en-IE"/>
              </w:rPr>
            </w:pPr>
            <w:r>
              <w:rPr>
                <w:rFonts w:ascii="Times New Roman" w:hAnsi="Times New Roman"/>
                <w:b/>
                <w:bCs/>
                <w:sz w:val="24"/>
                <w:szCs w:val="24"/>
                <w:u w:val="single"/>
                <w:lang w:val="en-IE"/>
              </w:rPr>
              <w:t>Rena</w:t>
            </w:r>
            <w:r w:rsidR="00EB67FD" w:rsidRPr="00EB67FD">
              <w:rPr>
                <w:rFonts w:ascii="Times New Roman" w:hAnsi="Times New Roman"/>
                <w:b/>
                <w:bCs/>
                <w:sz w:val="24"/>
                <w:szCs w:val="24"/>
                <w:u w:val="single"/>
                <w:lang w:val="en-IE"/>
              </w:rPr>
              <w:t>tionalisation</w:t>
            </w:r>
            <w:r>
              <w:rPr>
                <w:rFonts w:ascii="Times New Roman" w:hAnsi="Times New Roman"/>
                <w:b/>
                <w:bCs/>
                <w:sz w:val="24"/>
                <w:szCs w:val="24"/>
                <w:u w:val="single"/>
                <w:lang w:val="en-IE"/>
              </w:rPr>
              <w:t xml:space="preserve"> of the CAP</w:t>
            </w:r>
          </w:p>
          <w:p w14:paraId="03A39B13" w14:textId="3FCA69C7" w:rsidR="00EB67FD" w:rsidRPr="00EB67FD" w:rsidRDefault="009C1DB2" w:rsidP="00EB407D">
            <w:pPr>
              <w:pStyle w:val="ListParagraph"/>
              <w:widowControl w:val="0"/>
              <w:spacing w:before="120" w:after="120" w:line="276" w:lineRule="auto"/>
              <w:ind w:left="0"/>
              <w:contextualSpacing w:val="0"/>
              <w:jc w:val="both"/>
              <w:rPr>
                <w:rFonts w:ascii="Times New Roman" w:hAnsi="Times New Roman"/>
                <w:sz w:val="24"/>
                <w:szCs w:val="24"/>
                <w:lang w:val="en-IE"/>
              </w:rPr>
            </w:pPr>
            <w:r>
              <w:rPr>
                <w:rFonts w:ascii="Times New Roman" w:hAnsi="Times New Roman"/>
                <w:sz w:val="24"/>
                <w:szCs w:val="24"/>
                <w:lang w:val="en-IE"/>
              </w:rPr>
              <w:lastRenderedPageBreak/>
              <w:t xml:space="preserve">The Commission proposal </w:t>
            </w:r>
            <w:r w:rsidR="00CE18CE">
              <w:rPr>
                <w:rFonts w:ascii="Times New Roman" w:hAnsi="Times New Roman"/>
                <w:sz w:val="24"/>
                <w:szCs w:val="24"/>
                <w:lang w:val="en-IE"/>
              </w:rPr>
              <w:t xml:space="preserve">aims at </w:t>
            </w:r>
            <w:r>
              <w:rPr>
                <w:rFonts w:ascii="Times New Roman" w:hAnsi="Times New Roman"/>
                <w:sz w:val="24"/>
                <w:szCs w:val="24"/>
                <w:lang w:val="en-IE"/>
              </w:rPr>
              <w:t>continu</w:t>
            </w:r>
            <w:r w:rsidR="00CE18CE">
              <w:rPr>
                <w:rFonts w:ascii="Times New Roman" w:hAnsi="Times New Roman"/>
                <w:sz w:val="24"/>
                <w:szCs w:val="24"/>
                <w:lang w:val="en-IE"/>
              </w:rPr>
              <w:t>ing</w:t>
            </w:r>
            <w:r>
              <w:rPr>
                <w:rFonts w:ascii="Times New Roman" w:hAnsi="Times New Roman"/>
                <w:sz w:val="24"/>
                <w:szCs w:val="24"/>
                <w:lang w:val="en-IE"/>
              </w:rPr>
              <w:t xml:space="preserve"> to guarantee a common approach to</w:t>
            </w:r>
            <w:r w:rsidR="00C77FC5">
              <w:rPr>
                <w:rFonts w:ascii="Times New Roman" w:hAnsi="Times New Roman"/>
                <w:sz w:val="24"/>
                <w:szCs w:val="24"/>
                <w:lang w:val="en-IE"/>
              </w:rPr>
              <w:t xml:space="preserve"> the</w:t>
            </w:r>
            <w:r>
              <w:rPr>
                <w:rFonts w:ascii="Times New Roman" w:hAnsi="Times New Roman"/>
                <w:sz w:val="24"/>
                <w:szCs w:val="24"/>
                <w:lang w:val="en-IE"/>
              </w:rPr>
              <w:t xml:space="preserve"> future agricultural policy for the EU through a</w:t>
            </w:r>
            <w:r w:rsidRPr="009C1DB2">
              <w:rPr>
                <w:rFonts w:ascii="Times New Roman" w:hAnsi="Times New Roman"/>
                <w:sz w:val="24"/>
                <w:szCs w:val="24"/>
              </w:rPr>
              <w:t xml:space="preserve"> </w:t>
            </w:r>
            <w:r>
              <w:rPr>
                <w:rFonts w:ascii="Times New Roman" w:hAnsi="Times New Roman"/>
                <w:sz w:val="24"/>
                <w:szCs w:val="24"/>
              </w:rPr>
              <w:t xml:space="preserve">minimum </w:t>
            </w:r>
            <w:r w:rsidRPr="009C1DB2">
              <w:rPr>
                <w:rFonts w:ascii="Times New Roman" w:hAnsi="Times New Roman"/>
                <w:sz w:val="24"/>
                <w:szCs w:val="24"/>
              </w:rPr>
              <w:t xml:space="preserve">ring-fenced budget, </w:t>
            </w:r>
            <w:r>
              <w:rPr>
                <w:rFonts w:ascii="Times New Roman" w:hAnsi="Times New Roman"/>
                <w:sz w:val="24"/>
                <w:szCs w:val="24"/>
              </w:rPr>
              <w:t xml:space="preserve">a set of </w:t>
            </w:r>
            <w:r w:rsidR="00EB67FD" w:rsidRPr="007D6D7C">
              <w:rPr>
                <w:rFonts w:ascii="Times New Roman" w:hAnsi="Times New Roman"/>
                <w:sz w:val="24"/>
                <w:szCs w:val="24"/>
                <w:lang w:val="en-IE"/>
              </w:rPr>
              <w:t>common</w:t>
            </w:r>
            <w:r w:rsidR="00EB67FD" w:rsidRPr="009C1DB2">
              <w:rPr>
                <w:rFonts w:ascii="Times New Roman" w:hAnsi="Times New Roman"/>
                <w:sz w:val="24"/>
                <w:szCs w:val="24"/>
                <w:lang w:val="en-IE"/>
              </w:rPr>
              <w:t xml:space="preserve"> objectives, </w:t>
            </w:r>
            <w:r w:rsidR="00EB67FD" w:rsidRPr="007D6D7C">
              <w:rPr>
                <w:rFonts w:ascii="Times New Roman" w:hAnsi="Times New Roman"/>
                <w:sz w:val="24"/>
                <w:szCs w:val="24"/>
                <w:lang w:val="en-IE"/>
              </w:rPr>
              <w:t>common</w:t>
            </w:r>
            <w:r w:rsidR="00EB67FD" w:rsidRPr="009C1DB2">
              <w:rPr>
                <w:rFonts w:ascii="Times New Roman" w:hAnsi="Times New Roman"/>
                <w:sz w:val="24"/>
                <w:szCs w:val="24"/>
                <w:lang w:val="en-IE"/>
              </w:rPr>
              <w:t xml:space="preserve"> tools, </w:t>
            </w:r>
            <w:r w:rsidR="00EB67FD" w:rsidRPr="007D6D7C">
              <w:rPr>
                <w:rFonts w:ascii="Times New Roman" w:hAnsi="Times New Roman"/>
                <w:sz w:val="24"/>
                <w:szCs w:val="24"/>
                <w:lang w:val="en-IE"/>
              </w:rPr>
              <w:t>common</w:t>
            </w:r>
            <w:r w:rsidR="00EB67FD" w:rsidRPr="009C1DB2">
              <w:rPr>
                <w:rFonts w:ascii="Times New Roman" w:hAnsi="Times New Roman"/>
                <w:sz w:val="24"/>
                <w:szCs w:val="24"/>
                <w:lang w:val="en-IE"/>
              </w:rPr>
              <w:t xml:space="preserve"> set of indicators to assess progress on the ground and </w:t>
            </w:r>
            <w:r w:rsidR="00EB67FD" w:rsidRPr="007D6D7C">
              <w:rPr>
                <w:rFonts w:ascii="Times New Roman" w:hAnsi="Times New Roman"/>
                <w:sz w:val="24"/>
                <w:szCs w:val="24"/>
                <w:lang w:val="en-IE"/>
              </w:rPr>
              <w:t>common</w:t>
            </w:r>
            <w:r w:rsidR="00EB67FD" w:rsidRPr="009C1DB2">
              <w:rPr>
                <w:rFonts w:ascii="Times New Roman" w:hAnsi="Times New Roman"/>
                <w:sz w:val="24"/>
                <w:szCs w:val="24"/>
                <w:lang w:val="en-IE"/>
              </w:rPr>
              <w:t xml:space="preserve"> rules in the single Fund, such as the 43% spending target on environment, ensuring a level playing</w:t>
            </w:r>
            <w:r w:rsidR="00EB67FD" w:rsidRPr="00FB5877">
              <w:rPr>
                <w:rFonts w:ascii="Times New Roman" w:hAnsi="Times New Roman"/>
                <w:sz w:val="24"/>
                <w:szCs w:val="24"/>
                <w:lang w:val="en-IE"/>
              </w:rPr>
              <w:t xml:space="preserve"> field across the European Union.</w:t>
            </w:r>
            <w:r>
              <w:rPr>
                <w:rFonts w:ascii="Times New Roman" w:hAnsi="Times New Roman"/>
                <w:sz w:val="24"/>
                <w:szCs w:val="24"/>
                <w:lang w:val="en-IE"/>
              </w:rPr>
              <w:t xml:space="preserve"> </w:t>
            </w:r>
            <w:r w:rsidR="00EB67FD" w:rsidRPr="00EB67FD">
              <w:rPr>
                <w:rFonts w:ascii="Times New Roman" w:hAnsi="Times New Roman"/>
                <w:sz w:val="24"/>
                <w:szCs w:val="24"/>
                <w:lang w:val="en-IE"/>
              </w:rPr>
              <w:t xml:space="preserve">To support this alignment, the Commission </w:t>
            </w:r>
            <w:r w:rsidR="00CE18CE">
              <w:rPr>
                <w:rFonts w:ascii="Times New Roman" w:hAnsi="Times New Roman"/>
                <w:sz w:val="24"/>
                <w:szCs w:val="24"/>
                <w:lang w:val="en-IE"/>
              </w:rPr>
              <w:t>would, as proposed,</w:t>
            </w:r>
            <w:r w:rsidR="00CE18CE" w:rsidRPr="00EB67FD">
              <w:rPr>
                <w:rFonts w:ascii="Times New Roman" w:hAnsi="Times New Roman"/>
                <w:sz w:val="24"/>
                <w:szCs w:val="24"/>
                <w:lang w:val="en-IE"/>
              </w:rPr>
              <w:t xml:space="preserve"> </w:t>
            </w:r>
            <w:r w:rsidR="00EB67FD" w:rsidRPr="00EB67FD">
              <w:rPr>
                <w:rFonts w:ascii="Times New Roman" w:hAnsi="Times New Roman"/>
                <w:sz w:val="24"/>
                <w:szCs w:val="24"/>
                <w:lang w:val="en-IE"/>
              </w:rPr>
              <w:t xml:space="preserve">also provide </w:t>
            </w:r>
            <w:r w:rsidR="00EB67FD" w:rsidRPr="00EB67FD">
              <w:rPr>
                <w:rFonts w:ascii="Times New Roman" w:hAnsi="Times New Roman"/>
                <w:b/>
                <w:bCs/>
                <w:sz w:val="24"/>
                <w:szCs w:val="24"/>
                <w:lang w:val="en-IE"/>
              </w:rPr>
              <w:t>CAP country recommendations</w:t>
            </w:r>
            <w:r w:rsidR="00EB67FD" w:rsidRPr="00EB67FD">
              <w:rPr>
                <w:rFonts w:ascii="Times New Roman" w:hAnsi="Times New Roman"/>
                <w:sz w:val="24"/>
                <w:szCs w:val="24"/>
                <w:lang w:val="en-IE"/>
              </w:rPr>
              <w:t xml:space="preserve"> </w:t>
            </w:r>
            <w:r>
              <w:rPr>
                <w:rFonts w:ascii="Times New Roman" w:hAnsi="Times New Roman"/>
                <w:sz w:val="24"/>
                <w:szCs w:val="24"/>
                <w:lang w:val="en-IE"/>
              </w:rPr>
              <w:t>supporting the Member States in the preparation of their</w:t>
            </w:r>
            <w:r w:rsidR="00EB67FD" w:rsidRPr="00EB67FD">
              <w:rPr>
                <w:rFonts w:ascii="Times New Roman" w:hAnsi="Times New Roman"/>
                <w:sz w:val="24"/>
                <w:szCs w:val="24"/>
                <w:lang w:val="en-IE"/>
              </w:rPr>
              <w:t xml:space="preserve"> national and regional partnership plans</w:t>
            </w:r>
            <w:r w:rsidR="002214DC">
              <w:rPr>
                <w:rFonts w:ascii="Times New Roman" w:hAnsi="Times New Roman"/>
                <w:sz w:val="24"/>
                <w:szCs w:val="24"/>
                <w:lang w:val="en-IE"/>
              </w:rPr>
              <w:t xml:space="preserve"> </w:t>
            </w:r>
            <w:r w:rsidR="002214DC" w:rsidRPr="19EE84F1">
              <w:rPr>
                <w:rFonts w:ascii="Times New Roman" w:hAnsi="Times New Roman"/>
                <w:sz w:val="24"/>
                <w:szCs w:val="24"/>
                <w:lang w:val="en-IE"/>
              </w:rPr>
              <w:t>that will ensure that Member States’ plans support common EU objectives while being tailored to national/regional needs.</w:t>
            </w:r>
          </w:p>
          <w:p w14:paraId="3680DB61" w14:textId="6655DC03" w:rsidR="00EB67FD" w:rsidRPr="00EB67FD" w:rsidRDefault="00EB67FD" w:rsidP="00EB407D">
            <w:pPr>
              <w:pStyle w:val="ListParagraph"/>
              <w:widowControl w:val="0"/>
              <w:spacing w:before="120" w:after="120" w:line="276" w:lineRule="auto"/>
              <w:ind w:left="0"/>
              <w:contextualSpacing w:val="0"/>
              <w:jc w:val="both"/>
              <w:rPr>
                <w:rFonts w:ascii="Times New Roman" w:hAnsi="Times New Roman"/>
                <w:b/>
                <w:bCs/>
                <w:sz w:val="24"/>
                <w:szCs w:val="24"/>
                <w:lang w:val="en-IE"/>
              </w:rPr>
            </w:pPr>
            <w:r w:rsidRPr="00EB67FD">
              <w:rPr>
                <w:rFonts w:ascii="Times New Roman" w:hAnsi="Times New Roman"/>
                <w:b/>
                <w:bCs/>
                <w:sz w:val="24"/>
                <w:szCs w:val="24"/>
                <w:lang w:val="en-IE"/>
              </w:rPr>
              <w:t>Conclusion</w:t>
            </w:r>
          </w:p>
          <w:p w14:paraId="41ADDDA4" w14:textId="768BADDE" w:rsidR="004F6117" w:rsidRPr="00FB5877" w:rsidRDefault="00FB5877" w:rsidP="00EB407D">
            <w:pPr>
              <w:pStyle w:val="ListParagraph"/>
              <w:widowControl w:val="0"/>
              <w:spacing w:before="120" w:after="120" w:line="276" w:lineRule="auto"/>
              <w:ind w:left="0"/>
              <w:contextualSpacing w:val="0"/>
              <w:jc w:val="both"/>
              <w:rPr>
                <w:rFonts w:ascii="Times New Roman" w:hAnsi="Times New Roman"/>
                <w:sz w:val="24"/>
                <w:szCs w:val="24"/>
                <w:lang w:val="en-IE"/>
              </w:rPr>
            </w:pPr>
            <w:r>
              <w:rPr>
                <w:rFonts w:ascii="Times New Roman" w:hAnsi="Times New Roman"/>
                <w:sz w:val="24"/>
                <w:szCs w:val="24"/>
                <w:lang w:val="en-IE"/>
              </w:rPr>
              <w:t>The Commission l</w:t>
            </w:r>
            <w:r w:rsidR="00EB67FD" w:rsidRPr="00EB67FD">
              <w:rPr>
                <w:rFonts w:ascii="Times New Roman" w:hAnsi="Times New Roman"/>
                <w:sz w:val="24"/>
                <w:szCs w:val="24"/>
                <w:lang w:val="en-IE"/>
              </w:rPr>
              <w:t>ook</w:t>
            </w:r>
            <w:r>
              <w:rPr>
                <w:rFonts w:ascii="Times New Roman" w:hAnsi="Times New Roman"/>
                <w:sz w:val="24"/>
                <w:szCs w:val="24"/>
                <w:lang w:val="en-IE"/>
              </w:rPr>
              <w:t>s</w:t>
            </w:r>
            <w:r w:rsidR="00EB67FD" w:rsidRPr="00EB67FD">
              <w:rPr>
                <w:rFonts w:ascii="Times New Roman" w:hAnsi="Times New Roman"/>
                <w:sz w:val="24"/>
                <w:szCs w:val="24"/>
                <w:lang w:val="en-IE"/>
              </w:rPr>
              <w:t xml:space="preserve"> forward to continuing the dialogue with th</w:t>
            </w:r>
            <w:r>
              <w:rPr>
                <w:rFonts w:ascii="Times New Roman" w:hAnsi="Times New Roman"/>
                <w:sz w:val="24"/>
                <w:szCs w:val="24"/>
                <w:lang w:val="en-IE"/>
              </w:rPr>
              <w:t>e EESC and stakeholders</w:t>
            </w:r>
            <w:r w:rsidR="00EB67FD" w:rsidRPr="00EB67FD">
              <w:rPr>
                <w:rFonts w:ascii="Times New Roman" w:hAnsi="Times New Roman"/>
                <w:sz w:val="24"/>
                <w:szCs w:val="24"/>
                <w:lang w:val="en-IE"/>
              </w:rPr>
              <w:t xml:space="preserve"> with a view to establishing a strong </w:t>
            </w:r>
            <w:r w:rsidR="009C1DB2">
              <w:rPr>
                <w:rFonts w:ascii="Times New Roman" w:hAnsi="Times New Roman"/>
                <w:sz w:val="24"/>
                <w:szCs w:val="24"/>
                <w:lang w:val="en-IE"/>
              </w:rPr>
              <w:t>CAP</w:t>
            </w:r>
            <w:r w:rsidR="00EB67FD" w:rsidRPr="00EB67FD">
              <w:rPr>
                <w:rFonts w:ascii="Times New Roman" w:hAnsi="Times New Roman"/>
                <w:sz w:val="24"/>
                <w:szCs w:val="24"/>
                <w:lang w:val="en-IE"/>
              </w:rPr>
              <w:t xml:space="preserve"> for the</w:t>
            </w:r>
            <w:r w:rsidR="009C1DB2">
              <w:rPr>
                <w:rFonts w:ascii="Times New Roman" w:hAnsi="Times New Roman"/>
                <w:sz w:val="24"/>
                <w:szCs w:val="24"/>
                <w:lang w:val="en-IE"/>
              </w:rPr>
              <w:t xml:space="preserve"> period</w:t>
            </w:r>
            <w:r w:rsidR="00EB67FD" w:rsidRPr="00EB67FD">
              <w:rPr>
                <w:rFonts w:ascii="Times New Roman" w:hAnsi="Times New Roman"/>
                <w:sz w:val="24"/>
                <w:szCs w:val="24"/>
                <w:lang w:val="en-IE"/>
              </w:rPr>
              <w:t xml:space="preserve"> 2028-2034</w:t>
            </w:r>
            <w:r w:rsidR="009C1DB2">
              <w:rPr>
                <w:rFonts w:ascii="Times New Roman" w:hAnsi="Times New Roman"/>
                <w:sz w:val="24"/>
                <w:szCs w:val="24"/>
                <w:lang w:val="en-IE"/>
              </w:rPr>
              <w:t xml:space="preserve"> in the interest of the Union</w:t>
            </w:r>
            <w:r w:rsidR="00EB67FD" w:rsidRPr="00EB67FD">
              <w:rPr>
                <w:rFonts w:ascii="Times New Roman" w:hAnsi="Times New Roman"/>
                <w:sz w:val="24"/>
                <w:szCs w:val="24"/>
                <w:lang w:val="en-IE"/>
              </w:rPr>
              <w:t>.</w:t>
            </w:r>
          </w:p>
        </w:tc>
      </w:tr>
    </w:tbl>
    <w:p w14:paraId="41D86A3C" w14:textId="77777777" w:rsidR="00554137" w:rsidRPr="00EB67FD" w:rsidRDefault="00554137" w:rsidP="00FB5877">
      <w:pPr>
        <w:spacing w:line="240" w:lineRule="auto"/>
        <w:ind w:left="-426"/>
        <w:rPr>
          <w:rFonts w:ascii="Times New Roman" w:hAnsi="Times New Roman"/>
          <w:b/>
          <w:sz w:val="24"/>
          <w:szCs w:val="24"/>
          <w:u w:val="single"/>
        </w:rPr>
      </w:pPr>
    </w:p>
    <w:sectPr w:rsidR="00554137" w:rsidRPr="00EB67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28F7" w14:textId="77777777" w:rsidR="008F5470" w:rsidRDefault="008F5470" w:rsidP="00FF63EA">
      <w:pPr>
        <w:spacing w:after="0" w:line="240" w:lineRule="auto"/>
      </w:pPr>
      <w:r>
        <w:separator/>
      </w:r>
    </w:p>
  </w:endnote>
  <w:endnote w:type="continuationSeparator" w:id="0">
    <w:p w14:paraId="2FE53F72" w14:textId="77777777" w:rsidR="008F5470" w:rsidRDefault="008F5470"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7B496" w14:textId="77777777" w:rsidR="008F5470" w:rsidRDefault="008F5470" w:rsidP="00FF63EA">
      <w:pPr>
        <w:spacing w:after="0" w:line="240" w:lineRule="auto"/>
      </w:pPr>
      <w:r>
        <w:separator/>
      </w:r>
    </w:p>
  </w:footnote>
  <w:footnote w:type="continuationSeparator" w:id="0">
    <w:p w14:paraId="05F4DDB4" w14:textId="77777777" w:rsidR="008F5470" w:rsidRDefault="008F5470" w:rsidP="00FF63EA">
      <w:pPr>
        <w:spacing w:after="0" w:line="240" w:lineRule="auto"/>
      </w:pPr>
      <w:r>
        <w:continuationSeparator/>
      </w:r>
    </w:p>
  </w:footnote>
  <w:footnote w:id="1">
    <w:p w14:paraId="5D53B50B" w14:textId="18630FD9" w:rsidR="00AA2166" w:rsidRPr="00EB407D" w:rsidRDefault="00AA2166" w:rsidP="00EB407D">
      <w:pPr>
        <w:pStyle w:val="FootnoteText"/>
        <w:widowControl w:val="0"/>
        <w:spacing w:after="0" w:line="240" w:lineRule="auto"/>
        <w:jc w:val="both"/>
        <w:rPr>
          <w:rFonts w:ascii="Times New Roman" w:hAnsi="Times New Roman"/>
          <w:lang w:val="fr-BE"/>
        </w:rPr>
      </w:pPr>
      <w:r w:rsidRPr="00EB407D">
        <w:rPr>
          <w:rStyle w:val="FootnoteReference"/>
          <w:rFonts w:ascii="Times New Roman" w:hAnsi="Times New Roman"/>
        </w:rPr>
        <w:footnoteRef/>
      </w:r>
      <w:r w:rsidRPr="00EB407D">
        <w:rPr>
          <w:rFonts w:ascii="Times New Roman" w:hAnsi="Times New Roman"/>
          <w:lang w:val="fr-BE"/>
        </w:rPr>
        <w:t xml:space="preserve"> </w:t>
      </w:r>
      <w:r w:rsidR="003615D7" w:rsidRPr="00EB407D">
        <w:rPr>
          <w:rFonts w:ascii="Times New Roman" w:hAnsi="Times New Roman"/>
          <w:lang w:val="fr-BE"/>
        </w:rPr>
        <w:tab/>
      </w:r>
      <w:proofErr w:type="gramStart"/>
      <w:r w:rsidR="003615D7" w:rsidRPr="00EB407D">
        <w:rPr>
          <w:rFonts w:ascii="Times New Roman" w:hAnsi="Times New Roman"/>
          <w:lang w:val="fr-BE"/>
        </w:rPr>
        <w:t>COM(</w:t>
      </w:r>
      <w:proofErr w:type="gramEnd"/>
      <w:r w:rsidR="003615D7" w:rsidRPr="00EB407D">
        <w:rPr>
          <w:rFonts w:ascii="Times New Roman" w:hAnsi="Times New Roman"/>
          <w:lang w:val="fr-BE"/>
        </w:rPr>
        <w:t>2025) 565 final (</w:t>
      </w:r>
      <w:hyperlink r:id="rId1" w:history="1">
        <w:r w:rsidRPr="00EB407D">
          <w:rPr>
            <w:rStyle w:val="Hyperlink"/>
            <w:rFonts w:ascii="Times New Roman" w:hAnsi="Times New Roman"/>
            <w:lang w:val="fr-BE"/>
          </w:rPr>
          <w:t>EUR-Lex - 52025PC0565 - EN - EUR-Lex</w:t>
        </w:r>
      </w:hyperlink>
      <w:r w:rsidR="003615D7" w:rsidRPr="00EB407D">
        <w:rPr>
          <w:rFonts w:ascii="Times New Roman" w:hAnsi="Times New Roman"/>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25CF"/>
    <w:multiLevelType w:val="hybridMultilevel"/>
    <w:tmpl w:val="C16CBEA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CFC5140"/>
    <w:multiLevelType w:val="hybridMultilevel"/>
    <w:tmpl w:val="813A253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59352241"/>
    <w:multiLevelType w:val="hybridMultilevel"/>
    <w:tmpl w:val="3C480694"/>
    <w:lvl w:ilvl="0" w:tplc="33304388">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58386119">
    <w:abstractNumId w:val="1"/>
  </w:num>
  <w:num w:numId="2" w16cid:durableId="1338070117">
    <w:abstractNumId w:val="0"/>
  </w:num>
  <w:num w:numId="3" w16cid:durableId="62872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2A37"/>
    <w:rsid w:val="00046B15"/>
    <w:rsid w:val="00050DC7"/>
    <w:rsid w:val="00076109"/>
    <w:rsid w:val="00077C4F"/>
    <w:rsid w:val="00085DB9"/>
    <w:rsid w:val="000F0274"/>
    <w:rsid w:val="000F5FD8"/>
    <w:rsid w:val="00106EB2"/>
    <w:rsid w:val="00115EBC"/>
    <w:rsid w:val="001167C0"/>
    <w:rsid w:val="00135C2A"/>
    <w:rsid w:val="00167600"/>
    <w:rsid w:val="0019455B"/>
    <w:rsid w:val="001B0E0B"/>
    <w:rsid w:val="001C4138"/>
    <w:rsid w:val="001D519C"/>
    <w:rsid w:val="001F2EC6"/>
    <w:rsid w:val="001F2F23"/>
    <w:rsid w:val="001F65D0"/>
    <w:rsid w:val="0021440A"/>
    <w:rsid w:val="00217E59"/>
    <w:rsid w:val="002214DC"/>
    <w:rsid w:val="00222043"/>
    <w:rsid w:val="00266996"/>
    <w:rsid w:val="002D255D"/>
    <w:rsid w:val="002F03FA"/>
    <w:rsid w:val="003004D2"/>
    <w:rsid w:val="003220E7"/>
    <w:rsid w:val="003349A3"/>
    <w:rsid w:val="0035631D"/>
    <w:rsid w:val="003615D7"/>
    <w:rsid w:val="00377967"/>
    <w:rsid w:val="00386143"/>
    <w:rsid w:val="003A5FC9"/>
    <w:rsid w:val="003B58DC"/>
    <w:rsid w:val="003D2D79"/>
    <w:rsid w:val="003F686E"/>
    <w:rsid w:val="00400D72"/>
    <w:rsid w:val="00440816"/>
    <w:rsid w:val="00442552"/>
    <w:rsid w:val="00455A1C"/>
    <w:rsid w:val="00460BCA"/>
    <w:rsid w:val="004675B5"/>
    <w:rsid w:val="004770D6"/>
    <w:rsid w:val="0049246C"/>
    <w:rsid w:val="004A7932"/>
    <w:rsid w:val="004C7604"/>
    <w:rsid w:val="004D685C"/>
    <w:rsid w:val="004F6117"/>
    <w:rsid w:val="004F63F1"/>
    <w:rsid w:val="004F651E"/>
    <w:rsid w:val="00504A4C"/>
    <w:rsid w:val="0052596B"/>
    <w:rsid w:val="00536F2B"/>
    <w:rsid w:val="00554137"/>
    <w:rsid w:val="00554D8D"/>
    <w:rsid w:val="005621DB"/>
    <w:rsid w:val="00573835"/>
    <w:rsid w:val="00581306"/>
    <w:rsid w:val="005C3105"/>
    <w:rsid w:val="005F293E"/>
    <w:rsid w:val="006607A8"/>
    <w:rsid w:val="00692C2F"/>
    <w:rsid w:val="00695797"/>
    <w:rsid w:val="00696A5E"/>
    <w:rsid w:val="006B3B69"/>
    <w:rsid w:val="006F64EB"/>
    <w:rsid w:val="006F6E08"/>
    <w:rsid w:val="00701FCA"/>
    <w:rsid w:val="007073DF"/>
    <w:rsid w:val="00734613"/>
    <w:rsid w:val="00751910"/>
    <w:rsid w:val="00751E60"/>
    <w:rsid w:val="007547B5"/>
    <w:rsid w:val="00795A9E"/>
    <w:rsid w:val="007A606D"/>
    <w:rsid w:val="007B68EF"/>
    <w:rsid w:val="007C2214"/>
    <w:rsid w:val="007D6D7C"/>
    <w:rsid w:val="00807B48"/>
    <w:rsid w:val="008135CA"/>
    <w:rsid w:val="0081584F"/>
    <w:rsid w:val="0084192E"/>
    <w:rsid w:val="008703BF"/>
    <w:rsid w:val="008750B3"/>
    <w:rsid w:val="00887087"/>
    <w:rsid w:val="00887DC8"/>
    <w:rsid w:val="008925CE"/>
    <w:rsid w:val="008B57B0"/>
    <w:rsid w:val="008C4D41"/>
    <w:rsid w:val="008E1412"/>
    <w:rsid w:val="008F5470"/>
    <w:rsid w:val="009175C1"/>
    <w:rsid w:val="00931308"/>
    <w:rsid w:val="009430C8"/>
    <w:rsid w:val="00944425"/>
    <w:rsid w:val="009478A1"/>
    <w:rsid w:val="00981F45"/>
    <w:rsid w:val="00987F8E"/>
    <w:rsid w:val="00993786"/>
    <w:rsid w:val="00994D12"/>
    <w:rsid w:val="009A3524"/>
    <w:rsid w:val="009B128B"/>
    <w:rsid w:val="009C1DB2"/>
    <w:rsid w:val="009D7EBE"/>
    <w:rsid w:val="00A16F07"/>
    <w:rsid w:val="00A35454"/>
    <w:rsid w:val="00A62C7B"/>
    <w:rsid w:val="00A7709A"/>
    <w:rsid w:val="00AA0D0B"/>
    <w:rsid w:val="00AA2166"/>
    <w:rsid w:val="00AB5195"/>
    <w:rsid w:val="00AE1842"/>
    <w:rsid w:val="00AE3C7C"/>
    <w:rsid w:val="00B237EF"/>
    <w:rsid w:val="00B31306"/>
    <w:rsid w:val="00B34921"/>
    <w:rsid w:val="00B42814"/>
    <w:rsid w:val="00B4761F"/>
    <w:rsid w:val="00B83936"/>
    <w:rsid w:val="00BC1DB6"/>
    <w:rsid w:val="00BD6EB7"/>
    <w:rsid w:val="00BE601F"/>
    <w:rsid w:val="00C02A35"/>
    <w:rsid w:val="00C150F2"/>
    <w:rsid w:val="00C24FF2"/>
    <w:rsid w:val="00C303BE"/>
    <w:rsid w:val="00C37BDD"/>
    <w:rsid w:val="00C54D27"/>
    <w:rsid w:val="00C76EEB"/>
    <w:rsid w:val="00C775B5"/>
    <w:rsid w:val="00C77FC5"/>
    <w:rsid w:val="00C90374"/>
    <w:rsid w:val="00C97532"/>
    <w:rsid w:val="00CA04AD"/>
    <w:rsid w:val="00CA7AA6"/>
    <w:rsid w:val="00CC628E"/>
    <w:rsid w:val="00CE18CE"/>
    <w:rsid w:val="00D01F5A"/>
    <w:rsid w:val="00D1323B"/>
    <w:rsid w:val="00D1716E"/>
    <w:rsid w:val="00D20F41"/>
    <w:rsid w:val="00D52423"/>
    <w:rsid w:val="00D61B84"/>
    <w:rsid w:val="00D64E05"/>
    <w:rsid w:val="00D91D07"/>
    <w:rsid w:val="00D92FD3"/>
    <w:rsid w:val="00DA3B6E"/>
    <w:rsid w:val="00DB7581"/>
    <w:rsid w:val="00DC70C1"/>
    <w:rsid w:val="00E649A0"/>
    <w:rsid w:val="00E755D8"/>
    <w:rsid w:val="00E83C12"/>
    <w:rsid w:val="00E904C8"/>
    <w:rsid w:val="00E926BE"/>
    <w:rsid w:val="00EA11DF"/>
    <w:rsid w:val="00EA1BBF"/>
    <w:rsid w:val="00EB29A9"/>
    <w:rsid w:val="00EB407D"/>
    <w:rsid w:val="00EB67FD"/>
    <w:rsid w:val="00EB77D2"/>
    <w:rsid w:val="00F316C8"/>
    <w:rsid w:val="00F61A13"/>
    <w:rsid w:val="00F62FEF"/>
    <w:rsid w:val="00F632DE"/>
    <w:rsid w:val="00F735E4"/>
    <w:rsid w:val="00FB5877"/>
    <w:rsid w:val="00FB7834"/>
    <w:rsid w:val="00FD4B6A"/>
    <w:rsid w:val="00FF03A8"/>
    <w:rsid w:val="00FF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7FD"/>
    <w:pPr>
      <w:spacing w:after="160" w:line="259" w:lineRule="auto"/>
      <w:ind w:left="720"/>
      <w:contextualSpacing/>
    </w:pPr>
    <w:rPr>
      <w:rFonts w:ascii="Aptos" w:eastAsia="Aptos" w:hAnsi="Aptos"/>
      <w:kern w:val="2"/>
    </w:rPr>
  </w:style>
  <w:style w:type="paragraph" w:styleId="FootnoteText">
    <w:name w:val="footnote text"/>
    <w:basedOn w:val="Normal"/>
    <w:link w:val="FootnoteTextChar"/>
    <w:uiPriority w:val="99"/>
    <w:semiHidden/>
    <w:unhideWhenUsed/>
    <w:rsid w:val="00AA2166"/>
    <w:rPr>
      <w:sz w:val="20"/>
      <w:szCs w:val="20"/>
    </w:rPr>
  </w:style>
  <w:style w:type="character" w:customStyle="1" w:styleId="FootnoteTextChar">
    <w:name w:val="Footnote Text Char"/>
    <w:link w:val="FootnoteText"/>
    <w:uiPriority w:val="99"/>
    <w:semiHidden/>
    <w:rsid w:val="00AA2166"/>
    <w:rPr>
      <w:lang w:eastAsia="en-US"/>
    </w:rPr>
  </w:style>
  <w:style w:type="character" w:styleId="FootnoteReference">
    <w:name w:val="footnote reference"/>
    <w:uiPriority w:val="99"/>
    <w:semiHidden/>
    <w:unhideWhenUsed/>
    <w:rsid w:val="00AA2166"/>
    <w:rPr>
      <w:vertAlign w:val="superscript"/>
    </w:rPr>
  </w:style>
  <w:style w:type="character" w:styleId="Hyperlink">
    <w:name w:val="Hyperlink"/>
    <w:uiPriority w:val="99"/>
    <w:unhideWhenUsed/>
    <w:rsid w:val="00AA2166"/>
    <w:rPr>
      <w:color w:val="0563C1"/>
      <w:u w:val="single"/>
    </w:rPr>
  </w:style>
  <w:style w:type="character" w:styleId="UnresolvedMention">
    <w:name w:val="Unresolved Mention"/>
    <w:uiPriority w:val="99"/>
    <w:semiHidden/>
    <w:unhideWhenUsed/>
    <w:rsid w:val="00AA2166"/>
    <w:rPr>
      <w:color w:val="605E5C"/>
      <w:shd w:val="clear" w:color="auto" w:fill="E1DFDD"/>
    </w:rPr>
  </w:style>
  <w:style w:type="paragraph" w:styleId="Revision">
    <w:name w:val="Revision"/>
    <w:hidden/>
    <w:uiPriority w:val="99"/>
    <w:semiHidden/>
    <w:rsid w:val="004D685C"/>
    <w:rPr>
      <w:sz w:val="22"/>
      <w:szCs w:val="22"/>
      <w:lang w:val="en-GB" w:eastAsia="en-US"/>
    </w:rPr>
  </w:style>
  <w:style w:type="character" w:styleId="CommentReference">
    <w:name w:val="annotation reference"/>
    <w:uiPriority w:val="99"/>
    <w:semiHidden/>
    <w:unhideWhenUsed/>
    <w:rsid w:val="00E649A0"/>
    <w:rPr>
      <w:sz w:val="16"/>
      <w:szCs w:val="16"/>
    </w:rPr>
  </w:style>
  <w:style w:type="paragraph" w:styleId="CommentText">
    <w:name w:val="annotation text"/>
    <w:basedOn w:val="Normal"/>
    <w:link w:val="CommentTextChar"/>
    <w:uiPriority w:val="99"/>
    <w:unhideWhenUsed/>
    <w:rsid w:val="00E649A0"/>
    <w:rPr>
      <w:sz w:val="20"/>
      <w:szCs w:val="20"/>
    </w:rPr>
  </w:style>
  <w:style w:type="character" w:customStyle="1" w:styleId="CommentTextChar">
    <w:name w:val="Comment Text Char"/>
    <w:link w:val="CommentText"/>
    <w:uiPriority w:val="99"/>
    <w:rsid w:val="00E649A0"/>
    <w:rPr>
      <w:lang w:eastAsia="en-US"/>
    </w:rPr>
  </w:style>
  <w:style w:type="paragraph" w:styleId="CommentSubject">
    <w:name w:val="annotation subject"/>
    <w:basedOn w:val="CommentText"/>
    <w:next w:val="CommentText"/>
    <w:link w:val="CommentSubjectChar"/>
    <w:uiPriority w:val="99"/>
    <w:semiHidden/>
    <w:unhideWhenUsed/>
    <w:rsid w:val="00E649A0"/>
    <w:rPr>
      <w:b/>
      <w:bCs/>
    </w:rPr>
  </w:style>
  <w:style w:type="character" w:customStyle="1" w:styleId="CommentSubjectChar">
    <w:name w:val="Comment Subject Char"/>
    <w:link w:val="CommentSubject"/>
    <w:uiPriority w:val="99"/>
    <w:semiHidden/>
    <w:rsid w:val="00E649A0"/>
    <w:rPr>
      <w:b/>
      <w:bCs/>
      <w:lang w:eastAsia="en-US"/>
    </w:rPr>
  </w:style>
  <w:style w:type="character" w:styleId="FollowedHyperlink">
    <w:name w:val="FollowedHyperlink"/>
    <w:uiPriority w:val="99"/>
    <w:semiHidden/>
    <w:unhideWhenUsed/>
    <w:rsid w:val="003615D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52025PC0565&amp;qid=1776338944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EE2CE-118A-44CB-A5D0-34AF9EB4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996</Words>
  <Characters>5509</Characters>
  <Application>Microsoft Office Word</Application>
  <DocSecurity>0</DocSecurity>
  <Lines>86</Lines>
  <Paragraphs>34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cp:lastModifiedBy>
  <cp:revision>2</cp:revision>
  <cp:lastPrinted>2013-02-27T18:02:00Z</cp:lastPrinted>
  <dcterms:created xsi:type="dcterms:W3CDTF">2026-07-10T09:24:00Z</dcterms:created>
  <dcterms:modified xsi:type="dcterms:W3CDTF">2026-07-10T09:24:00Z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ies>
</file>