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F41CD8" w:rsidR="00F41CD8" w:rsidP="00F41CD8" w:rsidRDefault="00F41CD8" w14:paraId="6DB04FF7" w14:textId="48D9B163">
      <w:pPr>
        <w:jc w:val="right"/>
        <w:rPr>
          <w:b/>
        </w:rPr>
      </w:pPr>
      <w:r w:rsidRPr="00F41CD8">
        <w:rPr>
          <w:b/>
        </w:rPr>
        <w:t>TEN/8</w:t>
      </w:r>
      <w:r w:rsidR="0000664A">
        <w:rPr>
          <w:b/>
        </w:rPr>
        <w:t>73</w:t>
      </w:r>
    </w:p>
    <w:p w:rsidRPr="004C21FA" w:rsidR="000E4B6B" w:rsidP="006733ED" w:rsidRDefault="0000664A" w14:paraId="1EFE7F2B" w14:textId="07B4B133">
      <w:pPr>
        <w:jc w:val="right"/>
        <w:rPr>
          <w:b/>
        </w:rPr>
      </w:pPr>
      <w:r w:rsidRPr="0000664A">
        <w:rPr>
          <w:b/>
        </w:rPr>
        <w:t>Implementing the New European Bauhaus</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C3C1B82">
      <w:pPr>
        <w:jc w:val="right"/>
      </w:pPr>
      <w:r w:rsidRPr="00A67235">
        <w:t xml:space="preserve">Brussels, </w:t>
      </w:r>
      <w:r w:rsidR="006733ED">
        <w:t>1</w:t>
      </w:r>
      <w:r w:rsidR="00CD6AF5">
        <w:t>7</w:t>
      </w:r>
      <w:r w:rsidR="006733ED">
        <w:t xml:space="preserve"> </w:t>
      </w:r>
      <w:r w:rsidR="00CD6AF5">
        <w:t>June</w:t>
      </w:r>
      <w:r w:rsidR="00BE2774">
        <w:t xml:space="preserve"> 202</w:t>
      </w:r>
      <w:r w:rsidR="006733ED">
        <w:t>6</w:t>
      </w:r>
    </w:p>
    <w:p w:rsidRPr="00A67235" w:rsidR="000E4B6B" w:rsidP="00EC0F0F" w:rsidRDefault="000E4B6B" w14:paraId="31FA757B" w14:textId="77777777"/>
    <w:p w:rsidRPr="00A67235" w:rsidR="000E4B6B" w:rsidP="00EC0F0F" w:rsidRDefault="000E4B6B" w14:paraId="7079C9D2" w14:textId="77777777"/>
    <w:p w:rsidRPr="00FF1D1E" w:rsidR="00E01ECC" w:rsidP="00E01ECC" w:rsidRDefault="00964A13" w14:paraId="40BA0C1E" w14:textId="21C3497D">
      <w:pPr>
        <w:jc w:val="center"/>
        <w:rPr>
          <w:b/>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133210" w:rsidR="00133210">
        <w:rPr>
          <w:b/>
        </w:rPr>
        <w:t>Communication from the Commission to the European Parliament, the Council, the European Economic and Social Committee and the Committee of the Regions – New European Bauhaus – from vision to implementation</w:t>
      </w:r>
    </w:p>
    <w:p w:rsidRPr="006C0B36" w:rsidR="007201DC" w:rsidP="00E01ECC" w:rsidRDefault="00E01ECC" w14:paraId="627A1434" w14:textId="4F653360">
      <w:pPr>
        <w:jc w:val="center"/>
      </w:pPr>
      <w:r w:rsidRPr="00FF1D1E">
        <w:t>(</w:t>
      </w:r>
      <w:r w:rsidRPr="003F42FE" w:rsidR="007E731F">
        <w:t>COM(2025) 1026 final</w:t>
      </w:r>
      <w:r w:rsidRPr="00FF1D1E">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6733ED" w14:paraId="0FA745B1" w14:textId="30100324">
      <w:pPr>
        <w:jc w:val="center"/>
        <w:rPr>
          <w:bCs/>
        </w:rPr>
      </w:pPr>
      <w:r>
        <w:t>60</w:t>
      </w:r>
      <w:r w:rsidR="00D94451">
        <w:t>6</w:t>
      </w:r>
      <w:r w:rsidR="004C21FA">
        <w:rPr>
          <w:vertAlign w:val="superscript"/>
        </w:rPr>
        <w:t>th</w:t>
      </w:r>
      <w:r w:rsidR="00BE2774">
        <w:t xml:space="preserve"> </w:t>
      </w:r>
      <w:r w:rsidR="0015330A">
        <w:t>plenary session</w:t>
      </w:r>
      <w:r w:rsidR="009E138D">
        <w:br/>
      </w:r>
      <w:r w:rsidR="009E138D">
        <w:rPr>
          <w:bCs/>
        </w:rPr>
        <w:br/>
      </w:r>
      <w:r w:rsidRPr="00A67235" w:rsidR="00964A13">
        <w:rPr>
          <w:bCs/>
        </w:rPr>
        <w:t>Brussels</w:t>
      </w:r>
      <w:r w:rsidR="009E138D">
        <w:rPr>
          <w:bCs/>
        </w:rPr>
        <w:br/>
      </w:r>
      <w:r w:rsidR="00D94451">
        <w:rPr>
          <w:bCs/>
        </w:rPr>
        <w:t>17-18</w:t>
      </w:r>
      <w:r w:rsidR="00E70DD6">
        <w:rPr>
          <w:bCs/>
        </w:rPr>
        <w:t xml:space="preserve"> </w:t>
      </w:r>
      <w:r w:rsidR="00D94451">
        <w:rPr>
          <w:bCs/>
        </w:rPr>
        <w:t>June</w:t>
      </w:r>
      <w:r>
        <w:rPr>
          <w:bCs/>
        </w:rPr>
        <w:t xml:space="preserve"> </w:t>
      </w:r>
      <w:r w:rsidR="00BE2774">
        <w:rPr>
          <w:bCs/>
        </w:rPr>
        <w:t>202</w:t>
      </w:r>
      <w:r>
        <w:rPr>
          <w:bCs/>
        </w:rPr>
        <w:t>6</w:t>
      </w:r>
    </w:p>
    <w:p w:rsidRPr="00A67235" w:rsidR="00964A13" w:rsidP="00EC0F0F" w:rsidRDefault="00964A13" w14:paraId="1F2948E8" w14:textId="77777777">
      <w:pPr>
        <w:jc w:val="center"/>
      </w:pPr>
      <w:r w:rsidRPr="00A67235">
        <w:t>_____________</w:t>
      </w:r>
    </w:p>
    <w:p w:rsidRPr="00A67235" w:rsidR="00964A13" w:rsidP="00EC0F0F" w:rsidRDefault="00BE2774" w14:paraId="0DDEA934" w14:textId="49D30545">
      <w:pPr>
        <w:jc w:val="center"/>
      </w:pPr>
      <w:r>
        <w:t xml:space="preserve"> </w:t>
      </w:r>
    </w:p>
    <w:p w:rsidRPr="00A67235" w:rsidR="00964A13" w:rsidP="00EC0F0F" w:rsidRDefault="00964A13" w14:paraId="320DD6DB" w14:textId="22EA53D2">
      <w:pPr>
        <w:jc w:val="center"/>
      </w:pPr>
      <w:r w:rsidRPr="00A67235">
        <w:t xml:space="preserve">Meeting of </w:t>
      </w:r>
      <w:r w:rsidR="00D94451">
        <w:t>17 June</w:t>
      </w:r>
      <w:r w:rsidR="006733ED">
        <w:t xml:space="preserve"> </w:t>
      </w:r>
      <w:r w:rsidR="00BE2774">
        <w:t>202</w:t>
      </w:r>
      <w:r w:rsidR="006733ED">
        <w:t>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15C4DEA9">
      <w:pPr>
        <w:pStyle w:val="Footer"/>
        <w:jc w:val="center"/>
      </w:pPr>
      <w:r w:rsidRPr="00A67235">
        <w:t>Agenda item</w:t>
      </w:r>
      <w:r w:rsidR="00177DAC">
        <w:t xml:space="preserve"> </w:t>
      </w:r>
      <w:r w:rsidRPr="00D82EC0" w:rsidR="00C311DE">
        <w:t>1</w:t>
      </w:r>
      <w:r w:rsidR="003F42FE">
        <w:t>1</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2DEC4B56">
      <w:r w:rsidRPr="00A67235">
        <w:rPr>
          <w:b/>
          <w:bCs/>
        </w:rPr>
        <w:br w:type="page"/>
      </w:r>
      <w:r w:rsidRPr="00A67235" w:rsidR="000E4B6B">
        <w:rPr>
          <w:b/>
          <w:bCs/>
        </w:rPr>
        <w:lastRenderedPageBreak/>
        <w:t xml:space="preserve">The </w:t>
      </w:r>
      <w:r w:rsidRPr="00133210" w:rsidR="000E4B6B">
        <w:rPr>
          <w:b/>
          <w:bCs/>
        </w:rPr>
        <w:t>president</w:t>
      </w:r>
      <w:r w:rsidRPr="00A67235" w:rsidR="000E4B6B">
        <w:rPr>
          <w:b/>
          <w:bCs/>
        </w:rPr>
        <w:t xml:space="preserve"> </w:t>
      </w:r>
      <w:r w:rsidRPr="00A67235" w:rsidR="000E4B6B">
        <w:t>move</w:t>
      </w:r>
      <w:r w:rsidR="0053459C">
        <w:t>s</w:t>
      </w:r>
      <w:r w:rsidRPr="00A67235" w:rsidR="000E4B6B">
        <w:t xml:space="preserve"> that the Committee turn to agenda item </w:t>
      </w:r>
      <w:r w:rsidRPr="00133210" w:rsidR="00C311DE">
        <w:t>1</w:t>
      </w:r>
      <w:r w:rsidRPr="00133210" w:rsidR="003F42FE">
        <w:t>1</w:t>
      </w:r>
      <w:r w:rsidRPr="00A67235" w:rsidR="000E4B6B">
        <w:t xml:space="preserve"> - adoption of an opinion on the</w:t>
      </w:r>
    </w:p>
    <w:p w:rsidRPr="00A67235" w:rsidR="000E4B6B" w:rsidP="00EC0F0F" w:rsidRDefault="000E4B6B" w14:paraId="037DAC87" w14:textId="77777777"/>
    <w:p w:rsidRPr="00E01ECC" w:rsidR="00E01ECC" w:rsidP="00E01ECC" w:rsidRDefault="00133210" w14:paraId="3F79C72E" w14:textId="7054F8D9">
      <w:pPr>
        <w:ind w:left="1430"/>
        <w:rPr>
          <w:i/>
          <w:iCs/>
        </w:rPr>
      </w:pPr>
      <w:r w:rsidRPr="00133210">
        <w:rPr>
          <w:i/>
          <w:iCs/>
        </w:rPr>
        <w:t>Communication from the Commission to the European Parliament, the Council, the European Economic and Social Committee and the Committee of the Regions – New European Bauhaus – from vision to implementation</w:t>
      </w:r>
    </w:p>
    <w:p w:rsidRPr="006D4481" w:rsidR="000E4B6B" w:rsidP="00E01ECC" w:rsidRDefault="00E01ECC" w14:paraId="305301AD" w14:textId="219D5F7F">
      <w:pPr>
        <w:ind w:left="1430"/>
        <w:rPr>
          <w:i/>
          <w:iCs/>
        </w:rPr>
      </w:pPr>
      <w:r w:rsidRPr="00E01ECC">
        <w:rPr>
          <w:i/>
          <w:iCs/>
        </w:rPr>
        <w:t>(COM(2025) 10</w:t>
      </w:r>
      <w:r w:rsidR="006D4481">
        <w:rPr>
          <w:i/>
          <w:iCs/>
        </w:rPr>
        <w:t>26</w:t>
      </w:r>
      <w:r w:rsidRPr="00E01ECC">
        <w:rPr>
          <w:i/>
          <w:iCs/>
        </w:rPr>
        <w:t xml:space="preserve"> final)</w:t>
      </w:r>
      <w:r w:rsidR="006D4481">
        <w:rPr>
          <w:i/>
          <w:iCs/>
        </w:rPr>
        <w:t>.</w:t>
      </w:r>
    </w:p>
    <w:p w:rsidRPr="00A67235" w:rsidR="000E4B6B" w:rsidP="00EC0F0F" w:rsidRDefault="000E4B6B" w14:paraId="7B740915" w14:textId="77777777"/>
    <w:p w:rsidRPr="00A67235" w:rsidR="000E4B6B" w:rsidP="00EC0F0F" w:rsidRDefault="000E4B6B" w14:paraId="2D8D7685" w14:textId="58D4FDE9">
      <w:r w:rsidRPr="00A67235">
        <w:t xml:space="preserve">The preliminary work had been carried out by the Section for </w:t>
      </w:r>
      <w:r w:rsidRPr="00625261" w:rsidR="00BE2774">
        <w:t xml:space="preserve">Transport, Energy, Infrastructure and the Information Society </w:t>
      </w:r>
      <w:r w:rsidRPr="00625261" w:rsidR="00BE2774">
        <w:fldChar w:fldCharType="begin"/>
      </w:r>
      <w:r w:rsidRPr="00625261" w:rsidR="00BE2774">
        <w:instrText xml:space="preserve">  </w:instrText>
      </w:r>
      <w:r w:rsidRPr="00625261" w:rsidR="00BE2774">
        <w:fldChar w:fldCharType="end"/>
      </w:r>
      <w:r w:rsidRPr="00625261" w:rsidR="00BE2774">
        <w:t>(</w:t>
      </w:r>
      <w:r w:rsidR="00BE2774">
        <w:t>p</w:t>
      </w:r>
      <w:r w:rsidRPr="00625261" w:rsidR="00BE2774">
        <w:t>resident:</w:t>
      </w:r>
      <w:r w:rsidR="00BE2774">
        <w:rPr>
          <w:b/>
          <w:bCs/>
        </w:rPr>
        <w:t xml:space="preserve"> </w:t>
      </w:r>
      <w:r w:rsidR="0055372E">
        <w:rPr>
          <w:b/>
          <w:bCs/>
        </w:rPr>
        <w:t>M</w:t>
      </w:r>
      <w:r w:rsidR="006733ED">
        <w:rPr>
          <w:b/>
          <w:bCs/>
        </w:rPr>
        <w:t>r</w:t>
      </w:r>
      <w:r w:rsidR="00BE2774">
        <w:rPr>
          <w:b/>
          <w:bCs/>
        </w:rPr>
        <w:t xml:space="preserve"> </w:t>
      </w:r>
      <w:r w:rsidR="006733ED">
        <w:rPr>
          <w:b/>
          <w:bCs/>
        </w:rPr>
        <w:t>Nowacki</w:t>
      </w:r>
      <w:r w:rsidRPr="00625261" w:rsidR="00BE2774">
        <w:rPr>
          <w:b/>
          <w:bCs/>
        </w:rPr>
        <w:fldChar w:fldCharType="begin"/>
      </w:r>
      <w:r w:rsidRPr="00625261" w:rsidR="00BE2774">
        <w:rPr>
          <w:b/>
          <w:bCs/>
        </w:rPr>
        <w:instrText xml:space="preserve">  </w:instrText>
      </w:r>
      <w:r w:rsidRPr="00625261" w:rsidR="00BE2774">
        <w:rPr>
          <w:b/>
          <w:bCs/>
        </w:rPr>
        <w:fldChar w:fldCharType="end"/>
      </w:r>
      <w:r w:rsidR="00BE2774">
        <w:t>)</w:t>
      </w:r>
      <w:r w:rsidRPr="00A67235">
        <w:t>. The rapporteur was</w:t>
      </w:r>
      <w:r w:rsidRPr="00A67235">
        <w:rPr>
          <w:b/>
          <w:bCs/>
        </w:rPr>
        <w:t xml:space="preserve"> </w:t>
      </w:r>
      <w:r w:rsidR="0055372E">
        <w:rPr>
          <w:b/>
          <w:bCs/>
        </w:rPr>
        <w:t>Mr</w:t>
      </w:r>
      <w:r w:rsidRPr="00F41CD8" w:rsidR="00F41CD8">
        <w:rPr>
          <w:b/>
          <w:bCs/>
        </w:rPr>
        <w:t xml:space="preserve"> </w:t>
      </w:r>
      <w:r w:rsidR="00836086">
        <w:rPr>
          <w:b/>
          <w:bCs/>
        </w:rPr>
        <w:t>Kolbe</w:t>
      </w:r>
      <w:r w:rsidRPr="00A67235">
        <w:t>.</w:t>
      </w:r>
      <w:r w:rsidR="00BE2774">
        <w:t xml:space="preserve"> </w:t>
      </w:r>
      <w:r w:rsidRPr="004C21FA" w:rsidR="004C21FA">
        <w:t xml:space="preserve">The section adopted its opinion on </w:t>
      </w:r>
      <w:r w:rsidR="00506673">
        <w:t xml:space="preserve">26 </w:t>
      </w:r>
      <w:r w:rsidR="00967677">
        <w:t>May</w:t>
      </w:r>
      <w:r w:rsidR="00E70DD6">
        <w:t xml:space="preserve"> 202</w:t>
      </w:r>
      <w:r w:rsidR="006733ED">
        <w:t>6</w:t>
      </w:r>
      <w:r w:rsidRPr="004C21FA" w:rsidR="004C21FA">
        <w:t xml:space="preserve"> by </w:t>
      </w:r>
      <w:r w:rsidR="006733ED">
        <w:t>7</w:t>
      </w:r>
      <w:r w:rsidR="000979F6">
        <w:t>1</w:t>
      </w:r>
      <w:r w:rsidRPr="004C21FA" w:rsidR="004C21FA">
        <w:t xml:space="preserve"> votes</w:t>
      </w:r>
      <w:r w:rsidR="00F41CD8">
        <w:t xml:space="preserve"> </w:t>
      </w:r>
      <w:r w:rsidR="007201DC">
        <w:t>and</w:t>
      </w:r>
      <w:r w:rsidR="004C21FA">
        <w:t xml:space="preserve"> </w:t>
      </w:r>
      <w:r w:rsidR="000979F6">
        <w:t>two</w:t>
      </w:r>
      <w:r w:rsidR="007201DC">
        <w:t xml:space="preserve"> abstention</w:t>
      </w:r>
      <w:r w:rsidR="00E70DD6">
        <w:t>s</w:t>
      </w:r>
      <w:r w:rsidRPr="004C21FA" w:rsidR="004C21FA">
        <w:t>.</w:t>
      </w:r>
    </w:p>
    <w:p w:rsidRPr="00A67235" w:rsidR="000E4B6B" w:rsidP="00EC0F0F" w:rsidRDefault="000E4B6B" w14:paraId="2708AAF4" w14:textId="77777777"/>
    <w:p w:rsidRPr="003321EC" w:rsidR="00BA48CB" w:rsidP="00BA48CB" w:rsidRDefault="00BA48CB" w14:paraId="7D34751E" w14:textId="465414A3">
      <w:r w:rsidRPr="003321EC">
        <w:rPr>
          <w:b/>
          <w:bCs/>
        </w:rPr>
        <w:t>M</w:t>
      </w:r>
      <w:r w:rsidR="003F42FE">
        <w:rPr>
          <w:b/>
          <w:bCs/>
        </w:rPr>
        <w:t>r Boland</w:t>
      </w:r>
      <w:r w:rsidR="005A249E">
        <w:rPr>
          <w:b/>
          <w:bCs/>
        </w:rPr>
        <w:t xml:space="preserve"> </w:t>
      </w:r>
      <w:r w:rsidRPr="003321EC">
        <w:t xml:space="preserve">gives the floor to the rapporteur </w:t>
      </w:r>
      <w:r w:rsidRPr="003321EC">
        <w:rPr>
          <w:b/>
          <w:bCs/>
        </w:rPr>
        <w:t xml:space="preserve">Mr </w:t>
      </w:r>
      <w:r w:rsidR="000979F6">
        <w:rPr>
          <w:b/>
          <w:bCs/>
        </w:rPr>
        <w:t>Kolbe</w:t>
      </w:r>
      <w:r w:rsidRPr="003321EC">
        <w:t>, who introduces the opinion</w:t>
      </w:r>
      <w:r w:rsidRPr="006D4FFA" w:rsidR="006D4FFA">
        <w:t>.</w:t>
      </w:r>
    </w:p>
    <w:p w:rsidR="00F56241" w:rsidP="00585CF6" w:rsidRDefault="00F56241" w14:paraId="323EF0A1" w14:textId="5223BCBD">
      <w:pPr>
        <w:pStyle w:val="ListParagraph"/>
        <w:ind w:left="0"/>
      </w:pPr>
    </w:p>
    <w:p w:rsidR="009739C9" w:rsidP="003F42FE" w:rsidRDefault="00F82A85" w14:paraId="15B23ACF" w14:textId="6E5C8C89">
      <w:pPr>
        <w:spacing w:line="300" w:lineRule="atLeast"/>
      </w:pPr>
      <w:r w:rsidRPr="00F82A85">
        <w:rPr>
          <w:b/>
          <w:bCs/>
        </w:rPr>
        <w:t xml:space="preserve">Mr </w:t>
      </w:r>
      <w:r w:rsidR="000979F6">
        <w:rPr>
          <w:b/>
          <w:bCs/>
        </w:rPr>
        <w:t>Kolbe</w:t>
      </w:r>
      <w:r w:rsidRPr="00F82A85">
        <w:t xml:space="preserve"> </w:t>
      </w:r>
      <w:r w:rsidR="003D0671">
        <w:t xml:space="preserve">underlines the added value of the New European Bauhaus </w:t>
      </w:r>
      <w:r w:rsidR="00E827DF">
        <w:t xml:space="preserve">(NEB) </w:t>
      </w:r>
      <w:r w:rsidR="003D0671">
        <w:t>and how crucial its correct implementation is</w:t>
      </w:r>
      <w:r w:rsidR="00D82EC0">
        <w:t xml:space="preserve">; this </w:t>
      </w:r>
      <w:r w:rsidR="003D0671">
        <w:t xml:space="preserve">should </w:t>
      </w:r>
      <w:r w:rsidR="005C5109">
        <w:t xml:space="preserve">also </w:t>
      </w:r>
      <w:r w:rsidR="003D0671">
        <w:t xml:space="preserve">be measurable. He </w:t>
      </w:r>
      <w:r w:rsidR="005C5109">
        <w:t xml:space="preserve">therefore </w:t>
      </w:r>
      <w:r w:rsidR="003F42FE">
        <w:t>calls</w:t>
      </w:r>
      <w:r w:rsidR="003D0671">
        <w:t xml:space="preserve"> </w:t>
      </w:r>
      <w:r w:rsidR="003F42FE">
        <w:t>on the European Commission to develop K</w:t>
      </w:r>
      <w:r w:rsidR="00C948A6">
        <w:t xml:space="preserve">ey </w:t>
      </w:r>
      <w:r w:rsidR="003F42FE">
        <w:t>P</w:t>
      </w:r>
      <w:r w:rsidR="00C948A6">
        <w:t xml:space="preserve">erformance </w:t>
      </w:r>
      <w:r w:rsidR="003F42FE">
        <w:t>I</w:t>
      </w:r>
      <w:r w:rsidR="00C948A6">
        <w:t>ndicator</w:t>
      </w:r>
      <w:r w:rsidR="003F42FE">
        <w:t>s for the horizontal</w:t>
      </w:r>
      <w:r w:rsidR="00B56AFA">
        <w:t>,</w:t>
      </w:r>
      <w:r w:rsidR="003F42FE">
        <w:t xml:space="preserve"> cross-cutting implementation of the values and principles of the New European Bauhaus (NEB) in new and revised EU policies and regulatory acts</w:t>
      </w:r>
      <w:r w:rsidR="00C948A6">
        <w:t>.</w:t>
      </w:r>
    </w:p>
    <w:p w:rsidR="003F42FE" w:rsidP="003F42FE" w:rsidRDefault="009739C9" w14:paraId="4996D111" w14:textId="6F8844A6">
      <w:pPr>
        <w:spacing w:line="300" w:lineRule="atLeast"/>
      </w:pPr>
      <w:r>
        <w:t>Mr. Kolbe</w:t>
      </w:r>
      <w:r w:rsidR="003F42FE">
        <w:t xml:space="preserve"> underlines the </w:t>
      </w:r>
      <w:r w:rsidR="00AC48B6">
        <w:t>close link between</w:t>
      </w:r>
      <w:r w:rsidR="003F42FE">
        <w:t xml:space="preserve"> the NEB and the Affordable Housing policies as well as the need for the next NEB implementation step to focus on investment in sustainable, affordable and quality housing.</w:t>
      </w:r>
    </w:p>
    <w:p w:rsidR="003F42FE" w:rsidP="003F42FE" w:rsidRDefault="003F42FE" w14:paraId="39DF43F4" w14:textId="7E8ADA06">
      <w:pPr>
        <w:spacing w:line="300" w:lineRule="atLeast"/>
      </w:pPr>
      <w:r>
        <w:t xml:space="preserve">He welcomes the </w:t>
      </w:r>
      <w:r w:rsidR="001D2964">
        <w:t>proposal for a</w:t>
      </w:r>
      <w:r>
        <w:t xml:space="preserve"> </w:t>
      </w:r>
      <w:r w:rsidR="009739C9">
        <w:t xml:space="preserve">Council </w:t>
      </w:r>
      <w:r>
        <w:t>Recommendation on the NEB and calls on the EU Member States to act on it as a bridge between the EU and regional</w:t>
      </w:r>
      <w:r w:rsidR="00097BC8">
        <w:t xml:space="preserve"> and </w:t>
      </w:r>
      <w:r>
        <w:t>local level</w:t>
      </w:r>
      <w:r w:rsidR="009440B6">
        <w:t>s</w:t>
      </w:r>
      <w:r>
        <w:t>, as, in this context, coordinating measures at the EU level can provide clear added value while respecting subsidiarity.</w:t>
      </w:r>
    </w:p>
    <w:p w:rsidRPr="003F42FE" w:rsidR="00B52578" w:rsidP="003F42FE" w:rsidRDefault="003F42FE" w14:paraId="777864AB" w14:textId="2FDB0C78">
      <w:pPr>
        <w:spacing w:line="300" w:lineRule="atLeast"/>
        <w:rPr>
          <w:rFonts w:ascii="Segoe UI" w:hAnsi="Segoe UI" w:cs="Segoe UI"/>
          <w:sz w:val="21"/>
          <w:szCs w:val="21"/>
          <w:lang w:val="en-US" w:eastAsia="en-GB"/>
        </w:rPr>
      </w:pPr>
      <w:r>
        <w:t>He highlights that in the upcoming revision of the Public Procurement Directives the Commission should stipulate that public authorities give precedence to life</w:t>
      </w:r>
      <w:r w:rsidR="002C1E5B">
        <w:t>-</w:t>
      </w:r>
      <w:r>
        <w:t>cycle and quality criteria for services shaping the built environment. Moreover</w:t>
      </w:r>
      <w:r w:rsidR="00CF095C">
        <w:t>,</w:t>
      </w:r>
      <w:r>
        <w:t xml:space="preserve"> professional excellence should be enhanced, not diminished, as a crucial basis for implementing NEB principles, while ensuring accessible upskilling opportunities, particularly for employees, professionals and SMEs.</w:t>
      </w:r>
    </w:p>
    <w:p w:rsidR="008E40B6" w:rsidP="008E40B6" w:rsidRDefault="008E40B6" w14:paraId="45C7308D" w14:textId="77777777">
      <w:pPr>
        <w:pStyle w:val="ListParagraph"/>
        <w:ind w:left="0"/>
      </w:pPr>
    </w:p>
    <w:p w:rsidRPr="00E83DB7" w:rsidR="008E40B6" w:rsidP="008E40B6" w:rsidRDefault="008E40B6" w14:paraId="6F9F18BA" w14:textId="017A2DD7">
      <w:pPr>
        <w:pStyle w:val="ListParagraph"/>
        <w:ind w:left="0"/>
      </w:pPr>
      <w:r w:rsidRPr="00E83DB7">
        <w:rPr>
          <w:b/>
          <w:bCs/>
          <w:lang w:val="en-US"/>
        </w:rPr>
        <w:t>M</w:t>
      </w:r>
      <w:r w:rsidRPr="00E83DB7" w:rsidR="003F42FE">
        <w:rPr>
          <w:b/>
          <w:bCs/>
          <w:lang w:val="en-US"/>
        </w:rPr>
        <w:t>r</w:t>
      </w:r>
      <w:r w:rsidR="00252DA8">
        <w:rPr>
          <w:b/>
          <w:bCs/>
          <w:lang w:val="en-US"/>
        </w:rPr>
        <w:t xml:space="preserve">. </w:t>
      </w:r>
      <w:r w:rsidRPr="00E83DB7" w:rsidR="003F42FE">
        <w:rPr>
          <w:b/>
          <w:bCs/>
          <w:lang w:val="en-US"/>
        </w:rPr>
        <w:t xml:space="preserve">Boland </w:t>
      </w:r>
      <w:r w:rsidRPr="00E83DB7">
        <w:t xml:space="preserve">then opens the debate. </w:t>
      </w:r>
      <w:r w:rsidRPr="00252DA8" w:rsidR="008C6AB7">
        <w:rPr>
          <w:b/>
          <w:bCs/>
        </w:rPr>
        <w:t>Ms. Mura</w:t>
      </w:r>
      <w:r w:rsidRPr="00252DA8" w:rsidR="00694400">
        <w:rPr>
          <w:b/>
          <w:bCs/>
        </w:rPr>
        <w:t>fa Benga</w:t>
      </w:r>
      <w:r w:rsidRPr="00E83DB7" w:rsidR="00694400">
        <w:t xml:space="preserve"> (RO-III), </w:t>
      </w:r>
      <w:r w:rsidRPr="00E83DB7" w:rsidR="00CB7BA6">
        <w:rPr>
          <w:b/>
          <w:bCs/>
        </w:rPr>
        <w:t xml:space="preserve">Mr. </w:t>
      </w:r>
      <w:r w:rsidRPr="00E83DB7" w:rsidR="002C1E5B">
        <w:rPr>
          <w:b/>
          <w:bCs/>
        </w:rPr>
        <w:t>G</w:t>
      </w:r>
      <w:r w:rsidR="002A233B">
        <w:rPr>
          <w:b/>
          <w:bCs/>
        </w:rPr>
        <w:t>á</w:t>
      </w:r>
      <w:r w:rsidRPr="00E83DB7" w:rsidR="002C1E5B">
        <w:rPr>
          <w:b/>
          <w:bCs/>
        </w:rPr>
        <w:t xml:space="preserve">bor </w:t>
      </w:r>
      <w:r w:rsidRPr="00E83DB7" w:rsidR="00694400">
        <w:rPr>
          <w:b/>
          <w:bCs/>
        </w:rPr>
        <w:t>É</w:t>
      </w:r>
      <w:r w:rsidRPr="00E83DB7" w:rsidR="002077F3">
        <w:rPr>
          <w:b/>
          <w:bCs/>
        </w:rPr>
        <w:t>l</w:t>
      </w:r>
      <w:r w:rsidR="00771775">
        <w:rPr>
          <w:b/>
          <w:bCs/>
        </w:rPr>
        <w:t>ő</w:t>
      </w:r>
      <w:r w:rsidRPr="00E83DB7" w:rsidR="002077F3">
        <w:rPr>
          <w:b/>
          <w:bCs/>
        </w:rPr>
        <w:t xml:space="preserve"> </w:t>
      </w:r>
      <w:r w:rsidRPr="00E83DB7" w:rsidR="00CB7BA6">
        <w:t>(</w:t>
      </w:r>
      <w:r w:rsidRPr="00E83DB7" w:rsidR="007072E9">
        <w:t>HU</w:t>
      </w:r>
      <w:r w:rsidRPr="00E83DB7" w:rsidR="00CB7BA6">
        <w:t xml:space="preserve">‑II) </w:t>
      </w:r>
      <w:r w:rsidRPr="00E83DB7">
        <w:t>speak on the following issues:</w:t>
      </w:r>
    </w:p>
    <w:p w:rsidRPr="00E83DB7" w:rsidR="007072E9" w:rsidP="00E83DB7" w:rsidRDefault="007072E9" w14:paraId="78CACFD7" w14:textId="285CEC80">
      <w:pPr>
        <w:pStyle w:val="ListParagraph"/>
        <w:numPr>
          <w:ilvl w:val="0"/>
          <w:numId w:val="9"/>
        </w:numPr>
      </w:pPr>
      <w:r w:rsidRPr="00E83DB7">
        <w:t>Life</w:t>
      </w:r>
      <w:r w:rsidR="002A233B">
        <w:t>-</w:t>
      </w:r>
      <w:r w:rsidRPr="00E83DB7">
        <w:t xml:space="preserve">cycle and quality criteria should be fully included in </w:t>
      </w:r>
      <w:r w:rsidRPr="00E83DB7" w:rsidR="00240432">
        <w:t xml:space="preserve">public procurement </w:t>
      </w:r>
      <w:r w:rsidR="002A233B">
        <w:t>legislation</w:t>
      </w:r>
      <w:r w:rsidRPr="00E83DB7" w:rsidR="00240432">
        <w:t>;</w:t>
      </w:r>
    </w:p>
    <w:p w:rsidRPr="00E83DB7" w:rsidR="008A3734" w:rsidP="00E83DB7" w:rsidRDefault="008A3734" w14:paraId="62672A0D" w14:textId="49E3699F">
      <w:pPr>
        <w:pStyle w:val="ListParagraph"/>
        <w:numPr>
          <w:ilvl w:val="0"/>
          <w:numId w:val="9"/>
        </w:numPr>
      </w:pPr>
      <w:r w:rsidRPr="00E83DB7">
        <w:t xml:space="preserve">The increase </w:t>
      </w:r>
      <w:r w:rsidR="00913D97">
        <w:t>in</w:t>
      </w:r>
      <w:r w:rsidRPr="00E83DB7" w:rsidR="00913D97">
        <w:t xml:space="preserve"> </w:t>
      </w:r>
      <w:r w:rsidRPr="00E83DB7">
        <w:t xml:space="preserve">housing prices is </w:t>
      </w:r>
      <w:r w:rsidR="00913D97">
        <w:t>affecting</w:t>
      </w:r>
      <w:r w:rsidRPr="00E83DB7" w:rsidR="00913D97">
        <w:t xml:space="preserve"> </w:t>
      </w:r>
      <w:r w:rsidR="00913D97">
        <w:t>several</w:t>
      </w:r>
      <w:r w:rsidRPr="00E83DB7" w:rsidR="00913D97">
        <w:t xml:space="preserve"> </w:t>
      </w:r>
      <w:r w:rsidRPr="00E83DB7" w:rsidR="00246022">
        <w:t>European countries</w:t>
      </w:r>
      <w:r w:rsidR="00913D97">
        <w:t xml:space="preserve">. </w:t>
      </w:r>
      <w:r w:rsidR="00F20E4B">
        <w:t xml:space="preserve">In this respect, </w:t>
      </w:r>
      <w:r w:rsidRPr="00E83DB7" w:rsidR="00246022">
        <w:t>public</w:t>
      </w:r>
      <w:r w:rsidR="00F20E4B">
        <w:t>-</w:t>
      </w:r>
      <w:r w:rsidRPr="00E83DB7" w:rsidR="00246022">
        <w:t xml:space="preserve">private partnerships could </w:t>
      </w:r>
      <w:r w:rsidRPr="00E83DB7" w:rsidR="00BA02E0">
        <w:t xml:space="preserve">provide a solution to </w:t>
      </w:r>
      <w:r w:rsidR="00A21AAF">
        <w:t>improve</w:t>
      </w:r>
      <w:r w:rsidRPr="00E83DB7" w:rsidR="00A21AAF">
        <w:t xml:space="preserve"> </w:t>
      </w:r>
      <w:r w:rsidRPr="00E83DB7" w:rsidR="00BA02E0">
        <w:t xml:space="preserve">housing </w:t>
      </w:r>
      <w:r w:rsidRPr="00E83DB7" w:rsidR="00E83DB7">
        <w:t>affordability.</w:t>
      </w:r>
    </w:p>
    <w:p w:rsidR="00FD45E7" w:rsidP="005041EB" w:rsidRDefault="00FD45E7" w14:paraId="6AC32778" w14:textId="77777777">
      <w:pPr>
        <w:rPr>
          <w:szCs w:val="18"/>
        </w:rPr>
      </w:pPr>
    </w:p>
    <w:p w:rsidR="005041EB" w:rsidP="005041EB" w:rsidRDefault="00AE468A" w14:paraId="631AAAED" w14:textId="621C179F">
      <w:pPr>
        <w:rPr>
          <w:szCs w:val="18"/>
        </w:rPr>
      </w:pPr>
      <w:r w:rsidRPr="00CD65CD">
        <w:rPr>
          <w:szCs w:val="18"/>
        </w:rPr>
        <w:t>Following the debate, the Assembly examines the amendments to the Section opinion.</w:t>
      </w:r>
    </w:p>
    <w:p w:rsidR="006733ED" w:rsidP="005041EB" w:rsidRDefault="006733ED" w14:paraId="1006B943" w14:textId="77777777">
      <w:pPr>
        <w:rPr>
          <w:szCs w:val="18"/>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6A2BE0" w:rsidTr="001E62F9" w14:paraId="0EFBF474" w14:textId="77777777">
        <w:tc>
          <w:tcPr>
            <w:tcW w:w="2826" w:type="pct"/>
          </w:tcPr>
          <w:p w:rsidR="006A2BE0" w:rsidP="001E62F9" w:rsidRDefault="006A2BE0" w14:paraId="1A7DBE93" w14:textId="77777777">
            <w:pPr>
              <w:rPr>
                <w:b/>
                <w:bCs/>
                <w:sz w:val="32"/>
                <w:szCs w:val="32"/>
              </w:rPr>
            </w:pPr>
            <w:r>
              <w:rPr>
                <w:b/>
                <w:bCs/>
                <w:sz w:val="32"/>
                <w:szCs w:val="32"/>
              </w:rPr>
              <w:t>AMENDMENT 1</w:t>
            </w:r>
          </w:p>
          <w:p w:rsidR="006A2BE0" w:rsidP="001E62F9" w:rsidRDefault="006A2BE0" w14:paraId="6504DC9A" w14:textId="77777777">
            <w:pPr>
              <w:rPr>
                <w:b/>
                <w:bCs/>
              </w:rPr>
            </w:pPr>
          </w:p>
          <w:p w:rsidR="006A2BE0" w:rsidP="001E62F9" w:rsidRDefault="006A2BE0" w14:paraId="068FD990" w14:textId="77777777">
            <w:pPr>
              <w:rPr>
                <w:b/>
                <w:bCs/>
              </w:rPr>
            </w:pPr>
            <w:r>
              <w:rPr>
                <w:b/>
                <w:bCs/>
              </w:rPr>
              <w:t>TEN/873</w:t>
            </w:r>
          </w:p>
          <w:p w:rsidR="006A2BE0" w:rsidP="001E62F9" w:rsidRDefault="006A2BE0" w14:paraId="579A2614" w14:textId="77777777">
            <w:pPr>
              <w:rPr>
                <w:b/>
                <w:bCs/>
              </w:rPr>
            </w:pPr>
            <w:r>
              <w:rPr>
                <w:b/>
                <w:bCs/>
              </w:rPr>
              <w:t xml:space="preserve">Implementing the New European Bauhaus </w:t>
            </w:r>
          </w:p>
          <w:p w:rsidR="006A2BE0" w:rsidP="001E62F9" w:rsidRDefault="006A2BE0" w14:paraId="4FB3B305" w14:textId="77777777">
            <w:pPr>
              <w:rPr>
                <w:b/>
                <w:bCs/>
              </w:rPr>
            </w:pPr>
          </w:p>
          <w:p w:rsidR="006A2BE0" w:rsidP="001E62F9" w:rsidRDefault="006A2BE0" w14:paraId="3BE793EB" w14:textId="77777777">
            <w:pPr>
              <w:rPr>
                <w:b/>
                <w:bCs/>
              </w:rPr>
            </w:pPr>
            <w:r>
              <w:rPr>
                <w:b/>
                <w:bCs/>
              </w:rPr>
              <w:t>Point 3.1.1</w:t>
            </w:r>
          </w:p>
          <w:p w:rsidR="006A2BE0" w:rsidP="001E62F9" w:rsidRDefault="006A2BE0" w14:paraId="3E2274B0" w14:textId="77777777">
            <w:pPr>
              <w:rPr>
                <w:b/>
                <w:bCs/>
              </w:rPr>
            </w:pPr>
          </w:p>
          <w:p w:rsidR="006A2BE0" w:rsidP="001E62F9" w:rsidRDefault="006A2BE0" w14:paraId="4AE3675E" w14:textId="77777777">
            <w:pPr>
              <w:rPr>
                <w:b/>
                <w:bCs/>
              </w:rPr>
            </w:pPr>
            <w:r>
              <w:rPr>
                <w:b/>
                <w:bCs/>
              </w:rPr>
              <w:t>Amend as follows</w:t>
            </w:r>
          </w:p>
        </w:tc>
        <w:tc>
          <w:tcPr>
            <w:tcW w:w="2174" w:type="pct"/>
            <w:hideMark/>
          </w:tcPr>
          <w:p w:rsidR="006A2BE0" w:rsidP="001E62F9" w:rsidRDefault="006A2BE0" w14:paraId="11015C6A" w14:textId="77777777">
            <w:pPr>
              <w:jc w:val="left"/>
              <w:rPr>
                <w:b/>
                <w:bCs/>
              </w:rPr>
            </w:pPr>
            <w:r>
              <w:rPr>
                <w:b/>
                <w:bCs/>
              </w:rPr>
              <w:t>Tabled by:</w:t>
            </w:r>
          </w:p>
          <w:p w:rsidR="006A2BE0" w:rsidP="001E62F9" w:rsidRDefault="006A2BE0" w14:paraId="7C430B1F" w14:textId="77777777">
            <w:pPr>
              <w:jc w:val="left"/>
            </w:pPr>
            <w:r>
              <w:t>DE MÛELENAERE Robert</w:t>
            </w:r>
          </w:p>
          <w:p w:rsidR="006A2BE0" w:rsidP="001E62F9" w:rsidRDefault="006A2BE0" w14:paraId="330EA271" w14:textId="77777777">
            <w:pPr>
              <w:jc w:val="left"/>
            </w:pPr>
            <w:r>
              <w:t>KATTNIG Thomas</w:t>
            </w:r>
          </w:p>
          <w:p w:rsidR="006A2BE0" w:rsidP="001E62F9" w:rsidRDefault="006A2BE0" w14:paraId="537A9E65" w14:textId="77777777">
            <w:pPr>
              <w:jc w:val="left"/>
            </w:pPr>
            <w:r>
              <w:t>KOLBE Rudolf</w:t>
            </w:r>
          </w:p>
          <w:p w:rsidR="006A2BE0" w:rsidP="001E62F9" w:rsidRDefault="006A2BE0" w14:paraId="221B5E43" w14:textId="77777777"/>
        </w:tc>
      </w:tr>
    </w:tbl>
    <w:p w:rsidR="006A2BE0" w:rsidP="006A2BE0" w:rsidRDefault="006A2BE0" w14:paraId="72DDBDE2"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6A2BE0" w:rsidTr="001E62F9" w14:paraId="6EC0071D" w14:textId="77777777">
        <w:tc>
          <w:tcPr>
            <w:tcW w:w="2500" w:type="pct"/>
            <w:tcBorders>
              <w:top w:val="single" w:color="auto" w:sz="4" w:space="0"/>
              <w:left w:val="single" w:color="auto" w:sz="4" w:space="0"/>
              <w:bottom w:val="single" w:color="auto" w:sz="4" w:space="0"/>
              <w:right w:val="single" w:color="auto" w:sz="4" w:space="0"/>
            </w:tcBorders>
            <w:hideMark/>
          </w:tcPr>
          <w:p w:rsidR="006A2BE0" w:rsidP="001E62F9" w:rsidRDefault="006A2BE0" w14:paraId="3FCA8CB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6A2BE0" w:rsidP="001E62F9" w:rsidRDefault="006A2BE0" w14:paraId="588483C5" w14:textId="77777777">
            <w:pPr>
              <w:jc w:val="center"/>
              <w:rPr>
                <w:b/>
                <w:bCs/>
                <w:i/>
              </w:rPr>
            </w:pPr>
            <w:r>
              <w:rPr>
                <w:b/>
                <w:bCs/>
                <w:i/>
              </w:rPr>
              <w:t>Amendment</w:t>
            </w:r>
          </w:p>
        </w:tc>
      </w:tr>
      <w:tr w:rsidR="006A2BE0" w:rsidTr="001E62F9" w14:paraId="55180BA0" w14:textId="77777777">
        <w:tc>
          <w:tcPr>
            <w:tcW w:w="2500" w:type="pct"/>
            <w:tcBorders>
              <w:top w:val="single" w:color="auto" w:sz="4" w:space="0"/>
              <w:left w:val="single" w:color="auto" w:sz="4" w:space="0"/>
              <w:bottom w:val="single" w:color="auto" w:sz="4" w:space="0"/>
              <w:right w:val="single" w:color="auto" w:sz="4" w:space="0"/>
            </w:tcBorders>
            <w:hideMark/>
          </w:tcPr>
          <w:p w:rsidR="006A2BE0" w:rsidP="001E62F9" w:rsidRDefault="006A2BE0" w14:paraId="57DDC89D" w14:textId="77777777">
            <w:pPr>
              <w:spacing w:before="80" w:after="40"/>
              <w:ind w:left="80" w:right="80"/>
            </w:pPr>
            <w:r>
              <w:t xml:space="preserve">Access to affordable, high-quality, sustainable, accessible, inclusive and resilient housing is both a social need and a social right and a key principle of the European Pillar of Social Rights. Housing is far more than shelter and has a major social dimension[1]: the EESC therefore stresses the need to closely link affordability with the NEB values of sustainability, aesthetics and inclusion. The Affordable Housing Plan’s approach of encouraging national reforms spatial planning, social housing, taxation and combatting the causes of the housing crisis such as shifts in demand, limited housing supply, rising construction costs and persistent productivity gaps is important, as </w:t>
            </w:r>
            <w:r>
              <w:rPr>
                <w:b/>
                <w:bCs/>
                <w:i/>
              </w:rPr>
              <w:t>subsidiarity</w:t>
            </w:r>
            <w:r>
              <w:t xml:space="preserve"> in this context can </w:t>
            </w:r>
            <w:r>
              <w:rPr>
                <w:b/>
                <w:bCs/>
                <w:i/>
              </w:rPr>
              <w:t>hinder effective solutions</w:t>
            </w:r>
            <w:r>
              <w:t>.</w:t>
            </w:r>
          </w:p>
          <w:p w:rsidR="006A2BE0" w:rsidP="001E62F9" w:rsidRDefault="006A2BE0" w14:paraId="72660A38" w14:textId="77777777">
            <w:pPr>
              <w:spacing w:before="40" w:after="80"/>
              <w:ind w:left="80" w:right="80"/>
            </w:pPr>
            <w:r>
              <w:t>[1] See EESC Opinion TEN/841, Social housing in the EU – decent, sustainable and affordable, and EESC Opinion ECO/663, Affordable housing: Cohesion policy, Urban Agenda and civil society.</w:t>
            </w:r>
          </w:p>
        </w:tc>
        <w:tc>
          <w:tcPr>
            <w:tcW w:w="2500" w:type="pct"/>
            <w:tcBorders>
              <w:top w:val="single" w:color="auto" w:sz="4" w:space="0"/>
              <w:left w:val="single" w:color="auto" w:sz="4" w:space="0"/>
              <w:bottom w:val="single" w:color="auto" w:sz="4" w:space="0"/>
              <w:right w:val="single" w:color="auto" w:sz="4" w:space="0"/>
            </w:tcBorders>
            <w:hideMark/>
          </w:tcPr>
          <w:p w:rsidR="006A2BE0" w:rsidP="001E62F9" w:rsidRDefault="006A2BE0" w14:paraId="4FA308B8" w14:textId="77777777">
            <w:pPr>
              <w:spacing w:before="80" w:after="40"/>
              <w:ind w:left="80" w:right="80"/>
            </w:pPr>
            <w:r>
              <w:t xml:space="preserve">Access to affordable, high-quality, sustainable, accessible, inclusive and resilient housing is both a social need and a social right and a key principle of the European Pillar of Social Rights. Housing is far more than shelter and has a major social dimension[1]: the EESC therefore stresses the need to closely link affordability with the NEB values of sustainability, aesthetics and inclusion. The Affordable Housing Plan’s approach of encouraging national reforms </w:t>
            </w:r>
            <w:r w:rsidRPr="00385A1C">
              <w:rPr>
                <w:b/>
                <w:bCs/>
                <w:i/>
                <w:iCs/>
              </w:rPr>
              <w:t>on</w:t>
            </w:r>
            <w:r>
              <w:t xml:space="preserve"> spatial planning, social housing, taxation and combatting the causes of the housing crisis such as shifts in demand, limited housing supply, rising construction costs and persistent productivity gaps is important, as</w:t>
            </w:r>
            <w:r>
              <w:rPr>
                <w:b/>
                <w:bCs/>
                <w:i/>
              </w:rPr>
              <w:t>,</w:t>
            </w:r>
            <w:r>
              <w:t xml:space="preserve"> in this context</w:t>
            </w:r>
            <w:r>
              <w:rPr>
                <w:b/>
                <w:bCs/>
                <w:i/>
              </w:rPr>
              <w:t>, coordinating measures at EU level</w:t>
            </w:r>
            <w:r>
              <w:t xml:space="preserve"> can </w:t>
            </w:r>
            <w:r>
              <w:rPr>
                <w:b/>
                <w:bCs/>
                <w:i/>
              </w:rPr>
              <w:t>provide clear added value while respecting subsidiarity</w:t>
            </w:r>
            <w:r>
              <w:t>.</w:t>
            </w:r>
          </w:p>
          <w:p w:rsidR="006A2BE0" w:rsidP="001E62F9" w:rsidRDefault="006A2BE0" w14:paraId="3C9256C8" w14:textId="77777777">
            <w:pPr>
              <w:spacing w:before="40" w:after="80"/>
              <w:ind w:left="80" w:right="80"/>
            </w:pPr>
            <w:r>
              <w:t>[1] See EESC Opinion TEN/841, Social housing in the EU – decent, sustainable and affordable, and EESC Opinion ECO/663, Affordable housing: Cohesion policy, Urban Agenda and civil society.</w:t>
            </w:r>
          </w:p>
        </w:tc>
      </w:tr>
    </w:tbl>
    <w:p w:rsidR="006A2BE0" w:rsidP="006A2BE0" w:rsidRDefault="006A2BE0" w14:paraId="1682D238" w14:textId="77777777">
      <w:pPr>
        <w:jc w:val="center"/>
      </w:pPr>
    </w:p>
    <w:tbl>
      <w:tblPr>
        <w:tblStyle w:val="TableGrid"/>
        <w:tblW w:w="5000" w:type="pct"/>
        <w:tblLook w:val="01E0" w:firstRow="1" w:lastRow="1" w:firstColumn="1" w:lastColumn="1" w:noHBand="0" w:noVBand="0"/>
      </w:tblPr>
      <w:tblGrid>
        <w:gridCol w:w="9063"/>
      </w:tblGrid>
      <w:tr w:rsidR="006A2BE0" w:rsidTr="001E62F9" w14:paraId="02D568E8" w14:textId="77777777">
        <w:tc>
          <w:tcPr>
            <w:tcW w:w="5000" w:type="pct"/>
          </w:tcPr>
          <w:p w:rsidR="006A2BE0" w:rsidP="001E62F9" w:rsidRDefault="006A2BE0" w14:paraId="33C760B2" w14:textId="77777777">
            <w:pPr>
              <w:jc w:val="center"/>
            </w:pPr>
            <w:r>
              <w:rPr>
                <w:b/>
                <w:bCs/>
              </w:rPr>
              <w:t>Reason</w:t>
            </w:r>
          </w:p>
        </w:tc>
      </w:tr>
      <w:tr w:rsidR="006A2BE0" w:rsidTr="001E62F9" w14:paraId="641B81A9" w14:textId="77777777">
        <w:tc>
          <w:tcPr>
            <w:tcW w:w="5000" w:type="pct"/>
            <w:hideMark/>
          </w:tcPr>
          <w:p w:rsidR="006A2BE0" w:rsidP="001E62F9" w:rsidRDefault="006A2BE0" w14:paraId="50263065" w14:textId="77777777">
            <w:r>
              <w:t xml:space="preserve">The wording now proposed avoids the possibility of misinterpreting the original text with regard to subsidiarity. </w:t>
            </w:r>
          </w:p>
        </w:tc>
      </w:tr>
    </w:tbl>
    <w:p w:rsidR="006A2BE0" w:rsidP="006A2BE0" w:rsidRDefault="006A2BE0" w14:paraId="7250FC1A" w14:textId="77777777"/>
    <w:p w:rsidR="006A2BE0" w:rsidP="006A2BE0" w:rsidRDefault="006A2BE0" w14:paraId="74CC7F19" w14:textId="77777777">
      <w:r w:rsidRPr="00395758">
        <w:t>is accepted by the Assembly.</w:t>
      </w:r>
    </w:p>
    <w:p w:rsidR="006A2BE0" w:rsidP="006A2BE0" w:rsidRDefault="006A2BE0" w14:paraId="62834F97" w14:textId="77777777"/>
    <w:p w:rsidR="006A2BE0" w:rsidP="006A2BE0" w:rsidRDefault="006A2BE0" w14:paraId="46E05156"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6A2BE0" w:rsidTr="001E62F9" w14:paraId="0CDC774D" w14:textId="77777777">
        <w:tc>
          <w:tcPr>
            <w:tcW w:w="2826" w:type="pct"/>
          </w:tcPr>
          <w:p w:rsidR="006A2BE0" w:rsidP="001E62F9" w:rsidRDefault="006A2BE0" w14:paraId="4CF8491E" w14:textId="77777777">
            <w:pPr>
              <w:rPr>
                <w:b/>
                <w:bCs/>
                <w:sz w:val="32"/>
                <w:szCs w:val="32"/>
              </w:rPr>
            </w:pPr>
            <w:r>
              <w:rPr>
                <w:b/>
                <w:bCs/>
                <w:sz w:val="32"/>
                <w:szCs w:val="32"/>
              </w:rPr>
              <w:t>AMENDMENT 2</w:t>
            </w:r>
          </w:p>
          <w:p w:rsidR="006A2BE0" w:rsidP="001E62F9" w:rsidRDefault="006A2BE0" w14:paraId="6C19EFDE" w14:textId="77777777">
            <w:pPr>
              <w:rPr>
                <w:b/>
                <w:bCs/>
              </w:rPr>
            </w:pPr>
          </w:p>
          <w:p w:rsidR="006A2BE0" w:rsidP="001E62F9" w:rsidRDefault="006A2BE0" w14:paraId="3A140E09" w14:textId="77777777">
            <w:pPr>
              <w:rPr>
                <w:b/>
                <w:bCs/>
              </w:rPr>
            </w:pPr>
            <w:r>
              <w:rPr>
                <w:b/>
                <w:bCs/>
              </w:rPr>
              <w:t>TEN/873</w:t>
            </w:r>
          </w:p>
          <w:p w:rsidR="006A2BE0" w:rsidP="001E62F9" w:rsidRDefault="006A2BE0" w14:paraId="2E6B48CF" w14:textId="77777777">
            <w:pPr>
              <w:rPr>
                <w:b/>
                <w:bCs/>
              </w:rPr>
            </w:pPr>
            <w:r>
              <w:rPr>
                <w:b/>
                <w:bCs/>
              </w:rPr>
              <w:t xml:space="preserve">Implementing the New European Bauhaus </w:t>
            </w:r>
          </w:p>
          <w:p w:rsidR="006A2BE0" w:rsidP="001E62F9" w:rsidRDefault="006A2BE0" w14:paraId="64D5095C" w14:textId="77777777">
            <w:pPr>
              <w:rPr>
                <w:b/>
                <w:bCs/>
              </w:rPr>
            </w:pPr>
          </w:p>
          <w:p w:rsidR="006A2BE0" w:rsidP="001E62F9" w:rsidRDefault="006A2BE0" w14:paraId="5BD4F84B" w14:textId="77777777">
            <w:pPr>
              <w:rPr>
                <w:b/>
                <w:bCs/>
              </w:rPr>
            </w:pPr>
            <w:r>
              <w:rPr>
                <w:b/>
                <w:bCs/>
              </w:rPr>
              <w:t>Point 1.2</w:t>
            </w:r>
          </w:p>
          <w:p w:rsidR="006A2BE0" w:rsidP="001E62F9" w:rsidRDefault="006A2BE0" w14:paraId="14464857" w14:textId="77777777">
            <w:pPr>
              <w:rPr>
                <w:b/>
                <w:bCs/>
              </w:rPr>
            </w:pPr>
          </w:p>
          <w:p w:rsidR="006A2BE0" w:rsidP="001E62F9" w:rsidRDefault="006A2BE0" w14:paraId="6751E514" w14:textId="77777777">
            <w:pPr>
              <w:rPr>
                <w:b/>
                <w:bCs/>
              </w:rPr>
            </w:pPr>
            <w:r>
              <w:rPr>
                <w:b/>
                <w:bCs/>
              </w:rPr>
              <w:t>Amend as follows</w:t>
            </w:r>
          </w:p>
        </w:tc>
        <w:tc>
          <w:tcPr>
            <w:tcW w:w="2174" w:type="pct"/>
            <w:hideMark/>
          </w:tcPr>
          <w:p w:rsidR="006A2BE0" w:rsidP="001E62F9" w:rsidRDefault="006A2BE0" w14:paraId="4BCE284D" w14:textId="77777777">
            <w:pPr>
              <w:jc w:val="left"/>
              <w:rPr>
                <w:b/>
                <w:bCs/>
              </w:rPr>
            </w:pPr>
            <w:r>
              <w:rPr>
                <w:b/>
                <w:bCs/>
              </w:rPr>
              <w:t>Tabled by:</w:t>
            </w:r>
          </w:p>
          <w:p w:rsidR="006A2BE0" w:rsidP="001E62F9" w:rsidRDefault="006A2BE0" w14:paraId="3EECEB5D" w14:textId="77777777">
            <w:pPr>
              <w:jc w:val="left"/>
            </w:pPr>
            <w:r>
              <w:t>DE MÛELENAERE Robert</w:t>
            </w:r>
          </w:p>
          <w:p w:rsidR="006A2BE0" w:rsidP="001E62F9" w:rsidRDefault="006A2BE0" w14:paraId="220E1D03" w14:textId="77777777">
            <w:pPr>
              <w:jc w:val="left"/>
            </w:pPr>
            <w:r>
              <w:t>KATTNIG Thomas</w:t>
            </w:r>
          </w:p>
          <w:p w:rsidR="006A2BE0" w:rsidP="001E62F9" w:rsidRDefault="006A2BE0" w14:paraId="127BC7D8" w14:textId="77777777">
            <w:pPr>
              <w:jc w:val="left"/>
            </w:pPr>
            <w:r>
              <w:t>KOLBE Rudolf</w:t>
            </w:r>
          </w:p>
          <w:p w:rsidR="006A2BE0" w:rsidP="001E62F9" w:rsidRDefault="006A2BE0" w14:paraId="31AE7572" w14:textId="77777777"/>
        </w:tc>
      </w:tr>
    </w:tbl>
    <w:p w:rsidR="006A2BE0" w:rsidP="006A2BE0" w:rsidRDefault="006A2BE0" w14:paraId="00D97322"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6A2BE0" w:rsidTr="001E62F9" w14:paraId="01253AF5" w14:textId="77777777">
        <w:tc>
          <w:tcPr>
            <w:tcW w:w="2500" w:type="pct"/>
            <w:tcBorders>
              <w:top w:val="single" w:color="auto" w:sz="4" w:space="0"/>
              <w:left w:val="single" w:color="auto" w:sz="4" w:space="0"/>
              <w:bottom w:val="single" w:color="auto" w:sz="4" w:space="0"/>
              <w:right w:val="single" w:color="auto" w:sz="4" w:space="0"/>
            </w:tcBorders>
            <w:hideMark/>
          </w:tcPr>
          <w:p w:rsidR="006A2BE0" w:rsidP="001E62F9" w:rsidRDefault="006A2BE0" w14:paraId="31228EA2"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6A2BE0" w:rsidP="001E62F9" w:rsidRDefault="006A2BE0" w14:paraId="15C6A7EF" w14:textId="77777777">
            <w:pPr>
              <w:jc w:val="center"/>
              <w:rPr>
                <w:b/>
                <w:bCs/>
                <w:i/>
              </w:rPr>
            </w:pPr>
            <w:r>
              <w:rPr>
                <w:b/>
                <w:bCs/>
                <w:i/>
              </w:rPr>
              <w:t>Amendment</w:t>
            </w:r>
          </w:p>
        </w:tc>
      </w:tr>
      <w:tr w:rsidR="006A2BE0" w:rsidTr="001E62F9" w14:paraId="422D1323" w14:textId="77777777">
        <w:tc>
          <w:tcPr>
            <w:tcW w:w="2500" w:type="pct"/>
            <w:tcBorders>
              <w:top w:val="single" w:color="auto" w:sz="4" w:space="0"/>
              <w:left w:val="single" w:color="auto" w:sz="4" w:space="0"/>
              <w:bottom w:val="single" w:color="auto" w:sz="4" w:space="0"/>
              <w:right w:val="single" w:color="auto" w:sz="4" w:space="0"/>
            </w:tcBorders>
            <w:hideMark/>
          </w:tcPr>
          <w:p w:rsidR="006A2BE0" w:rsidP="001E62F9" w:rsidRDefault="006A2BE0" w14:paraId="0C536A8A" w14:textId="77777777">
            <w:pPr>
              <w:spacing w:before="80" w:after="80"/>
              <w:ind w:left="80" w:right="80"/>
            </w:pPr>
            <w:r>
              <w:t xml:space="preserve">The EESC welcomes the imminent adoption of the Recommendation on the NEB and calls on the EU Member States to act on </w:t>
            </w:r>
            <w:r>
              <w:rPr>
                <w:b/>
                <w:bCs/>
                <w:i/>
              </w:rPr>
              <w:t>them</w:t>
            </w:r>
            <w:r>
              <w:t xml:space="preserve"> as a bridge between the EU and regional/local level, as </w:t>
            </w:r>
            <w:r>
              <w:rPr>
                <w:b/>
                <w:bCs/>
                <w:i/>
              </w:rPr>
              <w:t>subsidiarity</w:t>
            </w:r>
            <w:r>
              <w:t xml:space="preserve"> can </w:t>
            </w:r>
            <w:r>
              <w:rPr>
                <w:b/>
                <w:bCs/>
                <w:i/>
              </w:rPr>
              <w:t>hinder the broad systemic implementation of NEB values and principles</w:t>
            </w:r>
            <w:r>
              <w:t>.</w:t>
            </w:r>
          </w:p>
        </w:tc>
        <w:tc>
          <w:tcPr>
            <w:tcW w:w="2500" w:type="pct"/>
            <w:tcBorders>
              <w:top w:val="single" w:color="auto" w:sz="4" w:space="0"/>
              <w:left w:val="single" w:color="auto" w:sz="4" w:space="0"/>
              <w:bottom w:val="single" w:color="auto" w:sz="4" w:space="0"/>
              <w:right w:val="single" w:color="auto" w:sz="4" w:space="0"/>
            </w:tcBorders>
            <w:hideMark/>
          </w:tcPr>
          <w:p w:rsidR="006A2BE0" w:rsidP="001E62F9" w:rsidRDefault="006A2BE0" w14:paraId="772ADB54" w14:textId="77777777">
            <w:pPr>
              <w:spacing w:before="80" w:after="80"/>
              <w:ind w:left="80" w:right="80"/>
            </w:pPr>
            <w:r>
              <w:t xml:space="preserve">The EESC welcomes the imminent adoption of the Recommendation on the NEB and calls on the EU Member States to act on </w:t>
            </w:r>
            <w:r>
              <w:rPr>
                <w:b/>
                <w:bCs/>
                <w:i/>
              </w:rPr>
              <w:t>it</w:t>
            </w:r>
            <w:r>
              <w:t xml:space="preserve"> as a bridge between the EU and regional/local level, as</w:t>
            </w:r>
            <w:r>
              <w:rPr>
                <w:b/>
                <w:bCs/>
                <w:i/>
              </w:rPr>
              <w:t>, in this context, coordinating measures at EU level</w:t>
            </w:r>
            <w:r>
              <w:t xml:space="preserve"> can </w:t>
            </w:r>
            <w:r>
              <w:rPr>
                <w:b/>
                <w:bCs/>
                <w:i/>
              </w:rPr>
              <w:t>provide clear added value while respecting subsidiarity</w:t>
            </w:r>
            <w:r>
              <w:t>.</w:t>
            </w:r>
          </w:p>
        </w:tc>
      </w:tr>
    </w:tbl>
    <w:p w:rsidR="006A2BE0" w:rsidP="006A2BE0" w:rsidRDefault="006A2BE0" w14:paraId="5643F5AA" w14:textId="77777777">
      <w:pPr>
        <w:jc w:val="center"/>
      </w:pPr>
    </w:p>
    <w:tbl>
      <w:tblPr>
        <w:tblStyle w:val="TableGrid"/>
        <w:tblW w:w="5000" w:type="pct"/>
        <w:tblLook w:val="01E0" w:firstRow="1" w:lastRow="1" w:firstColumn="1" w:lastColumn="1" w:noHBand="0" w:noVBand="0"/>
      </w:tblPr>
      <w:tblGrid>
        <w:gridCol w:w="9063"/>
      </w:tblGrid>
      <w:tr w:rsidR="006A2BE0" w:rsidTr="001E62F9" w14:paraId="59876FCC" w14:textId="77777777">
        <w:tc>
          <w:tcPr>
            <w:tcW w:w="5000" w:type="pct"/>
          </w:tcPr>
          <w:p w:rsidR="006A2BE0" w:rsidP="001E62F9" w:rsidRDefault="006A2BE0" w14:paraId="08344D55" w14:textId="77777777">
            <w:pPr>
              <w:jc w:val="center"/>
            </w:pPr>
            <w:r>
              <w:rPr>
                <w:b/>
                <w:bCs/>
              </w:rPr>
              <w:t>Reason</w:t>
            </w:r>
          </w:p>
        </w:tc>
      </w:tr>
      <w:tr w:rsidR="006A2BE0" w:rsidTr="001E62F9" w14:paraId="077B06ED" w14:textId="77777777">
        <w:tc>
          <w:tcPr>
            <w:tcW w:w="5000" w:type="pct"/>
            <w:hideMark/>
          </w:tcPr>
          <w:p w:rsidR="006A2BE0" w:rsidP="001E62F9" w:rsidRDefault="006A2BE0" w14:paraId="3BD8CE9C" w14:textId="77777777">
            <w:r>
              <w:t xml:space="preserve">The wording now proposed avoids the possibility of misinterpreting the original text with regard to subsidiarity. </w:t>
            </w:r>
          </w:p>
        </w:tc>
      </w:tr>
    </w:tbl>
    <w:p w:rsidR="006A2BE0" w:rsidP="006A2BE0" w:rsidRDefault="006A2BE0" w14:paraId="15C553D1" w14:textId="77777777"/>
    <w:p w:rsidR="00E01ECC" w:rsidP="00E01ECC" w:rsidRDefault="00E01ECC" w14:paraId="5244CE59" w14:textId="5B02F5F0">
      <w:r w:rsidRPr="00395758">
        <w:t>is accepted by the Assembly.</w:t>
      </w:r>
    </w:p>
    <w:p w:rsidR="005A249E" w:rsidP="00E01ECC" w:rsidRDefault="005A249E" w14:paraId="66759A7F" w14:textId="77777777"/>
    <w:p w:rsidRPr="00A67235" w:rsidR="00E70DD6" w:rsidP="00EC0F0F" w:rsidRDefault="00E70DD6" w14:paraId="136BED5F" w14:textId="77777777"/>
    <w:p w:rsidRPr="00A67235" w:rsidR="000E4B6B" w:rsidP="00EC0F0F" w:rsidRDefault="000E4B6B" w14:paraId="0133C75D" w14:textId="75DE54B4">
      <w:r w:rsidRPr="00A67235">
        <w:t xml:space="preserve">The opinion </w:t>
      </w:r>
      <w:r w:rsidR="0055372E">
        <w:t>i</w:t>
      </w:r>
      <w:r w:rsidRPr="00A67235">
        <w:t xml:space="preserve">s adopted </w:t>
      </w:r>
      <w:r w:rsidRPr="00FD45E7">
        <w:t>by</w:t>
      </w:r>
      <w:r w:rsidRPr="00FD45E7" w:rsidR="00177DAC">
        <w:t xml:space="preserve"> </w:t>
      </w:r>
      <w:r w:rsidRPr="00FD45E7" w:rsidR="00905868">
        <w:t>163</w:t>
      </w:r>
      <w:r w:rsidRPr="00FD45E7" w:rsidR="005A249E">
        <w:t xml:space="preserve"> </w:t>
      </w:r>
      <w:r w:rsidRPr="00FD45E7" w:rsidR="00B36F98">
        <w:t>votes</w:t>
      </w:r>
      <w:r w:rsidRPr="00FD45E7" w:rsidR="00395758">
        <w:t xml:space="preserve"> </w:t>
      </w:r>
      <w:r w:rsidRPr="00FD45E7" w:rsidR="00B36F98">
        <w:t xml:space="preserve">and </w:t>
      </w:r>
      <w:r w:rsidRPr="00FD45E7" w:rsidR="00905868">
        <w:t>3</w:t>
      </w:r>
      <w:r w:rsidRPr="00FD45E7" w:rsidR="00B36F98">
        <w:t xml:space="preserve"> abstention</w:t>
      </w:r>
      <w:r w:rsidRPr="00FD45E7" w:rsidR="004C21FA">
        <w:t>s</w:t>
      </w:r>
      <w:r w:rsidRPr="00FD45E7">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9DCF" w14:textId="77777777" w:rsidR="00563B2B" w:rsidRDefault="00563B2B">
      <w:r>
        <w:separator/>
      </w:r>
    </w:p>
  </w:endnote>
  <w:endnote w:type="continuationSeparator" w:id="0">
    <w:p w14:paraId="221F8EF6" w14:textId="77777777" w:rsidR="00563B2B" w:rsidRDefault="0056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36529E50" w:rsidR="00964A13" w:rsidRPr="00964A13" w:rsidRDefault="004C21FA" w:rsidP="00964A13">
    <w:pPr>
      <w:pStyle w:val="Footer"/>
    </w:pPr>
    <w:r>
      <w:t>TEN/8</w:t>
    </w:r>
    <w:r w:rsidR="006D4481">
      <w:t>7</w:t>
    </w:r>
    <w:r w:rsidR="005A249E">
      <w:t>3</w:t>
    </w:r>
    <w:r>
      <w:t xml:space="preserve"> – </w:t>
    </w:r>
    <w:r w:rsidR="00C311DE">
      <w:t>EESC-202</w:t>
    </w:r>
    <w:r w:rsidR="007E731F">
      <w:t>6</w:t>
    </w:r>
    <w:r w:rsidR="00C311DE">
      <w:t>-0</w:t>
    </w:r>
    <w:r w:rsidR="006D4481">
      <w:t>0440</w:t>
    </w:r>
    <w:r w:rsidR="007201DC">
      <w:t>-00-00</w:t>
    </w:r>
    <w:r w:rsidRPr="004C21FA">
      <w:t>-</w:t>
    </w:r>
    <w:r w:rsidR="00964A13">
      <w:t>CR-REF (</w:t>
    </w:r>
    <w:r w:rsidR="00BE2774">
      <w:t>EN</w:t>
    </w:r>
    <w:r w:rsidR="00964A13">
      <w:t xml:space="preserve">) </w:t>
    </w:r>
    <w:r w:rsidR="00964A13">
      <w:fldChar w:fldCharType="begin"/>
    </w:r>
    <w:r w:rsidR="00964A13">
      <w:instrText xml:space="preserve"> PAGE  \* Arabic  \* MERGEFORMAT </w:instrText>
    </w:r>
    <w:r w:rsidR="00964A13">
      <w:fldChar w:fldCharType="separate"/>
    </w:r>
    <w:r w:rsidR="00EB4794">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EB4794">
      <w:rPr>
        <w:noProof/>
      </w:rPr>
      <w:instrText>1</w:instrText>
    </w:r>
    <w:r w:rsidR="00964A13">
      <w:fldChar w:fldCharType="end"/>
    </w:r>
    <w:r w:rsidR="00964A13">
      <w:instrText xml:space="preserve"> -0 </w:instrText>
    </w:r>
    <w:r w:rsidR="00964A13">
      <w:fldChar w:fldCharType="separate"/>
    </w:r>
    <w:r w:rsidR="00EB4794">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237E2" w14:textId="77777777" w:rsidR="00563B2B" w:rsidRDefault="00563B2B">
      <w:r>
        <w:separator/>
      </w:r>
    </w:p>
  </w:footnote>
  <w:footnote w:type="continuationSeparator" w:id="0">
    <w:p w14:paraId="30463081" w14:textId="77777777" w:rsidR="00563B2B" w:rsidRDefault="0056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9F933A5"/>
    <w:multiLevelType w:val="hybridMultilevel"/>
    <w:tmpl w:val="03C4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E18DF"/>
    <w:multiLevelType w:val="hybridMultilevel"/>
    <w:tmpl w:val="BCCC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D6C25"/>
    <w:multiLevelType w:val="hybridMultilevel"/>
    <w:tmpl w:val="2E80433A"/>
    <w:lvl w:ilvl="0" w:tplc="080C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74850AC"/>
    <w:multiLevelType w:val="hybridMultilevel"/>
    <w:tmpl w:val="5850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690D9E"/>
    <w:multiLevelType w:val="hybridMultilevel"/>
    <w:tmpl w:val="93803CE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74745DAB"/>
    <w:multiLevelType w:val="hybridMultilevel"/>
    <w:tmpl w:val="71FAFD38"/>
    <w:lvl w:ilvl="0" w:tplc="08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2"/>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664A"/>
    <w:rsid w:val="00013D71"/>
    <w:rsid w:val="00013F5A"/>
    <w:rsid w:val="00036097"/>
    <w:rsid w:val="00040028"/>
    <w:rsid w:val="00052D5A"/>
    <w:rsid w:val="000575F7"/>
    <w:rsid w:val="0006464B"/>
    <w:rsid w:val="0009727F"/>
    <w:rsid w:val="000979F6"/>
    <w:rsid w:val="00097BC8"/>
    <w:rsid w:val="000B3441"/>
    <w:rsid w:val="000D6AA3"/>
    <w:rsid w:val="000E4B6B"/>
    <w:rsid w:val="000F03D6"/>
    <w:rsid w:val="00133210"/>
    <w:rsid w:val="00143A71"/>
    <w:rsid w:val="0015330A"/>
    <w:rsid w:val="0016227E"/>
    <w:rsid w:val="00164852"/>
    <w:rsid w:val="00165632"/>
    <w:rsid w:val="001766AB"/>
    <w:rsid w:val="00177DAC"/>
    <w:rsid w:val="001A2A15"/>
    <w:rsid w:val="001B4C16"/>
    <w:rsid w:val="001C7254"/>
    <w:rsid w:val="001D2964"/>
    <w:rsid w:val="001F14CF"/>
    <w:rsid w:val="001F1C88"/>
    <w:rsid w:val="00205CD5"/>
    <w:rsid w:val="002077F3"/>
    <w:rsid w:val="002346F9"/>
    <w:rsid w:val="00240432"/>
    <w:rsid w:val="00246022"/>
    <w:rsid w:val="00252DA8"/>
    <w:rsid w:val="002601CF"/>
    <w:rsid w:val="00273FDB"/>
    <w:rsid w:val="002925F3"/>
    <w:rsid w:val="00297572"/>
    <w:rsid w:val="002A233B"/>
    <w:rsid w:val="002C1E5B"/>
    <w:rsid w:val="002E2943"/>
    <w:rsid w:val="002E317A"/>
    <w:rsid w:val="00320C0B"/>
    <w:rsid w:val="0033272E"/>
    <w:rsid w:val="0033312F"/>
    <w:rsid w:val="003439B0"/>
    <w:rsid w:val="003876B5"/>
    <w:rsid w:val="00392924"/>
    <w:rsid w:val="00395758"/>
    <w:rsid w:val="003A16B5"/>
    <w:rsid w:val="003B459F"/>
    <w:rsid w:val="003C15D7"/>
    <w:rsid w:val="003C2604"/>
    <w:rsid w:val="003D0671"/>
    <w:rsid w:val="003E1619"/>
    <w:rsid w:val="003F42FE"/>
    <w:rsid w:val="00423299"/>
    <w:rsid w:val="004251CF"/>
    <w:rsid w:val="004369DD"/>
    <w:rsid w:val="00436FC5"/>
    <w:rsid w:val="00460CC5"/>
    <w:rsid w:val="004A0843"/>
    <w:rsid w:val="004A5831"/>
    <w:rsid w:val="004B002D"/>
    <w:rsid w:val="004C1631"/>
    <w:rsid w:val="004C21FA"/>
    <w:rsid w:val="004F4602"/>
    <w:rsid w:val="005041EB"/>
    <w:rsid w:val="00506673"/>
    <w:rsid w:val="00523051"/>
    <w:rsid w:val="00523CA7"/>
    <w:rsid w:val="0053459C"/>
    <w:rsid w:val="0055372E"/>
    <w:rsid w:val="00563B2B"/>
    <w:rsid w:val="00564B0D"/>
    <w:rsid w:val="005807C4"/>
    <w:rsid w:val="00585CF6"/>
    <w:rsid w:val="00590C1E"/>
    <w:rsid w:val="00595C33"/>
    <w:rsid w:val="005A249E"/>
    <w:rsid w:val="005B4271"/>
    <w:rsid w:val="005C5109"/>
    <w:rsid w:val="005E1A79"/>
    <w:rsid w:val="005E429A"/>
    <w:rsid w:val="005F5F8B"/>
    <w:rsid w:val="0060358F"/>
    <w:rsid w:val="00603CC9"/>
    <w:rsid w:val="00604EC1"/>
    <w:rsid w:val="00646E27"/>
    <w:rsid w:val="006733ED"/>
    <w:rsid w:val="00694400"/>
    <w:rsid w:val="006A2BE0"/>
    <w:rsid w:val="006D4481"/>
    <w:rsid w:val="006D4FFA"/>
    <w:rsid w:val="0070211E"/>
    <w:rsid w:val="007072E9"/>
    <w:rsid w:val="007201DC"/>
    <w:rsid w:val="00724BFB"/>
    <w:rsid w:val="0073571F"/>
    <w:rsid w:val="00757919"/>
    <w:rsid w:val="00771775"/>
    <w:rsid w:val="007A470B"/>
    <w:rsid w:val="007C6A55"/>
    <w:rsid w:val="007E731F"/>
    <w:rsid w:val="00815851"/>
    <w:rsid w:val="00823ABB"/>
    <w:rsid w:val="00826375"/>
    <w:rsid w:val="00830673"/>
    <w:rsid w:val="0083134A"/>
    <w:rsid w:val="00836086"/>
    <w:rsid w:val="00841CF1"/>
    <w:rsid w:val="0086272D"/>
    <w:rsid w:val="00862EFF"/>
    <w:rsid w:val="008953F1"/>
    <w:rsid w:val="008A371F"/>
    <w:rsid w:val="008A3734"/>
    <w:rsid w:val="008C6AB7"/>
    <w:rsid w:val="008C6C82"/>
    <w:rsid w:val="008E0097"/>
    <w:rsid w:val="008E40B6"/>
    <w:rsid w:val="008F0B2D"/>
    <w:rsid w:val="008F2211"/>
    <w:rsid w:val="00903DA1"/>
    <w:rsid w:val="00905868"/>
    <w:rsid w:val="00911202"/>
    <w:rsid w:val="00911975"/>
    <w:rsid w:val="00913D97"/>
    <w:rsid w:val="009326E3"/>
    <w:rsid w:val="009440B6"/>
    <w:rsid w:val="00944D03"/>
    <w:rsid w:val="00961F04"/>
    <w:rsid w:val="00964A13"/>
    <w:rsid w:val="00967677"/>
    <w:rsid w:val="00971143"/>
    <w:rsid w:val="0097354C"/>
    <w:rsid w:val="009739C9"/>
    <w:rsid w:val="0097513B"/>
    <w:rsid w:val="009E138D"/>
    <w:rsid w:val="00A14D3A"/>
    <w:rsid w:val="00A21175"/>
    <w:rsid w:val="00A21AAF"/>
    <w:rsid w:val="00A53158"/>
    <w:rsid w:val="00A64D59"/>
    <w:rsid w:val="00A6705B"/>
    <w:rsid w:val="00A67235"/>
    <w:rsid w:val="00AA20D4"/>
    <w:rsid w:val="00AC48B6"/>
    <w:rsid w:val="00AC59BB"/>
    <w:rsid w:val="00AE468A"/>
    <w:rsid w:val="00B0021F"/>
    <w:rsid w:val="00B002F0"/>
    <w:rsid w:val="00B04641"/>
    <w:rsid w:val="00B20A62"/>
    <w:rsid w:val="00B36F98"/>
    <w:rsid w:val="00B37A48"/>
    <w:rsid w:val="00B52578"/>
    <w:rsid w:val="00B56AFA"/>
    <w:rsid w:val="00BA02E0"/>
    <w:rsid w:val="00BA48CB"/>
    <w:rsid w:val="00BC55A7"/>
    <w:rsid w:val="00BE2774"/>
    <w:rsid w:val="00BE7410"/>
    <w:rsid w:val="00BF51D5"/>
    <w:rsid w:val="00C01632"/>
    <w:rsid w:val="00C05B64"/>
    <w:rsid w:val="00C16376"/>
    <w:rsid w:val="00C20BA1"/>
    <w:rsid w:val="00C311DE"/>
    <w:rsid w:val="00C32F40"/>
    <w:rsid w:val="00C4683E"/>
    <w:rsid w:val="00C70A05"/>
    <w:rsid w:val="00C87758"/>
    <w:rsid w:val="00C9047A"/>
    <w:rsid w:val="00C948A6"/>
    <w:rsid w:val="00CA3EA5"/>
    <w:rsid w:val="00CB7BA6"/>
    <w:rsid w:val="00CD6AF5"/>
    <w:rsid w:val="00CE01CF"/>
    <w:rsid w:val="00CF095C"/>
    <w:rsid w:val="00CF5FEA"/>
    <w:rsid w:val="00D27BD7"/>
    <w:rsid w:val="00D51BB2"/>
    <w:rsid w:val="00D51D12"/>
    <w:rsid w:val="00D52A5F"/>
    <w:rsid w:val="00D54F5F"/>
    <w:rsid w:val="00D76ADB"/>
    <w:rsid w:val="00D806A2"/>
    <w:rsid w:val="00D82EC0"/>
    <w:rsid w:val="00D94451"/>
    <w:rsid w:val="00DD05A8"/>
    <w:rsid w:val="00DE2240"/>
    <w:rsid w:val="00E01ECC"/>
    <w:rsid w:val="00E23443"/>
    <w:rsid w:val="00E24886"/>
    <w:rsid w:val="00E55BBF"/>
    <w:rsid w:val="00E70261"/>
    <w:rsid w:val="00E70DD6"/>
    <w:rsid w:val="00E827DF"/>
    <w:rsid w:val="00E83DB7"/>
    <w:rsid w:val="00E92217"/>
    <w:rsid w:val="00EB4794"/>
    <w:rsid w:val="00EC0F0F"/>
    <w:rsid w:val="00EC67B4"/>
    <w:rsid w:val="00ED6BB4"/>
    <w:rsid w:val="00F01EB5"/>
    <w:rsid w:val="00F20E4B"/>
    <w:rsid w:val="00F41CD8"/>
    <w:rsid w:val="00F56241"/>
    <w:rsid w:val="00F668E1"/>
    <w:rsid w:val="00F67934"/>
    <w:rsid w:val="00F77648"/>
    <w:rsid w:val="00F828D0"/>
    <w:rsid w:val="00F82A85"/>
    <w:rsid w:val="00FC4619"/>
    <w:rsid w:val="00FD3C5B"/>
    <w:rsid w:val="00FD45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uiPriority w:val="99"/>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customStyle="1" w:styleId="Default">
    <w:name w:val="Default"/>
    <w:rsid w:val="0033272E"/>
    <w:pPr>
      <w:autoSpaceDE w:val="0"/>
      <w:autoSpaceDN w:val="0"/>
      <w:adjustRightInd w:val="0"/>
    </w:pPr>
    <w:rPr>
      <w:rFonts w:eastAsiaTheme="minorHAnsi"/>
      <w:color w:val="000000"/>
      <w:sz w:val="24"/>
      <w:szCs w:val="24"/>
      <w:lang w:val="en-US" w:eastAsia="en-US"/>
    </w:rPr>
  </w:style>
  <w:style w:type="table" w:customStyle="1" w:styleId="TableGrid1">
    <w:name w:val="Table Grid1"/>
    <w:basedOn w:val="TableNormal"/>
    <w:next w:val="TableGrid"/>
    <w:rsid w:val="0033272E"/>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32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1EB"/>
    <w:pPr>
      <w:ind w:left="720"/>
      <w:contextualSpacing/>
    </w:pPr>
  </w:style>
  <w:style w:type="paragraph" w:styleId="Revision">
    <w:name w:val="Revision"/>
    <w:hidden/>
    <w:uiPriority w:val="99"/>
    <w:semiHidden/>
    <w:rsid w:val="005A249E"/>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085762">
      <w:bodyDiv w:val="1"/>
      <w:marLeft w:val="0"/>
      <w:marRight w:val="0"/>
      <w:marTop w:val="0"/>
      <w:marBottom w:val="0"/>
      <w:divBdr>
        <w:top w:val="none" w:sz="0" w:space="0" w:color="auto"/>
        <w:left w:val="none" w:sz="0" w:space="0" w:color="auto"/>
        <w:bottom w:val="none" w:sz="0" w:space="0" w:color="auto"/>
        <w:right w:val="none" w:sz="0" w:space="0" w:color="auto"/>
      </w:divBdr>
      <w:divsChild>
        <w:div w:id="105005569">
          <w:marLeft w:val="0"/>
          <w:marRight w:val="0"/>
          <w:marTop w:val="0"/>
          <w:marBottom w:val="0"/>
          <w:divBdr>
            <w:top w:val="none" w:sz="0" w:space="0" w:color="auto"/>
            <w:left w:val="none" w:sz="0" w:space="0" w:color="auto"/>
            <w:bottom w:val="none" w:sz="0" w:space="0" w:color="auto"/>
            <w:right w:val="none" w:sz="0" w:space="0" w:color="auto"/>
          </w:divBdr>
        </w:div>
      </w:divsChild>
    </w:div>
    <w:div w:id="1721592442">
      <w:bodyDiv w:val="1"/>
      <w:marLeft w:val="0"/>
      <w:marRight w:val="0"/>
      <w:marTop w:val="0"/>
      <w:marBottom w:val="0"/>
      <w:divBdr>
        <w:top w:val="none" w:sz="0" w:space="0" w:color="auto"/>
        <w:left w:val="none" w:sz="0" w:space="0" w:color="auto"/>
        <w:bottom w:val="none" w:sz="0" w:space="0" w:color="auto"/>
        <w:right w:val="none" w:sz="0" w:space="0" w:color="auto"/>
      </w:divBdr>
      <w:divsChild>
        <w:div w:id="1389765217">
          <w:marLeft w:val="0"/>
          <w:marRight w:val="0"/>
          <w:marTop w:val="0"/>
          <w:marBottom w:val="0"/>
          <w:divBdr>
            <w:top w:val="none" w:sz="0" w:space="0" w:color="auto"/>
            <w:left w:val="none" w:sz="0" w:space="0" w:color="auto"/>
            <w:bottom w:val="none" w:sz="0" w:space="0" w:color="auto"/>
            <w:right w:val="none" w:sz="0" w:space="0" w:color="auto"/>
          </w:divBdr>
        </w:div>
      </w:divsChild>
    </w:div>
    <w:div w:id="1763604168">
      <w:bodyDiv w:val="1"/>
      <w:marLeft w:val="0"/>
      <w:marRight w:val="0"/>
      <w:marTop w:val="0"/>
      <w:marBottom w:val="0"/>
      <w:divBdr>
        <w:top w:val="none" w:sz="0" w:space="0" w:color="auto"/>
        <w:left w:val="none" w:sz="0" w:space="0" w:color="auto"/>
        <w:bottom w:val="none" w:sz="0" w:space="0" w:color="auto"/>
        <w:right w:val="none" w:sz="0" w:space="0" w:color="auto"/>
      </w:divBdr>
      <w:divsChild>
        <w:div w:id="1145657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VP3JK3XSEPRV-2087481956-11059</_dlc_DocId>
    <_dlc_DocIdUrl xmlns="7d640e6d-779c-472f-a269-6b546787f1c9">
      <Url>http://dm/eesc/2026/_layouts/15/DocIdRedir.aspx?ID=VP3JK3XSEPRV-2087481956-11059</Url>
      <Description>VP3JK3XSEPRV-2087481956-11059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2026-06-19T12:00:00+00:00</ProductionDate>
    <FicheYear xmlns="7d640e6d-779c-472f-a269-6b546787f1c9">2026</FicheYear>
    <DocumentNumber xmlns="a95533f8-59af-4217-bc7a-c1167744adb0">440</DocumentNumber>
    <DossierNumber xmlns="7d640e6d-779c-472f-a269-6b546787f1c9">873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69</Value>
      <Value>79</Value>
      <Value>7</Value>
      <Value>4</Value>
      <Value>19</Value>
      <Value>1</Value>
      <Value>17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7d640e6d-779c-472f-a269-6b546787f1c9">KOLBE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6592</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2026-06-17T12:00:00+00:00</AdoptionDate>
    <RequestingService xmlns="7d640e6d-779c-472f-a269-6b546787f1c9">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7d640e6d-779c-472f-a269-6b546787f1c9">0</DocumentVersion>
  </documentManagement>
</p:properties>
</file>

<file path=customXml/itemProps1.xml><?xml version="1.0" encoding="utf-8"?>
<ds:datastoreItem xmlns:ds="http://schemas.openxmlformats.org/officeDocument/2006/customXml" ds:itemID="{7A3F1A70-15DB-4504-9D8B-7039E665FF4C}"/>
</file>

<file path=customXml/itemProps2.xml><?xml version="1.0" encoding="utf-8"?>
<ds:datastoreItem xmlns:ds="http://schemas.openxmlformats.org/officeDocument/2006/customXml" ds:itemID="{10FE643B-0FA2-46E3-8A09-3162ED6788D5}"/>
</file>

<file path=customXml/itemProps3.xml><?xml version="1.0" encoding="utf-8"?>
<ds:datastoreItem xmlns:ds="http://schemas.openxmlformats.org/officeDocument/2006/customXml" ds:itemID="{8189D04D-B556-4E4E-BC9E-761963A7D902}"/>
</file>

<file path=customXml/itemProps4.xml><?xml version="1.0" encoding="utf-8"?>
<ds:datastoreItem xmlns:ds="http://schemas.openxmlformats.org/officeDocument/2006/customXml" ds:itemID="{500407EC-6A27-49AD-94E0-80173603A12F}"/>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EU Hydrogen bank</vt:lpstr>
    </vt:vector>
  </TitlesOfParts>
  <Company>CESE-CdR</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the New European Bauhaus </dc:title>
  <dc:subject>Record of proceedings</dc:subject>
  <dc:creator>Hilary Morris</dc:creator>
  <cp:keywords>EESC-2026-00440-00-00-CR-TRA-EN</cp:keywords>
  <dc:description>Rapporteur: - KOLBE Original language: - EN Date of document: - 19/06/2026 Date of meeting: -  External documents: - COM(2025)1026- final Administrator responsible: -  NAPOLITANO FRANCESCO</dc:description>
  <cp:lastModifiedBy>TDriveSVCUserProd</cp:lastModifiedBy>
  <cp:revision>6</cp:revision>
  <cp:lastPrinted>2004-02-16T15:16:00Z</cp:lastPrinted>
  <dcterms:created xsi:type="dcterms:W3CDTF">2026-06-19T15:18:00Z</dcterms:created>
  <dcterms:modified xsi:type="dcterms:W3CDTF">2026-06-19T15:27:00Z</dcterms:modified>
  <cp:category>TEN/873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dd1317ab-f1d9-402c-b71c-53f72e3b19b0</vt:lpwstr>
  </property>
  <property fmtid="{D5CDD505-2E9C-101B-9397-08002B2CF9AE}" pid="9" name="AvailableTranslations">
    <vt:lpwstr>4;#EN|f2175f21-25d7-44a3-96da-d6a61b075e1b</vt:lpwstr>
  </property>
  <property fmtid="{D5CDD505-2E9C-101B-9397-08002B2CF9AE}" pid="10" name="DocumentType_0">
    <vt:lpwstr>CR|3d8a0a7b-557a-49c4-997f-22056dbd9ff4</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440</vt:i4>
  </property>
  <property fmtid="{D5CDD505-2E9C-101B-9397-08002B2CF9AE}" pid="14" name="FicheYear">
    <vt:i4>2026</vt:i4>
  </property>
  <property fmtid="{D5CDD505-2E9C-101B-9397-08002B2CF9AE}" pid="15" name="DocumentVersion">
    <vt:i4>0</vt:i4>
  </property>
  <property fmtid="{D5CDD505-2E9C-101B-9397-08002B2CF9AE}" pid="16" name="DossierNumber">
    <vt:i4>873</vt:i4>
  </property>
  <property fmtid="{D5CDD505-2E9C-101B-9397-08002B2CF9AE}" pid="17" name="DocumentStatus">
    <vt:lpwstr>17;#REF|722611fd-7eaf-44e3-8780-a3226646f5f0</vt:lpwstr>
  </property>
  <property fmtid="{D5CDD505-2E9C-101B-9397-08002B2CF9AE}" pid="18" name="DossierName">
    <vt:lpwstr>69;#TEN|5e12260d-3aca-41f8-baf2-ad3d18475f10</vt:lpwstr>
  </property>
  <property fmtid="{D5CDD505-2E9C-101B-9397-08002B2CF9AE}" pid="19" name="RequestingService">
    <vt:lpwstr>Transports, énergie, infrastructures et société de l'information</vt:lpwstr>
  </property>
  <property fmtid="{D5CDD505-2E9C-101B-9397-08002B2CF9AE}" pid="20" name="Confidentiality">
    <vt:lpwstr>19;#Unrestricted|826e22d7-d029-4ec0-a450-0c28ff673572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69;#TEN|5e12260d-3aca-41f8-baf2-ad3d18475f10;#79;#CR|3d8a0a7b-557a-49c4-997f-22056dbd9ff4;#7;#Final|ea5e6674-7b27-4bac-b091-73adbb394efe;#4;#EN|f2175f21-25d7-44a3-96da-d6a61b075e1b;#19;#Unrestricted|826e22d7-d029-4ec0-a450-0c28ff673572;#1;#EESC|422833ec-8d7e-4e65-8e4e-8bed07ffb729;#17;#REF|722611fd-7eaf-44e3-8780-a3226646f5f0</vt:lpwstr>
  </property>
  <property fmtid="{D5CDD505-2E9C-101B-9397-08002B2CF9AE}" pid="30" name="Rapporteur">
    <vt:lpwstr>KOLBE</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6592</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2026-06-17T12:00:00Z</vt:filetime>
  </property>
  <property fmtid="{D5CDD505-2E9C-101B-9397-08002B2CF9AE}" pid="38" name="DocumentType">
    <vt:lpwstr>79;#CR|3d8a0a7b-557a-49c4-997f-22056dbd9ff4</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