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554137" w:rsidRDefault="00077C4F" w:rsidP="00554137">
      <w:pPr>
        <w:spacing w:after="0" w:line="240" w:lineRule="auto"/>
        <w:ind w:left="-709"/>
        <w:rPr>
          <w:rFonts w:ascii="Times New Roman" w:hAnsi="Times New Roman"/>
          <w:bCs/>
          <w:sz w:val="4"/>
          <w:szCs w:val="4"/>
        </w:rPr>
      </w:pPr>
    </w:p>
    <w:tbl>
      <w:tblPr>
        <w:tblW w:w="1024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243"/>
      </w:tblGrid>
      <w:tr w:rsidR="001C4138" w:rsidRPr="00442552" w14:paraId="7E6372DC" w14:textId="77777777" w:rsidTr="00C37BDD">
        <w:trPr>
          <w:jc w:val="center"/>
        </w:trPr>
        <w:tc>
          <w:tcPr>
            <w:tcW w:w="10243" w:type="dxa"/>
          </w:tcPr>
          <w:p w14:paraId="3A4EDC3A" w14:textId="6314A4BB" w:rsidR="001C4138" w:rsidRPr="004F6117" w:rsidRDefault="003321E3" w:rsidP="00D152DB">
            <w:pPr>
              <w:rPr>
                <w:rFonts w:ascii="Times New Roman" w:hAnsi="Times New Roman"/>
                <w:b/>
                <w:sz w:val="24"/>
                <w:szCs w:val="24"/>
              </w:rPr>
            </w:pPr>
            <w:r w:rsidRPr="003321E3">
              <w:rPr>
                <w:rFonts w:ascii="Times New Roman" w:hAnsi="Times New Roman"/>
                <w:b/>
                <w:sz w:val="24"/>
                <w:szCs w:val="24"/>
                <w:lang w:val="en-IE"/>
              </w:rPr>
              <w:t>The European Life Science Strategy along with the Strategy on Research and Technology infrastructures with focus on the treatment of rare diseases</w:t>
            </w:r>
            <w:r w:rsidRPr="00A36988">
              <w:rPr>
                <w:sz w:val="24"/>
                <w:szCs w:val="24"/>
              </w:rPr>
              <w:br/>
            </w:r>
            <w:r w:rsidRPr="00D152DB">
              <w:rPr>
                <w:rFonts w:ascii="Times New Roman" w:hAnsi="Times New Roman"/>
                <w:b/>
                <w:sz w:val="24"/>
                <w:szCs w:val="24"/>
                <w:lang w:val="en-IE"/>
              </w:rPr>
              <w:t xml:space="preserve">(exploratory </w:t>
            </w:r>
            <w:r w:rsidRPr="00831C2D">
              <w:rPr>
                <w:rFonts w:ascii="Times New Roman" w:hAnsi="Times New Roman"/>
                <w:b/>
                <w:sz w:val="24"/>
                <w:szCs w:val="24"/>
                <w:lang w:val="en-IE"/>
              </w:rPr>
              <w:t>opinion requested by the Cyprus Presidency of the Council of the EU)</w:t>
            </w:r>
            <w:r w:rsidR="00C37BDD" w:rsidRPr="00831C2D">
              <w:rPr>
                <w:rFonts w:ascii="Times New Roman" w:hAnsi="Times New Roman"/>
                <w:b/>
                <w:sz w:val="24"/>
                <w:szCs w:val="24"/>
              </w:rPr>
              <w:t xml:space="preserve"> </w:t>
            </w:r>
            <w:r w:rsidR="001C4138" w:rsidRPr="00831C2D">
              <w:rPr>
                <w:rFonts w:ascii="Times New Roman" w:hAnsi="Times New Roman"/>
                <w:b/>
                <w:sz w:val="24"/>
                <w:szCs w:val="24"/>
                <w:lang w:val="en-IE"/>
              </w:rPr>
              <w:br/>
              <w:t>COM(</w:t>
            </w:r>
            <w:r w:rsidR="00D152DB" w:rsidRPr="00831C2D">
              <w:rPr>
                <w:rFonts w:ascii="Times New Roman" w:hAnsi="Times New Roman"/>
                <w:b/>
                <w:sz w:val="24"/>
                <w:szCs w:val="24"/>
                <w:lang w:val="en-IE"/>
              </w:rPr>
              <w:t>2025</w:t>
            </w:r>
            <w:r w:rsidR="001C4138" w:rsidRPr="00831C2D">
              <w:rPr>
                <w:rFonts w:ascii="Times New Roman" w:hAnsi="Times New Roman"/>
                <w:b/>
                <w:sz w:val="24"/>
                <w:szCs w:val="24"/>
                <w:lang w:val="en-IE"/>
              </w:rPr>
              <w:t xml:space="preserve">) </w:t>
            </w:r>
            <w:r w:rsidR="00D152DB" w:rsidRPr="00831C2D">
              <w:rPr>
                <w:rFonts w:ascii="Times New Roman" w:hAnsi="Times New Roman"/>
                <w:b/>
                <w:sz w:val="24"/>
                <w:szCs w:val="24"/>
                <w:lang w:val="en-IE"/>
              </w:rPr>
              <w:t>525</w:t>
            </w:r>
            <w:r w:rsidR="001C4138" w:rsidRPr="00831C2D">
              <w:rPr>
                <w:rFonts w:ascii="Times New Roman" w:hAnsi="Times New Roman"/>
                <w:b/>
                <w:sz w:val="24"/>
                <w:szCs w:val="24"/>
                <w:lang w:val="en-IE"/>
              </w:rPr>
              <w:t xml:space="preserve"> final</w:t>
            </w:r>
            <w:r w:rsidR="001C4138" w:rsidRPr="00831C2D">
              <w:rPr>
                <w:rFonts w:ascii="Times New Roman" w:hAnsi="Times New Roman"/>
                <w:b/>
                <w:sz w:val="24"/>
                <w:szCs w:val="24"/>
                <w:lang w:val="en-IE"/>
              </w:rPr>
              <w:br/>
              <w:t>EESC-202</w:t>
            </w:r>
            <w:r w:rsidR="00554137" w:rsidRPr="00831C2D">
              <w:rPr>
                <w:rFonts w:ascii="Times New Roman" w:hAnsi="Times New Roman"/>
                <w:b/>
                <w:sz w:val="24"/>
                <w:szCs w:val="24"/>
                <w:lang w:val="en-IE"/>
              </w:rPr>
              <w:t>5</w:t>
            </w:r>
            <w:r w:rsidR="001C4138" w:rsidRPr="00831C2D">
              <w:rPr>
                <w:rFonts w:ascii="Times New Roman" w:hAnsi="Times New Roman"/>
                <w:b/>
                <w:sz w:val="24"/>
                <w:szCs w:val="24"/>
                <w:lang w:val="en-IE"/>
              </w:rPr>
              <w:t>-</w:t>
            </w:r>
            <w:r w:rsidR="00293DCF" w:rsidRPr="00831C2D">
              <w:rPr>
                <w:rFonts w:ascii="Times New Roman" w:hAnsi="Times New Roman"/>
                <w:b/>
                <w:sz w:val="24"/>
                <w:szCs w:val="24"/>
                <w:lang w:val="en-IE"/>
              </w:rPr>
              <w:t>03652</w:t>
            </w:r>
            <w:r w:rsidR="004A7932" w:rsidRPr="00831C2D">
              <w:rPr>
                <w:rFonts w:ascii="Times New Roman" w:hAnsi="Times New Roman"/>
                <w:b/>
                <w:sz w:val="24"/>
                <w:szCs w:val="24"/>
                <w:lang w:val="en-IE"/>
              </w:rPr>
              <w:t xml:space="preserve"> </w:t>
            </w:r>
            <w:r w:rsidR="001C4138" w:rsidRPr="00831C2D">
              <w:rPr>
                <w:rFonts w:ascii="Times New Roman" w:hAnsi="Times New Roman"/>
                <w:b/>
                <w:sz w:val="24"/>
                <w:szCs w:val="24"/>
              </w:rPr>
              <w:t xml:space="preserve">‒ </w:t>
            </w:r>
            <w:r w:rsidR="00443004" w:rsidRPr="00831C2D">
              <w:rPr>
                <w:rFonts w:ascii="Times New Roman" w:hAnsi="Times New Roman"/>
                <w:b/>
                <w:sz w:val="24"/>
                <w:szCs w:val="24"/>
              </w:rPr>
              <w:t>TEN</w:t>
            </w:r>
            <w:r w:rsidR="001C4138" w:rsidRPr="00831C2D">
              <w:rPr>
                <w:rFonts w:ascii="Times New Roman" w:hAnsi="Times New Roman"/>
                <w:b/>
                <w:sz w:val="24"/>
                <w:szCs w:val="24"/>
              </w:rPr>
              <w:t>/</w:t>
            </w:r>
            <w:r w:rsidR="00443004" w:rsidRPr="00831C2D">
              <w:rPr>
                <w:rFonts w:ascii="Times New Roman" w:hAnsi="Times New Roman"/>
                <w:b/>
                <w:sz w:val="24"/>
                <w:szCs w:val="24"/>
              </w:rPr>
              <w:t>867</w:t>
            </w:r>
            <w:r w:rsidR="001C4138" w:rsidRPr="00831C2D">
              <w:rPr>
                <w:rFonts w:ascii="Times New Roman" w:hAnsi="Times New Roman"/>
                <w:b/>
                <w:sz w:val="24"/>
                <w:szCs w:val="24"/>
              </w:rPr>
              <w:br/>
            </w:r>
            <w:r w:rsidR="00876F10" w:rsidRPr="00831C2D">
              <w:rPr>
                <w:rFonts w:ascii="Times New Roman" w:hAnsi="Times New Roman"/>
                <w:b/>
                <w:sz w:val="24"/>
                <w:szCs w:val="24"/>
              </w:rPr>
              <w:t>603</w:t>
            </w:r>
            <w:proofErr w:type="spellStart"/>
            <w:r w:rsidR="001C4138" w:rsidRPr="00831C2D">
              <w:rPr>
                <w:rFonts w:ascii="Times New Roman" w:hAnsi="Times New Roman"/>
                <w:b/>
                <w:vertAlign w:val="superscript"/>
                <w:lang w:val="en-IE"/>
              </w:rPr>
              <w:t>rd</w:t>
            </w:r>
            <w:proofErr w:type="spellEnd"/>
            <w:r w:rsidR="001C4138" w:rsidRPr="00831C2D">
              <w:rPr>
                <w:rFonts w:ascii="Times New Roman" w:hAnsi="Times New Roman"/>
                <w:b/>
                <w:sz w:val="24"/>
                <w:szCs w:val="24"/>
                <w:lang w:val="en-IE"/>
              </w:rPr>
              <w:t xml:space="preserve"> Plenary Session – </w:t>
            </w:r>
            <w:r w:rsidR="009F4C2A" w:rsidRPr="00831C2D">
              <w:rPr>
                <w:rFonts w:ascii="Times New Roman" w:hAnsi="Times New Roman"/>
                <w:b/>
                <w:sz w:val="24"/>
                <w:szCs w:val="24"/>
                <w:lang w:val="en-IE"/>
              </w:rPr>
              <w:t>February 2026</w:t>
            </w:r>
            <w:r w:rsidR="001C4138" w:rsidRPr="00831C2D">
              <w:rPr>
                <w:rFonts w:ascii="Times New Roman" w:hAnsi="Times New Roman"/>
                <w:b/>
                <w:sz w:val="24"/>
                <w:szCs w:val="24"/>
              </w:rPr>
              <w:br/>
              <w:t xml:space="preserve">Rapporteur: </w:t>
            </w:r>
            <w:r w:rsidR="001F14C4" w:rsidRPr="00831C2D">
              <w:rPr>
                <w:rFonts w:ascii="Times New Roman" w:hAnsi="Times New Roman"/>
                <w:b/>
                <w:sz w:val="24"/>
                <w:szCs w:val="24"/>
              </w:rPr>
              <w:t>Milena ANGELOVA</w:t>
            </w:r>
            <w:r w:rsidR="001C4138" w:rsidRPr="00831C2D">
              <w:rPr>
                <w:rFonts w:ascii="Times New Roman" w:hAnsi="Times New Roman"/>
                <w:b/>
                <w:sz w:val="24"/>
                <w:szCs w:val="24"/>
              </w:rPr>
              <w:t xml:space="preserve"> </w:t>
            </w:r>
            <w:r w:rsidR="007857E1" w:rsidRPr="00831C2D">
              <w:rPr>
                <w:rFonts w:ascii="Times New Roman" w:hAnsi="Times New Roman"/>
                <w:b/>
                <w:sz w:val="24"/>
                <w:szCs w:val="24"/>
              </w:rPr>
              <w:t>(BG</w:t>
            </w:r>
            <w:r w:rsidR="001C4138" w:rsidRPr="00831C2D">
              <w:rPr>
                <w:rFonts w:ascii="Times New Roman" w:hAnsi="Times New Roman"/>
                <w:b/>
                <w:sz w:val="24"/>
                <w:szCs w:val="24"/>
              </w:rPr>
              <w:t>-</w:t>
            </w:r>
            <w:r w:rsidR="004E6C25" w:rsidRPr="00831C2D">
              <w:rPr>
                <w:rFonts w:ascii="Times New Roman" w:hAnsi="Times New Roman"/>
                <w:b/>
                <w:sz w:val="24"/>
                <w:szCs w:val="24"/>
              </w:rPr>
              <w:t>I)</w:t>
            </w:r>
            <w:r w:rsidR="001C4138" w:rsidRPr="00831C2D">
              <w:rPr>
                <w:rFonts w:ascii="Times New Roman" w:hAnsi="Times New Roman"/>
                <w:b/>
                <w:sz w:val="24"/>
                <w:szCs w:val="24"/>
              </w:rPr>
              <w:br/>
              <w:t xml:space="preserve">DG </w:t>
            </w:r>
            <w:r w:rsidR="00C61B6B" w:rsidRPr="00831C2D">
              <w:rPr>
                <w:rFonts w:ascii="Times New Roman" w:hAnsi="Times New Roman"/>
                <w:b/>
                <w:sz w:val="24"/>
                <w:szCs w:val="24"/>
              </w:rPr>
              <w:t>RTD</w:t>
            </w:r>
            <w:r w:rsidR="001C4138" w:rsidRPr="00831C2D">
              <w:rPr>
                <w:rFonts w:ascii="Times New Roman" w:hAnsi="Times New Roman"/>
                <w:b/>
                <w:sz w:val="24"/>
                <w:szCs w:val="24"/>
              </w:rPr>
              <w:t xml:space="preserve"> – Com</w:t>
            </w:r>
            <w:r w:rsidR="001C4138" w:rsidRPr="00807B48">
              <w:rPr>
                <w:rFonts w:ascii="Times New Roman" w:hAnsi="Times New Roman"/>
                <w:b/>
                <w:sz w:val="24"/>
                <w:szCs w:val="24"/>
              </w:rPr>
              <w:t>missioner</w:t>
            </w:r>
            <w:r w:rsidR="00C61B6B">
              <w:rPr>
                <w:rFonts w:ascii="Times New Roman" w:hAnsi="Times New Roman"/>
                <w:b/>
                <w:sz w:val="24"/>
                <w:szCs w:val="24"/>
              </w:rPr>
              <w:t xml:space="preserve"> ZAHARIEVA</w:t>
            </w:r>
          </w:p>
        </w:tc>
      </w:tr>
      <w:tr w:rsidR="00734613" w:rsidRPr="00442552" w14:paraId="1937071F" w14:textId="77777777" w:rsidTr="00C37BDD">
        <w:trPr>
          <w:jc w:val="center"/>
        </w:trPr>
        <w:tc>
          <w:tcPr>
            <w:tcW w:w="10243" w:type="dxa"/>
          </w:tcPr>
          <w:p w14:paraId="1E50B4DB" w14:textId="6210B328" w:rsidR="00734613" w:rsidRPr="00695797" w:rsidRDefault="004F6117" w:rsidP="004F6117">
            <w:pPr>
              <w:spacing w:before="120" w:after="120"/>
              <w:jc w:val="center"/>
              <w:rPr>
                <w:rFonts w:ascii="Times New Roman" w:hAnsi="Times New Roman"/>
                <w:b/>
                <w:sz w:val="24"/>
                <w:szCs w:val="24"/>
              </w:rPr>
            </w:pPr>
            <w:r w:rsidRPr="004F6117">
              <w:rPr>
                <w:rFonts w:ascii="Times New Roman" w:hAnsi="Times New Roman"/>
                <w:b/>
                <w:sz w:val="24"/>
                <w:szCs w:val="24"/>
              </w:rPr>
              <w:t xml:space="preserve">European Commission position on points </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554137">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00C37BDD">
        <w:trPr>
          <w:jc w:val="center"/>
        </w:trPr>
        <w:tc>
          <w:tcPr>
            <w:tcW w:w="10243" w:type="dxa"/>
          </w:tcPr>
          <w:p w14:paraId="207FFAAB" w14:textId="003BA303" w:rsidR="005600F5" w:rsidRPr="00B27372" w:rsidRDefault="005600F5" w:rsidP="00B27372">
            <w:pPr>
              <w:widowControl w:val="0"/>
              <w:spacing w:before="120" w:after="120"/>
              <w:jc w:val="both"/>
              <w:rPr>
                <w:rFonts w:ascii="Times New Roman" w:eastAsia="Times New Roman" w:hAnsi="Times New Roman"/>
                <w:sz w:val="24"/>
                <w:szCs w:val="24"/>
                <w:lang w:val="en-IE" w:eastAsia="en-IE"/>
              </w:rPr>
            </w:pPr>
            <w:r w:rsidRPr="00B27372">
              <w:rPr>
                <w:rFonts w:ascii="Times New Roman" w:eastAsia="Times New Roman" w:hAnsi="Times New Roman"/>
                <w:sz w:val="24"/>
                <w:szCs w:val="24"/>
                <w:lang w:val="en-IE" w:eastAsia="en-IE"/>
              </w:rPr>
              <w:t xml:space="preserve">The Commission acknowledges the opinion presented by the </w:t>
            </w:r>
            <w:r w:rsidR="00FB0A75" w:rsidRPr="00B27372">
              <w:rPr>
                <w:rFonts w:ascii="Times New Roman" w:eastAsia="Times New Roman" w:hAnsi="Times New Roman"/>
                <w:sz w:val="24"/>
                <w:szCs w:val="24"/>
                <w:lang w:val="en-IE" w:eastAsia="en-IE"/>
              </w:rPr>
              <w:t xml:space="preserve">Committee </w:t>
            </w:r>
            <w:r w:rsidRPr="00B27372">
              <w:rPr>
                <w:rFonts w:ascii="Times New Roman" w:eastAsia="Times New Roman" w:hAnsi="Times New Roman"/>
                <w:sz w:val="24"/>
                <w:szCs w:val="24"/>
                <w:lang w:val="en-IE" w:eastAsia="en-IE"/>
              </w:rPr>
              <w:t xml:space="preserve">regarding the </w:t>
            </w:r>
            <w:r w:rsidR="00AC2247" w:rsidRPr="00B27372">
              <w:rPr>
                <w:rFonts w:ascii="Times New Roman" w:eastAsia="Times New Roman" w:hAnsi="Times New Roman"/>
                <w:sz w:val="24"/>
                <w:szCs w:val="24"/>
                <w:lang w:val="en-IE" w:eastAsia="en-IE"/>
              </w:rPr>
              <w:t>Strategy for European Life Sciences</w:t>
            </w:r>
            <w:r w:rsidRPr="00D774AA">
              <w:rPr>
                <w:rFonts w:ascii="Times New Roman" w:hAnsi="Times New Roman"/>
                <w:sz w:val="24"/>
                <w:szCs w:val="24"/>
                <w:vertAlign w:val="superscript"/>
              </w:rPr>
              <w:footnoteReference w:id="1"/>
            </w:r>
            <w:r w:rsidRPr="00B27372">
              <w:rPr>
                <w:rFonts w:ascii="Times New Roman" w:eastAsia="Times New Roman" w:hAnsi="Times New Roman"/>
                <w:sz w:val="24"/>
                <w:szCs w:val="24"/>
                <w:lang w:val="en-IE" w:eastAsia="en-IE"/>
              </w:rPr>
              <w:t>,</w:t>
            </w:r>
            <w:r w:rsidR="00CF6BB3" w:rsidRPr="00B27372">
              <w:rPr>
                <w:rFonts w:ascii="Times New Roman" w:eastAsia="Times New Roman" w:hAnsi="Times New Roman"/>
                <w:sz w:val="24"/>
                <w:szCs w:val="24"/>
                <w:lang w:val="en-IE" w:eastAsia="en-IE"/>
              </w:rPr>
              <w:t xml:space="preserve"> along with the </w:t>
            </w:r>
            <w:r w:rsidR="001E721B" w:rsidRPr="00B27372">
              <w:rPr>
                <w:rFonts w:ascii="Times New Roman" w:eastAsia="Times New Roman" w:hAnsi="Times New Roman"/>
                <w:sz w:val="24"/>
                <w:szCs w:val="24"/>
                <w:lang w:val="en-IE" w:eastAsia="en-IE"/>
              </w:rPr>
              <w:t xml:space="preserve">European </w:t>
            </w:r>
            <w:r w:rsidR="00187ED4" w:rsidRPr="00B27372">
              <w:rPr>
                <w:rFonts w:ascii="Times New Roman" w:eastAsia="Times New Roman" w:hAnsi="Times New Roman"/>
                <w:sz w:val="24"/>
                <w:szCs w:val="24"/>
                <w:lang w:val="en-IE" w:eastAsia="en-IE"/>
              </w:rPr>
              <w:t>Strategy on Research and Technology Infrastructures</w:t>
            </w:r>
            <w:r w:rsidR="00CF6BB3" w:rsidRPr="00B27372">
              <w:rPr>
                <w:rFonts w:ascii="Times New Roman" w:eastAsia="Times New Roman" w:hAnsi="Times New Roman"/>
                <w:sz w:val="24"/>
                <w:szCs w:val="24"/>
                <w:lang w:val="en-IE" w:eastAsia="en-IE"/>
              </w:rPr>
              <w:t>, respectively</w:t>
            </w:r>
            <w:r w:rsidRPr="00B27372">
              <w:rPr>
                <w:rFonts w:ascii="Times New Roman" w:eastAsia="Times New Roman" w:hAnsi="Times New Roman"/>
                <w:sz w:val="24"/>
                <w:szCs w:val="24"/>
                <w:lang w:val="en-IE" w:eastAsia="en-IE"/>
              </w:rPr>
              <w:t xml:space="preserve"> adopted by the Commission on 2 </w:t>
            </w:r>
            <w:r w:rsidR="001B45C9" w:rsidRPr="00B27372">
              <w:rPr>
                <w:rFonts w:ascii="Times New Roman" w:eastAsia="Times New Roman" w:hAnsi="Times New Roman"/>
                <w:sz w:val="24"/>
                <w:szCs w:val="24"/>
                <w:lang w:val="en-IE" w:eastAsia="en-IE"/>
              </w:rPr>
              <w:t>July</w:t>
            </w:r>
            <w:r w:rsidRPr="00B27372">
              <w:rPr>
                <w:rFonts w:ascii="Times New Roman" w:eastAsia="Times New Roman" w:hAnsi="Times New Roman"/>
                <w:sz w:val="24"/>
                <w:szCs w:val="24"/>
                <w:lang w:val="en-IE" w:eastAsia="en-IE"/>
              </w:rPr>
              <w:t xml:space="preserve"> 2025</w:t>
            </w:r>
            <w:r w:rsidR="00CF6BB3" w:rsidRPr="00B27372">
              <w:rPr>
                <w:rFonts w:ascii="Times New Roman" w:eastAsia="Times New Roman" w:hAnsi="Times New Roman"/>
                <w:sz w:val="24"/>
                <w:szCs w:val="24"/>
                <w:lang w:val="en-IE" w:eastAsia="en-IE"/>
              </w:rPr>
              <w:t xml:space="preserve"> and </w:t>
            </w:r>
            <w:r w:rsidR="0087673E" w:rsidRPr="00B27372">
              <w:rPr>
                <w:rFonts w:ascii="Times New Roman" w:eastAsia="Times New Roman" w:hAnsi="Times New Roman"/>
                <w:sz w:val="24"/>
                <w:szCs w:val="24"/>
                <w:lang w:val="en-IE" w:eastAsia="en-IE"/>
              </w:rPr>
              <w:t>15 September 2025</w:t>
            </w:r>
            <w:r w:rsidRPr="00B27372">
              <w:rPr>
                <w:rFonts w:ascii="Times New Roman" w:eastAsia="Times New Roman" w:hAnsi="Times New Roman"/>
                <w:sz w:val="24"/>
                <w:szCs w:val="24"/>
                <w:lang w:val="en-IE" w:eastAsia="en-IE"/>
              </w:rPr>
              <w:t>. The Commission thanks the EESC for its analysis and recommendations on th</w:t>
            </w:r>
            <w:r w:rsidR="00672542" w:rsidRPr="00B27372">
              <w:rPr>
                <w:rFonts w:ascii="Times New Roman" w:eastAsia="Times New Roman" w:hAnsi="Times New Roman"/>
                <w:sz w:val="24"/>
                <w:szCs w:val="24"/>
                <w:lang w:val="en-IE" w:eastAsia="en-IE"/>
              </w:rPr>
              <w:t>e</w:t>
            </w:r>
            <w:r w:rsidRPr="00B27372">
              <w:rPr>
                <w:rFonts w:ascii="Times New Roman" w:eastAsia="Times New Roman" w:hAnsi="Times New Roman"/>
                <w:sz w:val="24"/>
                <w:szCs w:val="24"/>
                <w:lang w:val="en-IE" w:eastAsia="en-IE"/>
              </w:rPr>
              <w:t>s</w:t>
            </w:r>
            <w:r w:rsidR="00672542" w:rsidRPr="00B27372">
              <w:rPr>
                <w:rFonts w:ascii="Times New Roman" w:eastAsia="Times New Roman" w:hAnsi="Times New Roman"/>
                <w:sz w:val="24"/>
                <w:szCs w:val="24"/>
                <w:lang w:val="en-IE" w:eastAsia="en-IE"/>
              </w:rPr>
              <w:t>e</w:t>
            </w:r>
            <w:r w:rsidRPr="00B27372">
              <w:rPr>
                <w:rFonts w:ascii="Times New Roman" w:eastAsia="Times New Roman" w:hAnsi="Times New Roman"/>
                <w:sz w:val="24"/>
                <w:szCs w:val="24"/>
                <w:lang w:val="en-IE" w:eastAsia="en-IE"/>
              </w:rPr>
              <w:t xml:space="preserve"> key policy initiative</w:t>
            </w:r>
            <w:r w:rsidR="00672542" w:rsidRPr="00B27372">
              <w:rPr>
                <w:rFonts w:ascii="Times New Roman" w:eastAsia="Times New Roman" w:hAnsi="Times New Roman"/>
                <w:sz w:val="24"/>
                <w:szCs w:val="24"/>
                <w:lang w:val="en-IE" w:eastAsia="en-IE"/>
              </w:rPr>
              <w:t xml:space="preserve">s, </w:t>
            </w:r>
            <w:r w:rsidR="00733E60" w:rsidRPr="00B27372">
              <w:rPr>
                <w:rFonts w:ascii="Times New Roman" w:eastAsia="Times New Roman" w:hAnsi="Times New Roman"/>
                <w:sz w:val="24"/>
                <w:szCs w:val="24"/>
                <w:lang w:val="en-IE" w:eastAsia="en-IE"/>
              </w:rPr>
              <w:t xml:space="preserve">and </w:t>
            </w:r>
            <w:r w:rsidR="00033915" w:rsidRPr="00B27372">
              <w:rPr>
                <w:rFonts w:ascii="Times New Roman" w:eastAsia="Times New Roman" w:hAnsi="Times New Roman"/>
                <w:sz w:val="24"/>
                <w:szCs w:val="24"/>
                <w:lang w:val="en-IE" w:eastAsia="en-IE"/>
              </w:rPr>
              <w:t>the EES</w:t>
            </w:r>
            <w:r w:rsidR="00BD58C1" w:rsidRPr="00B27372">
              <w:rPr>
                <w:rFonts w:ascii="Times New Roman" w:eastAsia="Times New Roman" w:hAnsi="Times New Roman"/>
                <w:sz w:val="24"/>
                <w:szCs w:val="24"/>
                <w:lang w:val="en-IE" w:eastAsia="en-IE"/>
              </w:rPr>
              <w:t>C</w:t>
            </w:r>
            <w:r w:rsidR="00E83776" w:rsidRPr="00B27372">
              <w:rPr>
                <w:rFonts w:ascii="Times New Roman" w:eastAsia="Times New Roman" w:hAnsi="Times New Roman"/>
                <w:sz w:val="24"/>
                <w:szCs w:val="24"/>
                <w:lang w:val="en-IE" w:eastAsia="en-IE"/>
              </w:rPr>
              <w:t>’s</w:t>
            </w:r>
            <w:r w:rsidR="004C418E" w:rsidRPr="00B27372">
              <w:rPr>
                <w:rFonts w:ascii="Times New Roman" w:eastAsia="Times New Roman" w:hAnsi="Times New Roman"/>
                <w:sz w:val="24"/>
                <w:szCs w:val="24"/>
                <w:lang w:val="en-IE" w:eastAsia="en-IE"/>
              </w:rPr>
              <w:t xml:space="preserve"> focus on the treatment of rare diseases</w:t>
            </w:r>
            <w:r w:rsidRPr="00B27372">
              <w:rPr>
                <w:rFonts w:ascii="Times New Roman" w:eastAsia="Times New Roman" w:hAnsi="Times New Roman"/>
                <w:sz w:val="24"/>
                <w:szCs w:val="24"/>
                <w:lang w:val="en-IE" w:eastAsia="en-IE"/>
              </w:rPr>
              <w:t>.</w:t>
            </w:r>
          </w:p>
          <w:p w14:paraId="68C03867" w14:textId="526F59FA" w:rsidR="005600F5" w:rsidRPr="00B27372" w:rsidRDefault="00377620" w:rsidP="00B27372">
            <w:pPr>
              <w:pStyle w:val="NormalWeb"/>
              <w:widowControl w:val="0"/>
              <w:numPr>
                <w:ilvl w:val="0"/>
                <w:numId w:val="1"/>
              </w:numPr>
              <w:tabs>
                <w:tab w:val="clear" w:pos="720"/>
              </w:tabs>
              <w:spacing w:before="120" w:beforeAutospacing="0" w:after="120" w:afterAutospacing="0" w:line="276" w:lineRule="auto"/>
              <w:ind w:left="480"/>
              <w:jc w:val="both"/>
              <w:rPr>
                <w:b/>
                <w:bCs/>
              </w:rPr>
            </w:pPr>
            <w:r w:rsidRPr="00B27372">
              <w:rPr>
                <w:b/>
                <w:bCs/>
              </w:rPr>
              <w:t>Recommendations and g</w:t>
            </w:r>
            <w:r w:rsidR="00D40E70" w:rsidRPr="00B27372">
              <w:rPr>
                <w:b/>
                <w:bCs/>
              </w:rPr>
              <w:t>eneralities</w:t>
            </w:r>
          </w:p>
          <w:p w14:paraId="21B22537" w14:textId="57FE1E76" w:rsidR="001347CA" w:rsidRPr="00B27372" w:rsidRDefault="006F6E83" w:rsidP="00B27372">
            <w:pPr>
              <w:widowControl w:val="0"/>
              <w:spacing w:before="120" w:after="120"/>
              <w:jc w:val="both"/>
              <w:rPr>
                <w:rFonts w:ascii="Times New Roman" w:eastAsia="Times New Roman" w:hAnsi="Times New Roman"/>
                <w:sz w:val="24"/>
                <w:szCs w:val="24"/>
                <w:lang w:val="en-IE" w:eastAsia="en-IE"/>
              </w:rPr>
            </w:pPr>
            <w:r w:rsidRPr="00B27372">
              <w:rPr>
                <w:rFonts w:ascii="Times New Roman" w:eastAsia="Times New Roman" w:hAnsi="Times New Roman"/>
                <w:sz w:val="24"/>
                <w:szCs w:val="24"/>
                <w:lang w:val="en-IE" w:eastAsia="en-IE"/>
              </w:rPr>
              <w:t xml:space="preserve">The EESC </w:t>
            </w:r>
            <w:r w:rsidR="00CA6A13" w:rsidRPr="00B27372">
              <w:rPr>
                <w:rFonts w:ascii="Times New Roman" w:eastAsia="Times New Roman" w:hAnsi="Times New Roman"/>
                <w:sz w:val="24"/>
                <w:szCs w:val="24"/>
                <w:lang w:val="en-IE" w:eastAsia="en-IE"/>
              </w:rPr>
              <w:t xml:space="preserve">calls for </w:t>
            </w:r>
            <w:r w:rsidR="001E3622">
              <w:rPr>
                <w:rFonts w:ascii="Times New Roman" w:eastAsia="Times New Roman" w:hAnsi="Times New Roman"/>
                <w:sz w:val="24"/>
                <w:szCs w:val="24"/>
                <w:lang w:val="en-IE" w:eastAsia="en-IE"/>
              </w:rPr>
              <w:t xml:space="preserve">the </w:t>
            </w:r>
            <w:r w:rsidR="00803A19" w:rsidRPr="00B27372">
              <w:rPr>
                <w:rFonts w:ascii="Times New Roman" w:eastAsia="Times New Roman" w:hAnsi="Times New Roman"/>
                <w:sz w:val="24"/>
                <w:szCs w:val="24"/>
                <w:lang w:val="en-IE" w:eastAsia="en-IE"/>
              </w:rPr>
              <w:t>swift alignment and clarification of how ‘rare diseases’ are defined</w:t>
            </w:r>
            <w:r w:rsidR="00CA6A13" w:rsidRPr="00B27372">
              <w:rPr>
                <w:rFonts w:ascii="Times New Roman" w:eastAsia="Times New Roman" w:hAnsi="Times New Roman"/>
                <w:sz w:val="24"/>
                <w:szCs w:val="24"/>
                <w:lang w:val="en-IE" w:eastAsia="en-IE"/>
              </w:rPr>
              <w:t>.</w:t>
            </w:r>
            <w:r w:rsidR="000A2529" w:rsidRPr="00B27372">
              <w:rPr>
                <w:rFonts w:ascii="Times New Roman" w:eastAsia="Times New Roman" w:hAnsi="Times New Roman"/>
                <w:sz w:val="24"/>
                <w:szCs w:val="24"/>
                <w:lang w:val="en-IE" w:eastAsia="en-IE"/>
              </w:rPr>
              <w:t xml:space="preserve"> </w:t>
            </w:r>
            <w:r w:rsidR="38EAE2C4" w:rsidRPr="00B27372">
              <w:rPr>
                <w:rFonts w:ascii="Times New Roman" w:eastAsia="Times New Roman" w:hAnsi="Times New Roman"/>
                <w:sz w:val="24"/>
                <w:szCs w:val="24"/>
                <w:lang w:val="en-IE" w:eastAsia="en-IE"/>
              </w:rPr>
              <w:t xml:space="preserve">The Commission </w:t>
            </w:r>
            <w:r w:rsidR="00F8549C" w:rsidRPr="00B27372">
              <w:rPr>
                <w:rFonts w:ascii="Times New Roman" w:eastAsia="Times New Roman" w:hAnsi="Times New Roman"/>
                <w:sz w:val="24"/>
                <w:szCs w:val="24"/>
                <w:lang w:val="en-IE" w:eastAsia="en-IE"/>
              </w:rPr>
              <w:t xml:space="preserve">would like to </w:t>
            </w:r>
            <w:r w:rsidR="00315912" w:rsidRPr="00B27372">
              <w:rPr>
                <w:rFonts w:ascii="Times New Roman" w:eastAsia="Times New Roman" w:hAnsi="Times New Roman"/>
                <w:sz w:val="24"/>
                <w:szCs w:val="24"/>
                <w:lang w:val="en-IE" w:eastAsia="en-IE"/>
              </w:rPr>
              <w:t>refer to Article 3(1) of</w:t>
            </w:r>
            <w:r w:rsidR="008B1E88" w:rsidRPr="00B27372">
              <w:rPr>
                <w:rFonts w:ascii="Times New Roman" w:eastAsia="Times New Roman" w:hAnsi="Times New Roman"/>
                <w:sz w:val="24"/>
                <w:szCs w:val="24"/>
                <w:lang w:val="en-IE" w:eastAsia="en-IE"/>
              </w:rPr>
              <w:t xml:space="preserve"> </w:t>
            </w:r>
            <w:r w:rsidR="00FB0A75" w:rsidRPr="00B27372">
              <w:rPr>
                <w:rFonts w:ascii="Times New Roman" w:eastAsia="Times New Roman" w:hAnsi="Times New Roman"/>
                <w:sz w:val="24"/>
                <w:szCs w:val="24"/>
                <w:lang w:val="en-IE" w:eastAsia="en-IE"/>
              </w:rPr>
              <w:t xml:space="preserve">the </w:t>
            </w:r>
            <w:r w:rsidR="008B1E88" w:rsidRPr="00B27372">
              <w:rPr>
                <w:rFonts w:ascii="Times New Roman" w:eastAsia="Times New Roman" w:hAnsi="Times New Roman"/>
                <w:sz w:val="24"/>
                <w:szCs w:val="24"/>
                <w:lang w:val="en-IE" w:eastAsia="en-IE"/>
              </w:rPr>
              <w:t>R</w:t>
            </w:r>
            <w:r w:rsidR="38EAE2C4" w:rsidRPr="00B27372">
              <w:rPr>
                <w:rFonts w:ascii="Times New Roman" w:eastAsia="Times New Roman" w:hAnsi="Times New Roman"/>
                <w:sz w:val="24"/>
                <w:szCs w:val="24"/>
                <w:lang w:val="en-IE" w:eastAsia="en-IE"/>
              </w:rPr>
              <w:t>egulation on orphan medicinal products</w:t>
            </w:r>
            <w:r w:rsidR="00C720A8" w:rsidRPr="00D774AA">
              <w:rPr>
                <w:rFonts w:ascii="Times New Roman" w:hAnsi="Times New Roman"/>
                <w:sz w:val="24"/>
                <w:szCs w:val="24"/>
                <w:vertAlign w:val="superscript"/>
                <w:lang w:val="en-IE"/>
              </w:rPr>
              <w:footnoteReference w:id="2"/>
            </w:r>
            <w:r w:rsidR="38EAE2C4" w:rsidRPr="00B27372">
              <w:rPr>
                <w:rFonts w:ascii="Times New Roman" w:eastAsia="Times New Roman" w:hAnsi="Times New Roman"/>
                <w:sz w:val="24"/>
                <w:szCs w:val="24"/>
                <w:lang w:val="en-IE" w:eastAsia="en-IE"/>
              </w:rPr>
              <w:t xml:space="preserve"> </w:t>
            </w:r>
            <w:r w:rsidR="00315912" w:rsidRPr="00B27372">
              <w:rPr>
                <w:rFonts w:ascii="Times New Roman" w:eastAsia="Times New Roman" w:hAnsi="Times New Roman"/>
                <w:sz w:val="24"/>
                <w:szCs w:val="24"/>
                <w:lang w:val="en-IE" w:eastAsia="en-IE"/>
              </w:rPr>
              <w:t>implicitl</w:t>
            </w:r>
            <w:r w:rsidR="00853C91" w:rsidRPr="00B27372">
              <w:rPr>
                <w:rFonts w:ascii="Times New Roman" w:eastAsia="Times New Roman" w:hAnsi="Times New Roman"/>
                <w:sz w:val="24"/>
                <w:szCs w:val="24"/>
                <w:lang w:val="en-IE" w:eastAsia="en-IE"/>
              </w:rPr>
              <w:t>y</w:t>
            </w:r>
            <w:r w:rsidR="00315912" w:rsidRPr="00B27372">
              <w:rPr>
                <w:rFonts w:ascii="Times New Roman" w:eastAsia="Times New Roman" w:hAnsi="Times New Roman"/>
                <w:sz w:val="24"/>
                <w:szCs w:val="24"/>
                <w:lang w:val="en-IE" w:eastAsia="en-IE"/>
              </w:rPr>
              <w:t xml:space="preserve"> laying out the </w:t>
            </w:r>
            <w:r w:rsidR="00853C91" w:rsidRPr="00B27372">
              <w:rPr>
                <w:rFonts w:ascii="Times New Roman" w:eastAsia="Times New Roman" w:hAnsi="Times New Roman"/>
                <w:sz w:val="24"/>
                <w:szCs w:val="24"/>
                <w:lang w:val="en-IE" w:eastAsia="en-IE"/>
              </w:rPr>
              <w:t>prevalence</w:t>
            </w:r>
            <w:r w:rsidR="00315912" w:rsidRPr="00B27372">
              <w:rPr>
                <w:rFonts w:ascii="Times New Roman" w:eastAsia="Times New Roman" w:hAnsi="Times New Roman"/>
                <w:sz w:val="24"/>
                <w:szCs w:val="24"/>
                <w:lang w:val="en-IE" w:eastAsia="en-IE"/>
              </w:rPr>
              <w:t xml:space="preserve"> of rare disease</w:t>
            </w:r>
            <w:r w:rsidR="00853C91" w:rsidRPr="00B27372">
              <w:rPr>
                <w:rFonts w:ascii="Times New Roman" w:eastAsia="Times New Roman" w:hAnsi="Times New Roman"/>
                <w:sz w:val="24"/>
                <w:szCs w:val="24"/>
                <w:lang w:val="en-IE" w:eastAsia="en-IE"/>
              </w:rPr>
              <w:t>s</w:t>
            </w:r>
            <w:r w:rsidR="00315912" w:rsidRPr="00B27372">
              <w:rPr>
                <w:rFonts w:ascii="Times New Roman" w:eastAsia="Times New Roman" w:hAnsi="Times New Roman"/>
                <w:sz w:val="24"/>
                <w:szCs w:val="24"/>
                <w:lang w:val="en-IE" w:eastAsia="en-IE"/>
              </w:rPr>
              <w:t xml:space="preserve"> in the criteria for designation of a medicinal product as </w:t>
            </w:r>
            <w:r w:rsidR="00FB0A75" w:rsidRPr="00B27372">
              <w:rPr>
                <w:rFonts w:ascii="Times New Roman" w:eastAsia="Times New Roman" w:hAnsi="Times New Roman"/>
                <w:sz w:val="24"/>
                <w:szCs w:val="24"/>
                <w:lang w:val="en-IE" w:eastAsia="en-IE"/>
              </w:rPr>
              <w:t>‘</w:t>
            </w:r>
            <w:r w:rsidR="00315912" w:rsidRPr="00B27372">
              <w:rPr>
                <w:rFonts w:ascii="Times New Roman" w:eastAsia="Times New Roman" w:hAnsi="Times New Roman"/>
                <w:sz w:val="24"/>
                <w:szCs w:val="24"/>
                <w:lang w:val="en-IE" w:eastAsia="en-IE"/>
              </w:rPr>
              <w:t>orphan</w:t>
            </w:r>
            <w:r w:rsidR="00FB0A75" w:rsidRPr="00B27372">
              <w:rPr>
                <w:rFonts w:ascii="Times New Roman" w:eastAsia="Times New Roman" w:hAnsi="Times New Roman"/>
                <w:sz w:val="24"/>
                <w:szCs w:val="24"/>
                <w:lang w:val="en-IE" w:eastAsia="en-IE"/>
              </w:rPr>
              <w:t>’</w:t>
            </w:r>
            <w:r w:rsidR="00315912" w:rsidRPr="00B27372">
              <w:rPr>
                <w:rFonts w:ascii="Times New Roman" w:eastAsia="Times New Roman" w:hAnsi="Times New Roman"/>
                <w:sz w:val="24"/>
                <w:szCs w:val="24"/>
                <w:lang w:val="en-IE" w:eastAsia="en-IE"/>
              </w:rPr>
              <w:t>.</w:t>
            </w:r>
            <w:r w:rsidR="00315912" w:rsidRPr="00D774AA">
              <w:rPr>
                <w:rFonts w:ascii="Times New Roman" w:hAnsi="Times New Roman"/>
                <w:sz w:val="24"/>
                <w:szCs w:val="24"/>
              </w:rPr>
              <w:t xml:space="preserve"> </w:t>
            </w:r>
            <w:r w:rsidR="00315912" w:rsidRPr="00B27372">
              <w:rPr>
                <w:rFonts w:ascii="Times New Roman" w:eastAsia="Times New Roman" w:hAnsi="Times New Roman"/>
                <w:sz w:val="24"/>
                <w:szCs w:val="24"/>
                <w:lang w:val="en-IE" w:eastAsia="en-IE"/>
              </w:rPr>
              <w:t xml:space="preserve"> This concept </w:t>
            </w:r>
            <w:r w:rsidR="000C1B6F" w:rsidRPr="00B27372">
              <w:rPr>
                <w:rFonts w:ascii="Times New Roman" w:eastAsia="Times New Roman" w:hAnsi="Times New Roman"/>
                <w:sz w:val="24"/>
                <w:szCs w:val="24"/>
                <w:lang w:val="en-IE" w:eastAsia="en-IE"/>
              </w:rPr>
              <w:t>is</w:t>
            </w:r>
            <w:r w:rsidR="38EAE2C4" w:rsidRPr="00B27372">
              <w:rPr>
                <w:rFonts w:ascii="Times New Roman" w:eastAsia="Times New Roman" w:hAnsi="Times New Roman"/>
                <w:sz w:val="24"/>
                <w:szCs w:val="24"/>
                <w:lang w:val="en-IE" w:eastAsia="en-IE"/>
              </w:rPr>
              <w:t xml:space="preserve"> </w:t>
            </w:r>
            <w:r w:rsidR="000C1B6F" w:rsidRPr="00B27372">
              <w:rPr>
                <w:rFonts w:ascii="Times New Roman" w:eastAsia="Times New Roman" w:hAnsi="Times New Roman"/>
                <w:sz w:val="24"/>
                <w:szCs w:val="24"/>
                <w:lang w:val="en-IE" w:eastAsia="en-IE"/>
              </w:rPr>
              <w:t xml:space="preserve">reflected </w:t>
            </w:r>
            <w:r w:rsidR="38EAE2C4" w:rsidRPr="00B27372">
              <w:rPr>
                <w:rFonts w:ascii="Times New Roman" w:eastAsia="Times New Roman" w:hAnsi="Times New Roman"/>
                <w:sz w:val="24"/>
                <w:szCs w:val="24"/>
                <w:lang w:val="en-IE" w:eastAsia="en-IE"/>
              </w:rPr>
              <w:t>in the forthcoming revised</w:t>
            </w:r>
            <w:r w:rsidR="39D8718F" w:rsidRPr="00B27372">
              <w:rPr>
                <w:rFonts w:ascii="Times New Roman" w:eastAsia="Times New Roman" w:hAnsi="Times New Roman"/>
                <w:sz w:val="24"/>
                <w:szCs w:val="24"/>
                <w:lang w:val="en-IE" w:eastAsia="en-IE"/>
              </w:rPr>
              <w:t xml:space="preserve"> pharmaceutical </w:t>
            </w:r>
            <w:r w:rsidR="008B1E88" w:rsidRPr="00B27372">
              <w:rPr>
                <w:rFonts w:ascii="Times New Roman" w:eastAsia="Times New Roman" w:hAnsi="Times New Roman"/>
                <w:sz w:val="24"/>
                <w:szCs w:val="24"/>
                <w:lang w:val="en-IE" w:eastAsia="en-IE"/>
              </w:rPr>
              <w:t>R</w:t>
            </w:r>
            <w:r w:rsidR="39D8718F" w:rsidRPr="00B27372">
              <w:rPr>
                <w:rFonts w:ascii="Times New Roman" w:eastAsia="Times New Roman" w:hAnsi="Times New Roman"/>
                <w:sz w:val="24"/>
                <w:szCs w:val="24"/>
                <w:lang w:val="en-IE" w:eastAsia="en-IE"/>
              </w:rPr>
              <w:t>egulation</w:t>
            </w:r>
            <w:r w:rsidR="000543BE" w:rsidRPr="00B27372">
              <w:rPr>
                <w:rStyle w:val="FootnoteReference"/>
                <w:rFonts w:ascii="Times New Roman" w:eastAsia="Times New Roman" w:hAnsi="Times New Roman"/>
                <w:sz w:val="24"/>
                <w:szCs w:val="24"/>
                <w:lang w:val="en-IE" w:eastAsia="en-IE"/>
              </w:rPr>
              <w:footnoteReference w:id="3"/>
            </w:r>
            <w:r w:rsidR="000C1B6F" w:rsidRPr="00B27372">
              <w:rPr>
                <w:rFonts w:ascii="Times New Roman" w:eastAsia="Times New Roman" w:hAnsi="Times New Roman"/>
                <w:sz w:val="24"/>
                <w:szCs w:val="24"/>
                <w:lang w:val="en-IE" w:eastAsia="en-IE"/>
              </w:rPr>
              <w:t xml:space="preserve"> which will notably repeal </w:t>
            </w:r>
            <w:r w:rsidR="00FB0A75" w:rsidRPr="00B27372">
              <w:rPr>
                <w:rFonts w:ascii="Times New Roman" w:eastAsia="Times New Roman" w:hAnsi="Times New Roman"/>
                <w:sz w:val="24"/>
                <w:szCs w:val="24"/>
                <w:lang w:val="en-IE" w:eastAsia="en-IE"/>
              </w:rPr>
              <w:t xml:space="preserve">the above-mentioned </w:t>
            </w:r>
            <w:r w:rsidR="000C1B6F" w:rsidRPr="00B27372">
              <w:rPr>
                <w:rFonts w:ascii="Times New Roman" w:eastAsia="Times New Roman" w:hAnsi="Times New Roman"/>
                <w:sz w:val="24"/>
                <w:szCs w:val="24"/>
                <w:lang w:val="en-IE" w:eastAsia="en-IE"/>
              </w:rPr>
              <w:t>Regulation</w:t>
            </w:r>
            <w:r w:rsidR="39D8718F" w:rsidRPr="00B27372">
              <w:rPr>
                <w:rFonts w:ascii="Times New Roman" w:eastAsia="Times New Roman" w:hAnsi="Times New Roman"/>
                <w:sz w:val="24"/>
                <w:szCs w:val="24"/>
                <w:lang w:val="en-IE" w:eastAsia="en-IE"/>
              </w:rPr>
              <w:t>.</w:t>
            </w:r>
          </w:p>
          <w:p w14:paraId="110B5FB8" w14:textId="6E99B41D" w:rsidR="0087026D" w:rsidRPr="00B27372" w:rsidRDefault="00A47B72" w:rsidP="00B27372">
            <w:pPr>
              <w:widowControl w:val="0"/>
              <w:spacing w:before="120" w:after="120"/>
              <w:jc w:val="both"/>
              <w:rPr>
                <w:rFonts w:ascii="Times New Roman" w:eastAsia="Times New Roman" w:hAnsi="Times New Roman"/>
                <w:sz w:val="24"/>
                <w:szCs w:val="24"/>
                <w:lang w:val="en-IE" w:eastAsia="en-IE"/>
              </w:rPr>
            </w:pPr>
            <w:r w:rsidRPr="00B27372">
              <w:rPr>
                <w:rFonts w:ascii="Times New Roman" w:eastAsia="Times New Roman" w:hAnsi="Times New Roman"/>
                <w:sz w:val="24"/>
                <w:szCs w:val="24"/>
                <w:lang w:val="en-IE" w:eastAsia="en-IE"/>
              </w:rPr>
              <w:t xml:space="preserve">The EESC recommends that </w:t>
            </w:r>
            <w:r w:rsidR="00377620" w:rsidRPr="00B27372">
              <w:rPr>
                <w:rFonts w:ascii="Times New Roman" w:eastAsia="Times New Roman" w:hAnsi="Times New Roman"/>
                <w:sz w:val="24"/>
                <w:szCs w:val="24"/>
                <w:lang w:val="en-IE" w:eastAsia="en-IE"/>
              </w:rPr>
              <w:t>c</w:t>
            </w:r>
            <w:r w:rsidR="00FA1118" w:rsidRPr="00B27372">
              <w:rPr>
                <w:rFonts w:ascii="Times New Roman" w:eastAsia="Times New Roman" w:hAnsi="Times New Roman"/>
                <w:sz w:val="24"/>
                <w:szCs w:val="24"/>
                <w:lang w:val="en-IE" w:eastAsia="en-IE"/>
              </w:rPr>
              <w:t>ross-cutting support actions should include the promotion of talented and young entrepreneurs, data integration</w:t>
            </w:r>
            <w:r w:rsidR="001C2A47" w:rsidRPr="00B27372">
              <w:rPr>
                <w:rFonts w:ascii="Times New Roman" w:eastAsia="Times New Roman" w:hAnsi="Times New Roman"/>
                <w:sz w:val="24"/>
                <w:szCs w:val="24"/>
                <w:lang w:val="en-IE" w:eastAsia="en-IE"/>
              </w:rPr>
              <w:t xml:space="preserve"> and</w:t>
            </w:r>
            <w:r w:rsidR="00FA1118" w:rsidRPr="00B27372">
              <w:rPr>
                <w:rFonts w:ascii="Times New Roman" w:eastAsia="Times New Roman" w:hAnsi="Times New Roman"/>
                <w:sz w:val="24"/>
                <w:szCs w:val="24"/>
                <w:lang w:val="en-IE" w:eastAsia="en-IE"/>
              </w:rPr>
              <w:t xml:space="preserve"> </w:t>
            </w:r>
            <w:r w:rsidR="00CF3CD6">
              <w:rPr>
                <w:rFonts w:ascii="Times New Roman" w:eastAsia="Times New Roman" w:hAnsi="Times New Roman"/>
                <w:sz w:val="24"/>
                <w:szCs w:val="24"/>
                <w:lang w:val="en-IE" w:eastAsia="en-IE"/>
              </w:rPr>
              <w:t>Intellectual Property (</w:t>
            </w:r>
            <w:hyperlink r:id="rId11" w:anchor=":~:text=For%20companies%20in%20the%20Life,IP%20to%20a%20third%20party?">
              <w:r w:rsidR="00FA1118" w:rsidRPr="00B27372">
                <w:rPr>
                  <w:rFonts w:ascii="Times New Roman" w:eastAsia="Times New Roman" w:hAnsi="Times New Roman"/>
                  <w:sz w:val="24"/>
                  <w:szCs w:val="24"/>
                  <w:lang w:val="en-IE" w:eastAsia="en-IE"/>
                </w:rPr>
                <w:t>IP</w:t>
              </w:r>
              <w:r w:rsidR="00CF3CD6">
                <w:rPr>
                  <w:rFonts w:ascii="Times New Roman" w:eastAsia="Times New Roman" w:hAnsi="Times New Roman"/>
                  <w:sz w:val="24"/>
                  <w:szCs w:val="24"/>
                  <w:lang w:val="en-IE" w:eastAsia="en-IE"/>
                </w:rPr>
                <w:t>)</w:t>
              </w:r>
              <w:r w:rsidR="00FA1118" w:rsidRPr="00B27372">
                <w:rPr>
                  <w:rFonts w:ascii="Times New Roman" w:eastAsia="Times New Roman" w:hAnsi="Times New Roman"/>
                  <w:sz w:val="24"/>
                  <w:szCs w:val="24"/>
                  <w:lang w:val="en-IE" w:eastAsia="en-IE"/>
                </w:rPr>
                <w:t xml:space="preserve"> protection</w:t>
              </w:r>
            </w:hyperlink>
            <w:r w:rsidR="001C2A47" w:rsidRPr="00B27372">
              <w:rPr>
                <w:rFonts w:ascii="Times New Roman" w:eastAsia="Times New Roman" w:hAnsi="Times New Roman"/>
                <w:sz w:val="24"/>
                <w:szCs w:val="24"/>
                <w:lang w:val="en-IE" w:eastAsia="en-IE"/>
              </w:rPr>
              <w:t>.</w:t>
            </w:r>
            <w:r w:rsidR="00FA1118" w:rsidRPr="00B27372">
              <w:rPr>
                <w:rFonts w:ascii="Times New Roman" w:eastAsia="Times New Roman" w:hAnsi="Times New Roman"/>
                <w:sz w:val="24"/>
                <w:szCs w:val="24"/>
                <w:lang w:val="en-IE" w:eastAsia="en-IE"/>
              </w:rPr>
              <w:t xml:space="preserve"> </w:t>
            </w:r>
            <w:r w:rsidR="001C2A47" w:rsidRPr="00B27372">
              <w:rPr>
                <w:rFonts w:ascii="Times New Roman" w:eastAsia="Times New Roman" w:hAnsi="Times New Roman"/>
                <w:sz w:val="24"/>
                <w:szCs w:val="24"/>
                <w:lang w:val="en-IE" w:eastAsia="en-IE"/>
              </w:rPr>
              <w:t xml:space="preserve">The Commission agrees that these are </w:t>
            </w:r>
            <w:r w:rsidR="00917888" w:rsidRPr="00B27372">
              <w:rPr>
                <w:rFonts w:ascii="Times New Roman" w:eastAsia="Times New Roman" w:hAnsi="Times New Roman"/>
                <w:sz w:val="24"/>
                <w:szCs w:val="24"/>
                <w:lang w:val="en-IE" w:eastAsia="en-IE"/>
              </w:rPr>
              <w:t xml:space="preserve">important elements to </w:t>
            </w:r>
            <w:r w:rsidR="00C54857" w:rsidRPr="00B27372">
              <w:rPr>
                <w:rFonts w:ascii="Times New Roman" w:eastAsia="Times New Roman" w:hAnsi="Times New Roman"/>
                <w:sz w:val="24"/>
                <w:szCs w:val="24"/>
                <w:lang w:val="en-IE" w:eastAsia="en-IE"/>
              </w:rPr>
              <w:t xml:space="preserve">accelerate the life science innovation </w:t>
            </w:r>
            <w:r w:rsidR="005A5E59" w:rsidRPr="00B27372">
              <w:rPr>
                <w:rFonts w:ascii="Times New Roman" w:eastAsia="Times New Roman" w:hAnsi="Times New Roman"/>
                <w:sz w:val="24"/>
                <w:szCs w:val="24"/>
                <w:lang w:val="en-IE" w:eastAsia="en-IE"/>
              </w:rPr>
              <w:t>journey,</w:t>
            </w:r>
            <w:r w:rsidR="001A562F" w:rsidRPr="00B27372">
              <w:rPr>
                <w:rFonts w:ascii="Times New Roman" w:eastAsia="Times New Roman" w:hAnsi="Times New Roman"/>
                <w:sz w:val="24"/>
                <w:szCs w:val="24"/>
                <w:lang w:val="en-IE" w:eastAsia="en-IE"/>
              </w:rPr>
              <w:t xml:space="preserve"> and </w:t>
            </w:r>
            <w:r w:rsidR="001A6E69" w:rsidRPr="00B27372">
              <w:rPr>
                <w:rFonts w:ascii="Times New Roman" w:eastAsia="Times New Roman" w:hAnsi="Times New Roman"/>
                <w:sz w:val="24"/>
                <w:szCs w:val="24"/>
                <w:lang w:val="en-IE" w:eastAsia="en-IE"/>
              </w:rPr>
              <w:t>these elements</w:t>
            </w:r>
            <w:r w:rsidR="00C54857" w:rsidRPr="00B27372">
              <w:rPr>
                <w:rFonts w:ascii="Times New Roman" w:eastAsia="Times New Roman" w:hAnsi="Times New Roman"/>
                <w:sz w:val="24"/>
                <w:szCs w:val="24"/>
                <w:lang w:val="en-IE" w:eastAsia="en-IE"/>
              </w:rPr>
              <w:t xml:space="preserve"> are an integral part of the</w:t>
            </w:r>
            <w:r w:rsidR="00917888" w:rsidRPr="00B27372">
              <w:rPr>
                <w:rFonts w:ascii="Times New Roman" w:eastAsia="Times New Roman" w:hAnsi="Times New Roman"/>
                <w:sz w:val="24"/>
                <w:szCs w:val="24"/>
                <w:lang w:val="en-IE" w:eastAsia="en-IE"/>
              </w:rPr>
              <w:t xml:space="preserve"> </w:t>
            </w:r>
            <w:r w:rsidR="001C2A47" w:rsidRPr="00B27372">
              <w:rPr>
                <w:rFonts w:ascii="Times New Roman" w:eastAsia="Times New Roman" w:hAnsi="Times New Roman"/>
                <w:sz w:val="24"/>
                <w:szCs w:val="24"/>
                <w:lang w:val="en-IE" w:eastAsia="en-IE"/>
              </w:rPr>
              <w:t>Strategy for European Life Sciences</w:t>
            </w:r>
            <w:r w:rsidR="004656AC" w:rsidRPr="00B27372">
              <w:rPr>
                <w:rFonts w:ascii="Times New Roman" w:eastAsia="Times New Roman" w:hAnsi="Times New Roman"/>
                <w:sz w:val="24"/>
                <w:szCs w:val="24"/>
                <w:lang w:val="en-IE" w:eastAsia="en-IE"/>
              </w:rPr>
              <w:t xml:space="preserve">. </w:t>
            </w:r>
          </w:p>
          <w:p w14:paraId="19ED9433" w14:textId="4AE384E2" w:rsidR="00CF2684" w:rsidRPr="00B27372" w:rsidRDefault="004656AC" w:rsidP="00B27372">
            <w:pPr>
              <w:widowControl w:val="0"/>
              <w:spacing w:before="120" w:after="120"/>
              <w:jc w:val="both"/>
              <w:rPr>
                <w:rFonts w:ascii="Times New Roman" w:eastAsia="Times New Roman" w:hAnsi="Times New Roman"/>
                <w:sz w:val="24"/>
                <w:szCs w:val="24"/>
                <w:lang w:val="en-IE" w:eastAsia="en-IE"/>
              </w:rPr>
            </w:pPr>
            <w:r w:rsidRPr="00B27372">
              <w:rPr>
                <w:rFonts w:ascii="Times New Roman" w:eastAsia="Times New Roman" w:hAnsi="Times New Roman"/>
                <w:sz w:val="24"/>
                <w:szCs w:val="24"/>
                <w:lang w:val="en-IE" w:eastAsia="en-IE"/>
              </w:rPr>
              <w:t xml:space="preserve">The </w:t>
            </w:r>
            <w:r w:rsidR="001004BE" w:rsidRPr="00B27372">
              <w:rPr>
                <w:rFonts w:ascii="Times New Roman" w:eastAsia="Times New Roman" w:hAnsi="Times New Roman"/>
                <w:sz w:val="24"/>
                <w:szCs w:val="24"/>
                <w:lang w:val="en-IE" w:eastAsia="en-IE"/>
              </w:rPr>
              <w:t xml:space="preserve">Strategy for European Life Sciences </w:t>
            </w:r>
            <w:r w:rsidR="00455F6C" w:rsidRPr="00B27372">
              <w:rPr>
                <w:rFonts w:ascii="Times New Roman" w:eastAsia="Times New Roman" w:hAnsi="Times New Roman"/>
                <w:sz w:val="24"/>
                <w:szCs w:val="24"/>
                <w:lang w:val="en-IE" w:eastAsia="en-IE"/>
              </w:rPr>
              <w:t>encourages Member States to strengthen national programmes that promote innovation and entrepreneurship in key life science sectors</w:t>
            </w:r>
            <w:r w:rsidR="006F51E6" w:rsidRPr="00B27372">
              <w:rPr>
                <w:rFonts w:ascii="Times New Roman" w:eastAsia="Times New Roman" w:hAnsi="Times New Roman"/>
                <w:sz w:val="24"/>
                <w:szCs w:val="24"/>
                <w:lang w:val="en-IE" w:eastAsia="en-IE"/>
              </w:rPr>
              <w:t>. The Strategy</w:t>
            </w:r>
            <w:r w:rsidR="00921BF5" w:rsidRPr="00B27372">
              <w:rPr>
                <w:rFonts w:ascii="Times New Roman" w:eastAsia="Times New Roman" w:hAnsi="Times New Roman"/>
                <w:sz w:val="24"/>
                <w:szCs w:val="24"/>
                <w:lang w:val="en-IE" w:eastAsia="en-IE"/>
              </w:rPr>
              <w:t xml:space="preserve"> </w:t>
            </w:r>
            <w:r w:rsidR="00AA6219" w:rsidRPr="00B27372">
              <w:rPr>
                <w:rFonts w:ascii="Times New Roman" w:eastAsia="Times New Roman" w:hAnsi="Times New Roman"/>
                <w:sz w:val="24"/>
                <w:szCs w:val="24"/>
                <w:lang w:val="en-IE" w:eastAsia="en-IE"/>
              </w:rPr>
              <w:t>seeks to</w:t>
            </w:r>
            <w:r w:rsidR="005B0839" w:rsidRPr="00B27372">
              <w:rPr>
                <w:rFonts w:ascii="Times New Roman" w:eastAsia="Times New Roman" w:hAnsi="Times New Roman"/>
                <w:sz w:val="24"/>
                <w:szCs w:val="24"/>
                <w:lang w:val="en-IE" w:eastAsia="en-IE"/>
              </w:rPr>
              <w:t xml:space="preserve"> strengthen</w:t>
            </w:r>
            <w:r w:rsidR="00AA6219" w:rsidRPr="00B27372">
              <w:rPr>
                <w:rFonts w:ascii="Times New Roman" w:eastAsia="Times New Roman" w:hAnsi="Times New Roman"/>
                <w:sz w:val="24"/>
                <w:szCs w:val="24"/>
                <w:lang w:val="en-IE" w:eastAsia="en-IE"/>
              </w:rPr>
              <w:t xml:space="preserve"> skills and careers for competitive European life sciences</w:t>
            </w:r>
            <w:r w:rsidR="00C965C2" w:rsidRPr="00B27372">
              <w:rPr>
                <w:rFonts w:ascii="Times New Roman" w:eastAsia="Times New Roman" w:hAnsi="Times New Roman"/>
                <w:sz w:val="24"/>
                <w:szCs w:val="24"/>
                <w:lang w:val="en-IE" w:eastAsia="en-IE"/>
              </w:rPr>
              <w:t xml:space="preserve"> </w:t>
            </w:r>
            <w:r w:rsidR="007817C7" w:rsidRPr="00B27372">
              <w:rPr>
                <w:rFonts w:ascii="Times New Roman" w:eastAsia="Times New Roman" w:hAnsi="Times New Roman"/>
                <w:sz w:val="24"/>
                <w:szCs w:val="24"/>
                <w:lang w:val="en-IE" w:eastAsia="en-IE"/>
              </w:rPr>
              <w:t>through various initiatives.</w:t>
            </w:r>
            <w:r w:rsidR="00B2723E" w:rsidRPr="00B27372">
              <w:rPr>
                <w:rFonts w:ascii="Times New Roman" w:eastAsia="Times New Roman" w:hAnsi="Times New Roman"/>
                <w:sz w:val="24"/>
                <w:szCs w:val="24"/>
                <w:lang w:val="en-IE" w:eastAsia="en-IE"/>
              </w:rPr>
              <w:t xml:space="preserve"> </w:t>
            </w:r>
            <w:r w:rsidR="004F70AF" w:rsidRPr="00B27372">
              <w:rPr>
                <w:rFonts w:ascii="Times New Roman" w:eastAsia="Times New Roman" w:hAnsi="Times New Roman"/>
                <w:sz w:val="24"/>
                <w:szCs w:val="24"/>
                <w:lang w:val="en-IE" w:eastAsia="en-IE"/>
              </w:rPr>
              <w:t>This is in line with</w:t>
            </w:r>
            <w:r w:rsidR="0050482B" w:rsidRPr="00B27372">
              <w:rPr>
                <w:rFonts w:ascii="Times New Roman" w:eastAsia="Times New Roman" w:hAnsi="Times New Roman"/>
                <w:sz w:val="24"/>
                <w:szCs w:val="24"/>
                <w:lang w:val="en-IE" w:eastAsia="en-IE"/>
              </w:rPr>
              <w:t xml:space="preserve"> t</w:t>
            </w:r>
            <w:r w:rsidR="00294A1C" w:rsidRPr="00B27372">
              <w:rPr>
                <w:rFonts w:ascii="Times New Roman" w:eastAsia="Times New Roman" w:hAnsi="Times New Roman"/>
                <w:sz w:val="24"/>
                <w:szCs w:val="24"/>
                <w:lang w:val="en-IE" w:eastAsia="en-IE"/>
              </w:rPr>
              <w:t xml:space="preserve">he </w:t>
            </w:r>
            <w:r w:rsidR="008A3550" w:rsidRPr="00B27372">
              <w:rPr>
                <w:rFonts w:ascii="Times New Roman" w:eastAsia="Times New Roman" w:hAnsi="Times New Roman"/>
                <w:sz w:val="24"/>
                <w:szCs w:val="24"/>
                <w:lang w:val="en-IE" w:eastAsia="en-IE"/>
              </w:rPr>
              <w:t>STEM</w:t>
            </w:r>
            <w:r w:rsidR="00B27372">
              <w:rPr>
                <w:rFonts w:ascii="Times New Roman" w:eastAsia="Times New Roman" w:hAnsi="Times New Roman"/>
                <w:sz w:val="24"/>
                <w:szCs w:val="24"/>
                <w:lang w:val="en-IE" w:eastAsia="en-IE"/>
              </w:rPr>
              <w:t xml:space="preserve"> (</w:t>
            </w:r>
            <w:r w:rsidR="00B27372" w:rsidRPr="00B27372">
              <w:rPr>
                <w:rFonts w:ascii="Times New Roman" w:eastAsia="Times New Roman" w:hAnsi="Times New Roman"/>
                <w:sz w:val="24"/>
                <w:szCs w:val="24"/>
                <w:lang w:val="en-IE" w:eastAsia="en-IE"/>
              </w:rPr>
              <w:t>Science, Technology, Engineering, and Mathematics</w:t>
            </w:r>
            <w:r w:rsidR="00B27372">
              <w:rPr>
                <w:rFonts w:ascii="Times New Roman" w:eastAsia="Times New Roman" w:hAnsi="Times New Roman"/>
                <w:sz w:val="24"/>
                <w:szCs w:val="24"/>
                <w:lang w:val="en-IE" w:eastAsia="en-IE"/>
              </w:rPr>
              <w:t>)</w:t>
            </w:r>
            <w:r w:rsidR="004F70AF" w:rsidRPr="00B27372">
              <w:rPr>
                <w:rFonts w:ascii="Times New Roman" w:eastAsia="Times New Roman" w:hAnsi="Times New Roman"/>
                <w:sz w:val="24"/>
                <w:szCs w:val="24"/>
                <w:lang w:val="en-IE" w:eastAsia="en-IE"/>
              </w:rPr>
              <w:t xml:space="preserve"> E</w:t>
            </w:r>
            <w:r w:rsidR="00C61CBE" w:rsidRPr="00B27372">
              <w:rPr>
                <w:rFonts w:ascii="Times New Roman" w:eastAsia="Times New Roman" w:hAnsi="Times New Roman"/>
                <w:sz w:val="24"/>
                <w:szCs w:val="24"/>
                <w:lang w:val="en-IE" w:eastAsia="en-IE"/>
              </w:rPr>
              <w:t xml:space="preserve">ducation </w:t>
            </w:r>
            <w:r w:rsidR="004F70AF" w:rsidRPr="00B27372">
              <w:rPr>
                <w:rFonts w:ascii="Times New Roman" w:eastAsia="Times New Roman" w:hAnsi="Times New Roman"/>
                <w:sz w:val="24"/>
                <w:szCs w:val="24"/>
                <w:lang w:val="en-IE" w:eastAsia="en-IE"/>
              </w:rPr>
              <w:t xml:space="preserve">Strategic Plan, an initiative </w:t>
            </w:r>
            <w:r w:rsidR="008514C1" w:rsidRPr="00B27372">
              <w:rPr>
                <w:rFonts w:ascii="Times New Roman" w:eastAsia="Times New Roman" w:hAnsi="Times New Roman"/>
                <w:sz w:val="24"/>
                <w:szCs w:val="24"/>
                <w:lang w:val="en-IE" w:eastAsia="en-IE"/>
              </w:rPr>
              <w:t>accompanying the Union of Skills</w:t>
            </w:r>
            <w:r w:rsidR="008514C1" w:rsidRPr="00D774AA">
              <w:rPr>
                <w:rFonts w:ascii="Times New Roman" w:hAnsi="Times New Roman"/>
                <w:sz w:val="24"/>
                <w:szCs w:val="24"/>
                <w:vertAlign w:val="superscript"/>
              </w:rPr>
              <w:footnoteReference w:id="4"/>
            </w:r>
            <w:r w:rsidR="008514C1" w:rsidRPr="00B27372">
              <w:rPr>
                <w:rFonts w:ascii="Times New Roman" w:eastAsia="Times New Roman" w:hAnsi="Times New Roman"/>
                <w:sz w:val="24"/>
                <w:szCs w:val="24"/>
                <w:lang w:val="en-IE" w:eastAsia="en-IE"/>
              </w:rPr>
              <w:t xml:space="preserve"> </w:t>
            </w:r>
            <w:r w:rsidR="00AF2AE2" w:rsidRPr="00B27372">
              <w:rPr>
                <w:rFonts w:ascii="Times New Roman" w:eastAsia="Times New Roman" w:hAnsi="Times New Roman"/>
                <w:sz w:val="24"/>
                <w:szCs w:val="24"/>
                <w:lang w:val="en-IE" w:eastAsia="en-IE"/>
              </w:rPr>
              <w:t xml:space="preserve">that </w:t>
            </w:r>
            <w:r w:rsidR="00C61CBE" w:rsidRPr="00B27372">
              <w:rPr>
                <w:rFonts w:ascii="Times New Roman" w:eastAsia="Times New Roman" w:hAnsi="Times New Roman"/>
                <w:sz w:val="24"/>
                <w:szCs w:val="24"/>
                <w:lang w:val="en-IE" w:eastAsia="en-IE"/>
              </w:rPr>
              <w:t>aim</w:t>
            </w:r>
            <w:r w:rsidR="00AF2AE2" w:rsidRPr="00B27372">
              <w:rPr>
                <w:rFonts w:ascii="Times New Roman" w:eastAsia="Times New Roman" w:hAnsi="Times New Roman"/>
                <w:sz w:val="24"/>
                <w:szCs w:val="24"/>
                <w:lang w:val="en-IE" w:eastAsia="en-IE"/>
              </w:rPr>
              <w:t>s</w:t>
            </w:r>
            <w:r w:rsidR="00C61CBE" w:rsidRPr="00B27372">
              <w:rPr>
                <w:rFonts w:ascii="Times New Roman" w:eastAsia="Times New Roman" w:hAnsi="Times New Roman"/>
                <w:sz w:val="24"/>
                <w:szCs w:val="24"/>
                <w:lang w:val="en-IE" w:eastAsia="en-IE"/>
              </w:rPr>
              <w:t xml:space="preserve"> to enhance the quality of education and training </w:t>
            </w:r>
            <w:r w:rsidR="004F70AF" w:rsidRPr="00B27372">
              <w:rPr>
                <w:rFonts w:ascii="Times New Roman" w:eastAsia="Times New Roman" w:hAnsi="Times New Roman"/>
                <w:sz w:val="24"/>
                <w:szCs w:val="24"/>
                <w:lang w:val="en-IE" w:eastAsia="en-IE"/>
              </w:rPr>
              <w:t xml:space="preserve">in science, technology, engineering, and mathematics </w:t>
            </w:r>
            <w:r w:rsidR="00C61CBE" w:rsidRPr="00B27372">
              <w:rPr>
                <w:rFonts w:ascii="Times New Roman" w:eastAsia="Times New Roman" w:hAnsi="Times New Roman"/>
                <w:sz w:val="24"/>
                <w:szCs w:val="24"/>
                <w:lang w:val="en-IE" w:eastAsia="en-IE"/>
              </w:rPr>
              <w:t>and foster talent in critical, fast-growing fields such as life sciences</w:t>
            </w:r>
            <w:r w:rsidR="00BA130E" w:rsidRPr="00B27372">
              <w:rPr>
                <w:rFonts w:ascii="Times New Roman" w:eastAsia="Times New Roman" w:hAnsi="Times New Roman"/>
                <w:sz w:val="24"/>
                <w:szCs w:val="24"/>
                <w:lang w:val="en-IE" w:eastAsia="en-IE"/>
              </w:rPr>
              <w:t>.</w:t>
            </w:r>
            <w:r w:rsidR="00076AA4" w:rsidRPr="00B27372">
              <w:rPr>
                <w:rFonts w:ascii="Times New Roman" w:eastAsia="Times New Roman" w:hAnsi="Times New Roman"/>
                <w:sz w:val="24"/>
                <w:szCs w:val="24"/>
                <w:lang w:val="en-IE" w:eastAsia="en-IE"/>
              </w:rPr>
              <w:t xml:space="preserve"> </w:t>
            </w:r>
            <w:r w:rsidR="002B2585" w:rsidRPr="00B27372">
              <w:rPr>
                <w:rFonts w:ascii="Times New Roman" w:eastAsia="Times New Roman" w:hAnsi="Times New Roman"/>
                <w:sz w:val="24"/>
                <w:szCs w:val="24"/>
                <w:lang w:val="en-IE" w:eastAsia="en-IE"/>
              </w:rPr>
              <w:t xml:space="preserve">Life science entrepreneurs </w:t>
            </w:r>
            <w:r w:rsidR="00382D00" w:rsidRPr="00B27372">
              <w:rPr>
                <w:rFonts w:ascii="Times New Roman" w:eastAsia="Times New Roman" w:hAnsi="Times New Roman"/>
                <w:sz w:val="24"/>
                <w:szCs w:val="24"/>
                <w:lang w:val="en-IE" w:eastAsia="en-IE"/>
              </w:rPr>
              <w:t xml:space="preserve">should also benefit from </w:t>
            </w:r>
            <w:r w:rsidR="00E24DB2" w:rsidRPr="00B27372">
              <w:rPr>
                <w:rFonts w:ascii="Times New Roman" w:eastAsia="Times New Roman" w:hAnsi="Times New Roman"/>
                <w:sz w:val="24"/>
                <w:szCs w:val="24"/>
                <w:lang w:val="en-IE" w:eastAsia="en-IE"/>
              </w:rPr>
              <w:t xml:space="preserve">the Blue Carpet </w:t>
            </w:r>
            <w:r w:rsidR="00FD397E" w:rsidRPr="00B27372">
              <w:rPr>
                <w:rFonts w:ascii="Times New Roman" w:eastAsia="Times New Roman" w:hAnsi="Times New Roman"/>
                <w:sz w:val="24"/>
                <w:szCs w:val="24"/>
                <w:lang w:val="en-IE" w:eastAsia="en-IE"/>
              </w:rPr>
              <w:t>i</w:t>
            </w:r>
            <w:r w:rsidR="00E24DB2" w:rsidRPr="00B27372">
              <w:rPr>
                <w:rFonts w:ascii="Times New Roman" w:eastAsia="Times New Roman" w:hAnsi="Times New Roman"/>
                <w:sz w:val="24"/>
                <w:szCs w:val="24"/>
                <w:lang w:val="en-IE" w:eastAsia="en-IE"/>
              </w:rPr>
              <w:t xml:space="preserve">nitiative </w:t>
            </w:r>
            <w:r w:rsidR="00FD397E" w:rsidRPr="00B27372">
              <w:rPr>
                <w:rFonts w:ascii="Times New Roman" w:eastAsia="Times New Roman" w:hAnsi="Times New Roman"/>
                <w:sz w:val="24"/>
                <w:szCs w:val="24"/>
                <w:lang w:val="en-IE" w:eastAsia="en-IE"/>
              </w:rPr>
              <w:t>announced in</w:t>
            </w:r>
            <w:r w:rsidR="006D72C6" w:rsidRPr="00B27372">
              <w:rPr>
                <w:rFonts w:ascii="Times New Roman" w:eastAsia="Times New Roman" w:hAnsi="Times New Roman"/>
                <w:sz w:val="24"/>
                <w:szCs w:val="24"/>
                <w:lang w:val="en-IE" w:eastAsia="en-IE"/>
              </w:rPr>
              <w:t xml:space="preserve"> the EU Startup and Scaleup Strategy</w:t>
            </w:r>
            <w:r w:rsidR="00B27372">
              <w:rPr>
                <w:rStyle w:val="FootnoteReference"/>
                <w:rFonts w:ascii="Times New Roman" w:eastAsia="Times New Roman" w:hAnsi="Times New Roman"/>
                <w:sz w:val="24"/>
                <w:szCs w:val="24"/>
                <w:lang w:val="en-IE" w:eastAsia="en-IE"/>
              </w:rPr>
              <w:footnoteReference w:id="5"/>
            </w:r>
            <w:r w:rsidR="00FD397E" w:rsidRPr="00B27372">
              <w:rPr>
                <w:rFonts w:ascii="Times New Roman" w:eastAsia="Times New Roman" w:hAnsi="Times New Roman"/>
                <w:sz w:val="24"/>
                <w:szCs w:val="24"/>
                <w:lang w:val="en-IE" w:eastAsia="en-IE"/>
              </w:rPr>
              <w:t xml:space="preserve">, which notably aims at promoting and strengthening entrepreneurial </w:t>
            </w:r>
            <w:r w:rsidR="00FD397E" w:rsidRPr="00B27372">
              <w:rPr>
                <w:rFonts w:ascii="Times New Roman" w:eastAsia="Times New Roman" w:hAnsi="Times New Roman"/>
                <w:sz w:val="24"/>
                <w:szCs w:val="24"/>
                <w:lang w:val="en-IE" w:eastAsia="en-IE"/>
              </w:rPr>
              <w:lastRenderedPageBreak/>
              <w:t xml:space="preserve">education. </w:t>
            </w:r>
          </w:p>
          <w:p w14:paraId="78D46A40" w14:textId="0D7918D8" w:rsidR="00E30235" w:rsidRPr="00B27372" w:rsidRDefault="00E217D7" w:rsidP="00B27372">
            <w:pPr>
              <w:widowControl w:val="0"/>
              <w:spacing w:before="120" w:after="120"/>
              <w:jc w:val="both"/>
              <w:rPr>
                <w:rFonts w:ascii="Times New Roman" w:eastAsia="Times New Roman" w:hAnsi="Times New Roman"/>
                <w:sz w:val="24"/>
                <w:szCs w:val="24"/>
                <w:lang w:val="en-IE" w:eastAsia="en-IE"/>
              </w:rPr>
            </w:pPr>
            <w:r w:rsidRPr="00B27372">
              <w:rPr>
                <w:rFonts w:ascii="Times New Roman" w:eastAsia="Times New Roman" w:hAnsi="Times New Roman"/>
                <w:sz w:val="24"/>
                <w:szCs w:val="24"/>
                <w:lang w:val="en-IE" w:eastAsia="en-IE"/>
              </w:rPr>
              <w:t xml:space="preserve">The Strategy for European Life Sciences </w:t>
            </w:r>
            <w:r w:rsidR="00D2423F" w:rsidRPr="00B27372">
              <w:rPr>
                <w:rFonts w:ascii="Times New Roman" w:eastAsia="Times New Roman" w:hAnsi="Times New Roman"/>
                <w:sz w:val="24"/>
                <w:szCs w:val="24"/>
                <w:lang w:val="en-IE" w:eastAsia="en-IE"/>
              </w:rPr>
              <w:t>recognises th</w:t>
            </w:r>
            <w:r w:rsidR="001D31B6" w:rsidRPr="00B27372">
              <w:rPr>
                <w:rFonts w:ascii="Times New Roman" w:eastAsia="Times New Roman" w:hAnsi="Times New Roman"/>
                <w:sz w:val="24"/>
                <w:szCs w:val="24"/>
                <w:lang w:val="en-IE" w:eastAsia="en-IE"/>
              </w:rPr>
              <w:t>e</w:t>
            </w:r>
            <w:r w:rsidR="00E927C2" w:rsidRPr="00B27372">
              <w:rPr>
                <w:rFonts w:ascii="Times New Roman" w:eastAsia="Times New Roman" w:hAnsi="Times New Roman"/>
                <w:sz w:val="24"/>
                <w:szCs w:val="24"/>
                <w:lang w:val="en-IE" w:eastAsia="en-IE"/>
              </w:rPr>
              <w:t xml:space="preserve"> </w:t>
            </w:r>
            <w:r w:rsidR="00FE0C9B" w:rsidRPr="00B27372">
              <w:rPr>
                <w:rFonts w:ascii="Times New Roman" w:eastAsia="Times New Roman" w:hAnsi="Times New Roman"/>
                <w:sz w:val="24"/>
                <w:szCs w:val="24"/>
                <w:lang w:val="en-IE" w:eastAsia="en-IE"/>
              </w:rPr>
              <w:t xml:space="preserve">invaluable </w:t>
            </w:r>
            <w:r w:rsidR="00193A47" w:rsidRPr="00B27372">
              <w:rPr>
                <w:rFonts w:ascii="Times New Roman" w:eastAsia="Times New Roman" w:hAnsi="Times New Roman"/>
                <w:sz w:val="24"/>
                <w:szCs w:val="24"/>
                <w:lang w:val="en-IE" w:eastAsia="en-IE"/>
              </w:rPr>
              <w:t xml:space="preserve">importance of </w:t>
            </w:r>
            <w:r w:rsidR="00E927C2" w:rsidRPr="00B27372">
              <w:rPr>
                <w:rFonts w:ascii="Times New Roman" w:eastAsia="Times New Roman" w:hAnsi="Times New Roman"/>
                <w:sz w:val="24"/>
                <w:szCs w:val="24"/>
                <w:lang w:val="en-IE" w:eastAsia="en-IE"/>
              </w:rPr>
              <w:t>data</w:t>
            </w:r>
            <w:r w:rsidR="00ED0725" w:rsidRPr="00B27372">
              <w:rPr>
                <w:rFonts w:ascii="Times New Roman" w:eastAsia="Times New Roman" w:hAnsi="Times New Roman"/>
                <w:sz w:val="24"/>
                <w:szCs w:val="24"/>
                <w:lang w:val="en-IE" w:eastAsia="en-IE"/>
              </w:rPr>
              <w:t xml:space="preserve"> </w:t>
            </w:r>
            <w:r w:rsidR="00193A47" w:rsidRPr="00B27372">
              <w:rPr>
                <w:rFonts w:ascii="Times New Roman" w:eastAsia="Times New Roman" w:hAnsi="Times New Roman"/>
                <w:sz w:val="24"/>
                <w:szCs w:val="24"/>
                <w:lang w:val="en-IE" w:eastAsia="en-IE"/>
              </w:rPr>
              <w:t xml:space="preserve">to advance life sciences and </w:t>
            </w:r>
            <w:r w:rsidR="00FF7540" w:rsidRPr="00B27372">
              <w:rPr>
                <w:rFonts w:ascii="Times New Roman" w:eastAsia="Times New Roman" w:hAnsi="Times New Roman"/>
                <w:sz w:val="24"/>
                <w:szCs w:val="24"/>
                <w:lang w:val="en-IE" w:eastAsia="en-IE"/>
              </w:rPr>
              <w:t>their applications.</w:t>
            </w:r>
            <w:r w:rsidR="00E927C2" w:rsidRPr="00B27372">
              <w:rPr>
                <w:rFonts w:ascii="Times New Roman" w:eastAsia="Times New Roman" w:hAnsi="Times New Roman"/>
                <w:sz w:val="24"/>
                <w:szCs w:val="24"/>
                <w:lang w:val="en-IE" w:eastAsia="en-IE"/>
              </w:rPr>
              <w:t xml:space="preserve"> </w:t>
            </w:r>
            <w:r w:rsidR="007B02AC" w:rsidRPr="00B27372">
              <w:rPr>
                <w:rFonts w:ascii="Times New Roman" w:eastAsia="Times New Roman" w:hAnsi="Times New Roman"/>
                <w:sz w:val="24"/>
                <w:szCs w:val="24"/>
                <w:lang w:val="en-IE" w:eastAsia="en-IE"/>
              </w:rPr>
              <w:t>In this context, a</w:t>
            </w:r>
            <w:r w:rsidR="00E927C2" w:rsidRPr="00B27372">
              <w:rPr>
                <w:rFonts w:ascii="Times New Roman" w:eastAsia="Times New Roman" w:hAnsi="Times New Roman"/>
                <w:sz w:val="24"/>
                <w:szCs w:val="24"/>
                <w:lang w:val="en-IE" w:eastAsia="en-IE"/>
              </w:rPr>
              <w:t>ccess to large-scale, high-quality datasets and the ability to analyse them</w:t>
            </w:r>
            <w:r w:rsidR="004C5614" w:rsidRPr="00B27372">
              <w:rPr>
                <w:rFonts w:ascii="Times New Roman" w:eastAsia="Times New Roman" w:hAnsi="Times New Roman"/>
                <w:sz w:val="24"/>
                <w:szCs w:val="24"/>
                <w:lang w:val="en-IE" w:eastAsia="en-IE"/>
              </w:rPr>
              <w:t xml:space="preserve"> (for example </w:t>
            </w:r>
            <w:r w:rsidR="00C6367E" w:rsidRPr="00B27372">
              <w:rPr>
                <w:rFonts w:ascii="Times New Roman" w:eastAsia="Times New Roman" w:hAnsi="Times New Roman"/>
                <w:sz w:val="24"/>
                <w:szCs w:val="24"/>
                <w:lang w:val="en-IE" w:eastAsia="en-IE"/>
              </w:rPr>
              <w:t>via</w:t>
            </w:r>
            <w:r w:rsidR="00F66B60" w:rsidRPr="00B27372">
              <w:rPr>
                <w:rFonts w:ascii="Times New Roman" w:eastAsia="Times New Roman" w:hAnsi="Times New Roman"/>
                <w:sz w:val="24"/>
                <w:szCs w:val="24"/>
                <w:lang w:val="en-IE" w:eastAsia="en-IE"/>
              </w:rPr>
              <w:t xml:space="preserve"> artificial intelligence tools)</w:t>
            </w:r>
            <w:r w:rsidR="00E927C2" w:rsidRPr="00B27372">
              <w:rPr>
                <w:rFonts w:ascii="Times New Roman" w:eastAsia="Times New Roman" w:hAnsi="Times New Roman"/>
                <w:sz w:val="24"/>
                <w:szCs w:val="24"/>
                <w:lang w:val="en-IE" w:eastAsia="en-IE"/>
              </w:rPr>
              <w:t xml:space="preserve"> are essential</w:t>
            </w:r>
            <w:r w:rsidR="00F66B60" w:rsidRPr="00B27372">
              <w:rPr>
                <w:rFonts w:ascii="Times New Roman" w:eastAsia="Times New Roman" w:hAnsi="Times New Roman"/>
                <w:sz w:val="24"/>
                <w:szCs w:val="24"/>
                <w:lang w:val="en-IE" w:eastAsia="en-IE"/>
              </w:rPr>
              <w:t xml:space="preserve">. </w:t>
            </w:r>
            <w:r w:rsidR="002A07BB" w:rsidRPr="00B27372">
              <w:rPr>
                <w:rFonts w:ascii="Times New Roman" w:eastAsia="Times New Roman" w:hAnsi="Times New Roman"/>
                <w:sz w:val="24"/>
                <w:szCs w:val="24"/>
                <w:lang w:val="en-IE" w:eastAsia="en-IE"/>
              </w:rPr>
              <w:t xml:space="preserve">The Commission </w:t>
            </w:r>
            <w:r w:rsidR="003C5FF0" w:rsidRPr="00B27372">
              <w:rPr>
                <w:rFonts w:ascii="Times New Roman" w:eastAsia="Times New Roman" w:hAnsi="Times New Roman"/>
                <w:sz w:val="24"/>
                <w:szCs w:val="24"/>
                <w:lang w:val="en-IE" w:eastAsia="en-IE"/>
              </w:rPr>
              <w:t>concurs with the EESC</w:t>
            </w:r>
            <w:r w:rsidR="00925774" w:rsidRPr="00B27372">
              <w:rPr>
                <w:rFonts w:ascii="Times New Roman" w:eastAsia="Times New Roman" w:hAnsi="Times New Roman"/>
                <w:sz w:val="24"/>
                <w:szCs w:val="24"/>
                <w:lang w:val="en-IE" w:eastAsia="en-IE"/>
              </w:rPr>
              <w:t xml:space="preserve"> that</w:t>
            </w:r>
            <w:r w:rsidR="00C6367E" w:rsidRPr="00B27372">
              <w:rPr>
                <w:rFonts w:ascii="Times New Roman" w:eastAsia="Times New Roman" w:hAnsi="Times New Roman"/>
                <w:sz w:val="24"/>
                <w:szCs w:val="24"/>
                <w:lang w:val="en-IE" w:eastAsia="en-IE"/>
              </w:rPr>
              <w:t xml:space="preserve"> </w:t>
            </w:r>
            <w:r w:rsidR="00AE3ED5" w:rsidRPr="00B27372">
              <w:rPr>
                <w:rFonts w:ascii="Times New Roman" w:eastAsia="Times New Roman" w:hAnsi="Times New Roman"/>
                <w:sz w:val="24"/>
                <w:szCs w:val="24"/>
                <w:lang w:val="en-IE" w:eastAsia="en-IE"/>
              </w:rPr>
              <w:t xml:space="preserve">life sciences research infrastructures </w:t>
            </w:r>
            <w:r w:rsidR="006C26EE" w:rsidRPr="00B27372">
              <w:rPr>
                <w:rFonts w:ascii="Times New Roman" w:eastAsia="Times New Roman" w:hAnsi="Times New Roman"/>
                <w:sz w:val="24"/>
                <w:szCs w:val="24"/>
                <w:lang w:val="en-IE" w:eastAsia="en-IE"/>
              </w:rPr>
              <w:t>dedicated to biodata</w:t>
            </w:r>
            <w:r w:rsidR="00DF76C2" w:rsidRPr="00B27372">
              <w:rPr>
                <w:rFonts w:ascii="Times New Roman" w:eastAsia="Times New Roman" w:hAnsi="Times New Roman"/>
                <w:sz w:val="24"/>
                <w:szCs w:val="24"/>
                <w:lang w:val="en-IE" w:eastAsia="en-IE"/>
              </w:rPr>
              <w:t xml:space="preserve">, as well as to </w:t>
            </w:r>
            <w:proofErr w:type="spellStart"/>
            <w:r w:rsidR="00DF76C2" w:rsidRPr="00B27372">
              <w:rPr>
                <w:rFonts w:ascii="Times New Roman" w:eastAsia="Times New Roman" w:hAnsi="Times New Roman"/>
                <w:sz w:val="24"/>
                <w:szCs w:val="24"/>
                <w:lang w:val="en-IE" w:eastAsia="en-IE"/>
              </w:rPr>
              <w:t>biosamples</w:t>
            </w:r>
            <w:proofErr w:type="spellEnd"/>
            <w:r w:rsidR="00DF76C2" w:rsidRPr="00B27372">
              <w:rPr>
                <w:rFonts w:ascii="Times New Roman" w:eastAsia="Times New Roman" w:hAnsi="Times New Roman"/>
                <w:sz w:val="24"/>
                <w:szCs w:val="24"/>
                <w:lang w:val="en-IE" w:eastAsia="en-IE"/>
              </w:rPr>
              <w:t xml:space="preserve">, </w:t>
            </w:r>
            <w:r w:rsidR="00F574B0" w:rsidRPr="00B27372">
              <w:rPr>
                <w:rFonts w:ascii="Times New Roman" w:eastAsia="Times New Roman" w:hAnsi="Times New Roman"/>
                <w:sz w:val="24"/>
                <w:szCs w:val="24"/>
                <w:lang w:val="en-IE" w:eastAsia="en-IE"/>
              </w:rPr>
              <w:t>are critical to deliver</w:t>
            </w:r>
            <w:r w:rsidR="006E3ADD" w:rsidRPr="00B27372">
              <w:rPr>
                <w:rFonts w:ascii="Times New Roman" w:eastAsia="Times New Roman" w:hAnsi="Times New Roman"/>
                <w:sz w:val="24"/>
                <w:szCs w:val="24"/>
                <w:lang w:val="en-IE" w:eastAsia="en-IE"/>
              </w:rPr>
              <w:t xml:space="preserve"> life science-based innovation</w:t>
            </w:r>
            <w:r w:rsidR="00DF76C2" w:rsidRPr="00B27372">
              <w:rPr>
                <w:rFonts w:ascii="Times New Roman" w:eastAsia="Times New Roman" w:hAnsi="Times New Roman"/>
                <w:sz w:val="24"/>
                <w:szCs w:val="24"/>
                <w:lang w:val="en-IE" w:eastAsia="en-IE"/>
              </w:rPr>
              <w:t>. This is why the</w:t>
            </w:r>
            <w:r w:rsidR="00352E93" w:rsidRPr="00B27372">
              <w:rPr>
                <w:rFonts w:ascii="Times New Roman" w:eastAsia="Times New Roman" w:hAnsi="Times New Roman"/>
                <w:sz w:val="24"/>
                <w:szCs w:val="24"/>
                <w:lang w:val="en-IE" w:eastAsia="en-IE"/>
              </w:rPr>
              <w:t xml:space="preserve"> Strategy for European Life Sciences underlines </w:t>
            </w:r>
            <w:r w:rsidR="00655798" w:rsidRPr="00B27372">
              <w:rPr>
                <w:rFonts w:ascii="Times New Roman" w:eastAsia="Times New Roman" w:hAnsi="Times New Roman"/>
                <w:sz w:val="24"/>
                <w:szCs w:val="24"/>
                <w:lang w:val="en-IE" w:eastAsia="en-IE"/>
              </w:rPr>
              <w:t>its</w:t>
            </w:r>
            <w:r w:rsidR="001723CC" w:rsidRPr="00B27372">
              <w:rPr>
                <w:rFonts w:ascii="Times New Roman" w:eastAsia="Times New Roman" w:hAnsi="Times New Roman"/>
                <w:sz w:val="24"/>
                <w:szCs w:val="24"/>
                <w:lang w:val="en-IE" w:eastAsia="en-IE"/>
              </w:rPr>
              <w:t xml:space="preserve"> support </w:t>
            </w:r>
            <w:r w:rsidR="00F935A1" w:rsidRPr="00B27372">
              <w:rPr>
                <w:rFonts w:ascii="Times New Roman" w:eastAsia="Times New Roman" w:hAnsi="Times New Roman"/>
                <w:sz w:val="24"/>
                <w:szCs w:val="24"/>
                <w:lang w:val="en-IE" w:eastAsia="en-IE"/>
              </w:rPr>
              <w:t xml:space="preserve">to </w:t>
            </w:r>
            <w:r w:rsidR="001723CC" w:rsidRPr="00B27372">
              <w:rPr>
                <w:rFonts w:ascii="Times New Roman" w:eastAsia="Times New Roman" w:hAnsi="Times New Roman"/>
                <w:sz w:val="24"/>
                <w:szCs w:val="24"/>
                <w:lang w:val="en-IE" w:eastAsia="en-IE"/>
              </w:rPr>
              <w:t>pan-European research and technology infrastructures</w:t>
            </w:r>
            <w:r w:rsidR="00655798" w:rsidRPr="00B27372">
              <w:rPr>
                <w:rFonts w:ascii="Times New Roman" w:eastAsia="Times New Roman" w:hAnsi="Times New Roman"/>
                <w:sz w:val="24"/>
                <w:szCs w:val="24"/>
                <w:lang w:val="en-IE" w:eastAsia="en-IE"/>
              </w:rPr>
              <w:t xml:space="preserve"> in the life sciences</w:t>
            </w:r>
            <w:r w:rsidR="00F935A1" w:rsidRPr="00B27372">
              <w:rPr>
                <w:rFonts w:ascii="Times New Roman" w:eastAsia="Times New Roman" w:hAnsi="Times New Roman"/>
                <w:sz w:val="24"/>
                <w:szCs w:val="24"/>
                <w:lang w:val="en-IE" w:eastAsia="en-IE"/>
              </w:rPr>
              <w:t xml:space="preserve">. </w:t>
            </w:r>
            <w:r w:rsidR="00DC2773" w:rsidRPr="00B27372">
              <w:rPr>
                <w:rFonts w:ascii="Times New Roman" w:eastAsia="Times New Roman" w:hAnsi="Times New Roman"/>
                <w:sz w:val="24"/>
                <w:szCs w:val="24"/>
                <w:lang w:val="en-IE" w:eastAsia="en-IE"/>
              </w:rPr>
              <w:t>Furthermore, t</w:t>
            </w:r>
            <w:r w:rsidR="00F935A1" w:rsidRPr="00B27372">
              <w:rPr>
                <w:rFonts w:ascii="Times New Roman" w:eastAsia="Times New Roman" w:hAnsi="Times New Roman"/>
                <w:sz w:val="24"/>
                <w:szCs w:val="24"/>
                <w:lang w:val="en-IE" w:eastAsia="en-IE"/>
              </w:rPr>
              <w:t xml:space="preserve">he EU </w:t>
            </w:r>
            <w:r w:rsidR="00DC2773" w:rsidRPr="00B27372">
              <w:rPr>
                <w:rFonts w:ascii="Times New Roman" w:eastAsia="Times New Roman" w:hAnsi="Times New Roman"/>
                <w:sz w:val="24"/>
                <w:szCs w:val="24"/>
                <w:lang w:val="en-IE" w:eastAsia="en-IE"/>
              </w:rPr>
              <w:t>S</w:t>
            </w:r>
            <w:r w:rsidR="00F935A1" w:rsidRPr="00B27372">
              <w:rPr>
                <w:rFonts w:ascii="Times New Roman" w:eastAsia="Times New Roman" w:hAnsi="Times New Roman"/>
                <w:sz w:val="24"/>
                <w:szCs w:val="24"/>
                <w:lang w:val="en-IE" w:eastAsia="en-IE"/>
              </w:rPr>
              <w:t xml:space="preserve">trategy on </w:t>
            </w:r>
            <w:r w:rsidR="00DC2773" w:rsidRPr="00B27372">
              <w:rPr>
                <w:rFonts w:ascii="Times New Roman" w:eastAsia="Times New Roman" w:hAnsi="Times New Roman"/>
                <w:sz w:val="24"/>
                <w:szCs w:val="24"/>
                <w:lang w:val="en-IE" w:eastAsia="en-IE"/>
              </w:rPr>
              <w:t>R</w:t>
            </w:r>
            <w:r w:rsidR="00F935A1" w:rsidRPr="00B27372">
              <w:rPr>
                <w:rFonts w:ascii="Times New Roman" w:eastAsia="Times New Roman" w:hAnsi="Times New Roman"/>
                <w:sz w:val="24"/>
                <w:szCs w:val="24"/>
                <w:lang w:val="en-IE" w:eastAsia="en-IE"/>
              </w:rPr>
              <w:t xml:space="preserve">esearch and </w:t>
            </w:r>
            <w:r w:rsidR="00DC2773" w:rsidRPr="00B27372">
              <w:rPr>
                <w:rFonts w:ascii="Times New Roman" w:eastAsia="Times New Roman" w:hAnsi="Times New Roman"/>
                <w:sz w:val="24"/>
                <w:szCs w:val="24"/>
                <w:lang w:val="en-IE" w:eastAsia="en-IE"/>
              </w:rPr>
              <w:t>T</w:t>
            </w:r>
            <w:r w:rsidR="00F935A1" w:rsidRPr="00B27372">
              <w:rPr>
                <w:rFonts w:ascii="Times New Roman" w:eastAsia="Times New Roman" w:hAnsi="Times New Roman"/>
                <w:sz w:val="24"/>
                <w:szCs w:val="24"/>
                <w:lang w:val="en-IE" w:eastAsia="en-IE"/>
              </w:rPr>
              <w:t xml:space="preserve">echnology </w:t>
            </w:r>
            <w:r w:rsidR="00DC2773" w:rsidRPr="00B27372">
              <w:rPr>
                <w:rFonts w:ascii="Times New Roman" w:eastAsia="Times New Roman" w:hAnsi="Times New Roman"/>
                <w:sz w:val="24"/>
                <w:szCs w:val="24"/>
                <w:lang w:val="en-IE" w:eastAsia="en-IE"/>
              </w:rPr>
              <w:t>I</w:t>
            </w:r>
            <w:r w:rsidR="00F935A1" w:rsidRPr="00B27372">
              <w:rPr>
                <w:rFonts w:ascii="Times New Roman" w:eastAsia="Times New Roman" w:hAnsi="Times New Roman"/>
                <w:sz w:val="24"/>
                <w:szCs w:val="24"/>
                <w:lang w:val="en-IE" w:eastAsia="en-IE"/>
              </w:rPr>
              <w:t>nfrastructures aim</w:t>
            </w:r>
            <w:r w:rsidR="00DC2773" w:rsidRPr="00B27372">
              <w:rPr>
                <w:rFonts w:ascii="Times New Roman" w:eastAsia="Times New Roman" w:hAnsi="Times New Roman"/>
                <w:sz w:val="24"/>
                <w:szCs w:val="24"/>
                <w:lang w:val="en-IE" w:eastAsia="en-IE"/>
              </w:rPr>
              <w:t>s</w:t>
            </w:r>
            <w:r w:rsidR="00F935A1" w:rsidRPr="00B27372">
              <w:rPr>
                <w:rFonts w:ascii="Times New Roman" w:eastAsia="Times New Roman" w:hAnsi="Times New Roman"/>
                <w:sz w:val="24"/>
                <w:szCs w:val="24"/>
                <w:lang w:val="en-IE" w:eastAsia="en-IE"/>
              </w:rPr>
              <w:t xml:space="preserve"> to strengthen their sustainability, coordination and accessibility</w:t>
            </w:r>
            <w:r w:rsidR="00DC2773" w:rsidRPr="00B27372">
              <w:rPr>
                <w:rFonts w:ascii="Times New Roman" w:eastAsia="Times New Roman" w:hAnsi="Times New Roman"/>
                <w:sz w:val="24"/>
                <w:szCs w:val="24"/>
                <w:lang w:val="en-IE" w:eastAsia="en-IE"/>
              </w:rPr>
              <w:t>.</w:t>
            </w:r>
            <w:r w:rsidR="00655798" w:rsidRPr="00B27372">
              <w:rPr>
                <w:rFonts w:ascii="Times New Roman" w:eastAsia="Times New Roman" w:hAnsi="Times New Roman"/>
                <w:sz w:val="24"/>
                <w:szCs w:val="24"/>
                <w:lang w:val="en-IE" w:eastAsia="en-IE"/>
              </w:rPr>
              <w:t xml:space="preserve"> </w:t>
            </w:r>
            <w:r w:rsidR="005D23F3" w:rsidRPr="00B27372">
              <w:rPr>
                <w:rFonts w:ascii="Times New Roman" w:eastAsia="Times New Roman" w:hAnsi="Times New Roman"/>
                <w:sz w:val="24"/>
                <w:szCs w:val="24"/>
                <w:lang w:val="en-IE" w:eastAsia="en-IE"/>
              </w:rPr>
              <w:t>T</w:t>
            </w:r>
            <w:r w:rsidR="00352E93" w:rsidRPr="00B27372">
              <w:rPr>
                <w:rFonts w:ascii="Times New Roman" w:eastAsia="Times New Roman" w:hAnsi="Times New Roman"/>
                <w:sz w:val="24"/>
                <w:szCs w:val="24"/>
                <w:lang w:val="en-IE" w:eastAsia="en-IE"/>
              </w:rPr>
              <w:t xml:space="preserve">he European Health Data Space </w:t>
            </w:r>
            <w:r w:rsidR="009211C9" w:rsidRPr="00B27372">
              <w:rPr>
                <w:rFonts w:ascii="Times New Roman" w:eastAsia="Times New Roman" w:hAnsi="Times New Roman"/>
                <w:sz w:val="24"/>
                <w:szCs w:val="24"/>
                <w:lang w:val="en-IE" w:eastAsia="en-IE"/>
              </w:rPr>
              <w:t>(EHDS) Regulation</w:t>
            </w:r>
            <w:r w:rsidR="00E83776" w:rsidRPr="00B27372">
              <w:rPr>
                <w:rStyle w:val="FootnoteReference"/>
                <w:rFonts w:ascii="Times New Roman" w:eastAsia="Times New Roman" w:hAnsi="Times New Roman"/>
                <w:sz w:val="24"/>
                <w:szCs w:val="24"/>
                <w:lang w:val="en-IE" w:eastAsia="en-IE"/>
              </w:rPr>
              <w:footnoteReference w:id="6"/>
            </w:r>
            <w:r w:rsidR="009211C9" w:rsidRPr="00B27372">
              <w:rPr>
                <w:rFonts w:ascii="Times New Roman" w:eastAsia="Times New Roman" w:hAnsi="Times New Roman"/>
                <w:sz w:val="24"/>
                <w:szCs w:val="24"/>
                <w:lang w:val="en-IE" w:eastAsia="en-IE"/>
              </w:rPr>
              <w:t xml:space="preserve"> establishes a clear framework for accessing electronic health data in a secured and streamlined way</w:t>
            </w:r>
            <w:r w:rsidR="009665FB" w:rsidRPr="00B27372">
              <w:rPr>
                <w:rFonts w:ascii="Times New Roman" w:eastAsia="Times New Roman" w:hAnsi="Times New Roman"/>
                <w:sz w:val="24"/>
                <w:szCs w:val="24"/>
                <w:lang w:val="en-IE" w:eastAsia="en-IE"/>
              </w:rPr>
              <w:t>. This</w:t>
            </w:r>
            <w:r w:rsidR="009211C9" w:rsidRPr="00B27372">
              <w:rPr>
                <w:rFonts w:ascii="Times New Roman" w:eastAsia="Times New Roman" w:hAnsi="Times New Roman"/>
                <w:sz w:val="24"/>
                <w:szCs w:val="24"/>
                <w:lang w:val="en-IE" w:eastAsia="en-IE"/>
              </w:rPr>
              <w:t xml:space="preserve"> will </w:t>
            </w:r>
            <w:r w:rsidR="00F15A9E" w:rsidRPr="00B27372">
              <w:rPr>
                <w:rFonts w:ascii="Times New Roman" w:eastAsia="Times New Roman" w:hAnsi="Times New Roman"/>
                <w:sz w:val="24"/>
                <w:szCs w:val="24"/>
                <w:lang w:val="en-IE" w:eastAsia="en-IE"/>
              </w:rPr>
              <w:t>unlock further potential for the re-use of health data for health research purposes.</w:t>
            </w:r>
          </w:p>
          <w:p w14:paraId="5D4EBD73" w14:textId="5C1DDC0A" w:rsidR="00467D3E" w:rsidRPr="00B27372" w:rsidRDefault="00D018DE" w:rsidP="00B27372">
            <w:pPr>
              <w:widowControl w:val="0"/>
              <w:spacing w:before="120" w:after="120"/>
              <w:jc w:val="both"/>
              <w:rPr>
                <w:rFonts w:ascii="Times New Roman" w:eastAsia="Times New Roman" w:hAnsi="Times New Roman"/>
                <w:sz w:val="24"/>
                <w:szCs w:val="24"/>
                <w:lang w:val="en-IE" w:eastAsia="en-IE"/>
              </w:rPr>
            </w:pPr>
            <w:r w:rsidRPr="00B27372">
              <w:rPr>
                <w:rFonts w:ascii="Times New Roman" w:eastAsia="Times New Roman" w:hAnsi="Times New Roman"/>
                <w:sz w:val="24"/>
                <w:szCs w:val="24"/>
                <w:lang w:val="en-IE" w:eastAsia="en-IE"/>
              </w:rPr>
              <w:t xml:space="preserve">The Strategy for European Life Sciences </w:t>
            </w:r>
            <w:r w:rsidR="004D4EAB" w:rsidRPr="00B27372">
              <w:rPr>
                <w:rFonts w:ascii="Times New Roman" w:eastAsia="Times New Roman" w:hAnsi="Times New Roman"/>
                <w:sz w:val="24"/>
                <w:szCs w:val="24"/>
                <w:lang w:val="en-IE" w:eastAsia="en-IE"/>
              </w:rPr>
              <w:t xml:space="preserve">stresses </w:t>
            </w:r>
            <w:r w:rsidR="00F424E2" w:rsidRPr="00B27372">
              <w:rPr>
                <w:rFonts w:ascii="Times New Roman" w:eastAsia="Times New Roman" w:hAnsi="Times New Roman"/>
                <w:sz w:val="24"/>
                <w:szCs w:val="24"/>
                <w:lang w:val="en-IE" w:eastAsia="en-IE"/>
              </w:rPr>
              <w:t>that a</w:t>
            </w:r>
            <w:r w:rsidR="0070269F" w:rsidRPr="00B27372">
              <w:rPr>
                <w:rFonts w:ascii="Times New Roman" w:eastAsia="Times New Roman" w:hAnsi="Times New Roman"/>
                <w:sz w:val="24"/>
                <w:szCs w:val="24"/>
                <w:lang w:val="en-IE" w:eastAsia="en-IE"/>
              </w:rPr>
              <w:t xml:space="preserve"> predictable and balanced intellectual property framework is crucial for a vibrant life science innovation ecosystem.</w:t>
            </w:r>
            <w:r w:rsidR="00F424E2" w:rsidRPr="00B27372">
              <w:rPr>
                <w:rFonts w:ascii="Times New Roman" w:eastAsia="Times New Roman" w:hAnsi="Times New Roman"/>
                <w:sz w:val="24"/>
                <w:szCs w:val="24"/>
                <w:lang w:val="en-IE" w:eastAsia="en-IE"/>
              </w:rPr>
              <w:t xml:space="preserve"> I</w:t>
            </w:r>
            <w:r w:rsidR="00FA7693" w:rsidRPr="00B27372">
              <w:rPr>
                <w:rFonts w:ascii="Times New Roman" w:eastAsia="Times New Roman" w:hAnsi="Times New Roman"/>
                <w:sz w:val="24"/>
                <w:szCs w:val="24"/>
                <w:lang w:val="en-IE" w:eastAsia="en-IE"/>
              </w:rPr>
              <w:t xml:space="preserve">n this respect, the Commission promotes the Unitary Patent system and encourages all EU Member States to join this system. </w:t>
            </w:r>
            <w:r w:rsidR="00053E4E" w:rsidRPr="00B27372">
              <w:rPr>
                <w:rFonts w:ascii="Times New Roman" w:eastAsia="Times New Roman" w:hAnsi="Times New Roman"/>
                <w:sz w:val="24"/>
                <w:szCs w:val="24"/>
                <w:lang w:val="en-IE" w:eastAsia="en-IE"/>
              </w:rPr>
              <w:t>T</w:t>
            </w:r>
            <w:r w:rsidR="00FA7693" w:rsidRPr="00B27372">
              <w:rPr>
                <w:rFonts w:ascii="Times New Roman" w:eastAsia="Times New Roman" w:hAnsi="Times New Roman"/>
                <w:sz w:val="24"/>
                <w:szCs w:val="24"/>
                <w:lang w:val="en-IE" w:eastAsia="en-IE"/>
              </w:rPr>
              <w:t>he Commission</w:t>
            </w:r>
            <w:r w:rsidR="00053E4E" w:rsidRPr="00B27372">
              <w:rPr>
                <w:rFonts w:ascii="Times New Roman" w:eastAsia="Times New Roman" w:hAnsi="Times New Roman"/>
                <w:sz w:val="24"/>
                <w:szCs w:val="24"/>
                <w:lang w:val="en-IE" w:eastAsia="en-IE"/>
              </w:rPr>
              <w:t xml:space="preserve"> also</w:t>
            </w:r>
            <w:r w:rsidR="00FA7693" w:rsidRPr="00B27372">
              <w:rPr>
                <w:rFonts w:ascii="Times New Roman" w:eastAsia="Times New Roman" w:hAnsi="Times New Roman"/>
                <w:sz w:val="24"/>
                <w:szCs w:val="24"/>
                <w:lang w:val="en-IE" w:eastAsia="en-IE"/>
              </w:rPr>
              <w:t xml:space="preserve"> actively supports the ongoing co-decision process for a reform of</w:t>
            </w:r>
            <w:r w:rsidR="00053E4E" w:rsidRPr="00B27372">
              <w:rPr>
                <w:rFonts w:ascii="Times New Roman" w:eastAsia="Times New Roman" w:hAnsi="Times New Roman"/>
                <w:sz w:val="24"/>
                <w:szCs w:val="24"/>
                <w:lang w:val="en-IE" w:eastAsia="en-IE"/>
              </w:rPr>
              <w:t xml:space="preserve"> the EU regime for supplementary protection certificates (SPCs) </w:t>
            </w:r>
            <w:r w:rsidR="00FA7693" w:rsidRPr="00B27372">
              <w:rPr>
                <w:rFonts w:ascii="Times New Roman" w:eastAsia="Times New Roman" w:hAnsi="Times New Roman"/>
                <w:sz w:val="24"/>
                <w:szCs w:val="24"/>
                <w:lang w:val="en-IE" w:eastAsia="en-IE"/>
              </w:rPr>
              <w:t>and aims for the rapid creation of a unitary SPC.</w:t>
            </w:r>
          </w:p>
          <w:p w14:paraId="7B5F6DFD" w14:textId="06878928" w:rsidR="00FA1118" w:rsidRPr="00B27372" w:rsidRDefault="00F031F3" w:rsidP="00B27372">
            <w:pPr>
              <w:widowControl w:val="0"/>
              <w:spacing w:before="120" w:after="120"/>
              <w:jc w:val="both"/>
              <w:rPr>
                <w:rFonts w:ascii="Times New Roman" w:eastAsia="Times New Roman" w:hAnsi="Times New Roman"/>
                <w:sz w:val="24"/>
                <w:szCs w:val="24"/>
                <w:lang w:val="en-IE" w:eastAsia="en-IE"/>
              </w:rPr>
            </w:pPr>
            <w:r w:rsidRPr="00B27372">
              <w:rPr>
                <w:rFonts w:ascii="Times New Roman" w:eastAsia="Times New Roman" w:hAnsi="Times New Roman"/>
                <w:sz w:val="24"/>
                <w:szCs w:val="24"/>
                <w:lang w:val="en-IE" w:eastAsia="en-IE"/>
              </w:rPr>
              <w:t>T</w:t>
            </w:r>
            <w:r w:rsidR="00C54857" w:rsidRPr="00B27372">
              <w:rPr>
                <w:rFonts w:ascii="Times New Roman" w:eastAsia="Times New Roman" w:hAnsi="Times New Roman"/>
                <w:sz w:val="24"/>
                <w:szCs w:val="24"/>
                <w:lang w:val="en-IE" w:eastAsia="en-IE"/>
              </w:rPr>
              <w:t>he EESC</w:t>
            </w:r>
            <w:r w:rsidR="0071631E" w:rsidRPr="00B27372">
              <w:rPr>
                <w:rFonts w:ascii="Times New Roman" w:eastAsia="Times New Roman" w:hAnsi="Times New Roman"/>
                <w:sz w:val="24"/>
                <w:szCs w:val="24"/>
                <w:lang w:val="en-IE" w:eastAsia="en-IE"/>
              </w:rPr>
              <w:t xml:space="preserve"> calls for</w:t>
            </w:r>
            <w:r w:rsidR="00FA1118" w:rsidRPr="00B27372">
              <w:rPr>
                <w:rFonts w:ascii="Times New Roman" w:eastAsia="Times New Roman" w:hAnsi="Times New Roman"/>
                <w:sz w:val="24"/>
                <w:szCs w:val="24"/>
                <w:lang w:val="en-IE" w:eastAsia="en-IE"/>
              </w:rPr>
              <w:t xml:space="preserve"> innovation financing in the 2028-2034 </w:t>
            </w:r>
            <w:r w:rsidR="00421AC9">
              <w:rPr>
                <w:rFonts w:ascii="Times New Roman" w:eastAsia="Times New Roman" w:hAnsi="Times New Roman"/>
                <w:sz w:val="24"/>
                <w:szCs w:val="24"/>
                <w:lang w:val="en-IE" w:eastAsia="en-IE"/>
              </w:rPr>
              <w:t>M</w:t>
            </w:r>
            <w:r w:rsidR="00FA1118" w:rsidRPr="00B27372">
              <w:rPr>
                <w:rFonts w:ascii="Times New Roman" w:eastAsia="Times New Roman" w:hAnsi="Times New Roman"/>
                <w:sz w:val="24"/>
                <w:szCs w:val="24"/>
                <w:lang w:val="en-IE" w:eastAsia="en-IE"/>
              </w:rPr>
              <w:t xml:space="preserve">ultiannual </w:t>
            </w:r>
            <w:r w:rsidR="00421AC9">
              <w:rPr>
                <w:rFonts w:ascii="Times New Roman" w:eastAsia="Times New Roman" w:hAnsi="Times New Roman"/>
                <w:sz w:val="24"/>
                <w:szCs w:val="24"/>
                <w:lang w:val="en-IE" w:eastAsia="en-IE"/>
              </w:rPr>
              <w:t>F</w:t>
            </w:r>
            <w:r w:rsidR="00FA1118" w:rsidRPr="00B27372">
              <w:rPr>
                <w:rFonts w:ascii="Times New Roman" w:eastAsia="Times New Roman" w:hAnsi="Times New Roman"/>
                <w:sz w:val="24"/>
                <w:szCs w:val="24"/>
                <w:lang w:val="en-IE" w:eastAsia="en-IE"/>
              </w:rPr>
              <w:t xml:space="preserve">inancial </w:t>
            </w:r>
            <w:r w:rsidR="00421AC9">
              <w:rPr>
                <w:rFonts w:ascii="Times New Roman" w:eastAsia="Times New Roman" w:hAnsi="Times New Roman"/>
                <w:sz w:val="24"/>
                <w:szCs w:val="24"/>
                <w:lang w:val="en-IE" w:eastAsia="en-IE"/>
              </w:rPr>
              <w:t>F</w:t>
            </w:r>
            <w:r w:rsidR="00FA1118" w:rsidRPr="00B27372">
              <w:rPr>
                <w:rFonts w:ascii="Times New Roman" w:eastAsia="Times New Roman" w:hAnsi="Times New Roman"/>
                <w:sz w:val="24"/>
                <w:szCs w:val="24"/>
                <w:lang w:val="en-IE" w:eastAsia="en-IE"/>
              </w:rPr>
              <w:t>ramework</w:t>
            </w:r>
            <w:r w:rsidR="00421AC9">
              <w:rPr>
                <w:rFonts w:ascii="Times New Roman" w:eastAsia="Times New Roman" w:hAnsi="Times New Roman"/>
                <w:sz w:val="24"/>
                <w:szCs w:val="24"/>
                <w:lang w:val="en-IE" w:eastAsia="en-IE"/>
              </w:rPr>
              <w:t xml:space="preserve"> (MFF)</w:t>
            </w:r>
            <w:r w:rsidR="006F6E83" w:rsidRPr="00B27372">
              <w:rPr>
                <w:rFonts w:ascii="Times New Roman" w:eastAsia="Times New Roman" w:hAnsi="Times New Roman"/>
                <w:sz w:val="24"/>
                <w:szCs w:val="24"/>
                <w:lang w:val="en-IE" w:eastAsia="en-IE"/>
              </w:rPr>
              <w:t xml:space="preserve">. </w:t>
            </w:r>
            <w:r w:rsidR="005B6170" w:rsidRPr="00B27372">
              <w:rPr>
                <w:rFonts w:ascii="Times New Roman" w:eastAsia="Times New Roman" w:hAnsi="Times New Roman"/>
                <w:sz w:val="24"/>
                <w:szCs w:val="24"/>
                <w:lang w:val="en-IE" w:eastAsia="en-IE"/>
              </w:rPr>
              <w:t xml:space="preserve">The proposal for </w:t>
            </w:r>
            <w:r w:rsidR="00FB2DF1" w:rsidRPr="00B27372">
              <w:rPr>
                <w:rFonts w:ascii="Times New Roman" w:eastAsia="Times New Roman" w:hAnsi="Times New Roman"/>
                <w:sz w:val="24"/>
                <w:szCs w:val="24"/>
                <w:lang w:val="en-IE" w:eastAsia="en-IE"/>
              </w:rPr>
              <w:t>Horizon Europe, the Framework Programme for Research and Innovation for the period 2028-2034</w:t>
            </w:r>
            <w:r w:rsidR="00822745" w:rsidRPr="00B27372">
              <w:rPr>
                <w:rFonts w:ascii="Times New Roman" w:eastAsia="Times New Roman" w:hAnsi="Times New Roman"/>
                <w:sz w:val="24"/>
                <w:szCs w:val="24"/>
                <w:lang w:val="en-IE" w:eastAsia="en-IE"/>
              </w:rPr>
              <w:t>,</w:t>
            </w:r>
            <w:r w:rsidR="004F06A2" w:rsidRPr="00B27372">
              <w:rPr>
                <w:rFonts w:ascii="Times New Roman" w:eastAsia="Times New Roman" w:hAnsi="Times New Roman"/>
                <w:sz w:val="24"/>
                <w:szCs w:val="24"/>
                <w:lang w:val="en-IE" w:eastAsia="en-IE"/>
              </w:rPr>
              <w:t xml:space="preserve"> places research and innovation at the heart of the Union’s economy and investment strategy.</w:t>
            </w:r>
            <w:r w:rsidR="000734EE" w:rsidRPr="00B27372">
              <w:rPr>
                <w:rFonts w:ascii="Times New Roman" w:eastAsia="Times New Roman" w:hAnsi="Times New Roman"/>
                <w:sz w:val="24"/>
                <w:szCs w:val="24"/>
                <w:lang w:val="en-IE" w:eastAsia="en-IE"/>
              </w:rPr>
              <w:t xml:space="preserve"> It </w:t>
            </w:r>
            <w:r w:rsidR="009D7520" w:rsidRPr="00B27372">
              <w:rPr>
                <w:rFonts w:ascii="Times New Roman" w:eastAsia="Times New Roman" w:hAnsi="Times New Roman"/>
                <w:sz w:val="24"/>
                <w:szCs w:val="24"/>
                <w:lang w:val="en-IE" w:eastAsia="en-IE"/>
              </w:rPr>
              <w:t xml:space="preserve">aims </w:t>
            </w:r>
            <w:r w:rsidR="000734EE" w:rsidRPr="00B27372">
              <w:rPr>
                <w:rFonts w:ascii="Times New Roman" w:eastAsia="Times New Roman" w:hAnsi="Times New Roman"/>
                <w:sz w:val="24"/>
                <w:szCs w:val="24"/>
                <w:lang w:val="en-IE" w:eastAsia="en-IE"/>
              </w:rPr>
              <w:t>to increase its investments in innovation notably by supporting innovation throughout Europe</w:t>
            </w:r>
            <w:r w:rsidR="00B74706" w:rsidRPr="00B27372">
              <w:rPr>
                <w:rFonts w:ascii="Times New Roman" w:eastAsia="Times New Roman" w:hAnsi="Times New Roman"/>
                <w:sz w:val="24"/>
                <w:szCs w:val="24"/>
                <w:lang w:val="en-IE" w:eastAsia="en-IE"/>
              </w:rPr>
              <w:t xml:space="preserve"> and increasing support for breakthrough innovation.</w:t>
            </w:r>
          </w:p>
          <w:p w14:paraId="3B12C0F8" w14:textId="1CEDD6C1" w:rsidR="009C026E" w:rsidRPr="00B27372" w:rsidRDefault="002F0505" w:rsidP="00B27372">
            <w:pPr>
              <w:widowControl w:val="0"/>
              <w:spacing w:before="120" w:after="120"/>
              <w:jc w:val="both"/>
              <w:rPr>
                <w:rFonts w:ascii="Times New Roman" w:eastAsia="Times New Roman" w:hAnsi="Times New Roman"/>
                <w:sz w:val="24"/>
                <w:szCs w:val="24"/>
                <w:lang w:val="en-IE" w:eastAsia="en-IE"/>
              </w:rPr>
            </w:pPr>
            <w:r w:rsidRPr="00B27372">
              <w:rPr>
                <w:rFonts w:ascii="Times New Roman" w:eastAsia="Times New Roman" w:hAnsi="Times New Roman"/>
                <w:sz w:val="24"/>
                <w:szCs w:val="24"/>
                <w:lang w:val="en-IE" w:eastAsia="en-IE"/>
              </w:rPr>
              <w:t xml:space="preserve">The EESC </w:t>
            </w:r>
            <w:r w:rsidR="009C026E" w:rsidRPr="00B27372">
              <w:rPr>
                <w:rFonts w:ascii="Times New Roman" w:eastAsia="Times New Roman" w:hAnsi="Times New Roman"/>
                <w:sz w:val="24"/>
                <w:szCs w:val="24"/>
                <w:lang w:val="en-IE" w:eastAsia="en-IE"/>
              </w:rPr>
              <w:t>underlines that European partnerships are vital in fostering the meaningful and structured engagement of the full spectrum of stakeholders and asks for formalised mechanisms for their participation.</w:t>
            </w:r>
            <w:r w:rsidRPr="00B27372">
              <w:rPr>
                <w:rFonts w:ascii="Times New Roman" w:eastAsia="Times New Roman" w:hAnsi="Times New Roman"/>
                <w:sz w:val="24"/>
                <w:szCs w:val="24"/>
                <w:lang w:val="en-IE" w:eastAsia="en-IE"/>
              </w:rPr>
              <w:t xml:space="preserve"> The Commission agrees with the EESC</w:t>
            </w:r>
            <w:r w:rsidR="00BB76A7" w:rsidRPr="00B27372">
              <w:rPr>
                <w:rFonts w:ascii="Times New Roman" w:eastAsia="Times New Roman" w:hAnsi="Times New Roman"/>
                <w:sz w:val="24"/>
                <w:szCs w:val="24"/>
                <w:lang w:val="en-IE" w:eastAsia="en-IE"/>
              </w:rPr>
              <w:t xml:space="preserve"> </w:t>
            </w:r>
            <w:r w:rsidR="00B179BA" w:rsidRPr="00B27372">
              <w:rPr>
                <w:rFonts w:ascii="Times New Roman" w:eastAsia="Times New Roman" w:hAnsi="Times New Roman"/>
                <w:sz w:val="24"/>
                <w:szCs w:val="24"/>
                <w:lang w:val="en-IE" w:eastAsia="en-IE"/>
              </w:rPr>
              <w:t xml:space="preserve">that European partnerships </w:t>
            </w:r>
            <w:r w:rsidR="006E7082" w:rsidRPr="00B27372">
              <w:rPr>
                <w:rFonts w:ascii="Times New Roman" w:eastAsia="Times New Roman" w:hAnsi="Times New Roman"/>
                <w:sz w:val="24"/>
                <w:szCs w:val="24"/>
                <w:lang w:val="en-IE" w:eastAsia="en-IE"/>
              </w:rPr>
              <w:t>represent successful models of research and innovation ecosystems</w:t>
            </w:r>
            <w:r w:rsidR="00C40A6F" w:rsidRPr="00B27372">
              <w:rPr>
                <w:rFonts w:ascii="Times New Roman" w:eastAsia="Times New Roman" w:hAnsi="Times New Roman"/>
                <w:sz w:val="24"/>
                <w:szCs w:val="24"/>
                <w:lang w:val="en-IE" w:eastAsia="en-IE"/>
              </w:rPr>
              <w:t xml:space="preserve">, </w:t>
            </w:r>
            <w:r w:rsidR="002C4B11" w:rsidRPr="00B27372">
              <w:rPr>
                <w:rFonts w:ascii="Times New Roman" w:eastAsia="Times New Roman" w:hAnsi="Times New Roman"/>
                <w:sz w:val="24"/>
                <w:szCs w:val="24"/>
                <w:lang w:val="en-IE" w:eastAsia="en-IE"/>
              </w:rPr>
              <w:t xml:space="preserve">as </w:t>
            </w:r>
            <w:r w:rsidR="00CD52DC" w:rsidRPr="00B27372">
              <w:rPr>
                <w:rFonts w:ascii="Times New Roman" w:eastAsia="Times New Roman" w:hAnsi="Times New Roman"/>
                <w:sz w:val="24"/>
                <w:szCs w:val="24"/>
                <w:lang w:val="en-IE" w:eastAsia="en-IE"/>
              </w:rPr>
              <w:t>underlined in the Strategy for European Life Sciences.</w:t>
            </w:r>
            <w:r w:rsidR="000E3AF7" w:rsidRPr="00B27372">
              <w:rPr>
                <w:rFonts w:ascii="Times New Roman" w:eastAsia="Times New Roman" w:hAnsi="Times New Roman"/>
                <w:sz w:val="24"/>
                <w:szCs w:val="24"/>
                <w:lang w:val="en-IE" w:eastAsia="en-IE"/>
              </w:rPr>
              <w:t xml:space="preserve"> </w:t>
            </w:r>
            <w:r w:rsidR="003F7C8E" w:rsidRPr="00B27372">
              <w:rPr>
                <w:rFonts w:ascii="Times New Roman" w:eastAsia="Times New Roman" w:hAnsi="Times New Roman"/>
                <w:sz w:val="24"/>
                <w:szCs w:val="24"/>
                <w:lang w:val="en-IE" w:eastAsia="en-IE"/>
              </w:rPr>
              <w:t xml:space="preserve">Horizon Europe </w:t>
            </w:r>
            <w:r w:rsidR="00800890" w:rsidRPr="00B27372">
              <w:rPr>
                <w:rFonts w:ascii="Times New Roman" w:eastAsia="Times New Roman" w:hAnsi="Times New Roman"/>
                <w:sz w:val="24"/>
                <w:szCs w:val="24"/>
                <w:lang w:val="en-IE" w:eastAsia="en-IE"/>
              </w:rPr>
              <w:t>offer</w:t>
            </w:r>
            <w:r w:rsidR="00C801A1" w:rsidRPr="00B27372">
              <w:rPr>
                <w:rFonts w:ascii="Times New Roman" w:eastAsia="Times New Roman" w:hAnsi="Times New Roman"/>
                <w:sz w:val="24"/>
                <w:szCs w:val="24"/>
                <w:lang w:val="en-IE" w:eastAsia="en-IE"/>
              </w:rPr>
              <w:t>s</w:t>
            </w:r>
            <w:r w:rsidR="00800890" w:rsidRPr="00B27372">
              <w:rPr>
                <w:rFonts w:ascii="Times New Roman" w:eastAsia="Times New Roman" w:hAnsi="Times New Roman"/>
                <w:sz w:val="24"/>
                <w:szCs w:val="24"/>
                <w:lang w:val="en-IE" w:eastAsia="en-IE"/>
              </w:rPr>
              <w:t xml:space="preserve"> the flexibility to </w:t>
            </w:r>
            <w:r w:rsidR="00095EC9" w:rsidRPr="00B27372">
              <w:rPr>
                <w:rFonts w:ascii="Times New Roman" w:eastAsia="Times New Roman" w:hAnsi="Times New Roman"/>
                <w:sz w:val="24"/>
                <w:szCs w:val="24"/>
                <w:lang w:val="en-IE" w:eastAsia="en-IE"/>
              </w:rPr>
              <w:t>involve relevant partners</w:t>
            </w:r>
            <w:r w:rsidR="009B0E53" w:rsidRPr="00B27372">
              <w:rPr>
                <w:rFonts w:ascii="Times New Roman" w:eastAsia="Times New Roman" w:hAnsi="Times New Roman"/>
                <w:sz w:val="24"/>
                <w:szCs w:val="24"/>
                <w:lang w:val="en-IE" w:eastAsia="en-IE"/>
              </w:rPr>
              <w:t xml:space="preserve"> </w:t>
            </w:r>
            <w:proofErr w:type="gramStart"/>
            <w:r w:rsidR="009B0E53" w:rsidRPr="00B27372">
              <w:rPr>
                <w:rFonts w:ascii="Times New Roman" w:eastAsia="Times New Roman" w:hAnsi="Times New Roman"/>
                <w:sz w:val="24"/>
                <w:szCs w:val="24"/>
                <w:lang w:val="en-IE" w:eastAsia="en-IE"/>
              </w:rPr>
              <w:t>in order to</w:t>
            </w:r>
            <w:proofErr w:type="gramEnd"/>
            <w:r w:rsidR="009B0E53" w:rsidRPr="00B27372">
              <w:rPr>
                <w:rFonts w:ascii="Times New Roman" w:eastAsia="Times New Roman" w:hAnsi="Times New Roman"/>
                <w:sz w:val="24"/>
                <w:szCs w:val="24"/>
                <w:lang w:val="en-IE" w:eastAsia="en-IE"/>
              </w:rPr>
              <w:t xml:space="preserve"> deliver at best on the</w:t>
            </w:r>
            <w:r w:rsidR="00C801A1" w:rsidRPr="00B27372">
              <w:rPr>
                <w:rFonts w:ascii="Times New Roman" w:eastAsia="Times New Roman" w:hAnsi="Times New Roman"/>
                <w:sz w:val="24"/>
                <w:szCs w:val="24"/>
                <w:lang w:val="en-IE" w:eastAsia="en-IE"/>
              </w:rPr>
              <w:t xml:space="preserve"> stated</w:t>
            </w:r>
            <w:r w:rsidR="009B0E53" w:rsidRPr="00B27372">
              <w:rPr>
                <w:rFonts w:ascii="Times New Roman" w:eastAsia="Times New Roman" w:hAnsi="Times New Roman"/>
                <w:sz w:val="24"/>
                <w:szCs w:val="24"/>
                <w:lang w:val="en-IE" w:eastAsia="en-IE"/>
              </w:rPr>
              <w:t xml:space="preserve"> aims</w:t>
            </w:r>
            <w:r w:rsidR="00C801A1" w:rsidRPr="00B27372">
              <w:rPr>
                <w:rFonts w:ascii="Times New Roman" w:eastAsia="Times New Roman" w:hAnsi="Times New Roman"/>
                <w:sz w:val="24"/>
                <w:szCs w:val="24"/>
                <w:lang w:val="en-IE" w:eastAsia="en-IE"/>
              </w:rPr>
              <w:t xml:space="preserve"> of </w:t>
            </w:r>
            <w:r w:rsidR="001A7AF7" w:rsidRPr="00B27372">
              <w:rPr>
                <w:rFonts w:ascii="Times New Roman" w:eastAsia="Times New Roman" w:hAnsi="Times New Roman"/>
                <w:sz w:val="24"/>
                <w:szCs w:val="24"/>
                <w:lang w:val="en-IE" w:eastAsia="en-IE"/>
              </w:rPr>
              <w:t>specific</w:t>
            </w:r>
            <w:r w:rsidR="00C801A1" w:rsidRPr="00B27372">
              <w:rPr>
                <w:rFonts w:ascii="Times New Roman" w:eastAsia="Times New Roman" w:hAnsi="Times New Roman"/>
                <w:sz w:val="24"/>
                <w:szCs w:val="24"/>
                <w:lang w:val="en-IE" w:eastAsia="en-IE"/>
              </w:rPr>
              <w:t xml:space="preserve"> part</w:t>
            </w:r>
            <w:r w:rsidR="001A7AF7" w:rsidRPr="00B27372">
              <w:rPr>
                <w:rFonts w:ascii="Times New Roman" w:eastAsia="Times New Roman" w:hAnsi="Times New Roman"/>
                <w:sz w:val="24"/>
                <w:szCs w:val="24"/>
                <w:lang w:val="en-IE" w:eastAsia="en-IE"/>
              </w:rPr>
              <w:t>n</w:t>
            </w:r>
            <w:r w:rsidR="00C801A1" w:rsidRPr="00B27372">
              <w:rPr>
                <w:rFonts w:ascii="Times New Roman" w:eastAsia="Times New Roman" w:hAnsi="Times New Roman"/>
                <w:sz w:val="24"/>
                <w:szCs w:val="24"/>
                <w:lang w:val="en-IE" w:eastAsia="en-IE"/>
              </w:rPr>
              <w:t>ership</w:t>
            </w:r>
            <w:r w:rsidR="001A7AF7" w:rsidRPr="00B27372">
              <w:rPr>
                <w:rFonts w:ascii="Times New Roman" w:eastAsia="Times New Roman" w:hAnsi="Times New Roman"/>
                <w:sz w:val="24"/>
                <w:szCs w:val="24"/>
                <w:lang w:val="en-IE" w:eastAsia="en-IE"/>
              </w:rPr>
              <w:t>s</w:t>
            </w:r>
            <w:r w:rsidR="009B0E53" w:rsidRPr="00B27372">
              <w:rPr>
                <w:rFonts w:ascii="Times New Roman" w:eastAsia="Times New Roman" w:hAnsi="Times New Roman"/>
                <w:sz w:val="24"/>
                <w:szCs w:val="24"/>
                <w:lang w:val="en-IE" w:eastAsia="en-IE"/>
              </w:rPr>
              <w:t xml:space="preserve">. </w:t>
            </w:r>
            <w:r w:rsidR="00A14E67" w:rsidRPr="00B27372">
              <w:rPr>
                <w:rFonts w:ascii="Times New Roman" w:eastAsia="Times New Roman" w:hAnsi="Times New Roman"/>
                <w:sz w:val="24"/>
                <w:szCs w:val="24"/>
                <w:lang w:val="en-IE" w:eastAsia="en-IE"/>
              </w:rPr>
              <w:t>The</w:t>
            </w:r>
            <w:r w:rsidR="009277D1" w:rsidRPr="00B27372">
              <w:rPr>
                <w:rFonts w:ascii="Times New Roman" w:eastAsia="Times New Roman" w:hAnsi="Times New Roman"/>
                <w:sz w:val="24"/>
                <w:szCs w:val="24"/>
                <w:lang w:val="en-IE" w:eastAsia="en-IE"/>
              </w:rPr>
              <w:t xml:space="preserve"> European </w:t>
            </w:r>
            <w:r w:rsidR="006019F3" w:rsidRPr="00B27372">
              <w:rPr>
                <w:rFonts w:ascii="Times New Roman" w:eastAsia="Times New Roman" w:hAnsi="Times New Roman"/>
                <w:sz w:val="24"/>
                <w:szCs w:val="24"/>
                <w:lang w:val="en-IE" w:eastAsia="en-IE"/>
              </w:rPr>
              <w:t>p</w:t>
            </w:r>
            <w:r w:rsidR="009277D1" w:rsidRPr="00B27372">
              <w:rPr>
                <w:rFonts w:ascii="Times New Roman" w:eastAsia="Times New Roman" w:hAnsi="Times New Roman"/>
                <w:sz w:val="24"/>
                <w:szCs w:val="24"/>
                <w:lang w:val="en-IE" w:eastAsia="en-IE"/>
              </w:rPr>
              <w:t xml:space="preserve">artnership on </w:t>
            </w:r>
            <w:r w:rsidR="006019F3" w:rsidRPr="00B27372">
              <w:rPr>
                <w:rFonts w:ascii="Times New Roman" w:eastAsia="Times New Roman" w:hAnsi="Times New Roman"/>
                <w:sz w:val="24"/>
                <w:szCs w:val="24"/>
                <w:lang w:val="en-IE" w:eastAsia="en-IE"/>
              </w:rPr>
              <w:t>r</w:t>
            </w:r>
            <w:r w:rsidR="009277D1" w:rsidRPr="00B27372">
              <w:rPr>
                <w:rFonts w:ascii="Times New Roman" w:eastAsia="Times New Roman" w:hAnsi="Times New Roman"/>
                <w:sz w:val="24"/>
                <w:szCs w:val="24"/>
                <w:lang w:val="en-IE" w:eastAsia="en-IE"/>
              </w:rPr>
              <w:t xml:space="preserve">are </w:t>
            </w:r>
            <w:r w:rsidR="006019F3" w:rsidRPr="00B27372">
              <w:rPr>
                <w:rFonts w:ascii="Times New Roman" w:eastAsia="Times New Roman" w:hAnsi="Times New Roman"/>
                <w:sz w:val="24"/>
                <w:szCs w:val="24"/>
                <w:lang w:val="en-IE" w:eastAsia="en-IE"/>
              </w:rPr>
              <w:t>d</w:t>
            </w:r>
            <w:r w:rsidR="009277D1" w:rsidRPr="00B27372">
              <w:rPr>
                <w:rFonts w:ascii="Times New Roman" w:eastAsia="Times New Roman" w:hAnsi="Times New Roman"/>
                <w:sz w:val="24"/>
                <w:szCs w:val="24"/>
                <w:lang w:val="en-IE" w:eastAsia="en-IE"/>
              </w:rPr>
              <w:t xml:space="preserve">iseases (see </w:t>
            </w:r>
            <w:r w:rsidR="00F01844" w:rsidRPr="00B27372">
              <w:rPr>
                <w:rFonts w:ascii="Times New Roman" w:eastAsia="Times New Roman" w:hAnsi="Times New Roman"/>
                <w:sz w:val="24"/>
                <w:szCs w:val="24"/>
                <w:lang w:val="en-IE" w:eastAsia="en-IE"/>
              </w:rPr>
              <w:t>below</w:t>
            </w:r>
            <w:r w:rsidR="009277D1" w:rsidRPr="00B27372">
              <w:rPr>
                <w:rFonts w:ascii="Times New Roman" w:eastAsia="Times New Roman" w:hAnsi="Times New Roman"/>
                <w:sz w:val="24"/>
                <w:szCs w:val="24"/>
                <w:lang w:val="en-IE" w:eastAsia="en-IE"/>
              </w:rPr>
              <w:t>)</w:t>
            </w:r>
            <w:r w:rsidR="00A14E67" w:rsidRPr="00B27372">
              <w:rPr>
                <w:rFonts w:ascii="Times New Roman" w:eastAsia="Times New Roman" w:hAnsi="Times New Roman"/>
                <w:sz w:val="24"/>
                <w:szCs w:val="24"/>
                <w:lang w:val="en-IE" w:eastAsia="en-IE"/>
              </w:rPr>
              <w:t xml:space="preserve"> has </w:t>
            </w:r>
            <w:r w:rsidR="00F01844" w:rsidRPr="00B27372">
              <w:rPr>
                <w:rFonts w:ascii="Times New Roman" w:eastAsia="Times New Roman" w:hAnsi="Times New Roman"/>
                <w:sz w:val="24"/>
                <w:szCs w:val="24"/>
                <w:lang w:val="en-IE" w:eastAsia="en-IE"/>
              </w:rPr>
              <w:t xml:space="preserve">such </w:t>
            </w:r>
            <w:r w:rsidR="00A14E67" w:rsidRPr="00B27372">
              <w:rPr>
                <w:rFonts w:ascii="Times New Roman" w:eastAsia="Times New Roman" w:hAnsi="Times New Roman"/>
                <w:sz w:val="24"/>
                <w:szCs w:val="24"/>
                <w:lang w:val="en-IE" w:eastAsia="en-IE"/>
              </w:rPr>
              <w:t>a structured mechanism in place</w:t>
            </w:r>
            <w:r w:rsidR="00F01844" w:rsidRPr="00B27372">
              <w:rPr>
                <w:rFonts w:ascii="Times New Roman" w:eastAsia="Times New Roman" w:hAnsi="Times New Roman"/>
                <w:sz w:val="24"/>
                <w:szCs w:val="24"/>
                <w:lang w:val="en-IE" w:eastAsia="en-IE"/>
              </w:rPr>
              <w:t>.</w:t>
            </w:r>
          </w:p>
          <w:p w14:paraId="09D2CF7E" w14:textId="2D6AD29B" w:rsidR="00FB7791" w:rsidRPr="00B27372" w:rsidRDefault="00FB7791" w:rsidP="00B27372">
            <w:pPr>
              <w:widowControl w:val="0"/>
              <w:spacing w:before="120" w:after="120"/>
              <w:jc w:val="both"/>
              <w:rPr>
                <w:rFonts w:ascii="Times New Roman" w:eastAsia="Times New Roman" w:hAnsi="Times New Roman"/>
                <w:sz w:val="24"/>
                <w:szCs w:val="24"/>
                <w:lang w:val="en-IE" w:eastAsia="en-IE"/>
              </w:rPr>
            </w:pPr>
            <w:r w:rsidRPr="00B27372">
              <w:rPr>
                <w:rFonts w:ascii="Times New Roman" w:eastAsia="Times New Roman" w:hAnsi="Times New Roman"/>
                <w:sz w:val="24"/>
                <w:szCs w:val="24"/>
                <w:lang w:val="en-IE" w:eastAsia="en-IE"/>
              </w:rPr>
              <w:t>The EESC</w:t>
            </w:r>
            <w:r w:rsidR="005A21C3" w:rsidRPr="00B27372">
              <w:rPr>
                <w:rFonts w:ascii="Times New Roman" w:eastAsia="Times New Roman" w:hAnsi="Times New Roman"/>
                <w:sz w:val="24"/>
                <w:szCs w:val="24"/>
                <w:lang w:val="en-IE" w:eastAsia="en-IE"/>
              </w:rPr>
              <w:t xml:space="preserve"> suggests that the development of advanced therapy medicinal products </w:t>
            </w:r>
            <w:r w:rsidR="00FC4C8D" w:rsidRPr="00B27372">
              <w:rPr>
                <w:rFonts w:ascii="Times New Roman" w:eastAsia="Times New Roman" w:hAnsi="Times New Roman"/>
                <w:sz w:val="24"/>
                <w:szCs w:val="24"/>
                <w:lang w:val="en-IE" w:eastAsia="en-IE"/>
              </w:rPr>
              <w:t xml:space="preserve">(ATMPs) </w:t>
            </w:r>
            <w:r w:rsidR="005A21C3" w:rsidRPr="00B27372">
              <w:rPr>
                <w:rFonts w:ascii="Times New Roman" w:eastAsia="Times New Roman" w:hAnsi="Times New Roman"/>
                <w:sz w:val="24"/>
                <w:szCs w:val="24"/>
                <w:lang w:val="en-IE" w:eastAsia="en-IE"/>
              </w:rPr>
              <w:t xml:space="preserve">should be treated as a strategic EU priority. </w:t>
            </w:r>
            <w:r w:rsidR="00304F42" w:rsidRPr="00B27372">
              <w:rPr>
                <w:rFonts w:ascii="Times New Roman" w:eastAsia="Times New Roman" w:hAnsi="Times New Roman"/>
                <w:sz w:val="24"/>
                <w:szCs w:val="24"/>
                <w:lang w:val="en-IE" w:eastAsia="en-IE"/>
              </w:rPr>
              <w:t>The Strategy for European Life Sciences</w:t>
            </w:r>
            <w:r w:rsidR="000B0612" w:rsidRPr="00B27372">
              <w:rPr>
                <w:rFonts w:ascii="Times New Roman" w:eastAsia="Times New Roman" w:hAnsi="Times New Roman"/>
                <w:sz w:val="24"/>
                <w:szCs w:val="24"/>
                <w:lang w:val="en-IE" w:eastAsia="en-IE"/>
              </w:rPr>
              <w:t xml:space="preserve"> </w:t>
            </w:r>
            <w:r w:rsidR="00646FE1" w:rsidRPr="00B27372">
              <w:rPr>
                <w:rFonts w:ascii="Times New Roman" w:eastAsia="Times New Roman" w:hAnsi="Times New Roman"/>
                <w:sz w:val="24"/>
                <w:szCs w:val="24"/>
                <w:lang w:val="en-IE" w:eastAsia="en-IE"/>
              </w:rPr>
              <w:t>underscores ATMPs as high-value products</w:t>
            </w:r>
            <w:r w:rsidR="00E74012" w:rsidRPr="00B27372">
              <w:rPr>
                <w:rFonts w:ascii="Times New Roman" w:eastAsia="Times New Roman" w:hAnsi="Times New Roman"/>
                <w:sz w:val="24"/>
                <w:szCs w:val="24"/>
                <w:lang w:val="en-IE" w:eastAsia="en-IE"/>
              </w:rPr>
              <w:t xml:space="preserve">, critical to improve patient outcomes </w:t>
            </w:r>
            <w:r w:rsidR="009A7843" w:rsidRPr="00B27372">
              <w:rPr>
                <w:rFonts w:ascii="Times New Roman" w:eastAsia="Times New Roman" w:hAnsi="Times New Roman"/>
                <w:sz w:val="24"/>
                <w:szCs w:val="24"/>
                <w:lang w:val="en-IE" w:eastAsia="en-IE"/>
              </w:rPr>
              <w:t>and</w:t>
            </w:r>
            <w:r w:rsidR="00E74012" w:rsidRPr="00B27372">
              <w:rPr>
                <w:rFonts w:ascii="Times New Roman" w:eastAsia="Times New Roman" w:hAnsi="Times New Roman"/>
                <w:sz w:val="24"/>
                <w:szCs w:val="24"/>
                <w:lang w:val="en-IE" w:eastAsia="en-IE"/>
              </w:rPr>
              <w:t xml:space="preserve"> to strengthen Europe’s position as a global leader in biomedical innovation.</w:t>
            </w:r>
            <w:r w:rsidR="004154CD" w:rsidRPr="00B27372">
              <w:rPr>
                <w:rFonts w:ascii="Times New Roman" w:eastAsia="Times New Roman" w:hAnsi="Times New Roman"/>
                <w:sz w:val="24"/>
                <w:szCs w:val="24"/>
                <w:lang w:val="en-IE" w:eastAsia="en-IE"/>
              </w:rPr>
              <w:t xml:space="preserve"> </w:t>
            </w:r>
            <w:r w:rsidR="00B226A9" w:rsidRPr="00B27372">
              <w:rPr>
                <w:rFonts w:ascii="Times New Roman" w:eastAsia="Times New Roman" w:hAnsi="Times New Roman"/>
                <w:sz w:val="24"/>
                <w:szCs w:val="24"/>
                <w:lang w:val="en-IE" w:eastAsia="en-IE"/>
              </w:rPr>
              <w:t>T</w:t>
            </w:r>
            <w:r w:rsidR="004154CD" w:rsidRPr="00B27372">
              <w:rPr>
                <w:rFonts w:ascii="Times New Roman" w:eastAsia="Times New Roman" w:hAnsi="Times New Roman"/>
                <w:sz w:val="24"/>
                <w:szCs w:val="24"/>
                <w:lang w:val="en-IE" w:eastAsia="en-IE"/>
              </w:rPr>
              <w:t>he</w:t>
            </w:r>
            <w:r w:rsidR="00080DA8" w:rsidRPr="00B27372">
              <w:rPr>
                <w:rFonts w:ascii="Times New Roman" w:eastAsia="Times New Roman" w:hAnsi="Times New Roman"/>
                <w:sz w:val="24"/>
                <w:szCs w:val="24"/>
                <w:lang w:val="en-IE" w:eastAsia="en-IE"/>
              </w:rPr>
              <w:t>refore, the</w:t>
            </w:r>
            <w:r w:rsidR="00160AE4" w:rsidRPr="00B27372">
              <w:rPr>
                <w:rFonts w:ascii="Times New Roman" w:eastAsia="Times New Roman" w:hAnsi="Times New Roman"/>
                <w:sz w:val="24"/>
                <w:szCs w:val="24"/>
                <w:lang w:val="en-IE" w:eastAsia="en-IE"/>
              </w:rPr>
              <w:t xml:space="preserve"> Commission </w:t>
            </w:r>
            <w:r w:rsidR="00080DA8" w:rsidRPr="00B27372">
              <w:rPr>
                <w:rFonts w:ascii="Times New Roman" w:eastAsia="Times New Roman" w:hAnsi="Times New Roman"/>
                <w:sz w:val="24"/>
                <w:szCs w:val="24"/>
                <w:lang w:val="en-IE" w:eastAsia="en-IE"/>
              </w:rPr>
              <w:t>aims to</w:t>
            </w:r>
            <w:r w:rsidR="00160AE4" w:rsidRPr="00B27372">
              <w:rPr>
                <w:rFonts w:ascii="Times New Roman" w:eastAsia="Times New Roman" w:hAnsi="Times New Roman"/>
                <w:sz w:val="24"/>
                <w:szCs w:val="24"/>
                <w:lang w:val="en-IE" w:eastAsia="en-IE"/>
              </w:rPr>
              <w:t xml:space="preserve"> create a network of European Centres of Excellence in ATMPs to coordinate their further development, together with the Member States.</w:t>
            </w:r>
          </w:p>
          <w:p w14:paraId="6201D81E" w14:textId="25EA1EB2" w:rsidR="004F70AF" w:rsidRPr="00B27372" w:rsidRDefault="004F70AF" w:rsidP="00B27372">
            <w:pPr>
              <w:widowControl w:val="0"/>
              <w:spacing w:before="120" w:after="120"/>
              <w:jc w:val="both"/>
              <w:rPr>
                <w:rFonts w:ascii="Times New Roman" w:eastAsia="Times New Roman" w:hAnsi="Times New Roman"/>
                <w:sz w:val="24"/>
                <w:szCs w:val="24"/>
                <w:lang w:val="en-IE" w:eastAsia="en-IE"/>
              </w:rPr>
            </w:pPr>
            <w:r w:rsidRPr="00B27372">
              <w:rPr>
                <w:rFonts w:ascii="Times New Roman" w:eastAsia="Times New Roman" w:hAnsi="Times New Roman"/>
                <w:sz w:val="24"/>
                <w:szCs w:val="24"/>
                <w:lang w:val="en-IE" w:eastAsia="en-IE"/>
              </w:rPr>
              <w:t>The EESC points to the fact that health systems in the EU differ and calls for the EU to prioritise coordination across health systems by, among others, supporting coordination of objectives, structured exchange of evidence and good practices. Through various actions funded by EU programmes such as the EU4Health, the Commission promotes exchange of knowledge and transfer of good practices. For example, the ‘</w:t>
            </w:r>
            <w:r w:rsidRPr="00B27372">
              <w:rPr>
                <w:rFonts w:ascii="Times New Roman" w:eastAsia="Times New Roman" w:hAnsi="Times New Roman"/>
                <w:i/>
                <w:iCs/>
                <w:sz w:val="24"/>
                <w:szCs w:val="24"/>
                <w:lang w:val="en-IE" w:eastAsia="en-IE"/>
              </w:rPr>
              <w:t>State of Health in the EU</w:t>
            </w:r>
            <w:r w:rsidRPr="00B27372">
              <w:rPr>
                <w:rFonts w:ascii="Times New Roman" w:eastAsia="Times New Roman" w:hAnsi="Times New Roman"/>
                <w:sz w:val="24"/>
                <w:szCs w:val="24"/>
                <w:lang w:val="en-IE" w:eastAsia="en-IE"/>
              </w:rPr>
              <w:t xml:space="preserve">’ delivers every two years a set of </w:t>
            </w:r>
            <w:r w:rsidR="00CF3CD6">
              <w:rPr>
                <w:rFonts w:ascii="Times New Roman" w:eastAsia="Times New Roman" w:hAnsi="Times New Roman"/>
                <w:sz w:val="24"/>
                <w:szCs w:val="24"/>
                <w:lang w:val="en-IE" w:eastAsia="en-IE"/>
              </w:rPr>
              <w:t>‘</w:t>
            </w:r>
            <w:r w:rsidRPr="00B27372">
              <w:rPr>
                <w:rFonts w:ascii="Times New Roman" w:eastAsia="Times New Roman" w:hAnsi="Times New Roman"/>
                <w:i/>
                <w:iCs/>
                <w:sz w:val="24"/>
                <w:szCs w:val="24"/>
                <w:lang w:val="en-IE" w:eastAsia="en-IE"/>
              </w:rPr>
              <w:t>Country Health Profiles</w:t>
            </w:r>
            <w:r w:rsidR="00CF3CD6">
              <w:rPr>
                <w:rFonts w:ascii="Times New Roman" w:eastAsia="Times New Roman" w:hAnsi="Times New Roman"/>
                <w:i/>
                <w:iCs/>
                <w:sz w:val="24"/>
                <w:szCs w:val="24"/>
                <w:lang w:val="en-IE" w:eastAsia="en-IE"/>
              </w:rPr>
              <w:t>’</w:t>
            </w:r>
            <w:r w:rsidRPr="00B27372">
              <w:rPr>
                <w:rFonts w:ascii="Times New Roman" w:eastAsia="Times New Roman" w:hAnsi="Times New Roman"/>
                <w:i/>
                <w:iCs/>
                <w:sz w:val="24"/>
                <w:szCs w:val="24"/>
                <w:lang w:val="en-IE" w:eastAsia="en-IE"/>
              </w:rPr>
              <w:t>,</w:t>
            </w:r>
            <w:r w:rsidRPr="00B27372">
              <w:rPr>
                <w:rFonts w:ascii="Times New Roman" w:eastAsia="Times New Roman" w:hAnsi="Times New Roman"/>
                <w:sz w:val="24"/>
                <w:szCs w:val="24"/>
                <w:lang w:val="en-IE" w:eastAsia="en-IE"/>
              </w:rPr>
              <w:t xml:space="preserve"> which highlight the latest challenges and policy responses in national health systems in the EU. The most </w:t>
            </w:r>
            <w:r w:rsidRPr="00B27372">
              <w:rPr>
                <w:rFonts w:ascii="Times New Roman" w:eastAsia="Times New Roman" w:hAnsi="Times New Roman"/>
                <w:sz w:val="24"/>
                <w:szCs w:val="24"/>
                <w:lang w:val="en-IE" w:eastAsia="en-IE"/>
              </w:rPr>
              <w:lastRenderedPageBreak/>
              <w:t>recent country health profiles were published in 2025 and included a dedicated analysis about pharmaceuticals. Several Joint Actions funded by EU4Health bring Member States together to work on common challenges and to support the transfer of good practices across Member States. The Joint Action CIRCE-JA</w:t>
            </w:r>
            <w:r w:rsidR="00421AC9">
              <w:rPr>
                <w:rFonts w:ascii="Times New Roman" w:eastAsia="Times New Roman" w:hAnsi="Times New Roman"/>
                <w:sz w:val="24"/>
                <w:szCs w:val="24"/>
                <w:lang w:val="en-IE" w:eastAsia="en-IE"/>
              </w:rPr>
              <w:t xml:space="preserve"> (</w:t>
            </w:r>
            <w:r w:rsidR="00421AC9" w:rsidRPr="00421AC9">
              <w:rPr>
                <w:rFonts w:ascii="Times New Roman" w:eastAsia="Times New Roman" w:hAnsi="Times New Roman"/>
                <w:sz w:val="24"/>
                <w:szCs w:val="24"/>
                <w:lang w:val="en-IE" w:eastAsia="en-IE"/>
              </w:rPr>
              <w:t xml:space="preserve">the Joint Action on the transfer of best </w:t>
            </w:r>
            <w:proofErr w:type="spellStart"/>
            <w:r w:rsidR="00421AC9" w:rsidRPr="00421AC9">
              <w:rPr>
                <w:rFonts w:ascii="Times New Roman" w:eastAsia="Times New Roman" w:hAnsi="Times New Roman"/>
                <w:sz w:val="24"/>
                <w:szCs w:val="24"/>
                <w:lang w:val="en-IE" w:eastAsia="en-IE"/>
              </w:rPr>
              <w:t>praCtices</w:t>
            </w:r>
            <w:proofErr w:type="spellEnd"/>
            <w:r w:rsidR="00421AC9" w:rsidRPr="00421AC9">
              <w:rPr>
                <w:rFonts w:ascii="Times New Roman" w:eastAsia="Times New Roman" w:hAnsi="Times New Roman"/>
                <w:sz w:val="24"/>
                <w:szCs w:val="24"/>
                <w:lang w:val="en-IE" w:eastAsia="en-IE"/>
              </w:rPr>
              <w:t xml:space="preserve"> </w:t>
            </w:r>
            <w:proofErr w:type="gramStart"/>
            <w:r w:rsidR="00421AC9" w:rsidRPr="00421AC9">
              <w:rPr>
                <w:rFonts w:ascii="Times New Roman" w:eastAsia="Times New Roman" w:hAnsi="Times New Roman"/>
                <w:sz w:val="24"/>
                <w:szCs w:val="24"/>
                <w:lang w:val="en-IE" w:eastAsia="en-IE"/>
              </w:rPr>
              <w:t>In</w:t>
            </w:r>
            <w:proofErr w:type="gramEnd"/>
            <w:r w:rsidR="00421AC9" w:rsidRPr="00421AC9">
              <w:rPr>
                <w:rFonts w:ascii="Times New Roman" w:eastAsia="Times New Roman" w:hAnsi="Times New Roman"/>
                <w:sz w:val="24"/>
                <w:szCs w:val="24"/>
                <w:lang w:val="en-IE" w:eastAsia="en-IE"/>
              </w:rPr>
              <w:t xml:space="preserve"> </w:t>
            </w:r>
            <w:proofErr w:type="spellStart"/>
            <w:r w:rsidR="00421AC9" w:rsidRPr="00421AC9">
              <w:rPr>
                <w:rFonts w:ascii="Times New Roman" w:eastAsia="Times New Roman" w:hAnsi="Times New Roman"/>
                <w:sz w:val="24"/>
                <w:szCs w:val="24"/>
                <w:lang w:val="en-IE" w:eastAsia="en-IE"/>
              </w:rPr>
              <w:t>pRimary</w:t>
            </w:r>
            <w:proofErr w:type="spellEnd"/>
            <w:r w:rsidR="00421AC9" w:rsidRPr="00421AC9">
              <w:rPr>
                <w:rFonts w:ascii="Times New Roman" w:eastAsia="Times New Roman" w:hAnsi="Times New Roman"/>
                <w:sz w:val="24"/>
                <w:szCs w:val="24"/>
                <w:lang w:val="en-IE" w:eastAsia="en-IE"/>
              </w:rPr>
              <w:t xml:space="preserve"> </w:t>
            </w:r>
            <w:proofErr w:type="spellStart"/>
            <w:r w:rsidR="00421AC9" w:rsidRPr="00421AC9">
              <w:rPr>
                <w:rFonts w:ascii="Times New Roman" w:eastAsia="Times New Roman" w:hAnsi="Times New Roman"/>
                <w:sz w:val="24"/>
                <w:szCs w:val="24"/>
                <w:lang w:val="en-IE" w:eastAsia="en-IE"/>
              </w:rPr>
              <w:t>CarE</w:t>
            </w:r>
            <w:proofErr w:type="spellEnd"/>
            <w:r w:rsidR="00421AC9">
              <w:rPr>
                <w:rFonts w:ascii="Times New Roman" w:eastAsia="Times New Roman" w:hAnsi="Times New Roman"/>
                <w:sz w:val="24"/>
                <w:szCs w:val="24"/>
                <w:lang w:val="en-IE" w:eastAsia="en-IE"/>
              </w:rPr>
              <w:t>)</w:t>
            </w:r>
            <w:r w:rsidRPr="00B27372">
              <w:rPr>
                <w:rFonts w:ascii="Times New Roman" w:eastAsia="Times New Roman" w:hAnsi="Times New Roman"/>
                <w:sz w:val="24"/>
                <w:szCs w:val="24"/>
                <w:lang w:val="en-IE" w:eastAsia="en-IE"/>
              </w:rPr>
              <w:t xml:space="preserve"> is such an example, working on the transfer of six good practices in primary care to 40 new implementation locations in 12 Member States.</w:t>
            </w:r>
          </w:p>
          <w:p w14:paraId="7BCCD860" w14:textId="7E49BF78" w:rsidR="004F70AF" w:rsidRPr="00B27372" w:rsidRDefault="004F70AF" w:rsidP="00B27372">
            <w:pPr>
              <w:widowControl w:val="0"/>
              <w:spacing w:before="120" w:after="120"/>
              <w:jc w:val="both"/>
              <w:rPr>
                <w:rFonts w:ascii="Times New Roman" w:eastAsia="Times New Roman" w:hAnsi="Times New Roman"/>
                <w:sz w:val="24"/>
                <w:szCs w:val="24"/>
                <w:lang w:val="en-IE" w:eastAsia="en-IE"/>
              </w:rPr>
            </w:pPr>
            <w:bookmarkStart w:id="0" w:name="_Hlk224662975"/>
            <w:r w:rsidRPr="00B27372">
              <w:rPr>
                <w:rFonts w:ascii="Times New Roman" w:eastAsia="Times New Roman" w:hAnsi="Times New Roman"/>
                <w:sz w:val="24"/>
                <w:szCs w:val="24"/>
                <w:lang w:val="en-IE" w:eastAsia="en-IE"/>
              </w:rPr>
              <w:t xml:space="preserve">The EECS highlights the European Health Data Space (EHDS) as a cornerstone of Europe’s emerging data-driven life sciences ecosystem. It stresses that interoperable EHDS data environments, combined with genomic initiatives, biobanks and </w:t>
            </w:r>
            <w:r w:rsidR="00F045A8" w:rsidRPr="00B27372">
              <w:rPr>
                <w:rFonts w:ascii="Times New Roman" w:eastAsia="Times New Roman" w:hAnsi="Times New Roman"/>
                <w:sz w:val="24"/>
                <w:szCs w:val="24"/>
                <w:lang w:val="en-IE" w:eastAsia="en-IE"/>
              </w:rPr>
              <w:t xml:space="preserve">research </w:t>
            </w:r>
            <w:r w:rsidR="002330B5" w:rsidRPr="00B27372">
              <w:rPr>
                <w:rFonts w:ascii="Times New Roman" w:eastAsia="Times New Roman" w:hAnsi="Times New Roman"/>
                <w:sz w:val="24"/>
                <w:szCs w:val="24"/>
                <w:lang w:val="en-IE" w:eastAsia="en-IE"/>
              </w:rPr>
              <w:t xml:space="preserve">and technology </w:t>
            </w:r>
            <w:r w:rsidR="00F045A8" w:rsidRPr="00B27372">
              <w:rPr>
                <w:rFonts w:ascii="Times New Roman" w:eastAsia="Times New Roman" w:hAnsi="Times New Roman"/>
                <w:sz w:val="24"/>
                <w:szCs w:val="24"/>
                <w:lang w:val="en-IE" w:eastAsia="en-IE"/>
              </w:rPr>
              <w:t>infrastructures</w:t>
            </w:r>
            <w:r w:rsidR="002330B5" w:rsidRPr="00B27372">
              <w:rPr>
                <w:rFonts w:ascii="Times New Roman" w:eastAsia="Times New Roman" w:hAnsi="Times New Roman"/>
                <w:sz w:val="24"/>
                <w:szCs w:val="24"/>
                <w:lang w:val="en-IE" w:eastAsia="en-IE"/>
              </w:rPr>
              <w:t>, including digital ones,</w:t>
            </w:r>
            <w:r w:rsidR="00F045A8" w:rsidRPr="00B27372">
              <w:rPr>
                <w:rFonts w:ascii="Times New Roman" w:eastAsia="Times New Roman" w:hAnsi="Times New Roman"/>
                <w:sz w:val="24"/>
                <w:szCs w:val="24"/>
                <w:lang w:val="en-IE" w:eastAsia="en-IE"/>
              </w:rPr>
              <w:t xml:space="preserve"> </w:t>
            </w:r>
            <w:r w:rsidRPr="00B27372">
              <w:rPr>
                <w:rFonts w:ascii="Times New Roman" w:eastAsia="Times New Roman" w:hAnsi="Times New Roman"/>
                <w:sz w:val="24"/>
                <w:szCs w:val="24"/>
                <w:lang w:val="en-IE" w:eastAsia="en-IE"/>
              </w:rPr>
              <w:t xml:space="preserve">will be critical to advancing precision medicine, rare disease research and trustworthy AI development in Europe. </w:t>
            </w:r>
          </w:p>
          <w:bookmarkEnd w:id="0"/>
          <w:p w14:paraId="7C95E723" w14:textId="03EAFE31" w:rsidR="004F70AF" w:rsidRPr="00B27372" w:rsidRDefault="004F70AF" w:rsidP="00B27372">
            <w:pPr>
              <w:widowControl w:val="0"/>
              <w:spacing w:before="120" w:after="120"/>
              <w:jc w:val="both"/>
              <w:rPr>
                <w:rFonts w:ascii="Times New Roman" w:eastAsia="Times New Roman" w:hAnsi="Times New Roman"/>
                <w:sz w:val="24"/>
                <w:szCs w:val="24"/>
                <w:lang w:val="en-IE" w:eastAsia="en-IE"/>
              </w:rPr>
            </w:pPr>
            <w:r w:rsidRPr="00B27372">
              <w:rPr>
                <w:rFonts w:ascii="Times New Roman" w:eastAsia="Times New Roman" w:hAnsi="Times New Roman"/>
                <w:sz w:val="24"/>
                <w:szCs w:val="24"/>
                <w:lang w:val="en-IE" w:eastAsia="en-IE"/>
              </w:rPr>
              <w:t xml:space="preserve">To support the implementation of the EHDS by 2029, the Commission is developing the </w:t>
            </w:r>
            <w:proofErr w:type="spellStart"/>
            <w:r w:rsidRPr="00B27372">
              <w:rPr>
                <w:rFonts w:ascii="Times New Roman" w:eastAsia="Times New Roman" w:hAnsi="Times New Roman"/>
                <w:sz w:val="24"/>
                <w:szCs w:val="24"/>
                <w:lang w:val="en-IE" w:eastAsia="en-IE"/>
              </w:rPr>
              <w:t>HealthData@EU</w:t>
            </w:r>
            <w:proofErr w:type="spellEnd"/>
            <w:r w:rsidRPr="00B27372">
              <w:rPr>
                <w:rFonts w:ascii="Times New Roman" w:eastAsia="Times New Roman" w:hAnsi="Times New Roman"/>
                <w:sz w:val="24"/>
                <w:szCs w:val="24"/>
                <w:lang w:val="en-IE" w:eastAsia="en-IE"/>
              </w:rPr>
              <w:t xml:space="preserve"> data infrastructure and deploys a range of support actions, such as the TEHDAS2 Joint Action, focused on preparing the harmonised implementation of the secondary use of EHDS. The Commission also provides Direct Grants to national authorities to implement the EHDS infrastructure and functions. In addition, the Community of Practice (CoP) for EHDS secondary use, enables coordination, exchange of best practices and joint development among the competent national authorities </w:t>
            </w:r>
            <w:proofErr w:type="gramStart"/>
            <w:r w:rsidRPr="00B27372">
              <w:rPr>
                <w:rFonts w:ascii="Times New Roman" w:eastAsia="Times New Roman" w:hAnsi="Times New Roman"/>
                <w:sz w:val="24"/>
                <w:szCs w:val="24"/>
                <w:lang w:val="en-IE" w:eastAsia="en-IE"/>
              </w:rPr>
              <w:t>in the area of</w:t>
            </w:r>
            <w:proofErr w:type="gramEnd"/>
            <w:r w:rsidRPr="00B27372">
              <w:rPr>
                <w:rFonts w:ascii="Times New Roman" w:eastAsia="Times New Roman" w:hAnsi="Times New Roman"/>
                <w:sz w:val="24"/>
                <w:szCs w:val="24"/>
                <w:lang w:val="en-IE" w:eastAsia="en-IE"/>
              </w:rPr>
              <w:t xml:space="preserve"> secondary use of health data. A dedicated capacity-building programme is also being rolled out, to prepare competent authorities across Member States.</w:t>
            </w:r>
            <w:r w:rsidR="00FD130E" w:rsidRPr="00B27372">
              <w:rPr>
                <w:rFonts w:ascii="Times New Roman" w:eastAsia="Times New Roman" w:hAnsi="Times New Roman"/>
                <w:sz w:val="24"/>
                <w:szCs w:val="24"/>
                <w:lang w:val="en-IE" w:eastAsia="en-IE"/>
              </w:rPr>
              <w:t xml:space="preserve"> </w:t>
            </w:r>
          </w:p>
          <w:p w14:paraId="4C77B315" w14:textId="0A8D9D68" w:rsidR="00FD130E" w:rsidRPr="00B27372" w:rsidRDefault="00FD130E" w:rsidP="00D774AA">
            <w:pPr>
              <w:widowControl w:val="0"/>
              <w:spacing w:before="120" w:after="120"/>
              <w:jc w:val="both"/>
              <w:rPr>
                <w:rFonts w:ascii="Times New Roman" w:eastAsia="Times New Roman" w:hAnsi="Times New Roman"/>
                <w:sz w:val="24"/>
                <w:szCs w:val="24"/>
                <w:lang w:val="en-IE" w:eastAsia="en-IE"/>
              </w:rPr>
            </w:pPr>
            <w:r w:rsidRPr="00B27372">
              <w:rPr>
                <w:rFonts w:ascii="Times New Roman" w:eastAsia="Times New Roman" w:hAnsi="Times New Roman"/>
                <w:sz w:val="24"/>
                <w:szCs w:val="24"/>
                <w:lang w:eastAsia="en-IE"/>
              </w:rPr>
              <w:t>The EESC suggests </w:t>
            </w:r>
            <w:r w:rsidR="003A5255" w:rsidRPr="00B27372">
              <w:rPr>
                <w:rFonts w:ascii="Times New Roman" w:eastAsia="Times New Roman" w:hAnsi="Times New Roman"/>
                <w:sz w:val="24"/>
                <w:szCs w:val="24"/>
                <w:lang w:eastAsia="en-IE"/>
              </w:rPr>
              <w:t>extending</w:t>
            </w:r>
            <w:r w:rsidRPr="00B27372">
              <w:rPr>
                <w:rFonts w:ascii="Times New Roman" w:eastAsia="Times New Roman" w:hAnsi="Times New Roman"/>
                <w:sz w:val="24"/>
                <w:szCs w:val="24"/>
                <w:lang w:eastAsia="en-IE"/>
              </w:rPr>
              <w:t xml:space="preserve"> the Health Emergency Preparedness and Response Authority (HERA)</w:t>
            </w:r>
            <w:r w:rsidR="00C212A2" w:rsidRPr="00B27372">
              <w:rPr>
                <w:rFonts w:ascii="Times New Roman" w:eastAsia="Times New Roman" w:hAnsi="Times New Roman"/>
                <w:sz w:val="24"/>
                <w:szCs w:val="24"/>
                <w:lang w:eastAsia="en-IE"/>
              </w:rPr>
              <w:t>’s</w:t>
            </w:r>
            <w:r w:rsidRPr="00B27372">
              <w:rPr>
                <w:rFonts w:ascii="Times New Roman" w:eastAsia="Times New Roman" w:hAnsi="Times New Roman"/>
                <w:sz w:val="24"/>
                <w:szCs w:val="24"/>
                <w:lang w:eastAsia="en-IE"/>
              </w:rPr>
              <w:t> mandate to cover rare diseases, or to use HERA as a model for a new EU authority for non-communicable diseases. HERA</w:t>
            </w:r>
            <w:r w:rsidR="00C212A2" w:rsidRPr="00B27372">
              <w:rPr>
                <w:rFonts w:ascii="Times New Roman" w:eastAsia="Times New Roman" w:hAnsi="Times New Roman"/>
                <w:sz w:val="24"/>
                <w:szCs w:val="24"/>
                <w:lang w:eastAsia="en-IE"/>
              </w:rPr>
              <w:t>’s</w:t>
            </w:r>
            <w:r w:rsidRPr="00B27372">
              <w:rPr>
                <w:rFonts w:ascii="Times New Roman" w:eastAsia="Times New Roman" w:hAnsi="Times New Roman"/>
                <w:sz w:val="24"/>
                <w:szCs w:val="24"/>
                <w:lang w:eastAsia="en-IE"/>
              </w:rPr>
              <w:t xml:space="preserve"> core mission is to improve preparedness and response to serious cross-border threats </w:t>
            </w:r>
            <w:proofErr w:type="gramStart"/>
            <w:r w:rsidRPr="00B27372">
              <w:rPr>
                <w:rFonts w:ascii="Times New Roman" w:eastAsia="Times New Roman" w:hAnsi="Times New Roman"/>
                <w:sz w:val="24"/>
                <w:szCs w:val="24"/>
                <w:lang w:eastAsia="en-IE"/>
              </w:rPr>
              <w:t>in the area of</w:t>
            </w:r>
            <w:proofErr w:type="gramEnd"/>
            <w:r w:rsidRPr="00B27372">
              <w:rPr>
                <w:rFonts w:ascii="Times New Roman" w:eastAsia="Times New Roman" w:hAnsi="Times New Roman"/>
                <w:sz w:val="24"/>
                <w:szCs w:val="24"/>
                <w:lang w:eastAsia="en-IE"/>
              </w:rPr>
              <w:t> medical countermeasures</w:t>
            </w:r>
            <w:r w:rsidRPr="00B27372">
              <w:rPr>
                <w:rFonts w:ascii="Times New Roman" w:eastAsia="Times New Roman" w:hAnsi="Times New Roman"/>
                <w:sz w:val="24"/>
                <w:szCs w:val="24"/>
                <w:vertAlign w:val="superscript"/>
                <w:lang w:eastAsia="en-IE"/>
              </w:rPr>
              <w:t>5</w:t>
            </w:r>
            <w:r w:rsidRPr="00B27372">
              <w:rPr>
                <w:rFonts w:ascii="Times New Roman" w:eastAsia="Times New Roman" w:hAnsi="Times New Roman"/>
                <w:sz w:val="24"/>
                <w:szCs w:val="24"/>
                <w:lang w:eastAsia="en-IE"/>
              </w:rPr>
              <w:t>. </w:t>
            </w:r>
            <w:r w:rsidRPr="00B27372">
              <w:rPr>
                <w:rFonts w:ascii="Times New Roman" w:eastAsia="Times New Roman" w:hAnsi="Times New Roman"/>
                <w:sz w:val="24"/>
                <w:szCs w:val="24"/>
                <w:lang w:val="en-IE" w:eastAsia="en-IE"/>
              </w:rPr>
              <w:t>To allow for a swift operationalisation and to give access to the Commission’s existing powers, tools and programmes, HERA was established within the Commission.</w:t>
            </w:r>
          </w:p>
          <w:p w14:paraId="7C6FEC0C" w14:textId="2179BAE1" w:rsidR="004F70AF" w:rsidRPr="00B27372" w:rsidRDefault="004F70AF" w:rsidP="00D774AA">
            <w:pPr>
              <w:widowControl w:val="0"/>
              <w:spacing w:before="120" w:after="120"/>
              <w:jc w:val="both"/>
              <w:rPr>
                <w:rFonts w:ascii="Times New Roman" w:eastAsia="Times New Roman" w:hAnsi="Times New Roman"/>
                <w:sz w:val="24"/>
                <w:szCs w:val="24"/>
                <w:lang w:val="en-IE" w:eastAsia="en-IE"/>
              </w:rPr>
            </w:pPr>
            <w:r w:rsidRPr="00B27372">
              <w:rPr>
                <w:rFonts w:ascii="Times New Roman" w:eastAsia="Times New Roman" w:hAnsi="Times New Roman"/>
                <w:sz w:val="24"/>
                <w:szCs w:val="24"/>
                <w:lang w:eastAsia="en-IE"/>
              </w:rPr>
              <w:t xml:space="preserve">Considering results of the recent </w:t>
            </w:r>
            <w:r w:rsidRPr="00B27372">
              <w:rPr>
                <w:rFonts w:ascii="Times New Roman" w:eastAsia="Times New Roman" w:hAnsi="Times New Roman"/>
                <w:sz w:val="24"/>
                <w:szCs w:val="24"/>
                <w:lang w:val="en-IE" w:eastAsia="en-IE"/>
              </w:rPr>
              <w:t>Report on the review of the implementation of the operations of the HERA pursuant article 8 of the Commission decision establishing HERA</w:t>
            </w:r>
            <w:r w:rsidRPr="00B27372">
              <w:rPr>
                <w:rStyle w:val="FootnoteReference"/>
                <w:rFonts w:ascii="Times New Roman" w:eastAsia="Times New Roman" w:hAnsi="Times New Roman"/>
                <w:sz w:val="24"/>
                <w:szCs w:val="24"/>
                <w:lang w:val="en-IE" w:eastAsia="en-IE"/>
              </w:rPr>
              <w:footnoteReference w:id="7"/>
            </w:r>
            <w:r w:rsidRPr="00B27372">
              <w:rPr>
                <w:rFonts w:ascii="Times New Roman" w:eastAsia="Times New Roman" w:hAnsi="Times New Roman"/>
                <w:sz w:val="24"/>
                <w:szCs w:val="24"/>
                <w:lang w:val="en-IE" w:eastAsia="en-IE"/>
              </w:rPr>
              <w:t>,</w:t>
            </w:r>
            <w:r w:rsidRPr="00B27372">
              <w:rPr>
                <w:rFonts w:ascii="Times New Roman" w:eastAsia="Times New Roman" w:hAnsi="Times New Roman"/>
                <w:b/>
                <w:bCs/>
                <w:sz w:val="24"/>
                <w:szCs w:val="24"/>
                <w:lang w:val="en-IE" w:eastAsia="en-IE"/>
              </w:rPr>
              <w:t xml:space="preserve"> </w:t>
            </w:r>
            <w:r w:rsidRPr="00B27372">
              <w:rPr>
                <w:rFonts w:ascii="Times New Roman" w:eastAsia="Times New Roman" w:hAnsi="Times New Roman"/>
                <w:sz w:val="24"/>
                <w:szCs w:val="24"/>
                <w:lang w:val="en-IE" w:eastAsia="en-IE"/>
              </w:rPr>
              <w:t xml:space="preserve">HERA has not yet fully achieved its objectives. </w:t>
            </w:r>
            <w:r w:rsidR="00E41545" w:rsidRPr="00B27372">
              <w:rPr>
                <w:rFonts w:ascii="Times New Roman" w:eastAsia="Times New Roman" w:hAnsi="Times New Roman"/>
                <w:sz w:val="24"/>
                <w:szCs w:val="24"/>
                <w:lang w:val="en-IE" w:eastAsia="en-IE"/>
              </w:rPr>
              <w:t>A</w:t>
            </w:r>
            <w:r w:rsidRPr="00B27372">
              <w:rPr>
                <w:rFonts w:ascii="Times New Roman" w:eastAsia="Times New Roman" w:hAnsi="Times New Roman"/>
                <w:sz w:val="24"/>
                <w:szCs w:val="24"/>
                <w:lang w:val="en-IE" w:eastAsia="en-IE"/>
              </w:rPr>
              <w:t>dding new tasks to HERA</w:t>
            </w:r>
            <w:r w:rsidR="00C212A2" w:rsidRPr="00B27372">
              <w:rPr>
                <w:rFonts w:ascii="Times New Roman" w:eastAsia="Times New Roman" w:hAnsi="Times New Roman"/>
                <w:sz w:val="24"/>
                <w:szCs w:val="24"/>
                <w:lang w:val="en-IE" w:eastAsia="en-IE"/>
              </w:rPr>
              <w:t>’s</w:t>
            </w:r>
            <w:r w:rsidRPr="00B27372">
              <w:rPr>
                <w:rFonts w:ascii="Times New Roman" w:eastAsia="Times New Roman" w:hAnsi="Times New Roman"/>
                <w:sz w:val="24"/>
                <w:szCs w:val="24"/>
                <w:lang w:val="en-IE" w:eastAsia="en-IE"/>
              </w:rPr>
              <w:t xml:space="preserve"> mandate might jeopardise achievement of its main goals</w:t>
            </w:r>
            <w:r w:rsidR="00E41545" w:rsidRPr="00B27372">
              <w:rPr>
                <w:rFonts w:ascii="Times New Roman" w:eastAsia="Times New Roman" w:hAnsi="Times New Roman"/>
                <w:sz w:val="24"/>
                <w:szCs w:val="24"/>
                <w:lang w:val="en-IE" w:eastAsia="en-IE"/>
              </w:rPr>
              <w:t xml:space="preserve">, beside requiring additional </w:t>
            </w:r>
            <w:r w:rsidRPr="00B27372">
              <w:rPr>
                <w:rFonts w:ascii="Times New Roman" w:eastAsia="Times New Roman" w:hAnsi="Times New Roman"/>
                <w:sz w:val="24"/>
                <w:szCs w:val="24"/>
                <w:lang w:val="en-IE" w:eastAsia="en-IE"/>
              </w:rPr>
              <w:t xml:space="preserve">expertise in non-communicable diseases. </w:t>
            </w:r>
          </w:p>
          <w:p w14:paraId="1BC5C55F" w14:textId="4F620E7E" w:rsidR="00AB4A32" w:rsidRPr="00D774AA" w:rsidRDefault="004F70AF" w:rsidP="00D774AA">
            <w:pPr>
              <w:widowControl w:val="0"/>
              <w:spacing w:before="120" w:after="120"/>
              <w:jc w:val="both"/>
              <w:rPr>
                <w:rFonts w:ascii="Times New Roman" w:eastAsia="Times New Roman" w:hAnsi="Times New Roman"/>
                <w:sz w:val="2"/>
                <w:szCs w:val="2"/>
                <w:lang w:val="en-IE" w:eastAsia="en-IE"/>
              </w:rPr>
            </w:pPr>
            <w:r w:rsidRPr="00B27372">
              <w:rPr>
                <w:rFonts w:ascii="Times New Roman" w:eastAsia="Times New Roman" w:hAnsi="Times New Roman"/>
                <w:sz w:val="24"/>
                <w:szCs w:val="24"/>
              </w:rPr>
              <w:t>The EESC recommend</w:t>
            </w:r>
            <w:r w:rsidR="00F578C3" w:rsidRPr="00B27372">
              <w:rPr>
                <w:rFonts w:ascii="Times New Roman" w:eastAsia="Times New Roman" w:hAnsi="Times New Roman"/>
                <w:sz w:val="24"/>
                <w:szCs w:val="24"/>
              </w:rPr>
              <w:t>s</w:t>
            </w:r>
            <w:r w:rsidRPr="00B27372">
              <w:rPr>
                <w:rFonts w:ascii="Times New Roman" w:eastAsia="Times New Roman" w:hAnsi="Times New Roman"/>
                <w:sz w:val="24"/>
                <w:szCs w:val="24"/>
              </w:rPr>
              <w:t xml:space="preserve"> that the European Medical Agency (EMA), health technology assessment (HTA) bodies and ‘notified bodies’ should coordinate evidence requirements, early dialogue and consultations more quickly and improve the flexibility of standardised procedures. As reflected in the Strategy for European Life Sciences, the Commission supports closer alignment between regulatory authorities and HTA bodies. In this context, the EU HTA Regulation introduces Joint Scientific Consultations. As of 2025, </w:t>
            </w:r>
            <w:hyperlink r:id="rId12" w:history="1">
              <w:r w:rsidRPr="00D774AA">
                <w:t>seven joint scientific consultation procedures</w:t>
              </w:r>
            </w:hyperlink>
            <w:r w:rsidRPr="00B27372">
              <w:rPr>
                <w:rFonts w:ascii="Times New Roman" w:eastAsia="Times New Roman" w:hAnsi="Times New Roman"/>
                <w:sz w:val="24"/>
                <w:szCs w:val="24"/>
              </w:rPr>
              <w:t xml:space="preserve"> have been initiated, thereby helping streamline evidence requirements and minimise duplication in the assessment process, as well as speeding up market access to innovative products. As part of the joint clinical assessment of medical devices and in-vitro diagnostic medical devices, an exchange of information between ‘notified </w:t>
            </w:r>
            <w:proofErr w:type="gramStart"/>
            <w:r w:rsidRPr="00B27372">
              <w:rPr>
                <w:rFonts w:ascii="Times New Roman" w:eastAsia="Times New Roman" w:hAnsi="Times New Roman"/>
                <w:sz w:val="24"/>
                <w:szCs w:val="24"/>
              </w:rPr>
              <w:t>bodies’</w:t>
            </w:r>
            <w:proofErr w:type="gramEnd"/>
            <w:r w:rsidRPr="00B27372">
              <w:rPr>
                <w:rFonts w:ascii="Times New Roman" w:eastAsia="Times New Roman" w:hAnsi="Times New Roman"/>
                <w:sz w:val="24"/>
                <w:szCs w:val="24"/>
              </w:rPr>
              <w:t xml:space="preserve"> and the Commission is taking place to prevent the duplication of information submission and reduce the administrative burden</w:t>
            </w:r>
          </w:p>
          <w:p w14:paraId="14B7CC1D" w14:textId="45DD0A48" w:rsidR="00264BFA" w:rsidRPr="00B27372" w:rsidRDefault="00264BFA" w:rsidP="00B27372">
            <w:pPr>
              <w:widowControl w:val="0"/>
              <w:numPr>
                <w:ilvl w:val="0"/>
                <w:numId w:val="1"/>
              </w:numPr>
              <w:tabs>
                <w:tab w:val="clear" w:pos="720"/>
              </w:tabs>
              <w:spacing w:before="120" w:after="120"/>
              <w:ind w:left="480"/>
              <w:jc w:val="both"/>
              <w:rPr>
                <w:rFonts w:ascii="Times New Roman" w:eastAsia="Times New Roman" w:hAnsi="Times New Roman"/>
                <w:b/>
                <w:bCs/>
                <w:sz w:val="24"/>
                <w:szCs w:val="24"/>
                <w:lang w:val="en-IE" w:eastAsia="en-IE"/>
              </w:rPr>
            </w:pPr>
            <w:r w:rsidRPr="00B27372">
              <w:rPr>
                <w:rFonts w:ascii="Times New Roman" w:eastAsia="Times New Roman" w:hAnsi="Times New Roman"/>
                <w:b/>
                <w:bCs/>
                <w:sz w:val="24"/>
                <w:szCs w:val="24"/>
                <w:lang w:val="en-IE" w:eastAsia="en-IE"/>
              </w:rPr>
              <w:lastRenderedPageBreak/>
              <w:t>Rares diseases</w:t>
            </w:r>
          </w:p>
          <w:p w14:paraId="1F61E04E" w14:textId="07CBAAEC" w:rsidR="00243D67" w:rsidRPr="00B27372" w:rsidRDefault="0056276E" w:rsidP="00B27372">
            <w:pPr>
              <w:widowControl w:val="0"/>
              <w:spacing w:before="120" w:after="120"/>
              <w:jc w:val="both"/>
              <w:rPr>
                <w:rFonts w:ascii="Times New Roman" w:eastAsia="Times New Roman" w:hAnsi="Times New Roman"/>
                <w:sz w:val="24"/>
                <w:szCs w:val="24"/>
                <w:lang w:val="en-IE" w:eastAsia="en-IE"/>
              </w:rPr>
            </w:pPr>
            <w:r w:rsidRPr="00B27372">
              <w:rPr>
                <w:rFonts w:ascii="Times New Roman" w:eastAsia="Times New Roman" w:hAnsi="Times New Roman"/>
                <w:sz w:val="24"/>
                <w:szCs w:val="24"/>
                <w:lang w:val="en-IE" w:eastAsia="en-IE"/>
              </w:rPr>
              <w:t xml:space="preserve">The EESC stresses that only a holistic, integrated approach and a culture of </w:t>
            </w:r>
            <w:r w:rsidR="004D1587" w:rsidRPr="00B27372">
              <w:rPr>
                <w:rFonts w:ascii="Times New Roman" w:eastAsia="Times New Roman" w:hAnsi="Times New Roman"/>
                <w:sz w:val="24"/>
                <w:szCs w:val="24"/>
                <w:lang w:val="en-IE" w:eastAsia="en-IE"/>
              </w:rPr>
              <w:t xml:space="preserve">cooperation and </w:t>
            </w:r>
            <w:r w:rsidRPr="00B27372">
              <w:rPr>
                <w:rFonts w:ascii="Times New Roman" w:eastAsia="Times New Roman" w:hAnsi="Times New Roman"/>
                <w:sz w:val="24"/>
                <w:szCs w:val="24"/>
                <w:lang w:val="en-IE" w:eastAsia="en-IE"/>
              </w:rPr>
              <w:t>collaboration can bring about success in developing the life sciences</w:t>
            </w:r>
            <w:r w:rsidR="00AB47B1" w:rsidRPr="00B27372">
              <w:rPr>
                <w:rFonts w:ascii="Times New Roman" w:eastAsia="Times New Roman" w:hAnsi="Times New Roman"/>
                <w:sz w:val="24"/>
                <w:szCs w:val="24"/>
                <w:lang w:val="en-IE" w:eastAsia="en-IE"/>
              </w:rPr>
              <w:t>, including the integration of</w:t>
            </w:r>
            <w:r w:rsidR="00854E18" w:rsidRPr="00B27372">
              <w:rPr>
                <w:rFonts w:ascii="Times New Roman" w:eastAsia="Times New Roman" w:hAnsi="Times New Roman"/>
                <w:sz w:val="24"/>
                <w:szCs w:val="24"/>
                <w:lang w:val="en-IE" w:eastAsia="en-IE"/>
              </w:rPr>
              <w:t xml:space="preserve"> </w:t>
            </w:r>
            <w:r w:rsidR="00AB47B1" w:rsidRPr="00B27372">
              <w:rPr>
                <w:rFonts w:ascii="Times New Roman" w:eastAsia="Times New Roman" w:hAnsi="Times New Roman"/>
                <w:sz w:val="24"/>
                <w:szCs w:val="24"/>
                <w:lang w:val="en-IE" w:eastAsia="en-IE"/>
              </w:rPr>
              <w:t>natural and climate-based therapies into prevention and rehabilitation</w:t>
            </w:r>
            <w:r w:rsidR="00A371F2" w:rsidRPr="00B27372">
              <w:rPr>
                <w:rFonts w:ascii="Times New Roman" w:eastAsia="Times New Roman" w:hAnsi="Times New Roman"/>
                <w:sz w:val="24"/>
                <w:szCs w:val="24"/>
                <w:lang w:val="en-IE" w:eastAsia="en-IE"/>
              </w:rPr>
              <w:t>.</w:t>
            </w:r>
            <w:r w:rsidR="00AB47B1" w:rsidRPr="00B27372">
              <w:rPr>
                <w:rFonts w:ascii="Times New Roman" w:eastAsia="Times New Roman" w:hAnsi="Times New Roman"/>
                <w:sz w:val="24"/>
                <w:szCs w:val="24"/>
                <w:lang w:val="en-IE" w:eastAsia="en-IE"/>
              </w:rPr>
              <w:t xml:space="preserve"> </w:t>
            </w:r>
            <w:r w:rsidR="002F63A0" w:rsidRPr="00B27372">
              <w:rPr>
                <w:rFonts w:ascii="Times New Roman" w:eastAsia="Times New Roman" w:hAnsi="Times New Roman"/>
                <w:sz w:val="24"/>
                <w:szCs w:val="24"/>
                <w:lang w:val="en-IE" w:eastAsia="en-IE"/>
              </w:rPr>
              <w:t xml:space="preserve">The EESC underlines the importance of </w:t>
            </w:r>
            <w:r w:rsidR="00935A0B" w:rsidRPr="00B27372">
              <w:rPr>
                <w:rFonts w:ascii="Times New Roman" w:eastAsia="Times New Roman" w:hAnsi="Times New Roman"/>
                <w:sz w:val="24"/>
                <w:szCs w:val="24"/>
                <w:lang w:val="en-IE" w:eastAsia="en-IE"/>
              </w:rPr>
              <w:t xml:space="preserve">embracing the ‘One Health’ approach </w:t>
            </w:r>
            <w:r w:rsidR="005F3B0D" w:rsidRPr="00B27372">
              <w:rPr>
                <w:rFonts w:ascii="Times New Roman" w:eastAsia="Times New Roman" w:hAnsi="Times New Roman"/>
                <w:sz w:val="24"/>
                <w:szCs w:val="24"/>
                <w:lang w:val="en-IE" w:eastAsia="en-IE"/>
              </w:rPr>
              <w:t xml:space="preserve">and </w:t>
            </w:r>
            <w:r w:rsidR="00935A0B" w:rsidRPr="00B27372">
              <w:rPr>
                <w:rFonts w:ascii="Times New Roman" w:eastAsia="Times New Roman" w:hAnsi="Times New Roman"/>
                <w:sz w:val="24"/>
                <w:szCs w:val="24"/>
                <w:lang w:val="en-IE" w:eastAsia="en-IE"/>
              </w:rPr>
              <w:t xml:space="preserve">covering </w:t>
            </w:r>
            <w:r w:rsidR="005F3B0D" w:rsidRPr="00B27372">
              <w:rPr>
                <w:rFonts w:ascii="Times New Roman" w:eastAsia="Times New Roman" w:hAnsi="Times New Roman"/>
                <w:sz w:val="24"/>
                <w:szCs w:val="24"/>
                <w:lang w:val="en-IE" w:eastAsia="en-IE"/>
              </w:rPr>
              <w:t xml:space="preserve">the full ‘life sciences’ spectrum. </w:t>
            </w:r>
            <w:r w:rsidR="00854E18" w:rsidRPr="00B27372">
              <w:rPr>
                <w:rFonts w:ascii="Times New Roman" w:eastAsia="Times New Roman" w:hAnsi="Times New Roman"/>
                <w:sz w:val="24"/>
                <w:szCs w:val="24"/>
                <w:lang w:val="en-IE" w:eastAsia="en-IE"/>
              </w:rPr>
              <w:t xml:space="preserve">The </w:t>
            </w:r>
            <w:r w:rsidR="00A30608" w:rsidRPr="00B27372">
              <w:rPr>
                <w:rFonts w:ascii="Times New Roman" w:eastAsia="Times New Roman" w:hAnsi="Times New Roman"/>
                <w:sz w:val="24"/>
                <w:szCs w:val="24"/>
                <w:lang w:val="en-IE" w:eastAsia="en-IE"/>
              </w:rPr>
              <w:t xml:space="preserve">EESC requests that </w:t>
            </w:r>
            <w:r w:rsidR="00D666E9" w:rsidRPr="00B27372">
              <w:rPr>
                <w:rFonts w:ascii="Times New Roman" w:eastAsia="Times New Roman" w:hAnsi="Times New Roman"/>
                <w:sz w:val="24"/>
                <w:szCs w:val="24"/>
                <w:lang w:val="en-IE" w:eastAsia="en-IE"/>
              </w:rPr>
              <w:t>the</w:t>
            </w:r>
            <w:r w:rsidR="00DF4FD9" w:rsidRPr="00B27372">
              <w:rPr>
                <w:rFonts w:ascii="Times New Roman" w:eastAsia="Times New Roman" w:hAnsi="Times New Roman"/>
                <w:sz w:val="24"/>
                <w:szCs w:val="24"/>
                <w:lang w:val="en-IE" w:eastAsia="en-IE"/>
              </w:rPr>
              <w:t xml:space="preserve"> </w:t>
            </w:r>
            <w:r w:rsidR="00D666E9" w:rsidRPr="00B27372">
              <w:rPr>
                <w:rFonts w:ascii="Times New Roman" w:eastAsia="Times New Roman" w:hAnsi="Times New Roman"/>
                <w:sz w:val="24"/>
                <w:szCs w:val="24"/>
                <w:lang w:val="en-IE" w:eastAsia="en-IE"/>
              </w:rPr>
              <w:t>EU’s network of medical spas, climate health resorts and natural therapeutic environments be recognised</w:t>
            </w:r>
            <w:r w:rsidR="005C2E22" w:rsidRPr="00B27372">
              <w:rPr>
                <w:rFonts w:ascii="Times New Roman" w:eastAsia="Times New Roman" w:hAnsi="Times New Roman"/>
                <w:sz w:val="24"/>
                <w:szCs w:val="24"/>
                <w:lang w:val="en-IE" w:eastAsia="en-IE"/>
              </w:rPr>
              <w:t xml:space="preserve"> assets </w:t>
            </w:r>
            <w:r w:rsidR="002378C0" w:rsidRPr="00B27372">
              <w:rPr>
                <w:rFonts w:ascii="Times New Roman" w:eastAsia="Times New Roman" w:hAnsi="Times New Roman"/>
                <w:sz w:val="24"/>
                <w:szCs w:val="24"/>
                <w:lang w:val="en-IE" w:eastAsia="en-IE"/>
              </w:rPr>
              <w:t xml:space="preserve">as </w:t>
            </w:r>
            <w:r w:rsidR="005C2E22" w:rsidRPr="00B27372">
              <w:rPr>
                <w:rFonts w:ascii="Times New Roman" w:eastAsia="Times New Roman" w:hAnsi="Times New Roman"/>
                <w:sz w:val="24"/>
                <w:szCs w:val="24"/>
                <w:lang w:val="en-IE" w:eastAsia="en-IE"/>
              </w:rPr>
              <w:t>part of the Strategy for European Life Sciences.</w:t>
            </w:r>
            <w:r w:rsidR="00F448DA" w:rsidRPr="00B27372">
              <w:rPr>
                <w:rFonts w:ascii="Times New Roman" w:eastAsia="Times New Roman" w:hAnsi="Times New Roman"/>
                <w:sz w:val="24"/>
                <w:szCs w:val="24"/>
                <w:lang w:val="en-IE" w:eastAsia="en-IE"/>
              </w:rPr>
              <w:t xml:space="preserve"> The Commission agrees</w:t>
            </w:r>
            <w:r w:rsidR="00000DD0" w:rsidRPr="00B27372">
              <w:rPr>
                <w:rFonts w:ascii="Times New Roman" w:eastAsia="Times New Roman" w:hAnsi="Times New Roman"/>
                <w:sz w:val="24"/>
                <w:szCs w:val="24"/>
                <w:lang w:val="en-IE" w:eastAsia="en-IE"/>
              </w:rPr>
              <w:t xml:space="preserve"> </w:t>
            </w:r>
            <w:r w:rsidR="001323C1" w:rsidRPr="00B27372">
              <w:rPr>
                <w:rFonts w:ascii="Times New Roman" w:eastAsia="Times New Roman" w:hAnsi="Times New Roman"/>
                <w:sz w:val="24"/>
                <w:szCs w:val="24"/>
                <w:lang w:val="en-IE" w:eastAsia="en-IE"/>
              </w:rPr>
              <w:t>that integrated, holistic approaches</w:t>
            </w:r>
            <w:r w:rsidR="00DF727F" w:rsidRPr="00B27372">
              <w:rPr>
                <w:rFonts w:ascii="Times New Roman" w:eastAsia="Times New Roman" w:hAnsi="Times New Roman"/>
                <w:sz w:val="24"/>
                <w:szCs w:val="24"/>
                <w:lang w:val="en-IE" w:eastAsia="en-IE"/>
              </w:rPr>
              <w:t>,</w:t>
            </w:r>
            <w:r w:rsidR="001323C1" w:rsidRPr="00B27372">
              <w:rPr>
                <w:rFonts w:ascii="Times New Roman" w:eastAsia="Times New Roman" w:hAnsi="Times New Roman"/>
                <w:sz w:val="24"/>
                <w:szCs w:val="24"/>
                <w:lang w:val="en-IE" w:eastAsia="en-IE"/>
              </w:rPr>
              <w:t xml:space="preserve"> which promote cooperation and collaboration are central to advancing </w:t>
            </w:r>
            <w:r w:rsidR="00B94F65" w:rsidRPr="00B27372">
              <w:rPr>
                <w:rFonts w:ascii="Times New Roman" w:eastAsia="Times New Roman" w:hAnsi="Times New Roman"/>
                <w:sz w:val="24"/>
                <w:szCs w:val="24"/>
                <w:lang w:val="en-IE" w:eastAsia="en-IE"/>
              </w:rPr>
              <w:t xml:space="preserve">research and innovation in the life sciences </w:t>
            </w:r>
            <w:r w:rsidR="000C54D9" w:rsidRPr="00B27372">
              <w:rPr>
                <w:rFonts w:ascii="Times New Roman" w:eastAsia="Times New Roman" w:hAnsi="Times New Roman"/>
                <w:sz w:val="24"/>
                <w:szCs w:val="24"/>
                <w:lang w:val="en-IE" w:eastAsia="en-IE"/>
              </w:rPr>
              <w:t>across their whole value chain</w:t>
            </w:r>
            <w:r w:rsidR="00C338FB" w:rsidRPr="00B27372">
              <w:rPr>
                <w:rFonts w:ascii="Times New Roman" w:eastAsia="Times New Roman" w:hAnsi="Times New Roman"/>
                <w:sz w:val="24"/>
                <w:szCs w:val="24"/>
                <w:lang w:val="en-IE" w:eastAsia="en-IE"/>
              </w:rPr>
              <w:t>,</w:t>
            </w:r>
            <w:r w:rsidR="000C54D9" w:rsidRPr="00B27372">
              <w:rPr>
                <w:rFonts w:ascii="Times New Roman" w:eastAsia="Times New Roman" w:hAnsi="Times New Roman"/>
                <w:sz w:val="24"/>
                <w:szCs w:val="24"/>
                <w:lang w:val="en-IE" w:eastAsia="en-IE"/>
              </w:rPr>
              <w:t xml:space="preserve"> </w:t>
            </w:r>
            <w:r w:rsidR="00B94F65" w:rsidRPr="00B27372">
              <w:rPr>
                <w:rFonts w:ascii="Times New Roman" w:eastAsia="Times New Roman" w:hAnsi="Times New Roman"/>
                <w:sz w:val="24"/>
                <w:szCs w:val="24"/>
                <w:lang w:val="en-IE" w:eastAsia="en-IE"/>
              </w:rPr>
              <w:t xml:space="preserve">for the ultimate benefit of </w:t>
            </w:r>
            <w:r w:rsidR="00F745B7" w:rsidRPr="00B27372">
              <w:rPr>
                <w:rFonts w:ascii="Times New Roman" w:eastAsia="Times New Roman" w:hAnsi="Times New Roman"/>
                <w:sz w:val="24"/>
                <w:szCs w:val="24"/>
                <w:lang w:val="en-IE" w:eastAsia="en-IE"/>
              </w:rPr>
              <w:t>end</w:t>
            </w:r>
            <w:r w:rsidR="00C84256" w:rsidRPr="00B27372">
              <w:rPr>
                <w:rFonts w:ascii="Times New Roman" w:eastAsia="Times New Roman" w:hAnsi="Times New Roman"/>
                <w:sz w:val="24"/>
                <w:szCs w:val="24"/>
                <w:lang w:val="en-IE" w:eastAsia="en-IE"/>
              </w:rPr>
              <w:t xml:space="preserve"> </w:t>
            </w:r>
            <w:r w:rsidR="00F745B7" w:rsidRPr="00B27372">
              <w:rPr>
                <w:rFonts w:ascii="Times New Roman" w:eastAsia="Times New Roman" w:hAnsi="Times New Roman"/>
                <w:sz w:val="24"/>
                <w:szCs w:val="24"/>
                <w:lang w:val="en-IE" w:eastAsia="en-IE"/>
              </w:rPr>
              <w:t xml:space="preserve">users. This is </w:t>
            </w:r>
            <w:r w:rsidR="000C54D9" w:rsidRPr="00B27372">
              <w:rPr>
                <w:rFonts w:ascii="Times New Roman" w:eastAsia="Times New Roman" w:hAnsi="Times New Roman"/>
                <w:sz w:val="24"/>
                <w:szCs w:val="24"/>
                <w:lang w:val="en-IE" w:eastAsia="en-IE"/>
              </w:rPr>
              <w:t xml:space="preserve">the underlining thread of the Strategy for </w:t>
            </w:r>
            <w:r w:rsidR="00445CA6" w:rsidRPr="00B27372">
              <w:rPr>
                <w:rFonts w:ascii="Times New Roman" w:eastAsia="Times New Roman" w:hAnsi="Times New Roman"/>
                <w:sz w:val="24"/>
                <w:szCs w:val="24"/>
                <w:lang w:val="en-IE" w:eastAsia="en-IE"/>
              </w:rPr>
              <w:t xml:space="preserve">European Life Sciences, notably when it comes to </w:t>
            </w:r>
            <w:r w:rsidR="006924EA" w:rsidRPr="00B27372">
              <w:rPr>
                <w:rFonts w:ascii="Times New Roman" w:eastAsia="Times New Roman" w:hAnsi="Times New Roman"/>
                <w:sz w:val="24"/>
                <w:szCs w:val="24"/>
                <w:lang w:val="en-IE" w:eastAsia="en-IE"/>
              </w:rPr>
              <w:t xml:space="preserve">thriving research </w:t>
            </w:r>
            <w:r w:rsidR="00661381" w:rsidRPr="00B27372">
              <w:rPr>
                <w:rFonts w:ascii="Times New Roman" w:eastAsia="Times New Roman" w:hAnsi="Times New Roman"/>
                <w:sz w:val="24"/>
                <w:szCs w:val="24"/>
                <w:lang w:val="en-IE" w:eastAsia="en-IE"/>
              </w:rPr>
              <w:t>and innovation ecosystems, bringing together life science disciplines, stakeholders and funding.</w:t>
            </w:r>
            <w:r w:rsidR="00CD50F3" w:rsidRPr="00B27372">
              <w:rPr>
                <w:rFonts w:ascii="Times New Roman" w:eastAsia="Times New Roman" w:hAnsi="Times New Roman"/>
                <w:sz w:val="24"/>
                <w:szCs w:val="24"/>
                <w:lang w:val="en-IE" w:eastAsia="en-IE"/>
              </w:rPr>
              <w:t xml:space="preserve"> The Strategy for European Life Sciences</w:t>
            </w:r>
            <w:r w:rsidR="00E04DD9" w:rsidRPr="00B27372">
              <w:rPr>
                <w:rFonts w:ascii="Times New Roman" w:eastAsia="Times New Roman" w:hAnsi="Times New Roman"/>
                <w:sz w:val="24"/>
                <w:szCs w:val="24"/>
                <w:lang w:val="en-IE" w:eastAsia="en-IE"/>
              </w:rPr>
              <w:t xml:space="preserve"> </w:t>
            </w:r>
            <w:r w:rsidR="00C860C4" w:rsidRPr="00B27372">
              <w:rPr>
                <w:rFonts w:ascii="Times New Roman" w:eastAsia="Times New Roman" w:hAnsi="Times New Roman"/>
                <w:sz w:val="24"/>
                <w:szCs w:val="24"/>
                <w:lang w:val="en-IE" w:eastAsia="en-IE"/>
              </w:rPr>
              <w:t xml:space="preserve">does not promote one type of </w:t>
            </w:r>
            <w:r w:rsidR="003925FA" w:rsidRPr="00B27372">
              <w:rPr>
                <w:rFonts w:ascii="Times New Roman" w:eastAsia="Times New Roman" w:hAnsi="Times New Roman"/>
                <w:sz w:val="24"/>
                <w:szCs w:val="24"/>
                <w:lang w:val="en-IE" w:eastAsia="en-IE"/>
              </w:rPr>
              <w:t>life science</w:t>
            </w:r>
            <w:r w:rsidR="00E7482E" w:rsidRPr="00B27372">
              <w:rPr>
                <w:rFonts w:ascii="Times New Roman" w:eastAsia="Times New Roman" w:hAnsi="Times New Roman"/>
                <w:sz w:val="24"/>
                <w:szCs w:val="24"/>
                <w:lang w:val="en-IE" w:eastAsia="en-IE"/>
              </w:rPr>
              <w:t xml:space="preserve"> discipline</w:t>
            </w:r>
            <w:r w:rsidR="004F410C" w:rsidRPr="00B27372">
              <w:rPr>
                <w:rFonts w:ascii="Times New Roman" w:eastAsia="Times New Roman" w:hAnsi="Times New Roman"/>
                <w:sz w:val="24"/>
                <w:szCs w:val="24"/>
                <w:lang w:val="en-IE" w:eastAsia="en-IE"/>
              </w:rPr>
              <w:t>, sector or</w:t>
            </w:r>
            <w:r w:rsidR="003925FA" w:rsidRPr="00B27372">
              <w:rPr>
                <w:rFonts w:ascii="Times New Roman" w:eastAsia="Times New Roman" w:hAnsi="Times New Roman"/>
                <w:sz w:val="24"/>
                <w:szCs w:val="24"/>
                <w:lang w:val="en-IE" w:eastAsia="en-IE"/>
              </w:rPr>
              <w:t xml:space="preserve"> </w:t>
            </w:r>
            <w:r w:rsidR="00C860C4" w:rsidRPr="00B27372">
              <w:rPr>
                <w:rFonts w:ascii="Times New Roman" w:eastAsia="Times New Roman" w:hAnsi="Times New Roman"/>
                <w:sz w:val="24"/>
                <w:szCs w:val="24"/>
                <w:lang w:val="en-IE" w:eastAsia="en-IE"/>
              </w:rPr>
              <w:t>innovation</w:t>
            </w:r>
            <w:r w:rsidR="00C6669C" w:rsidRPr="00B27372">
              <w:rPr>
                <w:rFonts w:ascii="Times New Roman" w:eastAsia="Times New Roman" w:hAnsi="Times New Roman"/>
                <w:sz w:val="24"/>
                <w:szCs w:val="24"/>
                <w:lang w:val="en-IE" w:eastAsia="en-IE"/>
              </w:rPr>
              <w:t xml:space="preserve"> over another</w:t>
            </w:r>
            <w:r w:rsidR="001D4A40" w:rsidRPr="00B27372">
              <w:rPr>
                <w:rFonts w:ascii="Times New Roman" w:eastAsia="Times New Roman" w:hAnsi="Times New Roman"/>
                <w:sz w:val="24"/>
                <w:szCs w:val="24"/>
                <w:lang w:val="en-IE" w:eastAsia="en-IE"/>
              </w:rPr>
              <w:t>;</w:t>
            </w:r>
            <w:r w:rsidR="00C860C4" w:rsidRPr="00B27372">
              <w:rPr>
                <w:rFonts w:ascii="Times New Roman" w:eastAsia="Times New Roman" w:hAnsi="Times New Roman"/>
                <w:sz w:val="24"/>
                <w:szCs w:val="24"/>
                <w:lang w:val="en-IE" w:eastAsia="en-IE"/>
              </w:rPr>
              <w:t xml:space="preserve"> </w:t>
            </w:r>
            <w:r w:rsidR="00E57F31" w:rsidRPr="00B27372">
              <w:rPr>
                <w:rFonts w:ascii="Times New Roman" w:eastAsia="Times New Roman" w:hAnsi="Times New Roman"/>
                <w:sz w:val="24"/>
                <w:szCs w:val="24"/>
                <w:lang w:val="en-IE" w:eastAsia="en-IE"/>
              </w:rPr>
              <w:t>therefore</w:t>
            </w:r>
            <w:r w:rsidR="00F04AFE" w:rsidRPr="00B27372">
              <w:rPr>
                <w:rFonts w:ascii="Times New Roman" w:eastAsia="Times New Roman" w:hAnsi="Times New Roman"/>
                <w:sz w:val="24"/>
                <w:szCs w:val="24"/>
                <w:lang w:val="en-IE" w:eastAsia="en-IE"/>
              </w:rPr>
              <w:t>,</w:t>
            </w:r>
            <w:r w:rsidR="00E57F31" w:rsidRPr="00B27372">
              <w:rPr>
                <w:rFonts w:ascii="Times New Roman" w:eastAsia="Times New Roman" w:hAnsi="Times New Roman"/>
                <w:sz w:val="24"/>
                <w:szCs w:val="24"/>
                <w:lang w:val="en-IE" w:eastAsia="en-IE"/>
              </w:rPr>
              <w:t xml:space="preserve"> it does not prescribe what a holistic approach should </w:t>
            </w:r>
            <w:r w:rsidR="00550652" w:rsidRPr="00B27372">
              <w:rPr>
                <w:rFonts w:ascii="Times New Roman" w:eastAsia="Times New Roman" w:hAnsi="Times New Roman"/>
                <w:sz w:val="24"/>
                <w:szCs w:val="24"/>
                <w:lang w:val="en-IE" w:eastAsia="en-IE"/>
              </w:rPr>
              <w:t>include. The Strategy for European Life Sciences however</w:t>
            </w:r>
            <w:r w:rsidR="00C860C4" w:rsidRPr="00B27372">
              <w:rPr>
                <w:rFonts w:ascii="Times New Roman" w:eastAsia="Times New Roman" w:hAnsi="Times New Roman"/>
                <w:sz w:val="24"/>
                <w:szCs w:val="24"/>
                <w:lang w:val="en-IE" w:eastAsia="en-IE"/>
              </w:rPr>
              <w:t xml:space="preserve"> stresses that cooperation between researchers, innovators, industry, users and policymakers are </w:t>
            </w:r>
            <w:r w:rsidR="00935A0B" w:rsidRPr="00B27372">
              <w:rPr>
                <w:rFonts w:ascii="Times New Roman" w:eastAsia="Times New Roman" w:hAnsi="Times New Roman"/>
                <w:sz w:val="24"/>
                <w:szCs w:val="24"/>
                <w:lang w:val="en-IE" w:eastAsia="en-IE"/>
              </w:rPr>
              <w:t>key to</w:t>
            </w:r>
            <w:r w:rsidR="00C860C4" w:rsidRPr="00B27372">
              <w:rPr>
                <w:rFonts w:ascii="Times New Roman" w:eastAsia="Times New Roman" w:hAnsi="Times New Roman"/>
                <w:sz w:val="24"/>
                <w:szCs w:val="24"/>
                <w:lang w:val="en-IE" w:eastAsia="en-IE"/>
              </w:rPr>
              <w:t xml:space="preserve"> match specific needs for solutions (such as those of patients affected </w:t>
            </w:r>
            <w:r w:rsidR="00405735" w:rsidRPr="00B27372">
              <w:rPr>
                <w:rFonts w:ascii="Times New Roman" w:eastAsia="Times New Roman" w:hAnsi="Times New Roman"/>
                <w:sz w:val="24"/>
                <w:szCs w:val="24"/>
                <w:lang w:val="en-IE" w:eastAsia="en-IE"/>
              </w:rPr>
              <w:t>with rare diseases)</w:t>
            </w:r>
            <w:r w:rsidR="00C860C4" w:rsidRPr="00B27372">
              <w:rPr>
                <w:rFonts w:ascii="Times New Roman" w:eastAsia="Times New Roman" w:hAnsi="Times New Roman"/>
                <w:sz w:val="24"/>
                <w:szCs w:val="24"/>
                <w:lang w:val="en-IE" w:eastAsia="en-IE"/>
              </w:rPr>
              <w:t xml:space="preserve"> with promising innovation. </w:t>
            </w:r>
            <w:r w:rsidR="00405735" w:rsidRPr="00B27372">
              <w:rPr>
                <w:rFonts w:ascii="Times New Roman" w:eastAsia="Times New Roman" w:hAnsi="Times New Roman"/>
                <w:sz w:val="24"/>
                <w:szCs w:val="24"/>
                <w:lang w:val="en-IE" w:eastAsia="en-IE"/>
              </w:rPr>
              <w:t>Such ecosystems</w:t>
            </w:r>
            <w:r w:rsidR="00C860C4" w:rsidRPr="00B27372">
              <w:rPr>
                <w:rFonts w:ascii="Times New Roman" w:eastAsia="Times New Roman" w:hAnsi="Times New Roman"/>
                <w:sz w:val="24"/>
                <w:szCs w:val="24"/>
                <w:lang w:val="en-IE" w:eastAsia="en-IE"/>
              </w:rPr>
              <w:t xml:space="preserve"> also improve the efficiency of the process of translating knowledge into real-world applications.</w:t>
            </w:r>
          </w:p>
          <w:p w14:paraId="3447EFEA" w14:textId="4D5AA3DA" w:rsidR="20ECE321" w:rsidRPr="00B27372" w:rsidRDefault="00127D3E" w:rsidP="00B27372">
            <w:pPr>
              <w:widowControl w:val="0"/>
              <w:spacing w:before="120" w:after="120"/>
              <w:jc w:val="both"/>
              <w:rPr>
                <w:rFonts w:ascii="Times New Roman" w:eastAsia="Times New Roman" w:hAnsi="Times New Roman"/>
                <w:sz w:val="24"/>
                <w:szCs w:val="24"/>
                <w:lang w:val="en-IE" w:eastAsia="en-IE"/>
              </w:rPr>
            </w:pPr>
            <w:r w:rsidRPr="00B27372">
              <w:rPr>
                <w:rFonts w:ascii="Times New Roman" w:eastAsia="Times New Roman" w:hAnsi="Times New Roman"/>
                <w:sz w:val="24"/>
                <w:szCs w:val="24"/>
                <w:lang w:val="en-IE" w:eastAsia="en-IE"/>
              </w:rPr>
              <w:t>Specifically in the field of rare diseases</w:t>
            </w:r>
            <w:r w:rsidR="6562E6EE" w:rsidRPr="00B27372">
              <w:rPr>
                <w:rFonts w:ascii="Times New Roman" w:eastAsia="Times New Roman" w:hAnsi="Times New Roman"/>
                <w:sz w:val="24"/>
                <w:szCs w:val="24"/>
                <w:lang w:val="en-IE" w:eastAsia="en-IE"/>
              </w:rPr>
              <w:t>, t</w:t>
            </w:r>
            <w:r w:rsidR="68A38659" w:rsidRPr="00B27372">
              <w:rPr>
                <w:rFonts w:ascii="Times New Roman" w:eastAsia="Times New Roman" w:hAnsi="Times New Roman"/>
                <w:sz w:val="24"/>
                <w:szCs w:val="24"/>
                <w:lang w:val="en-IE" w:eastAsia="en-IE"/>
              </w:rPr>
              <w:t xml:space="preserve">he Commission </w:t>
            </w:r>
            <w:r w:rsidR="0081C350" w:rsidRPr="00B27372">
              <w:rPr>
                <w:rFonts w:ascii="Times New Roman" w:eastAsia="Times New Roman" w:hAnsi="Times New Roman"/>
                <w:sz w:val="24"/>
                <w:szCs w:val="24"/>
                <w:lang w:val="en-IE" w:eastAsia="en-IE"/>
              </w:rPr>
              <w:t>agrees that it is an area with high EU added value</w:t>
            </w:r>
            <w:r w:rsidR="005A1ECC" w:rsidRPr="00B27372">
              <w:rPr>
                <w:rFonts w:ascii="Times New Roman" w:eastAsia="Times New Roman" w:hAnsi="Times New Roman"/>
                <w:sz w:val="24"/>
                <w:szCs w:val="24"/>
                <w:lang w:val="en-IE" w:eastAsia="en-IE"/>
              </w:rPr>
              <w:t>.</w:t>
            </w:r>
            <w:r w:rsidR="0081C350" w:rsidRPr="00B27372">
              <w:rPr>
                <w:rFonts w:ascii="Times New Roman" w:eastAsia="Times New Roman" w:hAnsi="Times New Roman"/>
                <w:sz w:val="24"/>
                <w:szCs w:val="24"/>
                <w:lang w:val="en-IE" w:eastAsia="en-IE"/>
              </w:rPr>
              <w:t xml:space="preserve"> </w:t>
            </w:r>
            <w:r w:rsidR="005A1ECC" w:rsidRPr="00B27372">
              <w:rPr>
                <w:rFonts w:ascii="Times New Roman" w:eastAsia="Times New Roman" w:hAnsi="Times New Roman"/>
                <w:sz w:val="24"/>
                <w:szCs w:val="24"/>
                <w:lang w:val="en-IE" w:eastAsia="en-IE"/>
              </w:rPr>
              <w:t>The Commission</w:t>
            </w:r>
            <w:r w:rsidR="68A38659" w:rsidRPr="00B27372">
              <w:rPr>
                <w:rFonts w:ascii="Times New Roman" w:eastAsia="Times New Roman" w:hAnsi="Times New Roman"/>
                <w:sz w:val="24"/>
                <w:szCs w:val="24"/>
                <w:lang w:val="en-IE" w:eastAsia="en-IE"/>
              </w:rPr>
              <w:t xml:space="preserve"> </w:t>
            </w:r>
            <w:r w:rsidR="00D15E57">
              <w:rPr>
                <w:rFonts w:ascii="Times New Roman" w:eastAsia="Times New Roman" w:hAnsi="Times New Roman"/>
                <w:sz w:val="24"/>
                <w:szCs w:val="24"/>
                <w:lang w:val="en-IE" w:eastAsia="en-IE"/>
              </w:rPr>
              <w:t xml:space="preserve">takes good note of the EESC position backing the call of the European Parliament for an EU Action Plan for Rare Diseases and </w:t>
            </w:r>
            <w:r w:rsidR="68A38659" w:rsidRPr="00B27372">
              <w:rPr>
                <w:rFonts w:ascii="Times New Roman" w:eastAsia="Times New Roman" w:hAnsi="Times New Roman"/>
                <w:sz w:val="24"/>
                <w:szCs w:val="24"/>
                <w:lang w:val="en-IE" w:eastAsia="en-IE"/>
              </w:rPr>
              <w:t xml:space="preserve">stresses its dedication to improve diagnostics and treatments for rare diseases patients for example through its </w:t>
            </w:r>
            <w:r w:rsidR="2C35056B" w:rsidRPr="00B27372">
              <w:rPr>
                <w:rFonts w:ascii="Times New Roman" w:eastAsia="Times New Roman" w:hAnsi="Times New Roman"/>
                <w:sz w:val="24"/>
                <w:szCs w:val="24"/>
                <w:lang w:val="en-IE" w:eastAsia="en-IE"/>
              </w:rPr>
              <w:t xml:space="preserve">successive </w:t>
            </w:r>
            <w:r w:rsidR="68A38659" w:rsidRPr="00B27372">
              <w:rPr>
                <w:rFonts w:ascii="Times New Roman" w:eastAsia="Times New Roman" w:hAnsi="Times New Roman"/>
                <w:sz w:val="24"/>
                <w:szCs w:val="24"/>
                <w:lang w:val="en-IE" w:eastAsia="en-IE"/>
              </w:rPr>
              <w:t>Research &amp; Innovation Framework Programme</w:t>
            </w:r>
            <w:r w:rsidR="7BF40C09" w:rsidRPr="00B27372">
              <w:rPr>
                <w:rFonts w:ascii="Times New Roman" w:eastAsia="Times New Roman" w:hAnsi="Times New Roman"/>
                <w:sz w:val="24"/>
                <w:szCs w:val="24"/>
                <w:lang w:val="en-IE" w:eastAsia="en-IE"/>
              </w:rPr>
              <w:t xml:space="preserve">s, which have funded over the last 25 years many collaborative research projects delivering new diagnostic tools </w:t>
            </w:r>
            <w:r w:rsidR="304DA0D2" w:rsidRPr="00B27372">
              <w:rPr>
                <w:rFonts w:ascii="Times New Roman" w:eastAsia="Times New Roman" w:hAnsi="Times New Roman"/>
                <w:sz w:val="24"/>
                <w:szCs w:val="24"/>
                <w:lang w:val="en-IE" w:eastAsia="en-IE"/>
              </w:rPr>
              <w:t>or therapeutic options for rare disease patients</w:t>
            </w:r>
            <w:r w:rsidR="7BF40C09" w:rsidRPr="00B27372">
              <w:rPr>
                <w:rFonts w:ascii="Times New Roman" w:eastAsia="Times New Roman" w:hAnsi="Times New Roman"/>
                <w:sz w:val="24"/>
                <w:szCs w:val="24"/>
                <w:lang w:val="en-IE" w:eastAsia="en-IE"/>
              </w:rPr>
              <w:t xml:space="preserve">. </w:t>
            </w:r>
            <w:r w:rsidR="6EFD1477" w:rsidRPr="00B27372">
              <w:rPr>
                <w:rFonts w:ascii="Times New Roman" w:eastAsia="Times New Roman" w:hAnsi="Times New Roman"/>
                <w:sz w:val="24"/>
                <w:szCs w:val="24"/>
                <w:lang w:val="en-IE" w:eastAsia="en-IE"/>
              </w:rPr>
              <w:t>Current</w:t>
            </w:r>
            <w:r w:rsidR="7BF40C09" w:rsidRPr="00B27372">
              <w:rPr>
                <w:rFonts w:ascii="Times New Roman" w:eastAsia="Times New Roman" w:hAnsi="Times New Roman"/>
                <w:sz w:val="24"/>
                <w:szCs w:val="24"/>
                <w:lang w:val="en-IE" w:eastAsia="en-IE"/>
              </w:rPr>
              <w:t>ly</w:t>
            </w:r>
            <w:r w:rsidR="68A38659" w:rsidRPr="00B27372">
              <w:rPr>
                <w:rFonts w:ascii="Times New Roman" w:eastAsia="Times New Roman" w:hAnsi="Times New Roman"/>
                <w:sz w:val="24"/>
                <w:szCs w:val="24"/>
                <w:lang w:val="en-IE" w:eastAsia="en-IE"/>
              </w:rPr>
              <w:t xml:space="preserve">, </w:t>
            </w:r>
            <w:r w:rsidR="3021E8A9" w:rsidRPr="00B27372">
              <w:rPr>
                <w:rFonts w:ascii="Times New Roman" w:eastAsia="Times New Roman" w:hAnsi="Times New Roman"/>
                <w:sz w:val="24"/>
                <w:szCs w:val="24"/>
                <w:lang w:val="en-IE" w:eastAsia="en-IE"/>
              </w:rPr>
              <w:t xml:space="preserve">many distinct projects tackle different groups of rare diseases (neuromuscular, eye, kidney disorders etc.) </w:t>
            </w:r>
            <w:r w:rsidR="00DF727F" w:rsidRPr="00B27372">
              <w:rPr>
                <w:rFonts w:ascii="Times New Roman" w:eastAsia="Times New Roman" w:hAnsi="Times New Roman"/>
                <w:sz w:val="24"/>
                <w:szCs w:val="24"/>
                <w:lang w:val="en-IE" w:eastAsia="en-IE"/>
              </w:rPr>
              <w:t>under Horizon Europe. T</w:t>
            </w:r>
            <w:r w:rsidR="3021E8A9" w:rsidRPr="00B27372">
              <w:rPr>
                <w:rFonts w:ascii="Times New Roman" w:eastAsia="Times New Roman" w:hAnsi="Times New Roman"/>
                <w:sz w:val="24"/>
                <w:szCs w:val="24"/>
                <w:lang w:val="en-IE" w:eastAsia="en-IE"/>
              </w:rPr>
              <w:t>he flags</w:t>
            </w:r>
            <w:r w:rsidR="5F42B470" w:rsidRPr="00B27372">
              <w:rPr>
                <w:rFonts w:ascii="Times New Roman" w:eastAsia="Times New Roman" w:hAnsi="Times New Roman"/>
                <w:sz w:val="24"/>
                <w:szCs w:val="24"/>
                <w:lang w:val="en-IE" w:eastAsia="en-IE"/>
              </w:rPr>
              <w:t>hip on rare diseases</w:t>
            </w:r>
            <w:r w:rsidR="695EBC47" w:rsidRPr="00B27372">
              <w:rPr>
                <w:rFonts w:ascii="Times New Roman" w:eastAsia="Times New Roman" w:hAnsi="Times New Roman"/>
                <w:sz w:val="24"/>
                <w:szCs w:val="24"/>
                <w:lang w:val="en-IE" w:eastAsia="en-IE"/>
              </w:rPr>
              <w:t>, namely</w:t>
            </w:r>
            <w:r w:rsidR="5F42B470" w:rsidRPr="00B27372">
              <w:rPr>
                <w:rFonts w:ascii="Times New Roman" w:eastAsia="Times New Roman" w:hAnsi="Times New Roman"/>
                <w:sz w:val="24"/>
                <w:szCs w:val="24"/>
                <w:lang w:val="en-IE" w:eastAsia="en-IE"/>
              </w:rPr>
              <w:t xml:space="preserve"> </w:t>
            </w:r>
            <w:r w:rsidR="68A38659" w:rsidRPr="00B27372">
              <w:rPr>
                <w:rFonts w:ascii="Times New Roman" w:eastAsia="Times New Roman" w:hAnsi="Times New Roman"/>
                <w:sz w:val="24"/>
                <w:szCs w:val="24"/>
                <w:lang w:val="en-IE" w:eastAsia="en-IE"/>
              </w:rPr>
              <w:t xml:space="preserve">the European </w:t>
            </w:r>
            <w:r w:rsidR="006019F3" w:rsidRPr="00B27372">
              <w:rPr>
                <w:rFonts w:ascii="Times New Roman" w:eastAsia="Times New Roman" w:hAnsi="Times New Roman"/>
                <w:sz w:val="24"/>
                <w:szCs w:val="24"/>
                <w:lang w:val="en-IE" w:eastAsia="en-IE"/>
              </w:rPr>
              <w:t>p</w:t>
            </w:r>
            <w:r w:rsidR="68A38659" w:rsidRPr="00B27372">
              <w:rPr>
                <w:rFonts w:ascii="Times New Roman" w:eastAsia="Times New Roman" w:hAnsi="Times New Roman"/>
                <w:sz w:val="24"/>
                <w:szCs w:val="24"/>
                <w:lang w:val="en-IE" w:eastAsia="en-IE"/>
              </w:rPr>
              <w:t xml:space="preserve">artnership on </w:t>
            </w:r>
            <w:r w:rsidR="006019F3" w:rsidRPr="00B27372">
              <w:rPr>
                <w:rFonts w:ascii="Times New Roman" w:eastAsia="Times New Roman" w:hAnsi="Times New Roman"/>
                <w:sz w:val="24"/>
                <w:szCs w:val="24"/>
                <w:lang w:val="en-IE" w:eastAsia="en-IE"/>
              </w:rPr>
              <w:t>r</w:t>
            </w:r>
            <w:r w:rsidR="68A38659" w:rsidRPr="00B27372">
              <w:rPr>
                <w:rFonts w:ascii="Times New Roman" w:eastAsia="Times New Roman" w:hAnsi="Times New Roman"/>
                <w:sz w:val="24"/>
                <w:szCs w:val="24"/>
                <w:lang w:val="en-IE" w:eastAsia="en-IE"/>
              </w:rPr>
              <w:t xml:space="preserve">are </w:t>
            </w:r>
            <w:r w:rsidR="006019F3" w:rsidRPr="00B27372">
              <w:rPr>
                <w:rFonts w:ascii="Times New Roman" w:eastAsia="Times New Roman" w:hAnsi="Times New Roman"/>
                <w:sz w:val="24"/>
                <w:szCs w:val="24"/>
                <w:lang w:val="en-IE" w:eastAsia="en-IE"/>
              </w:rPr>
              <w:t>d</w:t>
            </w:r>
            <w:r w:rsidR="68A38659" w:rsidRPr="00B27372">
              <w:rPr>
                <w:rFonts w:ascii="Times New Roman" w:eastAsia="Times New Roman" w:hAnsi="Times New Roman"/>
                <w:sz w:val="24"/>
                <w:szCs w:val="24"/>
                <w:lang w:val="en-IE" w:eastAsia="en-IE"/>
              </w:rPr>
              <w:t>iseases (European Rare Diseases Research Alliance</w:t>
            </w:r>
            <w:r w:rsidR="00B44045" w:rsidRPr="00D774AA">
              <w:rPr>
                <w:rFonts w:ascii="Times New Roman" w:hAnsi="Times New Roman"/>
                <w:sz w:val="24"/>
                <w:szCs w:val="24"/>
                <w:vertAlign w:val="superscript"/>
              </w:rPr>
              <w:footnoteReference w:id="8"/>
            </w:r>
            <w:r w:rsidR="00F04AFE" w:rsidRPr="00B27372">
              <w:rPr>
                <w:rFonts w:ascii="Times New Roman" w:eastAsia="Times New Roman" w:hAnsi="Times New Roman"/>
                <w:sz w:val="24"/>
                <w:szCs w:val="24"/>
                <w:lang w:val="en-IE" w:eastAsia="en-IE"/>
              </w:rPr>
              <w:t xml:space="preserve"> </w:t>
            </w:r>
            <w:r w:rsidR="007B0F71" w:rsidRPr="00B27372">
              <w:rPr>
                <w:rFonts w:ascii="Times New Roman" w:eastAsia="Times New Roman" w:hAnsi="Times New Roman"/>
                <w:sz w:val="24"/>
                <w:szCs w:val="24"/>
                <w:lang w:val="en-IE" w:eastAsia="en-IE"/>
              </w:rPr>
              <w:t xml:space="preserve">– </w:t>
            </w:r>
            <w:r w:rsidR="00F04AFE" w:rsidRPr="00B27372">
              <w:rPr>
                <w:rFonts w:ascii="Times New Roman" w:eastAsia="Times New Roman" w:hAnsi="Times New Roman"/>
                <w:sz w:val="24"/>
                <w:szCs w:val="24"/>
                <w:lang w:val="en-IE" w:eastAsia="en-IE"/>
              </w:rPr>
              <w:t>ERDERA</w:t>
            </w:r>
            <w:r w:rsidR="68A38659" w:rsidRPr="00B27372">
              <w:rPr>
                <w:rFonts w:ascii="Times New Roman" w:eastAsia="Times New Roman" w:hAnsi="Times New Roman"/>
                <w:sz w:val="24"/>
                <w:szCs w:val="24"/>
                <w:lang w:val="en-IE" w:eastAsia="en-IE"/>
              </w:rPr>
              <w:t xml:space="preserve">), is consolidating the rare diseases </w:t>
            </w:r>
            <w:proofErr w:type="gramStart"/>
            <w:r w:rsidR="68A38659" w:rsidRPr="00B27372">
              <w:rPr>
                <w:rFonts w:ascii="Times New Roman" w:eastAsia="Times New Roman" w:hAnsi="Times New Roman"/>
                <w:sz w:val="24"/>
                <w:szCs w:val="24"/>
                <w:lang w:val="en-IE" w:eastAsia="en-IE"/>
              </w:rPr>
              <w:t>ecosystem</w:t>
            </w:r>
            <w:r w:rsidR="4F15A152" w:rsidRPr="00B27372">
              <w:rPr>
                <w:rFonts w:ascii="Times New Roman" w:eastAsia="Times New Roman" w:hAnsi="Times New Roman"/>
                <w:sz w:val="24"/>
                <w:szCs w:val="24"/>
                <w:lang w:val="en-IE" w:eastAsia="en-IE"/>
              </w:rPr>
              <w:t xml:space="preserve"> as a whole</w:t>
            </w:r>
            <w:r w:rsidR="68A38659" w:rsidRPr="00B27372">
              <w:rPr>
                <w:rFonts w:ascii="Times New Roman" w:eastAsia="Times New Roman" w:hAnsi="Times New Roman"/>
                <w:sz w:val="24"/>
                <w:szCs w:val="24"/>
                <w:lang w:val="en-IE" w:eastAsia="en-IE"/>
              </w:rPr>
              <w:t>, including</w:t>
            </w:r>
            <w:proofErr w:type="gramEnd"/>
            <w:r w:rsidR="68A38659" w:rsidRPr="00B27372">
              <w:rPr>
                <w:rFonts w:ascii="Times New Roman" w:eastAsia="Times New Roman" w:hAnsi="Times New Roman"/>
                <w:sz w:val="24"/>
                <w:szCs w:val="24"/>
                <w:lang w:val="en-IE" w:eastAsia="en-IE"/>
              </w:rPr>
              <w:t xml:space="preserve"> clinical research implemented with European Reference Networks</w:t>
            </w:r>
            <w:r w:rsidR="12255DCB" w:rsidRPr="00B27372">
              <w:rPr>
                <w:rFonts w:ascii="Times New Roman" w:eastAsia="Times New Roman" w:hAnsi="Times New Roman"/>
                <w:sz w:val="24"/>
                <w:szCs w:val="24"/>
                <w:lang w:val="en-IE" w:eastAsia="en-IE"/>
              </w:rPr>
              <w:t xml:space="preserve"> (ERNs)</w:t>
            </w:r>
            <w:r w:rsidR="68A38659" w:rsidRPr="00B27372">
              <w:rPr>
                <w:rFonts w:ascii="Times New Roman" w:eastAsia="Times New Roman" w:hAnsi="Times New Roman"/>
                <w:sz w:val="24"/>
                <w:szCs w:val="24"/>
                <w:lang w:val="en-IE" w:eastAsia="en-IE"/>
              </w:rPr>
              <w:t xml:space="preserve">. </w:t>
            </w:r>
            <w:r w:rsidR="29951B10" w:rsidRPr="00B27372">
              <w:rPr>
                <w:rFonts w:ascii="Times New Roman" w:eastAsia="Times New Roman" w:hAnsi="Times New Roman"/>
                <w:sz w:val="24"/>
                <w:szCs w:val="24"/>
                <w:lang w:val="en-IE" w:eastAsia="en-IE"/>
              </w:rPr>
              <w:t>ERDERA</w:t>
            </w:r>
            <w:r w:rsidR="0071777C" w:rsidRPr="00B27372">
              <w:rPr>
                <w:rFonts w:ascii="Times New Roman" w:eastAsia="Times New Roman" w:hAnsi="Times New Roman"/>
                <w:sz w:val="24"/>
                <w:szCs w:val="24"/>
                <w:lang w:val="en-IE" w:eastAsia="en-IE"/>
              </w:rPr>
              <w:t>, a public-public co-funded partnership also involving patients, clinicians and industry,</w:t>
            </w:r>
            <w:r w:rsidR="29951B10" w:rsidRPr="00B27372">
              <w:rPr>
                <w:rFonts w:ascii="Times New Roman" w:eastAsia="Times New Roman" w:hAnsi="Times New Roman"/>
                <w:sz w:val="24"/>
                <w:szCs w:val="24"/>
                <w:lang w:val="en-IE" w:eastAsia="en-IE"/>
              </w:rPr>
              <w:t xml:space="preserve"> is implementing for example diagnostic research, regulatory support, data </w:t>
            </w:r>
            <w:r w:rsidR="3074C331" w:rsidRPr="00B27372">
              <w:rPr>
                <w:rFonts w:ascii="Times New Roman" w:eastAsia="Times New Roman" w:hAnsi="Times New Roman"/>
                <w:sz w:val="24"/>
                <w:szCs w:val="24"/>
                <w:lang w:val="en-IE" w:eastAsia="en-IE"/>
              </w:rPr>
              <w:t xml:space="preserve">(standards) </w:t>
            </w:r>
            <w:r w:rsidR="29951B10" w:rsidRPr="00B27372">
              <w:rPr>
                <w:rFonts w:ascii="Times New Roman" w:eastAsia="Times New Roman" w:hAnsi="Times New Roman"/>
                <w:sz w:val="24"/>
                <w:szCs w:val="24"/>
                <w:lang w:val="en-IE" w:eastAsia="en-IE"/>
              </w:rPr>
              <w:t>alig</w:t>
            </w:r>
            <w:r w:rsidR="323356AA" w:rsidRPr="00B27372">
              <w:rPr>
                <w:rFonts w:ascii="Times New Roman" w:eastAsia="Times New Roman" w:hAnsi="Times New Roman"/>
                <w:sz w:val="24"/>
                <w:szCs w:val="24"/>
                <w:lang w:val="en-IE" w:eastAsia="en-IE"/>
              </w:rPr>
              <w:t>nment work</w:t>
            </w:r>
            <w:r w:rsidR="31346759" w:rsidRPr="00B27372">
              <w:rPr>
                <w:rFonts w:ascii="Times New Roman" w:eastAsia="Times New Roman" w:hAnsi="Times New Roman"/>
                <w:sz w:val="24"/>
                <w:szCs w:val="24"/>
                <w:lang w:val="en-IE" w:eastAsia="en-IE"/>
              </w:rPr>
              <w:t xml:space="preserve"> (where </w:t>
            </w:r>
            <w:proofErr w:type="spellStart"/>
            <w:r w:rsidR="31346759" w:rsidRPr="00B27372">
              <w:rPr>
                <w:rFonts w:ascii="Times New Roman" w:eastAsia="Times New Roman" w:hAnsi="Times New Roman"/>
                <w:sz w:val="24"/>
                <w:szCs w:val="24"/>
                <w:lang w:val="en-IE" w:eastAsia="en-IE"/>
              </w:rPr>
              <w:t>Orphanet</w:t>
            </w:r>
            <w:proofErr w:type="spellEnd"/>
            <w:r w:rsidR="31346759" w:rsidRPr="00B27372">
              <w:rPr>
                <w:rFonts w:ascii="Times New Roman" w:eastAsia="Times New Roman" w:hAnsi="Times New Roman"/>
                <w:sz w:val="24"/>
                <w:szCs w:val="24"/>
                <w:lang w:val="en-IE" w:eastAsia="en-IE"/>
              </w:rPr>
              <w:t xml:space="preserve"> is a key partner)</w:t>
            </w:r>
            <w:r w:rsidR="323356AA" w:rsidRPr="00B27372">
              <w:rPr>
                <w:rFonts w:ascii="Times New Roman" w:eastAsia="Times New Roman" w:hAnsi="Times New Roman"/>
                <w:sz w:val="24"/>
                <w:szCs w:val="24"/>
                <w:lang w:val="en-IE" w:eastAsia="en-IE"/>
              </w:rPr>
              <w:t xml:space="preserve">, as well as </w:t>
            </w:r>
            <w:r w:rsidR="0029327E" w:rsidRPr="00B27372">
              <w:rPr>
                <w:rFonts w:ascii="Times New Roman" w:eastAsia="Times New Roman" w:hAnsi="Times New Roman"/>
                <w:sz w:val="24"/>
                <w:szCs w:val="24"/>
                <w:lang w:val="en-IE" w:eastAsia="en-IE"/>
              </w:rPr>
              <w:t>advanced therapy medicinal product (</w:t>
            </w:r>
            <w:r w:rsidR="323356AA" w:rsidRPr="00B27372">
              <w:rPr>
                <w:rFonts w:ascii="Times New Roman" w:eastAsia="Times New Roman" w:hAnsi="Times New Roman"/>
                <w:sz w:val="24"/>
                <w:szCs w:val="24"/>
                <w:lang w:val="en-IE" w:eastAsia="en-IE"/>
              </w:rPr>
              <w:t>ATMP</w:t>
            </w:r>
            <w:r w:rsidR="0029327E" w:rsidRPr="00B27372">
              <w:rPr>
                <w:rFonts w:ascii="Times New Roman" w:eastAsia="Times New Roman" w:hAnsi="Times New Roman"/>
                <w:sz w:val="24"/>
                <w:szCs w:val="24"/>
                <w:lang w:val="en-IE" w:eastAsia="en-IE"/>
              </w:rPr>
              <w:t>)</w:t>
            </w:r>
            <w:r w:rsidR="323356AA" w:rsidRPr="00B27372">
              <w:rPr>
                <w:rFonts w:ascii="Times New Roman" w:eastAsia="Times New Roman" w:hAnsi="Times New Roman"/>
                <w:sz w:val="24"/>
                <w:szCs w:val="24"/>
                <w:lang w:val="en-IE" w:eastAsia="en-IE"/>
              </w:rPr>
              <w:t xml:space="preserve"> </w:t>
            </w:r>
            <w:r w:rsidR="1B61F27E" w:rsidRPr="00B27372">
              <w:rPr>
                <w:rFonts w:ascii="Times New Roman" w:eastAsia="Times New Roman" w:hAnsi="Times New Roman"/>
                <w:sz w:val="24"/>
                <w:szCs w:val="24"/>
                <w:lang w:val="en-IE" w:eastAsia="en-IE"/>
              </w:rPr>
              <w:t xml:space="preserve">support for rare </w:t>
            </w:r>
            <w:proofErr w:type="gramStart"/>
            <w:r w:rsidR="1B61F27E" w:rsidRPr="00B27372">
              <w:rPr>
                <w:rFonts w:ascii="Times New Roman" w:eastAsia="Times New Roman" w:hAnsi="Times New Roman"/>
                <w:sz w:val="24"/>
                <w:szCs w:val="24"/>
                <w:lang w:val="en-IE" w:eastAsia="en-IE"/>
              </w:rPr>
              <w:t>diseases, and</w:t>
            </w:r>
            <w:proofErr w:type="gramEnd"/>
            <w:r w:rsidR="1B61F27E" w:rsidRPr="00B27372">
              <w:rPr>
                <w:rFonts w:ascii="Times New Roman" w:eastAsia="Times New Roman" w:hAnsi="Times New Roman"/>
                <w:sz w:val="24"/>
                <w:szCs w:val="24"/>
                <w:lang w:val="en-IE" w:eastAsia="en-IE"/>
              </w:rPr>
              <w:t xml:space="preserve"> </w:t>
            </w:r>
            <w:r w:rsidR="35759C68" w:rsidRPr="00B27372">
              <w:rPr>
                <w:rFonts w:ascii="Times New Roman" w:eastAsia="Times New Roman" w:hAnsi="Times New Roman"/>
                <w:sz w:val="24"/>
                <w:szCs w:val="24"/>
                <w:lang w:val="en-IE" w:eastAsia="en-IE"/>
              </w:rPr>
              <w:t xml:space="preserve">is </w:t>
            </w:r>
            <w:r w:rsidR="1B61F27E" w:rsidRPr="00B27372">
              <w:rPr>
                <w:rFonts w:ascii="Times New Roman" w:eastAsia="Times New Roman" w:hAnsi="Times New Roman"/>
                <w:sz w:val="24"/>
                <w:szCs w:val="24"/>
                <w:lang w:val="en-IE" w:eastAsia="en-IE"/>
              </w:rPr>
              <w:t>preparing an</w:t>
            </w:r>
            <w:r w:rsidR="68A38659" w:rsidRPr="00B27372">
              <w:rPr>
                <w:rFonts w:ascii="Times New Roman" w:eastAsia="Times New Roman" w:hAnsi="Times New Roman"/>
                <w:sz w:val="24"/>
                <w:szCs w:val="24"/>
                <w:lang w:val="en-IE" w:eastAsia="en-IE"/>
              </w:rPr>
              <w:t xml:space="preserve"> </w:t>
            </w:r>
            <w:r w:rsidR="1B61F27E" w:rsidRPr="00B27372">
              <w:rPr>
                <w:rFonts w:ascii="Times New Roman" w:eastAsia="Times New Roman" w:hAnsi="Times New Roman"/>
                <w:sz w:val="24"/>
                <w:szCs w:val="24"/>
                <w:lang w:val="en-IE" w:eastAsia="en-IE"/>
              </w:rPr>
              <w:t>innovative clinical trial call.</w:t>
            </w:r>
            <w:r w:rsidR="68A38659" w:rsidRPr="00B27372">
              <w:rPr>
                <w:rFonts w:ascii="Times New Roman" w:eastAsia="Times New Roman" w:hAnsi="Times New Roman"/>
                <w:sz w:val="24"/>
                <w:szCs w:val="24"/>
                <w:lang w:val="en-IE" w:eastAsia="en-IE"/>
              </w:rPr>
              <w:t xml:space="preserve"> ERDERA has a structured mechanism in place to involve various types of stakeholders </w:t>
            </w:r>
            <w:r w:rsidR="2D230ED8" w:rsidRPr="00B27372">
              <w:rPr>
                <w:rFonts w:ascii="Times New Roman" w:eastAsia="Times New Roman" w:hAnsi="Times New Roman"/>
                <w:sz w:val="24"/>
                <w:szCs w:val="24"/>
                <w:lang w:val="en-IE" w:eastAsia="en-IE"/>
              </w:rPr>
              <w:t>(public funders, researchers, clinicians, patient organisations, industry and SMEs)</w:t>
            </w:r>
            <w:r w:rsidR="68A38659" w:rsidRPr="00B27372">
              <w:rPr>
                <w:rFonts w:ascii="Times New Roman" w:eastAsia="Times New Roman" w:hAnsi="Times New Roman"/>
                <w:sz w:val="24"/>
                <w:szCs w:val="24"/>
                <w:lang w:val="en-IE" w:eastAsia="en-IE"/>
              </w:rPr>
              <w:t xml:space="preserve">, </w:t>
            </w:r>
            <w:r w:rsidR="00F46576" w:rsidRPr="00B27372">
              <w:rPr>
                <w:rFonts w:ascii="Times New Roman" w:eastAsia="Times New Roman" w:hAnsi="Times New Roman"/>
                <w:sz w:val="24"/>
                <w:szCs w:val="24"/>
                <w:lang w:val="en-IE" w:eastAsia="en-IE"/>
              </w:rPr>
              <w:t xml:space="preserve">in line with </w:t>
            </w:r>
            <w:r w:rsidR="68A38659" w:rsidRPr="00B27372">
              <w:rPr>
                <w:rFonts w:ascii="Times New Roman" w:eastAsia="Times New Roman" w:hAnsi="Times New Roman"/>
                <w:sz w:val="24"/>
                <w:szCs w:val="24"/>
                <w:lang w:val="en-IE" w:eastAsia="en-IE"/>
              </w:rPr>
              <w:t xml:space="preserve">the EESC </w:t>
            </w:r>
            <w:r w:rsidR="31E7963D" w:rsidRPr="00B27372">
              <w:rPr>
                <w:rFonts w:ascii="Times New Roman" w:eastAsia="Times New Roman" w:hAnsi="Times New Roman"/>
                <w:sz w:val="24"/>
                <w:szCs w:val="24"/>
                <w:lang w:val="en-IE" w:eastAsia="en-IE"/>
              </w:rPr>
              <w:t>opinion</w:t>
            </w:r>
            <w:r w:rsidR="68A38659" w:rsidRPr="00B27372">
              <w:rPr>
                <w:rFonts w:ascii="Times New Roman" w:eastAsia="Times New Roman" w:hAnsi="Times New Roman"/>
                <w:sz w:val="24"/>
                <w:szCs w:val="24"/>
                <w:lang w:val="en-IE" w:eastAsia="en-IE"/>
              </w:rPr>
              <w:t>.</w:t>
            </w:r>
            <w:r w:rsidR="0B0225E7" w:rsidRPr="00B27372">
              <w:rPr>
                <w:rFonts w:ascii="Times New Roman" w:eastAsia="Times New Roman" w:hAnsi="Times New Roman"/>
                <w:sz w:val="24"/>
                <w:szCs w:val="24"/>
                <w:lang w:val="en-IE" w:eastAsia="en-IE"/>
              </w:rPr>
              <w:t xml:space="preserve"> In the field of research &amp; innovation for rare diseases, ERDERA</w:t>
            </w:r>
            <w:r w:rsidR="5527159B" w:rsidRPr="00B27372">
              <w:rPr>
                <w:rFonts w:ascii="Times New Roman" w:eastAsia="Times New Roman" w:hAnsi="Times New Roman"/>
                <w:sz w:val="24"/>
                <w:szCs w:val="24"/>
                <w:lang w:val="en-IE" w:eastAsia="en-IE"/>
              </w:rPr>
              <w:t xml:space="preserve"> </w:t>
            </w:r>
            <w:r w:rsidR="0B0225E7" w:rsidRPr="00B27372">
              <w:rPr>
                <w:rFonts w:ascii="Times New Roman" w:eastAsia="Times New Roman" w:hAnsi="Times New Roman"/>
                <w:sz w:val="24"/>
                <w:szCs w:val="24"/>
                <w:lang w:val="en-IE" w:eastAsia="en-IE"/>
              </w:rPr>
              <w:t>is the central backbone of a large ecosystem</w:t>
            </w:r>
            <w:r w:rsidR="019CCC47" w:rsidRPr="00B27372">
              <w:rPr>
                <w:rFonts w:ascii="Times New Roman" w:eastAsia="Times New Roman" w:hAnsi="Times New Roman"/>
                <w:sz w:val="24"/>
                <w:szCs w:val="24"/>
                <w:lang w:val="en-IE" w:eastAsia="en-IE"/>
              </w:rPr>
              <w:t>, operating in synergy</w:t>
            </w:r>
            <w:r w:rsidR="7B4700DC" w:rsidRPr="00B27372">
              <w:rPr>
                <w:rFonts w:ascii="Times New Roman" w:eastAsia="Times New Roman" w:hAnsi="Times New Roman"/>
                <w:sz w:val="24"/>
                <w:szCs w:val="24"/>
                <w:lang w:val="en-IE" w:eastAsia="en-IE"/>
              </w:rPr>
              <w:t xml:space="preserve"> with other Health Partnerships </w:t>
            </w:r>
            <w:r w:rsidR="1E8C6421" w:rsidRPr="00B27372">
              <w:rPr>
                <w:rFonts w:ascii="Times New Roman" w:eastAsia="Times New Roman" w:hAnsi="Times New Roman"/>
                <w:sz w:val="24"/>
                <w:szCs w:val="24"/>
                <w:lang w:val="en-IE" w:eastAsia="en-IE"/>
              </w:rPr>
              <w:t xml:space="preserve">under Horizon Europe </w:t>
            </w:r>
            <w:r w:rsidR="7B4700DC" w:rsidRPr="00B27372">
              <w:rPr>
                <w:rFonts w:ascii="Times New Roman" w:eastAsia="Times New Roman" w:hAnsi="Times New Roman"/>
                <w:sz w:val="24"/>
                <w:szCs w:val="24"/>
                <w:lang w:val="en-IE" w:eastAsia="en-IE"/>
              </w:rPr>
              <w:t xml:space="preserve">and relevant projects </w:t>
            </w:r>
            <w:r w:rsidR="777C4754" w:rsidRPr="00B27372">
              <w:rPr>
                <w:rFonts w:ascii="Times New Roman" w:eastAsia="Times New Roman" w:hAnsi="Times New Roman"/>
                <w:sz w:val="24"/>
                <w:szCs w:val="24"/>
                <w:lang w:val="en-IE" w:eastAsia="en-IE"/>
              </w:rPr>
              <w:t xml:space="preserve">on rare diseases </w:t>
            </w:r>
            <w:r w:rsidR="7B4700DC" w:rsidRPr="00B27372">
              <w:rPr>
                <w:rFonts w:ascii="Times New Roman" w:eastAsia="Times New Roman" w:hAnsi="Times New Roman"/>
                <w:sz w:val="24"/>
                <w:szCs w:val="24"/>
                <w:lang w:val="en-IE" w:eastAsia="en-IE"/>
              </w:rPr>
              <w:t xml:space="preserve">funded </w:t>
            </w:r>
            <w:r w:rsidR="00DF727F" w:rsidRPr="00B27372">
              <w:rPr>
                <w:rFonts w:ascii="Times New Roman" w:eastAsia="Times New Roman" w:hAnsi="Times New Roman"/>
                <w:sz w:val="24"/>
                <w:szCs w:val="24"/>
                <w:lang w:val="en-IE" w:eastAsia="en-IE"/>
              </w:rPr>
              <w:t xml:space="preserve">by </w:t>
            </w:r>
            <w:r w:rsidR="7B4700DC" w:rsidRPr="00B27372">
              <w:rPr>
                <w:rFonts w:ascii="Times New Roman" w:eastAsia="Times New Roman" w:hAnsi="Times New Roman"/>
                <w:sz w:val="24"/>
                <w:szCs w:val="24"/>
                <w:lang w:val="en-IE" w:eastAsia="en-IE"/>
              </w:rPr>
              <w:t>the public-private Joint Undertaking Innovative Health Initiative (Conect4Children</w:t>
            </w:r>
            <w:r w:rsidR="00F578C3" w:rsidRPr="00B27372">
              <w:rPr>
                <w:rStyle w:val="FootnoteReference"/>
                <w:rFonts w:ascii="Times New Roman" w:eastAsia="Times New Roman" w:hAnsi="Times New Roman"/>
                <w:sz w:val="24"/>
                <w:szCs w:val="24"/>
                <w:lang w:val="en-IE" w:eastAsia="en-IE"/>
              </w:rPr>
              <w:footnoteReference w:id="9"/>
            </w:r>
            <w:r w:rsidR="7B4700DC" w:rsidRPr="00B27372">
              <w:rPr>
                <w:rFonts w:ascii="Times New Roman" w:eastAsia="Times New Roman" w:hAnsi="Times New Roman"/>
                <w:sz w:val="24"/>
                <w:szCs w:val="24"/>
                <w:lang w:val="en-IE" w:eastAsia="en-IE"/>
              </w:rPr>
              <w:t xml:space="preserve">, </w:t>
            </w:r>
            <w:r w:rsidR="00F578C3" w:rsidRPr="00B27372">
              <w:rPr>
                <w:rFonts w:ascii="Times New Roman" w:eastAsia="Times New Roman" w:hAnsi="Times New Roman"/>
                <w:sz w:val="24"/>
                <w:szCs w:val="24"/>
                <w:lang w:val="en-IE" w:eastAsia="en-IE"/>
              </w:rPr>
              <w:t>Screen4Care</w:t>
            </w:r>
            <w:r w:rsidR="00F578C3" w:rsidRPr="00B27372">
              <w:rPr>
                <w:rStyle w:val="FootnoteReference"/>
                <w:rFonts w:ascii="Times New Roman" w:eastAsia="Times New Roman" w:hAnsi="Times New Roman"/>
                <w:sz w:val="24"/>
                <w:szCs w:val="24"/>
                <w:lang w:val="en-IE" w:eastAsia="en-IE"/>
              </w:rPr>
              <w:footnoteReference w:id="10"/>
            </w:r>
            <w:r w:rsidR="00F578C3" w:rsidRPr="00B27372">
              <w:rPr>
                <w:rFonts w:ascii="Times New Roman" w:eastAsia="Times New Roman" w:hAnsi="Times New Roman"/>
                <w:sz w:val="24"/>
                <w:szCs w:val="24"/>
                <w:lang w:val="en-IE" w:eastAsia="en-IE"/>
              </w:rPr>
              <w:t xml:space="preserve">, </w:t>
            </w:r>
            <w:proofErr w:type="spellStart"/>
            <w:r w:rsidR="7B4700DC" w:rsidRPr="00B27372">
              <w:rPr>
                <w:rFonts w:ascii="Times New Roman" w:eastAsia="Times New Roman" w:hAnsi="Times New Roman"/>
                <w:sz w:val="24"/>
                <w:szCs w:val="24"/>
                <w:lang w:val="en-IE" w:eastAsia="en-IE"/>
              </w:rPr>
              <w:t>RealiseD</w:t>
            </w:r>
            <w:proofErr w:type="spellEnd"/>
            <w:r w:rsidR="00F578C3" w:rsidRPr="00B27372">
              <w:rPr>
                <w:rStyle w:val="FootnoteReference"/>
                <w:rFonts w:ascii="Times New Roman" w:eastAsia="Times New Roman" w:hAnsi="Times New Roman"/>
                <w:sz w:val="24"/>
                <w:szCs w:val="24"/>
                <w:lang w:val="en-IE" w:eastAsia="en-IE"/>
              </w:rPr>
              <w:footnoteReference w:id="11"/>
            </w:r>
            <w:r w:rsidR="7B4700DC" w:rsidRPr="00B27372">
              <w:rPr>
                <w:rFonts w:ascii="Times New Roman" w:eastAsia="Times New Roman" w:hAnsi="Times New Roman"/>
                <w:sz w:val="24"/>
                <w:szCs w:val="24"/>
                <w:lang w:val="en-IE" w:eastAsia="en-IE"/>
              </w:rPr>
              <w:t>).</w:t>
            </w:r>
          </w:p>
          <w:p w14:paraId="603C358E" w14:textId="20D95950" w:rsidR="00243D67" w:rsidRPr="00B27372" w:rsidRDefault="75869F16" w:rsidP="00B27372">
            <w:pPr>
              <w:widowControl w:val="0"/>
              <w:spacing w:before="120" w:after="120"/>
              <w:jc w:val="both"/>
              <w:rPr>
                <w:rFonts w:ascii="Times New Roman" w:eastAsia="Times New Roman" w:hAnsi="Times New Roman"/>
                <w:sz w:val="24"/>
                <w:szCs w:val="24"/>
                <w:lang w:val="en-IE" w:eastAsia="en-IE"/>
              </w:rPr>
            </w:pPr>
            <w:r w:rsidRPr="00B27372">
              <w:rPr>
                <w:rFonts w:ascii="Times New Roman" w:eastAsia="Times New Roman" w:hAnsi="Times New Roman"/>
                <w:sz w:val="24"/>
                <w:szCs w:val="24"/>
                <w:lang w:val="en-IE" w:eastAsia="en-IE"/>
              </w:rPr>
              <w:t xml:space="preserve">The Commission notes </w:t>
            </w:r>
            <w:r w:rsidR="00014A26" w:rsidRPr="00B27372">
              <w:rPr>
                <w:rFonts w:ascii="Times New Roman" w:eastAsia="Times New Roman" w:hAnsi="Times New Roman"/>
                <w:sz w:val="24"/>
                <w:szCs w:val="24"/>
                <w:lang w:val="en-IE" w:eastAsia="en-IE"/>
              </w:rPr>
              <w:t xml:space="preserve">the </w:t>
            </w:r>
            <w:r w:rsidRPr="00B27372">
              <w:rPr>
                <w:rFonts w:ascii="Times New Roman" w:eastAsia="Times New Roman" w:hAnsi="Times New Roman"/>
                <w:sz w:val="24"/>
                <w:szCs w:val="24"/>
                <w:lang w:val="en-IE" w:eastAsia="en-IE"/>
              </w:rPr>
              <w:t xml:space="preserve">EESC’s estimation of </w:t>
            </w:r>
            <w:r w:rsidR="00CF3CD6">
              <w:rPr>
                <w:rFonts w:ascii="Times New Roman" w:eastAsia="Times New Roman" w:hAnsi="Times New Roman"/>
                <w:sz w:val="24"/>
                <w:szCs w:val="24"/>
                <w:lang w:val="en-IE" w:eastAsia="en-IE"/>
              </w:rPr>
              <w:t>‘</w:t>
            </w:r>
            <w:r w:rsidRPr="00B27372">
              <w:rPr>
                <w:rFonts w:ascii="Times New Roman" w:eastAsia="Times New Roman" w:hAnsi="Times New Roman"/>
                <w:sz w:val="24"/>
                <w:szCs w:val="24"/>
                <w:lang w:val="en-IE" w:eastAsia="en-IE"/>
              </w:rPr>
              <w:t>6-8000 thousand distinct disorders</w:t>
            </w:r>
            <w:r w:rsidR="00CF3CD6">
              <w:rPr>
                <w:rFonts w:ascii="Times New Roman" w:eastAsia="Times New Roman" w:hAnsi="Times New Roman"/>
                <w:sz w:val="24"/>
                <w:szCs w:val="24"/>
                <w:lang w:val="en-IE" w:eastAsia="en-IE"/>
              </w:rPr>
              <w:t>’</w:t>
            </w:r>
            <w:r w:rsidRPr="00B27372">
              <w:rPr>
                <w:rFonts w:ascii="Times New Roman" w:eastAsia="Times New Roman" w:hAnsi="Times New Roman"/>
                <w:sz w:val="24"/>
                <w:szCs w:val="24"/>
                <w:lang w:val="en-IE" w:eastAsia="en-IE"/>
              </w:rPr>
              <w:t xml:space="preserve"> (paragraph 3.1.1.</w:t>
            </w:r>
            <w:proofErr w:type="gramStart"/>
            <w:r w:rsidRPr="00B27372">
              <w:rPr>
                <w:rFonts w:ascii="Times New Roman" w:eastAsia="Times New Roman" w:hAnsi="Times New Roman"/>
                <w:sz w:val="24"/>
                <w:szCs w:val="24"/>
                <w:lang w:val="en-IE" w:eastAsia="en-IE"/>
              </w:rPr>
              <w:t>)</w:t>
            </w:r>
            <w:r w:rsidR="00A931FF" w:rsidRPr="00B27372">
              <w:rPr>
                <w:rFonts w:ascii="Times New Roman" w:eastAsia="Times New Roman" w:hAnsi="Times New Roman"/>
                <w:sz w:val="24"/>
                <w:szCs w:val="24"/>
                <w:lang w:val="en-IE" w:eastAsia="en-IE"/>
              </w:rPr>
              <w:t>,</w:t>
            </w:r>
            <w:r w:rsidR="00A81A00">
              <w:rPr>
                <w:rFonts w:ascii="Times New Roman" w:eastAsia="Times New Roman" w:hAnsi="Times New Roman"/>
                <w:sz w:val="24"/>
                <w:szCs w:val="24"/>
                <w:lang w:val="en-IE" w:eastAsia="en-IE"/>
              </w:rPr>
              <w:t xml:space="preserve"> and</w:t>
            </w:r>
            <w:proofErr w:type="gramEnd"/>
            <w:r w:rsidR="00A81A00">
              <w:rPr>
                <w:rFonts w:ascii="Times New Roman" w:eastAsia="Times New Roman" w:hAnsi="Times New Roman"/>
                <w:sz w:val="24"/>
                <w:szCs w:val="24"/>
                <w:lang w:val="en-IE" w:eastAsia="en-IE"/>
              </w:rPr>
              <w:t xml:space="preserve"> would like though to correct this factual mistake:</w:t>
            </w:r>
            <w:r w:rsidRPr="00B27372">
              <w:rPr>
                <w:rFonts w:ascii="Times New Roman" w:eastAsia="Times New Roman" w:hAnsi="Times New Roman"/>
                <w:sz w:val="24"/>
                <w:szCs w:val="24"/>
                <w:lang w:val="en-IE" w:eastAsia="en-IE"/>
              </w:rPr>
              <w:t xml:space="preserve"> </w:t>
            </w:r>
            <w:r w:rsidR="00A81A00">
              <w:rPr>
                <w:rFonts w:ascii="Times New Roman" w:eastAsia="Times New Roman" w:hAnsi="Times New Roman"/>
                <w:sz w:val="24"/>
                <w:szCs w:val="24"/>
                <w:lang w:val="en-IE" w:eastAsia="en-IE"/>
              </w:rPr>
              <w:t>between</w:t>
            </w:r>
            <w:r w:rsidRPr="00B27372">
              <w:rPr>
                <w:rFonts w:ascii="Times New Roman" w:eastAsia="Times New Roman" w:hAnsi="Times New Roman"/>
                <w:sz w:val="24"/>
                <w:szCs w:val="24"/>
                <w:lang w:val="en-IE" w:eastAsia="en-IE"/>
              </w:rPr>
              <w:t xml:space="preserve"> 6 000 </w:t>
            </w:r>
            <w:r w:rsidR="00A81A00">
              <w:rPr>
                <w:rFonts w:ascii="Times New Roman" w:eastAsia="Times New Roman" w:hAnsi="Times New Roman"/>
                <w:sz w:val="24"/>
                <w:szCs w:val="24"/>
                <w:lang w:val="en-IE" w:eastAsia="en-IE"/>
              </w:rPr>
              <w:t>and</w:t>
            </w:r>
            <w:r w:rsidRPr="00B27372">
              <w:rPr>
                <w:rFonts w:ascii="Times New Roman" w:eastAsia="Times New Roman" w:hAnsi="Times New Roman"/>
                <w:sz w:val="24"/>
                <w:szCs w:val="24"/>
                <w:lang w:val="en-IE" w:eastAsia="en-IE"/>
              </w:rPr>
              <w:t xml:space="preserve"> 8 000 </w:t>
            </w:r>
            <w:r w:rsidR="00A81A00">
              <w:rPr>
                <w:rFonts w:ascii="Times New Roman" w:eastAsia="Times New Roman" w:hAnsi="Times New Roman"/>
                <w:sz w:val="24"/>
                <w:szCs w:val="24"/>
                <w:lang w:val="en-IE" w:eastAsia="en-IE"/>
              </w:rPr>
              <w:t xml:space="preserve">distinct </w:t>
            </w:r>
            <w:r w:rsidRPr="00B27372">
              <w:rPr>
                <w:rFonts w:ascii="Times New Roman" w:eastAsia="Times New Roman" w:hAnsi="Times New Roman"/>
                <w:sz w:val="24"/>
                <w:szCs w:val="24"/>
                <w:lang w:val="en-IE" w:eastAsia="en-IE"/>
              </w:rPr>
              <w:t>rare diseases</w:t>
            </w:r>
            <w:r w:rsidR="00A81A00">
              <w:rPr>
                <w:rFonts w:ascii="Times New Roman" w:eastAsia="Times New Roman" w:hAnsi="Times New Roman"/>
                <w:sz w:val="24"/>
                <w:szCs w:val="24"/>
                <w:lang w:val="en-IE" w:eastAsia="en-IE"/>
              </w:rPr>
              <w:t xml:space="preserve"> are </w:t>
            </w:r>
            <w:r w:rsidR="00A81A00">
              <w:rPr>
                <w:rFonts w:ascii="Times New Roman" w:eastAsia="Times New Roman" w:hAnsi="Times New Roman"/>
                <w:sz w:val="24"/>
                <w:szCs w:val="24"/>
                <w:lang w:val="en-IE" w:eastAsia="en-IE"/>
              </w:rPr>
              <w:lastRenderedPageBreak/>
              <w:t>estimated to</w:t>
            </w:r>
            <w:r w:rsidRPr="00B27372">
              <w:rPr>
                <w:rFonts w:ascii="Times New Roman" w:eastAsia="Times New Roman" w:hAnsi="Times New Roman"/>
                <w:sz w:val="24"/>
                <w:szCs w:val="24"/>
                <w:lang w:val="en-IE" w:eastAsia="en-IE"/>
              </w:rPr>
              <w:t xml:space="preserve"> exist</w:t>
            </w:r>
            <w:r w:rsidR="00A81A00">
              <w:rPr>
                <w:rFonts w:ascii="Times New Roman" w:eastAsia="Times New Roman" w:hAnsi="Times New Roman"/>
                <w:sz w:val="24"/>
                <w:szCs w:val="24"/>
                <w:lang w:val="en-IE" w:eastAsia="en-IE"/>
              </w:rPr>
              <w:t xml:space="preserve"> today</w:t>
            </w:r>
            <w:r w:rsidR="004157F0" w:rsidRPr="00D774AA">
              <w:rPr>
                <w:rFonts w:ascii="Times New Roman" w:hAnsi="Times New Roman"/>
                <w:sz w:val="24"/>
                <w:szCs w:val="24"/>
                <w:vertAlign w:val="superscript"/>
              </w:rPr>
              <w:footnoteReference w:id="12"/>
            </w:r>
            <w:r w:rsidR="00226901">
              <w:rPr>
                <w:rFonts w:ascii="Times New Roman" w:eastAsia="Times New Roman" w:hAnsi="Times New Roman"/>
                <w:sz w:val="24"/>
                <w:szCs w:val="24"/>
                <w:lang w:val="en-IE" w:eastAsia="en-IE"/>
              </w:rPr>
              <w:t xml:space="preserve"> (not </w:t>
            </w:r>
            <w:r w:rsidR="00A81A00">
              <w:rPr>
                <w:rFonts w:ascii="Times New Roman" w:eastAsia="Times New Roman" w:hAnsi="Times New Roman"/>
                <w:sz w:val="24"/>
                <w:szCs w:val="24"/>
                <w:lang w:val="en-IE" w:eastAsia="en-IE"/>
              </w:rPr>
              <w:t xml:space="preserve">6 to </w:t>
            </w:r>
            <w:r w:rsidR="00226901">
              <w:rPr>
                <w:rFonts w:ascii="Times New Roman" w:eastAsia="Times New Roman" w:hAnsi="Times New Roman"/>
                <w:sz w:val="24"/>
                <w:szCs w:val="24"/>
                <w:lang w:val="en-IE" w:eastAsia="en-IE"/>
              </w:rPr>
              <w:t xml:space="preserve">8 </w:t>
            </w:r>
            <w:r w:rsidR="00A81A00">
              <w:rPr>
                <w:rFonts w:ascii="Times New Roman" w:eastAsia="Times New Roman" w:hAnsi="Times New Roman"/>
                <w:sz w:val="24"/>
                <w:szCs w:val="24"/>
                <w:lang w:val="en-IE" w:eastAsia="en-IE"/>
              </w:rPr>
              <w:t>million</w:t>
            </w:r>
            <w:r w:rsidR="00226901">
              <w:rPr>
                <w:rFonts w:ascii="Times New Roman" w:eastAsia="Times New Roman" w:hAnsi="Times New Roman"/>
                <w:sz w:val="24"/>
                <w:szCs w:val="24"/>
                <w:lang w:val="en-IE" w:eastAsia="en-IE"/>
              </w:rPr>
              <w:t>).</w:t>
            </w:r>
          </w:p>
          <w:p w14:paraId="02FE8131" w14:textId="559247C6" w:rsidR="004F70AF" w:rsidRPr="00B27372" w:rsidRDefault="00F578C3" w:rsidP="00D774AA">
            <w:pPr>
              <w:widowControl w:val="0"/>
              <w:spacing w:before="120" w:after="120"/>
              <w:jc w:val="both"/>
              <w:rPr>
                <w:rFonts w:ascii="Times New Roman" w:eastAsia="Times New Roman" w:hAnsi="Times New Roman"/>
                <w:sz w:val="24"/>
                <w:szCs w:val="24"/>
              </w:rPr>
            </w:pPr>
            <w:r w:rsidRPr="00B27372">
              <w:rPr>
                <w:rFonts w:ascii="Times New Roman" w:eastAsia="Times New Roman" w:hAnsi="Times New Roman"/>
                <w:sz w:val="24"/>
                <w:szCs w:val="24"/>
              </w:rPr>
              <w:t>T</w:t>
            </w:r>
            <w:r w:rsidR="004F70AF" w:rsidRPr="00B27372">
              <w:rPr>
                <w:rFonts w:ascii="Times New Roman" w:eastAsia="Times New Roman" w:hAnsi="Times New Roman"/>
                <w:sz w:val="24"/>
                <w:szCs w:val="24"/>
              </w:rPr>
              <w:t xml:space="preserve">he European Reference Networks </w:t>
            </w:r>
            <w:r w:rsidRPr="00B27372">
              <w:rPr>
                <w:rFonts w:ascii="Times New Roman" w:eastAsia="Times New Roman" w:hAnsi="Times New Roman"/>
                <w:sz w:val="24"/>
                <w:szCs w:val="24"/>
              </w:rPr>
              <w:t xml:space="preserve">(ERNs) </w:t>
            </w:r>
            <w:r w:rsidR="004F70AF" w:rsidRPr="00B27372">
              <w:rPr>
                <w:rFonts w:ascii="Times New Roman" w:eastAsia="Times New Roman" w:hAnsi="Times New Roman"/>
                <w:sz w:val="24"/>
                <w:szCs w:val="24"/>
              </w:rPr>
              <w:t>for rare</w:t>
            </w:r>
            <w:r w:rsidRPr="00B27372">
              <w:rPr>
                <w:rFonts w:ascii="Times New Roman" w:eastAsia="Times New Roman" w:hAnsi="Times New Roman"/>
                <w:sz w:val="24"/>
                <w:szCs w:val="24"/>
              </w:rPr>
              <w:t xml:space="preserve"> and complex</w:t>
            </w:r>
            <w:r w:rsidR="004F70AF" w:rsidRPr="00B27372">
              <w:rPr>
                <w:rFonts w:ascii="Times New Roman" w:eastAsia="Times New Roman" w:hAnsi="Times New Roman"/>
                <w:sz w:val="24"/>
                <w:szCs w:val="24"/>
              </w:rPr>
              <w:t xml:space="preserve"> diseases are providing invaluable support to the Member States in their efforts to address these diseases.</w:t>
            </w:r>
            <w:r w:rsidR="004F70AF" w:rsidRPr="00B27372">
              <w:rPr>
                <w:rFonts w:ascii="Times New Roman" w:eastAsia="Arial" w:hAnsi="Times New Roman"/>
                <w:color w:val="00002E"/>
                <w:sz w:val="24"/>
                <w:szCs w:val="24"/>
              </w:rPr>
              <w:t xml:space="preserve"> </w:t>
            </w:r>
            <w:r w:rsidR="004F70AF" w:rsidRPr="00B27372">
              <w:rPr>
                <w:rFonts w:ascii="Times New Roman" w:eastAsia="Times New Roman" w:hAnsi="Times New Roman"/>
                <w:sz w:val="24"/>
                <w:szCs w:val="24"/>
              </w:rPr>
              <w:t xml:space="preserve">There are currently 24 ERNs across the EU and Norway created under </w:t>
            </w:r>
            <w:r w:rsidR="00DC55B5">
              <w:rPr>
                <w:rFonts w:ascii="Times New Roman" w:eastAsia="Times New Roman" w:hAnsi="Times New Roman"/>
                <w:sz w:val="24"/>
                <w:szCs w:val="24"/>
              </w:rPr>
              <w:t xml:space="preserve">the </w:t>
            </w:r>
            <w:hyperlink r:id="rId13">
              <w:r w:rsidR="004F70AF" w:rsidRPr="00B27372">
                <w:rPr>
                  <w:rFonts w:ascii="Times New Roman" w:eastAsia="Times New Roman" w:hAnsi="Times New Roman"/>
                  <w:sz w:val="24"/>
                  <w:szCs w:val="24"/>
                </w:rPr>
                <w:t xml:space="preserve">Directive </w:t>
              </w:r>
            </w:hyperlink>
            <w:r w:rsidR="004F70AF" w:rsidRPr="00B27372">
              <w:rPr>
                <w:rFonts w:ascii="Times New Roman" w:eastAsia="Times New Roman" w:hAnsi="Times New Roman"/>
                <w:sz w:val="24"/>
                <w:szCs w:val="24"/>
              </w:rPr>
              <w:t xml:space="preserve"> on patients’ rights in cross-border healthcare</w:t>
            </w:r>
            <w:r w:rsidR="00DC55B5">
              <w:rPr>
                <w:rStyle w:val="FootnoteReference"/>
                <w:rFonts w:ascii="Times New Roman" w:eastAsia="Times New Roman" w:hAnsi="Times New Roman"/>
                <w:sz w:val="24"/>
                <w:szCs w:val="24"/>
              </w:rPr>
              <w:footnoteReference w:id="13"/>
            </w:r>
            <w:r w:rsidR="004F70AF" w:rsidRPr="00B27372">
              <w:rPr>
                <w:rFonts w:ascii="Times New Roman" w:eastAsia="Times New Roman" w:hAnsi="Times New Roman"/>
                <w:sz w:val="24"/>
                <w:szCs w:val="24"/>
              </w:rPr>
              <w:t>. The ERNs represent a key element of the European Health Union in rare diseases, working on network coordination, patients’ registries, training, clinical practice guidelines and to raise awareness on rare diseases.</w:t>
            </w:r>
          </w:p>
          <w:p w14:paraId="78AED4B8" w14:textId="713CCDC7" w:rsidR="004F70AF" w:rsidRPr="00B27372" w:rsidRDefault="004F70AF" w:rsidP="00D774AA">
            <w:pPr>
              <w:widowControl w:val="0"/>
              <w:spacing w:before="120" w:after="120"/>
              <w:jc w:val="both"/>
              <w:rPr>
                <w:rFonts w:ascii="Times New Roman" w:eastAsia="Times New Roman" w:hAnsi="Times New Roman"/>
                <w:sz w:val="24"/>
                <w:szCs w:val="24"/>
              </w:rPr>
            </w:pPr>
            <w:r w:rsidRPr="00B27372">
              <w:rPr>
                <w:rFonts w:ascii="Times New Roman" w:eastAsia="Times New Roman" w:hAnsi="Times New Roman"/>
                <w:sz w:val="24"/>
                <w:szCs w:val="24"/>
              </w:rPr>
              <w:t>The next step is to better integrate the ERNs into national healthcare systems, develop patients’ pathways and national plans for rare diseases. The Member States are already working towards these objectives through the Joint Action JARDIN</w:t>
            </w:r>
            <w:r w:rsidR="00F578C3" w:rsidRPr="00B27372">
              <w:rPr>
                <w:rStyle w:val="FootnoteReference"/>
                <w:rFonts w:ascii="Times New Roman" w:eastAsia="Times New Roman" w:hAnsi="Times New Roman"/>
                <w:sz w:val="24"/>
                <w:szCs w:val="24"/>
              </w:rPr>
              <w:footnoteReference w:id="14"/>
            </w:r>
            <w:r w:rsidRPr="00B27372">
              <w:rPr>
                <w:rFonts w:ascii="Times New Roman" w:eastAsia="Times New Roman" w:hAnsi="Times New Roman"/>
                <w:sz w:val="24"/>
                <w:szCs w:val="24"/>
              </w:rPr>
              <w:t xml:space="preserve">. </w:t>
            </w:r>
          </w:p>
          <w:p w14:paraId="66237F38" w14:textId="2B68C1C1" w:rsidR="004F70AF" w:rsidRPr="00B27372" w:rsidRDefault="004F70AF" w:rsidP="00D774AA">
            <w:pPr>
              <w:widowControl w:val="0"/>
              <w:spacing w:before="120" w:after="120"/>
              <w:jc w:val="both"/>
              <w:rPr>
                <w:rFonts w:ascii="Times New Roman" w:eastAsia="Times New Roman" w:hAnsi="Times New Roman"/>
                <w:sz w:val="24"/>
                <w:szCs w:val="24"/>
              </w:rPr>
            </w:pPr>
            <w:r w:rsidRPr="00B27372">
              <w:rPr>
                <w:rFonts w:ascii="Times New Roman" w:eastAsia="Times New Roman" w:hAnsi="Times New Roman"/>
                <w:sz w:val="24"/>
                <w:szCs w:val="24"/>
              </w:rPr>
              <w:t>The Commission agrees with the EESC that harmonised HTA frameworks and joint clinical assessments are essential for ensuring equitable access across the EU. Half of ongoing joint clinical assessments</w:t>
            </w:r>
            <w:r w:rsidRPr="00B27372">
              <w:rPr>
                <w:rFonts w:ascii="Times New Roman" w:hAnsi="Times New Roman"/>
                <w:sz w:val="24"/>
                <w:szCs w:val="24"/>
              </w:rPr>
              <w:t xml:space="preserve"> </w:t>
            </w:r>
            <w:r w:rsidRPr="00B27372">
              <w:rPr>
                <w:rFonts w:ascii="Times New Roman" w:eastAsia="Times New Roman" w:hAnsi="Times New Roman"/>
                <w:sz w:val="24"/>
                <w:szCs w:val="24"/>
              </w:rPr>
              <w:t>(total: 14) are for medicinal products with an orphan drug designation.</w:t>
            </w:r>
          </w:p>
          <w:p w14:paraId="7B61BCA4" w14:textId="079167E5" w:rsidR="00944215" w:rsidRPr="00B27372" w:rsidRDefault="00DA556A" w:rsidP="00B27372">
            <w:pPr>
              <w:widowControl w:val="0"/>
              <w:numPr>
                <w:ilvl w:val="0"/>
                <w:numId w:val="1"/>
              </w:numPr>
              <w:tabs>
                <w:tab w:val="clear" w:pos="720"/>
              </w:tabs>
              <w:spacing w:before="120" w:after="120"/>
              <w:ind w:left="480"/>
              <w:jc w:val="both"/>
              <w:rPr>
                <w:rFonts w:ascii="Times New Roman" w:eastAsia="Times New Roman" w:hAnsi="Times New Roman"/>
                <w:b/>
                <w:bCs/>
                <w:sz w:val="24"/>
                <w:szCs w:val="24"/>
                <w:lang w:val="en-IE" w:eastAsia="en-IE"/>
              </w:rPr>
            </w:pPr>
            <w:r w:rsidRPr="00B27372">
              <w:rPr>
                <w:rFonts w:ascii="Times New Roman" w:eastAsia="Times New Roman" w:hAnsi="Times New Roman"/>
                <w:b/>
                <w:bCs/>
                <w:sz w:val="24"/>
                <w:szCs w:val="24"/>
                <w:lang w:val="en-IE" w:eastAsia="en-IE"/>
              </w:rPr>
              <w:t>Europe’s global leadership in the life sciences</w:t>
            </w:r>
          </w:p>
          <w:p w14:paraId="58AEB034" w14:textId="473F72CF" w:rsidR="00F72F0B" w:rsidRPr="00B27372" w:rsidRDefault="00944215" w:rsidP="00B27372">
            <w:pPr>
              <w:widowControl w:val="0"/>
              <w:spacing w:before="120" w:after="120"/>
              <w:jc w:val="both"/>
              <w:rPr>
                <w:rFonts w:ascii="Times New Roman" w:eastAsia="Times New Roman" w:hAnsi="Times New Roman"/>
                <w:sz w:val="24"/>
                <w:szCs w:val="24"/>
                <w:lang w:val="en-IE" w:eastAsia="en-IE"/>
              </w:rPr>
            </w:pPr>
            <w:r w:rsidRPr="00B27372">
              <w:rPr>
                <w:rFonts w:ascii="Times New Roman" w:eastAsia="Times New Roman" w:hAnsi="Times New Roman"/>
                <w:sz w:val="24"/>
                <w:szCs w:val="24"/>
                <w:lang w:val="en-IE" w:eastAsia="en-IE"/>
              </w:rPr>
              <w:t xml:space="preserve">The EESC stresses the need to modernise the legislative framework and facilitate market and global access for biotech products. </w:t>
            </w:r>
            <w:r w:rsidR="00BA22C1" w:rsidRPr="00B27372">
              <w:rPr>
                <w:rFonts w:ascii="Times New Roman" w:eastAsia="Times New Roman" w:hAnsi="Times New Roman"/>
                <w:sz w:val="24"/>
                <w:szCs w:val="24"/>
                <w:lang w:val="en-IE" w:eastAsia="en-IE"/>
              </w:rPr>
              <w:t xml:space="preserve">The Strategy for European Life Sciences </w:t>
            </w:r>
            <w:r w:rsidR="00102E7B" w:rsidRPr="00B27372">
              <w:rPr>
                <w:rFonts w:ascii="Times New Roman" w:eastAsia="Times New Roman" w:hAnsi="Times New Roman"/>
                <w:sz w:val="24"/>
                <w:szCs w:val="24"/>
                <w:lang w:val="en-IE" w:eastAsia="en-IE"/>
              </w:rPr>
              <w:t>promotes innovation-responsive regulation</w:t>
            </w:r>
            <w:r w:rsidR="00DB6AAA" w:rsidRPr="00B27372">
              <w:rPr>
                <w:rFonts w:ascii="Times New Roman" w:eastAsia="Times New Roman" w:hAnsi="Times New Roman"/>
                <w:sz w:val="24"/>
                <w:szCs w:val="24"/>
                <w:lang w:val="en-IE" w:eastAsia="en-IE"/>
              </w:rPr>
              <w:t xml:space="preserve"> with a view to </w:t>
            </w:r>
            <w:r w:rsidR="00C3104D" w:rsidRPr="00B27372">
              <w:rPr>
                <w:rFonts w:ascii="Times New Roman" w:eastAsia="Times New Roman" w:hAnsi="Times New Roman"/>
                <w:sz w:val="24"/>
                <w:szCs w:val="24"/>
                <w:lang w:val="en-IE" w:eastAsia="en-IE"/>
              </w:rPr>
              <w:t>accelerate development and market entry</w:t>
            </w:r>
            <w:r w:rsidR="009B09D9" w:rsidRPr="00B27372">
              <w:rPr>
                <w:rFonts w:ascii="Times New Roman" w:eastAsia="Times New Roman" w:hAnsi="Times New Roman"/>
                <w:sz w:val="24"/>
                <w:szCs w:val="24"/>
                <w:lang w:val="en-IE" w:eastAsia="en-IE"/>
              </w:rPr>
              <w:t>; it</w:t>
            </w:r>
            <w:r w:rsidR="005F26AE" w:rsidRPr="00B27372">
              <w:rPr>
                <w:rFonts w:ascii="Times New Roman" w:eastAsia="Times New Roman" w:hAnsi="Times New Roman"/>
                <w:sz w:val="24"/>
                <w:szCs w:val="24"/>
                <w:lang w:val="en-IE" w:eastAsia="en-IE"/>
              </w:rPr>
              <w:t xml:space="preserve"> puts</w:t>
            </w:r>
            <w:r w:rsidR="00290A82" w:rsidRPr="00B27372">
              <w:rPr>
                <w:rFonts w:ascii="Times New Roman" w:eastAsia="Times New Roman" w:hAnsi="Times New Roman"/>
                <w:sz w:val="24"/>
                <w:szCs w:val="24"/>
                <w:lang w:val="en-IE" w:eastAsia="en-IE"/>
              </w:rPr>
              <w:t xml:space="preserve"> forward</w:t>
            </w:r>
            <w:r w:rsidR="005F26AE" w:rsidRPr="00B27372">
              <w:rPr>
                <w:rFonts w:ascii="Times New Roman" w:eastAsia="Times New Roman" w:hAnsi="Times New Roman"/>
                <w:sz w:val="24"/>
                <w:szCs w:val="24"/>
                <w:lang w:val="en-IE" w:eastAsia="en-IE"/>
              </w:rPr>
              <w:t xml:space="preserve"> several</w:t>
            </w:r>
            <w:r w:rsidR="00FE08D3" w:rsidRPr="00B27372">
              <w:rPr>
                <w:rFonts w:ascii="Times New Roman" w:eastAsia="Times New Roman" w:hAnsi="Times New Roman"/>
                <w:sz w:val="24"/>
                <w:szCs w:val="24"/>
                <w:lang w:val="en-IE" w:eastAsia="en-IE"/>
              </w:rPr>
              <w:t xml:space="preserve"> concrete</w:t>
            </w:r>
            <w:r w:rsidR="005F26AE" w:rsidRPr="00B27372">
              <w:rPr>
                <w:rFonts w:ascii="Times New Roman" w:eastAsia="Times New Roman" w:hAnsi="Times New Roman"/>
                <w:sz w:val="24"/>
                <w:szCs w:val="24"/>
                <w:lang w:val="en-IE" w:eastAsia="en-IE"/>
              </w:rPr>
              <w:t xml:space="preserve"> actions </w:t>
            </w:r>
            <w:r w:rsidR="00290A82" w:rsidRPr="00B27372">
              <w:rPr>
                <w:rFonts w:ascii="Times New Roman" w:eastAsia="Times New Roman" w:hAnsi="Times New Roman"/>
                <w:sz w:val="24"/>
                <w:szCs w:val="24"/>
                <w:lang w:val="en-IE" w:eastAsia="en-IE"/>
              </w:rPr>
              <w:t>in this respect.</w:t>
            </w:r>
            <w:r w:rsidR="00060EC7" w:rsidRPr="00B27372">
              <w:rPr>
                <w:rFonts w:ascii="Times New Roman" w:eastAsia="Times New Roman" w:hAnsi="Times New Roman"/>
                <w:sz w:val="24"/>
                <w:szCs w:val="24"/>
                <w:lang w:val="en-IE" w:eastAsia="en-IE"/>
              </w:rPr>
              <w:t xml:space="preserve"> </w:t>
            </w:r>
            <w:r w:rsidR="00290A82" w:rsidRPr="00B27372">
              <w:rPr>
                <w:rFonts w:ascii="Times New Roman" w:eastAsia="Times New Roman" w:hAnsi="Times New Roman"/>
                <w:sz w:val="24"/>
                <w:szCs w:val="24"/>
                <w:lang w:val="en-IE" w:eastAsia="en-IE"/>
              </w:rPr>
              <w:t>T</w:t>
            </w:r>
            <w:r w:rsidR="000D77B1" w:rsidRPr="00B27372">
              <w:rPr>
                <w:rFonts w:ascii="Times New Roman" w:eastAsia="Times New Roman" w:hAnsi="Times New Roman"/>
                <w:sz w:val="24"/>
                <w:szCs w:val="24"/>
                <w:lang w:val="en-IE" w:eastAsia="en-IE"/>
              </w:rPr>
              <w:t>h</w:t>
            </w:r>
            <w:r w:rsidR="00060EC7" w:rsidRPr="00B27372">
              <w:rPr>
                <w:rFonts w:ascii="Times New Roman" w:eastAsia="Times New Roman" w:hAnsi="Times New Roman"/>
                <w:sz w:val="24"/>
                <w:szCs w:val="24"/>
                <w:lang w:val="en-IE" w:eastAsia="en-IE"/>
              </w:rPr>
              <w:t>e</w:t>
            </w:r>
            <w:r w:rsidR="000D77B1" w:rsidRPr="00B27372">
              <w:rPr>
                <w:rFonts w:ascii="Times New Roman" w:eastAsia="Times New Roman" w:hAnsi="Times New Roman"/>
                <w:sz w:val="24"/>
                <w:szCs w:val="24"/>
                <w:lang w:val="en-IE" w:eastAsia="en-IE"/>
              </w:rPr>
              <w:t xml:space="preserve"> Commission </w:t>
            </w:r>
            <w:r w:rsidR="008B1E88" w:rsidRPr="00B27372">
              <w:rPr>
                <w:rFonts w:ascii="Times New Roman" w:eastAsia="Times New Roman" w:hAnsi="Times New Roman"/>
                <w:sz w:val="24"/>
                <w:szCs w:val="24"/>
                <w:lang w:val="en-IE" w:eastAsia="en-IE"/>
              </w:rPr>
              <w:t xml:space="preserve">adopted </w:t>
            </w:r>
            <w:r w:rsidR="00F7562A" w:rsidRPr="00B27372">
              <w:rPr>
                <w:rFonts w:ascii="Times New Roman" w:eastAsia="Times New Roman" w:hAnsi="Times New Roman"/>
                <w:sz w:val="24"/>
                <w:szCs w:val="24"/>
                <w:lang w:val="en-IE" w:eastAsia="en-IE"/>
              </w:rPr>
              <w:t>a</w:t>
            </w:r>
            <w:r w:rsidR="00290A82" w:rsidRPr="00B27372">
              <w:rPr>
                <w:rFonts w:ascii="Times New Roman" w:eastAsia="Times New Roman" w:hAnsi="Times New Roman"/>
                <w:sz w:val="24"/>
                <w:szCs w:val="24"/>
                <w:lang w:val="en-IE" w:eastAsia="en-IE"/>
              </w:rPr>
              <w:t xml:space="preserve"> proposal for a Biotech Act</w:t>
            </w:r>
            <w:r w:rsidR="00CF5158" w:rsidRPr="00B27372">
              <w:rPr>
                <w:rStyle w:val="FootnoteReference"/>
                <w:rFonts w:ascii="Times New Roman" w:eastAsia="Times New Roman" w:hAnsi="Times New Roman"/>
                <w:sz w:val="24"/>
                <w:szCs w:val="24"/>
                <w:lang w:val="en-IE" w:eastAsia="en-IE"/>
              </w:rPr>
              <w:footnoteReference w:id="15"/>
            </w:r>
            <w:r w:rsidR="008B1E88" w:rsidRPr="00B27372">
              <w:rPr>
                <w:rFonts w:ascii="Times New Roman" w:eastAsia="Times New Roman" w:hAnsi="Times New Roman"/>
                <w:sz w:val="24"/>
                <w:szCs w:val="24"/>
                <w:lang w:val="en-IE" w:eastAsia="en-IE"/>
              </w:rPr>
              <w:t xml:space="preserve"> in December 2025</w:t>
            </w:r>
            <w:r w:rsidR="00731EBD" w:rsidRPr="00B27372">
              <w:rPr>
                <w:rFonts w:ascii="Times New Roman" w:eastAsia="Times New Roman" w:hAnsi="Times New Roman"/>
                <w:sz w:val="24"/>
                <w:szCs w:val="24"/>
                <w:lang w:val="en-IE" w:eastAsia="en-IE"/>
              </w:rPr>
              <w:t xml:space="preserve">, which </w:t>
            </w:r>
            <w:r w:rsidR="00B814F7" w:rsidRPr="00B27372">
              <w:rPr>
                <w:rFonts w:ascii="Times New Roman" w:eastAsia="Times New Roman" w:hAnsi="Times New Roman"/>
                <w:sz w:val="24"/>
                <w:szCs w:val="24"/>
                <w:lang w:val="en-IE" w:eastAsia="en-IE"/>
              </w:rPr>
              <w:t>aims to</w:t>
            </w:r>
            <w:r w:rsidR="00F72F0B" w:rsidRPr="00B27372">
              <w:rPr>
                <w:rFonts w:ascii="Times New Roman" w:eastAsia="Times New Roman" w:hAnsi="Times New Roman"/>
                <w:sz w:val="24"/>
                <w:szCs w:val="24"/>
                <w:lang w:val="en-IE" w:eastAsia="en-IE"/>
              </w:rPr>
              <w:t xml:space="preserve"> increase competitiveness by creating the necessary conditions for the health biotechnology sector to thrive</w:t>
            </w:r>
            <w:r w:rsidR="00B814F7" w:rsidRPr="00B27372">
              <w:rPr>
                <w:rFonts w:ascii="Times New Roman" w:eastAsia="Times New Roman" w:hAnsi="Times New Roman"/>
                <w:sz w:val="24"/>
                <w:szCs w:val="24"/>
                <w:lang w:val="en-IE" w:eastAsia="en-IE"/>
              </w:rPr>
              <w:t xml:space="preserve"> and</w:t>
            </w:r>
            <w:r w:rsidR="00F72F0B" w:rsidRPr="00B27372">
              <w:rPr>
                <w:rFonts w:ascii="Times New Roman" w:eastAsia="Times New Roman" w:hAnsi="Times New Roman"/>
                <w:sz w:val="24"/>
                <w:szCs w:val="24"/>
                <w:lang w:val="en-IE" w:eastAsia="en-IE"/>
              </w:rPr>
              <w:t xml:space="preserve"> streamlines the regulatory environment in areas such as clinical trials and cell and gene therapies</w:t>
            </w:r>
            <w:r w:rsidR="00B814F7" w:rsidRPr="00B27372">
              <w:rPr>
                <w:rFonts w:ascii="Times New Roman" w:eastAsia="Times New Roman" w:hAnsi="Times New Roman"/>
                <w:sz w:val="24"/>
                <w:szCs w:val="24"/>
                <w:lang w:val="en-IE" w:eastAsia="en-IE"/>
              </w:rPr>
              <w:t>.</w:t>
            </w:r>
          </w:p>
          <w:p w14:paraId="6843FDE1" w14:textId="19F051D6" w:rsidR="00287056" w:rsidRPr="00B27372" w:rsidRDefault="00C552B8" w:rsidP="00B27372">
            <w:pPr>
              <w:widowControl w:val="0"/>
              <w:spacing w:before="120" w:after="120"/>
              <w:jc w:val="both"/>
              <w:rPr>
                <w:rFonts w:ascii="Times New Roman" w:eastAsia="Times New Roman" w:hAnsi="Times New Roman"/>
                <w:sz w:val="24"/>
                <w:szCs w:val="24"/>
                <w:lang w:val="en-IE" w:eastAsia="en-IE"/>
              </w:rPr>
            </w:pPr>
            <w:r w:rsidRPr="00B27372">
              <w:rPr>
                <w:rFonts w:ascii="Times New Roman" w:eastAsia="Times New Roman" w:hAnsi="Times New Roman"/>
                <w:sz w:val="24"/>
                <w:szCs w:val="24"/>
                <w:lang w:val="en-IE" w:eastAsia="en-IE"/>
              </w:rPr>
              <w:t xml:space="preserve">The Commission agrees with the EESC on the need to address systemic inefficiencies in clinical trial authorisation and management and ensure faster approvals for clinical trials applications and less administrative burden. To achieve that goal, </w:t>
            </w:r>
            <w:r w:rsidR="008B1E88" w:rsidRPr="00B27372">
              <w:rPr>
                <w:rFonts w:ascii="Times New Roman" w:eastAsia="Times New Roman" w:hAnsi="Times New Roman"/>
                <w:sz w:val="24"/>
                <w:szCs w:val="24"/>
                <w:lang w:val="en-IE" w:eastAsia="en-IE"/>
              </w:rPr>
              <w:t xml:space="preserve">in the Biotech Act, </w:t>
            </w:r>
            <w:r w:rsidRPr="00B27372">
              <w:rPr>
                <w:rFonts w:ascii="Times New Roman" w:eastAsia="Times New Roman" w:hAnsi="Times New Roman"/>
                <w:sz w:val="24"/>
                <w:szCs w:val="24"/>
                <w:lang w:val="en-IE" w:eastAsia="en-IE"/>
              </w:rPr>
              <w:t>the Commission has proposed amendment</w:t>
            </w:r>
            <w:r w:rsidR="008B1E88" w:rsidRPr="00B27372">
              <w:rPr>
                <w:rFonts w:ascii="Times New Roman" w:eastAsia="Times New Roman" w:hAnsi="Times New Roman"/>
                <w:sz w:val="24"/>
                <w:szCs w:val="24"/>
                <w:lang w:val="en-IE" w:eastAsia="en-IE"/>
              </w:rPr>
              <w:t>s</w:t>
            </w:r>
            <w:r w:rsidRPr="00B27372">
              <w:rPr>
                <w:rFonts w:ascii="Times New Roman" w:eastAsia="Times New Roman" w:hAnsi="Times New Roman"/>
                <w:sz w:val="24"/>
                <w:szCs w:val="24"/>
                <w:lang w:val="en-IE" w:eastAsia="en-IE"/>
              </w:rPr>
              <w:t xml:space="preserve"> to the Clinical Trials Regulation</w:t>
            </w:r>
            <w:r w:rsidR="00CF5158" w:rsidRPr="00B27372">
              <w:rPr>
                <w:rStyle w:val="FootnoteReference"/>
                <w:rFonts w:ascii="Times New Roman" w:eastAsia="Times New Roman" w:hAnsi="Times New Roman"/>
                <w:sz w:val="24"/>
                <w:szCs w:val="24"/>
                <w:lang w:val="en-IE" w:eastAsia="en-IE"/>
              </w:rPr>
              <w:footnoteReference w:id="16"/>
            </w:r>
            <w:r w:rsidRPr="00B27372">
              <w:rPr>
                <w:rFonts w:ascii="Times New Roman" w:eastAsia="Times New Roman" w:hAnsi="Times New Roman"/>
                <w:sz w:val="24"/>
                <w:szCs w:val="24"/>
                <w:lang w:val="en-IE" w:eastAsia="en-IE"/>
              </w:rPr>
              <w:t>. In addition, to strengthen the clinical trials ecosystem</w:t>
            </w:r>
            <w:r w:rsidR="001F552D" w:rsidRPr="00B27372">
              <w:rPr>
                <w:rFonts w:ascii="Times New Roman" w:eastAsia="Times New Roman" w:hAnsi="Times New Roman"/>
                <w:sz w:val="24"/>
                <w:szCs w:val="24"/>
                <w:lang w:val="en-IE" w:eastAsia="en-IE"/>
              </w:rPr>
              <w:t>,</w:t>
            </w:r>
            <w:r w:rsidRPr="00B27372">
              <w:rPr>
                <w:rFonts w:ascii="Times New Roman" w:eastAsia="Times New Roman" w:hAnsi="Times New Roman"/>
                <w:sz w:val="24"/>
                <w:szCs w:val="24"/>
                <w:lang w:val="en-IE" w:eastAsia="en-IE"/>
              </w:rPr>
              <w:t xml:space="preserve"> the Commission </w:t>
            </w:r>
            <w:r w:rsidR="008C1BFC" w:rsidRPr="00B27372">
              <w:rPr>
                <w:rFonts w:ascii="Times New Roman" w:eastAsia="Times New Roman" w:hAnsi="Times New Roman"/>
                <w:sz w:val="24"/>
                <w:szCs w:val="24"/>
                <w:lang w:val="en-IE" w:eastAsia="en-IE"/>
              </w:rPr>
              <w:t>will</w:t>
            </w:r>
            <w:r w:rsidR="008B1E88" w:rsidRPr="00B27372">
              <w:rPr>
                <w:rFonts w:ascii="Times New Roman" w:eastAsia="Times New Roman" w:hAnsi="Times New Roman"/>
                <w:sz w:val="24"/>
                <w:szCs w:val="24"/>
                <w:lang w:val="en-IE" w:eastAsia="en-IE"/>
              </w:rPr>
              <w:t xml:space="preserve"> </w:t>
            </w:r>
            <w:r w:rsidRPr="00B27372">
              <w:rPr>
                <w:rFonts w:ascii="Times New Roman" w:eastAsia="Times New Roman" w:hAnsi="Times New Roman"/>
                <w:sz w:val="24"/>
                <w:szCs w:val="24"/>
                <w:lang w:val="en-IE" w:eastAsia="en-IE"/>
              </w:rPr>
              <w:t>propose an investment plan for clinical research to facilitate funding for multi-country clinical trials</w:t>
            </w:r>
            <w:r w:rsidR="001F552D" w:rsidRPr="00B27372">
              <w:rPr>
                <w:rFonts w:ascii="Times New Roman" w:eastAsia="Times New Roman" w:hAnsi="Times New Roman"/>
                <w:sz w:val="24"/>
                <w:szCs w:val="24"/>
                <w:lang w:val="en-IE" w:eastAsia="en-IE"/>
              </w:rPr>
              <w:t xml:space="preserve"> and</w:t>
            </w:r>
            <w:r w:rsidRPr="00B27372">
              <w:rPr>
                <w:rFonts w:ascii="Times New Roman" w:eastAsia="Times New Roman" w:hAnsi="Times New Roman"/>
                <w:sz w:val="24"/>
                <w:szCs w:val="24"/>
                <w:lang w:val="en-IE" w:eastAsia="en-IE"/>
              </w:rPr>
              <w:t xml:space="preserve"> to further develop and streamline European research infrastructures in the field of clinical research.</w:t>
            </w:r>
            <w:r w:rsidR="00287056" w:rsidRPr="00B27372">
              <w:rPr>
                <w:rFonts w:ascii="Times New Roman" w:eastAsia="Times New Roman" w:hAnsi="Times New Roman"/>
                <w:sz w:val="24"/>
                <w:szCs w:val="24"/>
                <w:lang w:val="en-IE" w:eastAsia="en-IE"/>
              </w:rPr>
              <w:t xml:space="preserve"> </w:t>
            </w:r>
          </w:p>
          <w:p w14:paraId="0D5CA262" w14:textId="17937326" w:rsidR="00944215" w:rsidRPr="00B27372" w:rsidRDefault="00287056" w:rsidP="00B27372">
            <w:pPr>
              <w:widowControl w:val="0"/>
              <w:spacing w:before="120" w:after="120"/>
              <w:jc w:val="both"/>
              <w:rPr>
                <w:rFonts w:ascii="Times New Roman" w:eastAsia="Times New Roman" w:hAnsi="Times New Roman"/>
                <w:sz w:val="24"/>
                <w:szCs w:val="24"/>
                <w:lang w:val="en-IE" w:eastAsia="en-IE"/>
              </w:rPr>
            </w:pPr>
            <w:r w:rsidRPr="00B27372">
              <w:rPr>
                <w:rFonts w:ascii="Times New Roman" w:eastAsia="Times New Roman" w:hAnsi="Times New Roman"/>
                <w:sz w:val="24"/>
                <w:szCs w:val="24"/>
                <w:lang w:val="en-IE" w:eastAsia="en-IE"/>
              </w:rPr>
              <w:t xml:space="preserve">The EESC </w:t>
            </w:r>
            <w:r w:rsidR="001D3FFB" w:rsidRPr="00B27372">
              <w:rPr>
                <w:rFonts w:ascii="Times New Roman" w:eastAsia="Times New Roman" w:hAnsi="Times New Roman"/>
                <w:sz w:val="24"/>
                <w:szCs w:val="24"/>
                <w:lang w:val="en-IE" w:eastAsia="en-IE"/>
              </w:rPr>
              <w:t>underlines</w:t>
            </w:r>
            <w:r w:rsidR="009E4B6C" w:rsidRPr="00B27372">
              <w:rPr>
                <w:rFonts w:ascii="Times New Roman" w:eastAsia="Times New Roman" w:hAnsi="Times New Roman"/>
                <w:sz w:val="24"/>
                <w:szCs w:val="24"/>
                <w:lang w:val="en-IE" w:eastAsia="en-IE"/>
              </w:rPr>
              <w:t xml:space="preserve"> that</w:t>
            </w:r>
            <w:r w:rsidR="00D74361" w:rsidRPr="00B27372">
              <w:rPr>
                <w:rFonts w:ascii="Times New Roman" w:eastAsia="Times New Roman" w:hAnsi="Times New Roman"/>
                <w:sz w:val="24"/>
                <w:szCs w:val="24"/>
                <w:lang w:val="en-IE" w:eastAsia="en-IE"/>
              </w:rPr>
              <w:t xml:space="preserve"> </w:t>
            </w:r>
            <w:r w:rsidR="009E4B6C" w:rsidRPr="00B27372">
              <w:rPr>
                <w:rFonts w:ascii="Times New Roman" w:eastAsia="Times New Roman" w:hAnsi="Times New Roman"/>
                <w:sz w:val="24"/>
                <w:szCs w:val="24"/>
                <w:lang w:val="en-IE" w:eastAsia="en-IE"/>
              </w:rPr>
              <w:t xml:space="preserve">the </w:t>
            </w:r>
            <w:r w:rsidR="00D74361" w:rsidRPr="00B27372">
              <w:rPr>
                <w:rFonts w:ascii="Times New Roman" w:eastAsia="Times New Roman" w:hAnsi="Times New Roman"/>
                <w:sz w:val="24"/>
                <w:szCs w:val="24"/>
                <w:lang w:val="en-IE" w:eastAsia="en-IE"/>
              </w:rPr>
              <w:t>validation and acceptance process for animal-free models should be simplified</w:t>
            </w:r>
            <w:r w:rsidR="009E4B6C" w:rsidRPr="00B27372">
              <w:rPr>
                <w:rFonts w:ascii="Times New Roman" w:eastAsia="Times New Roman" w:hAnsi="Times New Roman"/>
                <w:sz w:val="24"/>
                <w:szCs w:val="24"/>
                <w:lang w:val="en-IE" w:eastAsia="en-IE"/>
              </w:rPr>
              <w:t xml:space="preserve">. </w:t>
            </w:r>
            <w:r w:rsidR="002D0392" w:rsidRPr="00B27372">
              <w:rPr>
                <w:rFonts w:ascii="Times New Roman" w:eastAsia="Times New Roman" w:hAnsi="Times New Roman"/>
                <w:sz w:val="24"/>
                <w:szCs w:val="24"/>
                <w:lang w:val="en-IE" w:eastAsia="en-IE"/>
              </w:rPr>
              <w:t xml:space="preserve">New approach methodologies </w:t>
            </w:r>
            <w:r w:rsidR="00D43913" w:rsidRPr="00B27372">
              <w:rPr>
                <w:rFonts w:ascii="Times New Roman" w:eastAsia="Times New Roman" w:hAnsi="Times New Roman"/>
                <w:sz w:val="24"/>
                <w:szCs w:val="24"/>
                <w:lang w:val="en-IE" w:eastAsia="en-IE"/>
              </w:rPr>
              <w:t xml:space="preserve">– </w:t>
            </w:r>
            <w:r w:rsidR="00DA073F" w:rsidRPr="00B27372">
              <w:rPr>
                <w:rFonts w:ascii="Times New Roman" w:eastAsia="Times New Roman" w:hAnsi="Times New Roman"/>
                <w:sz w:val="24"/>
                <w:szCs w:val="24"/>
                <w:lang w:val="en-IE" w:eastAsia="en-IE"/>
              </w:rPr>
              <w:t>innovative experimental methods that do not involve live animals</w:t>
            </w:r>
            <w:r w:rsidR="00D43913" w:rsidRPr="00B27372">
              <w:rPr>
                <w:rFonts w:ascii="Times New Roman" w:eastAsia="Times New Roman" w:hAnsi="Times New Roman"/>
                <w:sz w:val="24"/>
                <w:szCs w:val="24"/>
                <w:lang w:val="en-IE" w:eastAsia="en-IE"/>
              </w:rPr>
              <w:t xml:space="preserve"> –</w:t>
            </w:r>
            <w:r w:rsidR="00DA073F" w:rsidRPr="00B27372">
              <w:rPr>
                <w:rFonts w:ascii="Times New Roman" w:eastAsia="Times New Roman" w:hAnsi="Times New Roman"/>
                <w:sz w:val="24"/>
                <w:szCs w:val="24"/>
                <w:lang w:val="en-IE" w:eastAsia="en-IE"/>
              </w:rPr>
              <w:t xml:space="preserve"> </w:t>
            </w:r>
            <w:r w:rsidR="002D0392" w:rsidRPr="00B27372">
              <w:rPr>
                <w:rFonts w:ascii="Times New Roman" w:eastAsia="Times New Roman" w:hAnsi="Times New Roman"/>
                <w:sz w:val="24"/>
                <w:szCs w:val="24"/>
                <w:lang w:val="en-IE" w:eastAsia="en-IE"/>
              </w:rPr>
              <w:t>to de-risk the development of new medicinal products and medical devices are part of the Strategy for European Life Sciences. The Commission is collaborating with Member States, industry, academia and regulators to support the development, validation and uptake of new approach methodologies.</w:t>
            </w:r>
            <w:r w:rsidR="00D43913" w:rsidRPr="00B27372">
              <w:rPr>
                <w:rFonts w:ascii="Times New Roman" w:eastAsia="Times New Roman" w:hAnsi="Times New Roman"/>
                <w:sz w:val="24"/>
                <w:szCs w:val="24"/>
                <w:lang w:val="en-IE" w:eastAsia="en-IE"/>
              </w:rPr>
              <w:t xml:space="preserve"> </w:t>
            </w:r>
            <w:r w:rsidR="002D0392" w:rsidRPr="00B27372">
              <w:rPr>
                <w:rFonts w:ascii="Times New Roman" w:eastAsia="Times New Roman" w:hAnsi="Times New Roman"/>
                <w:sz w:val="24"/>
                <w:szCs w:val="24"/>
                <w:lang w:val="en-IE" w:eastAsia="en-IE"/>
              </w:rPr>
              <w:t xml:space="preserve">In addition, the Horizon Europe programme allocates EUR 50 million to such </w:t>
            </w:r>
            <w:r w:rsidR="002D0392" w:rsidRPr="00B27372">
              <w:rPr>
                <w:rFonts w:ascii="Times New Roman" w:eastAsia="Times New Roman" w:hAnsi="Times New Roman"/>
                <w:sz w:val="24"/>
                <w:szCs w:val="24"/>
                <w:lang w:val="en-IE" w:eastAsia="en-IE"/>
              </w:rPr>
              <w:lastRenderedPageBreak/>
              <w:t>methodologies through its work programme 2026-2027</w:t>
            </w:r>
            <w:r w:rsidR="008061E9" w:rsidRPr="00B27372">
              <w:rPr>
                <w:rFonts w:ascii="Times New Roman" w:eastAsia="Times New Roman" w:hAnsi="Times New Roman"/>
                <w:sz w:val="24"/>
                <w:szCs w:val="24"/>
                <w:lang w:val="en-IE" w:eastAsia="en-IE"/>
              </w:rPr>
              <w:t>.</w:t>
            </w:r>
          </w:p>
          <w:p w14:paraId="65A5C4AA" w14:textId="7866027D" w:rsidR="00425C79" w:rsidRPr="00B27372" w:rsidRDefault="00425C79" w:rsidP="00B27372">
            <w:pPr>
              <w:widowControl w:val="0"/>
              <w:spacing w:before="120" w:after="120"/>
              <w:jc w:val="both"/>
              <w:rPr>
                <w:rFonts w:ascii="Times New Roman" w:eastAsia="Times New Roman" w:hAnsi="Times New Roman"/>
                <w:sz w:val="24"/>
                <w:szCs w:val="24"/>
                <w:lang w:val="en-IE" w:eastAsia="en-IE"/>
              </w:rPr>
            </w:pPr>
            <w:r w:rsidRPr="00B27372">
              <w:rPr>
                <w:rFonts w:ascii="Times New Roman" w:eastAsia="Times New Roman" w:hAnsi="Times New Roman"/>
                <w:sz w:val="24"/>
                <w:szCs w:val="24"/>
                <w:lang w:val="en-IE" w:eastAsia="en-IE"/>
              </w:rPr>
              <w:t xml:space="preserve">The Commission takes note of the reference to the European </w:t>
            </w:r>
            <w:proofErr w:type="spellStart"/>
            <w:r w:rsidRPr="00B27372">
              <w:rPr>
                <w:rFonts w:ascii="Times New Roman" w:eastAsia="Times New Roman" w:hAnsi="Times New Roman"/>
                <w:sz w:val="24"/>
                <w:szCs w:val="24"/>
                <w:lang w:val="en-IE" w:eastAsia="en-IE"/>
              </w:rPr>
              <w:t>Ph</w:t>
            </w:r>
            <w:r w:rsidR="0068590E" w:rsidRPr="00B27372">
              <w:rPr>
                <w:rFonts w:ascii="Times New Roman" w:eastAsia="Times New Roman" w:hAnsi="Times New Roman"/>
                <w:sz w:val="24"/>
                <w:szCs w:val="24"/>
                <w:lang w:val="en-IE" w:eastAsia="en-IE"/>
              </w:rPr>
              <w:t>a</w:t>
            </w:r>
            <w:r w:rsidRPr="00B27372">
              <w:rPr>
                <w:rFonts w:ascii="Times New Roman" w:eastAsia="Times New Roman" w:hAnsi="Times New Roman"/>
                <w:sz w:val="24"/>
                <w:szCs w:val="24"/>
                <w:lang w:val="en-IE" w:eastAsia="en-IE"/>
              </w:rPr>
              <w:t>r</w:t>
            </w:r>
            <w:r w:rsidR="0068590E" w:rsidRPr="00B27372">
              <w:rPr>
                <w:rFonts w:ascii="Times New Roman" w:eastAsia="Times New Roman" w:hAnsi="Times New Roman"/>
                <w:sz w:val="24"/>
                <w:szCs w:val="24"/>
                <w:lang w:val="en-IE" w:eastAsia="en-IE"/>
              </w:rPr>
              <w:t>m</w:t>
            </w:r>
            <w:r w:rsidRPr="00B27372">
              <w:rPr>
                <w:rFonts w:ascii="Times New Roman" w:eastAsia="Times New Roman" w:hAnsi="Times New Roman"/>
                <w:sz w:val="24"/>
                <w:szCs w:val="24"/>
                <w:lang w:val="en-IE" w:eastAsia="en-IE"/>
              </w:rPr>
              <w:t>acopo</w:t>
            </w:r>
            <w:r w:rsidR="0068590E" w:rsidRPr="00B27372">
              <w:rPr>
                <w:rFonts w:ascii="Times New Roman" w:eastAsia="Times New Roman" w:hAnsi="Times New Roman"/>
                <w:sz w:val="24"/>
                <w:szCs w:val="24"/>
                <w:lang w:val="en-IE" w:eastAsia="en-IE"/>
              </w:rPr>
              <w:t>iea</w:t>
            </w:r>
            <w:proofErr w:type="spellEnd"/>
            <w:r w:rsidR="0068590E" w:rsidRPr="00B27372">
              <w:rPr>
                <w:rFonts w:ascii="Times New Roman" w:eastAsia="Times New Roman" w:hAnsi="Times New Roman"/>
                <w:sz w:val="24"/>
                <w:szCs w:val="24"/>
                <w:lang w:val="en-IE" w:eastAsia="en-IE"/>
              </w:rPr>
              <w:t xml:space="preserve"> and suggest</w:t>
            </w:r>
            <w:r w:rsidR="0006510A" w:rsidRPr="00B27372">
              <w:rPr>
                <w:rFonts w:ascii="Times New Roman" w:eastAsia="Times New Roman" w:hAnsi="Times New Roman"/>
                <w:sz w:val="24"/>
                <w:szCs w:val="24"/>
                <w:lang w:val="en-IE" w:eastAsia="en-IE"/>
              </w:rPr>
              <w:t>s</w:t>
            </w:r>
            <w:r w:rsidR="0068590E" w:rsidRPr="00B27372">
              <w:rPr>
                <w:rFonts w:ascii="Times New Roman" w:eastAsia="Times New Roman" w:hAnsi="Times New Roman"/>
                <w:sz w:val="24"/>
                <w:szCs w:val="24"/>
                <w:lang w:val="en-IE" w:eastAsia="en-IE"/>
              </w:rPr>
              <w:t xml:space="preserve"> that the EESC addresses th</w:t>
            </w:r>
            <w:r w:rsidR="00A204FC" w:rsidRPr="00B27372">
              <w:rPr>
                <w:rFonts w:ascii="Times New Roman" w:eastAsia="Times New Roman" w:hAnsi="Times New Roman"/>
                <w:sz w:val="24"/>
                <w:szCs w:val="24"/>
                <w:lang w:val="en-IE" w:eastAsia="en-IE"/>
              </w:rPr>
              <w:t xml:space="preserve">e related recommendation to the Council of Europe, </w:t>
            </w:r>
            <w:r w:rsidR="002162B0" w:rsidRPr="00B27372">
              <w:rPr>
                <w:rFonts w:ascii="Times New Roman" w:eastAsia="Times New Roman" w:hAnsi="Times New Roman"/>
                <w:sz w:val="24"/>
                <w:szCs w:val="24"/>
                <w:lang w:val="en-IE" w:eastAsia="en-IE"/>
              </w:rPr>
              <w:t>hosting the European Directorate for the Quality of Medicines &amp; HealthCare</w:t>
            </w:r>
            <w:r w:rsidR="00B96234" w:rsidRPr="00B27372">
              <w:rPr>
                <w:rFonts w:ascii="Times New Roman" w:eastAsia="Times New Roman" w:hAnsi="Times New Roman"/>
                <w:sz w:val="24"/>
                <w:szCs w:val="24"/>
                <w:lang w:val="en-IE" w:eastAsia="en-IE"/>
              </w:rPr>
              <w:t xml:space="preserve"> that </w:t>
            </w:r>
            <w:proofErr w:type="gramStart"/>
            <w:r w:rsidR="00B96234" w:rsidRPr="00B27372">
              <w:rPr>
                <w:rFonts w:ascii="Times New Roman" w:eastAsia="Times New Roman" w:hAnsi="Times New Roman"/>
                <w:sz w:val="24"/>
                <w:szCs w:val="24"/>
                <w:lang w:val="en-IE" w:eastAsia="en-IE"/>
              </w:rPr>
              <w:t>is</w:t>
            </w:r>
            <w:r w:rsidR="002162B0" w:rsidRPr="00B27372">
              <w:rPr>
                <w:rFonts w:ascii="Times New Roman" w:eastAsia="Times New Roman" w:hAnsi="Times New Roman"/>
                <w:sz w:val="24"/>
                <w:szCs w:val="24"/>
                <w:lang w:val="en-IE" w:eastAsia="en-IE"/>
              </w:rPr>
              <w:t xml:space="preserve"> in charge of</w:t>
            </w:r>
            <w:proofErr w:type="gramEnd"/>
            <w:r w:rsidR="002162B0" w:rsidRPr="00B27372">
              <w:rPr>
                <w:rFonts w:ascii="Times New Roman" w:eastAsia="Times New Roman" w:hAnsi="Times New Roman"/>
                <w:sz w:val="24"/>
                <w:szCs w:val="24"/>
                <w:lang w:val="en-IE" w:eastAsia="en-IE"/>
              </w:rPr>
              <w:t xml:space="preserve"> the European </w:t>
            </w:r>
            <w:proofErr w:type="spellStart"/>
            <w:r w:rsidR="002162B0" w:rsidRPr="00B27372">
              <w:rPr>
                <w:rFonts w:ascii="Times New Roman" w:eastAsia="Times New Roman" w:hAnsi="Times New Roman"/>
                <w:sz w:val="24"/>
                <w:szCs w:val="24"/>
                <w:lang w:val="en-IE" w:eastAsia="en-IE"/>
              </w:rPr>
              <w:t>Pharmacopoiea</w:t>
            </w:r>
            <w:proofErr w:type="spellEnd"/>
            <w:r w:rsidR="002162B0" w:rsidRPr="00B27372">
              <w:rPr>
                <w:rFonts w:ascii="Times New Roman" w:eastAsia="Times New Roman" w:hAnsi="Times New Roman"/>
                <w:sz w:val="24"/>
                <w:szCs w:val="24"/>
                <w:lang w:val="en-IE" w:eastAsia="en-IE"/>
              </w:rPr>
              <w:t>.</w:t>
            </w:r>
          </w:p>
          <w:p w14:paraId="2B255E18" w14:textId="6E4468A3" w:rsidR="006B181B" w:rsidRPr="00B27372" w:rsidRDefault="00D930E9" w:rsidP="00B27372">
            <w:pPr>
              <w:widowControl w:val="0"/>
              <w:spacing w:before="120" w:after="120"/>
              <w:jc w:val="both"/>
              <w:rPr>
                <w:rFonts w:ascii="Times New Roman" w:eastAsia="Times New Roman" w:hAnsi="Times New Roman"/>
                <w:sz w:val="24"/>
                <w:szCs w:val="24"/>
                <w:lang w:val="en-IE" w:eastAsia="en-IE"/>
              </w:rPr>
            </w:pPr>
            <w:r w:rsidRPr="00B27372">
              <w:rPr>
                <w:rFonts w:ascii="Times New Roman" w:eastAsia="Times New Roman" w:hAnsi="Times New Roman"/>
                <w:sz w:val="24"/>
                <w:szCs w:val="24"/>
                <w:lang w:val="en-IE" w:eastAsia="en-IE"/>
              </w:rPr>
              <w:t>Furthermore, as part of the AI Factories initiative, the Commission is supporting the creation of a Data Lab for Life Sciences and Health. Its objective is to enable access to life sciences data for the development and training of new AI models. The Data Lab will federate access to relevant data infrastructures, including the European Health Data Space and other relevant data spaces, with a view to fostering innovation and accelerating advances in life sciences research.</w:t>
            </w:r>
            <w:r w:rsidR="00F578C3" w:rsidRPr="00B27372">
              <w:rPr>
                <w:rFonts w:ascii="Times New Roman" w:eastAsia="Times New Roman" w:hAnsi="Times New Roman"/>
                <w:sz w:val="24"/>
                <w:szCs w:val="24"/>
                <w:lang w:val="en-IE" w:eastAsia="en-IE"/>
              </w:rPr>
              <w:t xml:space="preserve"> </w:t>
            </w:r>
            <w:r w:rsidR="002F447D" w:rsidRPr="00B27372">
              <w:rPr>
                <w:rFonts w:ascii="Times New Roman" w:eastAsia="Times New Roman" w:hAnsi="Times New Roman"/>
                <w:sz w:val="24"/>
                <w:szCs w:val="24"/>
                <w:lang w:val="en-IE" w:eastAsia="en-IE"/>
              </w:rPr>
              <w:t xml:space="preserve">Moreover, </w:t>
            </w:r>
            <w:r w:rsidR="009F798A" w:rsidRPr="00B27372">
              <w:rPr>
                <w:rFonts w:ascii="Times New Roman" w:eastAsia="Times New Roman" w:hAnsi="Times New Roman"/>
                <w:sz w:val="24"/>
                <w:szCs w:val="24"/>
                <w:lang w:val="en-IE" w:eastAsia="en-IE"/>
              </w:rPr>
              <w:t xml:space="preserve">life sciences </w:t>
            </w:r>
            <w:r w:rsidR="001E591D" w:rsidRPr="00B27372">
              <w:rPr>
                <w:rFonts w:ascii="Times New Roman" w:eastAsia="Times New Roman" w:hAnsi="Times New Roman"/>
                <w:sz w:val="24"/>
                <w:szCs w:val="24"/>
                <w:lang w:val="en-IE" w:eastAsia="en-IE"/>
              </w:rPr>
              <w:t>research and data infrastructures, including organisations such as BBMRI-ERIC</w:t>
            </w:r>
            <w:r w:rsidR="00DC55B5">
              <w:rPr>
                <w:rFonts w:ascii="Times New Roman" w:eastAsia="Times New Roman" w:hAnsi="Times New Roman"/>
                <w:sz w:val="24"/>
                <w:szCs w:val="24"/>
                <w:lang w:val="en-IE" w:eastAsia="en-IE"/>
              </w:rPr>
              <w:t xml:space="preserve"> (</w:t>
            </w:r>
            <w:r w:rsidR="00DC55B5" w:rsidRPr="00DC55B5">
              <w:rPr>
                <w:rFonts w:ascii="Times New Roman" w:eastAsia="Times New Roman" w:hAnsi="Times New Roman"/>
                <w:sz w:val="24"/>
                <w:szCs w:val="24"/>
                <w:lang w:val="en-IE" w:eastAsia="en-IE"/>
              </w:rPr>
              <w:t>Biobanking and Biomolecular Resources Research Infrastructure – European Research Infrastructure Consortium</w:t>
            </w:r>
            <w:r w:rsidR="00DC55B5">
              <w:rPr>
                <w:rFonts w:ascii="Times New Roman" w:eastAsia="Times New Roman" w:hAnsi="Times New Roman"/>
                <w:sz w:val="24"/>
                <w:szCs w:val="24"/>
                <w:lang w:val="en-IE" w:eastAsia="en-IE"/>
              </w:rPr>
              <w:t>)</w:t>
            </w:r>
            <w:r w:rsidR="001E591D" w:rsidRPr="00B27372">
              <w:rPr>
                <w:rFonts w:ascii="Times New Roman" w:eastAsia="Times New Roman" w:hAnsi="Times New Roman"/>
                <w:sz w:val="24"/>
                <w:szCs w:val="24"/>
                <w:lang w:val="en-IE" w:eastAsia="en-IE"/>
              </w:rPr>
              <w:t xml:space="preserve"> and Elixir highlighted by the EESC, are </w:t>
            </w:r>
            <w:r w:rsidR="009F798A" w:rsidRPr="00B27372">
              <w:rPr>
                <w:rFonts w:ascii="Times New Roman" w:eastAsia="Times New Roman" w:hAnsi="Times New Roman"/>
                <w:sz w:val="24"/>
                <w:szCs w:val="24"/>
                <w:lang w:val="en-IE" w:eastAsia="en-IE"/>
              </w:rPr>
              <w:t>strongly</w:t>
            </w:r>
            <w:r w:rsidR="001E591D" w:rsidRPr="00B27372">
              <w:rPr>
                <w:rFonts w:ascii="Times New Roman" w:eastAsia="Times New Roman" w:hAnsi="Times New Roman"/>
                <w:sz w:val="24"/>
                <w:szCs w:val="24"/>
                <w:lang w:val="en-IE" w:eastAsia="en-IE"/>
              </w:rPr>
              <w:t xml:space="preserve"> involved in the development of the </w:t>
            </w:r>
            <w:r w:rsidR="002F447D" w:rsidRPr="00B27372">
              <w:rPr>
                <w:rFonts w:ascii="Times New Roman" w:eastAsia="Times New Roman" w:hAnsi="Times New Roman"/>
                <w:sz w:val="24"/>
                <w:szCs w:val="24"/>
                <w:lang w:val="en-IE" w:eastAsia="en-IE"/>
              </w:rPr>
              <w:t xml:space="preserve">European Open Science Cloud </w:t>
            </w:r>
            <w:r w:rsidR="001E591D" w:rsidRPr="00B27372">
              <w:rPr>
                <w:rFonts w:ascii="Times New Roman" w:eastAsia="Times New Roman" w:hAnsi="Times New Roman"/>
                <w:sz w:val="24"/>
                <w:szCs w:val="24"/>
                <w:lang w:val="en-IE" w:eastAsia="en-IE"/>
              </w:rPr>
              <w:t>(EOSC),</w:t>
            </w:r>
            <w:r w:rsidR="002F447D" w:rsidRPr="00B27372">
              <w:rPr>
                <w:rFonts w:ascii="Times New Roman" w:eastAsia="Times New Roman" w:hAnsi="Times New Roman"/>
                <w:sz w:val="24"/>
                <w:szCs w:val="24"/>
                <w:lang w:val="en-IE" w:eastAsia="en-IE"/>
              </w:rPr>
              <w:t xml:space="preserve"> Europe’s data space for researc</w:t>
            </w:r>
            <w:r w:rsidR="001E591D" w:rsidRPr="00B27372">
              <w:rPr>
                <w:rFonts w:ascii="Times New Roman" w:eastAsia="Times New Roman" w:hAnsi="Times New Roman"/>
                <w:sz w:val="24"/>
                <w:szCs w:val="24"/>
                <w:lang w:val="en-IE" w:eastAsia="en-IE"/>
              </w:rPr>
              <w:t>h. EOSC benefits life</w:t>
            </w:r>
            <w:r w:rsidR="009F798A" w:rsidRPr="00B27372">
              <w:rPr>
                <w:rFonts w:ascii="Times New Roman" w:eastAsia="Times New Roman" w:hAnsi="Times New Roman"/>
                <w:sz w:val="24"/>
                <w:szCs w:val="24"/>
                <w:lang w:val="en-IE" w:eastAsia="en-IE"/>
              </w:rPr>
              <w:t xml:space="preserve"> </w:t>
            </w:r>
            <w:r w:rsidR="001E591D" w:rsidRPr="00B27372">
              <w:rPr>
                <w:rFonts w:ascii="Times New Roman" w:eastAsia="Times New Roman" w:hAnsi="Times New Roman"/>
                <w:sz w:val="24"/>
                <w:szCs w:val="24"/>
                <w:lang w:val="en-IE" w:eastAsia="en-IE"/>
              </w:rPr>
              <w:t xml:space="preserve">sciences research infrastructures through increased economies of scale and sharing of resources, and it benefits life-science </w:t>
            </w:r>
            <w:r w:rsidR="009F798A" w:rsidRPr="00B27372">
              <w:rPr>
                <w:rFonts w:ascii="Times New Roman" w:eastAsia="Times New Roman" w:hAnsi="Times New Roman"/>
                <w:sz w:val="24"/>
                <w:szCs w:val="24"/>
                <w:lang w:val="en-IE" w:eastAsia="en-IE"/>
              </w:rPr>
              <w:t xml:space="preserve">and interdisciplinary </w:t>
            </w:r>
            <w:r w:rsidR="001E591D" w:rsidRPr="00B27372">
              <w:rPr>
                <w:rFonts w:ascii="Times New Roman" w:eastAsia="Times New Roman" w:hAnsi="Times New Roman"/>
                <w:sz w:val="24"/>
                <w:szCs w:val="24"/>
                <w:lang w:val="en-IE" w:eastAsia="en-IE"/>
              </w:rPr>
              <w:t>researchers by enabling research data sharing and reuse across thematic research communities</w:t>
            </w:r>
            <w:r w:rsidR="009F798A" w:rsidRPr="00B27372">
              <w:rPr>
                <w:rFonts w:ascii="Times New Roman" w:eastAsia="Times New Roman" w:hAnsi="Times New Roman"/>
                <w:sz w:val="24"/>
                <w:szCs w:val="24"/>
                <w:lang w:val="en-IE" w:eastAsia="en-IE"/>
              </w:rPr>
              <w:t xml:space="preserve"> within the life sciences and beyond</w:t>
            </w:r>
            <w:r w:rsidR="001E591D" w:rsidRPr="00B27372">
              <w:rPr>
                <w:rFonts w:ascii="Times New Roman" w:eastAsia="Times New Roman" w:hAnsi="Times New Roman"/>
                <w:sz w:val="24"/>
                <w:szCs w:val="24"/>
                <w:lang w:val="en-IE" w:eastAsia="en-IE"/>
              </w:rPr>
              <w:t>.</w:t>
            </w:r>
          </w:p>
          <w:p w14:paraId="4D8FCB9D" w14:textId="7BD1CA0B" w:rsidR="00C9540C" w:rsidRPr="00B27372" w:rsidRDefault="00C9540C" w:rsidP="00B27372">
            <w:pPr>
              <w:widowControl w:val="0"/>
              <w:numPr>
                <w:ilvl w:val="0"/>
                <w:numId w:val="1"/>
              </w:numPr>
              <w:tabs>
                <w:tab w:val="clear" w:pos="720"/>
              </w:tabs>
              <w:spacing w:before="120" w:after="120"/>
              <w:ind w:left="480"/>
              <w:jc w:val="both"/>
              <w:rPr>
                <w:rFonts w:ascii="Times New Roman" w:eastAsia="Times New Roman" w:hAnsi="Times New Roman"/>
                <w:b/>
                <w:bCs/>
                <w:sz w:val="24"/>
                <w:szCs w:val="24"/>
                <w:lang w:val="en-IE" w:eastAsia="en-IE"/>
              </w:rPr>
            </w:pPr>
            <w:r w:rsidRPr="00B27372">
              <w:rPr>
                <w:rFonts w:ascii="Times New Roman" w:eastAsia="Times New Roman" w:hAnsi="Times New Roman"/>
                <w:b/>
                <w:bCs/>
                <w:sz w:val="24"/>
                <w:szCs w:val="24"/>
                <w:lang w:val="en-IE" w:eastAsia="en-IE"/>
              </w:rPr>
              <w:t>Conclusion</w:t>
            </w:r>
          </w:p>
          <w:p w14:paraId="30D14481" w14:textId="519160C6" w:rsidR="0049246C" w:rsidRPr="00B27372" w:rsidRDefault="00C9540C" w:rsidP="00D774AA">
            <w:pPr>
              <w:widowControl w:val="0"/>
              <w:spacing w:before="120" w:after="120"/>
              <w:jc w:val="both"/>
              <w:rPr>
                <w:rFonts w:ascii="Times New Roman" w:eastAsia="Times New Roman" w:hAnsi="Times New Roman"/>
                <w:sz w:val="24"/>
                <w:szCs w:val="24"/>
                <w:lang w:val="en-IE" w:eastAsia="en-IE"/>
              </w:rPr>
            </w:pPr>
            <w:r w:rsidRPr="00B27372">
              <w:rPr>
                <w:rFonts w:ascii="Times New Roman" w:eastAsia="Times New Roman" w:hAnsi="Times New Roman"/>
                <w:sz w:val="24"/>
                <w:szCs w:val="24"/>
                <w:lang w:val="en-IE" w:eastAsia="en-IE"/>
              </w:rPr>
              <w:t xml:space="preserve">In conclusion, the EESC opinion provides </w:t>
            </w:r>
            <w:r w:rsidR="008C2750" w:rsidRPr="00B27372">
              <w:rPr>
                <w:rFonts w:ascii="Times New Roman" w:eastAsia="Times New Roman" w:hAnsi="Times New Roman"/>
                <w:sz w:val="24"/>
                <w:szCs w:val="24"/>
                <w:lang w:val="en-IE" w:eastAsia="en-IE"/>
              </w:rPr>
              <w:t xml:space="preserve">extensive </w:t>
            </w:r>
            <w:r w:rsidR="00E01D50" w:rsidRPr="00B27372">
              <w:rPr>
                <w:rFonts w:ascii="Times New Roman" w:eastAsia="Times New Roman" w:hAnsi="Times New Roman"/>
                <w:sz w:val="24"/>
                <w:szCs w:val="24"/>
                <w:lang w:val="en-IE" w:eastAsia="en-IE"/>
              </w:rPr>
              <w:t xml:space="preserve">avenues </w:t>
            </w:r>
            <w:r w:rsidR="007A1214" w:rsidRPr="00B27372">
              <w:rPr>
                <w:rFonts w:ascii="Times New Roman" w:eastAsia="Times New Roman" w:hAnsi="Times New Roman"/>
                <w:sz w:val="24"/>
                <w:szCs w:val="24"/>
                <w:lang w:val="en-IE" w:eastAsia="en-IE"/>
              </w:rPr>
              <w:t xml:space="preserve">regarding how </w:t>
            </w:r>
            <w:r w:rsidR="00586621" w:rsidRPr="00B27372">
              <w:rPr>
                <w:rFonts w:ascii="Times New Roman" w:eastAsia="Times New Roman" w:hAnsi="Times New Roman"/>
                <w:sz w:val="24"/>
                <w:szCs w:val="24"/>
                <w:lang w:val="en-IE" w:eastAsia="en-IE"/>
              </w:rPr>
              <w:t xml:space="preserve">to </w:t>
            </w:r>
            <w:r w:rsidR="007A1214" w:rsidRPr="00B27372">
              <w:rPr>
                <w:rFonts w:ascii="Times New Roman" w:eastAsia="Times New Roman" w:hAnsi="Times New Roman"/>
                <w:sz w:val="24"/>
                <w:szCs w:val="24"/>
                <w:lang w:val="en-IE" w:eastAsia="en-IE"/>
              </w:rPr>
              <w:t>embrac</w:t>
            </w:r>
            <w:r w:rsidR="00586621" w:rsidRPr="00B27372">
              <w:rPr>
                <w:rFonts w:ascii="Times New Roman" w:eastAsia="Times New Roman" w:hAnsi="Times New Roman"/>
                <w:sz w:val="24"/>
                <w:szCs w:val="24"/>
                <w:lang w:val="en-IE" w:eastAsia="en-IE"/>
              </w:rPr>
              <w:t>e</w:t>
            </w:r>
            <w:r w:rsidR="007A1214" w:rsidRPr="00B27372">
              <w:rPr>
                <w:rFonts w:ascii="Times New Roman" w:eastAsia="Times New Roman" w:hAnsi="Times New Roman"/>
                <w:sz w:val="24"/>
                <w:szCs w:val="24"/>
                <w:lang w:val="en-IE" w:eastAsia="en-IE"/>
              </w:rPr>
              <w:t xml:space="preserve"> life sciences</w:t>
            </w:r>
            <w:r w:rsidR="00EB2D65" w:rsidRPr="00B27372">
              <w:rPr>
                <w:rFonts w:ascii="Times New Roman" w:eastAsia="Times New Roman" w:hAnsi="Times New Roman"/>
                <w:sz w:val="24"/>
                <w:szCs w:val="24"/>
                <w:lang w:val="en-IE" w:eastAsia="en-IE"/>
              </w:rPr>
              <w:t>,</w:t>
            </w:r>
            <w:r w:rsidR="00291A47" w:rsidRPr="00B27372">
              <w:rPr>
                <w:rFonts w:ascii="Times New Roman" w:eastAsia="Times New Roman" w:hAnsi="Times New Roman"/>
                <w:sz w:val="24"/>
                <w:szCs w:val="24"/>
                <w:lang w:val="en-IE" w:eastAsia="en-IE"/>
              </w:rPr>
              <w:t xml:space="preserve"> </w:t>
            </w:r>
            <w:r w:rsidR="00400BEA" w:rsidRPr="00B27372">
              <w:rPr>
                <w:rFonts w:ascii="Times New Roman" w:eastAsia="Times New Roman" w:hAnsi="Times New Roman"/>
                <w:sz w:val="24"/>
                <w:szCs w:val="24"/>
                <w:lang w:val="en-IE" w:eastAsia="en-IE"/>
              </w:rPr>
              <w:t>facilitat</w:t>
            </w:r>
            <w:r w:rsidR="00586621" w:rsidRPr="00B27372">
              <w:rPr>
                <w:rFonts w:ascii="Times New Roman" w:eastAsia="Times New Roman" w:hAnsi="Times New Roman"/>
                <w:sz w:val="24"/>
                <w:szCs w:val="24"/>
                <w:lang w:val="en-IE" w:eastAsia="en-IE"/>
              </w:rPr>
              <w:t>e</w:t>
            </w:r>
            <w:r w:rsidR="00400BEA" w:rsidRPr="00B27372">
              <w:rPr>
                <w:rFonts w:ascii="Times New Roman" w:eastAsia="Times New Roman" w:hAnsi="Times New Roman"/>
                <w:sz w:val="24"/>
                <w:szCs w:val="24"/>
                <w:lang w:val="en-IE" w:eastAsia="en-IE"/>
              </w:rPr>
              <w:t xml:space="preserve"> </w:t>
            </w:r>
            <w:r w:rsidR="00EB2D65" w:rsidRPr="00B27372">
              <w:rPr>
                <w:rFonts w:ascii="Times New Roman" w:eastAsia="Times New Roman" w:hAnsi="Times New Roman"/>
                <w:sz w:val="24"/>
                <w:szCs w:val="24"/>
                <w:lang w:val="en-IE" w:eastAsia="en-IE"/>
              </w:rPr>
              <w:t>and accelerat</w:t>
            </w:r>
            <w:r w:rsidR="00586621" w:rsidRPr="00B27372">
              <w:rPr>
                <w:rFonts w:ascii="Times New Roman" w:eastAsia="Times New Roman" w:hAnsi="Times New Roman"/>
                <w:sz w:val="24"/>
                <w:szCs w:val="24"/>
                <w:lang w:val="en-IE" w:eastAsia="en-IE"/>
              </w:rPr>
              <w:t xml:space="preserve">e </w:t>
            </w:r>
            <w:r w:rsidR="00400BEA" w:rsidRPr="00B27372">
              <w:rPr>
                <w:rFonts w:ascii="Times New Roman" w:eastAsia="Times New Roman" w:hAnsi="Times New Roman"/>
                <w:sz w:val="24"/>
                <w:szCs w:val="24"/>
                <w:lang w:val="en-IE" w:eastAsia="en-IE"/>
              </w:rPr>
              <w:t>the life science innovation journey</w:t>
            </w:r>
            <w:r w:rsidR="00586621" w:rsidRPr="00B27372">
              <w:rPr>
                <w:rFonts w:ascii="Times New Roman" w:eastAsia="Times New Roman" w:hAnsi="Times New Roman"/>
                <w:sz w:val="24"/>
                <w:szCs w:val="24"/>
                <w:lang w:val="en-IE" w:eastAsia="en-IE"/>
              </w:rPr>
              <w:t xml:space="preserve">, which </w:t>
            </w:r>
            <w:r w:rsidR="00400BEA" w:rsidRPr="00B27372">
              <w:rPr>
                <w:rFonts w:ascii="Times New Roman" w:eastAsia="Times New Roman" w:hAnsi="Times New Roman"/>
                <w:sz w:val="24"/>
                <w:szCs w:val="24"/>
                <w:lang w:val="en-IE" w:eastAsia="en-IE"/>
              </w:rPr>
              <w:t>c</w:t>
            </w:r>
            <w:r w:rsidR="00EC03CA" w:rsidRPr="00B27372">
              <w:rPr>
                <w:rFonts w:ascii="Times New Roman" w:eastAsia="Times New Roman" w:hAnsi="Times New Roman"/>
                <w:sz w:val="24"/>
                <w:szCs w:val="24"/>
                <w:lang w:val="en-IE" w:eastAsia="en-IE"/>
              </w:rPr>
              <w:t>ould</w:t>
            </w:r>
            <w:r w:rsidR="00437730" w:rsidRPr="00B27372">
              <w:rPr>
                <w:rFonts w:ascii="Times New Roman" w:eastAsia="Times New Roman" w:hAnsi="Times New Roman"/>
                <w:sz w:val="24"/>
                <w:szCs w:val="24"/>
                <w:lang w:val="en-IE" w:eastAsia="en-IE"/>
              </w:rPr>
              <w:t xml:space="preserve"> </w:t>
            </w:r>
            <w:r w:rsidR="00F27A16" w:rsidRPr="00B27372">
              <w:rPr>
                <w:rFonts w:ascii="Times New Roman" w:eastAsia="Times New Roman" w:hAnsi="Times New Roman"/>
                <w:sz w:val="24"/>
                <w:szCs w:val="24"/>
                <w:lang w:val="en-IE" w:eastAsia="en-IE"/>
              </w:rPr>
              <w:t>ultimately benefit patients</w:t>
            </w:r>
            <w:r w:rsidR="00586621" w:rsidRPr="00B27372">
              <w:rPr>
                <w:rFonts w:ascii="Times New Roman" w:eastAsia="Times New Roman" w:hAnsi="Times New Roman"/>
                <w:sz w:val="24"/>
                <w:szCs w:val="24"/>
                <w:lang w:val="en-IE" w:eastAsia="en-IE"/>
              </w:rPr>
              <w:t xml:space="preserve"> </w:t>
            </w:r>
            <w:r w:rsidR="00072F8A" w:rsidRPr="00B27372">
              <w:rPr>
                <w:rFonts w:ascii="Times New Roman" w:eastAsia="Times New Roman" w:hAnsi="Times New Roman"/>
                <w:sz w:val="24"/>
                <w:szCs w:val="24"/>
                <w:lang w:val="en-IE" w:eastAsia="en-IE"/>
              </w:rPr>
              <w:t>including those</w:t>
            </w:r>
            <w:r w:rsidR="00F27A16" w:rsidRPr="00B27372">
              <w:rPr>
                <w:rFonts w:ascii="Times New Roman" w:eastAsia="Times New Roman" w:hAnsi="Times New Roman"/>
                <w:sz w:val="24"/>
                <w:szCs w:val="24"/>
                <w:lang w:val="en-IE" w:eastAsia="en-IE"/>
              </w:rPr>
              <w:t xml:space="preserve"> affected by rare diseases. </w:t>
            </w:r>
            <w:r w:rsidR="00477D2E" w:rsidRPr="00B27372">
              <w:rPr>
                <w:rFonts w:ascii="Times New Roman" w:eastAsia="Times New Roman" w:hAnsi="Times New Roman"/>
                <w:sz w:val="24"/>
                <w:szCs w:val="24"/>
                <w:lang w:val="en-IE" w:eastAsia="en-IE"/>
              </w:rPr>
              <w:t xml:space="preserve">Research and innovation will be central in achieving </w:t>
            </w:r>
            <w:r w:rsidR="00AA0450" w:rsidRPr="00B27372">
              <w:rPr>
                <w:rFonts w:ascii="Times New Roman" w:eastAsia="Times New Roman" w:hAnsi="Times New Roman"/>
                <w:sz w:val="24"/>
                <w:szCs w:val="24"/>
                <w:lang w:val="en-IE" w:eastAsia="en-IE"/>
              </w:rPr>
              <w:t>this</w:t>
            </w:r>
            <w:r w:rsidR="00477D2E" w:rsidRPr="00B27372">
              <w:rPr>
                <w:rFonts w:ascii="Times New Roman" w:eastAsia="Times New Roman" w:hAnsi="Times New Roman"/>
                <w:sz w:val="24"/>
                <w:szCs w:val="24"/>
                <w:lang w:val="en-IE" w:eastAsia="en-IE"/>
              </w:rPr>
              <w:t xml:space="preserve">, requiring </w:t>
            </w:r>
            <w:r w:rsidRPr="00B27372">
              <w:rPr>
                <w:rFonts w:ascii="Times New Roman" w:eastAsia="Times New Roman" w:hAnsi="Times New Roman"/>
                <w:sz w:val="24"/>
                <w:szCs w:val="24"/>
                <w:lang w:val="en-IE" w:eastAsia="en-IE"/>
              </w:rPr>
              <w:t xml:space="preserve">coordinated action and collaborative efforts </w:t>
            </w:r>
            <w:r w:rsidR="003B4C97" w:rsidRPr="00B27372">
              <w:rPr>
                <w:rFonts w:ascii="Times New Roman" w:eastAsia="Times New Roman" w:hAnsi="Times New Roman"/>
                <w:sz w:val="24"/>
                <w:szCs w:val="24"/>
                <w:lang w:val="en-IE" w:eastAsia="en-IE"/>
              </w:rPr>
              <w:t>involv</w:t>
            </w:r>
            <w:r w:rsidR="000F335C" w:rsidRPr="00B27372">
              <w:rPr>
                <w:rFonts w:ascii="Times New Roman" w:eastAsia="Times New Roman" w:hAnsi="Times New Roman"/>
                <w:sz w:val="24"/>
                <w:szCs w:val="24"/>
                <w:lang w:val="en-IE" w:eastAsia="en-IE"/>
              </w:rPr>
              <w:t>ing</w:t>
            </w:r>
            <w:r w:rsidR="003B4C97" w:rsidRPr="00B27372">
              <w:rPr>
                <w:rFonts w:ascii="Times New Roman" w:eastAsia="Times New Roman" w:hAnsi="Times New Roman"/>
                <w:sz w:val="24"/>
                <w:szCs w:val="24"/>
                <w:lang w:val="en-IE" w:eastAsia="en-IE"/>
              </w:rPr>
              <w:t xml:space="preserve"> Member States, researchers, innovators, companies, investors, legislators</w:t>
            </w:r>
            <w:r w:rsidR="000F335C" w:rsidRPr="00B27372">
              <w:rPr>
                <w:rFonts w:ascii="Times New Roman" w:eastAsia="Times New Roman" w:hAnsi="Times New Roman"/>
                <w:sz w:val="24"/>
                <w:szCs w:val="24"/>
                <w:lang w:val="en-IE" w:eastAsia="en-IE"/>
              </w:rPr>
              <w:t xml:space="preserve"> and</w:t>
            </w:r>
            <w:r w:rsidR="003B4C97" w:rsidRPr="00B27372">
              <w:rPr>
                <w:rFonts w:ascii="Times New Roman" w:eastAsia="Times New Roman" w:hAnsi="Times New Roman"/>
                <w:sz w:val="24"/>
                <w:szCs w:val="24"/>
                <w:lang w:val="en-IE" w:eastAsia="en-IE"/>
              </w:rPr>
              <w:t xml:space="preserve"> civil society</w:t>
            </w:r>
            <w:r w:rsidR="007632BB" w:rsidRPr="00B27372">
              <w:rPr>
                <w:rFonts w:ascii="Times New Roman" w:eastAsia="Times New Roman" w:hAnsi="Times New Roman"/>
                <w:sz w:val="24"/>
                <w:szCs w:val="24"/>
                <w:lang w:val="en-IE" w:eastAsia="en-IE"/>
              </w:rPr>
              <w:t xml:space="preserve">. The Strategy for European Life Sciences </w:t>
            </w:r>
            <w:r w:rsidR="00A23F3A" w:rsidRPr="00B27372">
              <w:rPr>
                <w:rFonts w:ascii="Times New Roman" w:eastAsia="Times New Roman" w:hAnsi="Times New Roman"/>
                <w:sz w:val="24"/>
                <w:szCs w:val="24"/>
                <w:lang w:val="en-IE" w:eastAsia="en-IE"/>
              </w:rPr>
              <w:t xml:space="preserve">provides </w:t>
            </w:r>
            <w:r w:rsidR="00213E2D" w:rsidRPr="00B27372">
              <w:rPr>
                <w:rFonts w:ascii="Times New Roman" w:eastAsia="Times New Roman" w:hAnsi="Times New Roman"/>
                <w:sz w:val="24"/>
                <w:szCs w:val="24"/>
                <w:lang w:val="en-IE" w:eastAsia="en-IE"/>
              </w:rPr>
              <w:t>the appropriate framework</w:t>
            </w:r>
            <w:r w:rsidR="00942286" w:rsidRPr="00B27372">
              <w:rPr>
                <w:rFonts w:ascii="Times New Roman" w:eastAsia="Times New Roman" w:hAnsi="Times New Roman"/>
                <w:sz w:val="24"/>
                <w:szCs w:val="24"/>
                <w:lang w:val="en-IE" w:eastAsia="en-IE"/>
              </w:rPr>
              <w:t xml:space="preserve"> to</w:t>
            </w:r>
            <w:r w:rsidR="000108AB" w:rsidRPr="00B27372">
              <w:rPr>
                <w:rFonts w:ascii="Times New Roman" w:eastAsia="Times New Roman" w:hAnsi="Times New Roman"/>
                <w:sz w:val="24"/>
                <w:szCs w:val="24"/>
                <w:lang w:val="en-IE" w:eastAsia="en-IE"/>
              </w:rPr>
              <w:t xml:space="preserve"> generat</w:t>
            </w:r>
            <w:r w:rsidR="00942286" w:rsidRPr="00B27372">
              <w:rPr>
                <w:rFonts w:ascii="Times New Roman" w:eastAsia="Times New Roman" w:hAnsi="Times New Roman"/>
                <w:sz w:val="24"/>
                <w:szCs w:val="24"/>
                <w:lang w:val="en-IE" w:eastAsia="en-IE"/>
              </w:rPr>
              <w:t>e such</w:t>
            </w:r>
            <w:r w:rsidR="00422933" w:rsidRPr="00B27372">
              <w:rPr>
                <w:rFonts w:ascii="Times New Roman" w:eastAsia="Times New Roman" w:hAnsi="Times New Roman"/>
                <w:sz w:val="24"/>
                <w:szCs w:val="24"/>
                <w:lang w:val="en-IE" w:eastAsia="en-IE"/>
              </w:rPr>
              <w:t xml:space="preserve"> tangible and lasting benefits</w:t>
            </w:r>
            <w:r w:rsidR="00832988" w:rsidRPr="00B27372">
              <w:rPr>
                <w:rFonts w:ascii="Times New Roman" w:eastAsia="Times New Roman" w:hAnsi="Times New Roman"/>
                <w:sz w:val="24"/>
                <w:szCs w:val="24"/>
                <w:lang w:val="en-IE" w:eastAsia="en-IE"/>
              </w:rPr>
              <w:t xml:space="preserve"> </w:t>
            </w:r>
            <w:r w:rsidRPr="00B27372">
              <w:rPr>
                <w:rFonts w:ascii="Times New Roman" w:eastAsia="Times New Roman" w:hAnsi="Times New Roman"/>
                <w:sz w:val="24"/>
                <w:szCs w:val="24"/>
                <w:lang w:val="en-IE" w:eastAsia="en-IE"/>
              </w:rPr>
              <w:t>in the European Union.</w:t>
            </w:r>
          </w:p>
        </w:tc>
      </w:tr>
    </w:tbl>
    <w:p w14:paraId="7E347EA8" w14:textId="3EEBE380" w:rsidR="004F6117" w:rsidRDefault="004F6117" w:rsidP="00554137">
      <w:pPr>
        <w:spacing w:after="0"/>
        <w:ind w:left="-425"/>
        <w:rPr>
          <w:rFonts w:ascii="Times New Roman" w:hAnsi="Times New Roman"/>
          <w:b/>
          <w:sz w:val="16"/>
          <w:szCs w:val="16"/>
          <w:u w:val="single"/>
        </w:rPr>
      </w:pPr>
    </w:p>
    <w:p w14:paraId="41D86A3C" w14:textId="77777777" w:rsidR="00554137" w:rsidRPr="00554137" w:rsidRDefault="00554137" w:rsidP="00554137">
      <w:pPr>
        <w:ind w:left="-426"/>
        <w:rPr>
          <w:rFonts w:ascii="Times New Roman" w:hAnsi="Times New Roman"/>
          <w:b/>
          <w:sz w:val="16"/>
          <w:szCs w:val="16"/>
          <w:u w:val="single"/>
        </w:rPr>
      </w:pPr>
    </w:p>
    <w:sectPr w:rsidR="00554137" w:rsidRPr="00554137">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46D9D" w14:textId="77777777" w:rsidR="002A72FF" w:rsidRDefault="002A72FF" w:rsidP="00FF63EA">
      <w:pPr>
        <w:spacing w:after="0" w:line="240" w:lineRule="auto"/>
      </w:pPr>
      <w:r>
        <w:separator/>
      </w:r>
    </w:p>
  </w:endnote>
  <w:endnote w:type="continuationSeparator" w:id="0">
    <w:p w14:paraId="0C2761D3" w14:textId="77777777" w:rsidR="002A72FF" w:rsidRDefault="002A72FF"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EBD8D" w14:textId="77777777" w:rsidR="002C728F" w:rsidRDefault="002C7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32663" w14:textId="77777777" w:rsidR="002A72FF" w:rsidRDefault="002A72FF" w:rsidP="00FF63EA">
      <w:pPr>
        <w:spacing w:after="0" w:line="240" w:lineRule="auto"/>
      </w:pPr>
      <w:r>
        <w:separator/>
      </w:r>
    </w:p>
  </w:footnote>
  <w:footnote w:type="continuationSeparator" w:id="0">
    <w:p w14:paraId="0F04E1B8" w14:textId="77777777" w:rsidR="002A72FF" w:rsidRDefault="002A72FF" w:rsidP="00FF63EA">
      <w:pPr>
        <w:spacing w:after="0" w:line="240" w:lineRule="auto"/>
      </w:pPr>
      <w:r>
        <w:continuationSeparator/>
      </w:r>
    </w:p>
  </w:footnote>
  <w:footnote w:id="1">
    <w:p w14:paraId="79BABF87" w14:textId="73A3CAFD" w:rsidR="00E83776" w:rsidRPr="00D774AA" w:rsidRDefault="00E83776" w:rsidP="00421AC9">
      <w:pPr>
        <w:pStyle w:val="FootnoteText"/>
        <w:ind w:left="0" w:hanging="426"/>
        <w:rPr>
          <w:sz w:val="2"/>
          <w:szCs w:val="2"/>
          <w:lang w:val="hu-HU"/>
        </w:rPr>
      </w:pPr>
    </w:p>
    <w:p w14:paraId="4BA6B93A" w14:textId="7C0DEFF3" w:rsidR="005600F5" w:rsidRPr="001F552D" w:rsidRDefault="003A5255" w:rsidP="004349C2">
      <w:pPr>
        <w:pStyle w:val="FootnoteText"/>
        <w:widowControl w:val="0"/>
        <w:spacing w:after="0"/>
        <w:ind w:left="0" w:hanging="426"/>
        <w:rPr>
          <w:bCs/>
          <w:lang w:val="pt-BR"/>
        </w:rPr>
      </w:pPr>
      <w:r w:rsidRPr="004349C2">
        <w:rPr>
          <w:rStyle w:val="FootnoteReference"/>
          <w:lang w:val="pt-PT"/>
        </w:rPr>
        <w:t>1</w:t>
      </w:r>
      <w:r w:rsidR="005600F5" w:rsidRPr="001F552D">
        <w:rPr>
          <w:lang w:val="pt-BR"/>
        </w:rPr>
        <w:t xml:space="preserve"> </w:t>
      </w:r>
      <w:r w:rsidR="00FB0A75">
        <w:rPr>
          <w:lang w:val="pt-BR"/>
        </w:rPr>
        <w:tab/>
      </w:r>
      <w:r w:rsidR="005600F5" w:rsidRPr="001F552D">
        <w:rPr>
          <w:lang w:val="pt-BR"/>
        </w:rPr>
        <w:t>COM</w:t>
      </w:r>
      <w:r w:rsidR="005600F5" w:rsidRPr="001F552D">
        <w:rPr>
          <w:bCs/>
          <w:lang w:val="pt-BR"/>
        </w:rPr>
        <w:t xml:space="preserve">(2025) </w:t>
      </w:r>
      <w:r w:rsidR="000044FF" w:rsidRPr="001F552D">
        <w:rPr>
          <w:bCs/>
          <w:lang w:val="pt-BR"/>
        </w:rPr>
        <w:t>525</w:t>
      </w:r>
      <w:r w:rsidR="005600F5" w:rsidRPr="001F552D">
        <w:rPr>
          <w:bCs/>
          <w:lang w:val="pt-BR"/>
        </w:rPr>
        <w:t xml:space="preserve"> final (</w:t>
      </w:r>
      <w:r w:rsidR="002561A0">
        <w:fldChar w:fldCharType="begin"/>
      </w:r>
      <w:r w:rsidR="002561A0" w:rsidRPr="003A5255">
        <w:rPr>
          <w:lang w:val="pt-PT"/>
        </w:rPr>
        <w:instrText>HYPERLINK "https://eur-lex.europa.eu/legal-content/EN/TXT/?uri=celex:52025DC0525"</w:instrText>
      </w:r>
      <w:r w:rsidR="002561A0">
        <w:fldChar w:fldCharType="separate"/>
      </w:r>
      <w:r w:rsidR="002561A0" w:rsidRPr="001F552D">
        <w:rPr>
          <w:rStyle w:val="Hyperlink"/>
          <w:bCs/>
          <w:lang w:val="pt-BR"/>
        </w:rPr>
        <w:t>https://eur-lex.europa.eu/legal-content/EN/TXT/?uri=celex:52025DC0525</w:t>
      </w:r>
      <w:r w:rsidR="002561A0">
        <w:fldChar w:fldCharType="end"/>
      </w:r>
      <w:r w:rsidR="005600F5" w:rsidRPr="001F552D">
        <w:rPr>
          <w:bCs/>
          <w:lang w:val="pt-BR"/>
        </w:rPr>
        <w:t>).</w:t>
      </w:r>
    </w:p>
  </w:footnote>
  <w:footnote w:id="2">
    <w:p w14:paraId="3A98DB5F" w14:textId="04F1D263" w:rsidR="00C720A8" w:rsidRPr="00EA61E2" w:rsidRDefault="00C720A8" w:rsidP="004349C2">
      <w:pPr>
        <w:pStyle w:val="FootnoteText"/>
        <w:widowControl w:val="0"/>
        <w:spacing w:after="0"/>
        <w:ind w:left="0" w:hanging="426"/>
        <w:rPr>
          <w:lang w:val="en-IE"/>
        </w:rPr>
      </w:pPr>
      <w:r>
        <w:rPr>
          <w:rStyle w:val="FootnoteReference"/>
        </w:rPr>
        <w:footnoteRef/>
      </w:r>
      <w:r>
        <w:t xml:space="preserve"> </w:t>
      </w:r>
      <w:r w:rsidR="00FB0A75">
        <w:tab/>
      </w:r>
      <w:r w:rsidRPr="00EA61E2">
        <w:t>Regulation</w:t>
      </w:r>
      <w:r w:rsidRPr="00EA61E2">
        <w:rPr>
          <w:lang w:val="en-IE"/>
        </w:rPr>
        <w:t xml:space="preserve"> (EC) 141/2000</w:t>
      </w:r>
      <w:r w:rsidR="00EA61E2" w:rsidRPr="00EA61E2">
        <w:rPr>
          <w:lang w:val="en-IE"/>
        </w:rPr>
        <w:t xml:space="preserve"> </w:t>
      </w:r>
      <w:r w:rsidR="00EA61E2">
        <w:rPr>
          <w:lang w:val="en-IE"/>
        </w:rPr>
        <w:t>(</w:t>
      </w:r>
      <w:hyperlink r:id="rId1" w:history="1">
        <w:r w:rsidR="00EA61E2" w:rsidRPr="00165BF1">
          <w:rPr>
            <w:rStyle w:val="Hyperlink"/>
            <w:lang w:val="en-IE"/>
          </w:rPr>
          <w:t>https://eur-lex.europa.eu/LexUriServ/LexUriServ.do?uri=OJ:L:2000:018:0001:0005:en:PDF</w:t>
        </w:r>
      </w:hyperlink>
      <w:r w:rsidR="00EA61E2" w:rsidRPr="00EA61E2">
        <w:rPr>
          <w:lang w:val="en-IE"/>
        </w:rPr>
        <w:t>)</w:t>
      </w:r>
      <w:r w:rsidR="00EA61E2">
        <w:rPr>
          <w:lang w:val="en-IE"/>
        </w:rPr>
        <w:t>.</w:t>
      </w:r>
    </w:p>
  </w:footnote>
  <w:footnote w:id="3">
    <w:p w14:paraId="6BE963EB" w14:textId="051C780D" w:rsidR="000543BE" w:rsidRPr="00E269D7" w:rsidRDefault="000543BE" w:rsidP="004349C2">
      <w:pPr>
        <w:pStyle w:val="FootnoteText"/>
        <w:widowControl w:val="0"/>
        <w:spacing w:after="0"/>
        <w:ind w:left="0" w:hanging="426"/>
      </w:pPr>
      <w:r w:rsidRPr="00E269D7">
        <w:rPr>
          <w:rStyle w:val="FootnoteReference"/>
        </w:rPr>
        <w:footnoteRef/>
      </w:r>
      <w:r w:rsidRPr="00E269D7">
        <w:t xml:space="preserve"> </w:t>
      </w:r>
      <w:r w:rsidR="00FB0A75">
        <w:tab/>
      </w:r>
      <w:hyperlink r:id="rId2" w:history="1">
        <w:r w:rsidR="00B27372" w:rsidRPr="003228D1">
          <w:rPr>
            <w:rStyle w:val="Hyperlink"/>
          </w:rPr>
          <w:t>https://ec.europa.eu/commission/presscorner/detail/en/ip_25_3015</w:t>
        </w:r>
      </w:hyperlink>
      <w:r w:rsidR="00B27372">
        <w:t xml:space="preserve"> .</w:t>
      </w:r>
    </w:p>
  </w:footnote>
  <w:footnote w:id="4">
    <w:p w14:paraId="55B59911" w14:textId="79E49B32" w:rsidR="008514C1" w:rsidRPr="003A5255" w:rsidRDefault="008514C1" w:rsidP="004349C2">
      <w:pPr>
        <w:pStyle w:val="FootnoteText"/>
        <w:widowControl w:val="0"/>
        <w:spacing w:after="0"/>
        <w:ind w:left="0" w:hanging="425"/>
      </w:pPr>
      <w:r>
        <w:rPr>
          <w:rStyle w:val="FootnoteReference"/>
        </w:rPr>
        <w:footnoteRef/>
      </w:r>
      <w:r w:rsidR="617D9CC2" w:rsidRPr="003A5255">
        <w:t xml:space="preserve"> </w:t>
      </w:r>
      <w:r w:rsidR="00FB0A75" w:rsidRPr="003A5255">
        <w:tab/>
      </w:r>
      <w:r w:rsidR="617D9CC2" w:rsidRPr="003A5255">
        <w:t>COM(2025) 90 final (</w:t>
      </w:r>
      <w:hyperlink r:id="rId3">
        <w:r w:rsidR="617D9CC2" w:rsidRPr="003A5255">
          <w:rPr>
            <w:rStyle w:val="Hyperlink"/>
          </w:rPr>
          <w:t>eur-lex.europa.eu/legal-content/EN/TXT/PDF/?uri=CELEX%3A52025DC0090</w:t>
        </w:r>
      </w:hyperlink>
      <w:r w:rsidR="617D9CC2" w:rsidRPr="003A5255">
        <w:t>).</w:t>
      </w:r>
    </w:p>
  </w:footnote>
  <w:footnote w:id="5">
    <w:p w14:paraId="10EC91E7" w14:textId="05FCA3D7" w:rsidR="00B27372" w:rsidRPr="003A5255" w:rsidRDefault="00B27372" w:rsidP="00CF3CD6">
      <w:pPr>
        <w:pStyle w:val="FootnoteText"/>
        <w:widowControl w:val="0"/>
        <w:spacing w:after="0"/>
        <w:ind w:left="0" w:hanging="425"/>
      </w:pPr>
      <w:r>
        <w:rPr>
          <w:rStyle w:val="FootnoteReference"/>
        </w:rPr>
        <w:footnoteRef/>
      </w:r>
      <w:r w:rsidRPr="003A5255">
        <w:t xml:space="preserve"> </w:t>
      </w:r>
      <w:r w:rsidRPr="003A5255">
        <w:tab/>
        <w:t>COM(2025) 270 final (</w:t>
      </w:r>
      <w:hyperlink r:id="rId4" w:history="1">
        <w:r w:rsidRPr="003A5255">
          <w:rPr>
            <w:rStyle w:val="Hyperlink"/>
          </w:rPr>
          <w:t>EUR-Lex - 52025DC0270 - EN - EUR-Lex</w:t>
        </w:r>
      </w:hyperlink>
      <w:r w:rsidRPr="003A5255">
        <w:t>).</w:t>
      </w:r>
    </w:p>
  </w:footnote>
  <w:footnote w:id="6">
    <w:p w14:paraId="785A52B6" w14:textId="1C5A28BB" w:rsidR="00E83776" w:rsidRPr="00E83776" w:rsidRDefault="00E83776" w:rsidP="00D774AA">
      <w:pPr>
        <w:pStyle w:val="FootnoteText"/>
        <w:widowControl w:val="0"/>
        <w:spacing w:after="0"/>
        <w:ind w:left="0" w:hanging="426"/>
        <w:rPr>
          <w:lang w:val="hu-HU"/>
        </w:rPr>
      </w:pPr>
      <w:r>
        <w:rPr>
          <w:rStyle w:val="FootnoteReference"/>
        </w:rPr>
        <w:footnoteRef/>
      </w:r>
      <w:r>
        <w:t xml:space="preserve"> </w:t>
      </w:r>
      <w:r w:rsidR="00FB0A75">
        <w:tab/>
      </w:r>
      <w:r w:rsidRPr="00E83776">
        <w:t>Regulation (EU) 2025/327 of the European Parliament and of the Council of 11 February 2025</w:t>
      </w:r>
      <w:r>
        <w:t xml:space="preserve"> </w:t>
      </w:r>
      <w:hyperlink r:id="rId5" w:history="1">
        <w:r w:rsidRPr="00796F7C">
          <w:rPr>
            <w:rStyle w:val="Hyperlink"/>
          </w:rPr>
          <w:t>https://eur-lex.europa.eu/legal-content/EN/TXT/?uri=OJ:L_202500327</w:t>
        </w:r>
      </w:hyperlink>
      <w:r w:rsidR="00FB0A75">
        <w:t>.</w:t>
      </w:r>
    </w:p>
  </w:footnote>
  <w:footnote w:id="7">
    <w:p w14:paraId="48349A7A" w14:textId="49D94C93" w:rsidR="004F70AF" w:rsidRPr="00D774AA" w:rsidRDefault="004F70AF" w:rsidP="00DC55B5">
      <w:pPr>
        <w:pStyle w:val="FootnoteText"/>
        <w:rPr>
          <w:lang w:val="fr-BE"/>
        </w:rPr>
      </w:pPr>
      <w:r>
        <w:rPr>
          <w:rStyle w:val="FootnoteReference"/>
        </w:rPr>
        <w:footnoteRef/>
      </w:r>
      <w:r w:rsidRPr="007C4C5D">
        <w:rPr>
          <w:lang w:val="fr-FR"/>
        </w:rPr>
        <w:t xml:space="preserve"> </w:t>
      </w:r>
      <w:r w:rsidR="00FB0A75">
        <w:rPr>
          <w:lang w:val="fr-FR"/>
        </w:rPr>
        <w:tab/>
      </w:r>
      <w:r w:rsidR="00DC55B5" w:rsidRPr="00D774AA">
        <w:rPr>
          <w:lang w:val="fr-BE"/>
        </w:rPr>
        <w:t xml:space="preserve">C/2021/6712 </w:t>
      </w:r>
      <w:r w:rsidR="00DC55B5">
        <w:rPr>
          <w:lang w:val="fr-BE"/>
        </w:rPr>
        <w:t>(</w:t>
      </w:r>
      <w:proofErr w:type="spellStart"/>
      <w:r w:rsidR="00DC55B5">
        <w:fldChar w:fldCharType="begin"/>
      </w:r>
      <w:r w:rsidR="00DC55B5" w:rsidRPr="003A5255">
        <w:rPr>
          <w:lang w:val="fr-BE"/>
        </w:rPr>
        <w:instrText>HYPERLINK "https://eur-lex.europa.eu/legal-content/EN/TXT/?uri=oj:JOC_2021_393_I_0002"</w:instrText>
      </w:r>
      <w:r w:rsidR="00DC55B5">
        <w:fldChar w:fldCharType="separate"/>
      </w:r>
      <w:r w:rsidR="00DC55B5" w:rsidRPr="00D774AA">
        <w:rPr>
          <w:rStyle w:val="Hyperlink"/>
          <w:lang w:val="fr-BE"/>
        </w:rPr>
        <w:t>Decision</w:t>
      </w:r>
      <w:proofErr w:type="spellEnd"/>
      <w:r w:rsidR="00DC55B5" w:rsidRPr="00D774AA">
        <w:rPr>
          <w:rStyle w:val="Hyperlink"/>
          <w:lang w:val="fr-BE"/>
        </w:rPr>
        <w:t xml:space="preserve"> - 16 </w:t>
      </w:r>
      <w:proofErr w:type="spellStart"/>
      <w:r w:rsidR="00DC55B5" w:rsidRPr="00D774AA">
        <w:rPr>
          <w:rStyle w:val="Hyperlink"/>
          <w:lang w:val="fr-BE"/>
        </w:rPr>
        <w:t>September</w:t>
      </w:r>
      <w:proofErr w:type="spellEnd"/>
      <w:r w:rsidR="00DC55B5" w:rsidRPr="00D774AA">
        <w:rPr>
          <w:rStyle w:val="Hyperlink"/>
          <w:lang w:val="fr-BE"/>
        </w:rPr>
        <w:t xml:space="preserve"> 2021 - EN - EUR-Lex</w:t>
      </w:r>
      <w:r w:rsidR="00DC55B5">
        <w:fldChar w:fldCharType="end"/>
      </w:r>
      <w:r w:rsidR="00DC55B5">
        <w:rPr>
          <w:lang w:val="fr-BE"/>
        </w:rPr>
        <w:t>)</w:t>
      </w:r>
      <w:r w:rsidR="00FB0A75" w:rsidRPr="00D774AA">
        <w:rPr>
          <w:lang w:val="fr-BE"/>
        </w:rPr>
        <w:t>.</w:t>
      </w:r>
    </w:p>
  </w:footnote>
  <w:footnote w:id="8">
    <w:p w14:paraId="032132F1" w14:textId="0E75512F" w:rsidR="00B44045" w:rsidRPr="001F552D" w:rsidRDefault="00B44045" w:rsidP="008C1BFC">
      <w:pPr>
        <w:pStyle w:val="FootnoteText"/>
        <w:spacing w:after="0"/>
        <w:rPr>
          <w:lang w:val="hu-HU"/>
        </w:rPr>
      </w:pPr>
      <w:r>
        <w:rPr>
          <w:rStyle w:val="FootnoteReference"/>
        </w:rPr>
        <w:footnoteRef/>
      </w:r>
      <w:r w:rsidRPr="001F552D">
        <w:rPr>
          <w:lang w:val="hu-HU"/>
        </w:rPr>
        <w:t xml:space="preserve"> </w:t>
      </w:r>
      <w:r w:rsidR="00421AC9">
        <w:rPr>
          <w:lang w:val="hu-HU"/>
        </w:rPr>
        <w:tab/>
      </w:r>
      <w:r w:rsidR="00421AC9">
        <w:fldChar w:fldCharType="begin"/>
      </w:r>
      <w:r w:rsidR="00421AC9" w:rsidRPr="00CF4EDE">
        <w:rPr>
          <w:lang w:val="fr-BE"/>
        </w:rPr>
        <w:instrText>HYPERLINK "https://erdera.org/"</w:instrText>
      </w:r>
      <w:r w:rsidR="00421AC9">
        <w:fldChar w:fldCharType="separate"/>
      </w:r>
      <w:r w:rsidR="00421AC9" w:rsidRPr="00421AC9">
        <w:rPr>
          <w:rStyle w:val="Hyperlink"/>
          <w:lang w:val="hu-HU"/>
        </w:rPr>
        <w:t>https://erdera.org/</w:t>
      </w:r>
      <w:r w:rsidR="00421AC9">
        <w:fldChar w:fldCharType="end"/>
      </w:r>
      <w:r w:rsidR="00421AC9" w:rsidRPr="00D774AA">
        <w:rPr>
          <w:lang w:val="fr-BE"/>
        </w:rPr>
        <w:t>.</w:t>
      </w:r>
      <w:r w:rsidRPr="001F552D">
        <w:rPr>
          <w:lang w:val="hu-HU"/>
        </w:rPr>
        <w:t xml:space="preserve"> </w:t>
      </w:r>
    </w:p>
  </w:footnote>
  <w:footnote w:id="9">
    <w:p w14:paraId="38CC3B09" w14:textId="57AEDC1A" w:rsidR="00F578C3" w:rsidRPr="00F578C3" w:rsidRDefault="00F578C3" w:rsidP="00D774AA">
      <w:pPr>
        <w:pStyle w:val="FootnoteText"/>
        <w:widowControl w:val="0"/>
        <w:spacing w:after="0"/>
        <w:rPr>
          <w:lang w:val="hu-HU"/>
        </w:rPr>
      </w:pPr>
      <w:r>
        <w:rPr>
          <w:rStyle w:val="FootnoteReference"/>
        </w:rPr>
        <w:footnoteRef/>
      </w:r>
      <w:r w:rsidRPr="00F578C3">
        <w:rPr>
          <w:lang w:val="hu-HU"/>
        </w:rPr>
        <w:t xml:space="preserve"> </w:t>
      </w:r>
      <w:r w:rsidR="00421AC9">
        <w:rPr>
          <w:lang w:val="hu-HU"/>
        </w:rPr>
        <w:tab/>
      </w:r>
      <w:r w:rsidR="00421AC9">
        <w:fldChar w:fldCharType="begin"/>
      </w:r>
      <w:r w:rsidR="00421AC9" w:rsidRPr="00CF4EDE">
        <w:rPr>
          <w:lang w:val="fr-BE"/>
        </w:rPr>
        <w:instrText>HYPERLINK "https://cordis.europa.eu/project/id/777389"</w:instrText>
      </w:r>
      <w:r w:rsidR="00421AC9">
        <w:fldChar w:fldCharType="separate"/>
      </w:r>
      <w:r w:rsidR="00421AC9" w:rsidRPr="00421AC9">
        <w:rPr>
          <w:rStyle w:val="Hyperlink"/>
          <w:lang w:val="hu-HU"/>
        </w:rPr>
        <w:t>https://cordis.europa.eu/project/id/777389</w:t>
      </w:r>
      <w:r w:rsidR="00421AC9">
        <w:fldChar w:fldCharType="end"/>
      </w:r>
      <w:r w:rsidR="00A613BF">
        <w:rPr>
          <w:lang w:val="hu-HU"/>
        </w:rPr>
        <w:t xml:space="preserve"> </w:t>
      </w:r>
    </w:p>
  </w:footnote>
  <w:footnote w:id="10">
    <w:p w14:paraId="4B54B0F9" w14:textId="7A32BD08" w:rsidR="00F578C3" w:rsidRPr="00F578C3" w:rsidRDefault="00F578C3" w:rsidP="00D774AA">
      <w:pPr>
        <w:pStyle w:val="FootnoteText"/>
        <w:widowControl w:val="0"/>
        <w:spacing w:after="0"/>
        <w:rPr>
          <w:lang w:val="hu-HU"/>
        </w:rPr>
      </w:pPr>
      <w:r>
        <w:rPr>
          <w:rStyle w:val="FootnoteReference"/>
        </w:rPr>
        <w:footnoteRef/>
      </w:r>
      <w:r w:rsidRPr="00F578C3">
        <w:rPr>
          <w:lang w:val="hu-HU"/>
        </w:rPr>
        <w:t xml:space="preserve"> </w:t>
      </w:r>
      <w:r w:rsidR="00421AC9">
        <w:rPr>
          <w:lang w:val="hu-HU"/>
        </w:rPr>
        <w:tab/>
      </w:r>
      <w:r w:rsidR="00421AC9">
        <w:fldChar w:fldCharType="begin"/>
      </w:r>
      <w:r w:rsidR="00421AC9" w:rsidRPr="00CF4EDE">
        <w:rPr>
          <w:lang w:val="hu-HU"/>
        </w:rPr>
        <w:instrText>HYPERLINK "https://cordis.europa.eu/project/id/101034427"</w:instrText>
      </w:r>
      <w:r w:rsidR="00421AC9">
        <w:fldChar w:fldCharType="separate"/>
      </w:r>
      <w:r w:rsidR="00421AC9" w:rsidRPr="00421AC9">
        <w:rPr>
          <w:rStyle w:val="Hyperlink"/>
          <w:lang w:val="hu-HU"/>
        </w:rPr>
        <w:t>https://cordis.europa.eu/project/id/101034427</w:t>
      </w:r>
      <w:r w:rsidR="00421AC9">
        <w:fldChar w:fldCharType="end"/>
      </w:r>
      <w:r w:rsidR="00A613BF">
        <w:rPr>
          <w:lang w:val="hu-HU"/>
        </w:rPr>
        <w:t xml:space="preserve"> </w:t>
      </w:r>
    </w:p>
  </w:footnote>
  <w:footnote w:id="11">
    <w:p w14:paraId="4D8F4BE8" w14:textId="61D7A5DE" w:rsidR="00F578C3" w:rsidRPr="00F578C3" w:rsidRDefault="00F578C3" w:rsidP="00D774AA">
      <w:pPr>
        <w:pStyle w:val="FootnoteText"/>
        <w:widowControl w:val="0"/>
        <w:spacing w:after="0"/>
        <w:rPr>
          <w:lang w:val="hu-HU"/>
        </w:rPr>
      </w:pPr>
      <w:r>
        <w:rPr>
          <w:rStyle w:val="FootnoteReference"/>
        </w:rPr>
        <w:footnoteRef/>
      </w:r>
      <w:r w:rsidRPr="00F578C3">
        <w:rPr>
          <w:lang w:val="hu-HU"/>
        </w:rPr>
        <w:t xml:space="preserve"> </w:t>
      </w:r>
      <w:r w:rsidR="00421AC9">
        <w:rPr>
          <w:lang w:val="hu-HU"/>
        </w:rPr>
        <w:tab/>
      </w:r>
      <w:r w:rsidR="00421AC9">
        <w:fldChar w:fldCharType="begin"/>
      </w:r>
      <w:r w:rsidR="00421AC9" w:rsidRPr="00CF4EDE">
        <w:rPr>
          <w:lang w:val="hu-HU"/>
        </w:rPr>
        <w:instrText>HYPERLINK "https://cordis.europa.eu/project/id/101165912"</w:instrText>
      </w:r>
      <w:r w:rsidR="00421AC9">
        <w:fldChar w:fldCharType="separate"/>
      </w:r>
      <w:r w:rsidR="00421AC9" w:rsidRPr="00421AC9">
        <w:rPr>
          <w:rStyle w:val="Hyperlink"/>
          <w:lang w:val="hu-HU"/>
        </w:rPr>
        <w:t>https://cordis.europa.eu/project/id/101165912</w:t>
      </w:r>
      <w:r w:rsidR="00421AC9">
        <w:fldChar w:fldCharType="end"/>
      </w:r>
      <w:r w:rsidR="00A613BF">
        <w:rPr>
          <w:lang w:val="hu-HU"/>
        </w:rPr>
        <w:t xml:space="preserve"> </w:t>
      </w:r>
    </w:p>
  </w:footnote>
  <w:footnote w:id="12">
    <w:p w14:paraId="3CFFF2DE" w14:textId="32B10EBE" w:rsidR="004157F0" w:rsidRDefault="004157F0" w:rsidP="00D774AA">
      <w:pPr>
        <w:pStyle w:val="FootnoteText"/>
        <w:widowControl w:val="0"/>
        <w:spacing w:after="0"/>
        <w:rPr>
          <w:lang w:val="hu-HU"/>
        </w:rPr>
      </w:pPr>
      <w:r>
        <w:rPr>
          <w:rStyle w:val="FootnoteReference"/>
        </w:rPr>
        <w:footnoteRef/>
      </w:r>
      <w:r w:rsidRPr="001F552D">
        <w:rPr>
          <w:lang w:val="hu-HU"/>
        </w:rPr>
        <w:t xml:space="preserve"> </w:t>
      </w:r>
      <w:r w:rsidR="00421AC9">
        <w:rPr>
          <w:lang w:val="hu-HU"/>
        </w:rPr>
        <w:tab/>
      </w:r>
      <w:r w:rsidR="00421AC9">
        <w:fldChar w:fldCharType="begin"/>
      </w:r>
      <w:r w:rsidR="00421AC9" w:rsidRPr="00CF4EDE">
        <w:rPr>
          <w:lang w:val="hu-HU"/>
        </w:rPr>
        <w:instrText>HYPERLINK "https://health.ec.europa.eu/rare-diseases-and-european-reference-networks/rare-diseases_en"</w:instrText>
      </w:r>
      <w:r w:rsidR="00421AC9">
        <w:fldChar w:fldCharType="separate"/>
      </w:r>
      <w:r w:rsidR="00421AC9" w:rsidRPr="00421AC9">
        <w:rPr>
          <w:rStyle w:val="Hyperlink"/>
          <w:lang w:val="hu-HU"/>
        </w:rPr>
        <w:t>https://health.ec.europa.eu/rare-diseases-and-european-reference-networks/rare-diseases_en</w:t>
      </w:r>
      <w:r w:rsidR="00421AC9">
        <w:fldChar w:fldCharType="end"/>
      </w:r>
      <w:r w:rsidR="00CF3CD6" w:rsidRPr="004349C2">
        <w:rPr>
          <w:lang w:val="hu-HU"/>
        </w:rPr>
        <w:t>.</w:t>
      </w:r>
      <w:r w:rsidRPr="001F552D">
        <w:rPr>
          <w:lang w:val="hu-HU"/>
        </w:rPr>
        <w:t xml:space="preserve"> </w:t>
      </w:r>
    </w:p>
    <w:p w14:paraId="5B12DD7C" w14:textId="77777777" w:rsidR="008C1BFC" w:rsidRPr="00D774AA" w:rsidRDefault="008C1BFC" w:rsidP="00D774AA">
      <w:pPr>
        <w:pStyle w:val="FootnoteText"/>
        <w:widowControl w:val="0"/>
        <w:spacing w:after="0"/>
        <w:ind w:left="0"/>
        <w:rPr>
          <w:sz w:val="2"/>
          <w:szCs w:val="2"/>
          <w:lang w:val="hu-HU"/>
        </w:rPr>
      </w:pPr>
    </w:p>
  </w:footnote>
  <w:footnote w:id="13">
    <w:p w14:paraId="74FCBD3E" w14:textId="0B9B7967" w:rsidR="00DC55B5" w:rsidRPr="00D774AA" w:rsidRDefault="00DC55B5" w:rsidP="00D774AA">
      <w:pPr>
        <w:pStyle w:val="FootnoteText"/>
        <w:widowControl w:val="0"/>
        <w:spacing w:after="0"/>
        <w:rPr>
          <w:lang w:val="en-IE"/>
        </w:rPr>
      </w:pPr>
      <w:r>
        <w:rPr>
          <w:rStyle w:val="FootnoteReference"/>
        </w:rPr>
        <w:footnoteRef/>
      </w:r>
      <w:r>
        <w:t xml:space="preserve"> </w:t>
      </w:r>
      <w:r>
        <w:rPr>
          <w:lang w:val="en-IE"/>
        </w:rPr>
        <w:tab/>
      </w:r>
      <w:r w:rsidRPr="00D774AA">
        <w:t>Directive 2011/24/EU of the European Parliament and of the Council of 9 March 2011 on the application of patients’ rights in cross-border healthcare</w:t>
      </w:r>
      <w:r>
        <w:t xml:space="preserve"> (</w:t>
      </w:r>
      <w:hyperlink r:id="rId6" w:tooltip="Gives access to this document through its ELI URI." w:history="1">
        <w:r w:rsidRPr="00DC55B5">
          <w:rPr>
            <w:rStyle w:val="Hyperlink"/>
          </w:rPr>
          <w:t>http://data.europa.eu/eli/dir/2011/24/oj</w:t>
        </w:r>
      </w:hyperlink>
      <w:r>
        <w:t>).</w:t>
      </w:r>
    </w:p>
  </w:footnote>
  <w:footnote w:id="14">
    <w:p w14:paraId="72D7B75B" w14:textId="6A47F6C2" w:rsidR="00F578C3" w:rsidRPr="00083602" w:rsidRDefault="00F578C3" w:rsidP="00D774AA">
      <w:pPr>
        <w:pStyle w:val="FootnoteText"/>
        <w:widowControl w:val="0"/>
        <w:spacing w:after="0"/>
        <w:rPr>
          <w:lang w:val="pt-PT"/>
        </w:rPr>
      </w:pPr>
      <w:r w:rsidRPr="00A613BF">
        <w:rPr>
          <w:rStyle w:val="FootnoteReference"/>
        </w:rPr>
        <w:footnoteRef/>
      </w:r>
      <w:r w:rsidRPr="00083602">
        <w:rPr>
          <w:lang w:val="pt-PT"/>
        </w:rPr>
        <w:t xml:space="preserve"> </w:t>
      </w:r>
      <w:r w:rsidR="00421AC9">
        <w:rPr>
          <w:lang w:val="pt-PT"/>
        </w:rPr>
        <w:tab/>
      </w:r>
      <w:r w:rsidR="00421AC9">
        <w:fldChar w:fldCharType="begin"/>
      </w:r>
      <w:r w:rsidR="00421AC9" w:rsidRPr="00CF4EDE">
        <w:rPr>
          <w:lang w:val="pt-PT"/>
        </w:rPr>
        <w:instrText>HYPERLINK "https://jardin-ern.eu/"</w:instrText>
      </w:r>
      <w:r w:rsidR="00421AC9">
        <w:fldChar w:fldCharType="separate"/>
      </w:r>
      <w:r w:rsidR="00421AC9" w:rsidRPr="00421AC9">
        <w:rPr>
          <w:rStyle w:val="Hyperlink"/>
          <w:lang w:val="pt-PT"/>
        </w:rPr>
        <w:t>https://jardin-ern.eu/</w:t>
      </w:r>
      <w:r w:rsidR="00421AC9">
        <w:fldChar w:fldCharType="end"/>
      </w:r>
      <w:r w:rsidR="00CF3CD6" w:rsidRPr="00CF4EDE">
        <w:rPr>
          <w:lang w:val="pt-PT"/>
        </w:rPr>
        <w:t>.</w:t>
      </w:r>
      <w:r w:rsidR="008C1BFC" w:rsidRPr="00083602">
        <w:rPr>
          <w:lang w:val="pt-PT"/>
        </w:rPr>
        <w:t xml:space="preserve"> </w:t>
      </w:r>
    </w:p>
  </w:footnote>
  <w:footnote w:id="15">
    <w:p w14:paraId="14D2DADD" w14:textId="5DB31F87" w:rsidR="00CF5158" w:rsidRPr="00CF5158" w:rsidRDefault="00CF5158" w:rsidP="00D774AA">
      <w:pPr>
        <w:pStyle w:val="FootnoteText"/>
        <w:widowControl w:val="0"/>
        <w:spacing w:after="0"/>
        <w:rPr>
          <w:lang w:val="hu-HU"/>
        </w:rPr>
      </w:pPr>
      <w:r>
        <w:rPr>
          <w:rStyle w:val="FootnoteReference"/>
        </w:rPr>
        <w:footnoteRef/>
      </w:r>
      <w:r w:rsidRPr="001F552D">
        <w:rPr>
          <w:lang w:val="pt-BR"/>
        </w:rPr>
        <w:t xml:space="preserve"> </w:t>
      </w:r>
      <w:r w:rsidR="00421AC9">
        <w:rPr>
          <w:lang w:val="pt-BR"/>
        </w:rPr>
        <w:tab/>
      </w:r>
      <w:r w:rsidRPr="001F552D">
        <w:rPr>
          <w:lang w:val="pt-BR"/>
        </w:rPr>
        <w:t xml:space="preserve">COM(2025) 1022 final </w:t>
      </w:r>
      <w:r>
        <w:fldChar w:fldCharType="begin"/>
      </w:r>
      <w:r w:rsidRPr="00CF4EDE">
        <w:rPr>
          <w:lang w:val="pt-PT"/>
        </w:rPr>
        <w:instrText>HYPERLINK "https://health.ec.europa.eu/document/download/ec1475b7-e3f9-409e-b927-fc7e69306a8c_en?filename=biotech_reg-com2025-1022_act_en.pdf"</w:instrText>
      </w:r>
      <w:r>
        <w:fldChar w:fldCharType="separate"/>
      </w:r>
      <w:r w:rsidRPr="001F552D">
        <w:rPr>
          <w:rStyle w:val="Hyperlink"/>
          <w:lang w:val="pt-BR"/>
        </w:rPr>
        <w:t>https://health.ec.europa.eu/document/download/ec1475b7-e3f9-409e-b927-fc7e69306a8c_en?filename=biotech_reg-com2025-1022_act_en.pdf</w:t>
      </w:r>
      <w:r>
        <w:fldChar w:fldCharType="end"/>
      </w:r>
      <w:r w:rsidR="00CF3CD6" w:rsidRPr="004349C2">
        <w:rPr>
          <w:lang w:val="pt-PT"/>
        </w:rPr>
        <w:t>.</w:t>
      </w:r>
      <w:r w:rsidRPr="001F552D">
        <w:rPr>
          <w:lang w:val="pt-BR"/>
        </w:rPr>
        <w:t xml:space="preserve"> </w:t>
      </w:r>
    </w:p>
  </w:footnote>
  <w:footnote w:id="16">
    <w:p w14:paraId="034C4DC4" w14:textId="60A5F4E3" w:rsidR="00CF5158" w:rsidRPr="00CF5158" w:rsidRDefault="00CF5158" w:rsidP="00D774AA">
      <w:pPr>
        <w:pStyle w:val="FootnoteText"/>
        <w:widowControl w:val="0"/>
        <w:spacing w:after="0"/>
        <w:rPr>
          <w:lang w:val="hu-HU"/>
        </w:rPr>
      </w:pPr>
      <w:r>
        <w:rPr>
          <w:rStyle w:val="FootnoteReference"/>
        </w:rPr>
        <w:footnoteRef/>
      </w:r>
      <w:r>
        <w:t xml:space="preserve"> </w:t>
      </w:r>
      <w:r w:rsidR="00421AC9">
        <w:tab/>
      </w:r>
      <w:r w:rsidRPr="00CF5158">
        <w:t>Regulation (EU) No 536/2014 of the European Parliament and of the Council</w:t>
      </w:r>
      <w:r>
        <w:t xml:space="preserve"> </w:t>
      </w:r>
      <w:hyperlink r:id="rId7" w:history="1">
        <w:r w:rsidRPr="00796F7C">
          <w:rPr>
            <w:rStyle w:val="Hyperlink"/>
          </w:rPr>
          <w:t>https://eur-lex.europa.eu/legal-content/EN/TXT/?uri=celex:32014R0536</w:t>
        </w:r>
      </w:hyperlink>
      <w:r w:rsidR="00CF3CD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C2A7" w14:textId="77777777" w:rsidR="002C728F" w:rsidRDefault="002C72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83ECA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46F4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546249"/>
    <w:multiLevelType w:val="multilevel"/>
    <w:tmpl w:val="658058C6"/>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F31BC0"/>
    <w:multiLevelType w:val="multilevel"/>
    <w:tmpl w:val="C4267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6639E9"/>
    <w:multiLevelType w:val="multilevel"/>
    <w:tmpl w:val="C4267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2C7F66"/>
    <w:multiLevelType w:val="multilevel"/>
    <w:tmpl w:val="70F4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7300374">
    <w:abstractNumId w:val="2"/>
  </w:num>
  <w:num w:numId="2" w16cid:durableId="1701781307">
    <w:abstractNumId w:val="4"/>
  </w:num>
  <w:num w:numId="3" w16cid:durableId="1116678605">
    <w:abstractNumId w:val="3"/>
  </w:num>
  <w:num w:numId="4" w16cid:durableId="205871255">
    <w:abstractNumId w:val="0"/>
  </w:num>
  <w:num w:numId="5" w16cid:durableId="847982238">
    <w:abstractNumId w:val="5"/>
  </w:num>
  <w:num w:numId="6" w16cid:durableId="263391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77C4F"/>
    <w:rsid w:val="00000B01"/>
    <w:rsid w:val="00000DD0"/>
    <w:rsid w:val="00001446"/>
    <w:rsid w:val="00003F30"/>
    <w:rsid w:val="000044FF"/>
    <w:rsid w:val="00004F58"/>
    <w:rsid w:val="000108AB"/>
    <w:rsid w:val="00011417"/>
    <w:rsid w:val="00012A37"/>
    <w:rsid w:val="000134BF"/>
    <w:rsid w:val="00014A26"/>
    <w:rsid w:val="0001511A"/>
    <w:rsid w:val="0001551D"/>
    <w:rsid w:val="00016C6F"/>
    <w:rsid w:val="000171FF"/>
    <w:rsid w:val="000200D6"/>
    <w:rsid w:val="0002020B"/>
    <w:rsid w:val="00032C41"/>
    <w:rsid w:val="00033915"/>
    <w:rsid w:val="00034557"/>
    <w:rsid w:val="00040E6A"/>
    <w:rsid w:val="00042A0E"/>
    <w:rsid w:val="00046B15"/>
    <w:rsid w:val="00050DC7"/>
    <w:rsid w:val="000533A3"/>
    <w:rsid w:val="00053E4E"/>
    <w:rsid w:val="000543BE"/>
    <w:rsid w:val="00055F12"/>
    <w:rsid w:val="00060EC7"/>
    <w:rsid w:val="0006510A"/>
    <w:rsid w:val="00070941"/>
    <w:rsid w:val="000718DB"/>
    <w:rsid w:val="00072B0F"/>
    <w:rsid w:val="00072F8A"/>
    <w:rsid w:val="000734EE"/>
    <w:rsid w:val="00076109"/>
    <w:rsid w:val="00076AA4"/>
    <w:rsid w:val="00077C4F"/>
    <w:rsid w:val="00077CFB"/>
    <w:rsid w:val="00080DA8"/>
    <w:rsid w:val="00082A52"/>
    <w:rsid w:val="00083602"/>
    <w:rsid w:val="000841C2"/>
    <w:rsid w:val="000866A6"/>
    <w:rsid w:val="000922CA"/>
    <w:rsid w:val="000929D1"/>
    <w:rsid w:val="00095330"/>
    <w:rsid w:val="00095A66"/>
    <w:rsid w:val="00095EC9"/>
    <w:rsid w:val="000A09DD"/>
    <w:rsid w:val="000A2529"/>
    <w:rsid w:val="000B0612"/>
    <w:rsid w:val="000B1919"/>
    <w:rsid w:val="000B3BE8"/>
    <w:rsid w:val="000B5820"/>
    <w:rsid w:val="000B7FBB"/>
    <w:rsid w:val="000C1B6F"/>
    <w:rsid w:val="000C234D"/>
    <w:rsid w:val="000C23E7"/>
    <w:rsid w:val="000C4DA0"/>
    <w:rsid w:val="000C54D9"/>
    <w:rsid w:val="000D362D"/>
    <w:rsid w:val="000D77B1"/>
    <w:rsid w:val="000E1218"/>
    <w:rsid w:val="000E14A1"/>
    <w:rsid w:val="000E3AF7"/>
    <w:rsid w:val="000E70A0"/>
    <w:rsid w:val="000F0274"/>
    <w:rsid w:val="000F32DC"/>
    <w:rsid w:val="000F335C"/>
    <w:rsid w:val="000F5FD8"/>
    <w:rsid w:val="000F68E5"/>
    <w:rsid w:val="000F7A38"/>
    <w:rsid w:val="000F7F2D"/>
    <w:rsid w:val="001004BE"/>
    <w:rsid w:val="0010280C"/>
    <w:rsid w:val="00102E7B"/>
    <w:rsid w:val="00103E22"/>
    <w:rsid w:val="001067D4"/>
    <w:rsid w:val="00107B07"/>
    <w:rsid w:val="00112ED0"/>
    <w:rsid w:val="001167C0"/>
    <w:rsid w:val="00116ED5"/>
    <w:rsid w:val="00121D3E"/>
    <w:rsid w:val="00122DC7"/>
    <w:rsid w:val="00123489"/>
    <w:rsid w:val="00125201"/>
    <w:rsid w:val="00127240"/>
    <w:rsid w:val="00127D3E"/>
    <w:rsid w:val="001323C1"/>
    <w:rsid w:val="00134767"/>
    <w:rsid w:val="001347CA"/>
    <w:rsid w:val="00135C2A"/>
    <w:rsid w:val="0013794B"/>
    <w:rsid w:val="0014086A"/>
    <w:rsid w:val="001413CE"/>
    <w:rsid w:val="00143563"/>
    <w:rsid w:val="00145468"/>
    <w:rsid w:val="00145B43"/>
    <w:rsid w:val="0014609F"/>
    <w:rsid w:val="0015014E"/>
    <w:rsid w:val="00150C50"/>
    <w:rsid w:val="00160AE4"/>
    <w:rsid w:val="001657B5"/>
    <w:rsid w:val="00170475"/>
    <w:rsid w:val="001720A8"/>
    <w:rsid w:val="001723CC"/>
    <w:rsid w:val="00173EB6"/>
    <w:rsid w:val="00187ED4"/>
    <w:rsid w:val="00193A47"/>
    <w:rsid w:val="001A562F"/>
    <w:rsid w:val="001A654A"/>
    <w:rsid w:val="001A6E69"/>
    <w:rsid w:val="001A7AF7"/>
    <w:rsid w:val="001B0E0B"/>
    <w:rsid w:val="001B10EC"/>
    <w:rsid w:val="001B45C9"/>
    <w:rsid w:val="001B5B13"/>
    <w:rsid w:val="001C2A47"/>
    <w:rsid w:val="001C4138"/>
    <w:rsid w:val="001C4A49"/>
    <w:rsid w:val="001C559C"/>
    <w:rsid w:val="001C6586"/>
    <w:rsid w:val="001C6687"/>
    <w:rsid w:val="001C76B7"/>
    <w:rsid w:val="001D045F"/>
    <w:rsid w:val="001D11E3"/>
    <w:rsid w:val="001D2A19"/>
    <w:rsid w:val="001D31B6"/>
    <w:rsid w:val="001D3FFB"/>
    <w:rsid w:val="001D4A40"/>
    <w:rsid w:val="001D5555"/>
    <w:rsid w:val="001D6F80"/>
    <w:rsid w:val="001D7365"/>
    <w:rsid w:val="001D7D50"/>
    <w:rsid w:val="001E3622"/>
    <w:rsid w:val="001E4CD7"/>
    <w:rsid w:val="001E591D"/>
    <w:rsid w:val="001E721B"/>
    <w:rsid w:val="001F14C4"/>
    <w:rsid w:val="001F2EC6"/>
    <w:rsid w:val="001F3430"/>
    <w:rsid w:val="001F552D"/>
    <w:rsid w:val="001F638B"/>
    <w:rsid w:val="001F65D0"/>
    <w:rsid w:val="001F6715"/>
    <w:rsid w:val="00200BC5"/>
    <w:rsid w:val="00205ACB"/>
    <w:rsid w:val="0020766B"/>
    <w:rsid w:val="00213E2D"/>
    <w:rsid w:val="0021505E"/>
    <w:rsid w:val="002162B0"/>
    <w:rsid w:val="0021714D"/>
    <w:rsid w:val="00217E59"/>
    <w:rsid w:val="00220CC6"/>
    <w:rsid w:val="00225F88"/>
    <w:rsid w:val="00226901"/>
    <w:rsid w:val="00227F7F"/>
    <w:rsid w:val="00232BEC"/>
    <w:rsid w:val="002330B5"/>
    <w:rsid w:val="002378C0"/>
    <w:rsid w:val="00237C6C"/>
    <w:rsid w:val="00243D67"/>
    <w:rsid w:val="00244263"/>
    <w:rsid w:val="00245E48"/>
    <w:rsid w:val="00246947"/>
    <w:rsid w:val="0024739D"/>
    <w:rsid w:val="00247D8A"/>
    <w:rsid w:val="00250D4D"/>
    <w:rsid w:val="00255593"/>
    <w:rsid w:val="002561A0"/>
    <w:rsid w:val="0026132D"/>
    <w:rsid w:val="00264BFA"/>
    <w:rsid w:val="00267830"/>
    <w:rsid w:val="00270EB9"/>
    <w:rsid w:val="00275460"/>
    <w:rsid w:val="00287056"/>
    <w:rsid w:val="00290A82"/>
    <w:rsid w:val="00291A47"/>
    <w:rsid w:val="0029327E"/>
    <w:rsid w:val="00293DCF"/>
    <w:rsid w:val="00294A1C"/>
    <w:rsid w:val="00297B9B"/>
    <w:rsid w:val="002A07BB"/>
    <w:rsid w:val="002A2CE1"/>
    <w:rsid w:val="002A3392"/>
    <w:rsid w:val="002A72FF"/>
    <w:rsid w:val="002A7D30"/>
    <w:rsid w:val="002B2585"/>
    <w:rsid w:val="002B325F"/>
    <w:rsid w:val="002B50C5"/>
    <w:rsid w:val="002B50F5"/>
    <w:rsid w:val="002C1103"/>
    <w:rsid w:val="002C20A6"/>
    <w:rsid w:val="002C3A07"/>
    <w:rsid w:val="002C4B11"/>
    <w:rsid w:val="002C728F"/>
    <w:rsid w:val="002D0392"/>
    <w:rsid w:val="002D1D01"/>
    <w:rsid w:val="002D3D2E"/>
    <w:rsid w:val="002E0426"/>
    <w:rsid w:val="002E3D3A"/>
    <w:rsid w:val="002E500A"/>
    <w:rsid w:val="002E54D4"/>
    <w:rsid w:val="002E5D8C"/>
    <w:rsid w:val="002F03FA"/>
    <w:rsid w:val="002F0505"/>
    <w:rsid w:val="002F0508"/>
    <w:rsid w:val="002F0782"/>
    <w:rsid w:val="002F3E48"/>
    <w:rsid w:val="002F447D"/>
    <w:rsid w:val="002F63A0"/>
    <w:rsid w:val="002F6EC2"/>
    <w:rsid w:val="003004D2"/>
    <w:rsid w:val="003010D7"/>
    <w:rsid w:val="00304F42"/>
    <w:rsid w:val="0030740B"/>
    <w:rsid w:val="00310ACA"/>
    <w:rsid w:val="0031456F"/>
    <w:rsid w:val="00315912"/>
    <w:rsid w:val="00316AEE"/>
    <w:rsid w:val="00316D18"/>
    <w:rsid w:val="003220E7"/>
    <w:rsid w:val="00325DFC"/>
    <w:rsid w:val="00326981"/>
    <w:rsid w:val="00326D48"/>
    <w:rsid w:val="003305CA"/>
    <w:rsid w:val="0033096A"/>
    <w:rsid w:val="003321E3"/>
    <w:rsid w:val="003349A3"/>
    <w:rsid w:val="003352FE"/>
    <w:rsid w:val="00336B55"/>
    <w:rsid w:val="003370B4"/>
    <w:rsid w:val="0034370A"/>
    <w:rsid w:val="0034608D"/>
    <w:rsid w:val="00350A83"/>
    <w:rsid w:val="00352E93"/>
    <w:rsid w:val="00354442"/>
    <w:rsid w:val="00355219"/>
    <w:rsid w:val="00356E10"/>
    <w:rsid w:val="00360C48"/>
    <w:rsid w:val="00362B32"/>
    <w:rsid w:val="00362FDA"/>
    <w:rsid w:val="00367C03"/>
    <w:rsid w:val="00370B6C"/>
    <w:rsid w:val="003745E0"/>
    <w:rsid w:val="00376613"/>
    <w:rsid w:val="00377620"/>
    <w:rsid w:val="00377967"/>
    <w:rsid w:val="00381DD1"/>
    <w:rsid w:val="003826E2"/>
    <w:rsid w:val="00382D00"/>
    <w:rsid w:val="00383112"/>
    <w:rsid w:val="0038371C"/>
    <w:rsid w:val="00386143"/>
    <w:rsid w:val="003878A8"/>
    <w:rsid w:val="003904F9"/>
    <w:rsid w:val="003925FA"/>
    <w:rsid w:val="0039348D"/>
    <w:rsid w:val="00396DBD"/>
    <w:rsid w:val="003A5255"/>
    <w:rsid w:val="003A5A62"/>
    <w:rsid w:val="003B1D2C"/>
    <w:rsid w:val="003B3C4F"/>
    <w:rsid w:val="003B4C97"/>
    <w:rsid w:val="003B4D6B"/>
    <w:rsid w:val="003B58DC"/>
    <w:rsid w:val="003C31DF"/>
    <w:rsid w:val="003C3531"/>
    <w:rsid w:val="003C5130"/>
    <w:rsid w:val="003C5FF0"/>
    <w:rsid w:val="003C723E"/>
    <w:rsid w:val="003D60FB"/>
    <w:rsid w:val="003D636D"/>
    <w:rsid w:val="003E3733"/>
    <w:rsid w:val="003E3C38"/>
    <w:rsid w:val="003E6418"/>
    <w:rsid w:val="003F230E"/>
    <w:rsid w:val="003F2567"/>
    <w:rsid w:val="003F3812"/>
    <w:rsid w:val="003F686E"/>
    <w:rsid w:val="003F7C8E"/>
    <w:rsid w:val="00400BEA"/>
    <w:rsid w:val="0040271D"/>
    <w:rsid w:val="00402B09"/>
    <w:rsid w:val="00405735"/>
    <w:rsid w:val="004057BC"/>
    <w:rsid w:val="00407356"/>
    <w:rsid w:val="00407AE4"/>
    <w:rsid w:val="004102C1"/>
    <w:rsid w:val="00410BDC"/>
    <w:rsid w:val="00410F6F"/>
    <w:rsid w:val="00412996"/>
    <w:rsid w:val="004142D0"/>
    <w:rsid w:val="004154CD"/>
    <w:rsid w:val="004157F0"/>
    <w:rsid w:val="00415E8B"/>
    <w:rsid w:val="004203BE"/>
    <w:rsid w:val="00421AC9"/>
    <w:rsid w:val="00422933"/>
    <w:rsid w:val="004249A7"/>
    <w:rsid w:val="0042573D"/>
    <w:rsid w:val="00425C79"/>
    <w:rsid w:val="004323CA"/>
    <w:rsid w:val="0043463B"/>
    <w:rsid w:val="004349C2"/>
    <w:rsid w:val="00435DFD"/>
    <w:rsid w:val="00437730"/>
    <w:rsid w:val="00442552"/>
    <w:rsid w:val="00443004"/>
    <w:rsid w:val="004430E6"/>
    <w:rsid w:val="00445A3F"/>
    <w:rsid w:val="00445CA6"/>
    <w:rsid w:val="00451194"/>
    <w:rsid w:val="004512DF"/>
    <w:rsid w:val="004521F7"/>
    <w:rsid w:val="00453A72"/>
    <w:rsid w:val="00455A1C"/>
    <w:rsid w:val="00455A4B"/>
    <w:rsid w:val="00455F6C"/>
    <w:rsid w:val="00457B59"/>
    <w:rsid w:val="00461720"/>
    <w:rsid w:val="004656AC"/>
    <w:rsid w:val="0046573E"/>
    <w:rsid w:val="004671D3"/>
    <w:rsid w:val="004675B5"/>
    <w:rsid w:val="00467D3E"/>
    <w:rsid w:val="00470243"/>
    <w:rsid w:val="00470FCB"/>
    <w:rsid w:val="004747DA"/>
    <w:rsid w:val="00476EBB"/>
    <w:rsid w:val="004770D6"/>
    <w:rsid w:val="00477D2E"/>
    <w:rsid w:val="00482107"/>
    <w:rsid w:val="00484766"/>
    <w:rsid w:val="00484F99"/>
    <w:rsid w:val="0048571B"/>
    <w:rsid w:val="00491FD7"/>
    <w:rsid w:val="0049246C"/>
    <w:rsid w:val="00492A11"/>
    <w:rsid w:val="00492CEA"/>
    <w:rsid w:val="004964D1"/>
    <w:rsid w:val="004A0DE4"/>
    <w:rsid w:val="004A1C8A"/>
    <w:rsid w:val="004A1F68"/>
    <w:rsid w:val="004A28C2"/>
    <w:rsid w:val="004A2E9D"/>
    <w:rsid w:val="004A3165"/>
    <w:rsid w:val="004A4DEC"/>
    <w:rsid w:val="004A7932"/>
    <w:rsid w:val="004B05FA"/>
    <w:rsid w:val="004B3B31"/>
    <w:rsid w:val="004B5124"/>
    <w:rsid w:val="004C05C6"/>
    <w:rsid w:val="004C418E"/>
    <w:rsid w:val="004C4803"/>
    <w:rsid w:val="004C5614"/>
    <w:rsid w:val="004C7451"/>
    <w:rsid w:val="004C7604"/>
    <w:rsid w:val="004D1587"/>
    <w:rsid w:val="004D1718"/>
    <w:rsid w:val="004D4EAB"/>
    <w:rsid w:val="004D7011"/>
    <w:rsid w:val="004E1BC8"/>
    <w:rsid w:val="004E3DD5"/>
    <w:rsid w:val="004E6A2F"/>
    <w:rsid w:val="004E6C25"/>
    <w:rsid w:val="004F023F"/>
    <w:rsid w:val="004F06A2"/>
    <w:rsid w:val="004F1609"/>
    <w:rsid w:val="004F1C24"/>
    <w:rsid w:val="004F2C2C"/>
    <w:rsid w:val="004F410C"/>
    <w:rsid w:val="004F57BE"/>
    <w:rsid w:val="004F6117"/>
    <w:rsid w:val="004F63F1"/>
    <w:rsid w:val="004F651E"/>
    <w:rsid w:val="004F70AF"/>
    <w:rsid w:val="00501866"/>
    <w:rsid w:val="00501A46"/>
    <w:rsid w:val="0050482B"/>
    <w:rsid w:val="00510E3A"/>
    <w:rsid w:val="00514A6B"/>
    <w:rsid w:val="00524B7F"/>
    <w:rsid w:val="0052596B"/>
    <w:rsid w:val="0052620E"/>
    <w:rsid w:val="00530BFC"/>
    <w:rsid w:val="00530F44"/>
    <w:rsid w:val="005401BD"/>
    <w:rsid w:val="00540B3B"/>
    <w:rsid w:val="00542A4C"/>
    <w:rsid w:val="005450CD"/>
    <w:rsid w:val="005458AE"/>
    <w:rsid w:val="00550652"/>
    <w:rsid w:val="00550A98"/>
    <w:rsid w:val="00550F16"/>
    <w:rsid w:val="00551CDB"/>
    <w:rsid w:val="00551F15"/>
    <w:rsid w:val="005521AC"/>
    <w:rsid w:val="00554137"/>
    <w:rsid w:val="00554D8D"/>
    <w:rsid w:val="0055519B"/>
    <w:rsid w:val="00555830"/>
    <w:rsid w:val="005600F5"/>
    <w:rsid w:val="00562094"/>
    <w:rsid w:val="0056276E"/>
    <w:rsid w:val="00573794"/>
    <w:rsid w:val="00573835"/>
    <w:rsid w:val="00581306"/>
    <w:rsid w:val="0058189B"/>
    <w:rsid w:val="00585469"/>
    <w:rsid w:val="00585F36"/>
    <w:rsid w:val="00586621"/>
    <w:rsid w:val="00586C42"/>
    <w:rsid w:val="005A1ECC"/>
    <w:rsid w:val="005A21C3"/>
    <w:rsid w:val="005A5E59"/>
    <w:rsid w:val="005B0839"/>
    <w:rsid w:val="005B30EB"/>
    <w:rsid w:val="005B597E"/>
    <w:rsid w:val="005B6170"/>
    <w:rsid w:val="005C2E22"/>
    <w:rsid w:val="005C3105"/>
    <w:rsid w:val="005C631C"/>
    <w:rsid w:val="005C6AE3"/>
    <w:rsid w:val="005C6F53"/>
    <w:rsid w:val="005C7C50"/>
    <w:rsid w:val="005D23F3"/>
    <w:rsid w:val="005D5354"/>
    <w:rsid w:val="005D6FC0"/>
    <w:rsid w:val="005E18C4"/>
    <w:rsid w:val="005E7B80"/>
    <w:rsid w:val="005F19D1"/>
    <w:rsid w:val="005F26AE"/>
    <w:rsid w:val="005F26B4"/>
    <w:rsid w:val="005F2754"/>
    <w:rsid w:val="005F38C4"/>
    <w:rsid w:val="005F3B0D"/>
    <w:rsid w:val="006019F3"/>
    <w:rsid w:val="00603428"/>
    <w:rsid w:val="006036D9"/>
    <w:rsid w:val="006041D8"/>
    <w:rsid w:val="006051F2"/>
    <w:rsid w:val="006108D2"/>
    <w:rsid w:val="00616CD8"/>
    <w:rsid w:val="00617F1B"/>
    <w:rsid w:val="006222F1"/>
    <w:rsid w:val="006228C1"/>
    <w:rsid w:val="0062309E"/>
    <w:rsid w:val="0062348F"/>
    <w:rsid w:val="00623863"/>
    <w:rsid w:val="00630B62"/>
    <w:rsid w:val="006358DC"/>
    <w:rsid w:val="00646FE1"/>
    <w:rsid w:val="006470D5"/>
    <w:rsid w:val="00647DB1"/>
    <w:rsid w:val="00654B44"/>
    <w:rsid w:val="00655798"/>
    <w:rsid w:val="00660CB6"/>
    <w:rsid w:val="00661381"/>
    <w:rsid w:val="006630E4"/>
    <w:rsid w:val="00663549"/>
    <w:rsid w:val="00665588"/>
    <w:rsid w:val="006722CA"/>
    <w:rsid w:val="00672542"/>
    <w:rsid w:val="0068146F"/>
    <w:rsid w:val="00682883"/>
    <w:rsid w:val="006842EF"/>
    <w:rsid w:val="0068590E"/>
    <w:rsid w:val="00687793"/>
    <w:rsid w:val="00691CF8"/>
    <w:rsid w:val="006924EA"/>
    <w:rsid w:val="00692C2F"/>
    <w:rsid w:val="00693A88"/>
    <w:rsid w:val="0069564A"/>
    <w:rsid w:val="00695797"/>
    <w:rsid w:val="00696A5E"/>
    <w:rsid w:val="006B181B"/>
    <w:rsid w:val="006B31B2"/>
    <w:rsid w:val="006B3B69"/>
    <w:rsid w:val="006B4009"/>
    <w:rsid w:val="006C26EE"/>
    <w:rsid w:val="006D1A41"/>
    <w:rsid w:val="006D72C6"/>
    <w:rsid w:val="006E2ED6"/>
    <w:rsid w:val="006E3ADD"/>
    <w:rsid w:val="006E7082"/>
    <w:rsid w:val="006F0F98"/>
    <w:rsid w:val="006F51E6"/>
    <w:rsid w:val="006F6C25"/>
    <w:rsid w:val="006F6E83"/>
    <w:rsid w:val="00701EF7"/>
    <w:rsid w:val="0070269F"/>
    <w:rsid w:val="0070410D"/>
    <w:rsid w:val="00704675"/>
    <w:rsid w:val="007046D1"/>
    <w:rsid w:val="0070496E"/>
    <w:rsid w:val="007053E1"/>
    <w:rsid w:val="007063D9"/>
    <w:rsid w:val="007074FC"/>
    <w:rsid w:val="0070750A"/>
    <w:rsid w:val="00712B6E"/>
    <w:rsid w:val="00713EDD"/>
    <w:rsid w:val="0071631E"/>
    <w:rsid w:val="00717187"/>
    <w:rsid w:val="0071777C"/>
    <w:rsid w:val="00721C80"/>
    <w:rsid w:val="00722536"/>
    <w:rsid w:val="00723480"/>
    <w:rsid w:val="00723D65"/>
    <w:rsid w:val="00731EBD"/>
    <w:rsid w:val="00733E60"/>
    <w:rsid w:val="00734613"/>
    <w:rsid w:val="007409CE"/>
    <w:rsid w:val="0074143D"/>
    <w:rsid w:val="00747186"/>
    <w:rsid w:val="00751910"/>
    <w:rsid w:val="00751E60"/>
    <w:rsid w:val="00752730"/>
    <w:rsid w:val="007547B5"/>
    <w:rsid w:val="00755F63"/>
    <w:rsid w:val="00761E98"/>
    <w:rsid w:val="00761FF0"/>
    <w:rsid w:val="007632BB"/>
    <w:rsid w:val="00773BC2"/>
    <w:rsid w:val="007817C7"/>
    <w:rsid w:val="007840D6"/>
    <w:rsid w:val="007857E1"/>
    <w:rsid w:val="0078590C"/>
    <w:rsid w:val="00786E74"/>
    <w:rsid w:val="00791942"/>
    <w:rsid w:val="00795A9E"/>
    <w:rsid w:val="007A1214"/>
    <w:rsid w:val="007A2C5D"/>
    <w:rsid w:val="007A46DD"/>
    <w:rsid w:val="007A4A27"/>
    <w:rsid w:val="007A606D"/>
    <w:rsid w:val="007B02AC"/>
    <w:rsid w:val="007B0F71"/>
    <w:rsid w:val="007B1108"/>
    <w:rsid w:val="007C084D"/>
    <w:rsid w:val="007C2214"/>
    <w:rsid w:val="007C34AE"/>
    <w:rsid w:val="007D38CD"/>
    <w:rsid w:val="007D46B0"/>
    <w:rsid w:val="007D6C8E"/>
    <w:rsid w:val="007E0CC3"/>
    <w:rsid w:val="007E308D"/>
    <w:rsid w:val="007E3988"/>
    <w:rsid w:val="007E65B3"/>
    <w:rsid w:val="007E7C1D"/>
    <w:rsid w:val="007F00E0"/>
    <w:rsid w:val="007F16F2"/>
    <w:rsid w:val="007F1D30"/>
    <w:rsid w:val="007F1E27"/>
    <w:rsid w:val="00800890"/>
    <w:rsid w:val="00802685"/>
    <w:rsid w:val="008029D6"/>
    <w:rsid w:val="00803A19"/>
    <w:rsid w:val="008061E9"/>
    <w:rsid w:val="00806ECF"/>
    <w:rsid w:val="00807B48"/>
    <w:rsid w:val="008122D3"/>
    <w:rsid w:val="008135CA"/>
    <w:rsid w:val="008137E3"/>
    <w:rsid w:val="0081584F"/>
    <w:rsid w:val="008165CE"/>
    <w:rsid w:val="0081C350"/>
    <w:rsid w:val="00820EA4"/>
    <w:rsid w:val="008210AD"/>
    <w:rsid w:val="00822745"/>
    <w:rsid w:val="00826276"/>
    <w:rsid w:val="00831033"/>
    <w:rsid w:val="00831C2D"/>
    <w:rsid w:val="008322FC"/>
    <w:rsid w:val="00832369"/>
    <w:rsid w:val="00832988"/>
    <w:rsid w:val="00833A32"/>
    <w:rsid w:val="008473E2"/>
    <w:rsid w:val="008514C1"/>
    <w:rsid w:val="00853C91"/>
    <w:rsid w:val="00854874"/>
    <w:rsid w:val="00854E18"/>
    <w:rsid w:val="00857E1F"/>
    <w:rsid w:val="00861F21"/>
    <w:rsid w:val="008639FF"/>
    <w:rsid w:val="008642EA"/>
    <w:rsid w:val="00864D26"/>
    <w:rsid w:val="0087026D"/>
    <w:rsid w:val="008703BF"/>
    <w:rsid w:val="00870E64"/>
    <w:rsid w:val="00871BC8"/>
    <w:rsid w:val="008747D0"/>
    <w:rsid w:val="008750B3"/>
    <w:rsid w:val="0087673E"/>
    <w:rsid w:val="00876F10"/>
    <w:rsid w:val="0088206A"/>
    <w:rsid w:val="00890B8C"/>
    <w:rsid w:val="008925CE"/>
    <w:rsid w:val="00892973"/>
    <w:rsid w:val="0089347A"/>
    <w:rsid w:val="008941BA"/>
    <w:rsid w:val="00895064"/>
    <w:rsid w:val="00896FBC"/>
    <w:rsid w:val="008975B0"/>
    <w:rsid w:val="008A3550"/>
    <w:rsid w:val="008A3AF6"/>
    <w:rsid w:val="008A540B"/>
    <w:rsid w:val="008A64E7"/>
    <w:rsid w:val="008B1E88"/>
    <w:rsid w:val="008B2C99"/>
    <w:rsid w:val="008B33C1"/>
    <w:rsid w:val="008B4155"/>
    <w:rsid w:val="008B4E21"/>
    <w:rsid w:val="008B6297"/>
    <w:rsid w:val="008C03B3"/>
    <w:rsid w:val="008C1BFC"/>
    <w:rsid w:val="008C2750"/>
    <w:rsid w:val="008C2FC0"/>
    <w:rsid w:val="008C33D6"/>
    <w:rsid w:val="008C4D41"/>
    <w:rsid w:val="008C4D9F"/>
    <w:rsid w:val="008C624D"/>
    <w:rsid w:val="008C67D2"/>
    <w:rsid w:val="008D0B6E"/>
    <w:rsid w:val="008D0D6F"/>
    <w:rsid w:val="008D29D1"/>
    <w:rsid w:val="008E1CD6"/>
    <w:rsid w:val="008E4FD5"/>
    <w:rsid w:val="008E58B9"/>
    <w:rsid w:val="008E74D0"/>
    <w:rsid w:val="008F2AF6"/>
    <w:rsid w:val="008F2EDD"/>
    <w:rsid w:val="008F7481"/>
    <w:rsid w:val="009002A3"/>
    <w:rsid w:val="00902EC6"/>
    <w:rsid w:val="0090372A"/>
    <w:rsid w:val="00907684"/>
    <w:rsid w:val="0091403E"/>
    <w:rsid w:val="009175C1"/>
    <w:rsid w:val="00917888"/>
    <w:rsid w:val="009211C9"/>
    <w:rsid w:val="00921BF5"/>
    <w:rsid w:val="00925774"/>
    <w:rsid w:val="00925C14"/>
    <w:rsid w:val="00925FEC"/>
    <w:rsid w:val="009272FC"/>
    <w:rsid w:val="009277D1"/>
    <w:rsid w:val="00930FBE"/>
    <w:rsid w:val="00932EA8"/>
    <w:rsid w:val="00935A0B"/>
    <w:rsid w:val="009360F5"/>
    <w:rsid w:val="00937D44"/>
    <w:rsid w:val="00942286"/>
    <w:rsid w:val="00944215"/>
    <w:rsid w:val="00945248"/>
    <w:rsid w:val="00945293"/>
    <w:rsid w:val="00953D34"/>
    <w:rsid w:val="00955D03"/>
    <w:rsid w:val="0095691B"/>
    <w:rsid w:val="00962C15"/>
    <w:rsid w:val="0096344A"/>
    <w:rsid w:val="009665FB"/>
    <w:rsid w:val="00967037"/>
    <w:rsid w:val="009671DB"/>
    <w:rsid w:val="00967A6D"/>
    <w:rsid w:val="009762DF"/>
    <w:rsid w:val="009763A7"/>
    <w:rsid w:val="00981F45"/>
    <w:rsid w:val="00982989"/>
    <w:rsid w:val="00983065"/>
    <w:rsid w:val="009839DC"/>
    <w:rsid w:val="00985401"/>
    <w:rsid w:val="009863B3"/>
    <w:rsid w:val="0098713E"/>
    <w:rsid w:val="009909B5"/>
    <w:rsid w:val="00994D12"/>
    <w:rsid w:val="009A155F"/>
    <w:rsid w:val="009A3524"/>
    <w:rsid w:val="009A7843"/>
    <w:rsid w:val="009B09D9"/>
    <w:rsid w:val="009B0E53"/>
    <w:rsid w:val="009B128B"/>
    <w:rsid w:val="009B1569"/>
    <w:rsid w:val="009C026E"/>
    <w:rsid w:val="009C3A00"/>
    <w:rsid w:val="009C3DE3"/>
    <w:rsid w:val="009C4D95"/>
    <w:rsid w:val="009D0F63"/>
    <w:rsid w:val="009D7520"/>
    <w:rsid w:val="009D7E8B"/>
    <w:rsid w:val="009E0D75"/>
    <w:rsid w:val="009E12E1"/>
    <w:rsid w:val="009E2FB1"/>
    <w:rsid w:val="009E4B6C"/>
    <w:rsid w:val="009F0FD0"/>
    <w:rsid w:val="009F2981"/>
    <w:rsid w:val="009F4C2A"/>
    <w:rsid w:val="009F798A"/>
    <w:rsid w:val="00A04CB5"/>
    <w:rsid w:val="00A11008"/>
    <w:rsid w:val="00A14CA3"/>
    <w:rsid w:val="00A14E67"/>
    <w:rsid w:val="00A15830"/>
    <w:rsid w:val="00A15D8C"/>
    <w:rsid w:val="00A16F07"/>
    <w:rsid w:val="00A173CC"/>
    <w:rsid w:val="00A204C6"/>
    <w:rsid w:val="00A204FC"/>
    <w:rsid w:val="00A207FA"/>
    <w:rsid w:val="00A20C1A"/>
    <w:rsid w:val="00A23F3A"/>
    <w:rsid w:val="00A245D0"/>
    <w:rsid w:val="00A30608"/>
    <w:rsid w:val="00A31C9E"/>
    <w:rsid w:val="00A33672"/>
    <w:rsid w:val="00A371F2"/>
    <w:rsid w:val="00A44130"/>
    <w:rsid w:val="00A47B72"/>
    <w:rsid w:val="00A50342"/>
    <w:rsid w:val="00A538D7"/>
    <w:rsid w:val="00A539B2"/>
    <w:rsid w:val="00A571AE"/>
    <w:rsid w:val="00A613BF"/>
    <w:rsid w:val="00A62C7B"/>
    <w:rsid w:val="00A67EF7"/>
    <w:rsid w:val="00A7132C"/>
    <w:rsid w:val="00A71EBD"/>
    <w:rsid w:val="00A745FC"/>
    <w:rsid w:val="00A7709A"/>
    <w:rsid w:val="00A77705"/>
    <w:rsid w:val="00A81A00"/>
    <w:rsid w:val="00A8550E"/>
    <w:rsid w:val="00A87D66"/>
    <w:rsid w:val="00A931FF"/>
    <w:rsid w:val="00A95AFB"/>
    <w:rsid w:val="00AA0450"/>
    <w:rsid w:val="00AA0D0B"/>
    <w:rsid w:val="00AA0E9B"/>
    <w:rsid w:val="00AA4F58"/>
    <w:rsid w:val="00AA6219"/>
    <w:rsid w:val="00AA749B"/>
    <w:rsid w:val="00AA7E3B"/>
    <w:rsid w:val="00AA7F70"/>
    <w:rsid w:val="00AB12EA"/>
    <w:rsid w:val="00AB15B7"/>
    <w:rsid w:val="00AB467C"/>
    <w:rsid w:val="00AB4745"/>
    <w:rsid w:val="00AB47B1"/>
    <w:rsid w:val="00AB4A32"/>
    <w:rsid w:val="00AB5018"/>
    <w:rsid w:val="00AB7F6E"/>
    <w:rsid w:val="00AC2247"/>
    <w:rsid w:val="00AC333A"/>
    <w:rsid w:val="00AC35AB"/>
    <w:rsid w:val="00AC5DB9"/>
    <w:rsid w:val="00AD051F"/>
    <w:rsid w:val="00AD3804"/>
    <w:rsid w:val="00AD582D"/>
    <w:rsid w:val="00AD6831"/>
    <w:rsid w:val="00AE1842"/>
    <w:rsid w:val="00AE1EA4"/>
    <w:rsid w:val="00AE3C7C"/>
    <w:rsid w:val="00AE3ED5"/>
    <w:rsid w:val="00AE55D7"/>
    <w:rsid w:val="00AE617C"/>
    <w:rsid w:val="00AE69F3"/>
    <w:rsid w:val="00AF2AE2"/>
    <w:rsid w:val="00AF3031"/>
    <w:rsid w:val="00AF57DD"/>
    <w:rsid w:val="00AF6EC3"/>
    <w:rsid w:val="00B01392"/>
    <w:rsid w:val="00B04D3F"/>
    <w:rsid w:val="00B11000"/>
    <w:rsid w:val="00B151A7"/>
    <w:rsid w:val="00B154BD"/>
    <w:rsid w:val="00B16DBE"/>
    <w:rsid w:val="00B16E4A"/>
    <w:rsid w:val="00B17814"/>
    <w:rsid w:val="00B179BA"/>
    <w:rsid w:val="00B17CC6"/>
    <w:rsid w:val="00B20A4D"/>
    <w:rsid w:val="00B21EE7"/>
    <w:rsid w:val="00B226A9"/>
    <w:rsid w:val="00B25B13"/>
    <w:rsid w:val="00B2650B"/>
    <w:rsid w:val="00B2723E"/>
    <w:rsid w:val="00B27372"/>
    <w:rsid w:val="00B31306"/>
    <w:rsid w:val="00B322F0"/>
    <w:rsid w:val="00B37926"/>
    <w:rsid w:val="00B418F8"/>
    <w:rsid w:val="00B42511"/>
    <w:rsid w:val="00B42814"/>
    <w:rsid w:val="00B4390B"/>
    <w:rsid w:val="00B44045"/>
    <w:rsid w:val="00B44266"/>
    <w:rsid w:val="00B4461E"/>
    <w:rsid w:val="00B4778A"/>
    <w:rsid w:val="00B50C85"/>
    <w:rsid w:val="00B519F0"/>
    <w:rsid w:val="00B61938"/>
    <w:rsid w:val="00B65539"/>
    <w:rsid w:val="00B662E6"/>
    <w:rsid w:val="00B66517"/>
    <w:rsid w:val="00B6723C"/>
    <w:rsid w:val="00B74706"/>
    <w:rsid w:val="00B8016D"/>
    <w:rsid w:val="00B81405"/>
    <w:rsid w:val="00B814F7"/>
    <w:rsid w:val="00B817E4"/>
    <w:rsid w:val="00B83936"/>
    <w:rsid w:val="00B9099E"/>
    <w:rsid w:val="00B9455E"/>
    <w:rsid w:val="00B94F65"/>
    <w:rsid w:val="00B96234"/>
    <w:rsid w:val="00B97FB7"/>
    <w:rsid w:val="00BA130E"/>
    <w:rsid w:val="00BA22C1"/>
    <w:rsid w:val="00BA6D42"/>
    <w:rsid w:val="00BA7893"/>
    <w:rsid w:val="00BB3306"/>
    <w:rsid w:val="00BB5B4A"/>
    <w:rsid w:val="00BB5B4D"/>
    <w:rsid w:val="00BB7545"/>
    <w:rsid w:val="00BB76A7"/>
    <w:rsid w:val="00BC1FC4"/>
    <w:rsid w:val="00BC56D4"/>
    <w:rsid w:val="00BC57BB"/>
    <w:rsid w:val="00BD1B2A"/>
    <w:rsid w:val="00BD42AE"/>
    <w:rsid w:val="00BD58C1"/>
    <w:rsid w:val="00BD636D"/>
    <w:rsid w:val="00BD65EC"/>
    <w:rsid w:val="00BD6BB8"/>
    <w:rsid w:val="00BD6EB7"/>
    <w:rsid w:val="00BE1E5A"/>
    <w:rsid w:val="00BE1F66"/>
    <w:rsid w:val="00BE6B9C"/>
    <w:rsid w:val="00BF02F2"/>
    <w:rsid w:val="00BF297F"/>
    <w:rsid w:val="00BF3847"/>
    <w:rsid w:val="00BF3C55"/>
    <w:rsid w:val="00C074BD"/>
    <w:rsid w:val="00C078D7"/>
    <w:rsid w:val="00C1078A"/>
    <w:rsid w:val="00C10DC2"/>
    <w:rsid w:val="00C1313D"/>
    <w:rsid w:val="00C212A2"/>
    <w:rsid w:val="00C21580"/>
    <w:rsid w:val="00C2323B"/>
    <w:rsid w:val="00C247DC"/>
    <w:rsid w:val="00C247FF"/>
    <w:rsid w:val="00C25119"/>
    <w:rsid w:val="00C25477"/>
    <w:rsid w:val="00C3104D"/>
    <w:rsid w:val="00C338FB"/>
    <w:rsid w:val="00C37BDD"/>
    <w:rsid w:val="00C37D54"/>
    <w:rsid w:val="00C4070F"/>
    <w:rsid w:val="00C40A6F"/>
    <w:rsid w:val="00C4177D"/>
    <w:rsid w:val="00C42A58"/>
    <w:rsid w:val="00C44DD7"/>
    <w:rsid w:val="00C4534D"/>
    <w:rsid w:val="00C45EC2"/>
    <w:rsid w:val="00C464F5"/>
    <w:rsid w:val="00C477B4"/>
    <w:rsid w:val="00C478F2"/>
    <w:rsid w:val="00C51066"/>
    <w:rsid w:val="00C52D3E"/>
    <w:rsid w:val="00C54857"/>
    <w:rsid w:val="00C54D27"/>
    <w:rsid w:val="00C552B8"/>
    <w:rsid w:val="00C56F54"/>
    <w:rsid w:val="00C61647"/>
    <w:rsid w:val="00C61B6B"/>
    <w:rsid w:val="00C61CBE"/>
    <w:rsid w:val="00C63289"/>
    <w:rsid w:val="00C6367E"/>
    <w:rsid w:val="00C6669C"/>
    <w:rsid w:val="00C67662"/>
    <w:rsid w:val="00C720A8"/>
    <w:rsid w:val="00C7344C"/>
    <w:rsid w:val="00C73BE4"/>
    <w:rsid w:val="00C74FBC"/>
    <w:rsid w:val="00C76EEB"/>
    <w:rsid w:val="00C801A1"/>
    <w:rsid w:val="00C803F8"/>
    <w:rsid w:val="00C827DB"/>
    <w:rsid w:val="00C83CEE"/>
    <w:rsid w:val="00C84256"/>
    <w:rsid w:val="00C8455A"/>
    <w:rsid w:val="00C860C4"/>
    <w:rsid w:val="00C878B1"/>
    <w:rsid w:val="00C90F69"/>
    <w:rsid w:val="00C91CC5"/>
    <w:rsid w:val="00C93C87"/>
    <w:rsid w:val="00C94E4F"/>
    <w:rsid w:val="00C9540C"/>
    <w:rsid w:val="00C962F7"/>
    <w:rsid w:val="00C965C2"/>
    <w:rsid w:val="00C96789"/>
    <w:rsid w:val="00C97204"/>
    <w:rsid w:val="00CA5D2A"/>
    <w:rsid w:val="00CA6269"/>
    <w:rsid w:val="00CA6A13"/>
    <w:rsid w:val="00CA7BD3"/>
    <w:rsid w:val="00CB14FE"/>
    <w:rsid w:val="00CB5A35"/>
    <w:rsid w:val="00CB7F7F"/>
    <w:rsid w:val="00CC302D"/>
    <w:rsid w:val="00CD017C"/>
    <w:rsid w:val="00CD1D68"/>
    <w:rsid w:val="00CD45C9"/>
    <w:rsid w:val="00CD50F3"/>
    <w:rsid w:val="00CD52DC"/>
    <w:rsid w:val="00CE045D"/>
    <w:rsid w:val="00CE45D7"/>
    <w:rsid w:val="00CF209E"/>
    <w:rsid w:val="00CF24B4"/>
    <w:rsid w:val="00CF2684"/>
    <w:rsid w:val="00CF2F2A"/>
    <w:rsid w:val="00CF3540"/>
    <w:rsid w:val="00CF3CD6"/>
    <w:rsid w:val="00CF4EDE"/>
    <w:rsid w:val="00CF5158"/>
    <w:rsid w:val="00CF6BB3"/>
    <w:rsid w:val="00D018DE"/>
    <w:rsid w:val="00D01968"/>
    <w:rsid w:val="00D01F5A"/>
    <w:rsid w:val="00D04486"/>
    <w:rsid w:val="00D12194"/>
    <w:rsid w:val="00D12543"/>
    <w:rsid w:val="00D1260C"/>
    <w:rsid w:val="00D12944"/>
    <w:rsid w:val="00D12AA6"/>
    <w:rsid w:val="00D1323B"/>
    <w:rsid w:val="00D152DB"/>
    <w:rsid w:val="00D15E57"/>
    <w:rsid w:val="00D16485"/>
    <w:rsid w:val="00D1716E"/>
    <w:rsid w:val="00D1765F"/>
    <w:rsid w:val="00D2423F"/>
    <w:rsid w:val="00D24DFB"/>
    <w:rsid w:val="00D25720"/>
    <w:rsid w:val="00D25D8D"/>
    <w:rsid w:val="00D31E37"/>
    <w:rsid w:val="00D372BD"/>
    <w:rsid w:val="00D40E70"/>
    <w:rsid w:val="00D43913"/>
    <w:rsid w:val="00D47DE8"/>
    <w:rsid w:val="00D50C70"/>
    <w:rsid w:val="00D51421"/>
    <w:rsid w:val="00D54236"/>
    <w:rsid w:val="00D54C2E"/>
    <w:rsid w:val="00D54CF7"/>
    <w:rsid w:val="00D55FAA"/>
    <w:rsid w:val="00D56481"/>
    <w:rsid w:val="00D64E05"/>
    <w:rsid w:val="00D66441"/>
    <w:rsid w:val="00D666E9"/>
    <w:rsid w:val="00D67349"/>
    <w:rsid w:val="00D70367"/>
    <w:rsid w:val="00D70E33"/>
    <w:rsid w:val="00D74361"/>
    <w:rsid w:val="00D760F6"/>
    <w:rsid w:val="00D774AA"/>
    <w:rsid w:val="00D77C1B"/>
    <w:rsid w:val="00D81156"/>
    <w:rsid w:val="00D813AE"/>
    <w:rsid w:val="00D83E85"/>
    <w:rsid w:val="00D84B48"/>
    <w:rsid w:val="00D90776"/>
    <w:rsid w:val="00D907DC"/>
    <w:rsid w:val="00D924C3"/>
    <w:rsid w:val="00D92B37"/>
    <w:rsid w:val="00D92FD3"/>
    <w:rsid w:val="00D930E9"/>
    <w:rsid w:val="00DA073F"/>
    <w:rsid w:val="00DA3B6E"/>
    <w:rsid w:val="00DA3C21"/>
    <w:rsid w:val="00DA4349"/>
    <w:rsid w:val="00DA556A"/>
    <w:rsid w:val="00DB0091"/>
    <w:rsid w:val="00DB539A"/>
    <w:rsid w:val="00DB6AAA"/>
    <w:rsid w:val="00DB7581"/>
    <w:rsid w:val="00DC12EE"/>
    <w:rsid w:val="00DC2210"/>
    <w:rsid w:val="00DC2773"/>
    <w:rsid w:val="00DC3C15"/>
    <w:rsid w:val="00DC55B5"/>
    <w:rsid w:val="00DC70C1"/>
    <w:rsid w:val="00DC7CEF"/>
    <w:rsid w:val="00DD00A9"/>
    <w:rsid w:val="00DD150C"/>
    <w:rsid w:val="00DD56E8"/>
    <w:rsid w:val="00DE18AF"/>
    <w:rsid w:val="00DE4609"/>
    <w:rsid w:val="00DE4C35"/>
    <w:rsid w:val="00DE616A"/>
    <w:rsid w:val="00DE64D2"/>
    <w:rsid w:val="00DF1C84"/>
    <w:rsid w:val="00DF4297"/>
    <w:rsid w:val="00DF4FD9"/>
    <w:rsid w:val="00DF727F"/>
    <w:rsid w:val="00DF7538"/>
    <w:rsid w:val="00DF76C2"/>
    <w:rsid w:val="00E01D50"/>
    <w:rsid w:val="00E0267A"/>
    <w:rsid w:val="00E04DD9"/>
    <w:rsid w:val="00E05EFD"/>
    <w:rsid w:val="00E12353"/>
    <w:rsid w:val="00E12C67"/>
    <w:rsid w:val="00E1468C"/>
    <w:rsid w:val="00E20C6F"/>
    <w:rsid w:val="00E217D7"/>
    <w:rsid w:val="00E24DB2"/>
    <w:rsid w:val="00E26891"/>
    <w:rsid w:val="00E269D7"/>
    <w:rsid w:val="00E26AF0"/>
    <w:rsid w:val="00E30235"/>
    <w:rsid w:val="00E3072F"/>
    <w:rsid w:val="00E340C4"/>
    <w:rsid w:val="00E357DF"/>
    <w:rsid w:val="00E360C3"/>
    <w:rsid w:val="00E41545"/>
    <w:rsid w:val="00E41EDD"/>
    <w:rsid w:val="00E44250"/>
    <w:rsid w:val="00E44875"/>
    <w:rsid w:val="00E45F41"/>
    <w:rsid w:val="00E464D2"/>
    <w:rsid w:val="00E51AB6"/>
    <w:rsid w:val="00E52D6D"/>
    <w:rsid w:val="00E5392F"/>
    <w:rsid w:val="00E54632"/>
    <w:rsid w:val="00E552F7"/>
    <w:rsid w:val="00E564E8"/>
    <w:rsid w:val="00E57F31"/>
    <w:rsid w:val="00E62E2A"/>
    <w:rsid w:val="00E65648"/>
    <w:rsid w:val="00E6572C"/>
    <w:rsid w:val="00E66746"/>
    <w:rsid w:val="00E7145E"/>
    <w:rsid w:val="00E72EDE"/>
    <w:rsid w:val="00E7378D"/>
    <w:rsid w:val="00E74012"/>
    <w:rsid w:val="00E7482E"/>
    <w:rsid w:val="00E755D8"/>
    <w:rsid w:val="00E83776"/>
    <w:rsid w:val="00E83C12"/>
    <w:rsid w:val="00E8504F"/>
    <w:rsid w:val="00E904C8"/>
    <w:rsid w:val="00E91AF5"/>
    <w:rsid w:val="00E927C2"/>
    <w:rsid w:val="00E95B22"/>
    <w:rsid w:val="00EA051D"/>
    <w:rsid w:val="00EA1374"/>
    <w:rsid w:val="00EA1BBF"/>
    <w:rsid w:val="00EA61E2"/>
    <w:rsid w:val="00EA7737"/>
    <w:rsid w:val="00EB06F8"/>
    <w:rsid w:val="00EB29A9"/>
    <w:rsid w:val="00EB2D65"/>
    <w:rsid w:val="00EB77D2"/>
    <w:rsid w:val="00EB785B"/>
    <w:rsid w:val="00EC03CA"/>
    <w:rsid w:val="00EC1073"/>
    <w:rsid w:val="00EC2D0C"/>
    <w:rsid w:val="00ED0725"/>
    <w:rsid w:val="00ED4CCA"/>
    <w:rsid w:val="00EE0169"/>
    <w:rsid w:val="00EE1241"/>
    <w:rsid w:val="00EE7CF7"/>
    <w:rsid w:val="00EF0C05"/>
    <w:rsid w:val="00EF624D"/>
    <w:rsid w:val="00F01844"/>
    <w:rsid w:val="00F031F3"/>
    <w:rsid w:val="00F045A8"/>
    <w:rsid w:val="00F04AFE"/>
    <w:rsid w:val="00F10441"/>
    <w:rsid w:val="00F15A9E"/>
    <w:rsid w:val="00F16625"/>
    <w:rsid w:val="00F16B6C"/>
    <w:rsid w:val="00F17D91"/>
    <w:rsid w:val="00F234F3"/>
    <w:rsid w:val="00F2475E"/>
    <w:rsid w:val="00F2595C"/>
    <w:rsid w:val="00F26203"/>
    <w:rsid w:val="00F27A16"/>
    <w:rsid w:val="00F30B45"/>
    <w:rsid w:val="00F316C8"/>
    <w:rsid w:val="00F318D0"/>
    <w:rsid w:val="00F341CB"/>
    <w:rsid w:val="00F37A78"/>
    <w:rsid w:val="00F424E2"/>
    <w:rsid w:val="00F428B5"/>
    <w:rsid w:val="00F448DA"/>
    <w:rsid w:val="00F46576"/>
    <w:rsid w:val="00F46AF0"/>
    <w:rsid w:val="00F47198"/>
    <w:rsid w:val="00F478FB"/>
    <w:rsid w:val="00F52A65"/>
    <w:rsid w:val="00F55655"/>
    <w:rsid w:val="00F574B0"/>
    <w:rsid w:val="00F578C3"/>
    <w:rsid w:val="00F60B0F"/>
    <w:rsid w:val="00F62B9F"/>
    <w:rsid w:val="00F632DE"/>
    <w:rsid w:val="00F66B60"/>
    <w:rsid w:val="00F71CA9"/>
    <w:rsid w:val="00F722E2"/>
    <w:rsid w:val="00F72F0B"/>
    <w:rsid w:val="00F73453"/>
    <w:rsid w:val="00F735E4"/>
    <w:rsid w:val="00F73975"/>
    <w:rsid w:val="00F745B7"/>
    <w:rsid w:val="00F7562A"/>
    <w:rsid w:val="00F80E94"/>
    <w:rsid w:val="00F8199E"/>
    <w:rsid w:val="00F83A27"/>
    <w:rsid w:val="00F8549C"/>
    <w:rsid w:val="00F86EF4"/>
    <w:rsid w:val="00F87411"/>
    <w:rsid w:val="00F935A1"/>
    <w:rsid w:val="00F957AD"/>
    <w:rsid w:val="00FA1118"/>
    <w:rsid w:val="00FA2C9F"/>
    <w:rsid w:val="00FA549D"/>
    <w:rsid w:val="00FA7451"/>
    <w:rsid w:val="00FA7693"/>
    <w:rsid w:val="00FB0A75"/>
    <w:rsid w:val="00FB1E94"/>
    <w:rsid w:val="00FB2DF1"/>
    <w:rsid w:val="00FB326E"/>
    <w:rsid w:val="00FB4ED2"/>
    <w:rsid w:val="00FB561C"/>
    <w:rsid w:val="00FB7791"/>
    <w:rsid w:val="00FB7834"/>
    <w:rsid w:val="00FC0FE8"/>
    <w:rsid w:val="00FC3536"/>
    <w:rsid w:val="00FC4C8D"/>
    <w:rsid w:val="00FC52C6"/>
    <w:rsid w:val="00FC6619"/>
    <w:rsid w:val="00FD130E"/>
    <w:rsid w:val="00FD362A"/>
    <w:rsid w:val="00FD397E"/>
    <w:rsid w:val="00FD4B6A"/>
    <w:rsid w:val="00FD55BF"/>
    <w:rsid w:val="00FD5626"/>
    <w:rsid w:val="00FD623B"/>
    <w:rsid w:val="00FE08D3"/>
    <w:rsid w:val="00FE0C9B"/>
    <w:rsid w:val="00FE46EB"/>
    <w:rsid w:val="00FE7EDC"/>
    <w:rsid w:val="00FF00B5"/>
    <w:rsid w:val="00FF03A8"/>
    <w:rsid w:val="00FF2E32"/>
    <w:rsid w:val="00FF3225"/>
    <w:rsid w:val="00FF63EA"/>
    <w:rsid w:val="00FF7540"/>
    <w:rsid w:val="019CCC47"/>
    <w:rsid w:val="0278CDB2"/>
    <w:rsid w:val="03069443"/>
    <w:rsid w:val="0499D5FE"/>
    <w:rsid w:val="0678B849"/>
    <w:rsid w:val="07792D29"/>
    <w:rsid w:val="0797B9A4"/>
    <w:rsid w:val="07E1672B"/>
    <w:rsid w:val="0AB845FB"/>
    <w:rsid w:val="0B0225E7"/>
    <w:rsid w:val="0C1A165E"/>
    <w:rsid w:val="0C20597D"/>
    <w:rsid w:val="0C2D5DD5"/>
    <w:rsid w:val="0E51820D"/>
    <w:rsid w:val="0E640010"/>
    <w:rsid w:val="0EE4C6AA"/>
    <w:rsid w:val="0F0622CE"/>
    <w:rsid w:val="0FB1A02D"/>
    <w:rsid w:val="0FB8DD74"/>
    <w:rsid w:val="1037A534"/>
    <w:rsid w:val="111C7E2F"/>
    <w:rsid w:val="11685949"/>
    <w:rsid w:val="116AA586"/>
    <w:rsid w:val="12255DCB"/>
    <w:rsid w:val="123CCBA4"/>
    <w:rsid w:val="1290E388"/>
    <w:rsid w:val="12965DA2"/>
    <w:rsid w:val="1465F925"/>
    <w:rsid w:val="150DBC83"/>
    <w:rsid w:val="165C6E2C"/>
    <w:rsid w:val="1676C037"/>
    <w:rsid w:val="16CB40C5"/>
    <w:rsid w:val="16E6A51F"/>
    <w:rsid w:val="172ECD0B"/>
    <w:rsid w:val="173B9D58"/>
    <w:rsid w:val="17941531"/>
    <w:rsid w:val="1838F7C4"/>
    <w:rsid w:val="196FA19A"/>
    <w:rsid w:val="1AB38102"/>
    <w:rsid w:val="1B0AB80E"/>
    <w:rsid w:val="1B61F27E"/>
    <w:rsid w:val="1C2CF2E0"/>
    <w:rsid w:val="1C9C066F"/>
    <w:rsid w:val="1D2909E7"/>
    <w:rsid w:val="1D483B4D"/>
    <w:rsid w:val="1DB6CC78"/>
    <w:rsid w:val="1DBF96A1"/>
    <w:rsid w:val="1E466C52"/>
    <w:rsid w:val="1E8C6421"/>
    <w:rsid w:val="1FDDEFAB"/>
    <w:rsid w:val="20E772D6"/>
    <w:rsid w:val="20ECE321"/>
    <w:rsid w:val="215333DB"/>
    <w:rsid w:val="24BA0886"/>
    <w:rsid w:val="268C6FFC"/>
    <w:rsid w:val="27B4B94C"/>
    <w:rsid w:val="2821AFDB"/>
    <w:rsid w:val="29951B10"/>
    <w:rsid w:val="29A238EA"/>
    <w:rsid w:val="2A2EE238"/>
    <w:rsid w:val="2A44FAF1"/>
    <w:rsid w:val="2BA3F4BB"/>
    <w:rsid w:val="2C35056B"/>
    <w:rsid w:val="2C49CF03"/>
    <w:rsid w:val="2C6D53D1"/>
    <w:rsid w:val="2D230ED8"/>
    <w:rsid w:val="2F3FD251"/>
    <w:rsid w:val="2F4967D1"/>
    <w:rsid w:val="2FC62115"/>
    <w:rsid w:val="30152898"/>
    <w:rsid w:val="3021E8A9"/>
    <w:rsid w:val="304DA0D2"/>
    <w:rsid w:val="30691187"/>
    <w:rsid w:val="3074C331"/>
    <w:rsid w:val="31105194"/>
    <w:rsid w:val="3120BBF8"/>
    <w:rsid w:val="31346759"/>
    <w:rsid w:val="31E7963D"/>
    <w:rsid w:val="323356AA"/>
    <w:rsid w:val="32AF8B88"/>
    <w:rsid w:val="32E35C7D"/>
    <w:rsid w:val="3337C51F"/>
    <w:rsid w:val="35759C68"/>
    <w:rsid w:val="35B5DA58"/>
    <w:rsid w:val="35C120CE"/>
    <w:rsid w:val="368BD041"/>
    <w:rsid w:val="374B66F6"/>
    <w:rsid w:val="37FC6FCB"/>
    <w:rsid w:val="3885073B"/>
    <w:rsid w:val="38CBEABB"/>
    <w:rsid w:val="38EAE2C4"/>
    <w:rsid w:val="39464296"/>
    <w:rsid w:val="39942E9F"/>
    <w:rsid w:val="39D8718F"/>
    <w:rsid w:val="3ADBF1FC"/>
    <w:rsid w:val="3CCD3B24"/>
    <w:rsid w:val="3E1F9846"/>
    <w:rsid w:val="3E3B9927"/>
    <w:rsid w:val="3E57E531"/>
    <w:rsid w:val="3EDA9634"/>
    <w:rsid w:val="3F258140"/>
    <w:rsid w:val="4050EA6D"/>
    <w:rsid w:val="40CE6D1A"/>
    <w:rsid w:val="414906F4"/>
    <w:rsid w:val="41490FE5"/>
    <w:rsid w:val="43782F50"/>
    <w:rsid w:val="43E560EC"/>
    <w:rsid w:val="45C52AAB"/>
    <w:rsid w:val="4640B0B2"/>
    <w:rsid w:val="4782F879"/>
    <w:rsid w:val="49668641"/>
    <w:rsid w:val="4A58F8AF"/>
    <w:rsid w:val="4A6B486B"/>
    <w:rsid w:val="4A82333E"/>
    <w:rsid w:val="4B7E932A"/>
    <w:rsid w:val="4B91F7D6"/>
    <w:rsid w:val="4BD36ECF"/>
    <w:rsid w:val="4BDE1939"/>
    <w:rsid w:val="4C0DB1BE"/>
    <w:rsid w:val="4C29885D"/>
    <w:rsid w:val="4C802212"/>
    <w:rsid w:val="4DBC2995"/>
    <w:rsid w:val="4E4FC653"/>
    <w:rsid w:val="4E52FFAE"/>
    <w:rsid w:val="4EC181FE"/>
    <w:rsid w:val="4F15A152"/>
    <w:rsid w:val="4F5CF8FE"/>
    <w:rsid w:val="4FC075F5"/>
    <w:rsid w:val="4FF6A223"/>
    <w:rsid w:val="50652041"/>
    <w:rsid w:val="540413DB"/>
    <w:rsid w:val="5473E5B0"/>
    <w:rsid w:val="54964437"/>
    <w:rsid w:val="5527159B"/>
    <w:rsid w:val="5542EC10"/>
    <w:rsid w:val="55896908"/>
    <w:rsid w:val="56F78D41"/>
    <w:rsid w:val="59912391"/>
    <w:rsid w:val="59CD5C79"/>
    <w:rsid w:val="5ACDCF5F"/>
    <w:rsid w:val="5AF5B419"/>
    <w:rsid w:val="5D4A546A"/>
    <w:rsid w:val="5DB79CE5"/>
    <w:rsid w:val="5DE9F6BC"/>
    <w:rsid w:val="5ECC35B2"/>
    <w:rsid w:val="5ECD99C9"/>
    <w:rsid w:val="5F2815F6"/>
    <w:rsid w:val="5F42B470"/>
    <w:rsid w:val="5F804F46"/>
    <w:rsid w:val="617D9CC2"/>
    <w:rsid w:val="61CC9569"/>
    <w:rsid w:val="62394771"/>
    <w:rsid w:val="62BA468C"/>
    <w:rsid w:val="638D9630"/>
    <w:rsid w:val="63F8469C"/>
    <w:rsid w:val="6562E6EE"/>
    <w:rsid w:val="65710031"/>
    <w:rsid w:val="660E6C2E"/>
    <w:rsid w:val="662EBCFA"/>
    <w:rsid w:val="67C64939"/>
    <w:rsid w:val="67CCC55F"/>
    <w:rsid w:val="67F05E88"/>
    <w:rsid w:val="68A38659"/>
    <w:rsid w:val="68C19298"/>
    <w:rsid w:val="6959B9E2"/>
    <w:rsid w:val="695EBC47"/>
    <w:rsid w:val="69611B66"/>
    <w:rsid w:val="6B2CD204"/>
    <w:rsid w:val="6B619645"/>
    <w:rsid w:val="6BD2C5D9"/>
    <w:rsid w:val="6C2D6232"/>
    <w:rsid w:val="6C84A0CC"/>
    <w:rsid w:val="6CB3A8F9"/>
    <w:rsid w:val="6E5D0EA2"/>
    <w:rsid w:val="6EFD1477"/>
    <w:rsid w:val="6F6FF4E5"/>
    <w:rsid w:val="6FDD4C7C"/>
    <w:rsid w:val="71BAD5B2"/>
    <w:rsid w:val="71D3DA2C"/>
    <w:rsid w:val="73FFD2CE"/>
    <w:rsid w:val="743BB6D0"/>
    <w:rsid w:val="744659A0"/>
    <w:rsid w:val="751FBB7F"/>
    <w:rsid w:val="75869F16"/>
    <w:rsid w:val="77695749"/>
    <w:rsid w:val="777C4754"/>
    <w:rsid w:val="79B0C006"/>
    <w:rsid w:val="7AF496C5"/>
    <w:rsid w:val="7B4414B0"/>
    <w:rsid w:val="7B4700DC"/>
    <w:rsid w:val="7B902B14"/>
    <w:rsid w:val="7BF40C09"/>
    <w:rsid w:val="7CE9FFD1"/>
    <w:rsid w:val="7E48391A"/>
    <w:rsid w:val="7E508783"/>
    <w:rsid w:val="7F3C7271"/>
    <w:rsid w:val="7F6D6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8250BCC8-4D0F-43C9-A9FB-5B735BFF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975"/>
    <w:pPr>
      <w:spacing w:after="200" w:line="276" w:lineRule="auto"/>
    </w:pPr>
    <w:rPr>
      <w:sz w:val="22"/>
      <w:szCs w:val="22"/>
      <w:lang w:val="en-GB" w:eastAsia="en-US"/>
    </w:rPr>
  </w:style>
  <w:style w:type="paragraph" w:styleId="Heading1">
    <w:name w:val="heading 1"/>
    <w:basedOn w:val="Normal"/>
    <w:next w:val="Normal"/>
    <w:link w:val="Heading1Char"/>
    <w:uiPriority w:val="9"/>
    <w:qFormat/>
    <w:rsid w:val="00187ED4"/>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264BFA"/>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00F5"/>
    <w:pPr>
      <w:spacing w:before="100" w:beforeAutospacing="1" w:after="100" w:afterAutospacing="1" w:line="240" w:lineRule="auto"/>
    </w:pPr>
    <w:rPr>
      <w:rFonts w:ascii="Times New Roman" w:eastAsia="Times New Roman" w:hAnsi="Times New Roman"/>
      <w:sz w:val="24"/>
      <w:szCs w:val="24"/>
      <w:lang w:val="en-IE" w:eastAsia="en-IE"/>
    </w:rPr>
  </w:style>
  <w:style w:type="paragraph" w:styleId="FootnoteText">
    <w:name w:val="footnote text"/>
    <w:basedOn w:val="Normal"/>
    <w:link w:val="FootnoteTextChar"/>
    <w:uiPriority w:val="99"/>
    <w:semiHidden/>
    <w:rsid w:val="005600F5"/>
    <w:pPr>
      <w:spacing w:after="240" w:line="240" w:lineRule="auto"/>
      <w:ind w:left="357" w:hanging="357"/>
      <w:jc w:val="both"/>
    </w:pPr>
    <w:rPr>
      <w:rFonts w:ascii="Times New Roman" w:eastAsia="Times New Roman" w:hAnsi="Times New Roman"/>
      <w:sz w:val="20"/>
      <w:szCs w:val="20"/>
    </w:rPr>
  </w:style>
  <w:style w:type="character" w:customStyle="1" w:styleId="FootnoteTextChar">
    <w:name w:val="Footnote Text Char"/>
    <w:link w:val="FootnoteText"/>
    <w:uiPriority w:val="99"/>
    <w:semiHidden/>
    <w:rsid w:val="005600F5"/>
    <w:rPr>
      <w:rFonts w:ascii="Times New Roman" w:eastAsia="Times New Roman" w:hAnsi="Times New Roman"/>
      <w:lang w:eastAsia="en-US"/>
    </w:rPr>
  </w:style>
  <w:style w:type="character" w:styleId="FootnoteReference">
    <w:name w:val="footnote reference"/>
    <w:uiPriority w:val="99"/>
    <w:semiHidden/>
    <w:unhideWhenUsed/>
    <w:rsid w:val="005600F5"/>
    <w:rPr>
      <w:vertAlign w:val="superscript"/>
    </w:rPr>
  </w:style>
  <w:style w:type="character" w:styleId="Hyperlink">
    <w:name w:val="Hyperlink"/>
    <w:uiPriority w:val="99"/>
    <w:unhideWhenUsed/>
    <w:rsid w:val="005600F5"/>
    <w:rPr>
      <w:color w:val="0563C1"/>
      <w:u w:val="single"/>
    </w:rPr>
  </w:style>
  <w:style w:type="character" w:styleId="UnresolvedMention">
    <w:name w:val="Unresolved Mention"/>
    <w:uiPriority w:val="99"/>
    <w:semiHidden/>
    <w:unhideWhenUsed/>
    <w:rsid w:val="002561A0"/>
    <w:rPr>
      <w:color w:val="605E5C"/>
      <w:shd w:val="clear" w:color="auto" w:fill="E1DFDD"/>
    </w:rPr>
  </w:style>
  <w:style w:type="character" w:customStyle="1" w:styleId="Heading1Char">
    <w:name w:val="Heading 1 Char"/>
    <w:link w:val="Heading1"/>
    <w:uiPriority w:val="9"/>
    <w:rsid w:val="00187ED4"/>
    <w:rPr>
      <w:rFonts w:ascii="Calibri Light" w:eastAsia="Times New Roman" w:hAnsi="Calibri Light" w:cs="Times New Roman"/>
      <w:b/>
      <w:bCs/>
      <w:kern w:val="32"/>
      <w:sz w:val="32"/>
      <w:szCs w:val="32"/>
      <w:lang w:eastAsia="en-US"/>
    </w:rPr>
  </w:style>
  <w:style w:type="character" w:customStyle="1" w:styleId="Heading2Char">
    <w:name w:val="Heading 2 Char"/>
    <w:basedOn w:val="DefaultParagraphFont"/>
    <w:link w:val="Heading2"/>
    <w:uiPriority w:val="9"/>
    <w:semiHidden/>
    <w:rsid w:val="00264BFA"/>
    <w:rPr>
      <w:rFonts w:asciiTheme="majorHAnsi" w:eastAsiaTheme="majorEastAsia" w:hAnsiTheme="majorHAnsi" w:cstheme="majorBidi"/>
      <w:b/>
      <w:bCs/>
      <w:i/>
      <w:iCs/>
      <w:sz w:val="28"/>
      <w:szCs w:val="28"/>
      <w:lang w:val="en-GB" w:eastAsia="en-US"/>
    </w:rPr>
  </w:style>
  <w:style w:type="paragraph" w:styleId="Header">
    <w:name w:val="header"/>
    <w:basedOn w:val="Normal"/>
    <w:link w:val="HeaderChar"/>
    <w:uiPriority w:val="99"/>
    <w:unhideWhenUsed/>
    <w:rsid w:val="002171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14D"/>
    <w:rPr>
      <w:sz w:val="22"/>
      <w:szCs w:val="22"/>
      <w:lang w:val="en-GB" w:eastAsia="en-US"/>
    </w:rPr>
  </w:style>
  <w:style w:type="paragraph" w:styleId="Footer">
    <w:name w:val="footer"/>
    <w:basedOn w:val="Normal"/>
    <w:link w:val="FooterChar"/>
    <w:uiPriority w:val="99"/>
    <w:unhideWhenUsed/>
    <w:rsid w:val="002171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14D"/>
    <w:rPr>
      <w:sz w:val="22"/>
      <w:szCs w:val="22"/>
      <w:lang w:val="en-GB" w:eastAsia="en-US"/>
    </w:rPr>
  </w:style>
  <w:style w:type="character" w:styleId="CommentReference">
    <w:name w:val="annotation reference"/>
    <w:basedOn w:val="DefaultParagraphFont"/>
    <w:uiPriority w:val="99"/>
    <w:semiHidden/>
    <w:unhideWhenUsed/>
    <w:rsid w:val="00803A19"/>
    <w:rPr>
      <w:sz w:val="16"/>
      <w:szCs w:val="16"/>
    </w:rPr>
  </w:style>
  <w:style w:type="paragraph" w:styleId="CommentText">
    <w:name w:val="annotation text"/>
    <w:basedOn w:val="Normal"/>
    <w:link w:val="CommentTextChar"/>
    <w:uiPriority w:val="99"/>
    <w:unhideWhenUsed/>
    <w:rsid w:val="00803A19"/>
    <w:pPr>
      <w:spacing w:after="0" w:line="240" w:lineRule="auto"/>
      <w:jc w:val="both"/>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uiPriority w:val="99"/>
    <w:rsid w:val="00803A19"/>
    <w:rPr>
      <w:rFonts w:ascii="Times New Roman" w:eastAsia="Times New Roman" w:hAnsi="Times New Roman"/>
      <w:lang w:val="en-US" w:eastAsia="en-US"/>
    </w:rPr>
  </w:style>
  <w:style w:type="paragraph" w:styleId="ListParagraph">
    <w:name w:val="List Paragraph"/>
    <w:basedOn w:val="Normal"/>
    <w:uiPriority w:val="34"/>
    <w:qFormat/>
    <w:rsid w:val="008B4155"/>
    <w:pPr>
      <w:ind w:left="720"/>
      <w:contextualSpacing/>
    </w:pPr>
  </w:style>
  <w:style w:type="paragraph" w:styleId="Revision">
    <w:name w:val="Revision"/>
    <w:hidden/>
    <w:uiPriority w:val="99"/>
    <w:semiHidden/>
    <w:rsid w:val="00BB5B4D"/>
    <w:rPr>
      <w:sz w:val="22"/>
      <w:szCs w:val="22"/>
      <w:lang w:val="en-GB" w:eastAsia="en-US"/>
    </w:rPr>
  </w:style>
  <w:style w:type="paragraph" w:styleId="CommentSubject">
    <w:name w:val="annotation subject"/>
    <w:basedOn w:val="CommentText"/>
    <w:next w:val="CommentText"/>
    <w:link w:val="CommentSubjectChar"/>
    <w:uiPriority w:val="99"/>
    <w:semiHidden/>
    <w:unhideWhenUsed/>
    <w:rsid w:val="00435DFD"/>
    <w:pPr>
      <w:spacing w:after="200"/>
      <w:jc w:val="left"/>
    </w:pPr>
    <w:rPr>
      <w:rFonts w:ascii="Calibri" w:eastAsia="Calibri" w:hAnsi="Calibri"/>
      <w:b/>
      <w:bCs/>
      <w:lang w:val="en-GB"/>
    </w:rPr>
  </w:style>
  <w:style w:type="character" w:customStyle="1" w:styleId="CommentSubjectChar">
    <w:name w:val="Comment Subject Char"/>
    <w:basedOn w:val="CommentTextChar"/>
    <w:link w:val="CommentSubject"/>
    <w:uiPriority w:val="99"/>
    <w:semiHidden/>
    <w:rsid w:val="00435DFD"/>
    <w:rPr>
      <w:rFonts w:ascii="Times New Roman" w:eastAsia="Times New Roman" w:hAnsi="Times New Roman"/>
      <w:b/>
      <w:bCs/>
      <w:lang w:val="en-GB" w:eastAsia="en-US"/>
    </w:rPr>
  </w:style>
  <w:style w:type="character" w:customStyle="1" w:styleId="normaltextrun">
    <w:name w:val="normaltextrun"/>
    <w:basedOn w:val="DefaultParagraphFont"/>
    <w:rsid w:val="00FD130E"/>
  </w:style>
  <w:style w:type="character" w:customStyle="1" w:styleId="superscript">
    <w:name w:val="superscript"/>
    <w:basedOn w:val="DefaultParagraphFont"/>
    <w:rsid w:val="00FD130E"/>
  </w:style>
  <w:style w:type="character" w:customStyle="1" w:styleId="selected">
    <w:name w:val="selected"/>
    <w:basedOn w:val="DefaultParagraphFont"/>
    <w:rsid w:val="00F578C3"/>
  </w:style>
  <w:style w:type="character" w:styleId="FollowedHyperlink">
    <w:name w:val="FollowedHyperlink"/>
    <w:basedOn w:val="DefaultParagraphFont"/>
    <w:uiPriority w:val="99"/>
    <w:semiHidden/>
    <w:unhideWhenUsed/>
    <w:rsid w:val="004511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9078">
      <w:bodyDiv w:val="1"/>
      <w:marLeft w:val="0"/>
      <w:marRight w:val="0"/>
      <w:marTop w:val="0"/>
      <w:marBottom w:val="0"/>
      <w:divBdr>
        <w:top w:val="none" w:sz="0" w:space="0" w:color="auto"/>
        <w:left w:val="none" w:sz="0" w:space="0" w:color="auto"/>
        <w:bottom w:val="none" w:sz="0" w:space="0" w:color="auto"/>
        <w:right w:val="none" w:sz="0" w:space="0" w:color="auto"/>
      </w:divBdr>
    </w:div>
    <w:div w:id="503714879">
      <w:bodyDiv w:val="1"/>
      <w:marLeft w:val="0"/>
      <w:marRight w:val="0"/>
      <w:marTop w:val="0"/>
      <w:marBottom w:val="0"/>
      <w:divBdr>
        <w:top w:val="none" w:sz="0" w:space="0" w:color="auto"/>
        <w:left w:val="none" w:sz="0" w:space="0" w:color="auto"/>
        <w:bottom w:val="none" w:sz="0" w:space="0" w:color="auto"/>
        <w:right w:val="none" w:sz="0" w:space="0" w:color="auto"/>
      </w:divBdr>
    </w:div>
    <w:div w:id="618488770">
      <w:bodyDiv w:val="1"/>
      <w:marLeft w:val="0"/>
      <w:marRight w:val="0"/>
      <w:marTop w:val="0"/>
      <w:marBottom w:val="0"/>
      <w:divBdr>
        <w:top w:val="none" w:sz="0" w:space="0" w:color="auto"/>
        <w:left w:val="none" w:sz="0" w:space="0" w:color="auto"/>
        <w:bottom w:val="none" w:sz="0" w:space="0" w:color="auto"/>
        <w:right w:val="none" w:sz="0" w:space="0" w:color="auto"/>
      </w:divBdr>
    </w:div>
    <w:div w:id="992874411">
      <w:bodyDiv w:val="1"/>
      <w:marLeft w:val="0"/>
      <w:marRight w:val="0"/>
      <w:marTop w:val="0"/>
      <w:marBottom w:val="0"/>
      <w:divBdr>
        <w:top w:val="none" w:sz="0" w:space="0" w:color="auto"/>
        <w:left w:val="none" w:sz="0" w:space="0" w:color="auto"/>
        <w:bottom w:val="none" w:sz="0" w:space="0" w:color="auto"/>
        <w:right w:val="none" w:sz="0" w:space="0" w:color="auto"/>
      </w:divBdr>
    </w:div>
    <w:div w:id="1003822243">
      <w:bodyDiv w:val="1"/>
      <w:marLeft w:val="0"/>
      <w:marRight w:val="0"/>
      <w:marTop w:val="0"/>
      <w:marBottom w:val="0"/>
      <w:divBdr>
        <w:top w:val="none" w:sz="0" w:space="0" w:color="auto"/>
        <w:left w:val="none" w:sz="0" w:space="0" w:color="auto"/>
        <w:bottom w:val="none" w:sz="0" w:space="0" w:color="auto"/>
        <w:right w:val="none" w:sz="0" w:space="0" w:color="auto"/>
      </w:divBdr>
    </w:div>
    <w:div w:id="1065687979">
      <w:bodyDiv w:val="1"/>
      <w:marLeft w:val="0"/>
      <w:marRight w:val="0"/>
      <w:marTop w:val="0"/>
      <w:marBottom w:val="0"/>
      <w:divBdr>
        <w:top w:val="none" w:sz="0" w:space="0" w:color="auto"/>
        <w:left w:val="none" w:sz="0" w:space="0" w:color="auto"/>
        <w:bottom w:val="none" w:sz="0" w:space="0" w:color="auto"/>
        <w:right w:val="none" w:sz="0" w:space="0" w:color="auto"/>
      </w:divBdr>
    </w:div>
    <w:div w:id="1070426345">
      <w:bodyDiv w:val="1"/>
      <w:marLeft w:val="0"/>
      <w:marRight w:val="0"/>
      <w:marTop w:val="0"/>
      <w:marBottom w:val="0"/>
      <w:divBdr>
        <w:top w:val="none" w:sz="0" w:space="0" w:color="auto"/>
        <w:left w:val="none" w:sz="0" w:space="0" w:color="auto"/>
        <w:bottom w:val="none" w:sz="0" w:space="0" w:color="auto"/>
        <w:right w:val="none" w:sz="0" w:space="0" w:color="auto"/>
      </w:divBdr>
    </w:div>
    <w:div w:id="1681618938">
      <w:bodyDiv w:val="1"/>
      <w:marLeft w:val="0"/>
      <w:marRight w:val="0"/>
      <w:marTop w:val="0"/>
      <w:marBottom w:val="0"/>
      <w:divBdr>
        <w:top w:val="none" w:sz="0" w:space="0" w:color="auto"/>
        <w:left w:val="none" w:sz="0" w:space="0" w:color="auto"/>
        <w:bottom w:val="none" w:sz="0" w:space="0" w:color="auto"/>
        <w:right w:val="none" w:sz="0" w:space="0" w:color="auto"/>
      </w:divBdr>
    </w:div>
    <w:div w:id="1827739025">
      <w:bodyDiv w:val="1"/>
      <w:marLeft w:val="0"/>
      <w:marRight w:val="0"/>
      <w:marTop w:val="0"/>
      <w:marBottom w:val="0"/>
      <w:divBdr>
        <w:top w:val="none" w:sz="0" w:space="0" w:color="auto"/>
        <w:left w:val="none" w:sz="0" w:space="0" w:color="auto"/>
        <w:bottom w:val="none" w:sz="0" w:space="0" w:color="auto"/>
        <w:right w:val="none" w:sz="0" w:space="0" w:color="auto"/>
      </w:divBdr>
      <w:divsChild>
        <w:div w:id="1034964143">
          <w:marLeft w:val="0"/>
          <w:marRight w:val="0"/>
          <w:marTop w:val="0"/>
          <w:marBottom w:val="0"/>
          <w:divBdr>
            <w:top w:val="none" w:sz="0" w:space="0" w:color="auto"/>
            <w:left w:val="none" w:sz="0" w:space="0" w:color="auto"/>
            <w:bottom w:val="none" w:sz="0" w:space="0" w:color="auto"/>
            <w:right w:val="none" w:sz="0" w:space="0" w:color="auto"/>
          </w:divBdr>
        </w:div>
      </w:divsChild>
    </w:div>
    <w:div w:id="1852143975">
      <w:bodyDiv w:val="1"/>
      <w:marLeft w:val="0"/>
      <w:marRight w:val="0"/>
      <w:marTop w:val="0"/>
      <w:marBottom w:val="0"/>
      <w:divBdr>
        <w:top w:val="none" w:sz="0" w:space="0" w:color="auto"/>
        <w:left w:val="none" w:sz="0" w:space="0" w:color="auto"/>
        <w:bottom w:val="none" w:sz="0" w:space="0" w:color="auto"/>
        <w:right w:val="none" w:sz="0" w:space="0" w:color="auto"/>
      </w:divBdr>
    </w:div>
    <w:div w:id="1874414284">
      <w:bodyDiv w:val="1"/>
      <w:marLeft w:val="0"/>
      <w:marRight w:val="0"/>
      <w:marTop w:val="0"/>
      <w:marBottom w:val="0"/>
      <w:divBdr>
        <w:top w:val="none" w:sz="0" w:space="0" w:color="auto"/>
        <w:left w:val="none" w:sz="0" w:space="0" w:color="auto"/>
        <w:bottom w:val="none" w:sz="0" w:space="0" w:color="auto"/>
        <w:right w:val="none" w:sz="0" w:space="0" w:color="auto"/>
      </w:divBdr>
    </w:div>
    <w:div w:id="1882864362">
      <w:bodyDiv w:val="1"/>
      <w:marLeft w:val="0"/>
      <w:marRight w:val="0"/>
      <w:marTop w:val="0"/>
      <w:marBottom w:val="0"/>
      <w:divBdr>
        <w:top w:val="none" w:sz="0" w:space="0" w:color="auto"/>
        <w:left w:val="none" w:sz="0" w:space="0" w:color="auto"/>
        <w:bottom w:val="none" w:sz="0" w:space="0" w:color="auto"/>
        <w:right w:val="none" w:sz="0" w:space="0" w:color="auto"/>
      </w:divBdr>
      <w:divsChild>
        <w:div w:id="604730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N/TXT/?uri=celex:32011L002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ealth.ec.europa.eu/latest-updates/new-2025-annual-report-member-state-coordination-group-hta-htacg-2026-02-16_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carelawinsights.com/2025/03/understanding-and-protecting-your-ip-key-considerations-for-life-sciences-business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PDF/?uri=CELEX%3A52025DC0090" TargetMode="External"/><Relationship Id="rId7" Type="http://schemas.openxmlformats.org/officeDocument/2006/relationships/hyperlink" Target="https://eur-lex.europa.eu/legal-content/EN/TXT/?uri=celex:32014R0536" TargetMode="External"/><Relationship Id="rId2" Type="http://schemas.openxmlformats.org/officeDocument/2006/relationships/hyperlink" Target="https://ec.europa.eu/commission/presscorner/detail/en/ip_25_3015" TargetMode="External"/><Relationship Id="rId1" Type="http://schemas.openxmlformats.org/officeDocument/2006/relationships/hyperlink" Target="https://eur-lex.europa.eu/LexUriServ/LexUriServ.do?uri=OJ:L:2000:018:0001:0005:en:PDF" TargetMode="External"/><Relationship Id="rId6" Type="http://schemas.openxmlformats.org/officeDocument/2006/relationships/hyperlink" Target="http://data.europa.eu/eli/dir/2011/24/oj" TargetMode="External"/><Relationship Id="rId5" Type="http://schemas.openxmlformats.org/officeDocument/2006/relationships/hyperlink" Target="https://eur-lex.europa.eu/legal-content/EN/TXT/?uri=OJ:L_202500327" TargetMode="External"/><Relationship Id="rId4" Type="http://schemas.openxmlformats.org/officeDocument/2006/relationships/hyperlink" Target="https://eur-lex.europa.eu/legal-content/EN/TXT/?uri=CELEX%3A52025DC02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835c61-ca2e-49ee-8dca-a76e9f0344a3">
      <Terms xmlns="http://schemas.microsoft.com/office/infopath/2007/PartnerControls"/>
    </lcf76f155ced4ddcb4097134ff3c332f>
    <TaxCatchAll xmlns="ba7bd860-1739-4001-af8a-147771a6eb0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18F24F2D4E8140A461B5DCD99F9D2E" ma:contentTypeVersion="17" ma:contentTypeDescription="Create a new document." ma:contentTypeScope="" ma:versionID="9a9b427a1fb0ce26220bd437136040f3">
  <xsd:schema xmlns:xsd="http://www.w3.org/2001/XMLSchema" xmlns:xs="http://www.w3.org/2001/XMLSchema" xmlns:p="http://schemas.microsoft.com/office/2006/metadata/properties" xmlns:ns2="a5835c61-ca2e-49ee-8dca-a76e9f0344a3" xmlns:ns3="ba7bd860-1739-4001-af8a-147771a6eb05" targetNamespace="http://schemas.microsoft.com/office/2006/metadata/properties" ma:root="true" ma:fieldsID="6fa106dfb3e1712c38f5ff62abe8db93" ns2:_="" ns3:_="">
    <xsd:import namespace="a5835c61-ca2e-49ee-8dca-a76e9f0344a3"/>
    <xsd:import namespace="ba7bd860-1739-4001-af8a-147771a6eb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35c61-ca2e-49ee-8dca-a76e9f034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7bd860-1739-4001-af8a-147771a6eb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3a76b6a-f70f-40c8-a1b9-21bb613ff99d}" ma:internalName="TaxCatchAll" ma:showField="CatchAllData" ma:web="ba7bd860-1739-4001-af8a-147771a6eb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716463-0575-4650-9AD8-9F1CE9CD7DDF}">
  <ds:schemaRefs>
    <ds:schemaRef ds:uri="http://schemas.microsoft.com/office/2006/metadata/properties"/>
    <ds:schemaRef ds:uri="http://schemas.microsoft.com/office/infopath/2007/PartnerControls"/>
    <ds:schemaRef ds:uri="a5835c61-ca2e-49ee-8dca-a76e9f0344a3"/>
    <ds:schemaRef ds:uri="ba7bd860-1739-4001-af8a-147771a6eb05"/>
  </ds:schemaRefs>
</ds:datastoreItem>
</file>

<file path=customXml/itemProps2.xml><?xml version="1.0" encoding="utf-8"?>
<ds:datastoreItem xmlns:ds="http://schemas.openxmlformats.org/officeDocument/2006/customXml" ds:itemID="{C788CF44-8AE5-43D1-B1EA-3AE24707B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35c61-ca2e-49ee-8dca-a76e9f0344a3"/>
    <ds:schemaRef ds:uri="ba7bd860-1739-4001-af8a-147771a6e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212BB6-5C74-4EBE-AFE4-89C1F5C80D7A}">
  <ds:schemaRefs>
    <ds:schemaRef ds:uri="http://schemas.openxmlformats.org/officeDocument/2006/bibliography"/>
  </ds:schemaRefs>
</ds:datastoreItem>
</file>

<file path=customXml/itemProps4.xml><?xml version="1.0" encoding="utf-8"?>
<ds:datastoreItem xmlns:ds="http://schemas.openxmlformats.org/officeDocument/2006/customXml" ds:itemID="{48BCC8D7-6243-4BDD-A1BC-7C3E1A3089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2762</Words>
  <Characters>16384</Characters>
  <Application>Microsoft Office Word</Application>
  <DocSecurity>0</DocSecurity>
  <Lines>212</Lines>
  <Paragraphs>39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19107</CharactersWithSpaces>
  <SharedDoc>false</SharedDoc>
  <HLinks>
    <vt:vector size="48" baseType="variant">
      <vt:variant>
        <vt:i4>5963782</vt:i4>
      </vt:variant>
      <vt:variant>
        <vt:i4>0</vt:i4>
      </vt:variant>
      <vt:variant>
        <vt:i4>0</vt:i4>
      </vt:variant>
      <vt:variant>
        <vt:i4>5</vt:i4>
      </vt:variant>
      <vt:variant>
        <vt:lpwstr>https://www.healthcarelawinsights.com/2025/03/understanding-and-protecting-your-ip-key-considerations-for-life-sciences-businesses/</vt:lpwstr>
      </vt:variant>
      <vt:variant>
        <vt:lpwstr>:~:text=For%20companies%20in%20the%20Life,IP%20to%20a%20third%20party?</vt:lpwstr>
      </vt:variant>
      <vt:variant>
        <vt:i4>7798884</vt:i4>
      </vt:variant>
      <vt:variant>
        <vt:i4>18</vt:i4>
      </vt:variant>
      <vt:variant>
        <vt:i4>0</vt:i4>
      </vt:variant>
      <vt:variant>
        <vt:i4>5</vt:i4>
      </vt:variant>
      <vt:variant>
        <vt:lpwstr>https://eur-lex.europa.eu/legal-content/EN/TXT/?uri=COM%3A2025%3A497%3AREV1</vt:lpwstr>
      </vt:variant>
      <vt:variant>
        <vt:lpwstr/>
      </vt:variant>
      <vt:variant>
        <vt:i4>4391010</vt:i4>
      </vt:variant>
      <vt:variant>
        <vt:i4>15</vt:i4>
      </vt:variant>
      <vt:variant>
        <vt:i4>0</vt:i4>
      </vt:variant>
      <vt:variant>
        <vt:i4>5</vt:i4>
      </vt:variant>
      <vt:variant>
        <vt:lpwstr>https://research-and-innovation.ec.europa.eu/news/all-research-and-innovation-news/commission-seeks-feedback-future-european-innovation-act-2025-07-09_en</vt:lpwstr>
      </vt:variant>
      <vt:variant>
        <vt:lpwstr/>
      </vt:variant>
      <vt:variant>
        <vt:i4>7077988</vt:i4>
      </vt:variant>
      <vt:variant>
        <vt:i4>12</vt:i4>
      </vt:variant>
      <vt:variant>
        <vt:i4>0</vt:i4>
      </vt:variant>
      <vt:variant>
        <vt:i4>5</vt:i4>
      </vt:variant>
      <vt:variant>
        <vt:lpwstr>http://data.europa.eu/eli/dir/2021/1883/oj</vt:lpwstr>
      </vt:variant>
      <vt:variant>
        <vt:lpwstr/>
      </vt:variant>
      <vt:variant>
        <vt:i4>4259868</vt:i4>
      </vt:variant>
      <vt:variant>
        <vt:i4>9</vt:i4>
      </vt:variant>
      <vt:variant>
        <vt:i4>0</vt:i4>
      </vt:variant>
      <vt:variant>
        <vt:i4>5</vt:i4>
      </vt:variant>
      <vt:variant>
        <vt:lpwstr>http://data.europa.eu/eli/dir/2016/801/oj</vt:lpwstr>
      </vt:variant>
      <vt:variant>
        <vt:lpwstr/>
      </vt:variant>
      <vt:variant>
        <vt:i4>6357097</vt:i4>
      </vt:variant>
      <vt:variant>
        <vt:i4>6</vt:i4>
      </vt:variant>
      <vt:variant>
        <vt:i4>0</vt:i4>
      </vt:variant>
      <vt:variant>
        <vt:i4>5</vt:i4>
      </vt:variant>
      <vt:variant>
        <vt:lpwstr>https://eur-lex.europa.eu/legal-content/EN/TXT/PDF/?uri=CELEX%3A52025DC0090</vt:lpwstr>
      </vt:variant>
      <vt:variant>
        <vt:lpwstr/>
      </vt:variant>
      <vt:variant>
        <vt:i4>6357097</vt:i4>
      </vt:variant>
      <vt:variant>
        <vt:i4>3</vt:i4>
      </vt:variant>
      <vt:variant>
        <vt:i4>0</vt:i4>
      </vt:variant>
      <vt:variant>
        <vt:i4>5</vt:i4>
      </vt:variant>
      <vt:variant>
        <vt:lpwstr>https://eur-lex.europa.eu/legal-content/EN/TXT/PDF/?uri=CELEX%3A52025DC0090</vt:lpwstr>
      </vt:variant>
      <vt:variant>
        <vt:lpwstr/>
      </vt:variant>
      <vt:variant>
        <vt:i4>131092</vt:i4>
      </vt:variant>
      <vt:variant>
        <vt:i4>0</vt:i4>
      </vt:variant>
      <vt:variant>
        <vt:i4>0</vt:i4>
      </vt:variant>
      <vt:variant>
        <vt:i4>5</vt:i4>
      </vt:variant>
      <vt:variant>
        <vt:lpwstr>https://eur-lex.europa.eu/legal-content/EN/TXT/?uri=celex:52025DC0525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cp:lastModifiedBy>
  <cp:revision>2</cp:revision>
  <cp:lastPrinted>2013-02-27T18:02:00Z</cp:lastPrinted>
  <dcterms:created xsi:type="dcterms:W3CDTF">2026-06-03T14:03:00Z</dcterms:created>
  <dcterms:modified xsi:type="dcterms:W3CDTF">2026-06-03T14:03:00Z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0x0101008B18F24F2D4E8140A461B5DCD99F9D2E</vt:lpwstr>
  </property>
  <property fmtid="{D5CDD505-2E9C-101B-9397-08002B2CF9AE}" pid="10" name="MediaServiceImageTags">
    <vt:lpwstr/>
  </property>
</Properties>
</file>