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7F26" w14:textId="77777777" w:rsidR="00783FE2" w:rsidRDefault="00783FE2" w:rsidP="008F178B">
      <w:pPr>
        <w:pStyle w:val="Heading3"/>
        <w:jc w:val="both"/>
        <w:rPr>
          <w:rFonts w:ascii="Times New Roman" w:hAnsi="Times New Roman" w:cs="Times New Roman"/>
          <w:b/>
          <w:bCs/>
          <w:color w:val="auto"/>
          <w:sz w:val="24"/>
          <w:szCs w:val="24"/>
        </w:rPr>
      </w:pPr>
    </w:p>
    <w:p w14:paraId="11547DC1" w14:textId="77777777" w:rsidR="00783FE2" w:rsidRDefault="00783FE2" w:rsidP="00703C2D">
      <w:pPr>
        <w:jc w:val="both"/>
        <w:rPr>
          <w:rFonts w:ascii="Times New Roman" w:hAnsi="Times New Roman" w:cs="Times New Roman"/>
          <w:sz w:val="24"/>
          <w:szCs w:val="24"/>
          <w:lang w:val="fr-BE"/>
        </w:rPr>
      </w:pPr>
    </w:p>
    <w:p w14:paraId="68A5F60E" w14:textId="77777777" w:rsidR="00783FE2" w:rsidRDefault="00783FE2" w:rsidP="00703C2D">
      <w:pPr>
        <w:jc w:val="both"/>
        <w:rPr>
          <w:rFonts w:ascii="Times New Roman" w:hAnsi="Times New Roman" w:cs="Times New Roman"/>
          <w:sz w:val="24"/>
          <w:szCs w:val="24"/>
          <w:lang w:val="fr-BE"/>
        </w:rPr>
      </w:pPr>
    </w:p>
    <w:p w14:paraId="41DD6B9A" w14:textId="77777777" w:rsidR="00783FE2" w:rsidRPr="00703C2D" w:rsidRDefault="00783FE2" w:rsidP="00783FE2">
      <w:pPr>
        <w:pStyle w:val="Heading3"/>
        <w:jc w:val="both"/>
        <w:rPr>
          <w:rFonts w:ascii="Times New Roman" w:hAnsi="Times New Roman" w:cs="Times New Roman"/>
          <w:b/>
          <w:bCs/>
          <w:color w:val="auto"/>
          <w:sz w:val="24"/>
          <w:szCs w:val="24"/>
        </w:rPr>
      </w:pPr>
      <w:r w:rsidRPr="00703C2D">
        <w:rPr>
          <w:rFonts w:ascii="Times New Roman" w:hAnsi="Times New Roman" w:cs="Times New Roman"/>
          <w:b/>
          <w:bCs/>
          <w:color w:val="auto"/>
          <w:sz w:val="24"/>
          <w:szCs w:val="24"/>
        </w:rPr>
        <w:t xml:space="preserve">SMEs in a Turbulent World: Resilience, Sustainability and </w:t>
      </w:r>
      <w:r>
        <w:rPr>
          <w:rFonts w:ascii="Times New Roman" w:hAnsi="Times New Roman" w:cs="Times New Roman"/>
          <w:b/>
          <w:bCs/>
          <w:color w:val="auto"/>
          <w:sz w:val="24"/>
          <w:szCs w:val="24"/>
        </w:rPr>
        <w:t>Competitiveness</w:t>
      </w:r>
    </w:p>
    <w:p w14:paraId="4A37913E" w14:textId="71691DB7" w:rsidR="00A409B3" w:rsidRPr="00783FE2" w:rsidRDefault="00A409B3" w:rsidP="00703C2D">
      <w:pPr>
        <w:jc w:val="both"/>
        <w:rPr>
          <w:rFonts w:ascii="Times New Roman" w:hAnsi="Times New Roman" w:cs="Times New Roman"/>
          <w:sz w:val="24"/>
          <w:szCs w:val="24"/>
          <w:lang w:val="fr-BE"/>
        </w:rPr>
      </w:pPr>
      <w:r w:rsidRPr="00783FE2">
        <w:rPr>
          <w:rFonts w:ascii="Times New Roman" w:hAnsi="Times New Roman" w:cs="Times New Roman"/>
          <w:sz w:val="24"/>
          <w:szCs w:val="24"/>
          <w:lang w:val="fr-BE"/>
        </w:rPr>
        <w:t>R</w:t>
      </w:r>
      <w:r w:rsidR="00AD2AC4" w:rsidRPr="00783FE2">
        <w:rPr>
          <w:rFonts w:ascii="Times New Roman" w:hAnsi="Times New Roman" w:cs="Times New Roman"/>
          <w:sz w:val="24"/>
          <w:szCs w:val="24"/>
          <w:lang w:val="fr-BE"/>
        </w:rPr>
        <w:t>eport prepared for the EU-Türkiye Joint Consultative Committee (JCC)</w:t>
      </w:r>
    </w:p>
    <w:p w14:paraId="315FA023" w14:textId="40C158A7" w:rsidR="00A409B3" w:rsidRPr="00783FE2" w:rsidRDefault="00A409B3" w:rsidP="00703C2D">
      <w:pPr>
        <w:jc w:val="both"/>
        <w:rPr>
          <w:rFonts w:ascii="Times New Roman" w:hAnsi="Times New Roman" w:cs="Times New Roman"/>
          <w:i/>
          <w:iCs/>
          <w:sz w:val="24"/>
          <w:szCs w:val="24"/>
          <w:lang w:val="fr-BE"/>
        </w:rPr>
      </w:pPr>
      <w:r w:rsidRPr="00783FE2">
        <w:rPr>
          <w:rFonts w:ascii="Times New Roman" w:hAnsi="Times New Roman" w:cs="Times New Roman"/>
          <w:i/>
          <w:iCs/>
          <w:sz w:val="24"/>
          <w:szCs w:val="24"/>
          <w:lang w:val="fr-BE"/>
        </w:rPr>
        <w:t>Assoc. Prof. Çiğdem Nas, Economic Development Foundation, Secretary-General</w:t>
      </w:r>
    </w:p>
    <w:p w14:paraId="765F6D5C" w14:textId="6D863CB1" w:rsidR="00703C2D" w:rsidRPr="00CB0C8E" w:rsidRDefault="008F178B" w:rsidP="008F178B">
      <w:pPr>
        <w:jc w:val="both"/>
        <w:rPr>
          <w:rFonts w:ascii="Times New Roman" w:hAnsi="Times New Roman" w:cs="Times New Roman"/>
          <w:b/>
          <w:bCs/>
          <w:sz w:val="24"/>
          <w:szCs w:val="24"/>
        </w:rPr>
      </w:pPr>
      <w:r w:rsidRPr="00CB0C8E">
        <w:rPr>
          <w:rFonts w:ascii="Times New Roman" w:hAnsi="Times New Roman" w:cs="Times New Roman"/>
          <w:b/>
          <w:bCs/>
          <w:sz w:val="24"/>
          <w:szCs w:val="24"/>
        </w:rPr>
        <w:t>1.</w:t>
      </w:r>
      <w:r w:rsidR="00703C2D" w:rsidRPr="00CB0C8E">
        <w:rPr>
          <w:rFonts w:ascii="Times New Roman" w:hAnsi="Times New Roman" w:cs="Times New Roman"/>
          <w:b/>
          <w:bCs/>
          <w:sz w:val="24"/>
          <w:szCs w:val="24"/>
        </w:rPr>
        <w:t>Introduction</w:t>
      </w:r>
    </w:p>
    <w:p w14:paraId="55549D9C" w14:textId="77777777" w:rsidR="00703C2D" w:rsidRPr="008F178B" w:rsidRDefault="00703C2D" w:rsidP="00703C2D">
      <w:pPr>
        <w:jc w:val="both"/>
        <w:rPr>
          <w:rFonts w:ascii="Times New Roman" w:hAnsi="Times New Roman" w:cs="Times New Roman"/>
          <w:b/>
          <w:bCs/>
          <w:sz w:val="24"/>
          <w:szCs w:val="24"/>
        </w:rPr>
      </w:pPr>
      <w:r w:rsidRPr="008F178B">
        <w:rPr>
          <w:rFonts w:ascii="Times New Roman" w:hAnsi="Times New Roman" w:cs="Times New Roman"/>
          <w:b/>
          <w:bCs/>
          <w:sz w:val="24"/>
          <w:szCs w:val="24"/>
        </w:rPr>
        <w:t>General View of SMEs in Türkiye</w:t>
      </w:r>
    </w:p>
    <w:p w14:paraId="26D22AE9" w14:textId="0F84D5A2" w:rsidR="00B60F1C" w:rsidRPr="00703C2D" w:rsidRDefault="00703C2D" w:rsidP="00703C2D">
      <w:pPr>
        <w:jc w:val="both"/>
        <w:rPr>
          <w:rFonts w:ascii="Times New Roman" w:hAnsi="Times New Roman" w:cs="Times New Roman"/>
          <w:sz w:val="24"/>
          <w:szCs w:val="24"/>
        </w:rPr>
      </w:pPr>
      <w:r w:rsidRPr="00703C2D">
        <w:rPr>
          <w:rFonts w:ascii="Times New Roman" w:hAnsi="Times New Roman" w:cs="Times New Roman"/>
          <w:sz w:val="24"/>
          <w:szCs w:val="24"/>
        </w:rPr>
        <w:t xml:space="preserve">SMEs constitute the backbone of the Turkish economy, employment and trade activities. </w:t>
      </w:r>
      <w:r w:rsidR="001543FE" w:rsidRPr="00703C2D">
        <w:rPr>
          <w:rFonts w:ascii="Times New Roman" w:hAnsi="Times New Roman" w:cs="Times New Roman"/>
          <w:sz w:val="24"/>
          <w:szCs w:val="24"/>
        </w:rPr>
        <w:t>Currently, Turkey has an estimated 3.</w:t>
      </w:r>
      <w:r w:rsidR="001D46B9">
        <w:rPr>
          <w:rFonts w:ascii="Times New Roman" w:hAnsi="Times New Roman" w:cs="Times New Roman"/>
          <w:sz w:val="24"/>
          <w:szCs w:val="24"/>
        </w:rPr>
        <w:t>93</w:t>
      </w:r>
      <w:r w:rsidR="001543FE" w:rsidRPr="00703C2D">
        <w:rPr>
          <w:rFonts w:ascii="Times New Roman" w:hAnsi="Times New Roman" w:cs="Times New Roman"/>
          <w:sz w:val="24"/>
          <w:szCs w:val="24"/>
        </w:rPr>
        <w:t xml:space="preserve"> million active SMEs, representing 99.8% of all registered entities in the country</w:t>
      </w:r>
      <w:r w:rsidR="000204FB">
        <w:rPr>
          <w:rFonts w:ascii="Times New Roman" w:hAnsi="Times New Roman" w:cs="Times New Roman"/>
          <w:sz w:val="24"/>
          <w:szCs w:val="24"/>
        </w:rPr>
        <w:t xml:space="preserve"> </w:t>
      </w:r>
      <w:r w:rsidR="008F178B">
        <w:rPr>
          <w:rFonts w:ascii="Times New Roman" w:hAnsi="Times New Roman" w:cs="Times New Roman"/>
          <w:sz w:val="24"/>
          <w:szCs w:val="24"/>
        </w:rPr>
        <w:t>(TOBB, 2025)</w:t>
      </w:r>
      <w:r w:rsidRPr="00703C2D">
        <w:rPr>
          <w:rFonts w:ascii="Times New Roman" w:hAnsi="Times New Roman" w:cs="Times New Roman"/>
          <w:sz w:val="24"/>
          <w:szCs w:val="24"/>
        </w:rPr>
        <w:t>.</w:t>
      </w:r>
      <w:r w:rsidR="001543FE" w:rsidRPr="00703C2D">
        <w:rPr>
          <w:rFonts w:ascii="Times New Roman" w:hAnsi="Times New Roman" w:cs="Times New Roman"/>
          <w:sz w:val="24"/>
          <w:szCs w:val="24"/>
        </w:rPr>
        <w:t xml:space="preserve"> </w:t>
      </w:r>
    </w:p>
    <w:p w14:paraId="71306D7B" w14:textId="23F300F5" w:rsidR="0069222A" w:rsidRDefault="0069222A" w:rsidP="00703C2D">
      <w:pPr>
        <w:jc w:val="both"/>
        <w:rPr>
          <w:rFonts w:ascii="Times New Roman" w:hAnsi="Times New Roman" w:cs="Times New Roman"/>
          <w:sz w:val="24"/>
          <w:szCs w:val="24"/>
        </w:rPr>
      </w:pPr>
      <w:r>
        <w:rPr>
          <w:rFonts w:ascii="Times New Roman" w:hAnsi="Times New Roman" w:cs="Times New Roman"/>
          <w:sz w:val="24"/>
          <w:szCs w:val="24"/>
        </w:rPr>
        <w:t>According to latest avai</w:t>
      </w:r>
      <w:r w:rsidR="001D46B9">
        <w:rPr>
          <w:rFonts w:ascii="Times New Roman" w:hAnsi="Times New Roman" w:cs="Times New Roman"/>
          <w:sz w:val="24"/>
          <w:szCs w:val="24"/>
        </w:rPr>
        <w:t>lable</w:t>
      </w:r>
      <w:r>
        <w:rPr>
          <w:rFonts w:ascii="Times New Roman" w:hAnsi="Times New Roman" w:cs="Times New Roman"/>
          <w:sz w:val="24"/>
          <w:szCs w:val="24"/>
        </w:rPr>
        <w:t xml:space="preserve"> data</w:t>
      </w:r>
      <w:r w:rsidR="00E11199">
        <w:rPr>
          <w:rFonts w:ascii="Times New Roman" w:hAnsi="Times New Roman" w:cs="Times New Roman"/>
          <w:sz w:val="24"/>
          <w:szCs w:val="24"/>
        </w:rPr>
        <w:t xml:space="preserve"> published in December 2025</w:t>
      </w:r>
      <w:r>
        <w:rPr>
          <w:rFonts w:ascii="Times New Roman" w:hAnsi="Times New Roman" w:cs="Times New Roman"/>
          <w:sz w:val="24"/>
          <w:szCs w:val="24"/>
        </w:rPr>
        <w:t>,</w:t>
      </w:r>
      <w:r w:rsidR="001D46B9">
        <w:rPr>
          <w:rFonts w:ascii="Times New Roman" w:hAnsi="Times New Roman" w:cs="Times New Roman"/>
          <w:sz w:val="24"/>
          <w:szCs w:val="24"/>
        </w:rPr>
        <w:t xml:space="preserve"> SMEs constituted 99.6 % of total enterprises, 68.5 % of total employment, </w:t>
      </w:r>
      <w:r w:rsidR="00E11199">
        <w:rPr>
          <w:rFonts w:ascii="Times New Roman" w:hAnsi="Times New Roman" w:cs="Times New Roman"/>
          <w:sz w:val="24"/>
          <w:szCs w:val="24"/>
        </w:rPr>
        <w:t>43.5 % of perso</w:t>
      </w:r>
      <w:r w:rsidR="000204FB">
        <w:rPr>
          <w:rFonts w:ascii="Times New Roman" w:hAnsi="Times New Roman" w:cs="Times New Roman"/>
          <w:sz w:val="24"/>
          <w:szCs w:val="24"/>
        </w:rPr>
        <w:t>n</w:t>
      </w:r>
      <w:r w:rsidR="00E11199">
        <w:rPr>
          <w:rFonts w:ascii="Times New Roman" w:hAnsi="Times New Roman" w:cs="Times New Roman"/>
          <w:sz w:val="24"/>
          <w:szCs w:val="24"/>
        </w:rPr>
        <w:t>nel expenses, 44.1 % of total turnover, 39.8 % of production value and 41.2 % of value added in terms of factor cost</w:t>
      </w:r>
      <w:r>
        <w:rPr>
          <w:rFonts w:ascii="Times New Roman" w:hAnsi="Times New Roman" w:cs="Times New Roman"/>
          <w:sz w:val="24"/>
          <w:szCs w:val="24"/>
        </w:rPr>
        <w:t xml:space="preserve"> </w:t>
      </w:r>
      <w:r w:rsidR="00E11199">
        <w:rPr>
          <w:rFonts w:ascii="Times New Roman" w:hAnsi="Times New Roman" w:cs="Times New Roman"/>
          <w:sz w:val="24"/>
          <w:szCs w:val="24"/>
        </w:rPr>
        <w:t>in 2024.</w:t>
      </w:r>
    </w:p>
    <w:p w14:paraId="578E3AB0" w14:textId="0CBD5551" w:rsidR="00E11199" w:rsidRDefault="00E11199" w:rsidP="00703C2D">
      <w:pPr>
        <w:jc w:val="both"/>
        <w:rPr>
          <w:rFonts w:ascii="Times New Roman" w:hAnsi="Times New Roman" w:cs="Times New Roman"/>
          <w:sz w:val="24"/>
          <w:szCs w:val="24"/>
        </w:rPr>
      </w:pPr>
      <w:r>
        <w:rPr>
          <w:rFonts w:ascii="Times New Roman" w:hAnsi="Times New Roman" w:cs="Times New Roman"/>
          <w:sz w:val="24"/>
          <w:szCs w:val="24"/>
        </w:rPr>
        <w:t xml:space="preserve">35.1 % of SMEs operated in wholesale and retail trade, motor vehicle and motorcycle repair sectors, while 15.3 % operated in transport and storage sector, and 12.1 % operated in manufacturing sector. </w:t>
      </w:r>
    </w:p>
    <w:p w14:paraId="04F8A59A" w14:textId="51F5C742" w:rsidR="00486F8C" w:rsidRDefault="00486F8C" w:rsidP="0069222A">
      <w:pPr>
        <w:jc w:val="both"/>
        <w:rPr>
          <w:rFonts w:ascii="Times New Roman" w:hAnsi="Times New Roman" w:cs="Times New Roman"/>
          <w:sz w:val="24"/>
          <w:szCs w:val="24"/>
        </w:rPr>
      </w:pPr>
      <w:r>
        <w:rPr>
          <w:rFonts w:ascii="Times New Roman" w:hAnsi="Times New Roman" w:cs="Times New Roman"/>
          <w:sz w:val="24"/>
          <w:szCs w:val="24"/>
        </w:rPr>
        <w:t>SMEs in the manufacturing sector accounted for 25.4 % of employment by SMEs, 33.5 % of personnel cost, 25.5 % of turnover, 34.9 % of value added and 41.2 % of production value.</w:t>
      </w:r>
    </w:p>
    <w:p w14:paraId="711F8537" w14:textId="4C18A67B" w:rsidR="0069222A" w:rsidRDefault="00486F8C" w:rsidP="0069222A">
      <w:pPr>
        <w:jc w:val="both"/>
        <w:rPr>
          <w:rFonts w:ascii="Times New Roman" w:hAnsi="Times New Roman" w:cs="Times New Roman"/>
          <w:sz w:val="24"/>
          <w:szCs w:val="24"/>
        </w:rPr>
      </w:pPr>
      <w:r w:rsidRPr="003D7654">
        <w:rPr>
          <w:rFonts w:ascii="Times New Roman" w:hAnsi="Times New Roman" w:cs="Times New Roman"/>
          <w:sz w:val="24"/>
          <w:szCs w:val="24"/>
        </w:rPr>
        <w:t xml:space="preserve">Value added per employee in SMEs increased from </w:t>
      </w:r>
      <w:r w:rsidR="003D7654" w:rsidRPr="003D7654">
        <w:rPr>
          <w:rFonts w:ascii="Times New Roman" w:hAnsi="Times New Roman" w:cs="Times New Roman"/>
          <w:sz w:val="24"/>
          <w:szCs w:val="24"/>
        </w:rPr>
        <w:t>26 thousand TL in 2015 to 479 thousand TL in 2024.</w:t>
      </w:r>
      <w:r w:rsidR="00D60058">
        <w:rPr>
          <w:rFonts w:ascii="Times New Roman" w:hAnsi="Times New Roman" w:cs="Times New Roman"/>
          <w:sz w:val="24"/>
          <w:szCs w:val="24"/>
        </w:rPr>
        <w:t xml:space="preserve"> Personnel cost per employee increased from 17 thousand TL in 2015 to 253 thousand TL in 2024.</w:t>
      </w:r>
    </w:p>
    <w:p w14:paraId="36D0B484" w14:textId="2CF929B0" w:rsidR="00061051" w:rsidRPr="00061051" w:rsidRDefault="00061051" w:rsidP="0069222A">
      <w:pPr>
        <w:jc w:val="both"/>
        <w:rPr>
          <w:rFonts w:ascii="Times New Roman" w:hAnsi="Times New Roman" w:cs="Times New Roman"/>
          <w:b/>
          <w:bCs/>
          <w:sz w:val="24"/>
          <w:szCs w:val="24"/>
        </w:rPr>
      </w:pPr>
      <w:r w:rsidRPr="00061051">
        <w:rPr>
          <w:rFonts w:ascii="Times New Roman" w:hAnsi="Times New Roman" w:cs="Times New Roman"/>
          <w:b/>
          <w:bCs/>
          <w:sz w:val="24"/>
          <w:szCs w:val="24"/>
        </w:rPr>
        <w:t>Technology Segments of SMEs</w:t>
      </w:r>
    </w:p>
    <w:p w14:paraId="68E7E3E3" w14:textId="52351458" w:rsidR="00D60058" w:rsidRDefault="00D60058" w:rsidP="0069222A">
      <w:pPr>
        <w:jc w:val="both"/>
        <w:rPr>
          <w:rFonts w:ascii="Times New Roman" w:hAnsi="Times New Roman" w:cs="Times New Roman"/>
          <w:sz w:val="24"/>
          <w:szCs w:val="24"/>
        </w:rPr>
      </w:pPr>
      <w:r>
        <w:rPr>
          <w:rFonts w:ascii="Times New Roman" w:hAnsi="Times New Roman" w:cs="Times New Roman"/>
          <w:sz w:val="24"/>
          <w:szCs w:val="24"/>
        </w:rPr>
        <w:t xml:space="preserve">3,790 SMEs engaged in high tech production in 2024. 54.8 % of SMEs operated in low technology segment, while 32.1 % operated in low-medium, 12.3 % in medium high and 0.8 % in high technlogy segments. </w:t>
      </w:r>
      <w:r w:rsidR="00F86993">
        <w:rPr>
          <w:rFonts w:ascii="Times New Roman" w:hAnsi="Times New Roman" w:cs="Times New Roman"/>
          <w:sz w:val="24"/>
          <w:szCs w:val="24"/>
        </w:rPr>
        <w:t xml:space="preserve">A dissection of SMEs in terms of micro, small and medium sized SMEs reveal that 56.2 % of micro enterprises operated in low technology segment while 48.3 % of small enterprises and 47.7 % of medium sized enterprises operated in low tech segment. </w:t>
      </w:r>
      <w:r w:rsidR="00325BEA">
        <w:rPr>
          <w:rFonts w:ascii="Times New Roman" w:hAnsi="Times New Roman" w:cs="Times New Roman"/>
          <w:sz w:val="24"/>
          <w:szCs w:val="24"/>
        </w:rPr>
        <w:t xml:space="preserve">Only 0.7 % of micro enterprises, 1.1 % of small enterprises and 1.5 of medium enterpirses  operated in high technology segment. Finally, 32.1 % and 11.0 % of micro enterprises, 32.7 % and 17.9 % of small enterprises, and 31.0 % and 19.8 % of medium-sized enterprises operated in low medium amd medium high segments respectively. Overall, more than half of all SMEs were situated in low tech segment while around 45 % of SMEs were in low to high technology segments. </w:t>
      </w:r>
    </w:p>
    <w:p w14:paraId="2602B0B6" w14:textId="50FAF65E" w:rsidR="003D7654" w:rsidRDefault="00FB1399" w:rsidP="0069222A">
      <w:pPr>
        <w:jc w:val="both"/>
        <w:rPr>
          <w:rFonts w:ascii="Times New Roman" w:hAnsi="Times New Roman" w:cs="Times New Roman"/>
          <w:sz w:val="24"/>
          <w:szCs w:val="24"/>
        </w:rPr>
      </w:pPr>
      <w:r>
        <w:rPr>
          <w:rFonts w:ascii="Times New Roman" w:hAnsi="Times New Roman" w:cs="Times New Roman"/>
          <w:sz w:val="24"/>
          <w:szCs w:val="24"/>
        </w:rPr>
        <w:t>Table 1: Comparison of SMEs and Large Enterprises in the manufacturing industry in terms of level of technology</w:t>
      </w:r>
    </w:p>
    <w:tbl>
      <w:tblPr>
        <w:tblStyle w:val="TableGrid"/>
        <w:tblW w:w="0" w:type="auto"/>
        <w:tblLook w:val="04A0" w:firstRow="1" w:lastRow="0" w:firstColumn="1" w:lastColumn="0" w:noHBand="0" w:noVBand="1"/>
      </w:tblPr>
      <w:tblGrid>
        <w:gridCol w:w="1812"/>
        <w:gridCol w:w="1812"/>
        <w:gridCol w:w="1812"/>
        <w:gridCol w:w="1813"/>
        <w:gridCol w:w="1813"/>
      </w:tblGrid>
      <w:tr w:rsidR="00FB1399" w14:paraId="2A84ACF9" w14:textId="77777777" w:rsidTr="00FB1399">
        <w:tc>
          <w:tcPr>
            <w:tcW w:w="1812" w:type="dxa"/>
          </w:tcPr>
          <w:p w14:paraId="0C4FAC9A" w14:textId="191CC1A8" w:rsidR="00FB1399" w:rsidRPr="00A4313F" w:rsidRDefault="00D6005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 xml:space="preserve">Size </w:t>
            </w:r>
          </w:p>
        </w:tc>
        <w:tc>
          <w:tcPr>
            <w:tcW w:w="1812" w:type="dxa"/>
          </w:tcPr>
          <w:p w14:paraId="679D3BED" w14:textId="54A795B2" w:rsidR="00FB1399" w:rsidRPr="00A4313F" w:rsidRDefault="00D6005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Low tech</w:t>
            </w:r>
          </w:p>
        </w:tc>
        <w:tc>
          <w:tcPr>
            <w:tcW w:w="1812" w:type="dxa"/>
          </w:tcPr>
          <w:p w14:paraId="1610E4D7" w14:textId="22AFB427" w:rsidR="00FB1399" w:rsidRPr="00A4313F" w:rsidRDefault="00D6005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Low</w:t>
            </w:r>
            <w:r w:rsidR="00D50E62">
              <w:rPr>
                <w:rFonts w:ascii="Times New Roman" w:hAnsi="Times New Roman" w:cs="Times New Roman"/>
                <w:b/>
                <w:bCs/>
                <w:sz w:val="24"/>
                <w:szCs w:val="24"/>
              </w:rPr>
              <w:t xml:space="preserve"> </w:t>
            </w:r>
            <w:r w:rsidRPr="00A4313F">
              <w:rPr>
                <w:rFonts w:ascii="Times New Roman" w:hAnsi="Times New Roman" w:cs="Times New Roman"/>
                <w:b/>
                <w:bCs/>
                <w:sz w:val="24"/>
                <w:szCs w:val="24"/>
              </w:rPr>
              <w:t>medium</w:t>
            </w:r>
          </w:p>
        </w:tc>
        <w:tc>
          <w:tcPr>
            <w:tcW w:w="1813" w:type="dxa"/>
          </w:tcPr>
          <w:p w14:paraId="2127DB9B" w14:textId="4177F65D" w:rsidR="00FB1399" w:rsidRPr="00A4313F" w:rsidRDefault="00D6005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Medium high</w:t>
            </w:r>
          </w:p>
        </w:tc>
        <w:tc>
          <w:tcPr>
            <w:tcW w:w="1813" w:type="dxa"/>
          </w:tcPr>
          <w:p w14:paraId="665868F8" w14:textId="77777777" w:rsidR="00FB1399" w:rsidRPr="00A4313F" w:rsidRDefault="00D6005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High tech</w:t>
            </w:r>
          </w:p>
          <w:p w14:paraId="11209870" w14:textId="46CBDAA1" w:rsidR="00496B88" w:rsidRPr="00A4313F" w:rsidRDefault="00496B88" w:rsidP="0069222A">
            <w:pPr>
              <w:jc w:val="both"/>
              <w:rPr>
                <w:rFonts w:ascii="Times New Roman" w:hAnsi="Times New Roman" w:cs="Times New Roman"/>
                <w:b/>
                <w:bCs/>
                <w:sz w:val="24"/>
                <w:szCs w:val="24"/>
              </w:rPr>
            </w:pPr>
          </w:p>
        </w:tc>
      </w:tr>
      <w:tr w:rsidR="00FB1399" w14:paraId="0F34B186" w14:textId="77777777" w:rsidTr="00FB1399">
        <w:tc>
          <w:tcPr>
            <w:tcW w:w="1812" w:type="dxa"/>
          </w:tcPr>
          <w:p w14:paraId="4BB6F576" w14:textId="66D8AB63" w:rsidR="00FB1399" w:rsidRPr="00A4313F" w:rsidRDefault="00D6005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lastRenderedPageBreak/>
              <w:t>SME</w:t>
            </w:r>
            <w:r w:rsidR="00ED7521" w:rsidRPr="00A4313F">
              <w:rPr>
                <w:rFonts w:ascii="Times New Roman" w:hAnsi="Times New Roman" w:cs="Times New Roman"/>
                <w:b/>
                <w:bCs/>
                <w:sz w:val="24"/>
                <w:szCs w:val="24"/>
              </w:rPr>
              <w:t xml:space="preserve"> total</w:t>
            </w:r>
          </w:p>
          <w:p w14:paraId="02B39AA7" w14:textId="77777777" w:rsidR="00ED7521" w:rsidRPr="00A4313F" w:rsidRDefault="00ED7521" w:rsidP="0069222A">
            <w:pPr>
              <w:jc w:val="both"/>
              <w:rPr>
                <w:rFonts w:ascii="Times New Roman" w:hAnsi="Times New Roman" w:cs="Times New Roman"/>
                <w:b/>
                <w:bCs/>
                <w:sz w:val="24"/>
                <w:szCs w:val="24"/>
              </w:rPr>
            </w:pPr>
          </w:p>
          <w:p w14:paraId="164A8AAF" w14:textId="77777777" w:rsidR="00496B88" w:rsidRPr="00A4313F" w:rsidRDefault="00496B8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-Micro</w:t>
            </w:r>
          </w:p>
          <w:p w14:paraId="0BB17AA3" w14:textId="77777777" w:rsidR="00496B88" w:rsidRPr="00A4313F" w:rsidRDefault="00496B8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-Small</w:t>
            </w:r>
          </w:p>
          <w:p w14:paraId="3EEC8D58" w14:textId="30909C9F" w:rsidR="00496B88" w:rsidRPr="00A4313F" w:rsidRDefault="00496B8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-Medium</w:t>
            </w:r>
          </w:p>
        </w:tc>
        <w:tc>
          <w:tcPr>
            <w:tcW w:w="1812" w:type="dxa"/>
          </w:tcPr>
          <w:p w14:paraId="321A77C6" w14:textId="77777777" w:rsidR="00FB1399" w:rsidRDefault="00D60058" w:rsidP="0069222A">
            <w:pPr>
              <w:jc w:val="both"/>
              <w:rPr>
                <w:rFonts w:ascii="Times New Roman" w:hAnsi="Times New Roman" w:cs="Times New Roman"/>
                <w:sz w:val="24"/>
                <w:szCs w:val="24"/>
              </w:rPr>
            </w:pPr>
            <w:r>
              <w:rPr>
                <w:rFonts w:ascii="Times New Roman" w:hAnsi="Times New Roman" w:cs="Times New Roman"/>
                <w:sz w:val="24"/>
                <w:szCs w:val="24"/>
              </w:rPr>
              <w:t>54.8</w:t>
            </w:r>
          </w:p>
          <w:p w14:paraId="2F43F72D" w14:textId="77777777" w:rsidR="00ED7521" w:rsidRDefault="00ED7521" w:rsidP="0069222A">
            <w:pPr>
              <w:jc w:val="both"/>
              <w:rPr>
                <w:rFonts w:ascii="Times New Roman" w:hAnsi="Times New Roman" w:cs="Times New Roman"/>
                <w:sz w:val="24"/>
                <w:szCs w:val="24"/>
              </w:rPr>
            </w:pPr>
          </w:p>
          <w:p w14:paraId="08B6533E" w14:textId="77777777"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56.2</w:t>
            </w:r>
          </w:p>
          <w:p w14:paraId="619A6A9E" w14:textId="6E360BDA"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48.3</w:t>
            </w:r>
          </w:p>
          <w:p w14:paraId="65919D93" w14:textId="2D48E35E"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47.7</w:t>
            </w:r>
          </w:p>
          <w:p w14:paraId="13F74E5A" w14:textId="0822C098" w:rsidR="00496B88" w:rsidRDefault="00496B88" w:rsidP="0069222A">
            <w:pPr>
              <w:jc w:val="both"/>
              <w:rPr>
                <w:rFonts w:ascii="Times New Roman" w:hAnsi="Times New Roman" w:cs="Times New Roman"/>
                <w:sz w:val="24"/>
                <w:szCs w:val="24"/>
              </w:rPr>
            </w:pPr>
          </w:p>
        </w:tc>
        <w:tc>
          <w:tcPr>
            <w:tcW w:w="1812" w:type="dxa"/>
          </w:tcPr>
          <w:p w14:paraId="1420EEB4" w14:textId="77777777" w:rsidR="00FB1399" w:rsidRDefault="00D60058" w:rsidP="0069222A">
            <w:pPr>
              <w:jc w:val="both"/>
              <w:rPr>
                <w:rFonts w:ascii="Times New Roman" w:hAnsi="Times New Roman" w:cs="Times New Roman"/>
                <w:sz w:val="24"/>
                <w:szCs w:val="24"/>
              </w:rPr>
            </w:pPr>
            <w:r>
              <w:rPr>
                <w:rFonts w:ascii="Times New Roman" w:hAnsi="Times New Roman" w:cs="Times New Roman"/>
                <w:sz w:val="24"/>
                <w:szCs w:val="24"/>
              </w:rPr>
              <w:t>32.1</w:t>
            </w:r>
          </w:p>
          <w:p w14:paraId="6C57ABA9" w14:textId="77777777" w:rsidR="00ED7521" w:rsidRDefault="00ED7521" w:rsidP="0069222A">
            <w:pPr>
              <w:jc w:val="both"/>
              <w:rPr>
                <w:rFonts w:ascii="Times New Roman" w:hAnsi="Times New Roman" w:cs="Times New Roman"/>
                <w:sz w:val="24"/>
                <w:szCs w:val="24"/>
              </w:rPr>
            </w:pPr>
          </w:p>
          <w:p w14:paraId="260FC72C" w14:textId="77777777"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32.1</w:t>
            </w:r>
          </w:p>
          <w:p w14:paraId="1CB84D55" w14:textId="77777777"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32.7</w:t>
            </w:r>
          </w:p>
          <w:p w14:paraId="11857CF5" w14:textId="06686C30"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31.0</w:t>
            </w:r>
          </w:p>
        </w:tc>
        <w:tc>
          <w:tcPr>
            <w:tcW w:w="1813" w:type="dxa"/>
          </w:tcPr>
          <w:p w14:paraId="4320648F" w14:textId="77777777" w:rsidR="00FB1399" w:rsidRDefault="00D60058" w:rsidP="0069222A">
            <w:pPr>
              <w:jc w:val="both"/>
              <w:rPr>
                <w:rFonts w:ascii="Times New Roman" w:hAnsi="Times New Roman" w:cs="Times New Roman"/>
                <w:sz w:val="24"/>
                <w:szCs w:val="24"/>
              </w:rPr>
            </w:pPr>
            <w:r>
              <w:rPr>
                <w:rFonts w:ascii="Times New Roman" w:hAnsi="Times New Roman" w:cs="Times New Roman"/>
                <w:sz w:val="24"/>
                <w:szCs w:val="24"/>
              </w:rPr>
              <w:t>12.3</w:t>
            </w:r>
          </w:p>
          <w:p w14:paraId="034E992F" w14:textId="77777777" w:rsidR="00ED7521" w:rsidRDefault="00ED7521" w:rsidP="0069222A">
            <w:pPr>
              <w:jc w:val="both"/>
              <w:rPr>
                <w:rFonts w:ascii="Times New Roman" w:hAnsi="Times New Roman" w:cs="Times New Roman"/>
                <w:sz w:val="24"/>
                <w:szCs w:val="24"/>
              </w:rPr>
            </w:pPr>
          </w:p>
          <w:p w14:paraId="1A3C7433" w14:textId="77777777"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11.0</w:t>
            </w:r>
          </w:p>
          <w:p w14:paraId="3BAA43CD" w14:textId="77777777"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17.9</w:t>
            </w:r>
          </w:p>
          <w:p w14:paraId="49178790" w14:textId="13647230"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19.8</w:t>
            </w:r>
          </w:p>
        </w:tc>
        <w:tc>
          <w:tcPr>
            <w:tcW w:w="1813" w:type="dxa"/>
          </w:tcPr>
          <w:p w14:paraId="613938F2" w14:textId="77777777" w:rsidR="00FB1399" w:rsidRDefault="00D60058" w:rsidP="0069222A">
            <w:pPr>
              <w:jc w:val="both"/>
              <w:rPr>
                <w:rFonts w:ascii="Times New Roman" w:hAnsi="Times New Roman" w:cs="Times New Roman"/>
                <w:sz w:val="24"/>
                <w:szCs w:val="24"/>
              </w:rPr>
            </w:pPr>
            <w:r>
              <w:rPr>
                <w:rFonts w:ascii="Times New Roman" w:hAnsi="Times New Roman" w:cs="Times New Roman"/>
                <w:sz w:val="24"/>
                <w:szCs w:val="24"/>
              </w:rPr>
              <w:t>0.8</w:t>
            </w:r>
          </w:p>
          <w:p w14:paraId="25B45F55" w14:textId="77777777" w:rsidR="00ED7521" w:rsidRDefault="00ED7521" w:rsidP="0069222A">
            <w:pPr>
              <w:jc w:val="both"/>
              <w:rPr>
                <w:rFonts w:ascii="Times New Roman" w:hAnsi="Times New Roman" w:cs="Times New Roman"/>
                <w:sz w:val="24"/>
                <w:szCs w:val="24"/>
              </w:rPr>
            </w:pPr>
          </w:p>
          <w:p w14:paraId="593A2B49" w14:textId="77777777"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0.7</w:t>
            </w:r>
          </w:p>
          <w:p w14:paraId="240FF49D" w14:textId="23023789"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1.1</w:t>
            </w:r>
          </w:p>
          <w:p w14:paraId="26B880DF" w14:textId="0947CFF9" w:rsidR="00496B88" w:rsidRDefault="00496B88" w:rsidP="0069222A">
            <w:pPr>
              <w:jc w:val="both"/>
              <w:rPr>
                <w:rFonts w:ascii="Times New Roman" w:hAnsi="Times New Roman" w:cs="Times New Roman"/>
                <w:sz w:val="24"/>
                <w:szCs w:val="24"/>
              </w:rPr>
            </w:pPr>
            <w:r>
              <w:rPr>
                <w:rFonts w:ascii="Times New Roman" w:hAnsi="Times New Roman" w:cs="Times New Roman"/>
                <w:sz w:val="24"/>
                <w:szCs w:val="24"/>
              </w:rPr>
              <w:t>1.5</w:t>
            </w:r>
          </w:p>
        </w:tc>
      </w:tr>
      <w:tr w:rsidR="00FB1399" w14:paraId="7D901563" w14:textId="77777777" w:rsidTr="00FB1399">
        <w:tc>
          <w:tcPr>
            <w:tcW w:w="1812" w:type="dxa"/>
          </w:tcPr>
          <w:p w14:paraId="738B123B" w14:textId="0A192313" w:rsidR="00FB1399" w:rsidRPr="00A4313F" w:rsidRDefault="00D6005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Large</w:t>
            </w:r>
          </w:p>
        </w:tc>
        <w:tc>
          <w:tcPr>
            <w:tcW w:w="1812" w:type="dxa"/>
          </w:tcPr>
          <w:p w14:paraId="2A923443" w14:textId="77777777" w:rsidR="00FB1399" w:rsidRDefault="00D60058" w:rsidP="0069222A">
            <w:pPr>
              <w:jc w:val="both"/>
              <w:rPr>
                <w:rFonts w:ascii="Times New Roman" w:hAnsi="Times New Roman" w:cs="Times New Roman"/>
                <w:sz w:val="24"/>
                <w:szCs w:val="24"/>
              </w:rPr>
            </w:pPr>
            <w:r>
              <w:rPr>
                <w:rFonts w:ascii="Times New Roman" w:hAnsi="Times New Roman" w:cs="Times New Roman"/>
                <w:sz w:val="24"/>
                <w:szCs w:val="24"/>
              </w:rPr>
              <w:t>41.5</w:t>
            </w:r>
          </w:p>
          <w:p w14:paraId="3947563F" w14:textId="41FAF569" w:rsidR="00496B88" w:rsidRDefault="00496B88" w:rsidP="0069222A">
            <w:pPr>
              <w:jc w:val="both"/>
              <w:rPr>
                <w:rFonts w:ascii="Times New Roman" w:hAnsi="Times New Roman" w:cs="Times New Roman"/>
                <w:sz w:val="24"/>
                <w:szCs w:val="24"/>
              </w:rPr>
            </w:pPr>
          </w:p>
        </w:tc>
        <w:tc>
          <w:tcPr>
            <w:tcW w:w="1812" w:type="dxa"/>
          </w:tcPr>
          <w:p w14:paraId="00C48FA0" w14:textId="0879D595" w:rsidR="00FB1399" w:rsidRDefault="00D60058" w:rsidP="0069222A">
            <w:pPr>
              <w:jc w:val="both"/>
              <w:rPr>
                <w:rFonts w:ascii="Times New Roman" w:hAnsi="Times New Roman" w:cs="Times New Roman"/>
                <w:sz w:val="24"/>
                <w:szCs w:val="24"/>
              </w:rPr>
            </w:pPr>
            <w:r>
              <w:rPr>
                <w:rFonts w:ascii="Times New Roman" w:hAnsi="Times New Roman" w:cs="Times New Roman"/>
                <w:sz w:val="24"/>
                <w:szCs w:val="24"/>
              </w:rPr>
              <w:t>31.7</w:t>
            </w:r>
          </w:p>
        </w:tc>
        <w:tc>
          <w:tcPr>
            <w:tcW w:w="1813" w:type="dxa"/>
          </w:tcPr>
          <w:p w14:paraId="0FC68D59" w14:textId="2F6396DE" w:rsidR="00FB1399" w:rsidRDefault="00D60058" w:rsidP="0069222A">
            <w:pPr>
              <w:jc w:val="both"/>
              <w:rPr>
                <w:rFonts w:ascii="Times New Roman" w:hAnsi="Times New Roman" w:cs="Times New Roman"/>
                <w:sz w:val="24"/>
                <w:szCs w:val="24"/>
              </w:rPr>
            </w:pPr>
            <w:r>
              <w:rPr>
                <w:rFonts w:ascii="Times New Roman" w:hAnsi="Times New Roman" w:cs="Times New Roman"/>
                <w:sz w:val="24"/>
                <w:szCs w:val="24"/>
              </w:rPr>
              <w:t>23.9</w:t>
            </w:r>
          </w:p>
        </w:tc>
        <w:tc>
          <w:tcPr>
            <w:tcW w:w="1813" w:type="dxa"/>
          </w:tcPr>
          <w:p w14:paraId="4F2946DB" w14:textId="5340EE5E" w:rsidR="00FB1399" w:rsidRDefault="00D60058" w:rsidP="0069222A">
            <w:pPr>
              <w:jc w:val="both"/>
              <w:rPr>
                <w:rFonts w:ascii="Times New Roman" w:hAnsi="Times New Roman" w:cs="Times New Roman"/>
                <w:sz w:val="24"/>
                <w:szCs w:val="24"/>
              </w:rPr>
            </w:pPr>
            <w:r>
              <w:rPr>
                <w:rFonts w:ascii="Times New Roman" w:hAnsi="Times New Roman" w:cs="Times New Roman"/>
                <w:sz w:val="24"/>
                <w:szCs w:val="24"/>
              </w:rPr>
              <w:t>2.9</w:t>
            </w:r>
          </w:p>
        </w:tc>
      </w:tr>
    </w:tbl>
    <w:p w14:paraId="5C2F9CC9" w14:textId="3845A740" w:rsidR="00FB1399" w:rsidRDefault="00D60058" w:rsidP="0069222A">
      <w:pPr>
        <w:jc w:val="both"/>
        <w:rPr>
          <w:rFonts w:ascii="Times New Roman" w:hAnsi="Times New Roman" w:cs="Times New Roman"/>
          <w:sz w:val="24"/>
          <w:szCs w:val="24"/>
        </w:rPr>
      </w:pPr>
      <w:r>
        <w:rPr>
          <w:rFonts w:ascii="Times New Roman" w:hAnsi="Times New Roman" w:cs="Times New Roman"/>
          <w:sz w:val="24"/>
          <w:szCs w:val="24"/>
        </w:rPr>
        <w:t>TUİK, Turkish Statistics Institute</w:t>
      </w:r>
    </w:p>
    <w:p w14:paraId="210C34E7" w14:textId="5A5E26BD" w:rsidR="00061051" w:rsidRPr="00061051" w:rsidRDefault="00061051" w:rsidP="0069222A">
      <w:pPr>
        <w:jc w:val="both"/>
        <w:rPr>
          <w:rFonts w:ascii="Times New Roman" w:hAnsi="Times New Roman" w:cs="Times New Roman"/>
          <w:b/>
          <w:bCs/>
          <w:sz w:val="24"/>
          <w:szCs w:val="24"/>
        </w:rPr>
      </w:pPr>
      <w:r w:rsidRPr="00061051">
        <w:rPr>
          <w:rFonts w:ascii="Times New Roman" w:hAnsi="Times New Roman" w:cs="Times New Roman"/>
          <w:b/>
          <w:bCs/>
          <w:sz w:val="24"/>
          <w:szCs w:val="24"/>
        </w:rPr>
        <w:t>Export and Imports by SMEs</w:t>
      </w:r>
    </w:p>
    <w:p w14:paraId="7BB6277D" w14:textId="6DC105E6" w:rsidR="00D60058" w:rsidRDefault="00C60513" w:rsidP="0069222A">
      <w:pPr>
        <w:jc w:val="both"/>
        <w:rPr>
          <w:rFonts w:ascii="Times New Roman" w:hAnsi="Times New Roman" w:cs="Times New Roman"/>
          <w:sz w:val="24"/>
          <w:szCs w:val="24"/>
        </w:rPr>
      </w:pPr>
      <w:r>
        <w:rPr>
          <w:rFonts w:ascii="Times New Roman" w:hAnsi="Times New Roman" w:cs="Times New Roman"/>
          <w:sz w:val="24"/>
          <w:szCs w:val="24"/>
        </w:rPr>
        <w:t xml:space="preserve">SMEs conducted nearly 30 % of Türkiye’s exports and nearly 16 % of Türkiye’s imports in 2024. 90 % of SME exports </w:t>
      </w:r>
      <w:r w:rsidR="00E31720">
        <w:rPr>
          <w:rFonts w:ascii="Times New Roman" w:hAnsi="Times New Roman" w:cs="Times New Roman"/>
          <w:sz w:val="24"/>
          <w:szCs w:val="24"/>
        </w:rPr>
        <w:t>and</w:t>
      </w:r>
      <w:r>
        <w:rPr>
          <w:rFonts w:ascii="Times New Roman" w:hAnsi="Times New Roman" w:cs="Times New Roman"/>
          <w:sz w:val="24"/>
          <w:szCs w:val="24"/>
        </w:rPr>
        <w:t xml:space="preserve"> </w:t>
      </w:r>
      <w:r w:rsidR="00E31720">
        <w:rPr>
          <w:rFonts w:ascii="Times New Roman" w:hAnsi="Times New Roman" w:cs="Times New Roman"/>
          <w:sz w:val="24"/>
          <w:szCs w:val="24"/>
        </w:rPr>
        <w:t>94 % of SME imports were conducted by small and medium sized enterprises.</w:t>
      </w:r>
      <w:r w:rsidR="00C11D8E">
        <w:rPr>
          <w:rFonts w:ascii="Times New Roman" w:hAnsi="Times New Roman" w:cs="Times New Roman"/>
          <w:sz w:val="24"/>
          <w:szCs w:val="24"/>
        </w:rPr>
        <w:t xml:space="preserve"> 59.4 % of SME exports and 65.6 % of imports were conducted in wholesale and retail trade sector while 34.3 % of exports and 25.8 % of imports were in manufacturing sector. </w:t>
      </w:r>
    </w:p>
    <w:p w14:paraId="704D29BC" w14:textId="7F4A2A89" w:rsidR="006D101C" w:rsidRDefault="006D101C" w:rsidP="0069222A">
      <w:pPr>
        <w:jc w:val="both"/>
        <w:rPr>
          <w:rFonts w:ascii="Times New Roman" w:hAnsi="Times New Roman" w:cs="Times New Roman"/>
          <w:sz w:val="24"/>
          <w:szCs w:val="24"/>
        </w:rPr>
      </w:pPr>
      <w:r>
        <w:rPr>
          <w:rFonts w:ascii="Times New Roman" w:hAnsi="Times New Roman" w:cs="Times New Roman"/>
          <w:sz w:val="24"/>
          <w:szCs w:val="24"/>
        </w:rPr>
        <w:t>Table 2: Share of SMEs and Large Enterprises in Exports and Imports, %, 2024</w:t>
      </w:r>
    </w:p>
    <w:tbl>
      <w:tblPr>
        <w:tblStyle w:val="TableGrid"/>
        <w:tblW w:w="0" w:type="auto"/>
        <w:tblLook w:val="04A0" w:firstRow="1" w:lastRow="0" w:firstColumn="1" w:lastColumn="0" w:noHBand="0" w:noVBand="1"/>
      </w:tblPr>
      <w:tblGrid>
        <w:gridCol w:w="3020"/>
        <w:gridCol w:w="3021"/>
        <w:gridCol w:w="3021"/>
      </w:tblGrid>
      <w:tr w:rsidR="006D101C" w14:paraId="741C053C" w14:textId="77777777" w:rsidTr="006D101C">
        <w:tc>
          <w:tcPr>
            <w:tcW w:w="3020" w:type="dxa"/>
          </w:tcPr>
          <w:p w14:paraId="38388712" w14:textId="2B6D8D4A" w:rsidR="006D101C" w:rsidRPr="00A4313F" w:rsidRDefault="006D101C"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Size</w:t>
            </w:r>
          </w:p>
        </w:tc>
        <w:tc>
          <w:tcPr>
            <w:tcW w:w="3021" w:type="dxa"/>
          </w:tcPr>
          <w:p w14:paraId="6BA286E4" w14:textId="19798753" w:rsidR="006D101C" w:rsidRPr="00A4313F" w:rsidRDefault="006D101C"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Exports</w:t>
            </w:r>
          </w:p>
        </w:tc>
        <w:tc>
          <w:tcPr>
            <w:tcW w:w="3021" w:type="dxa"/>
          </w:tcPr>
          <w:p w14:paraId="7828144B" w14:textId="77777777" w:rsidR="006D101C" w:rsidRPr="00A4313F" w:rsidRDefault="006D101C"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Imports</w:t>
            </w:r>
          </w:p>
          <w:p w14:paraId="551DD25C" w14:textId="77E6FBFF" w:rsidR="00496B88" w:rsidRPr="00A4313F" w:rsidRDefault="00496B88" w:rsidP="0069222A">
            <w:pPr>
              <w:jc w:val="both"/>
              <w:rPr>
                <w:rFonts w:ascii="Times New Roman" w:hAnsi="Times New Roman" w:cs="Times New Roman"/>
                <w:b/>
                <w:bCs/>
                <w:sz w:val="24"/>
                <w:szCs w:val="24"/>
              </w:rPr>
            </w:pPr>
          </w:p>
        </w:tc>
      </w:tr>
      <w:tr w:rsidR="006D101C" w14:paraId="5F13E120" w14:textId="77777777" w:rsidTr="006D101C">
        <w:tc>
          <w:tcPr>
            <w:tcW w:w="3020" w:type="dxa"/>
          </w:tcPr>
          <w:p w14:paraId="1F0B112B" w14:textId="77777777" w:rsidR="006D101C" w:rsidRPr="00A4313F" w:rsidRDefault="006D101C"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SME</w:t>
            </w:r>
            <w:r w:rsidR="0075120F" w:rsidRPr="00A4313F">
              <w:rPr>
                <w:rFonts w:ascii="Times New Roman" w:hAnsi="Times New Roman" w:cs="Times New Roman"/>
                <w:b/>
                <w:bCs/>
                <w:sz w:val="24"/>
                <w:szCs w:val="24"/>
              </w:rPr>
              <w:t xml:space="preserve"> total</w:t>
            </w:r>
          </w:p>
          <w:p w14:paraId="1377FBB2" w14:textId="77777777" w:rsidR="00ED7521" w:rsidRPr="00A4313F" w:rsidRDefault="00ED7521" w:rsidP="0069222A">
            <w:pPr>
              <w:jc w:val="both"/>
              <w:rPr>
                <w:rFonts w:ascii="Times New Roman" w:hAnsi="Times New Roman" w:cs="Times New Roman"/>
                <w:b/>
                <w:bCs/>
                <w:sz w:val="24"/>
                <w:szCs w:val="24"/>
              </w:rPr>
            </w:pPr>
          </w:p>
          <w:p w14:paraId="46A8C97E" w14:textId="42EBE34F" w:rsidR="0075120F" w:rsidRPr="00A4313F" w:rsidRDefault="00496B8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w:t>
            </w:r>
            <w:r w:rsidR="0075120F" w:rsidRPr="00A4313F">
              <w:rPr>
                <w:rFonts w:ascii="Times New Roman" w:hAnsi="Times New Roman" w:cs="Times New Roman"/>
                <w:b/>
                <w:bCs/>
                <w:sz w:val="24"/>
                <w:szCs w:val="24"/>
              </w:rPr>
              <w:t>Micro</w:t>
            </w:r>
          </w:p>
          <w:p w14:paraId="3C1A020C" w14:textId="6E7C1D58" w:rsidR="0075120F" w:rsidRPr="00A4313F" w:rsidRDefault="00496B8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w:t>
            </w:r>
            <w:r w:rsidR="0075120F" w:rsidRPr="00A4313F">
              <w:rPr>
                <w:rFonts w:ascii="Times New Roman" w:hAnsi="Times New Roman" w:cs="Times New Roman"/>
                <w:b/>
                <w:bCs/>
                <w:sz w:val="24"/>
                <w:szCs w:val="24"/>
              </w:rPr>
              <w:t>Small</w:t>
            </w:r>
          </w:p>
          <w:p w14:paraId="7201CBA0" w14:textId="2A7EBC65" w:rsidR="0075120F" w:rsidRPr="00A4313F" w:rsidRDefault="00496B88"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w:t>
            </w:r>
            <w:r w:rsidR="0075120F" w:rsidRPr="00A4313F">
              <w:rPr>
                <w:rFonts w:ascii="Times New Roman" w:hAnsi="Times New Roman" w:cs="Times New Roman"/>
                <w:b/>
                <w:bCs/>
                <w:sz w:val="24"/>
                <w:szCs w:val="24"/>
              </w:rPr>
              <w:t>Medium</w:t>
            </w:r>
          </w:p>
        </w:tc>
        <w:tc>
          <w:tcPr>
            <w:tcW w:w="3021" w:type="dxa"/>
          </w:tcPr>
          <w:p w14:paraId="5F30F9E3" w14:textId="77777777" w:rsidR="006D101C" w:rsidRDefault="006D101C" w:rsidP="0069222A">
            <w:pPr>
              <w:jc w:val="both"/>
              <w:rPr>
                <w:rFonts w:ascii="Times New Roman" w:hAnsi="Times New Roman" w:cs="Times New Roman"/>
                <w:sz w:val="24"/>
                <w:szCs w:val="24"/>
              </w:rPr>
            </w:pPr>
            <w:r>
              <w:rPr>
                <w:rFonts w:ascii="Times New Roman" w:hAnsi="Times New Roman" w:cs="Times New Roman"/>
                <w:sz w:val="24"/>
                <w:szCs w:val="24"/>
              </w:rPr>
              <w:t>29.6</w:t>
            </w:r>
          </w:p>
          <w:p w14:paraId="7359C74A" w14:textId="77777777" w:rsidR="00ED7521" w:rsidRDefault="00ED7521" w:rsidP="0069222A">
            <w:pPr>
              <w:jc w:val="both"/>
              <w:rPr>
                <w:rFonts w:ascii="Times New Roman" w:hAnsi="Times New Roman" w:cs="Times New Roman"/>
                <w:sz w:val="24"/>
                <w:szCs w:val="24"/>
              </w:rPr>
            </w:pPr>
          </w:p>
          <w:p w14:paraId="2DB6D5DD" w14:textId="77777777" w:rsidR="0075120F" w:rsidRDefault="0075120F" w:rsidP="0069222A">
            <w:pPr>
              <w:jc w:val="both"/>
              <w:rPr>
                <w:rFonts w:ascii="Times New Roman" w:hAnsi="Times New Roman" w:cs="Times New Roman"/>
                <w:sz w:val="24"/>
                <w:szCs w:val="24"/>
              </w:rPr>
            </w:pPr>
            <w:r>
              <w:rPr>
                <w:rFonts w:ascii="Times New Roman" w:hAnsi="Times New Roman" w:cs="Times New Roman"/>
                <w:sz w:val="24"/>
                <w:szCs w:val="24"/>
              </w:rPr>
              <w:t>2.4</w:t>
            </w:r>
          </w:p>
          <w:p w14:paraId="49F1C30F" w14:textId="77777777" w:rsidR="0075120F" w:rsidRDefault="0075120F" w:rsidP="0069222A">
            <w:pPr>
              <w:jc w:val="both"/>
              <w:rPr>
                <w:rFonts w:ascii="Times New Roman" w:hAnsi="Times New Roman" w:cs="Times New Roman"/>
                <w:sz w:val="24"/>
                <w:szCs w:val="24"/>
              </w:rPr>
            </w:pPr>
            <w:r>
              <w:rPr>
                <w:rFonts w:ascii="Times New Roman" w:hAnsi="Times New Roman" w:cs="Times New Roman"/>
                <w:sz w:val="24"/>
                <w:szCs w:val="24"/>
              </w:rPr>
              <w:t>10.7</w:t>
            </w:r>
          </w:p>
          <w:p w14:paraId="583BDA2D" w14:textId="77777777" w:rsidR="0075120F" w:rsidRDefault="0075120F" w:rsidP="0069222A">
            <w:pPr>
              <w:jc w:val="both"/>
              <w:rPr>
                <w:rFonts w:ascii="Times New Roman" w:hAnsi="Times New Roman" w:cs="Times New Roman"/>
                <w:sz w:val="24"/>
                <w:szCs w:val="24"/>
              </w:rPr>
            </w:pPr>
            <w:r>
              <w:rPr>
                <w:rFonts w:ascii="Times New Roman" w:hAnsi="Times New Roman" w:cs="Times New Roman"/>
                <w:sz w:val="24"/>
                <w:szCs w:val="24"/>
              </w:rPr>
              <w:t>16.5</w:t>
            </w:r>
          </w:p>
          <w:p w14:paraId="49EDAAA4" w14:textId="7C424C79" w:rsidR="00496B88" w:rsidRDefault="00496B88" w:rsidP="0069222A">
            <w:pPr>
              <w:jc w:val="both"/>
              <w:rPr>
                <w:rFonts w:ascii="Times New Roman" w:hAnsi="Times New Roman" w:cs="Times New Roman"/>
                <w:sz w:val="24"/>
                <w:szCs w:val="24"/>
              </w:rPr>
            </w:pPr>
          </w:p>
        </w:tc>
        <w:tc>
          <w:tcPr>
            <w:tcW w:w="3021" w:type="dxa"/>
          </w:tcPr>
          <w:p w14:paraId="472B4429" w14:textId="77777777" w:rsidR="006D101C" w:rsidRDefault="006D101C" w:rsidP="0069222A">
            <w:pPr>
              <w:jc w:val="both"/>
              <w:rPr>
                <w:rFonts w:ascii="Times New Roman" w:hAnsi="Times New Roman" w:cs="Times New Roman"/>
                <w:sz w:val="24"/>
                <w:szCs w:val="24"/>
              </w:rPr>
            </w:pPr>
            <w:r>
              <w:rPr>
                <w:rFonts w:ascii="Times New Roman" w:hAnsi="Times New Roman" w:cs="Times New Roman"/>
                <w:sz w:val="24"/>
                <w:szCs w:val="24"/>
              </w:rPr>
              <w:t>15.9</w:t>
            </w:r>
          </w:p>
          <w:p w14:paraId="5857FB1A" w14:textId="77777777" w:rsidR="00ED7521" w:rsidRDefault="00ED7521" w:rsidP="0069222A">
            <w:pPr>
              <w:jc w:val="both"/>
              <w:rPr>
                <w:rFonts w:ascii="Times New Roman" w:hAnsi="Times New Roman" w:cs="Times New Roman"/>
                <w:sz w:val="24"/>
                <w:szCs w:val="24"/>
              </w:rPr>
            </w:pPr>
          </w:p>
          <w:p w14:paraId="42DCA64A" w14:textId="77777777" w:rsidR="0075120F" w:rsidRDefault="00F3264B" w:rsidP="0069222A">
            <w:pPr>
              <w:jc w:val="both"/>
              <w:rPr>
                <w:rFonts w:ascii="Times New Roman" w:hAnsi="Times New Roman" w:cs="Times New Roman"/>
                <w:sz w:val="24"/>
                <w:szCs w:val="24"/>
              </w:rPr>
            </w:pPr>
            <w:r>
              <w:rPr>
                <w:rFonts w:ascii="Times New Roman" w:hAnsi="Times New Roman" w:cs="Times New Roman"/>
                <w:sz w:val="24"/>
                <w:szCs w:val="24"/>
              </w:rPr>
              <w:t>0.9</w:t>
            </w:r>
          </w:p>
          <w:p w14:paraId="6BAA48F9" w14:textId="77777777" w:rsidR="00F3264B" w:rsidRDefault="00F3264B" w:rsidP="0069222A">
            <w:pPr>
              <w:jc w:val="both"/>
              <w:rPr>
                <w:rFonts w:ascii="Times New Roman" w:hAnsi="Times New Roman" w:cs="Times New Roman"/>
                <w:sz w:val="24"/>
                <w:szCs w:val="24"/>
              </w:rPr>
            </w:pPr>
            <w:r>
              <w:rPr>
                <w:rFonts w:ascii="Times New Roman" w:hAnsi="Times New Roman" w:cs="Times New Roman"/>
                <w:sz w:val="24"/>
                <w:szCs w:val="24"/>
              </w:rPr>
              <w:t>5.2</w:t>
            </w:r>
          </w:p>
          <w:p w14:paraId="3DB8369C" w14:textId="5C1A6F53" w:rsidR="00F3264B" w:rsidRDefault="00F3264B" w:rsidP="0069222A">
            <w:pPr>
              <w:jc w:val="both"/>
              <w:rPr>
                <w:rFonts w:ascii="Times New Roman" w:hAnsi="Times New Roman" w:cs="Times New Roman"/>
                <w:sz w:val="24"/>
                <w:szCs w:val="24"/>
              </w:rPr>
            </w:pPr>
            <w:r>
              <w:rPr>
                <w:rFonts w:ascii="Times New Roman" w:hAnsi="Times New Roman" w:cs="Times New Roman"/>
                <w:sz w:val="24"/>
                <w:szCs w:val="24"/>
              </w:rPr>
              <w:t>9.8</w:t>
            </w:r>
          </w:p>
        </w:tc>
      </w:tr>
      <w:tr w:rsidR="006D101C" w14:paraId="4FC58615" w14:textId="77777777" w:rsidTr="006D101C">
        <w:tc>
          <w:tcPr>
            <w:tcW w:w="3020" w:type="dxa"/>
          </w:tcPr>
          <w:p w14:paraId="18B07C64" w14:textId="1426FACD" w:rsidR="006D101C" w:rsidRPr="00A4313F" w:rsidRDefault="006D101C"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Large</w:t>
            </w:r>
          </w:p>
        </w:tc>
        <w:tc>
          <w:tcPr>
            <w:tcW w:w="3021" w:type="dxa"/>
          </w:tcPr>
          <w:p w14:paraId="7E2F83A0" w14:textId="77777777" w:rsidR="006D101C" w:rsidRDefault="006D101C" w:rsidP="0069222A">
            <w:pPr>
              <w:jc w:val="both"/>
              <w:rPr>
                <w:rFonts w:ascii="Times New Roman" w:hAnsi="Times New Roman" w:cs="Times New Roman"/>
                <w:sz w:val="24"/>
                <w:szCs w:val="24"/>
              </w:rPr>
            </w:pPr>
            <w:r>
              <w:rPr>
                <w:rFonts w:ascii="Times New Roman" w:hAnsi="Times New Roman" w:cs="Times New Roman"/>
                <w:sz w:val="24"/>
                <w:szCs w:val="24"/>
              </w:rPr>
              <w:t>70.4</w:t>
            </w:r>
          </w:p>
          <w:p w14:paraId="45A0D428" w14:textId="376441AB" w:rsidR="00496B88" w:rsidRDefault="00496B88" w:rsidP="0069222A">
            <w:pPr>
              <w:jc w:val="both"/>
              <w:rPr>
                <w:rFonts w:ascii="Times New Roman" w:hAnsi="Times New Roman" w:cs="Times New Roman"/>
                <w:sz w:val="24"/>
                <w:szCs w:val="24"/>
              </w:rPr>
            </w:pPr>
          </w:p>
        </w:tc>
        <w:tc>
          <w:tcPr>
            <w:tcW w:w="3021" w:type="dxa"/>
          </w:tcPr>
          <w:p w14:paraId="45F7D57A" w14:textId="053B6CEF" w:rsidR="006D101C" w:rsidRDefault="006D101C" w:rsidP="0069222A">
            <w:pPr>
              <w:jc w:val="both"/>
              <w:rPr>
                <w:rFonts w:ascii="Times New Roman" w:hAnsi="Times New Roman" w:cs="Times New Roman"/>
                <w:sz w:val="24"/>
                <w:szCs w:val="24"/>
              </w:rPr>
            </w:pPr>
            <w:r>
              <w:rPr>
                <w:rFonts w:ascii="Times New Roman" w:hAnsi="Times New Roman" w:cs="Times New Roman"/>
                <w:sz w:val="24"/>
                <w:szCs w:val="24"/>
              </w:rPr>
              <w:t>84.1</w:t>
            </w:r>
          </w:p>
        </w:tc>
      </w:tr>
    </w:tbl>
    <w:p w14:paraId="387C48FA" w14:textId="77777777" w:rsidR="00A5737A" w:rsidRDefault="00A5737A" w:rsidP="00A5737A">
      <w:pPr>
        <w:jc w:val="both"/>
        <w:rPr>
          <w:rFonts w:ascii="Times New Roman" w:hAnsi="Times New Roman" w:cs="Times New Roman"/>
          <w:sz w:val="24"/>
          <w:szCs w:val="24"/>
        </w:rPr>
      </w:pPr>
      <w:r>
        <w:rPr>
          <w:rFonts w:ascii="Times New Roman" w:hAnsi="Times New Roman" w:cs="Times New Roman"/>
          <w:sz w:val="24"/>
          <w:szCs w:val="24"/>
        </w:rPr>
        <w:t>TUİK, Turkish Statistics Institute</w:t>
      </w:r>
    </w:p>
    <w:p w14:paraId="39B68EB9" w14:textId="77777777" w:rsidR="006D101C" w:rsidRDefault="006D101C" w:rsidP="0069222A">
      <w:pPr>
        <w:jc w:val="both"/>
        <w:rPr>
          <w:rFonts w:ascii="Times New Roman" w:hAnsi="Times New Roman" w:cs="Times New Roman"/>
          <w:sz w:val="24"/>
          <w:szCs w:val="24"/>
        </w:rPr>
      </w:pPr>
    </w:p>
    <w:p w14:paraId="37076DA8" w14:textId="09AAD28C" w:rsidR="003E64C4" w:rsidRDefault="00264552" w:rsidP="0069222A">
      <w:pPr>
        <w:jc w:val="both"/>
        <w:rPr>
          <w:rFonts w:ascii="Times New Roman" w:hAnsi="Times New Roman" w:cs="Times New Roman"/>
          <w:sz w:val="24"/>
          <w:szCs w:val="24"/>
        </w:rPr>
      </w:pPr>
      <w:r>
        <w:rPr>
          <w:rFonts w:ascii="Times New Roman" w:hAnsi="Times New Roman" w:cs="Times New Roman"/>
          <w:sz w:val="24"/>
          <w:szCs w:val="24"/>
        </w:rPr>
        <w:t xml:space="preserve">48.0 % of SME exports were destined to Europe while 34.3 % were destined to Asia. 48.1 % of total imports originated from Europe while 42.9 % originated from Asia. </w:t>
      </w:r>
    </w:p>
    <w:p w14:paraId="4899E987" w14:textId="75672690"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Table 3: Major destinations and origins of SME exports and imports (Billion $)</w:t>
      </w:r>
    </w:p>
    <w:tbl>
      <w:tblPr>
        <w:tblStyle w:val="TableGrid"/>
        <w:tblW w:w="0" w:type="auto"/>
        <w:tblLook w:val="04A0" w:firstRow="1" w:lastRow="0" w:firstColumn="1" w:lastColumn="0" w:noHBand="0" w:noVBand="1"/>
      </w:tblPr>
      <w:tblGrid>
        <w:gridCol w:w="3020"/>
        <w:gridCol w:w="3021"/>
        <w:gridCol w:w="3021"/>
      </w:tblGrid>
      <w:tr w:rsidR="003E64C4" w14:paraId="4A5B2EE4" w14:textId="77777777" w:rsidTr="003E64C4">
        <w:tc>
          <w:tcPr>
            <w:tcW w:w="3020" w:type="dxa"/>
          </w:tcPr>
          <w:p w14:paraId="5AD710CB" w14:textId="5D6B5357" w:rsidR="003E64C4" w:rsidRPr="00A4313F" w:rsidRDefault="003E64C4"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Region</w:t>
            </w:r>
          </w:p>
        </w:tc>
        <w:tc>
          <w:tcPr>
            <w:tcW w:w="3021" w:type="dxa"/>
          </w:tcPr>
          <w:p w14:paraId="07AC2ADF" w14:textId="4101019D" w:rsidR="003E64C4" w:rsidRPr="00A4313F" w:rsidRDefault="003E64C4"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Export</w:t>
            </w:r>
          </w:p>
        </w:tc>
        <w:tc>
          <w:tcPr>
            <w:tcW w:w="3021" w:type="dxa"/>
          </w:tcPr>
          <w:p w14:paraId="4B86F8B7" w14:textId="77777777" w:rsidR="003E64C4" w:rsidRDefault="003E64C4"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Import</w:t>
            </w:r>
          </w:p>
          <w:p w14:paraId="72F55F70" w14:textId="3C4C25E5" w:rsidR="00A4313F" w:rsidRPr="00A4313F" w:rsidRDefault="00A4313F" w:rsidP="0069222A">
            <w:pPr>
              <w:jc w:val="both"/>
              <w:rPr>
                <w:rFonts w:ascii="Times New Roman" w:hAnsi="Times New Roman" w:cs="Times New Roman"/>
                <w:b/>
                <w:bCs/>
                <w:sz w:val="24"/>
                <w:szCs w:val="24"/>
              </w:rPr>
            </w:pPr>
          </w:p>
        </w:tc>
      </w:tr>
      <w:tr w:rsidR="003E64C4" w14:paraId="59C06C1C" w14:textId="77777777" w:rsidTr="003E64C4">
        <w:tc>
          <w:tcPr>
            <w:tcW w:w="3020" w:type="dxa"/>
          </w:tcPr>
          <w:p w14:paraId="2722CD8D" w14:textId="754C516B" w:rsidR="003E64C4" w:rsidRPr="00A4313F" w:rsidRDefault="003E64C4"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Europe</w:t>
            </w:r>
          </w:p>
        </w:tc>
        <w:tc>
          <w:tcPr>
            <w:tcW w:w="3021" w:type="dxa"/>
          </w:tcPr>
          <w:p w14:paraId="7D346333" w14:textId="6D32FC59"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36,381</w:t>
            </w:r>
          </w:p>
        </w:tc>
        <w:tc>
          <w:tcPr>
            <w:tcW w:w="3021" w:type="dxa"/>
          </w:tcPr>
          <w:p w14:paraId="5DCE9895" w14:textId="4FC41F3B"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24,533</w:t>
            </w:r>
          </w:p>
        </w:tc>
      </w:tr>
      <w:tr w:rsidR="003E64C4" w14:paraId="69F3526C" w14:textId="77777777" w:rsidTr="003E64C4">
        <w:tc>
          <w:tcPr>
            <w:tcW w:w="3020" w:type="dxa"/>
          </w:tcPr>
          <w:p w14:paraId="46006229" w14:textId="72EA3BAD" w:rsidR="003E64C4" w:rsidRPr="00A4313F" w:rsidRDefault="003E64C4"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Asia</w:t>
            </w:r>
          </w:p>
        </w:tc>
        <w:tc>
          <w:tcPr>
            <w:tcW w:w="3021" w:type="dxa"/>
          </w:tcPr>
          <w:p w14:paraId="17C29FA1" w14:textId="3991EC97"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25,981</w:t>
            </w:r>
          </w:p>
        </w:tc>
        <w:tc>
          <w:tcPr>
            <w:tcW w:w="3021" w:type="dxa"/>
          </w:tcPr>
          <w:p w14:paraId="2072AA13" w14:textId="6C1B4CF1"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21,881</w:t>
            </w:r>
          </w:p>
        </w:tc>
      </w:tr>
      <w:tr w:rsidR="003E64C4" w14:paraId="7F0DC0D0" w14:textId="77777777" w:rsidTr="003E64C4">
        <w:tc>
          <w:tcPr>
            <w:tcW w:w="3020" w:type="dxa"/>
          </w:tcPr>
          <w:p w14:paraId="36ADE9ED" w14:textId="43E2C64A" w:rsidR="003E64C4" w:rsidRPr="00A4313F" w:rsidRDefault="003E64C4"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America</w:t>
            </w:r>
          </w:p>
        </w:tc>
        <w:tc>
          <w:tcPr>
            <w:tcW w:w="3021" w:type="dxa"/>
          </w:tcPr>
          <w:p w14:paraId="48F40A21" w14:textId="5274D200"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5,980</w:t>
            </w:r>
          </w:p>
        </w:tc>
        <w:tc>
          <w:tcPr>
            <w:tcW w:w="3021" w:type="dxa"/>
          </w:tcPr>
          <w:p w14:paraId="55357671" w14:textId="362F1773"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3,167</w:t>
            </w:r>
          </w:p>
        </w:tc>
      </w:tr>
      <w:tr w:rsidR="003E64C4" w14:paraId="7C826082" w14:textId="77777777" w:rsidTr="003E64C4">
        <w:tc>
          <w:tcPr>
            <w:tcW w:w="3020" w:type="dxa"/>
          </w:tcPr>
          <w:p w14:paraId="4DAADDC1" w14:textId="2233EE86" w:rsidR="003E64C4" w:rsidRPr="00A4313F" w:rsidRDefault="003E64C4"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Africa</w:t>
            </w:r>
          </w:p>
        </w:tc>
        <w:tc>
          <w:tcPr>
            <w:tcW w:w="3021" w:type="dxa"/>
          </w:tcPr>
          <w:p w14:paraId="2F0A080F" w14:textId="7C9DE960"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6,868</w:t>
            </w:r>
          </w:p>
        </w:tc>
        <w:tc>
          <w:tcPr>
            <w:tcW w:w="3021" w:type="dxa"/>
          </w:tcPr>
          <w:p w14:paraId="2EE40436" w14:textId="676811E1"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1,350</w:t>
            </w:r>
          </w:p>
        </w:tc>
      </w:tr>
      <w:tr w:rsidR="003E64C4" w14:paraId="6943AFDD" w14:textId="77777777" w:rsidTr="003E64C4">
        <w:tc>
          <w:tcPr>
            <w:tcW w:w="3020" w:type="dxa"/>
          </w:tcPr>
          <w:p w14:paraId="30BD53B6" w14:textId="06647523" w:rsidR="003E64C4" w:rsidRPr="00A4313F" w:rsidRDefault="003E64C4" w:rsidP="0069222A">
            <w:pPr>
              <w:jc w:val="both"/>
              <w:rPr>
                <w:rFonts w:ascii="Times New Roman" w:hAnsi="Times New Roman" w:cs="Times New Roman"/>
                <w:b/>
                <w:bCs/>
                <w:sz w:val="24"/>
                <w:szCs w:val="24"/>
              </w:rPr>
            </w:pPr>
            <w:r w:rsidRPr="00A4313F">
              <w:rPr>
                <w:rFonts w:ascii="Times New Roman" w:hAnsi="Times New Roman" w:cs="Times New Roman"/>
                <w:b/>
                <w:bCs/>
                <w:sz w:val="24"/>
                <w:szCs w:val="24"/>
              </w:rPr>
              <w:t>Other</w:t>
            </w:r>
          </w:p>
        </w:tc>
        <w:tc>
          <w:tcPr>
            <w:tcW w:w="3021" w:type="dxa"/>
          </w:tcPr>
          <w:p w14:paraId="6A4149F3" w14:textId="618F70BC"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536</w:t>
            </w:r>
          </w:p>
        </w:tc>
        <w:tc>
          <w:tcPr>
            <w:tcW w:w="3021" w:type="dxa"/>
          </w:tcPr>
          <w:p w14:paraId="65BEF180" w14:textId="20B03CEE" w:rsidR="003E64C4" w:rsidRDefault="003E64C4" w:rsidP="0069222A">
            <w:pPr>
              <w:jc w:val="both"/>
              <w:rPr>
                <w:rFonts w:ascii="Times New Roman" w:hAnsi="Times New Roman" w:cs="Times New Roman"/>
                <w:sz w:val="24"/>
                <w:szCs w:val="24"/>
              </w:rPr>
            </w:pPr>
            <w:r>
              <w:rPr>
                <w:rFonts w:ascii="Times New Roman" w:hAnsi="Times New Roman" w:cs="Times New Roman"/>
                <w:sz w:val="24"/>
                <w:szCs w:val="24"/>
              </w:rPr>
              <w:t>93</w:t>
            </w:r>
          </w:p>
        </w:tc>
      </w:tr>
    </w:tbl>
    <w:p w14:paraId="13085FC9" w14:textId="77777777" w:rsidR="00A5737A" w:rsidRDefault="00A5737A" w:rsidP="00A5737A">
      <w:pPr>
        <w:jc w:val="both"/>
        <w:rPr>
          <w:rFonts w:ascii="Times New Roman" w:hAnsi="Times New Roman" w:cs="Times New Roman"/>
          <w:sz w:val="24"/>
          <w:szCs w:val="24"/>
        </w:rPr>
      </w:pPr>
      <w:r>
        <w:rPr>
          <w:rFonts w:ascii="Times New Roman" w:hAnsi="Times New Roman" w:cs="Times New Roman"/>
          <w:sz w:val="24"/>
          <w:szCs w:val="24"/>
        </w:rPr>
        <w:t>TUİK, Turkish Statistics Institute</w:t>
      </w:r>
    </w:p>
    <w:p w14:paraId="4681FCD9" w14:textId="6EA99CAC" w:rsidR="003E64C4" w:rsidRPr="00061051" w:rsidRDefault="00061051" w:rsidP="0069222A">
      <w:pPr>
        <w:jc w:val="both"/>
        <w:rPr>
          <w:rFonts w:ascii="Times New Roman" w:hAnsi="Times New Roman" w:cs="Times New Roman"/>
          <w:b/>
          <w:bCs/>
          <w:sz w:val="24"/>
          <w:szCs w:val="24"/>
        </w:rPr>
      </w:pPr>
      <w:r w:rsidRPr="00061051">
        <w:rPr>
          <w:rFonts w:ascii="Times New Roman" w:hAnsi="Times New Roman" w:cs="Times New Roman"/>
          <w:b/>
          <w:bCs/>
          <w:sz w:val="24"/>
          <w:szCs w:val="24"/>
        </w:rPr>
        <w:t>SME Classification</w:t>
      </w:r>
    </w:p>
    <w:p w14:paraId="6CE05745" w14:textId="205DC3E7" w:rsidR="00CB0C8E" w:rsidRPr="00703C2D" w:rsidRDefault="00CB0C8E" w:rsidP="00CB0C8E">
      <w:pPr>
        <w:jc w:val="both"/>
        <w:rPr>
          <w:rFonts w:ascii="Times New Roman" w:hAnsi="Times New Roman" w:cs="Times New Roman"/>
          <w:sz w:val="24"/>
          <w:szCs w:val="24"/>
        </w:rPr>
      </w:pPr>
      <w:r w:rsidRPr="00703C2D">
        <w:rPr>
          <w:rFonts w:ascii="Times New Roman" w:hAnsi="Times New Roman" w:cs="Times New Roman"/>
          <w:sz w:val="24"/>
          <w:szCs w:val="24"/>
        </w:rPr>
        <w:t>In 202</w:t>
      </w:r>
      <w:r w:rsidR="00A5737A">
        <w:rPr>
          <w:rFonts w:ascii="Times New Roman" w:hAnsi="Times New Roman" w:cs="Times New Roman"/>
          <w:sz w:val="24"/>
          <w:szCs w:val="24"/>
        </w:rPr>
        <w:t>5</w:t>
      </w:r>
      <w:r w:rsidRPr="00703C2D">
        <w:rPr>
          <w:rFonts w:ascii="Times New Roman" w:hAnsi="Times New Roman" w:cs="Times New Roman"/>
          <w:sz w:val="24"/>
          <w:szCs w:val="24"/>
        </w:rPr>
        <w:t xml:space="preserve"> SME definition has been revised via </w:t>
      </w:r>
      <w:r w:rsidR="00127C12">
        <w:rPr>
          <w:rFonts w:ascii="Times New Roman" w:hAnsi="Times New Roman" w:cs="Times New Roman"/>
          <w:sz w:val="24"/>
          <w:szCs w:val="24"/>
        </w:rPr>
        <w:t>a Presidential decree amending the SME Regulation</w:t>
      </w:r>
      <w:r w:rsidRPr="00703C2D">
        <w:rPr>
          <w:rFonts w:ascii="Times New Roman" w:hAnsi="Times New Roman" w:cs="Times New Roman"/>
          <w:sz w:val="24"/>
          <w:szCs w:val="24"/>
        </w:rPr>
        <w:t xml:space="preserve">. One of the criteria required to qualify as an SME—the annual net sales revenue or </w:t>
      </w:r>
      <w:r w:rsidRPr="00703C2D">
        <w:rPr>
          <w:rFonts w:ascii="Times New Roman" w:hAnsi="Times New Roman" w:cs="Times New Roman"/>
          <w:sz w:val="24"/>
          <w:szCs w:val="24"/>
        </w:rPr>
        <w:lastRenderedPageBreak/>
        <w:t xml:space="preserve">financial balance sheet threshold—has been increased from TRY 250 million to TRY </w:t>
      </w:r>
      <w:r w:rsidR="00A5737A">
        <w:rPr>
          <w:rFonts w:ascii="Times New Roman" w:hAnsi="Times New Roman" w:cs="Times New Roman"/>
          <w:sz w:val="24"/>
          <w:szCs w:val="24"/>
        </w:rPr>
        <w:t>1</w:t>
      </w:r>
      <w:r w:rsidRPr="00703C2D">
        <w:rPr>
          <w:rFonts w:ascii="Times New Roman" w:hAnsi="Times New Roman" w:cs="Times New Roman"/>
          <w:sz w:val="24"/>
          <w:szCs w:val="24"/>
        </w:rPr>
        <w:t xml:space="preserve"> </w:t>
      </w:r>
      <w:r w:rsidR="00A5737A">
        <w:rPr>
          <w:rFonts w:ascii="Times New Roman" w:hAnsi="Times New Roman" w:cs="Times New Roman"/>
          <w:sz w:val="24"/>
          <w:szCs w:val="24"/>
        </w:rPr>
        <w:t>billion (OJ</w:t>
      </w:r>
      <w:r w:rsidR="007935B8">
        <w:rPr>
          <w:rFonts w:ascii="Times New Roman" w:hAnsi="Times New Roman" w:cs="Times New Roman"/>
          <w:sz w:val="24"/>
          <w:szCs w:val="24"/>
        </w:rPr>
        <w:t xml:space="preserve"> 32979</w:t>
      </w:r>
      <w:r w:rsidR="00A5737A">
        <w:rPr>
          <w:rFonts w:ascii="Times New Roman" w:hAnsi="Times New Roman" w:cs="Times New Roman"/>
          <w:sz w:val="24"/>
          <w:szCs w:val="24"/>
        </w:rPr>
        <w:t>, 07.08.2025)</w:t>
      </w:r>
      <w:r w:rsidRPr="00703C2D">
        <w:rPr>
          <w:rFonts w:ascii="Times New Roman" w:hAnsi="Times New Roman" w:cs="Times New Roman"/>
          <w:sz w:val="24"/>
          <w:szCs w:val="24"/>
        </w:rPr>
        <w:t xml:space="preserve">. </w:t>
      </w:r>
    </w:p>
    <w:p w14:paraId="7580F543" w14:textId="77777777" w:rsidR="00CB0C8E" w:rsidRPr="00703C2D" w:rsidRDefault="00CB0C8E" w:rsidP="00CB0C8E">
      <w:pPr>
        <w:jc w:val="both"/>
        <w:rPr>
          <w:rFonts w:ascii="Times New Roman" w:hAnsi="Times New Roman" w:cs="Times New Roman"/>
          <w:sz w:val="24"/>
          <w:szCs w:val="24"/>
        </w:rPr>
      </w:pPr>
      <w:r w:rsidRPr="00703C2D">
        <w:rPr>
          <w:rFonts w:ascii="Times New Roman" w:hAnsi="Times New Roman" w:cs="Times New Roman"/>
          <w:sz w:val="24"/>
          <w:szCs w:val="24"/>
        </w:rPr>
        <w:t>These thresholds have been revised as follows:</w:t>
      </w:r>
    </w:p>
    <w:p w14:paraId="6F4E0DA3" w14:textId="40640857" w:rsidR="00CB0C8E" w:rsidRPr="00703C2D" w:rsidRDefault="00CB0C8E" w:rsidP="00CB0C8E">
      <w:pPr>
        <w:numPr>
          <w:ilvl w:val="0"/>
          <w:numId w:val="2"/>
        </w:numPr>
        <w:jc w:val="both"/>
        <w:rPr>
          <w:rFonts w:ascii="Times New Roman" w:hAnsi="Times New Roman" w:cs="Times New Roman"/>
          <w:sz w:val="24"/>
          <w:szCs w:val="24"/>
        </w:rPr>
      </w:pPr>
      <w:r w:rsidRPr="00703C2D">
        <w:rPr>
          <w:rFonts w:ascii="Times New Roman" w:hAnsi="Times New Roman" w:cs="Times New Roman"/>
          <w:sz w:val="24"/>
          <w:szCs w:val="24"/>
        </w:rPr>
        <w:t xml:space="preserve">For </w:t>
      </w:r>
      <w:r w:rsidRPr="00703C2D">
        <w:rPr>
          <w:rFonts w:ascii="Times New Roman" w:hAnsi="Times New Roman" w:cs="Times New Roman"/>
          <w:b/>
          <w:bCs/>
          <w:sz w:val="24"/>
          <w:szCs w:val="24"/>
        </w:rPr>
        <w:t>Micro-sized Enterprises</w:t>
      </w:r>
      <w:r w:rsidRPr="00703C2D">
        <w:rPr>
          <w:rFonts w:ascii="Times New Roman" w:hAnsi="Times New Roman" w:cs="Times New Roman"/>
          <w:sz w:val="24"/>
          <w:szCs w:val="24"/>
        </w:rPr>
        <w:t xml:space="preserve">, </w:t>
      </w:r>
      <w:r w:rsidR="00E170C2">
        <w:rPr>
          <w:rFonts w:ascii="Times New Roman" w:hAnsi="Times New Roman" w:cs="Times New Roman"/>
          <w:sz w:val="24"/>
          <w:szCs w:val="24"/>
        </w:rPr>
        <w:t xml:space="preserve">number of employess less than 10, </w:t>
      </w:r>
      <w:r w:rsidR="00E170C2" w:rsidRPr="00703C2D">
        <w:rPr>
          <w:rFonts w:ascii="Times New Roman" w:hAnsi="Times New Roman" w:cs="Times New Roman"/>
          <w:sz w:val="24"/>
          <w:szCs w:val="24"/>
        </w:rPr>
        <w:t>annual net sales revenue or financial balance sheet threshold</w:t>
      </w:r>
      <w:r w:rsidR="00E170C2">
        <w:rPr>
          <w:rFonts w:ascii="Times New Roman" w:hAnsi="Times New Roman" w:cs="Times New Roman"/>
          <w:sz w:val="24"/>
          <w:szCs w:val="24"/>
        </w:rPr>
        <w:t xml:space="preserve"> </w:t>
      </w:r>
      <w:r w:rsidR="00D05DE7">
        <w:rPr>
          <w:rFonts w:ascii="Times New Roman" w:hAnsi="Times New Roman" w:cs="Times New Roman"/>
          <w:sz w:val="24"/>
          <w:szCs w:val="24"/>
        </w:rPr>
        <w:t xml:space="preserve">up to </w:t>
      </w:r>
      <w:r w:rsidRPr="00703C2D">
        <w:rPr>
          <w:rFonts w:ascii="Times New Roman" w:hAnsi="Times New Roman" w:cs="Times New Roman"/>
          <w:b/>
          <w:bCs/>
          <w:sz w:val="24"/>
          <w:szCs w:val="24"/>
        </w:rPr>
        <w:t>TRY 10 million</w:t>
      </w:r>
      <w:r w:rsidRPr="00703C2D">
        <w:rPr>
          <w:rFonts w:ascii="Times New Roman" w:hAnsi="Times New Roman" w:cs="Times New Roman"/>
          <w:sz w:val="24"/>
          <w:szCs w:val="24"/>
        </w:rPr>
        <w:t xml:space="preserve">; </w:t>
      </w:r>
    </w:p>
    <w:p w14:paraId="206E21A0" w14:textId="33A36D62" w:rsidR="00CB0C8E" w:rsidRPr="00703C2D" w:rsidRDefault="00CB0C8E" w:rsidP="00CB0C8E">
      <w:pPr>
        <w:numPr>
          <w:ilvl w:val="0"/>
          <w:numId w:val="2"/>
        </w:numPr>
        <w:jc w:val="both"/>
        <w:rPr>
          <w:rFonts w:ascii="Times New Roman" w:hAnsi="Times New Roman" w:cs="Times New Roman"/>
          <w:sz w:val="24"/>
          <w:szCs w:val="24"/>
        </w:rPr>
      </w:pPr>
      <w:r w:rsidRPr="00703C2D">
        <w:rPr>
          <w:rFonts w:ascii="Times New Roman" w:hAnsi="Times New Roman" w:cs="Times New Roman"/>
          <w:sz w:val="24"/>
          <w:szCs w:val="24"/>
        </w:rPr>
        <w:t xml:space="preserve">For </w:t>
      </w:r>
      <w:r w:rsidRPr="00703C2D">
        <w:rPr>
          <w:rFonts w:ascii="Times New Roman" w:hAnsi="Times New Roman" w:cs="Times New Roman"/>
          <w:b/>
          <w:bCs/>
          <w:sz w:val="24"/>
          <w:szCs w:val="24"/>
        </w:rPr>
        <w:t>Small-sized Enterprises</w:t>
      </w:r>
      <w:r w:rsidRPr="00703C2D">
        <w:rPr>
          <w:rFonts w:ascii="Times New Roman" w:hAnsi="Times New Roman" w:cs="Times New Roman"/>
          <w:sz w:val="24"/>
          <w:szCs w:val="24"/>
        </w:rPr>
        <w:t xml:space="preserve">, </w:t>
      </w:r>
      <w:r w:rsidR="00E170C2">
        <w:rPr>
          <w:rFonts w:ascii="Times New Roman" w:hAnsi="Times New Roman" w:cs="Times New Roman"/>
          <w:sz w:val="24"/>
          <w:szCs w:val="24"/>
        </w:rPr>
        <w:t xml:space="preserve">number of employess less than 50, </w:t>
      </w:r>
      <w:r w:rsidR="00E170C2" w:rsidRPr="00703C2D">
        <w:rPr>
          <w:rFonts w:ascii="Times New Roman" w:hAnsi="Times New Roman" w:cs="Times New Roman"/>
          <w:sz w:val="24"/>
          <w:szCs w:val="24"/>
        </w:rPr>
        <w:t>annual net sales revenue or financial balance sheet threshold</w:t>
      </w:r>
      <w:r w:rsidR="00E170C2">
        <w:rPr>
          <w:rFonts w:ascii="Times New Roman" w:hAnsi="Times New Roman" w:cs="Times New Roman"/>
          <w:sz w:val="24"/>
          <w:szCs w:val="24"/>
        </w:rPr>
        <w:t xml:space="preserve"> </w:t>
      </w:r>
      <w:r w:rsidR="00D05DE7">
        <w:rPr>
          <w:rFonts w:ascii="Times New Roman" w:hAnsi="Times New Roman" w:cs="Times New Roman"/>
          <w:sz w:val="24"/>
          <w:szCs w:val="24"/>
        </w:rPr>
        <w:t xml:space="preserve">up to </w:t>
      </w:r>
      <w:r w:rsidRPr="00703C2D">
        <w:rPr>
          <w:rFonts w:ascii="Times New Roman" w:hAnsi="Times New Roman" w:cs="Times New Roman"/>
          <w:b/>
          <w:bCs/>
          <w:sz w:val="24"/>
          <w:szCs w:val="24"/>
        </w:rPr>
        <w:t>TRY 100 million</w:t>
      </w:r>
      <w:r w:rsidRPr="00703C2D">
        <w:rPr>
          <w:rFonts w:ascii="Times New Roman" w:hAnsi="Times New Roman" w:cs="Times New Roman"/>
          <w:sz w:val="24"/>
          <w:szCs w:val="24"/>
        </w:rPr>
        <w:t xml:space="preserve">; </w:t>
      </w:r>
    </w:p>
    <w:p w14:paraId="3C0CB0E5" w14:textId="1B4497D3" w:rsidR="00CB0C8E" w:rsidRPr="00703C2D" w:rsidRDefault="00CB0C8E" w:rsidP="00CB0C8E">
      <w:pPr>
        <w:numPr>
          <w:ilvl w:val="0"/>
          <w:numId w:val="2"/>
        </w:numPr>
        <w:jc w:val="both"/>
        <w:rPr>
          <w:rFonts w:ascii="Times New Roman" w:hAnsi="Times New Roman" w:cs="Times New Roman"/>
          <w:sz w:val="24"/>
          <w:szCs w:val="24"/>
        </w:rPr>
      </w:pPr>
      <w:r w:rsidRPr="00703C2D">
        <w:rPr>
          <w:rFonts w:ascii="Times New Roman" w:hAnsi="Times New Roman" w:cs="Times New Roman"/>
          <w:sz w:val="24"/>
          <w:szCs w:val="24"/>
        </w:rPr>
        <w:t xml:space="preserve">For </w:t>
      </w:r>
      <w:r w:rsidRPr="00703C2D">
        <w:rPr>
          <w:rFonts w:ascii="Times New Roman" w:hAnsi="Times New Roman" w:cs="Times New Roman"/>
          <w:b/>
          <w:bCs/>
          <w:sz w:val="24"/>
          <w:szCs w:val="24"/>
        </w:rPr>
        <w:t>Medium-sized Enterprises</w:t>
      </w:r>
      <w:r w:rsidRPr="00703C2D">
        <w:rPr>
          <w:rFonts w:ascii="Times New Roman" w:hAnsi="Times New Roman" w:cs="Times New Roman"/>
          <w:sz w:val="24"/>
          <w:szCs w:val="24"/>
        </w:rPr>
        <w:t xml:space="preserve">, </w:t>
      </w:r>
      <w:r w:rsidR="00E170C2">
        <w:rPr>
          <w:rFonts w:ascii="Times New Roman" w:hAnsi="Times New Roman" w:cs="Times New Roman"/>
          <w:sz w:val="24"/>
          <w:szCs w:val="24"/>
        </w:rPr>
        <w:t xml:space="preserve">number of employess less than 250, </w:t>
      </w:r>
      <w:r w:rsidR="00E170C2" w:rsidRPr="00703C2D">
        <w:rPr>
          <w:rFonts w:ascii="Times New Roman" w:hAnsi="Times New Roman" w:cs="Times New Roman"/>
          <w:sz w:val="24"/>
          <w:szCs w:val="24"/>
        </w:rPr>
        <w:t>annual net sales revenue or financial balance sheet threshold</w:t>
      </w:r>
      <w:r w:rsidR="00E170C2">
        <w:rPr>
          <w:rFonts w:ascii="Times New Roman" w:hAnsi="Times New Roman" w:cs="Times New Roman"/>
          <w:sz w:val="24"/>
          <w:szCs w:val="24"/>
        </w:rPr>
        <w:t xml:space="preserve"> </w:t>
      </w:r>
      <w:r w:rsidR="00D05DE7">
        <w:rPr>
          <w:rFonts w:ascii="Times New Roman" w:hAnsi="Times New Roman" w:cs="Times New Roman"/>
          <w:sz w:val="24"/>
          <w:szCs w:val="24"/>
        </w:rPr>
        <w:t xml:space="preserve">up to </w:t>
      </w:r>
      <w:r w:rsidRPr="00703C2D">
        <w:rPr>
          <w:rFonts w:ascii="Times New Roman" w:hAnsi="Times New Roman" w:cs="Times New Roman"/>
          <w:b/>
          <w:bCs/>
          <w:sz w:val="24"/>
          <w:szCs w:val="24"/>
        </w:rPr>
        <w:t xml:space="preserve">TRY </w:t>
      </w:r>
      <w:r w:rsidR="00D05DE7">
        <w:rPr>
          <w:rFonts w:ascii="Times New Roman" w:hAnsi="Times New Roman" w:cs="Times New Roman"/>
          <w:b/>
          <w:bCs/>
          <w:sz w:val="24"/>
          <w:szCs w:val="24"/>
        </w:rPr>
        <w:t>1 billion</w:t>
      </w:r>
      <w:r w:rsidRPr="00703C2D">
        <w:rPr>
          <w:rFonts w:ascii="Times New Roman" w:hAnsi="Times New Roman" w:cs="Times New Roman"/>
          <w:sz w:val="24"/>
          <w:szCs w:val="24"/>
        </w:rPr>
        <w:t>.</w:t>
      </w:r>
    </w:p>
    <w:p w14:paraId="4DEB1CC1" w14:textId="77777777" w:rsidR="00CB0C8E" w:rsidRPr="008F178B" w:rsidRDefault="00CB0C8E" w:rsidP="00CB0C8E">
      <w:pPr>
        <w:jc w:val="both"/>
        <w:rPr>
          <w:rFonts w:ascii="Times New Roman" w:hAnsi="Times New Roman" w:cs="Times New Roman"/>
          <w:sz w:val="24"/>
          <w:szCs w:val="24"/>
        </w:rPr>
      </w:pPr>
      <w:r w:rsidRPr="008F178B">
        <w:rPr>
          <w:rFonts w:ascii="Times New Roman" w:hAnsi="Times New Roman" w:cs="Times New Roman"/>
          <w:sz w:val="24"/>
          <w:szCs w:val="24"/>
        </w:rPr>
        <w:t>In addit</w:t>
      </w:r>
      <w:r>
        <w:rPr>
          <w:rFonts w:ascii="Times New Roman" w:hAnsi="Times New Roman" w:cs="Times New Roman"/>
          <w:sz w:val="24"/>
          <w:szCs w:val="24"/>
        </w:rPr>
        <w:t>i</w:t>
      </w:r>
      <w:r w:rsidRPr="008F178B">
        <w:rPr>
          <w:rFonts w:ascii="Times New Roman" w:hAnsi="Times New Roman" w:cs="Times New Roman"/>
          <w:sz w:val="24"/>
          <w:szCs w:val="24"/>
        </w:rPr>
        <w:t>on, in calculating the number of employees in an enterprise, only individuals employed under an employment contract shall be taken into account. </w:t>
      </w:r>
    </w:p>
    <w:p w14:paraId="2620D15F" w14:textId="4C3542B4" w:rsidR="001543FE" w:rsidRPr="00703C2D" w:rsidRDefault="001543FE" w:rsidP="00703C2D">
      <w:pPr>
        <w:jc w:val="both"/>
        <w:rPr>
          <w:rFonts w:ascii="Times New Roman" w:hAnsi="Times New Roman" w:cs="Times New Roman"/>
          <w:sz w:val="24"/>
          <w:szCs w:val="24"/>
        </w:rPr>
      </w:pPr>
      <w:r w:rsidRPr="00703C2D">
        <w:rPr>
          <w:rFonts w:ascii="Times New Roman" w:hAnsi="Times New Roman" w:cs="Times New Roman"/>
          <w:sz w:val="24"/>
          <w:szCs w:val="24"/>
        </w:rPr>
        <w:t>KOSGEB is the main public body responsib</w:t>
      </w:r>
      <w:r w:rsidR="00D50E62">
        <w:rPr>
          <w:rFonts w:ascii="Times New Roman" w:hAnsi="Times New Roman" w:cs="Times New Roman"/>
          <w:sz w:val="24"/>
          <w:szCs w:val="24"/>
        </w:rPr>
        <w:t>l</w:t>
      </w:r>
      <w:r w:rsidRPr="00703C2D">
        <w:rPr>
          <w:rFonts w:ascii="Times New Roman" w:hAnsi="Times New Roman" w:cs="Times New Roman"/>
          <w:sz w:val="24"/>
          <w:szCs w:val="24"/>
        </w:rPr>
        <w:t xml:space="preserve">e for the management, finance and support mechanisms for SMEs. The umbrella organization </w:t>
      </w:r>
      <w:r w:rsidR="00D50E62" w:rsidRPr="00ED0577">
        <w:rPr>
          <w:rFonts w:ascii="Times New Roman" w:hAnsi="Times New Roman" w:cs="Times New Roman"/>
          <w:sz w:val="24"/>
          <w:szCs w:val="24"/>
        </w:rPr>
        <w:t>TOBB</w:t>
      </w:r>
      <w:r w:rsidR="00D50E62" w:rsidRPr="00D50E62">
        <w:rPr>
          <w:rFonts w:ascii="Times New Roman" w:hAnsi="Times New Roman" w:cs="Times New Roman"/>
          <w:sz w:val="24"/>
          <w:szCs w:val="24"/>
        </w:rPr>
        <w:t xml:space="preserve"> (The Union of Chambers and Commodity Exchanges of Türkiye)</w:t>
      </w:r>
      <w:r w:rsidR="00D50E62">
        <w:rPr>
          <w:rFonts w:ascii="Times New Roman" w:hAnsi="Times New Roman" w:cs="Times New Roman"/>
          <w:sz w:val="24"/>
          <w:szCs w:val="24"/>
        </w:rPr>
        <w:t xml:space="preserve"> </w:t>
      </w:r>
      <w:r w:rsidRPr="00703C2D">
        <w:rPr>
          <w:rFonts w:ascii="Times New Roman" w:hAnsi="Times New Roman" w:cs="Times New Roman"/>
          <w:sz w:val="24"/>
          <w:szCs w:val="24"/>
        </w:rPr>
        <w:t>incorporates a</w:t>
      </w:r>
      <w:r w:rsidR="00ED0577">
        <w:rPr>
          <w:rFonts w:ascii="Times New Roman" w:hAnsi="Times New Roman" w:cs="Times New Roman"/>
          <w:sz w:val="24"/>
          <w:szCs w:val="24"/>
        </w:rPr>
        <w:t>n</w:t>
      </w:r>
      <w:r w:rsidRPr="00703C2D">
        <w:rPr>
          <w:rFonts w:ascii="Times New Roman" w:hAnsi="Times New Roman" w:cs="Times New Roman"/>
          <w:sz w:val="24"/>
          <w:szCs w:val="24"/>
        </w:rPr>
        <w:t xml:space="preserve"> SME Research and Consultancy Center division.</w:t>
      </w:r>
      <w:r w:rsidR="00D50E62">
        <w:rPr>
          <w:rFonts w:ascii="Times New Roman" w:hAnsi="Times New Roman" w:cs="Times New Roman"/>
          <w:sz w:val="24"/>
          <w:szCs w:val="24"/>
        </w:rPr>
        <w:t xml:space="preserve"> </w:t>
      </w:r>
      <w:r w:rsidR="00D50E62" w:rsidRPr="00D50E62">
        <w:rPr>
          <w:rFonts w:ascii="Times New Roman" w:hAnsi="Times New Roman" w:cs="Times New Roman"/>
          <w:sz w:val="24"/>
          <w:szCs w:val="24"/>
        </w:rPr>
        <w:t xml:space="preserve">Acting as the country's largest non-profit, non-governmental organization, </w:t>
      </w:r>
      <w:r w:rsidR="00ED0577">
        <w:rPr>
          <w:rFonts w:ascii="Times New Roman" w:hAnsi="Times New Roman" w:cs="Times New Roman"/>
          <w:sz w:val="24"/>
          <w:szCs w:val="24"/>
        </w:rPr>
        <w:t>TOBB</w:t>
      </w:r>
      <w:r w:rsidR="00D50E62" w:rsidRPr="00D50E62">
        <w:rPr>
          <w:rFonts w:ascii="Times New Roman" w:hAnsi="Times New Roman" w:cs="Times New Roman"/>
          <w:sz w:val="24"/>
          <w:szCs w:val="24"/>
        </w:rPr>
        <w:t xml:space="preserve"> unifies over 365 local chambers and commodity exchanges, representing more than 1.2 million businesses</w:t>
      </w:r>
      <w:r w:rsidR="00ED0577">
        <w:rPr>
          <w:rFonts w:ascii="Times New Roman" w:hAnsi="Times New Roman" w:cs="Times New Roman"/>
          <w:sz w:val="24"/>
          <w:szCs w:val="24"/>
        </w:rPr>
        <w:t>.</w:t>
      </w:r>
    </w:p>
    <w:p w14:paraId="574D7903" w14:textId="4E8BF1A0" w:rsidR="00CB0C8E" w:rsidRDefault="00CC277D" w:rsidP="00CB0C8E">
      <w:pPr>
        <w:jc w:val="both"/>
        <w:rPr>
          <w:rFonts w:ascii="Times New Roman" w:hAnsi="Times New Roman" w:cs="Times New Roman"/>
          <w:sz w:val="24"/>
          <w:szCs w:val="24"/>
        </w:rPr>
      </w:pPr>
      <w:r w:rsidRPr="00703C2D">
        <w:rPr>
          <w:rFonts w:ascii="Times New Roman" w:hAnsi="Times New Roman" w:cs="Times New Roman"/>
          <w:sz w:val="24"/>
          <w:szCs w:val="24"/>
        </w:rPr>
        <w:t>SMEs are important both socially and economically</w:t>
      </w:r>
      <w:r w:rsidR="00206ACC">
        <w:rPr>
          <w:rFonts w:ascii="Times New Roman" w:hAnsi="Times New Roman" w:cs="Times New Roman"/>
          <w:sz w:val="24"/>
          <w:szCs w:val="24"/>
        </w:rPr>
        <w:t xml:space="preserve"> as a driving force of economic development and job creation</w:t>
      </w:r>
      <w:r w:rsidRPr="00703C2D">
        <w:rPr>
          <w:rFonts w:ascii="Times New Roman" w:hAnsi="Times New Roman" w:cs="Times New Roman"/>
          <w:sz w:val="24"/>
          <w:szCs w:val="24"/>
        </w:rPr>
        <w:t xml:space="preserve">. But they are also more fragile in times of economic slowdowns and disruptions </w:t>
      </w:r>
      <w:r w:rsidR="00D50E62">
        <w:rPr>
          <w:rFonts w:ascii="Times New Roman" w:hAnsi="Times New Roman" w:cs="Times New Roman"/>
          <w:sz w:val="24"/>
          <w:szCs w:val="24"/>
        </w:rPr>
        <w:t>due to jeopolitical crises and geoeconomic shocks</w:t>
      </w:r>
      <w:r w:rsidRPr="00703C2D">
        <w:rPr>
          <w:rFonts w:ascii="Times New Roman" w:hAnsi="Times New Roman" w:cs="Times New Roman"/>
          <w:sz w:val="24"/>
          <w:szCs w:val="24"/>
        </w:rPr>
        <w:t xml:space="preserve">. Compared to other economies of similar size, SMEs in Turkiye still seem to be more resilient because of cultural factors, demographics, and </w:t>
      </w:r>
      <w:r w:rsidR="00D50E62">
        <w:rPr>
          <w:rFonts w:ascii="Times New Roman" w:hAnsi="Times New Roman" w:cs="Times New Roman"/>
          <w:sz w:val="24"/>
          <w:szCs w:val="24"/>
        </w:rPr>
        <w:t xml:space="preserve">public and private support mechanisms </w:t>
      </w:r>
      <w:r w:rsidRPr="00703C2D">
        <w:rPr>
          <w:rFonts w:ascii="Times New Roman" w:hAnsi="Times New Roman" w:cs="Times New Roman"/>
          <w:sz w:val="24"/>
          <w:szCs w:val="24"/>
        </w:rPr>
        <w:t xml:space="preserve">in hard times.  </w:t>
      </w:r>
      <w:r w:rsidR="00CB0C8E">
        <w:rPr>
          <w:rFonts w:ascii="Times New Roman" w:hAnsi="Times New Roman" w:cs="Times New Roman"/>
          <w:sz w:val="24"/>
          <w:szCs w:val="24"/>
        </w:rPr>
        <w:t>(</w:t>
      </w:r>
      <w:r w:rsidR="0005411F">
        <w:rPr>
          <w:rFonts w:ascii="Times New Roman" w:hAnsi="Times New Roman" w:cs="Times New Roman"/>
          <w:sz w:val="24"/>
          <w:szCs w:val="24"/>
        </w:rPr>
        <w:t xml:space="preserve">Akgiray et al. </w:t>
      </w:r>
      <w:r w:rsidR="00CB0C8E">
        <w:rPr>
          <w:rFonts w:ascii="Times New Roman" w:hAnsi="Times New Roman" w:cs="Times New Roman"/>
          <w:sz w:val="24"/>
          <w:szCs w:val="24"/>
        </w:rPr>
        <w:t>2022)</w:t>
      </w:r>
      <w:r w:rsidR="00CB0C8E" w:rsidRPr="00703C2D">
        <w:rPr>
          <w:rFonts w:ascii="Times New Roman" w:hAnsi="Times New Roman" w:cs="Times New Roman"/>
          <w:sz w:val="24"/>
          <w:szCs w:val="24"/>
        </w:rPr>
        <w:t xml:space="preserve">. </w:t>
      </w:r>
    </w:p>
    <w:p w14:paraId="7664A83C" w14:textId="5CA154A1" w:rsidR="001543FE" w:rsidRPr="00CB0C8E" w:rsidRDefault="00703C2D" w:rsidP="00703C2D">
      <w:pPr>
        <w:jc w:val="both"/>
        <w:rPr>
          <w:rFonts w:ascii="Times New Roman" w:hAnsi="Times New Roman" w:cs="Times New Roman"/>
          <w:b/>
          <w:bCs/>
          <w:sz w:val="24"/>
          <w:szCs w:val="24"/>
        </w:rPr>
      </w:pPr>
      <w:r w:rsidRPr="00CB0C8E">
        <w:rPr>
          <w:rFonts w:ascii="Times New Roman" w:hAnsi="Times New Roman" w:cs="Times New Roman"/>
          <w:b/>
          <w:bCs/>
          <w:sz w:val="24"/>
          <w:szCs w:val="24"/>
        </w:rPr>
        <w:t>2. Challenges Encountered by SMEs</w:t>
      </w:r>
    </w:p>
    <w:p w14:paraId="3DDE396D" w14:textId="77777777" w:rsidR="003E7AF6" w:rsidRDefault="00DA5792" w:rsidP="00703C2D">
      <w:pPr>
        <w:jc w:val="both"/>
        <w:rPr>
          <w:rFonts w:ascii="Times New Roman" w:hAnsi="Times New Roman" w:cs="Times New Roman"/>
          <w:sz w:val="24"/>
          <w:szCs w:val="24"/>
        </w:rPr>
      </w:pPr>
      <w:r w:rsidRPr="00703C2D">
        <w:rPr>
          <w:rFonts w:ascii="Times New Roman" w:hAnsi="Times New Roman" w:cs="Times New Roman"/>
          <w:sz w:val="24"/>
          <w:szCs w:val="24"/>
        </w:rPr>
        <w:t>SMEs operate in an increasingly complex environment shaped by global uncertainties,</w:t>
      </w:r>
      <w:r w:rsidR="00CB0C8E">
        <w:rPr>
          <w:rFonts w:ascii="Times New Roman" w:hAnsi="Times New Roman" w:cs="Times New Roman"/>
          <w:sz w:val="24"/>
          <w:szCs w:val="24"/>
        </w:rPr>
        <w:t xml:space="preserve"> </w:t>
      </w:r>
      <w:r w:rsidRPr="00703C2D">
        <w:rPr>
          <w:rFonts w:ascii="Times New Roman" w:hAnsi="Times New Roman" w:cs="Times New Roman"/>
          <w:sz w:val="24"/>
          <w:szCs w:val="24"/>
        </w:rPr>
        <w:t xml:space="preserve">digital and green transitions, and demographic transformations. </w:t>
      </w:r>
      <w:r w:rsidR="00446838">
        <w:rPr>
          <w:rFonts w:ascii="Times New Roman" w:hAnsi="Times New Roman" w:cs="Times New Roman"/>
          <w:sz w:val="24"/>
          <w:szCs w:val="24"/>
        </w:rPr>
        <w:t>Geopolitical risks and geoeconomic competition increasingly determine the environment SMEs operate in. While the flexibility and adaptiveness of SMEs create opportunities for the</w:t>
      </w:r>
      <w:r w:rsidR="003E7AF6">
        <w:rPr>
          <w:rFonts w:ascii="Times New Roman" w:hAnsi="Times New Roman" w:cs="Times New Roman"/>
          <w:sz w:val="24"/>
          <w:szCs w:val="24"/>
        </w:rPr>
        <w:t>m</w:t>
      </w:r>
      <w:r w:rsidR="00446838">
        <w:rPr>
          <w:rFonts w:ascii="Times New Roman" w:hAnsi="Times New Roman" w:cs="Times New Roman"/>
          <w:sz w:val="24"/>
          <w:szCs w:val="24"/>
        </w:rPr>
        <w:t xml:space="preserve"> to be more resilient in times of change and transformation, several factors should be taken into account in assessing SME resilience</w:t>
      </w:r>
      <w:r w:rsidR="003E7AF6">
        <w:rPr>
          <w:rFonts w:ascii="Times New Roman" w:hAnsi="Times New Roman" w:cs="Times New Roman"/>
          <w:sz w:val="24"/>
          <w:szCs w:val="24"/>
        </w:rPr>
        <w:t xml:space="preserve"> such as access to finance, ability to adapt to digitalisation, decarbonisation, skills-based employment ability to withstand regulatory pressure, and step up competitivenes in terms of business practises and standards.</w:t>
      </w:r>
    </w:p>
    <w:p w14:paraId="3591560C" w14:textId="515BAEFA" w:rsidR="00CC277D" w:rsidRPr="00703C2D" w:rsidRDefault="003E7AF6" w:rsidP="00703C2D">
      <w:pPr>
        <w:jc w:val="both"/>
        <w:rPr>
          <w:rFonts w:ascii="Times New Roman" w:hAnsi="Times New Roman" w:cs="Times New Roman"/>
          <w:sz w:val="24"/>
          <w:szCs w:val="24"/>
        </w:rPr>
      </w:pPr>
      <w:r>
        <w:rPr>
          <w:rFonts w:ascii="Times New Roman" w:hAnsi="Times New Roman" w:cs="Times New Roman"/>
          <w:sz w:val="24"/>
          <w:szCs w:val="24"/>
        </w:rPr>
        <w:t>S</w:t>
      </w:r>
      <w:r w:rsidR="00DA5792" w:rsidRPr="00703C2D">
        <w:rPr>
          <w:rFonts w:ascii="Times New Roman" w:hAnsi="Times New Roman" w:cs="Times New Roman"/>
          <w:sz w:val="24"/>
          <w:szCs w:val="24"/>
        </w:rPr>
        <w:t xml:space="preserve">tructural weaknesses </w:t>
      </w:r>
      <w:r>
        <w:rPr>
          <w:rFonts w:ascii="Times New Roman" w:hAnsi="Times New Roman" w:cs="Times New Roman"/>
          <w:sz w:val="24"/>
          <w:szCs w:val="24"/>
        </w:rPr>
        <w:t xml:space="preserve">may </w:t>
      </w:r>
      <w:r w:rsidR="00DA5792" w:rsidRPr="00703C2D">
        <w:rPr>
          <w:rFonts w:ascii="Times New Roman" w:hAnsi="Times New Roman" w:cs="Times New Roman"/>
          <w:sz w:val="24"/>
          <w:szCs w:val="24"/>
        </w:rPr>
        <w:t xml:space="preserve">hinder SME development. Fragmented policy frameworks, limited progress in greening practices, uneven levels of digital adoption, and persistent skills shortages constrain firms’ resilience and capacity to adapt to evolving economic conditions. In this context, policy interventions should </w:t>
      </w:r>
      <w:r w:rsidR="00DA5792" w:rsidRPr="00CB0C8E">
        <w:rPr>
          <w:rFonts w:ascii="Times New Roman" w:hAnsi="Times New Roman" w:cs="Times New Roman"/>
          <w:sz w:val="24"/>
          <w:szCs w:val="24"/>
        </w:rPr>
        <w:t>move beyond a narrow focus on growth promotion and instead foster the long-term resilience of enterprises. This requires strengthening SMEs’ ability to anticipate and absorb shocks, adjust to shifting market dynamics, and sustain competitiveness and performance over time.</w:t>
      </w:r>
      <w:r w:rsidR="00CB0C8E" w:rsidRPr="00CB0C8E">
        <w:rPr>
          <w:rFonts w:ascii="Times New Roman" w:hAnsi="Times New Roman" w:cs="Times New Roman"/>
          <w:sz w:val="24"/>
          <w:szCs w:val="24"/>
        </w:rPr>
        <w:t xml:space="preserve"> </w:t>
      </w:r>
      <w:r w:rsidR="00CC277D" w:rsidRPr="00CB0C8E">
        <w:rPr>
          <w:rFonts w:ascii="Times New Roman" w:hAnsi="Times New Roman" w:cs="Times New Roman"/>
          <w:sz w:val="24"/>
          <w:szCs w:val="24"/>
        </w:rPr>
        <w:t>SMEs face several systemic challenges, predominantly driven by limited access to finance, inflationary pressures, and managerial limitations. These hurdles</w:t>
      </w:r>
      <w:r w:rsidR="00CC277D" w:rsidRPr="00703C2D">
        <w:rPr>
          <w:rFonts w:ascii="Times New Roman" w:hAnsi="Times New Roman" w:cs="Times New Roman"/>
          <w:sz w:val="24"/>
          <w:szCs w:val="24"/>
        </w:rPr>
        <w:t xml:space="preserve"> restrict their growth, innovation, and ability to compete internationally.</w:t>
      </w:r>
    </w:p>
    <w:p w14:paraId="0AF8B6FA" w14:textId="05F2DE7A" w:rsidR="00CC277D" w:rsidRPr="00703C2D" w:rsidRDefault="00CC277D" w:rsidP="00703C2D">
      <w:pPr>
        <w:jc w:val="both"/>
        <w:rPr>
          <w:rFonts w:ascii="Times New Roman" w:hAnsi="Times New Roman" w:cs="Times New Roman"/>
          <w:sz w:val="24"/>
          <w:szCs w:val="24"/>
        </w:rPr>
      </w:pPr>
      <w:r w:rsidRPr="00703C2D">
        <w:rPr>
          <w:rFonts w:ascii="Times New Roman" w:hAnsi="Times New Roman" w:cs="Times New Roman"/>
          <w:sz w:val="24"/>
          <w:szCs w:val="24"/>
        </w:rPr>
        <w:lastRenderedPageBreak/>
        <w:t>SMEs often face inadequate access to affordable bank loans and alternative market financing, which is compounded by high collateral requirements and restrictive lending practices during economic tightening.</w:t>
      </w:r>
      <w:r w:rsidR="00441964">
        <w:rPr>
          <w:rFonts w:ascii="Times New Roman" w:hAnsi="Times New Roman" w:cs="Times New Roman"/>
          <w:sz w:val="24"/>
          <w:szCs w:val="24"/>
        </w:rPr>
        <w:t xml:space="preserve"> </w:t>
      </w:r>
      <w:r w:rsidR="00441964" w:rsidRPr="00703C2D">
        <w:rPr>
          <w:rFonts w:ascii="Times New Roman" w:hAnsi="Times New Roman" w:cs="Times New Roman"/>
          <w:sz w:val="24"/>
          <w:szCs w:val="24"/>
        </w:rPr>
        <w:t>Surging operational costs, fluctuating exchange rates, and soaring energy and raw material prices severely compress profit margins and disrupt working capital.</w:t>
      </w:r>
    </w:p>
    <w:p w14:paraId="1EA06E9A" w14:textId="13D18DDF" w:rsidR="001D46B9" w:rsidRPr="00703C2D" w:rsidRDefault="00DA5792" w:rsidP="001D46B9">
      <w:pPr>
        <w:jc w:val="both"/>
        <w:rPr>
          <w:rFonts w:ascii="Times New Roman" w:hAnsi="Times New Roman" w:cs="Times New Roman"/>
          <w:sz w:val="24"/>
          <w:szCs w:val="24"/>
        </w:rPr>
      </w:pPr>
      <w:r w:rsidRPr="00703C2D">
        <w:rPr>
          <w:rFonts w:ascii="Times New Roman" w:hAnsi="Times New Roman" w:cs="Times New Roman"/>
          <w:sz w:val="24"/>
          <w:szCs w:val="24"/>
        </w:rPr>
        <w:t xml:space="preserve">SMEs have inadequate and suboptimal access to bank finance. Their share in total bank credit is markedly lower than their share in total production and sales in the country. Furthermore, SMEs’ access to market-based financing is </w:t>
      </w:r>
      <w:r w:rsidR="0029405A">
        <w:rPr>
          <w:rFonts w:ascii="Times New Roman" w:hAnsi="Times New Roman" w:cs="Times New Roman"/>
          <w:sz w:val="24"/>
          <w:szCs w:val="24"/>
        </w:rPr>
        <w:t>in need of imporvement</w:t>
      </w:r>
      <w:r w:rsidRPr="00703C2D">
        <w:rPr>
          <w:rFonts w:ascii="Times New Roman" w:hAnsi="Times New Roman" w:cs="Times New Roman"/>
          <w:sz w:val="24"/>
          <w:szCs w:val="24"/>
        </w:rPr>
        <w:t>. This results not only in high exposure to financial risks during economic slowdowns but also in poor corporate governance and its repercussions.</w:t>
      </w:r>
      <w:r w:rsidR="001D46B9" w:rsidRPr="001D46B9">
        <w:rPr>
          <w:rFonts w:ascii="Times New Roman" w:hAnsi="Times New Roman" w:cs="Times New Roman"/>
          <w:sz w:val="24"/>
          <w:szCs w:val="24"/>
        </w:rPr>
        <w:t xml:space="preserve"> </w:t>
      </w:r>
      <w:r w:rsidR="001D46B9" w:rsidRPr="00703C2D">
        <w:rPr>
          <w:rFonts w:ascii="Times New Roman" w:hAnsi="Times New Roman" w:cs="Times New Roman"/>
          <w:sz w:val="24"/>
          <w:szCs w:val="24"/>
        </w:rPr>
        <w:t>(</w:t>
      </w:r>
      <w:r w:rsidR="00513662">
        <w:rPr>
          <w:rFonts w:ascii="Times New Roman" w:hAnsi="Times New Roman" w:cs="Times New Roman"/>
          <w:sz w:val="24"/>
          <w:szCs w:val="24"/>
        </w:rPr>
        <w:t>Akgiray et al.</w:t>
      </w:r>
      <w:r w:rsidR="001D46B9" w:rsidRPr="00703C2D">
        <w:rPr>
          <w:rFonts w:ascii="Times New Roman" w:hAnsi="Times New Roman" w:cs="Times New Roman"/>
          <w:sz w:val="24"/>
          <w:szCs w:val="24"/>
        </w:rPr>
        <w:t xml:space="preserve"> 2022</w:t>
      </w:r>
      <w:r w:rsidR="00F83E3E">
        <w:rPr>
          <w:rFonts w:ascii="Times New Roman" w:hAnsi="Times New Roman" w:cs="Times New Roman"/>
          <w:sz w:val="24"/>
          <w:szCs w:val="24"/>
        </w:rPr>
        <w:t>)</w:t>
      </w:r>
      <w:r w:rsidR="001D46B9" w:rsidRPr="00703C2D">
        <w:rPr>
          <w:rFonts w:ascii="Times New Roman" w:hAnsi="Times New Roman" w:cs="Times New Roman"/>
          <w:sz w:val="24"/>
          <w:szCs w:val="24"/>
        </w:rPr>
        <w:t xml:space="preserve"> </w:t>
      </w:r>
      <w:r w:rsidR="0029405A" w:rsidRPr="0029405A">
        <w:rPr>
          <w:rFonts w:ascii="Times New Roman" w:hAnsi="Times New Roman" w:cs="Times New Roman"/>
          <w:sz w:val="24"/>
          <w:szCs w:val="24"/>
        </w:rPr>
        <w:t xml:space="preserve">SMEs </w:t>
      </w:r>
      <w:r w:rsidR="0029405A">
        <w:rPr>
          <w:rFonts w:ascii="Times New Roman" w:hAnsi="Times New Roman" w:cs="Times New Roman"/>
          <w:sz w:val="24"/>
          <w:szCs w:val="24"/>
        </w:rPr>
        <w:t xml:space="preserve">are </w:t>
      </w:r>
      <w:r w:rsidR="0029405A" w:rsidRPr="0029405A">
        <w:rPr>
          <w:rFonts w:ascii="Times New Roman" w:hAnsi="Times New Roman" w:cs="Times New Roman"/>
          <w:sz w:val="24"/>
          <w:szCs w:val="24"/>
        </w:rPr>
        <w:t>increasingly using capital markets amid robust growth in private equity and venture capital</w:t>
      </w:r>
      <w:r w:rsidR="0029405A">
        <w:rPr>
          <w:rFonts w:ascii="Times New Roman" w:hAnsi="Times New Roman" w:cs="Times New Roman"/>
          <w:sz w:val="24"/>
          <w:szCs w:val="24"/>
        </w:rPr>
        <w:t xml:space="preserve"> (OECD 2026)</w:t>
      </w:r>
      <w:r w:rsidR="0029405A" w:rsidRPr="0029405A">
        <w:rPr>
          <w:rFonts w:ascii="Times New Roman" w:hAnsi="Times New Roman" w:cs="Times New Roman"/>
          <w:sz w:val="24"/>
          <w:szCs w:val="24"/>
        </w:rPr>
        <w:t>.</w:t>
      </w:r>
    </w:p>
    <w:p w14:paraId="0E6A22E0" w14:textId="5AF5BF9A" w:rsidR="00441964" w:rsidRPr="00703C2D" w:rsidRDefault="00441964" w:rsidP="00441964">
      <w:pPr>
        <w:jc w:val="both"/>
        <w:rPr>
          <w:rFonts w:ascii="Times New Roman" w:hAnsi="Times New Roman" w:cs="Times New Roman"/>
          <w:sz w:val="24"/>
          <w:szCs w:val="24"/>
        </w:rPr>
      </w:pPr>
      <w:r>
        <w:rPr>
          <w:rFonts w:ascii="Times New Roman" w:hAnsi="Times New Roman" w:cs="Times New Roman"/>
          <w:sz w:val="24"/>
          <w:szCs w:val="24"/>
        </w:rPr>
        <w:t xml:space="preserve">According to an OECD study, </w:t>
      </w:r>
      <w:r w:rsidRPr="001D46B9">
        <w:rPr>
          <w:rFonts w:ascii="Times New Roman" w:hAnsi="Times New Roman" w:cs="Times New Roman"/>
          <w:sz w:val="24"/>
          <w:szCs w:val="24"/>
        </w:rPr>
        <w:t>weak expansion in SME credit is putting pressure on firms’ liquidity and limiting their investment capacity, which in turn affects competitiveness. Alternative financing channels such as factoring and leasing are showing uneven trends, while the recovery in equity financing has been driven mainly by a small number of large artificial intelligence deals. Against this backdrop, fintech-based solutions and non-bank financing are becoming increasingly important within the overall SME funding landscape.</w:t>
      </w:r>
      <w:r>
        <w:rPr>
          <w:rFonts w:ascii="Times New Roman" w:hAnsi="Times New Roman" w:cs="Times New Roman"/>
          <w:sz w:val="24"/>
          <w:szCs w:val="24"/>
        </w:rPr>
        <w:t xml:space="preserve"> (OECD 2026).</w:t>
      </w:r>
    </w:p>
    <w:p w14:paraId="7C81360C" w14:textId="11148317" w:rsidR="00DA5792" w:rsidRDefault="00441964" w:rsidP="00703C2D">
      <w:pPr>
        <w:jc w:val="both"/>
        <w:rPr>
          <w:rFonts w:ascii="Times New Roman" w:hAnsi="Times New Roman" w:cs="Times New Roman"/>
          <w:sz w:val="24"/>
          <w:szCs w:val="24"/>
        </w:rPr>
      </w:pPr>
      <w:r w:rsidRPr="00441964">
        <w:rPr>
          <w:rFonts w:ascii="Times New Roman" w:hAnsi="Times New Roman" w:cs="Times New Roman"/>
          <w:sz w:val="24"/>
          <w:szCs w:val="24"/>
        </w:rPr>
        <w:t>Policy frameworks are not sufficiently equipped to support SME resilience across the full business lifecycle.</w:t>
      </w:r>
      <w:r w:rsidRPr="00703C2D">
        <w:rPr>
          <w:rFonts w:ascii="Times New Roman" w:hAnsi="Times New Roman" w:cs="Times New Roman"/>
          <w:sz w:val="24"/>
          <w:szCs w:val="24"/>
        </w:rPr>
        <w:t>  Gaps in early risk identification, limited use of data, and insufficient co-ordination across institutions reduce the ability to anticipate and manage emerging pressures</w:t>
      </w:r>
      <w:r>
        <w:rPr>
          <w:rFonts w:ascii="Times New Roman" w:hAnsi="Times New Roman" w:cs="Times New Roman"/>
          <w:sz w:val="24"/>
          <w:szCs w:val="24"/>
        </w:rPr>
        <w:t xml:space="preserve"> </w:t>
      </w:r>
      <w:r w:rsidRPr="00703C2D">
        <w:rPr>
          <w:rFonts w:ascii="Times New Roman" w:hAnsi="Times New Roman" w:cs="Times New Roman"/>
          <w:sz w:val="24"/>
          <w:szCs w:val="24"/>
        </w:rPr>
        <w:t xml:space="preserve">Around 20% of SMEs in the </w:t>
      </w:r>
      <w:r>
        <w:rPr>
          <w:rFonts w:ascii="Times New Roman" w:hAnsi="Times New Roman" w:cs="Times New Roman"/>
          <w:sz w:val="24"/>
          <w:szCs w:val="24"/>
        </w:rPr>
        <w:t>Western Balkans and Türkiye</w:t>
      </w:r>
      <w:r w:rsidRPr="00703C2D">
        <w:rPr>
          <w:rFonts w:ascii="Times New Roman" w:hAnsi="Times New Roman" w:cs="Times New Roman"/>
          <w:sz w:val="24"/>
          <w:szCs w:val="24"/>
        </w:rPr>
        <w:t xml:space="preserve"> are credit-constrained, limiting their ability to invest and manage risk. Recent crises have further increased pressure: 77% of businesses reporting rising costs, and nearly 50% identify access to finance as a major or moderate obstacle in 2024. While banking systems are relatively developed, lending conditions remain restrictive. Credit guarantee scheme and other risk-sharing instruments exist but are limited in scale and effectiveness, while alternative finance sources – such as capital markets and early-stage funding – remain shallow. In this context, rising input and energy costs are further tightening liquidity, reducing firms’ scope to adjust, invest in upgrading and strengthen long-term viability.</w:t>
      </w:r>
      <w:r w:rsidR="009551CF" w:rsidRPr="009551CF">
        <w:rPr>
          <w:rFonts w:ascii="Times New Roman" w:hAnsi="Times New Roman" w:cs="Times New Roman"/>
          <w:sz w:val="24"/>
          <w:szCs w:val="24"/>
        </w:rPr>
        <w:t xml:space="preserve"> </w:t>
      </w:r>
      <w:r w:rsidR="009551CF">
        <w:rPr>
          <w:rFonts w:ascii="Times New Roman" w:hAnsi="Times New Roman" w:cs="Times New Roman"/>
          <w:sz w:val="24"/>
          <w:szCs w:val="24"/>
        </w:rPr>
        <w:t>(OECD SME Policy Index, 2026)</w:t>
      </w:r>
      <w:r w:rsidR="009551CF" w:rsidRPr="00703C2D">
        <w:rPr>
          <w:rFonts w:ascii="Times New Roman" w:hAnsi="Times New Roman" w:cs="Times New Roman"/>
          <w:sz w:val="24"/>
          <w:szCs w:val="24"/>
        </w:rPr>
        <w:t>.</w:t>
      </w:r>
    </w:p>
    <w:p w14:paraId="26E7D5BF" w14:textId="392588F4" w:rsidR="009551CF" w:rsidRDefault="00F133A2" w:rsidP="00703C2D">
      <w:pPr>
        <w:jc w:val="both"/>
        <w:rPr>
          <w:rFonts w:ascii="Times New Roman" w:hAnsi="Times New Roman" w:cs="Times New Roman"/>
          <w:sz w:val="24"/>
          <w:szCs w:val="24"/>
        </w:rPr>
      </w:pPr>
      <w:r w:rsidRPr="00703C2D">
        <w:rPr>
          <w:rFonts w:ascii="Times New Roman" w:hAnsi="Times New Roman" w:cs="Times New Roman"/>
          <w:sz w:val="24"/>
          <w:szCs w:val="24"/>
        </w:rPr>
        <w:t>A large majority of SMEs operate as family-run, individual companies lacking institutional structure. This makes their sustainability highly dependent on the personal skills of the founder and limits formal corporate governance</w:t>
      </w:r>
      <w:r>
        <w:rPr>
          <w:rFonts w:ascii="Times New Roman" w:hAnsi="Times New Roman" w:cs="Times New Roman"/>
          <w:sz w:val="24"/>
          <w:szCs w:val="24"/>
        </w:rPr>
        <w:t xml:space="preserve">. </w:t>
      </w:r>
      <w:r w:rsidR="009551CF" w:rsidRPr="009551CF">
        <w:rPr>
          <w:rFonts w:ascii="Times New Roman" w:hAnsi="Times New Roman" w:cs="Times New Roman"/>
          <w:sz w:val="24"/>
          <w:szCs w:val="24"/>
        </w:rPr>
        <w:t xml:space="preserve">Skills shortages and mismatches continue to constrain productivity and firms’ respond to evolving market demands. </w:t>
      </w:r>
      <w:r w:rsidR="009551CF">
        <w:rPr>
          <w:rFonts w:ascii="Times New Roman" w:hAnsi="Times New Roman" w:cs="Times New Roman"/>
          <w:sz w:val="24"/>
          <w:szCs w:val="24"/>
        </w:rPr>
        <w:t>M</w:t>
      </w:r>
      <w:r w:rsidR="009551CF" w:rsidRPr="00703C2D">
        <w:rPr>
          <w:rFonts w:ascii="Times New Roman" w:hAnsi="Times New Roman" w:cs="Times New Roman"/>
          <w:sz w:val="24"/>
          <w:szCs w:val="24"/>
        </w:rPr>
        <w:t>any SMEs struggle to find workers with the right skills: one-third report that available skills do not meet their needs, and nearly two-thirds identify shortages as a barrier to growth</w:t>
      </w:r>
      <w:r w:rsidR="009551CF">
        <w:rPr>
          <w:rFonts w:ascii="Times New Roman" w:hAnsi="Times New Roman" w:cs="Times New Roman"/>
          <w:sz w:val="24"/>
          <w:szCs w:val="24"/>
        </w:rPr>
        <w:t xml:space="preserve"> (OECD SME Policy Index, 2026)</w:t>
      </w:r>
      <w:r w:rsidR="009551CF" w:rsidRPr="00703C2D">
        <w:rPr>
          <w:rFonts w:ascii="Times New Roman" w:hAnsi="Times New Roman" w:cs="Times New Roman"/>
          <w:sz w:val="24"/>
          <w:szCs w:val="24"/>
        </w:rPr>
        <w:t>.</w:t>
      </w:r>
    </w:p>
    <w:p w14:paraId="67B31829" w14:textId="77777777" w:rsidR="009551CF" w:rsidRPr="00703C2D" w:rsidRDefault="009551CF" w:rsidP="00703C2D">
      <w:pPr>
        <w:jc w:val="both"/>
        <w:rPr>
          <w:rFonts w:ascii="Times New Roman" w:hAnsi="Times New Roman" w:cs="Times New Roman"/>
          <w:sz w:val="24"/>
          <w:szCs w:val="24"/>
        </w:rPr>
      </w:pPr>
    </w:p>
    <w:p w14:paraId="563D344D" w14:textId="16FED49A" w:rsidR="00DA5792" w:rsidRPr="007D3BC4" w:rsidRDefault="009551CF" w:rsidP="00703C2D">
      <w:pPr>
        <w:jc w:val="both"/>
        <w:rPr>
          <w:rFonts w:ascii="Times New Roman" w:hAnsi="Times New Roman" w:cs="Times New Roman"/>
          <w:b/>
          <w:bCs/>
          <w:sz w:val="24"/>
          <w:szCs w:val="24"/>
        </w:rPr>
      </w:pPr>
      <w:r w:rsidRPr="007D3BC4">
        <w:rPr>
          <w:rFonts w:ascii="Times New Roman" w:hAnsi="Times New Roman" w:cs="Times New Roman"/>
          <w:b/>
          <w:bCs/>
          <w:sz w:val="24"/>
          <w:szCs w:val="24"/>
        </w:rPr>
        <w:t>3.Adaptation to Twin Transitions</w:t>
      </w:r>
    </w:p>
    <w:p w14:paraId="3FA3A09F" w14:textId="33DC78B9" w:rsidR="00CC277D" w:rsidRPr="00703C2D" w:rsidRDefault="00F133A2" w:rsidP="00703C2D">
      <w:pPr>
        <w:jc w:val="both"/>
        <w:rPr>
          <w:rFonts w:ascii="Times New Roman" w:hAnsi="Times New Roman" w:cs="Times New Roman"/>
          <w:sz w:val="24"/>
          <w:szCs w:val="24"/>
        </w:rPr>
      </w:pPr>
      <w:r w:rsidRPr="00703C2D">
        <w:rPr>
          <w:rFonts w:ascii="Times New Roman" w:hAnsi="Times New Roman" w:cs="Times New Roman"/>
          <w:sz w:val="24"/>
          <w:szCs w:val="24"/>
        </w:rPr>
        <w:t xml:space="preserve">Compared to large </w:t>
      </w:r>
      <w:r w:rsidRPr="00BD6E3A">
        <w:rPr>
          <w:rFonts w:ascii="Times New Roman" w:hAnsi="Times New Roman" w:cs="Times New Roman"/>
          <w:sz w:val="24"/>
          <w:szCs w:val="24"/>
        </w:rPr>
        <w:t xml:space="preserve">corporations, many SMEs lack the technical knowledge, awareness, and funds to integrate Industry 4.0 technologies (like robotics and AI) into their manufacturing and supply chains. </w:t>
      </w:r>
      <w:r w:rsidR="0053601D" w:rsidRPr="00BD6E3A">
        <w:rPr>
          <w:rFonts w:ascii="Times New Roman" w:hAnsi="Times New Roman" w:cs="Times New Roman"/>
          <w:sz w:val="24"/>
          <w:szCs w:val="24"/>
        </w:rPr>
        <w:t>SME upgrading is not keeping pace with the demands of digital and green transitions, limiting both competitiveness and resilience. Although adoption of digital tools and green practices is increasing — with most SMEs in the region using at least one digital tool and around 40% offering green products or services — it remains largely concentrated in basic applications. Business investment in research and development is low, at just</w:t>
      </w:r>
      <w:r w:rsidR="0053601D" w:rsidRPr="00703C2D">
        <w:rPr>
          <w:rFonts w:ascii="Times New Roman" w:hAnsi="Times New Roman" w:cs="Times New Roman"/>
          <w:sz w:val="24"/>
          <w:szCs w:val="24"/>
        </w:rPr>
        <w:t xml:space="preserve"> 0.28% of GDP, </w:t>
      </w:r>
      <w:r w:rsidR="0053601D" w:rsidRPr="00703C2D">
        <w:rPr>
          <w:rFonts w:ascii="Times New Roman" w:hAnsi="Times New Roman" w:cs="Times New Roman"/>
          <w:sz w:val="24"/>
          <w:szCs w:val="24"/>
        </w:rPr>
        <w:lastRenderedPageBreak/>
        <w:t>and innovation capacities remain limited. As a result, productivity levels are weak, export diversification is constrained, and convergence with the European Union remains slow. At the same time, SMEs face mounting pressures to comply with evolving EU standards, particularly in areas such as decarbonisation. This challenge is compounded by the region’s relatively low level of readiness for the climate transition despite higher vulnerability to its impacts, and as a result, firms remain relatively carbon-intensive.</w:t>
      </w:r>
    </w:p>
    <w:p w14:paraId="4FDB4FFD" w14:textId="227DAA9A" w:rsidR="00CC277D" w:rsidRPr="00703C2D" w:rsidRDefault="00CC277D" w:rsidP="00703C2D">
      <w:pPr>
        <w:jc w:val="both"/>
        <w:rPr>
          <w:rFonts w:ascii="Times New Roman" w:hAnsi="Times New Roman" w:cs="Times New Roman"/>
          <w:sz w:val="24"/>
          <w:szCs w:val="24"/>
        </w:rPr>
      </w:pPr>
      <w:r w:rsidRPr="00703C2D">
        <w:rPr>
          <w:rFonts w:ascii="Times New Roman" w:hAnsi="Times New Roman" w:cs="Times New Roman"/>
          <w:sz w:val="24"/>
          <w:szCs w:val="24"/>
        </w:rPr>
        <w:t xml:space="preserve">Artificial Intelligence (AI) has become a powerful catalyst for the transformation of </w:t>
      </w:r>
      <w:r w:rsidR="00BD6E3A">
        <w:rPr>
          <w:rFonts w:ascii="Times New Roman" w:hAnsi="Times New Roman" w:cs="Times New Roman"/>
          <w:sz w:val="24"/>
          <w:szCs w:val="24"/>
        </w:rPr>
        <w:t xml:space="preserve">SMEs, </w:t>
      </w:r>
      <w:r w:rsidRPr="00703C2D">
        <w:rPr>
          <w:rFonts w:ascii="Times New Roman" w:hAnsi="Times New Roman" w:cs="Times New Roman"/>
          <w:sz w:val="24"/>
          <w:szCs w:val="24"/>
        </w:rPr>
        <w:t>creating new opportunities to improve efficiency, strengthen customer relationships, and enhance competitiveness</w:t>
      </w:r>
      <w:r w:rsidR="00F133A2">
        <w:rPr>
          <w:rFonts w:ascii="Times New Roman" w:hAnsi="Times New Roman" w:cs="Times New Roman"/>
          <w:sz w:val="24"/>
          <w:szCs w:val="24"/>
        </w:rPr>
        <w:t xml:space="preserve"> </w:t>
      </w:r>
      <w:r w:rsidRPr="00703C2D">
        <w:rPr>
          <w:rFonts w:ascii="Times New Roman" w:hAnsi="Times New Roman" w:cs="Times New Roman"/>
          <w:sz w:val="24"/>
          <w:szCs w:val="24"/>
        </w:rPr>
        <w:t>by automating routine activities, improving supply chain operations, and generating valuable insights through predictive analytics. The use of AI-driven technologies—including chatbots, sentiment analysis tools, and machine learning applications in marketing—enables SMEs to optimize processes, lower operational costs, and offer more personalized customer experiences</w:t>
      </w:r>
      <w:r w:rsidR="00F133A2">
        <w:rPr>
          <w:rFonts w:ascii="Times New Roman" w:hAnsi="Times New Roman" w:cs="Times New Roman"/>
          <w:sz w:val="24"/>
          <w:szCs w:val="24"/>
        </w:rPr>
        <w:t xml:space="preserve"> (Pal et al. 2026)</w:t>
      </w:r>
      <w:r w:rsidRPr="00703C2D">
        <w:rPr>
          <w:rFonts w:ascii="Times New Roman" w:hAnsi="Times New Roman" w:cs="Times New Roman"/>
          <w:sz w:val="24"/>
          <w:szCs w:val="24"/>
        </w:rPr>
        <w:t>.</w:t>
      </w:r>
    </w:p>
    <w:p w14:paraId="2B988188" w14:textId="2365B160" w:rsidR="00CC277D" w:rsidRDefault="00CC277D" w:rsidP="00703C2D">
      <w:pPr>
        <w:jc w:val="both"/>
        <w:rPr>
          <w:rFonts w:ascii="Times New Roman" w:hAnsi="Times New Roman" w:cs="Times New Roman"/>
          <w:sz w:val="24"/>
          <w:szCs w:val="24"/>
        </w:rPr>
      </w:pPr>
      <w:r w:rsidRPr="00703C2D">
        <w:rPr>
          <w:rFonts w:ascii="Times New Roman" w:hAnsi="Times New Roman" w:cs="Times New Roman"/>
          <w:sz w:val="24"/>
          <w:szCs w:val="24"/>
        </w:rPr>
        <w:t>Despite these advantages, the uptake of AI among SMEs remains limited due to several obstacles, such as financial limitations, insufficient technical expertise, and ethical considerations. high deployment costs, shortages of skilled personnel, and complex regulatory environments. practical solutions such as government support through subsidies and tax incentives, workforce development initiatives, and partnerships with academic institutions to enhance AI literacy.</w:t>
      </w:r>
    </w:p>
    <w:p w14:paraId="4D21FED9" w14:textId="77777777" w:rsidR="00D43191" w:rsidRDefault="00D43191" w:rsidP="00703C2D">
      <w:pPr>
        <w:jc w:val="both"/>
        <w:rPr>
          <w:rFonts w:ascii="Times New Roman" w:hAnsi="Times New Roman" w:cs="Times New Roman"/>
          <w:sz w:val="24"/>
          <w:szCs w:val="24"/>
        </w:rPr>
      </w:pPr>
    </w:p>
    <w:p w14:paraId="64194622" w14:textId="293CE52B"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Table 4: SME Policy Index for Western Balkans and Türkiye</w:t>
      </w:r>
      <w:r w:rsidR="00463912">
        <w:rPr>
          <w:rFonts w:ascii="Times New Roman" w:hAnsi="Times New Roman" w:cs="Times New Roman"/>
          <w:sz w:val="24"/>
          <w:szCs w:val="24"/>
        </w:rPr>
        <w:t>:</w:t>
      </w:r>
      <w:r>
        <w:rPr>
          <w:rFonts w:ascii="Times New Roman" w:hAnsi="Times New Roman" w:cs="Times New Roman"/>
          <w:sz w:val="24"/>
          <w:szCs w:val="24"/>
        </w:rPr>
        <w:t xml:space="preserve"> economies’ score performance  across dimensions OECD</w:t>
      </w:r>
    </w:p>
    <w:tbl>
      <w:tblPr>
        <w:tblStyle w:val="TableGrid"/>
        <w:tblW w:w="0" w:type="auto"/>
        <w:tblLook w:val="04A0" w:firstRow="1" w:lastRow="0" w:firstColumn="1" w:lastColumn="0" w:noHBand="0" w:noVBand="1"/>
      </w:tblPr>
      <w:tblGrid>
        <w:gridCol w:w="4106"/>
        <w:gridCol w:w="2552"/>
        <w:gridCol w:w="1842"/>
      </w:tblGrid>
      <w:tr w:rsidR="00D43191" w14:paraId="11A3072F" w14:textId="77777777" w:rsidTr="00D43191">
        <w:tc>
          <w:tcPr>
            <w:tcW w:w="4106" w:type="dxa"/>
          </w:tcPr>
          <w:p w14:paraId="3E812610" w14:textId="421719E1"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Dimensions</w:t>
            </w:r>
          </w:p>
        </w:tc>
        <w:tc>
          <w:tcPr>
            <w:tcW w:w="2552" w:type="dxa"/>
          </w:tcPr>
          <w:p w14:paraId="32FBFE8D" w14:textId="64191460"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TUR</w:t>
            </w:r>
          </w:p>
        </w:tc>
        <w:tc>
          <w:tcPr>
            <w:tcW w:w="1842" w:type="dxa"/>
          </w:tcPr>
          <w:p w14:paraId="086123B2" w14:textId="3753E7EC"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AV for WBT 2026</w:t>
            </w:r>
          </w:p>
        </w:tc>
      </w:tr>
      <w:tr w:rsidR="00D43191" w14:paraId="49C6D4AA" w14:textId="77777777" w:rsidTr="00D43191">
        <w:tc>
          <w:tcPr>
            <w:tcW w:w="4106" w:type="dxa"/>
          </w:tcPr>
          <w:p w14:paraId="36574D4C" w14:textId="471A3A17"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1.Entrepreneuırial learning and women’s entrepreneurship</w:t>
            </w:r>
          </w:p>
        </w:tc>
        <w:tc>
          <w:tcPr>
            <w:tcW w:w="2552" w:type="dxa"/>
          </w:tcPr>
          <w:p w14:paraId="31A1E905" w14:textId="407BBADB"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4.42</w:t>
            </w:r>
          </w:p>
        </w:tc>
        <w:tc>
          <w:tcPr>
            <w:tcW w:w="1842" w:type="dxa"/>
          </w:tcPr>
          <w:p w14:paraId="2B753033" w14:textId="07FBB11C"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3.72</w:t>
            </w:r>
          </w:p>
        </w:tc>
      </w:tr>
      <w:tr w:rsidR="00D43191" w14:paraId="3DA17922" w14:textId="77777777" w:rsidTr="00D43191">
        <w:tc>
          <w:tcPr>
            <w:tcW w:w="4106" w:type="dxa"/>
          </w:tcPr>
          <w:p w14:paraId="6BD96A2D" w14:textId="502903B3"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2.Banruptcy and second chance for SMEs</w:t>
            </w:r>
          </w:p>
        </w:tc>
        <w:tc>
          <w:tcPr>
            <w:tcW w:w="2552" w:type="dxa"/>
          </w:tcPr>
          <w:p w14:paraId="5A489EB3" w14:textId="02379922"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3.30</w:t>
            </w:r>
          </w:p>
        </w:tc>
        <w:tc>
          <w:tcPr>
            <w:tcW w:w="1842" w:type="dxa"/>
          </w:tcPr>
          <w:p w14:paraId="2EFD11D2" w14:textId="58E78664"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2.97</w:t>
            </w:r>
          </w:p>
        </w:tc>
      </w:tr>
      <w:tr w:rsidR="00D43191" w14:paraId="7B1FA53C" w14:textId="77777777" w:rsidTr="00D43191">
        <w:tc>
          <w:tcPr>
            <w:tcW w:w="4106" w:type="dxa"/>
          </w:tcPr>
          <w:p w14:paraId="76B0F101" w14:textId="3390B255"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3.Institutional and regulatory framework</w:t>
            </w:r>
          </w:p>
        </w:tc>
        <w:tc>
          <w:tcPr>
            <w:tcW w:w="2552" w:type="dxa"/>
          </w:tcPr>
          <w:p w14:paraId="15C8D710" w14:textId="22539A0D"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3.89</w:t>
            </w:r>
          </w:p>
        </w:tc>
        <w:tc>
          <w:tcPr>
            <w:tcW w:w="1842" w:type="dxa"/>
          </w:tcPr>
          <w:p w14:paraId="54EF4B11" w14:textId="10AB679D"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3.77</w:t>
            </w:r>
          </w:p>
        </w:tc>
      </w:tr>
      <w:tr w:rsidR="00D43191" w14:paraId="4A97B64B" w14:textId="77777777" w:rsidTr="00D43191">
        <w:tc>
          <w:tcPr>
            <w:tcW w:w="4106" w:type="dxa"/>
          </w:tcPr>
          <w:p w14:paraId="0812FBBE" w14:textId="2EBD3B83"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4.Operational environment for SMEs</w:t>
            </w:r>
          </w:p>
        </w:tc>
        <w:tc>
          <w:tcPr>
            <w:tcW w:w="2552" w:type="dxa"/>
          </w:tcPr>
          <w:p w14:paraId="2EBC5D7D" w14:textId="04C42B62"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4.09</w:t>
            </w:r>
          </w:p>
        </w:tc>
        <w:tc>
          <w:tcPr>
            <w:tcW w:w="1842" w:type="dxa"/>
          </w:tcPr>
          <w:p w14:paraId="0B5B59FB" w14:textId="25663951"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3.75</w:t>
            </w:r>
          </w:p>
        </w:tc>
      </w:tr>
      <w:tr w:rsidR="00D43191" w14:paraId="10F4D785" w14:textId="77777777" w:rsidTr="00D43191">
        <w:tc>
          <w:tcPr>
            <w:tcW w:w="4106" w:type="dxa"/>
          </w:tcPr>
          <w:p w14:paraId="3939395B" w14:textId="00A213B3"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5a.Sup</w:t>
            </w:r>
            <w:r>
              <w:rPr>
                <w:rFonts w:ascii="Times New Roman" w:hAnsi="Times New Roman" w:cs="Times New Roman"/>
                <w:sz w:val="20"/>
                <w:szCs w:val="20"/>
              </w:rPr>
              <w:t>p</w:t>
            </w:r>
            <w:r w:rsidRPr="00D43191">
              <w:rPr>
                <w:rFonts w:ascii="Times New Roman" w:hAnsi="Times New Roman" w:cs="Times New Roman"/>
                <w:sz w:val="20"/>
                <w:szCs w:val="20"/>
              </w:rPr>
              <w:t>ort services for SMEs and startups</w:t>
            </w:r>
          </w:p>
        </w:tc>
        <w:tc>
          <w:tcPr>
            <w:tcW w:w="2552" w:type="dxa"/>
          </w:tcPr>
          <w:p w14:paraId="7A80D2D3" w14:textId="1946C852" w:rsidR="00D43191" w:rsidRDefault="00EE04A2" w:rsidP="00703C2D">
            <w:pPr>
              <w:jc w:val="both"/>
              <w:rPr>
                <w:rFonts w:ascii="Times New Roman" w:hAnsi="Times New Roman" w:cs="Times New Roman"/>
                <w:sz w:val="24"/>
                <w:szCs w:val="24"/>
              </w:rPr>
            </w:pPr>
            <w:r>
              <w:rPr>
                <w:rFonts w:ascii="Times New Roman" w:hAnsi="Times New Roman" w:cs="Times New Roman"/>
                <w:sz w:val="24"/>
                <w:szCs w:val="24"/>
              </w:rPr>
              <w:t>4.63 (highest in WBT region)</w:t>
            </w:r>
          </w:p>
        </w:tc>
        <w:tc>
          <w:tcPr>
            <w:tcW w:w="1842" w:type="dxa"/>
          </w:tcPr>
          <w:p w14:paraId="3B24E1BD" w14:textId="3B11513C"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4.07</w:t>
            </w:r>
          </w:p>
        </w:tc>
      </w:tr>
      <w:tr w:rsidR="00D43191" w14:paraId="2E981EDD" w14:textId="77777777" w:rsidTr="00D43191">
        <w:tc>
          <w:tcPr>
            <w:tcW w:w="4106" w:type="dxa"/>
          </w:tcPr>
          <w:p w14:paraId="1BFCC436" w14:textId="6B73565F"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5b.Public procurement</w:t>
            </w:r>
          </w:p>
        </w:tc>
        <w:tc>
          <w:tcPr>
            <w:tcW w:w="2552" w:type="dxa"/>
          </w:tcPr>
          <w:p w14:paraId="137E2E73" w14:textId="5AA76AA4" w:rsidR="00D43191" w:rsidRDefault="00EE04A2" w:rsidP="00703C2D">
            <w:pPr>
              <w:jc w:val="both"/>
              <w:rPr>
                <w:rFonts w:ascii="Times New Roman" w:hAnsi="Times New Roman" w:cs="Times New Roman"/>
                <w:sz w:val="24"/>
                <w:szCs w:val="24"/>
              </w:rPr>
            </w:pPr>
            <w:r>
              <w:rPr>
                <w:rFonts w:ascii="Times New Roman" w:hAnsi="Times New Roman" w:cs="Times New Roman"/>
                <w:sz w:val="24"/>
                <w:szCs w:val="24"/>
              </w:rPr>
              <w:t xml:space="preserve">3.83 </w:t>
            </w:r>
          </w:p>
        </w:tc>
        <w:tc>
          <w:tcPr>
            <w:tcW w:w="1842" w:type="dxa"/>
          </w:tcPr>
          <w:p w14:paraId="6AC8A613" w14:textId="05F98237"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4.05</w:t>
            </w:r>
          </w:p>
        </w:tc>
      </w:tr>
      <w:tr w:rsidR="00D43191" w14:paraId="36FD83B6" w14:textId="77777777" w:rsidTr="00D43191">
        <w:tc>
          <w:tcPr>
            <w:tcW w:w="4106" w:type="dxa"/>
          </w:tcPr>
          <w:p w14:paraId="1CE4D6C9" w14:textId="51D8DC2D"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6.Access to finance</w:t>
            </w:r>
          </w:p>
        </w:tc>
        <w:tc>
          <w:tcPr>
            <w:tcW w:w="2552" w:type="dxa"/>
          </w:tcPr>
          <w:p w14:paraId="4D421391" w14:textId="791F92C0" w:rsidR="00D43191" w:rsidRDefault="00EE04A2" w:rsidP="00703C2D">
            <w:pPr>
              <w:jc w:val="both"/>
              <w:rPr>
                <w:rFonts w:ascii="Times New Roman" w:hAnsi="Times New Roman" w:cs="Times New Roman"/>
                <w:sz w:val="24"/>
                <w:szCs w:val="24"/>
              </w:rPr>
            </w:pPr>
            <w:r>
              <w:rPr>
                <w:rFonts w:ascii="Times New Roman" w:hAnsi="Times New Roman" w:cs="Times New Roman"/>
                <w:sz w:val="24"/>
                <w:szCs w:val="24"/>
              </w:rPr>
              <w:t>3.76 (highest in WBT region)</w:t>
            </w:r>
          </w:p>
        </w:tc>
        <w:tc>
          <w:tcPr>
            <w:tcW w:w="1842" w:type="dxa"/>
          </w:tcPr>
          <w:p w14:paraId="7AF57E5C" w14:textId="59ECA661"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3.21</w:t>
            </w:r>
          </w:p>
        </w:tc>
      </w:tr>
      <w:tr w:rsidR="00D43191" w14:paraId="2D31C82C" w14:textId="77777777" w:rsidTr="00D43191">
        <w:tc>
          <w:tcPr>
            <w:tcW w:w="4106" w:type="dxa"/>
          </w:tcPr>
          <w:p w14:paraId="36B2B35C" w14:textId="118F4427"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7.Standards and technical regulations</w:t>
            </w:r>
          </w:p>
        </w:tc>
        <w:tc>
          <w:tcPr>
            <w:tcW w:w="2552" w:type="dxa"/>
          </w:tcPr>
          <w:p w14:paraId="1A3A4D38" w14:textId="778453B9" w:rsidR="00D43191" w:rsidRDefault="00EE04A2" w:rsidP="00703C2D">
            <w:pPr>
              <w:jc w:val="both"/>
              <w:rPr>
                <w:rFonts w:ascii="Times New Roman" w:hAnsi="Times New Roman" w:cs="Times New Roman"/>
                <w:sz w:val="24"/>
                <w:szCs w:val="24"/>
              </w:rPr>
            </w:pPr>
            <w:r>
              <w:rPr>
                <w:rFonts w:ascii="Times New Roman" w:hAnsi="Times New Roman" w:cs="Times New Roman"/>
                <w:sz w:val="24"/>
                <w:szCs w:val="24"/>
              </w:rPr>
              <w:t>4.65 (highest in WBT region)</w:t>
            </w:r>
          </w:p>
        </w:tc>
        <w:tc>
          <w:tcPr>
            <w:tcW w:w="1842" w:type="dxa"/>
          </w:tcPr>
          <w:p w14:paraId="49B12DAB" w14:textId="2E2EF721"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4.05</w:t>
            </w:r>
          </w:p>
        </w:tc>
      </w:tr>
      <w:tr w:rsidR="00D43191" w14:paraId="3212FCF2" w14:textId="77777777" w:rsidTr="00D43191">
        <w:tc>
          <w:tcPr>
            <w:tcW w:w="4106" w:type="dxa"/>
          </w:tcPr>
          <w:p w14:paraId="69D90BA9" w14:textId="0F360B5B"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8a. Enterprise skills</w:t>
            </w:r>
          </w:p>
        </w:tc>
        <w:tc>
          <w:tcPr>
            <w:tcW w:w="2552" w:type="dxa"/>
          </w:tcPr>
          <w:p w14:paraId="51A79E31" w14:textId="5D6D2989" w:rsidR="00D43191" w:rsidRDefault="00EE04A2" w:rsidP="00703C2D">
            <w:pPr>
              <w:jc w:val="both"/>
              <w:rPr>
                <w:rFonts w:ascii="Times New Roman" w:hAnsi="Times New Roman" w:cs="Times New Roman"/>
                <w:sz w:val="24"/>
                <w:szCs w:val="24"/>
              </w:rPr>
            </w:pPr>
            <w:r>
              <w:rPr>
                <w:rFonts w:ascii="Times New Roman" w:hAnsi="Times New Roman" w:cs="Times New Roman"/>
                <w:sz w:val="24"/>
                <w:szCs w:val="24"/>
              </w:rPr>
              <w:t>4.07 (highest in WBT region)</w:t>
            </w:r>
          </w:p>
        </w:tc>
        <w:tc>
          <w:tcPr>
            <w:tcW w:w="1842" w:type="dxa"/>
          </w:tcPr>
          <w:p w14:paraId="266CAC19" w14:textId="7E003A83"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3.44</w:t>
            </w:r>
          </w:p>
        </w:tc>
      </w:tr>
      <w:tr w:rsidR="00D43191" w14:paraId="2343A1D2" w14:textId="77777777" w:rsidTr="00D43191">
        <w:tc>
          <w:tcPr>
            <w:tcW w:w="4106" w:type="dxa"/>
          </w:tcPr>
          <w:p w14:paraId="1D7E9CCB" w14:textId="7ECD506A"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8b.In</w:t>
            </w:r>
            <w:r w:rsidR="00463912">
              <w:rPr>
                <w:rFonts w:ascii="Times New Roman" w:hAnsi="Times New Roman" w:cs="Times New Roman"/>
                <w:sz w:val="20"/>
                <w:szCs w:val="20"/>
              </w:rPr>
              <w:t>n</w:t>
            </w:r>
            <w:r w:rsidRPr="00D43191">
              <w:rPr>
                <w:rFonts w:ascii="Times New Roman" w:hAnsi="Times New Roman" w:cs="Times New Roman"/>
                <w:sz w:val="20"/>
                <w:szCs w:val="20"/>
              </w:rPr>
              <w:t>ovation policy for SMEs</w:t>
            </w:r>
          </w:p>
        </w:tc>
        <w:tc>
          <w:tcPr>
            <w:tcW w:w="2552" w:type="dxa"/>
          </w:tcPr>
          <w:p w14:paraId="6B9ECD8A" w14:textId="322822CF" w:rsidR="00D43191" w:rsidRDefault="00EE04A2" w:rsidP="00703C2D">
            <w:pPr>
              <w:jc w:val="both"/>
              <w:rPr>
                <w:rFonts w:ascii="Times New Roman" w:hAnsi="Times New Roman" w:cs="Times New Roman"/>
                <w:sz w:val="24"/>
                <w:szCs w:val="24"/>
              </w:rPr>
            </w:pPr>
            <w:r>
              <w:rPr>
                <w:rFonts w:ascii="Times New Roman" w:hAnsi="Times New Roman" w:cs="Times New Roman"/>
                <w:sz w:val="24"/>
                <w:szCs w:val="24"/>
              </w:rPr>
              <w:t>4.19(highest in WBT region)</w:t>
            </w:r>
          </w:p>
        </w:tc>
        <w:tc>
          <w:tcPr>
            <w:tcW w:w="1842" w:type="dxa"/>
          </w:tcPr>
          <w:p w14:paraId="464013C7" w14:textId="4EA60ABC"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3.27</w:t>
            </w:r>
          </w:p>
        </w:tc>
      </w:tr>
      <w:tr w:rsidR="00D43191" w14:paraId="7093BBE8" w14:textId="77777777" w:rsidTr="00D43191">
        <w:tc>
          <w:tcPr>
            <w:tcW w:w="4106" w:type="dxa"/>
          </w:tcPr>
          <w:p w14:paraId="74A3B7AC" w14:textId="42EE9E8A"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9.SMEs in a green economy</w:t>
            </w:r>
          </w:p>
        </w:tc>
        <w:tc>
          <w:tcPr>
            <w:tcW w:w="2552" w:type="dxa"/>
          </w:tcPr>
          <w:p w14:paraId="54073016" w14:textId="3ED5FBC2" w:rsidR="00D43191" w:rsidRDefault="00EE04A2" w:rsidP="00703C2D">
            <w:pPr>
              <w:jc w:val="both"/>
              <w:rPr>
                <w:rFonts w:ascii="Times New Roman" w:hAnsi="Times New Roman" w:cs="Times New Roman"/>
                <w:sz w:val="24"/>
                <w:szCs w:val="24"/>
              </w:rPr>
            </w:pPr>
            <w:r>
              <w:rPr>
                <w:rFonts w:ascii="Times New Roman" w:hAnsi="Times New Roman" w:cs="Times New Roman"/>
                <w:sz w:val="24"/>
                <w:szCs w:val="24"/>
              </w:rPr>
              <w:t>4.31 (highest in WBT region)</w:t>
            </w:r>
          </w:p>
        </w:tc>
        <w:tc>
          <w:tcPr>
            <w:tcW w:w="1842" w:type="dxa"/>
          </w:tcPr>
          <w:p w14:paraId="32CCA99D" w14:textId="09920F4B"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3.16</w:t>
            </w:r>
          </w:p>
        </w:tc>
      </w:tr>
      <w:tr w:rsidR="00D43191" w14:paraId="70D268B0" w14:textId="77777777" w:rsidTr="00D43191">
        <w:tc>
          <w:tcPr>
            <w:tcW w:w="4106" w:type="dxa"/>
          </w:tcPr>
          <w:p w14:paraId="6E9CA53F" w14:textId="3060AA88"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t>10.Internationalisation of SMEs</w:t>
            </w:r>
          </w:p>
        </w:tc>
        <w:tc>
          <w:tcPr>
            <w:tcW w:w="2552" w:type="dxa"/>
          </w:tcPr>
          <w:p w14:paraId="7006D63F" w14:textId="3003A998" w:rsidR="00D43191" w:rsidRDefault="00EE04A2" w:rsidP="00703C2D">
            <w:pPr>
              <w:jc w:val="both"/>
              <w:rPr>
                <w:rFonts w:ascii="Times New Roman" w:hAnsi="Times New Roman" w:cs="Times New Roman"/>
                <w:sz w:val="24"/>
                <w:szCs w:val="24"/>
              </w:rPr>
            </w:pPr>
            <w:r>
              <w:rPr>
                <w:rFonts w:ascii="Times New Roman" w:hAnsi="Times New Roman" w:cs="Times New Roman"/>
                <w:sz w:val="24"/>
                <w:szCs w:val="24"/>
              </w:rPr>
              <w:t>4.86 (highest in WBT region)</w:t>
            </w:r>
          </w:p>
        </w:tc>
        <w:tc>
          <w:tcPr>
            <w:tcW w:w="1842" w:type="dxa"/>
          </w:tcPr>
          <w:p w14:paraId="515624E6" w14:textId="04CD2D47"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3.76</w:t>
            </w:r>
          </w:p>
        </w:tc>
      </w:tr>
      <w:tr w:rsidR="00D43191" w14:paraId="2F6AA458" w14:textId="77777777" w:rsidTr="00D43191">
        <w:tc>
          <w:tcPr>
            <w:tcW w:w="4106" w:type="dxa"/>
          </w:tcPr>
          <w:p w14:paraId="53071FAC" w14:textId="12D6FAE4" w:rsidR="00D43191" w:rsidRPr="00D43191" w:rsidRDefault="00D43191" w:rsidP="00703C2D">
            <w:pPr>
              <w:jc w:val="both"/>
              <w:rPr>
                <w:rFonts w:ascii="Times New Roman" w:hAnsi="Times New Roman" w:cs="Times New Roman"/>
                <w:sz w:val="20"/>
                <w:szCs w:val="20"/>
              </w:rPr>
            </w:pPr>
            <w:r w:rsidRPr="00D43191">
              <w:rPr>
                <w:rFonts w:ascii="Times New Roman" w:hAnsi="Times New Roman" w:cs="Times New Roman"/>
                <w:sz w:val="20"/>
                <w:szCs w:val="20"/>
              </w:rPr>
              <w:lastRenderedPageBreak/>
              <w:t>11.Digital transformation of SMEs</w:t>
            </w:r>
          </w:p>
        </w:tc>
        <w:tc>
          <w:tcPr>
            <w:tcW w:w="2552" w:type="dxa"/>
          </w:tcPr>
          <w:p w14:paraId="0927C05D" w14:textId="5FECB8CA" w:rsidR="00D43191" w:rsidRDefault="00EE04A2" w:rsidP="00703C2D">
            <w:pPr>
              <w:jc w:val="both"/>
              <w:rPr>
                <w:rFonts w:ascii="Times New Roman" w:hAnsi="Times New Roman" w:cs="Times New Roman"/>
                <w:sz w:val="24"/>
                <w:szCs w:val="24"/>
              </w:rPr>
            </w:pPr>
            <w:r>
              <w:rPr>
                <w:rFonts w:ascii="Times New Roman" w:hAnsi="Times New Roman" w:cs="Times New Roman"/>
                <w:sz w:val="24"/>
                <w:szCs w:val="24"/>
              </w:rPr>
              <w:t>3.57 (highest in WBT region)</w:t>
            </w:r>
          </w:p>
        </w:tc>
        <w:tc>
          <w:tcPr>
            <w:tcW w:w="1842" w:type="dxa"/>
          </w:tcPr>
          <w:p w14:paraId="550B5938" w14:textId="47A3F803" w:rsidR="00D43191" w:rsidRDefault="00D43191" w:rsidP="00703C2D">
            <w:pPr>
              <w:jc w:val="both"/>
              <w:rPr>
                <w:rFonts w:ascii="Times New Roman" w:hAnsi="Times New Roman" w:cs="Times New Roman"/>
                <w:sz w:val="24"/>
                <w:szCs w:val="24"/>
              </w:rPr>
            </w:pPr>
            <w:r>
              <w:rPr>
                <w:rFonts w:ascii="Times New Roman" w:hAnsi="Times New Roman" w:cs="Times New Roman"/>
                <w:sz w:val="24"/>
                <w:szCs w:val="24"/>
              </w:rPr>
              <w:t>3.00</w:t>
            </w:r>
            <w:r w:rsidR="00EE04A2">
              <w:rPr>
                <w:rFonts w:ascii="Times New Roman" w:hAnsi="Times New Roman" w:cs="Times New Roman"/>
                <w:sz w:val="24"/>
                <w:szCs w:val="24"/>
              </w:rPr>
              <w:t xml:space="preserve"> </w:t>
            </w:r>
          </w:p>
        </w:tc>
      </w:tr>
    </w:tbl>
    <w:p w14:paraId="39D73A8A" w14:textId="4997F826" w:rsidR="00D43191" w:rsidRDefault="00D43191" w:rsidP="00703C2D">
      <w:pPr>
        <w:jc w:val="both"/>
        <w:rPr>
          <w:rFonts w:ascii="Times New Roman" w:hAnsi="Times New Roman" w:cs="Times New Roman"/>
          <w:sz w:val="24"/>
          <w:szCs w:val="24"/>
        </w:rPr>
      </w:pPr>
    </w:p>
    <w:p w14:paraId="4838A853" w14:textId="77777777" w:rsidR="00D43191" w:rsidRPr="00703C2D" w:rsidRDefault="00D43191" w:rsidP="00703C2D">
      <w:pPr>
        <w:jc w:val="both"/>
        <w:rPr>
          <w:rFonts w:ascii="Times New Roman" w:hAnsi="Times New Roman" w:cs="Times New Roman"/>
          <w:sz w:val="24"/>
          <w:szCs w:val="24"/>
        </w:rPr>
      </w:pPr>
    </w:p>
    <w:p w14:paraId="2A408FBE" w14:textId="53128B78" w:rsidR="000453CF" w:rsidRPr="007D3BC4" w:rsidRDefault="007D3BC4" w:rsidP="00703C2D">
      <w:pPr>
        <w:jc w:val="both"/>
        <w:rPr>
          <w:rFonts w:ascii="Times New Roman" w:hAnsi="Times New Roman" w:cs="Times New Roman"/>
          <w:b/>
          <w:bCs/>
          <w:sz w:val="24"/>
          <w:szCs w:val="24"/>
        </w:rPr>
      </w:pPr>
      <w:r w:rsidRPr="007D3BC4">
        <w:rPr>
          <w:rFonts w:ascii="Times New Roman" w:hAnsi="Times New Roman" w:cs="Times New Roman"/>
          <w:b/>
          <w:bCs/>
          <w:sz w:val="24"/>
          <w:szCs w:val="24"/>
        </w:rPr>
        <w:t>4.</w:t>
      </w:r>
      <w:r w:rsidR="000453CF" w:rsidRPr="007D3BC4">
        <w:rPr>
          <w:rFonts w:ascii="Times New Roman" w:hAnsi="Times New Roman" w:cs="Times New Roman"/>
          <w:b/>
          <w:bCs/>
          <w:sz w:val="24"/>
          <w:szCs w:val="24"/>
        </w:rPr>
        <w:t>SMEs and Türkiye-EU Relations</w:t>
      </w:r>
    </w:p>
    <w:p w14:paraId="754126FB" w14:textId="77777777" w:rsidR="00EE1712" w:rsidRDefault="002527D5" w:rsidP="00EE1712">
      <w:pPr>
        <w:jc w:val="both"/>
        <w:rPr>
          <w:rFonts w:ascii="Times New Roman" w:hAnsi="Times New Roman" w:cs="Times New Roman"/>
          <w:sz w:val="24"/>
          <w:szCs w:val="24"/>
        </w:rPr>
      </w:pPr>
      <w:r>
        <w:rPr>
          <w:rFonts w:ascii="Times New Roman" w:hAnsi="Times New Roman" w:cs="Times New Roman"/>
          <w:sz w:val="24"/>
          <w:szCs w:val="24"/>
        </w:rPr>
        <w:t>Türkiye is a candidate country for the EU since 1999 and a Customs Union partner since 1996. While the EU is Türkiye’s primary trade partner, Türkiye is the 5th trade partner for the EU. In 2025, 43 % of türkiye’s exports were destined to the EU while 32 % of imports originated from the Union. Since 1995, value of Türkiye’s exports to the EU increased from 11 billion $ to 117 billion $</w:t>
      </w:r>
      <w:r w:rsidR="00957A30">
        <w:rPr>
          <w:rFonts w:ascii="Times New Roman" w:hAnsi="Times New Roman" w:cs="Times New Roman"/>
          <w:sz w:val="24"/>
          <w:szCs w:val="24"/>
        </w:rPr>
        <w:t xml:space="preserve"> while value of imports from the EU also increased from 15.5 billion $ to 116 billion $. The EU also continued to be a significant source of FDI flows with 70 % of  a total of 287 billion $ worth FDI inflows between 2003 and 2025 originating from EU countries. </w:t>
      </w:r>
      <w:r w:rsidR="00EE1712" w:rsidRPr="00067E4F">
        <w:rPr>
          <w:rFonts w:ascii="Times New Roman" w:hAnsi="Times New Roman" w:cs="Times New Roman"/>
          <w:sz w:val="24"/>
          <w:szCs w:val="24"/>
        </w:rPr>
        <w:t xml:space="preserve">The EU’s share of foreign value added integrated in Turkey’s final demand is 16%, according to the World Bank’s Turkey Economic Monitor (November 2025), drawing on OECD TiVA statistics (: </w:t>
      </w:r>
      <w:hyperlink r:id="rId8" w:history="1">
        <w:r w:rsidR="00EE1712" w:rsidRPr="00F77ADD">
          <w:rPr>
            <w:rStyle w:val="Hyperlink"/>
            <w:rFonts w:ascii="Times New Roman" w:hAnsi="Times New Roman" w:cs="Times New Roman"/>
            <w:sz w:val="24"/>
            <w:szCs w:val="24"/>
          </w:rPr>
          <w:t>https://world-economic.com/turkiye-as-a-regional-hub-logistics-investment-regimes-and-u-s-trade-policy-impacts.html</w:t>
        </w:r>
      </w:hyperlink>
    </w:p>
    <w:p w14:paraId="3575F27F" w14:textId="02C52982" w:rsidR="002527D5" w:rsidRDefault="002527D5" w:rsidP="00703C2D">
      <w:pPr>
        <w:jc w:val="both"/>
        <w:rPr>
          <w:rFonts w:ascii="Times New Roman" w:hAnsi="Times New Roman" w:cs="Times New Roman"/>
          <w:sz w:val="24"/>
          <w:szCs w:val="24"/>
        </w:rPr>
      </w:pPr>
    </w:p>
    <w:p w14:paraId="0BAFB3EB" w14:textId="3E3C5049" w:rsidR="00EE1712" w:rsidRDefault="00EE1712" w:rsidP="00703C2D">
      <w:pPr>
        <w:jc w:val="both"/>
        <w:rPr>
          <w:rFonts w:ascii="Times New Roman" w:hAnsi="Times New Roman" w:cs="Times New Roman"/>
          <w:sz w:val="24"/>
          <w:szCs w:val="24"/>
        </w:rPr>
      </w:pPr>
      <w:r w:rsidRPr="00E22D19">
        <w:rPr>
          <w:rFonts w:ascii="Times New Roman" w:hAnsi="Times New Roman" w:cs="Times New Roman"/>
          <w:sz w:val="24"/>
          <w:szCs w:val="24"/>
        </w:rPr>
        <w:t>The process of globalization, trade liberalization, and the increase in FDI have contributed to the restructuring of Türkiye’s production framework and industrial policies to align with GVCs. Türkiye’s total GVC participation has increased from 20.5 percent in 1995 to 38.7 percent in 2020, while participation in the manufacturing sector rose from 19.3 percent to 40.1 percent (Trade in Value Added (TiVA)-2023). This upward trend has been particularly driven by Türkiye’s export-oriented industrial policies, research and development incentives, international trade agreements, and investment support programs</w:t>
      </w:r>
      <w:r>
        <w:rPr>
          <w:rFonts w:ascii="Times New Roman" w:hAnsi="Times New Roman" w:cs="Times New Roman"/>
          <w:sz w:val="24"/>
          <w:szCs w:val="24"/>
        </w:rPr>
        <w:t>. (Özdamarlar, Wigley 2025).</w:t>
      </w:r>
    </w:p>
    <w:p w14:paraId="20051EF6" w14:textId="13A3BDA9" w:rsidR="000453CF" w:rsidRDefault="00E22D19" w:rsidP="00703C2D">
      <w:pPr>
        <w:jc w:val="both"/>
        <w:rPr>
          <w:rFonts w:ascii="Times New Roman" w:hAnsi="Times New Roman" w:cs="Times New Roman"/>
          <w:sz w:val="24"/>
          <w:szCs w:val="24"/>
        </w:rPr>
      </w:pPr>
      <w:r w:rsidRPr="008E0D9A">
        <w:rPr>
          <w:rFonts w:ascii="Times New Roman" w:hAnsi="Times New Roman" w:cs="Times New Roman"/>
          <w:sz w:val="24"/>
          <w:szCs w:val="24"/>
        </w:rPr>
        <w:t xml:space="preserve">Turkish SMEs </w:t>
      </w:r>
      <w:r w:rsidR="00957A30">
        <w:rPr>
          <w:rFonts w:ascii="Times New Roman" w:hAnsi="Times New Roman" w:cs="Times New Roman"/>
          <w:sz w:val="24"/>
          <w:szCs w:val="24"/>
        </w:rPr>
        <w:t xml:space="preserve">have been important actors in the CU relationship due to their role in manufacturing, transport, services and subcontracting processes. They </w:t>
      </w:r>
      <w:r w:rsidRPr="008E0D9A">
        <w:rPr>
          <w:rFonts w:ascii="Times New Roman" w:hAnsi="Times New Roman" w:cs="Times New Roman"/>
          <w:sz w:val="24"/>
          <w:szCs w:val="24"/>
        </w:rPr>
        <w:t>are deeply embedded in Global Value Chains</w:t>
      </w:r>
      <w:r w:rsidR="002527D5">
        <w:rPr>
          <w:rFonts w:ascii="Times New Roman" w:hAnsi="Times New Roman" w:cs="Times New Roman"/>
          <w:sz w:val="24"/>
          <w:szCs w:val="24"/>
        </w:rPr>
        <w:t xml:space="preserve"> </w:t>
      </w:r>
      <w:r w:rsidRPr="008E0D9A">
        <w:rPr>
          <w:rFonts w:ascii="Times New Roman" w:hAnsi="Times New Roman" w:cs="Times New Roman"/>
          <w:sz w:val="24"/>
          <w:szCs w:val="24"/>
        </w:rPr>
        <w:t xml:space="preserve">primarily as tier-1 and tier-2 suppliers in the automotive, textile/clothing, and electrical/machinery sectors. Their integration thrives on manufacturing capabilities and geographic proximity to </w:t>
      </w:r>
      <w:r w:rsidR="002527D5">
        <w:rPr>
          <w:rFonts w:ascii="Times New Roman" w:hAnsi="Times New Roman" w:cs="Times New Roman"/>
          <w:sz w:val="24"/>
          <w:szCs w:val="24"/>
        </w:rPr>
        <w:t>the EU</w:t>
      </w:r>
      <w:r w:rsidRPr="008E0D9A">
        <w:rPr>
          <w:rFonts w:ascii="Times New Roman" w:hAnsi="Times New Roman" w:cs="Times New Roman"/>
          <w:sz w:val="24"/>
          <w:szCs w:val="24"/>
        </w:rPr>
        <w:t>, though many remain stuck in low-value sub-contracting rather than capturing higher-value intellectual property or design</w:t>
      </w:r>
      <w:r w:rsidR="00067E4F" w:rsidRPr="008E0D9A">
        <w:rPr>
          <w:rFonts w:ascii="Times New Roman" w:hAnsi="Times New Roman" w:cs="Times New Roman"/>
          <w:sz w:val="24"/>
          <w:szCs w:val="24"/>
        </w:rPr>
        <w:t>.</w:t>
      </w:r>
    </w:p>
    <w:p w14:paraId="778EA01F" w14:textId="77777777" w:rsidR="002E0173" w:rsidRPr="002E0173" w:rsidRDefault="002E0173" w:rsidP="002E0173">
      <w:pPr>
        <w:jc w:val="both"/>
        <w:rPr>
          <w:rFonts w:ascii="Times New Roman" w:hAnsi="Times New Roman" w:cs="Times New Roman"/>
          <w:sz w:val="24"/>
          <w:szCs w:val="24"/>
        </w:rPr>
      </w:pPr>
      <w:r w:rsidRPr="002E0173">
        <w:rPr>
          <w:rFonts w:ascii="Times New Roman" w:hAnsi="Times New Roman" w:cs="Times New Roman"/>
          <w:sz w:val="24"/>
          <w:szCs w:val="24"/>
        </w:rPr>
        <w:t>The Customs Union between the European Union and Turkey provides tariff-free trade in industrial goods, creating both significant market access opportunities and increased global competitive pressure for SMEs. Success within this system depends on digitalization, compliance with standards, and the establishment of strong supply chains.</w:t>
      </w:r>
    </w:p>
    <w:p w14:paraId="164FE3F3" w14:textId="77777777" w:rsidR="002E0173" w:rsidRPr="002E0173" w:rsidRDefault="002E0173" w:rsidP="002E0173">
      <w:pPr>
        <w:jc w:val="both"/>
        <w:rPr>
          <w:rFonts w:ascii="Times New Roman" w:hAnsi="Times New Roman" w:cs="Times New Roman"/>
          <w:sz w:val="24"/>
          <w:szCs w:val="24"/>
        </w:rPr>
      </w:pPr>
      <w:r w:rsidRPr="002E0173">
        <w:rPr>
          <w:rFonts w:ascii="Times New Roman" w:hAnsi="Times New Roman" w:cs="Times New Roman"/>
          <w:sz w:val="24"/>
          <w:szCs w:val="24"/>
        </w:rPr>
        <w:t>The key dynamics of the Customs Union and the position of SMEs within this framework can be summarized as follows:</w:t>
      </w:r>
    </w:p>
    <w:p w14:paraId="11E8AF5B" w14:textId="77777777" w:rsidR="002E0173" w:rsidRPr="002E0173" w:rsidRDefault="002E0173" w:rsidP="002E0173">
      <w:pPr>
        <w:numPr>
          <w:ilvl w:val="0"/>
          <w:numId w:val="6"/>
        </w:numPr>
        <w:jc w:val="both"/>
        <w:rPr>
          <w:rFonts w:ascii="Times New Roman" w:hAnsi="Times New Roman" w:cs="Times New Roman"/>
          <w:sz w:val="24"/>
          <w:szCs w:val="24"/>
        </w:rPr>
      </w:pPr>
      <w:r w:rsidRPr="002E0173">
        <w:rPr>
          <w:rFonts w:ascii="Times New Roman" w:hAnsi="Times New Roman" w:cs="Times New Roman"/>
          <w:b/>
          <w:bCs/>
          <w:sz w:val="24"/>
          <w:szCs w:val="24"/>
        </w:rPr>
        <w:t>Easier Market Access:</w:t>
      </w:r>
      <w:r w:rsidRPr="002E0173">
        <w:rPr>
          <w:rFonts w:ascii="Times New Roman" w:hAnsi="Times New Roman" w:cs="Times New Roman"/>
          <w:sz w:val="24"/>
          <w:szCs w:val="24"/>
        </w:rPr>
        <w:t xml:space="preserve"> The elimination of customs duties and quotas on exports of industrial goods to EU countries reduces the cost of entering international markets for small businesses. </w:t>
      </w:r>
    </w:p>
    <w:p w14:paraId="269BF3E0" w14:textId="77777777" w:rsidR="002E0173" w:rsidRPr="002E0173" w:rsidRDefault="002E0173" w:rsidP="002E0173">
      <w:pPr>
        <w:numPr>
          <w:ilvl w:val="0"/>
          <w:numId w:val="6"/>
        </w:numPr>
        <w:jc w:val="both"/>
        <w:rPr>
          <w:rFonts w:ascii="Times New Roman" w:hAnsi="Times New Roman" w:cs="Times New Roman"/>
          <w:sz w:val="24"/>
          <w:szCs w:val="24"/>
        </w:rPr>
      </w:pPr>
      <w:r w:rsidRPr="002E0173">
        <w:rPr>
          <w:rFonts w:ascii="Times New Roman" w:hAnsi="Times New Roman" w:cs="Times New Roman"/>
          <w:b/>
          <w:bCs/>
          <w:sz w:val="24"/>
          <w:szCs w:val="24"/>
        </w:rPr>
        <w:lastRenderedPageBreak/>
        <w:t>Competitive Pressure:</w:t>
      </w:r>
      <w:r w:rsidRPr="002E0173">
        <w:rPr>
          <w:rFonts w:ascii="Times New Roman" w:hAnsi="Times New Roman" w:cs="Times New Roman"/>
          <w:sz w:val="24"/>
          <w:szCs w:val="24"/>
        </w:rPr>
        <w:t xml:space="preserve"> The removal of trade barriers for foreign products entering the Turkish market compels local SMEs to improve product quality and achieve greater cost efficiency. </w:t>
      </w:r>
    </w:p>
    <w:p w14:paraId="47E7AC98" w14:textId="77777777" w:rsidR="002E0173" w:rsidRPr="002E0173" w:rsidRDefault="002E0173" w:rsidP="002E0173">
      <w:pPr>
        <w:numPr>
          <w:ilvl w:val="0"/>
          <w:numId w:val="6"/>
        </w:numPr>
        <w:jc w:val="both"/>
        <w:rPr>
          <w:rFonts w:ascii="Times New Roman" w:hAnsi="Times New Roman" w:cs="Times New Roman"/>
          <w:sz w:val="24"/>
          <w:szCs w:val="24"/>
        </w:rPr>
      </w:pPr>
      <w:r w:rsidRPr="002E0173">
        <w:rPr>
          <w:rFonts w:ascii="Times New Roman" w:hAnsi="Times New Roman" w:cs="Times New Roman"/>
          <w:b/>
          <w:bCs/>
          <w:sz w:val="24"/>
          <w:szCs w:val="24"/>
        </w:rPr>
        <w:t>Regulations and Standards:</w:t>
      </w:r>
      <w:r w:rsidRPr="002E0173">
        <w:rPr>
          <w:rFonts w:ascii="Times New Roman" w:hAnsi="Times New Roman" w:cs="Times New Roman"/>
          <w:sz w:val="24"/>
          <w:szCs w:val="24"/>
        </w:rPr>
        <w:t xml:space="preserve"> Compliance with EU standards (such as CE marking) is mandatory for overcoming technical barriers to trade and accessing the EU market. </w:t>
      </w:r>
    </w:p>
    <w:p w14:paraId="1DD5235B" w14:textId="24866CF0" w:rsidR="002E0173" w:rsidRPr="002E0173" w:rsidRDefault="002E0173" w:rsidP="002E0173">
      <w:pPr>
        <w:jc w:val="both"/>
        <w:rPr>
          <w:rFonts w:ascii="Times New Roman" w:hAnsi="Times New Roman" w:cs="Times New Roman"/>
          <w:sz w:val="24"/>
          <w:szCs w:val="24"/>
        </w:rPr>
      </w:pPr>
      <w:r w:rsidRPr="002E0173">
        <w:rPr>
          <w:rFonts w:ascii="Times New Roman" w:hAnsi="Times New Roman" w:cs="Times New Roman"/>
          <w:b/>
          <w:bCs/>
          <w:sz w:val="24"/>
          <w:szCs w:val="24"/>
        </w:rPr>
        <w:t>Updating (Modernizing) the Customs Union</w:t>
      </w:r>
      <w:r w:rsidR="00251645">
        <w:rPr>
          <w:rFonts w:ascii="Times New Roman" w:hAnsi="Times New Roman" w:cs="Times New Roman"/>
          <w:b/>
          <w:bCs/>
          <w:sz w:val="24"/>
          <w:szCs w:val="24"/>
        </w:rPr>
        <w:t>. A Wider and Deeper Economic Integration</w:t>
      </w:r>
    </w:p>
    <w:p w14:paraId="14BA0F43" w14:textId="17A7BD75" w:rsidR="002E0173" w:rsidRPr="002E0173" w:rsidRDefault="003B2A14" w:rsidP="002E0173">
      <w:pPr>
        <w:jc w:val="both"/>
        <w:rPr>
          <w:rFonts w:ascii="Times New Roman" w:hAnsi="Times New Roman" w:cs="Times New Roman"/>
          <w:sz w:val="24"/>
          <w:szCs w:val="24"/>
        </w:rPr>
      </w:pPr>
      <w:r>
        <w:rPr>
          <w:rFonts w:ascii="Times New Roman" w:hAnsi="Times New Roman" w:cs="Times New Roman"/>
          <w:sz w:val="24"/>
          <w:szCs w:val="24"/>
        </w:rPr>
        <w:t xml:space="preserve">The Customs Union has been in need of a major revision and modernization since 2016. In 2016 </w:t>
      </w:r>
      <w:r w:rsidR="00827106">
        <w:rPr>
          <w:rFonts w:ascii="Times New Roman" w:hAnsi="Times New Roman" w:cs="Times New Roman"/>
          <w:sz w:val="24"/>
          <w:szCs w:val="24"/>
        </w:rPr>
        <w:t>t</w:t>
      </w:r>
      <w:r>
        <w:rPr>
          <w:rFonts w:ascii="Times New Roman" w:hAnsi="Times New Roman" w:cs="Times New Roman"/>
          <w:sz w:val="24"/>
          <w:szCs w:val="24"/>
        </w:rPr>
        <w:t xml:space="preserve">he European Commission asked for a mandate to start negotiations for a modernization of the Customs Union which has not been provided by the Council of the EU since then due to political disagreements and obstacles. However the need to modernize the Customs union is still on the agenda due to problems in the functionnig of the trade relationship and the need to upgrade it in line with current economic and commercial changes. </w:t>
      </w:r>
      <w:r w:rsidR="002E0173" w:rsidRPr="002E0173">
        <w:rPr>
          <w:rFonts w:ascii="Times New Roman" w:hAnsi="Times New Roman" w:cs="Times New Roman"/>
          <w:sz w:val="24"/>
          <w:szCs w:val="24"/>
        </w:rPr>
        <w:t>The current agreement primarily covers industrial goods</w:t>
      </w:r>
      <w:r>
        <w:rPr>
          <w:rFonts w:ascii="Times New Roman" w:hAnsi="Times New Roman" w:cs="Times New Roman"/>
          <w:sz w:val="24"/>
          <w:szCs w:val="24"/>
        </w:rPr>
        <w:t xml:space="preserve"> and the industrial component of processed agricultural products</w:t>
      </w:r>
      <w:r w:rsidR="002E0173" w:rsidRPr="002E0173">
        <w:rPr>
          <w:rFonts w:ascii="Times New Roman" w:hAnsi="Times New Roman" w:cs="Times New Roman"/>
          <w:sz w:val="24"/>
          <w:szCs w:val="24"/>
        </w:rPr>
        <w:t xml:space="preserve">. The modernization of the </w:t>
      </w:r>
      <w:r w:rsidR="00827106">
        <w:rPr>
          <w:rFonts w:ascii="Times New Roman" w:hAnsi="Times New Roman" w:cs="Times New Roman"/>
          <w:sz w:val="24"/>
          <w:szCs w:val="24"/>
        </w:rPr>
        <w:t>Customs Unino</w:t>
      </w:r>
      <w:r w:rsidR="002E0173" w:rsidRPr="002E0173">
        <w:rPr>
          <w:rFonts w:ascii="Times New Roman" w:hAnsi="Times New Roman" w:cs="Times New Roman"/>
          <w:sz w:val="24"/>
          <w:szCs w:val="24"/>
        </w:rPr>
        <w:t xml:space="preserve"> aims to extend its scope to include agriculture, public procurement, and services. This modernization process will require SMEs to integrate with EU standards in areas such as e-commerce, the European Green Deal, and digital transformation.</w:t>
      </w:r>
    </w:p>
    <w:p w14:paraId="5DF6A87F" w14:textId="77777777" w:rsidR="005417B5" w:rsidRDefault="00067E4F" w:rsidP="00067E4F">
      <w:pPr>
        <w:jc w:val="both"/>
        <w:rPr>
          <w:rFonts w:ascii="Times New Roman" w:hAnsi="Times New Roman" w:cs="Times New Roman"/>
          <w:sz w:val="24"/>
          <w:szCs w:val="24"/>
        </w:rPr>
      </w:pPr>
      <w:r w:rsidRPr="00067E4F">
        <w:rPr>
          <w:rFonts w:ascii="Times New Roman" w:hAnsi="Times New Roman" w:cs="Times New Roman"/>
          <w:sz w:val="24"/>
          <w:szCs w:val="24"/>
        </w:rPr>
        <w:t xml:space="preserve">The customs union, in effect since 1996, underpins this integration. It does not, however, cover services, agriculture, or public procurement — sectors accounting for more than half of Turkey’s GDP. Additionally, </w:t>
      </w:r>
      <w:r w:rsidR="005417B5">
        <w:rPr>
          <w:rFonts w:ascii="Times New Roman" w:hAnsi="Times New Roman" w:cs="Times New Roman"/>
          <w:sz w:val="24"/>
          <w:szCs w:val="24"/>
        </w:rPr>
        <w:t xml:space="preserve">there are limitations arising from trade irritants and protective practises. </w:t>
      </w:r>
    </w:p>
    <w:p w14:paraId="69F3E254" w14:textId="05B2C868" w:rsidR="005417B5" w:rsidRDefault="005417B5" w:rsidP="00067E4F">
      <w:pPr>
        <w:jc w:val="both"/>
        <w:rPr>
          <w:rFonts w:ascii="Times New Roman" w:hAnsi="Times New Roman" w:cs="Times New Roman"/>
          <w:sz w:val="24"/>
          <w:szCs w:val="24"/>
        </w:rPr>
      </w:pPr>
      <w:r w:rsidRPr="005417B5">
        <w:rPr>
          <w:rFonts w:ascii="Times New Roman" w:hAnsi="Times New Roman" w:cs="Times New Roman"/>
          <w:sz w:val="24"/>
          <w:szCs w:val="24"/>
        </w:rPr>
        <w:t>One of the main issues about the Customs Union stems from its asymmetric nature. Since Turkey is not an EU member, it cannot get involved in decision-making and policy-making procedures. However, Turkey must adopt and implement decisions related to the functioning of the Customs Union such as the common commercial policy and common external tariff of the EU. Moreover, bilateral trade relations of the EU have significantly increased through numerous extensive FTAs since the early 2000s, especially following the new trade policy the European Commission introduced in 2006 in response to a slowdown in the liberalisation of the multilateral trading rules within the World Trade Organisation (WTO)</w:t>
      </w:r>
      <w:r w:rsidR="00332F53">
        <w:rPr>
          <w:rFonts w:ascii="Times New Roman" w:hAnsi="Times New Roman" w:cs="Times New Roman"/>
          <w:sz w:val="24"/>
          <w:szCs w:val="24"/>
        </w:rPr>
        <w:t xml:space="preserve"> (Usta 2026)</w:t>
      </w:r>
    </w:p>
    <w:p w14:paraId="4CD7DD3B" w14:textId="00D5A7F8" w:rsidR="00067E4F" w:rsidRDefault="005417B5" w:rsidP="00067E4F">
      <w:pPr>
        <w:jc w:val="both"/>
        <w:rPr>
          <w:rFonts w:ascii="Times New Roman" w:hAnsi="Times New Roman" w:cs="Times New Roman"/>
          <w:sz w:val="24"/>
          <w:szCs w:val="24"/>
        </w:rPr>
      </w:pPr>
      <w:r w:rsidRPr="005417B5">
        <w:rPr>
          <w:rFonts w:ascii="Times New Roman" w:hAnsi="Times New Roman" w:cs="Times New Roman"/>
          <w:sz w:val="24"/>
          <w:szCs w:val="24"/>
        </w:rPr>
        <w:t>While, within the scope of free trade, goods from the third countries having FTA with the EU can have access to the Turkish market without customs duties or quota restrictions, Turkish goods can not benefit from the same privileges of those third country goods. Having trade agreements with the EU, third countries such as South Africa, Mexico, Algeria, Japan, and Vietnam are unwilling to have an equivalent FTA with Turkey since these countries can asymmetrically access the Turkish market via the EU. However, Turkey cannot reach these countries' markets freely because Turkey does not have an FTA with these countries as the EU does</w:t>
      </w:r>
      <w:r w:rsidR="00630C33">
        <w:rPr>
          <w:rFonts w:ascii="Times New Roman" w:hAnsi="Times New Roman" w:cs="Times New Roman"/>
          <w:sz w:val="24"/>
          <w:szCs w:val="24"/>
        </w:rPr>
        <w:t xml:space="preserve"> (Nas 2026)</w:t>
      </w:r>
    </w:p>
    <w:p w14:paraId="54098626" w14:textId="77525B33" w:rsidR="00E22D19" w:rsidRDefault="001B0404" w:rsidP="00703C2D">
      <w:pPr>
        <w:jc w:val="both"/>
        <w:rPr>
          <w:rFonts w:ascii="Times New Roman" w:hAnsi="Times New Roman" w:cs="Times New Roman"/>
          <w:sz w:val="24"/>
          <w:szCs w:val="24"/>
        </w:rPr>
      </w:pPr>
      <w:r>
        <w:rPr>
          <w:rFonts w:ascii="Times New Roman" w:hAnsi="Times New Roman" w:cs="Times New Roman"/>
          <w:sz w:val="24"/>
          <w:szCs w:val="24"/>
        </w:rPr>
        <w:t xml:space="preserve">Other problems that need to be resolved include transport quotas applied by EU Member states to Turkish trucks, </w:t>
      </w:r>
      <w:r w:rsidR="009924B0">
        <w:rPr>
          <w:rFonts w:ascii="Times New Roman" w:hAnsi="Times New Roman" w:cs="Times New Roman"/>
          <w:sz w:val="24"/>
          <w:szCs w:val="24"/>
        </w:rPr>
        <w:t xml:space="preserve">need for </w:t>
      </w:r>
      <w:r>
        <w:rPr>
          <w:rFonts w:ascii="Times New Roman" w:hAnsi="Times New Roman" w:cs="Times New Roman"/>
          <w:sz w:val="24"/>
          <w:szCs w:val="24"/>
        </w:rPr>
        <w:t>impr</w:t>
      </w:r>
      <w:r w:rsidR="009924B0">
        <w:rPr>
          <w:rFonts w:ascii="Times New Roman" w:hAnsi="Times New Roman" w:cs="Times New Roman"/>
          <w:sz w:val="24"/>
          <w:szCs w:val="24"/>
        </w:rPr>
        <w:t>o</w:t>
      </w:r>
      <w:r>
        <w:rPr>
          <w:rFonts w:ascii="Times New Roman" w:hAnsi="Times New Roman" w:cs="Times New Roman"/>
          <w:sz w:val="24"/>
          <w:szCs w:val="24"/>
        </w:rPr>
        <w:t xml:space="preserve">ved consultation and dispute settlement mechanisms and relief of trade irritants that hinder the proper functioning of the Customs Union. An upgraded Customs Union will also benefit SME’s since it will expand the basis of trade and investment relations and imporve competitveness of SMEs in the EU market. </w:t>
      </w:r>
    </w:p>
    <w:p w14:paraId="1F850803" w14:textId="046DE62E" w:rsidR="00D828FC" w:rsidRDefault="00D828FC" w:rsidP="00703C2D">
      <w:pPr>
        <w:jc w:val="both"/>
        <w:rPr>
          <w:rFonts w:ascii="Times New Roman" w:hAnsi="Times New Roman" w:cs="Times New Roman"/>
          <w:sz w:val="24"/>
          <w:szCs w:val="24"/>
        </w:rPr>
      </w:pPr>
      <w:r w:rsidRPr="00D828FC">
        <w:rPr>
          <w:rFonts w:ascii="Times New Roman" w:hAnsi="Times New Roman" w:cs="Times New Roman"/>
          <w:sz w:val="24"/>
          <w:szCs w:val="24"/>
        </w:rPr>
        <w:lastRenderedPageBreak/>
        <w:t xml:space="preserve">The upgrading of the customs union would bring about multiple benefits for Turkey-EU relations by integrating the Turkish economy </w:t>
      </w:r>
      <w:r>
        <w:rPr>
          <w:rFonts w:ascii="Times New Roman" w:hAnsi="Times New Roman" w:cs="Times New Roman"/>
          <w:sz w:val="24"/>
          <w:szCs w:val="24"/>
        </w:rPr>
        <w:t xml:space="preserve">further </w:t>
      </w:r>
      <w:r w:rsidRPr="00D828FC">
        <w:rPr>
          <w:rFonts w:ascii="Times New Roman" w:hAnsi="Times New Roman" w:cs="Times New Roman"/>
          <w:sz w:val="24"/>
          <w:szCs w:val="24"/>
        </w:rPr>
        <w:t xml:space="preserve">into the Single Market, stepping up legislative harmonization and accelerating relations towards a common goal. Without a modernization process, it would be more and more difficult to continue the customs union relationship due to the design flaws and problems encountered in its functioning. Hence, a revision and upgrading of the customs union would improve the situation by resolving problems outlined above. In addition to its revision, its expansion to include new sectors such as services, agriculture and public procurement </w:t>
      </w:r>
      <w:r>
        <w:rPr>
          <w:rFonts w:ascii="Times New Roman" w:hAnsi="Times New Roman" w:cs="Times New Roman"/>
          <w:sz w:val="24"/>
          <w:szCs w:val="24"/>
        </w:rPr>
        <w:t xml:space="preserve">-an area which has become a focal point due to the industrial accelerator act and Made in Europe approach- </w:t>
      </w:r>
      <w:r w:rsidRPr="00D828FC">
        <w:rPr>
          <w:rFonts w:ascii="Times New Roman" w:hAnsi="Times New Roman" w:cs="Times New Roman"/>
          <w:sz w:val="24"/>
          <w:szCs w:val="24"/>
        </w:rPr>
        <w:t xml:space="preserve">is expected to reap the potential of the Association Agreement and bring further dynamism to the bilateral trade relationship. </w:t>
      </w:r>
      <w:r>
        <w:rPr>
          <w:rFonts w:ascii="Times New Roman" w:hAnsi="Times New Roman" w:cs="Times New Roman"/>
          <w:sz w:val="24"/>
          <w:szCs w:val="24"/>
        </w:rPr>
        <w:t xml:space="preserve">The adaptation of the Customs Union to the green, digital and competitiveness agendas of the EU necessitate further aligment in terms of sustainability and climate goals, digitalization and regulatory harmonization. </w:t>
      </w:r>
      <w:r w:rsidRPr="00D828FC">
        <w:rPr>
          <w:rFonts w:ascii="Times New Roman" w:hAnsi="Times New Roman" w:cs="Times New Roman"/>
          <w:sz w:val="24"/>
          <w:szCs w:val="24"/>
        </w:rPr>
        <w:t>A successful overhaul and modernization of the customs union also promises to recalibrate Turkey’s alignment to the EU acquis, and improve adaptation to EU standard and norms in related policy areas.</w:t>
      </w:r>
    </w:p>
    <w:p w14:paraId="664CF415" w14:textId="4F5297A0" w:rsidR="001B0404" w:rsidRPr="00123AE0" w:rsidRDefault="001B0404" w:rsidP="00703C2D">
      <w:pPr>
        <w:jc w:val="both"/>
        <w:rPr>
          <w:rFonts w:ascii="Times New Roman" w:hAnsi="Times New Roman" w:cs="Times New Roman"/>
          <w:b/>
          <w:bCs/>
          <w:sz w:val="24"/>
          <w:szCs w:val="24"/>
        </w:rPr>
      </w:pPr>
      <w:r w:rsidRPr="00123AE0">
        <w:rPr>
          <w:rFonts w:ascii="Times New Roman" w:hAnsi="Times New Roman" w:cs="Times New Roman"/>
          <w:b/>
          <w:bCs/>
          <w:sz w:val="24"/>
          <w:szCs w:val="24"/>
        </w:rPr>
        <w:t>Visa as a Barrier to Business Relations</w:t>
      </w:r>
    </w:p>
    <w:p w14:paraId="78FA0898" w14:textId="1B57F844" w:rsidR="00251645" w:rsidRPr="00251645" w:rsidRDefault="00D828FC" w:rsidP="00251645">
      <w:pPr>
        <w:jc w:val="both"/>
        <w:rPr>
          <w:rFonts w:ascii="Times New Roman" w:hAnsi="Times New Roman" w:cs="Times New Roman"/>
          <w:sz w:val="24"/>
          <w:szCs w:val="24"/>
        </w:rPr>
      </w:pPr>
      <w:r w:rsidRPr="00251645">
        <w:rPr>
          <w:rFonts w:ascii="Times New Roman" w:hAnsi="Times New Roman" w:cs="Times New Roman"/>
          <w:sz w:val="24"/>
          <w:szCs w:val="24"/>
        </w:rPr>
        <w:t xml:space="preserve">The last issue which also creates problems in people-to-people contact is the visa issue. </w:t>
      </w:r>
      <w:r w:rsidR="00251645" w:rsidRPr="00251645">
        <w:rPr>
          <w:rFonts w:ascii="Times New Roman" w:hAnsi="Times New Roman" w:cs="Times New Roman"/>
          <w:sz w:val="24"/>
          <w:szCs w:val="24"/>
        </w:rPr>
        <w:t xml:space="preserve">According to 2025 data, </w:t>
      </w:r>
      <w:r w:rsidR="00A6503B">
        <w:rPr>
          <w:rFonts w:ascii="Times New Roman" w:hAnsi="Times New Roman" w:cs="Times New Roman"/>
          <w:sz w:val="24"/>
          <w:szCs w:val="24"/>
        </w:rPr>
        <w:t xml:space="preserve">Türkiye followed China </w:t>
      </w:r>
      <w:r w:rsidR="00251645" w:rsidRPr="00251645">
        <w:rPr>
          <w:rFonts w:ascii="Times New Roman" w:hAnsi="Times New Roman" w:cs="Times New Roman"/>
          <w:sz w:val="24"/>
          <w:szCs w:val="24"/>
        </w:rPr>
        <w:t xml:space="preserve">with approximately 1.25 million </w:t>
      </w:r>
      <w:r w:rsidR="00A6503B">
        <w:rPr>
          <w:rFonts w:ascii="Times New Roman" w:hAnsi="Times New Roman" w:cs="Times New Roman"/>
          <w:sz w:val="24"/>
          <w:szCs w:val="24"/>
        </w:rPr>
        <w:t xml:space="preserve">Schengen visa </w:t>
      </w:r>
      <w:r w:rsidR="00251645" w:rsidRPr="00251645">
        <w:rPr>
          <w:rFonts w:ascii="Times New Roman" w:hAnsi="Times New Roman" w:cs="Times New Roman"/>
          <w:sz w:val="24"/>
          <w:szCs w:val="24"/>
        </w:rPr>
        <w:t>applications, while India ranked third with 1.15 million applications. However, when these figures are adjusted for population size, a very interesting picture emerges.</w:t>
      </w:r>
      <w:r w:rsidR="00A6503B">
        <w:rPr>
          <w:rFonts w:ascii="Times New Roman" w:hAnsi="Times New Roman" w:cs="Times New Roman"/>
          <w:sz w:val="24"/>
          <w:szCs w:val="24"/>
        </w:rPr>
        <w:t xml:space="preserve"> </w:t>
      </w:r>
      <w:r w:rsidR="00251645" w:rsidRPr="00251645">
        <w:rPr>
          <w:rFonts w:ascii="Times New Roman" w:hAnsi="Times New Roman" w:cs="Times New Roman"/>
          <w:sz w:val="24"/>
          <w:szCs w:val="24"/>
        </w:rPr>
        <w:t>The frequency of visa applications relative to population in Turkey was 11.5 times higher than in China and a striking 19 times higher than in India, which ranked third in total applications.</w:t>
      </w:r>
    </w:p>
    <w:p w14:paraId="5012D442" w14:textId="7552652F" w:rsidR="00251645" w:rsidRPr="00251645" w:rsidRDefault="00251645" w:rsidP="00251645">
      <w:pPr>
        <w:jc w:val="both"/>
        <w:rPr>
          <w:rFonts w:ascii="Times New Roman" w:hAnsi="Times New Roman" w:cs="Times New Roman"/>
          <w:sz w:val="24"/>
          <w:szCs w:val="24"/>
        </w:rPr>
      </w:pPr>
      <w:r w:rsidRPr="00251645">
        <w:rPr>
          <w:rFonts w:ascii="Times New Roman" w:hAnsi="Times New Roman" w:cs="Times New Roman"/>
          <w:sz w:val="24"/>
          <w:szCs w:val="24"/>
        </w:rPr>
        <w:t xml:space="preserve">Considering that Turkey is an EU candidate country, a Customs Union partner, and geographically and culturally close to </w:t>
      </w:r>
      <w:r w:rsidR="00A6503B">
        <w:rPr>
          <w:rFonts w:ascii="Times New Roman" w:hAnsi="Times New Roman" w:cs="Times New Roman"/>
          <w:sz w:val="24"/>
          <w:szCs w:val="24"/>
        </w:rPr>
        <w:t>the EU,</w:t>
      </w:r>
      <w:r w:rsidRPr="00251645">
        <w:rPr>
          <w:rFonts w:ascii="Times New Roman" w:hAnsi="Times New Roman" w:cs="Times New Roman"/>
          <w:sz w:val="24"/>
          <w:szCs w:val="24"/>
        </w:rPr>
        <w:t xml:space="preserve"> the high demand for visas is entirely natural. In fact, travel by Turkish citizens to the EU for tourism, education, or business purposes is something that EU countries should encourage. Yet, on the contrary, we are witnessing increasing difficulties and grievances in visa application procedures.</w:t>
      </w:r>
    </w:p>
    <w:p w14:paraId="7D65C5A2" w14:textId="00BD1221" w:rsidR="00251645" w:rsidRPr="00251645" w:rsidRDefault="00251645" w:rsidP="00251645">
      <w:pPr>
        <w:jc w:val="both"/>
        <w:rPr>
          <w:rFonts w:ascii="Times New Roman" w:hAnsi="Times New Roman" w:cs="Times New Roman"/>
          <w:sz w:val="24"/>
          <w:szCs w:val="24"/>
        </w:rPr>
      </w:pPr>
      <w:r w:rsidRPr="00251645">
        <w:rPr>
          <w:rFonts w:ascii="Times New Roman" w:hAnsi="Times New Roman" w:cs="Times New Roman"/>
          <w:sz w:val="24"/>
          <w:szCs w:val="24"/>
        </w:rPr>
        <w:t xml:space="preserve">Recent complaints particularly point to difficulties in securing visa appointments and allegations that appointments are being sold by bots and intermediaries at prices far exceeding the standard fee of €90. There are also significant complaints from applicants who receive no response for extended periods, miss </w:t>
      </w:r>
      <w:r w:rsidR="00A6503B">
        <w:rPr>
          <w:rFonts w:ascii="Times New Roman" w:hAnsi="Times New Roman" w:cs="Times New Roman"/>
          <w:sz w:val="24"/>
          <w:szCs w:val="24"/>
        </w:rPr>
        <w:t xml:space="preserve">business meetings or busines fairs </w:t>
      </w:r>
      <w:r w:rsidRPr="00251645">
        <w:rPr>
          <w:rFonts w:ascii="Times New Roman" w:hAnsi="Times New Roman" w:cs="Times New Roman"/>
          <w:sz w:val="24"/>
          <w:szCs w:val="24"/>
        </w:rPr>
        <w:t>they were invited to attend, or face visa rejections despite having legitimate grounds for travel.</w:t>
      </w:r>
    </w:p>
    <w:p w14:paraId="445BDA01" w14:textId="2B414E38" w:rsidR="00251645" w:rsidRPr="00251645" w:rsidRDefault="00251645" w:rsidP="00251645">
      <w:pPr>
        <w:jc w:val="both"/>
        <w:rPr>
          <w:rFonts w:ascii="Times New Roman" w:hAnsi="Times New Roman" w:cs="Times New Roman"/>
          <w:sz w:val="24"/>
          <w:szCs w:val="24"/>
        </w:rPr>
      </w:pPr>
      <w:r w:rsidRPr="00251645">
        <w:rPr>
          <w:rFonts w:ascii="Times New Roman" w:hAnsi="Times New Roman" w:cs="Times New Roman"/>
          <w:sz w:val="24"/>
          <w:szCs w:val="24"/>
        </w:rPr>
        <w:t xml:space="preserve">Looking at rejection rates, out of 1.25 million applications from Turkey, 1.07 million visas were issued. This translates into a rejection rate of approximately 14.6% for Turkey. Although there was no significant increase in visa </w:t>
      </w:r>
      <w:r w:rsidR="00A6503B">
        <w:rPr>
          <w:rFonts w:ascii="Times New Roman" w:hAnsi="Times New Roman" w:cs="Times New Roman"/>
          <w:sz w:val="24"/>
          <w:szCs w:val="24"/>
        </w:rPr>
        <w:t>rejection rate</w:t>
      </w:r>
      <w:r w:rsidRPr="00251645">
        <w:rPr>
          <w:rFonts w:ascii="Times New Roman" w:hAnsi="Times New Roman" w:cs="Times New Roman"/>
          <w:sz w:val="24"/>
          <w:szCs w:val="24"/>
        </w:rPr>
        <w:t xml:space="preserve"> compared to the previous year, it is worth remembering that the rejection rate was much lower—only 4.4%—ten years ago. Rejections may result from incomplete documentation, but they can also stem from inadequate guidance by intermediary agencies. Furthermore, some of the requested documents, particularly in the case of businesspeople, appear to conflict with the principle of personal data privacy.</w:t>
      </w:r>
    </w:p>
    <w:p w14:paraId="12C71F79" w14:textId="0B6FB953" w:rsidR="00251645" w:rsidRPr="00251645" w:rsidRDefault="00251645" w:rsidP="00251645">
      <w:pPr>
        <w:jc w:val="both"/>
        <w:rPr>
          <w:rFonts w:ascii="Times New Roman" w:hAnsi="Times New Roman" w:cs="Times New Roman"/>
          <w:sz w:val="24"/>
          <w:szCs w:val="24"/>
        </w:rPr>
      </w:pPr>
      <w:r w:rsidRPr="00251645">
        <w:rPr>
          <w:rFonts w:ascii="Times New Roman" w:hAnsi="Times New Roman" w:cs="Times New Roman"/>
          <w:sz w:val="24"/>
          <w:szCs w:val="24"/>
        </w:rPr>
        <w:t xml:space="preserve">Under the Schengen Cascade system, visa validity periods now increase progressively with each application and can extend up to five years. However, granting visas of up to ten years to frequent travelers who have consistently complied with visa rules and regularly visit the </w:t>
      </w:r>
      <w:r w:rsidRPr="00251645">
        <w:rPr>
          <w:rFonts w:ascii="Times New Roman" w:hAnsi="Times New Roman" w:cs="Times New Roman"/>
          <w:sz w:val="24"/>
          <w:szCs w:val="24"/>
        </w:rPr>
        <w:lastRenderedPageBreak/>
        <w:t xml:space="preserve">Schengen area for </w:t>
      </w:r>
      <w:r w:rsidR="00A6503B">
        <w:rPr>
          <w:rFonts w:ascii="Times New Roman" w:hAnsi="Times New Roman" w:cs="Times New Roman"/>
          <w:sz w:val="24"/>
          <w:szCs w:val="24"/>
        </w:rPr>
        <w:t xml:space="preserve">especially </w:t>
      </w:r>
      <w:r w:rsidRPr="00251645">
        <w:rPr>
          <w:rFonts w:ascii="Times New Roman" w:hAnsi="Times New Roman" w:cs="Times New Roman"/>
          <w:sz w:val="24"/>
          <w:szCs w:val="24"/>
        </w:rPr>
        <w:t>business</w:t>
      </w:r>
      <w:r w:rsidR="00A6503B">
        <w:rPr>
          <w:rFonts w:ascii="Times New Roman" w:hAnsi="Times New Roman" w:cs="Times New Roman"/>
          <w:sz w:val="24"/>
          <w:szCs w:val="24"/>
        </w:rPr>
        <w:t xml:space="preserve"> </w:t>
      </w:r>
      <w:r w:rsidRPr="00251645">
        <w:rPr>
          <w:rFonts w:ascii="Times New Roman" w:hAnsi="Times New Roman" w:cs="Times New Roman"/>
          <w:sz w:val="24"/>
          <w:szCs w:val="24"/>
        </w:rPr>
        <w:t>purposes would also help reduce excessive congestion in visa processing.</w:t>
      </w:r>
      <w:r w:rsidR="00A6503B">
        <w:rPr>
          <w:rFonts w:ascii="Times New Roman" w:hAnsi="Times New Roman" w:cs="Times New Roman"/>
          <w:sz w:val="24"/>
          <w:szCs w:val="24"/>
        </w:rPr>
        <w:t xml:space="preserve"> </w:t>
      </w:r>
    </w:p>
    <w:p w14:paraId="6C53F309" w14:textId="328E1C0A" w:rsidR="00251645" w:rsidRPr="00251645" w:rsidRDefault="00251645" w:rsidP="00251645">
      <w:pPr>
        <w:jc w:val="both"/>
        <w:rPr>
          <w:rFonts w:ascii="Times New Roman" w:hAnsi="Times New Roman" w:cs="Times New Roman"/>
          <w:sz w:val="24"/>
          <w:szCs w:val="24"/>
        </w:rPr>
      </w:pPr>
      <w:r w:rsidRPr="00251645">
        <w:rPr>
          <w:rFonts w:ascii="Times New Roman" w:hAnsi="Times New Roman" w:cs="Times New Roman"/>
          <w:sz w:val="24"/>
          <w:szCs w:val="24"/>
        </w:rPr>
        <w:t>Based on the standard visa application fee of €90, calculations show that Turkish applicants pay approximately €115 million annually in visa fees alone. Assuming application numbers remain constant at 2025 levels, this amount would reach €1.15 billion over a ten-year period. Moreover, the actual costs are considerably higher. Payments to intermediaries for securing appointments, VIP services intended to accelerate the process, fees for obtaining required documents from banks or notaries, and additional service charges paid to intermediary agencies suggest that the real economic burden is at least twice as high.</w:t>
      </w:r>
      <w:r w:rsidR="00A6503B">
        <w:rPr>
          <w:rFonts w:ascii="Times New Roman" w:hAnsi="Times New Roman" w:cs="Times New Roman"/>
          <w:sz w:val="24"/>
          <w:szCs w:val="24"/>
        </w:rPr>
        <w:t xml:space="preserve"> Especially for SMEs who wish to conduct businees with their EU counterparts the visa fees constitute an extra burden in addition to the lenghthy and cumbersome visa application process. </w:t>
      </w:r>
    </w:p>
    <w:p w14:paraId="6197C4D9" w14:textId="77777777" w:rsidR="00251645" w:rsidRPr="00251645" w:rsidRDefault="00251645" w:rsidP="00251645">
      <w:pPr>
        <w:jc w:val="both"/>
        <w:rPr>
          <w:rFonts w:ascii="Times New Roman" w:hAnsi="Times New Roman" w:cs="Times New Roman"/>
          <w:sz w:val="24"/>
          <w:szCs w:val="24"/>
        </w:rPr>
      </w:pPr>
      <w:r w:rsidRPr="00251645">
        <w:rPr>
          <w:rFonts w:ascii="Times New Roman" w:hAnsi="Times New Roman" w:cs="Times New Roman"/>
          <w:sz w:val="24"/>
          <w:szCs w:val="24"/>
        </w:rPr>
        <w:t>Turkey has been engaged in a visa liberalisation process with the EU since 2013—a process that remains incomplete after 13 years. Of the 72 benchmarks set by the EU, Turkey has fulfilled 66 but has yet to complete the remaining six. Finalising this process should be a priority.</w:t>
      </w:r>
    </w:p>
    <w:p w14:paraId="53756665" w14:textId="10D6766A" w:rsidR="001B0404" w:rsidRDefault="00251645" w:rsidP="00703C2D">
      <w:pPr>
        <w:jc w:val="both"/>
        <w:rPr>
          <w:rFonts w:ascii="Times New Roman" w:hAnsi="Times New Roman" w:cs="Times New Roman"/>
          <w:sz w:val="24"/>
          <w:szCs w:val="24"/>
        </w:rPr>
      </w:pPr>
      <w:r w:rsidRPr="00251645">
        <w:rPr>
          <w:rFonts w:ascii="Times New Roman" w:hAnsi="Times New Roman" w:cs="Times New Roman"/>
          <w:sz w:val="24"/>
          <w:szCs w:val="24"/>
        </w:rPr>
        <w:t>As an EU candidate country that directs 43% of its exports to the EU and participates in EU programmes such as Erasmus and Horizon, Turkey should achieve visa liberalisation in order to prevent the grievances experienced by its citizens and to benefit more effectively from the rights and opportunities available within the EU.</w:t>
      </w:r>
    </w:p>
    <w:p w14:paraId="36D8EA08" w14:textId="5A746635" w:rsidR="0053601D" w:rsidRPr="00A6503B" w:rsidRDefault="00A6503B" w:rsidP="00703C2D">
      <w:pPr>
        <w:jc w:val="both"/>
        <w:rPr>
          <w:rFonts w:ascii="Times New Roman" w:hAnsi="Times New Roman" w:cs="Times New Roman"/>
          <w:b/>
          <w:bCs/>
          <w:sz w:val="24"/>
          <w:szCs w:val="24"/>
        </w:rPr>
      </w:pPr>
      <w:r w:rsidRPr="00A6503B">
        <w:rPr>
          <w:rFonts w:ascii="Times New Roman" w:hAnsi="Times New Roman" w:cs="Times New Roman"/>
          <w:b/>
          <w:bCs/>
          <w:sz w:val="24"/>
          <w:szCs w:val="24"/>
        </w:rPr>
        <w:t>5.</w:t>
      </w:r>
      <w:r w:rsidR="0053601D" w:rsidRPr="00A6503B">
        <w:rPr>
          <w:rFonts w:ascii="Times New Roman" w:hAnsi="Times New Roman" w:cs="Times New Roman"/>
          <w:b/>
          <w:bCs/>
          <w:sz w:val="24"/>
          <w:szCs w:val="24"/>
        </w:rPr>
        <w:t>Policy Recommendations</w:t>
      </w:r>
    </w:p>
    <w:p w14:paraId="763E029F" w14:textId="77777777" w:rsidR="00123AE0" w:rsidRPr="00123AE0" w:rsidRDefault="00123AE0" w:rsidP="00123AE0">
      <w:pPr>
        <w:jc w:val="both"/>
        <w:rPr>
          <w:rFonts w:ascii="Times New Roman" w:hAnsi="Times New Roman" w:cs="Times New Roman"/>
          <w:sz w:val="24"/>
          <w:szCs w:val="24"/>
        </w:rPr>
      </w:pPr>
      <w:r w:rsidRPr="00123AE0">
        <w:rPr>
          <w:rFonts w:ascii="Times New Roman" w:hAnsi="Times New Roman" w:cs="Times New Roman"/>
          <w:sz w:val="24"/>
          <w:szCs w:val="24"/>
        </w:rPr>
        <w:t>Policymakers need to modernise SME policy frameworks so they can tackle long-standing structural weaknesses while helping firms cope with growing uncertainty and the demands of the digital and green transitions. Key priorities include:</w:t>
      </w:r>
    </w:p>
    <w:p w14:paraId="43F772EA" w14:textId="77777777" w:rsidR="00123AE0" w:rsidRPr="00123AE0" w:rsidRDefault="00123AE0" w:rsidP="00123AE0">
      <w:pPr>
        <w:numPr>
          <w:ilvl w:val="0"/>
          <w:numId w:val="7"/>
        </w:numPr>
        <w:jc w:val="both"/>
        <w:rPr>
          <w:rFonts w:ascii="Times New Roman" w:hAnsi="Times New Roman" w:cs="Times New Roman"/>
          <w:sz w:val="24"/>
          <w:szCs w:val="24"/>
        </w:rPr>
      </w:pPr>
      <w:r w:rsidRPr="00123AE0">
        <w:rPr>
          <w:rFonts w:ascii="Times New Roman" w:hAnsi="Times New Roman" w:cs="Times New Roman"/>
          <w:b/>
          <w:bCs/>
          <w:sz w:val="24"/>
          <w:szCs w:val="24"/>
        </w:rPr>
        <w:t>Integrating resilience and foresight into SME policies.</w:t>
      </w:r>
      <w:r w:rsidRPr="00123AE0">
        <w:rPr>
          <w:rFonts w:ascii="Times New Roman" w:hAnsi="Times New Roman" w:cs="Times New Roman"/>
          <w:sz w:val="24"/>
          <w:szCs w:val="24"/>
        </w:rPr>
        <w:t xml:space="preserve"> Policy approaches should move beyond reactive assistance and adopt preventive strategies that strengthen firms’ ability to withstand shocks. This entails greater use of data analytics, early warning systems, and robust second-chance mechanisms for businesses in difficulty. </w:t>
      </w:r>
    </w:p>
    <w:p w14:paraId="07005D3E" w14:textId="77777777" w:rsidR="00123AE0" w:rsidRPr="00123AE0" w:rsidRDefault="00123AE0" w:rsidP="00123AE0">
      <w:pPr>
        <w:numPr>
          <w:ilvl w:val="0"/>
          <w:numId w:val="7"/>
        </w:numPr>
        <w:jc w:val="both"/>
        <w:rPr>
          <w:rFonts w:ascii="Times New Roman" w:hAnsi="Times New Roman" w:cs="Times New Roman"/>
          <w:sz w:val="24"/>
          <w:szCs w:val="24"/>
        </w:rPr>
      </w:pPr>
      <w:r w:rsidRPr="00123AE0">
        <w:rPr>
          <w:rFonts w:ascii="Times New Roman" w:hAnsi="Times New Roman" w:cs="Times New Roman"/>
          <w:b/>
          <w:bCs/>
          <w:sz w:val="24"/>
          <w:szCs w:val="24"/>
        </w:rPr>
        <w:t>Broadening access to finance for investment and growth.</w:t>
      </w:r>
      <w:r w:rsidRPr="00123AE0">
        <w:rPr>
          <w:rFonts w:ascii="Times New Roman" w:hAnsi="Times New Roman" w:cs="Times New Roman"/>
          <w:sz w:val="24"/>
          <w:szCs w:val="24"/>
        </w:rPr>
        <w:t xml:space="preserve"> Efforts should focus on expanding and improving risk-sharing mechanisms while addressing persistent barriers in SME lending. In parallel, policymakers should promote alternative financing channels to support business upgrading and reduce excessive dependence on bank loans. </w:t>
      </w:r>
    </w:p>
    <w:p w14:paraId="3405CC05" w14:textId="3F6C25DF" w:rsidR="00123AE0" w:rsidRPr="00C35037" w:rsidRDefault="00123AE0" w:rsidP="00C35037">
      <w:pPr>
        <w:numPr>
          <w:ilvl w:val="0"/>
          <w:numId w:val="7"/>
        </w:numPr>
        <w:jc w:val="both"/>
        <w:rPr>
          <w:rFonts w:ascii="Times New Roman" w:hAnsi="Times New Roman" w:cs="Times New Roman"/>
          <w:sz w:val="24"/>
          <w:szCs w:val="24"/>
        </w:rPr>
      </w:pPr>
      <w:r w:rsidRPr="00123AE0">
        <w:rPr>
          <w:rFonts w:ascii="Times New Roman" w:hAnsi="Times New Roman" w:cs="Times New Roman"/>
          <w:b/>
          <w:bCs/>
          <w:sz w:val="24"/>
          <w:szCs w:val="24"/>
        </w:rPr>
        <w:t>Addressing skills shortages to enhance competitiveness.</w:t>
      </w:r>
      <w:r w:rsidRPr="00123AE0">
        <w:rPr>
          <w:rFonts w:ascii="Times New Roman" w:hAnsi="Times New Roman" w:cs="Times New Roman"/>
          <w:sz w:val="24"/>
          <w:szCs w:val="24"/>
        </w:rPr>
        <w:t xml:space="preserve"> Better alignment between education and training systems and SME needs is essential, alongside greater support for vocational training, lifelong learning, and capability-building in areas related to the digital and green transitions. </w:t>
      </w:r>
      <w:r w:rsidR="00C35037">
        <w:rPr>
          <w:rFonts w:ascii="Times New Roman" w:hAnsi="Times New Roman" w:cs="Times New Roman"/>
          <w:sz w:val="24"/>
          <w:szCs w:val="24"/>
        </w:rPr>
        <w:t xml:space="preserve">Enabling decent work conditions in a macroeconomic environment challenged by high rates of inflation and high cost of </w:t>
      </w:r>
      <w:r w:rsidR="00C35037" w:rsidRPr="00C35037">
        <w:rPr>
          <w:rFonts w:ascii="Times New Roman" w:hAnsi="Times New Roman" w:cs="Times New Roman"/>
          <w:sz w:val="24"/>
          <w:szCs w:val="24"/>
        </w:rPr>
        <w:t xml:space="preserve">living while SMEs aim to keep costs down and raise competitiveness is a major conundrum. Support to SMEs regarding social security costs and vocational training may be contemplated in order to contribute to registered employment as opposed to irregular employment. </w:t>
      </w:r>
      <w:r w:rsidR="00C35037" w:rsidRPr="00C35037">
        <w:rPr>
          <w:rFonts w:ascii="Times New Roman" w:hAnsi="Times New Roman" w:cs="Times New Roman"/>
          <w:sz w:val="24"/>
          <w:szCs w:val="24"/>
        </w:rPr>
        <w:t>Vocational Education Centers (MESEM) are part of Türkiye’s vocational and technical education system in which students combine formal schooling with on-the-job training in workplaces. The program is run by the Ministry of National Education.</w:t>
      </w:r>
      <w:r w:rsidR="00C35037">
        <w:rPr>
          <w:rFonts w:ascii="Times New Roman" w:hAnsi="Times New Roman" w:cs="Times New Roman"/>
          <w:sz w:val="24"/>
          <w:szCs w:val="24"/>
        </w:rPr>
        <w:t xml:space="preserve"> </w:t>
      </w:r>
      <w:r w:rsidR="00C35037" w:rsidRPr="00C35037">
        <w:rPr>
          <w:rFonts w:ascii="Times New Roman" w:hAnsi="Times New Roman" w:cs="Times New Roman"/>
          <w:sz w:val="24"/>
          <w:szCs w:val="24"/>
        </w:rPr>
        <w:t xml:space="preserve">The main aim of MESEM is to equip students with a profession and facilitate their smoother </w:t>
      </w:r>
      <w:r w:rsidR="00C35037" w:rsidRPr="00C35037">
        <w:rPr>
          <w:rFonts w:ascii="Times New Roman" w:hAnsi="Times New Roman" w:cs="Times New Roman"/>
          <w:sz w:val="24"/>
          <w:szCs w:val="24"/>
        </w:rPr>
        <w:lastRenderedPageBreak/>
        <w:t>integration into the labour market with practical skills.</w:t>
      </w:r>
      <w:r w:rsidR="00C35037">
        <w:rPr>
          <w:rFonts w:ascii="Times New Roman" w:hAnsi="Times New Roman" w:cs="Times New Roman"/>
          <w:sz w:val="24"/>
          <w:szCs w:val="24"/>
        </w:rPr>
        <w:t xml:space="preserve"> </w:t>
      </w:r>
      <w:r w:rsidR="00C35037" w:rsidRPr="00C35037">
        <w:rPr>
          <w:rFonts w:ascii="Times New Roman" w:hAnsi="Times New Roman" w:cs="Times New Roman"/>
          <w:sz w:val="24"/>
          <w:szCs w:val="24"/>
        </w:rPr>
        <w:t xml:space="preserve">In recent years, MESEM has been generally viewed positively for strengthening vocational education, but it has also faced criticism regarding child labour concerns, occupational safety, and education quality. In particular, working conditions in enterprises and the effectiveness of supervision mechanisms </w:t>
      </w:r>
      <w:r w:rsidR="00C35037">
        <w:rPr>
          <w:rFonts w:ascii="Times New Roman" w:hAnsi="Times New Roman" w:cs="Times New Roman"/>
          <w:sz w:val="24"/>
          <w:szCs w:val="24"/>
        </w:rPr>
        <w:t xml:space="preserve">should be better scrutinized. </w:t>
      </w:r>
    </w:p>
    <w:p w14:paraId="5D70B401" w14:textId="4DAD20D8" w:rsidR="00123AE0" w:rsidRPr="006C4452" w:rsidRDefault="00123AE0" w:rsidP="006C4452">
      <w:pPr>
        <w:pStyle w:val="ListParagraph"/>
        <w:numPr>
          <w:ilvl w:val="0"/>
          <w:numId w:val="7"/>
        </w:numPr>
        <w:jc w:val="both"/>
        <w:rPr>
          <w:rFonts w:ascii="Times New Roman" w:hAnsi="Times New Roman" w:cs="Times New Roman"/>
          <w:sz w:val="24"/>
          <w:szCs w:val="24"/>
        </w:rPr>
      </w:pPr>
      <w:r w:rsidRPr="006C4452">
        <w:rPr>
          <w:rFonts w:ascii="Times New Roman" w:hAnsi="Times New Roman" w:cs="Times New Roman"/>
          <w:b/>
          <w:bCs/>
          <w:sz w:val="24"/>
          <w:szCs w:val="24"/>
        </w:rPr>
        <w:t>Advancing SME transformation for the twin transitions.</w:t>
      </w:r>
      <w:r w:rsidRPr="006C4452">
        <w:rPr>
          <w:rFonts w:ascii="Times New Roman" w:hAnsi="Times New Roman" w:cs="Times New Roman"/>
          <w:sz w:val="24"/>
          <w:szCs w:val="24"/>
        </w:rPr>
        <w:t xml:space="preserve"> Policies should encourage firms to progress beyond basic technology uptake toward comprehensive digitalisation and environmental sustainability, supported by stronger innovation ecosystems, technology diffusion, and compliance with EU standards. </w:t>
      </w:r>
      <w:r w:rsidR="006C4452" w:rsidRPr="006C4452">
        <w:rPr>
          <w:rFonts w:ascii="Times New Roman" w:hAnsi="Times New Roman" w:cs="Times New Roman"/>
          <w:sz w:val="24"/>
          <w:szCs w:val="24"/>
        </w:rPr>
        <w:t>Realising green growth opportunities for SMEs requires not only well-designed policies but also effective implementation. This calls for stronger coordination among ministries and stakeholders, better alignment of support programmes, and a balanced combination of financial and non-financial instruments, supported by a more robust framework for sustainable finance.</w:t>
      </w:r>
      <w:r w:rsidR="006C4452">
        <w:rPr>
          <w:rFonts w:ascii="Times New Roman" w:hAnsi="Times New Roman" w:cs="Times New Roman"/>
          <w:sz w:val="24"/>
          <w:szCs w:val="24"/>
        </w:rPr>
        <w:t xml:space="preserve"> </w:t>
      </w:r>
      <w:r w:rsidR="006C4452" w:rsidRPr="006C4452">
        <w:rPr>
          <w:rFonts w:ascii="Times New Roman" w:hAnsi="Times New Roman" w:cs="Times New Roman"/>
          <w:sz w:val="24"/>
          <w:szCs w:val="24"/>
        </w:rPr>
        <w:t>Advancing the digital transformation of SMEs also necessitates moving beyond the simple adoption of basic technologies toward their meaningful integration into business operations and productive use.</w:t>
      </w:r>
      <w:r w:rsidR="006C4452" w:rsidRPr="006C4452">
        <w:rPr>
          <w:rFonts w:ascii="Times New Roman" w:hAnsi="Times New Roman" w:cs="Times New Roman"/>
          <w:sz w:val="24"/>
          <w:szCs w:val="24"/>
        </w:rPr>
        <w:t xml:space="preserve"> </w:t>
      </w:r>
      <w:r w:rsidR="006C4452" w:rsidRPr="006C4452">
        <w:rPr>
          <w:rFonts w:ascii="Times New Roman" w:hAnsi="Times New Roman" w:cs="Times New Roman"/>
          <w:sz w:val="24"/>
          <w:szCs w:val="24"/>
        </w:rPr>
        <w:t>To address these gaps, policy measures should combine accessible, demand-led instruments that encourage initial adoption with targeted support for scaling up, integration, organisational change, and the development of digital skills and capabilities.</w:t>
      </w:r>
      <w:r w:rsidR="006C4452" w:rsidRPr="006C4452">
        <w:rPr>
          <w:rFonts w:ascii="Times New Roman" w:hAnsi="Times New Roman" w:cs="Times New Roman"/>
          <w:sz w:val="24"/>
          <w:szCs w:val="24"/>
        </w:rPr>
        <w:t xml:space="preserve"> </w:t>
      </w:r>
      <w:r w:rsidR="006C4452" w:rsidRPr="006C4452">
        <w:rPr>
          <w:rFonts w:ascii="Times New Roman" w:hAnsi="Times New Roman" w:cs="Times New Roman"/>
          <w:sz w:val="24"/>
          <w:szCs w:val="24"/>
        </w:rPr>
        <w:t>Moreover, addressing labour and skills shortages is essential for maintaining competitiveness and enabling SMEs to successfully navigate the green and digital transitions.</w:t>
      </w:r>
    </w:p>
    <w:p w14:paraId="47B6828C" w14:textId="77777777" w:rsidR="00123AE0" w:rsidRDefault="00123AE0" w:rsidP="00123AE0">
      <w:pPr>
        <w:numPr>
          <w:ilvl w:val="0"/>
          <w:numId w:val="7"/>
        </w:numPr>
        <w:jc w:val="both"/>
        <w:rPr>
          <w:rFonts w:ascii="Times New Roman" w:hAnsi="Times New Roman" w:cs="Times New Roman"/>
          <w:sz w:val="24"/>
          <w:szCs w:val="24"/>
        </w:rPr>
      </w:pPr>
      <w:r w:rsidRPr="00123AE0">
        <w:rPr>
          <w:rFonts w:ascii="Times New Roman" w:hAnsi="Times New Roman" w:cs="Times New Roman"/>
          <w:b/>
          <w:bCs/>
          <w:sz w:val="24"/>
          <w:szCs w:val="24"/>
        </w:rPr>
        <w:t>Providing consistent support throughout the SME lifecycle.</w:t>
      </w:r>
      <w:r w:rsidRPr="00123AE0">
        <w:rPr>
          <w:rFonts w:ascii="Times New Roman" w:hAnsi="Times New Roman" w:cs="Times New Roman"/>
          <w:sz w:val="24"/>
          <w:szCs w:val="24"/>
        </w:rPr>
        <w:t xml:space="preserve"> Improved coordination and sequencing of policy measures can help address critical gaps at different stages of business development, enabling SMEs to scale up, innovate, and expand internationally more effectively.</w:t>
      </w:r>
    </w:p>
    <w:p w14:paraId="116D61CB" w14:textId="72CC8CB3" w:rsidR="00527A00" w:rsidRPr="00123AE0" w:rsidRDefault="00527A00" w:rsidP="00123AE0">
      <w:pPr>
        <w:numPr>
          <w:ilvl w:val="0"/>
          <w:numId w:val="7"/>
        </w:numPr>
        <w:jc w:val="both"/>
        <w:rPr>
          <w:rFonts w:ascii="Times New Roman" w:hAnsi="Times New Roman" w:cs="Times New Roman"/>
          <w:sz w:val="24"/>
          <w:szCs w:val="24"/>
        </w:rPr>
      </w:pPr>
      <w:r>
        <w:rPr>
          <w:rFonts w:ascii="Times New Roman" w:hAnsi="Times New Roman" w:cs="Times New Roman"/>
          <w:b/>
          <w:bCs/>
          <w:sz w:val="24"/>
          <w:szCs w:val="24"/>
        </w:rPr>
        <w:t>Enhancing SME resilience and competitiveness as a means to bolster Türkiye’s integration to the EU Single Market.</w:t>
      </w:r>
      <w:r>
        <w:rPr>
          <w:rFonts w:ascii="Times New Roman" w:hAnsi="Times New Roman" w:cs="Times New Roman"/>
          <w:sz w:val="24"/>
          <w:szCs w:val="24"/>
        </w:rPr>
        <w:t xml:space="preserve"> </w:t>
      </w:r>
      <w:r w:rsidR="00B06AE9">
        <w:rPr>
          <w:rFonts w:ascii="Times New Roman" w:hAnsi="Times New Roman" w:cs="Times New Roman"/>
          <w:sz w:val="24"/>
          <w:szCs w:val="24"/>
        </w:rPr>
        <w:t xml:space="preserve">SMEs play a very important role in the trade and economic relationship encompassing the EU-Türkiye Customs Union. Modernizing the Customs Union to include trade in services, extension of agricultural trade, mutual access to public procurement markets, alignment of climate and sustainability criteria, e-trade and digital data transfers, as well as other regulatory issues will lead to a deeper integration to the EU. As Türkiye is a candidate to join the EU, this gradual integration will lay the background for further integration and will facilitate full integration when macro-level circumstances allow. Progressing on the road of visa liberalisation with visa facilitation measures in the process will also enhance company-level exchanges, sharing of knowledge and best practises and </w:t>
      </w:r>
      <w:r w:rsidR="00C35037">
        <w:rPr>
          <w:rFonts w:ascii="Times New Roman" w:hAnsi="Times New Roman" w:cs="Times New Roman"/>
          <w:sz w:val="24"/>
          <w:szCs w:val="24"/>
        </w:rPr>
        <w:t xml:space="preserve">people-to-people contacts. </w:t>
      </w:r>
    </w:p>
    <w:p w14:paraId="23A1F09E" w14:textId="77777777" w:rsidR="00CC277D" w:rsidRPr="00703C2D" w:rsidRDefault="00CC277D" w:rsidP="00703C2D">
      <w:pPr>
        <w:jc w:val="both"/>
        <w:rPr>
          <w:rFonts w:ascii="Times New Roman" w:hAnsi="Times New Roman" w:cs="Times New Roman"/>
          <w:sz w:val="24"/>
          <w:szCs w:val="24"/>
        </w:rPr>
      </w:pPr>
    </w:p>
    <w:p w14:paraId="10F054C3" w14:textId="5863AE66" w:rsidR="001543FE" w:rsidRPr="006F540D" w:rsidRDefault="008F178B" w:rsidP="00703C2D">
      <w:pPr>
        <w:jc w:val="both"/>
        <w:rPr>
          <w:rFonts w:ascii="Times New Roman" w:hAnsi="Times New Roman" w:cs="Times New Roman"/>
          <w:b/>
          <w:bCs/>
          <w:sz w:val="24"/>
          <w:szCs w:val="24"/>
        </w:rPr>
      </w:pPr>
      <w:r w:rsidRPr="006F540D">
        <w:rPr>
          <w:rFonts w:ascii="Times New Roman" w:hAnsi="Times New Roman" w:cs="Times New Roman"/>
          <w:b/>
          <w:bCs/>
          <w:sz w:val="24"/>
          <w:szCs w:val="24"/>
        </w:rPr>
        <w:t>References</w:t>
      </w:r>
    </w:p>
    <w:p w14:paraId="2B434B13" w14:textId="03658BC1" w:rsidR="008F178B" w:rsidRDefault="006F540D" w:rsidP="00703C2D">
      <w:pPr>
        <w:jc w:val="both"/>
        <w:rPr>
          <w:rFonts w:ascii="Times New Roman" w:hAnsi="Times New Roman" w:cs="Times New Roman"/>
          <w:sz w:val="24"/>
          <w:szCs w:val="24"/>
        </w:rPr>
      </w:pPr>
      <w:r>
        <w:rPr>
          <w:rFonts w:ascii="Times New Roman" w:hAnsi="Times New Roman" w:cs="Times New Roman"/>
          <w:sz w:val="24"/>
          <w:szCs w:val="24"/>
        </w:rPr>
        <w:t>Akgiray, Vedat, A. Coşkun, S. Çevikel</w:t>
      </w:r>
      <w:r w:rsidR="0005411F">
        <w:rPr>
          <w:rFonts w:ascii="Times New Roman" w:hAnsi="Times New Roman" w:cs="Times New Roman"/>
          <w:sz w:val="24"/>
          <w:szCs w:val="24"/>
        </w:rPr>
        <w:t xml:space="preserve"> (2022)</w:t>
      </w:r>
      <w:r>
        <w:rPr>
          <w:rFonts w:ascii="Times New Roman" w:hAnsi="Times New Roman" w:cs="Times New Roman"/>
          <w:sz w:val="24"/>
          <w:szCs w:val="24"/>
        </w:rPr>
        <w:t>, “</w:t>
      </w:r>
      <w:r w:rsidR="00CB0C8E" w:rsidRPr="00703C2D">
        <w:rPr>
          <w:rFonts w:ascii="Times New Roman" w:hAnsi="Times New Roman" w:cs="Times New Roman"/>
          <w:sz w:val="24"/>
          <w:szCs w:val="24"/>
        </w:rPr>
        <w:t>An Assessment of the SME Sector in Turkiye</w:t>
      </w:r>
      <w:r>
        <w:rPr>
          <w:rFonts w:ascii="Times New Roman" w:hAnsi="Times New Roman" w:cs="Times New Roman"/>
          <w:sz w:val="24"/>
          <w:szCs w:val="24"/>
        </w:rPr>
        <w:t>”</w:t>
      </w:r>
      <w:r w:rsidR="00CB0C8E" w:rsidRPr="00703C2D">
        <w:rPr>
          <w:rFonts w:ascii="Times New Roman" w:hAnsi="Times New Roman" w:cs="Times New Roman"/>
          <w:sz w:val="24"/>
          <w:szCs w:val="24"/>
        </w:rPr>
        <w:t>,</w:t>
      </w:r>
      <w:r>
        <w:rPr>
          <w:rFonts w:ascii="Times New Roman" w:hAnsi="Times New Roman" w:cs="Times New Roman"/>
          <w:sz w:val="24"/>
          <w:szCs w:val="24"/>
        </w:rPr>
        <w:t xml:space="preserve"> </w:t>
      </w:r>
      <w:r w:rsidR="00CB0C8E" w:rsidRPr="00703C2D">
        <w:rPr>
          <w:rFonts w:ascii="Times New Roman" w:hAnsi="Times New Roman" w:cs="Times New Roman"/>
          <w:sz w:val="24"/>
          <w:szCs w:val="24"/>
        </w:rPr>
        <w:t xml:space="preserve"> KOSGEB, EBRD, BU, </w:t>
      </w:r>
      <w:r w:rsidRPr="006F540D">
        <w:rPr>
          <w:rFonts w:ascii="Times New Roman" w:hAnsi="Times New Roman" w:cs="Times New Roman"/>
          <w:sz w:val="24"/>
          <w:szCs w:val="24"/>
        </w:rPr>
        <w:t>EBRD Technical Cooperation Project: “Strategic guidance to the SME Turkish Agency KOSGEB for support and strengthening of the SME framework,” implemented by the EBRD and funded by the EBRD Shareholder Special Fund</w:t>
      </w:r>
      <w:r>
        <w:rPr>
          <w:rFonts w:ascii="Times New Roman" w:hAnsi="Times New Roman" w:cs="Times New Roman"/>
          <w:sz w:val="24"/>
          <w:szCs w:val="24"/>
        </w:rPr>
        <w:t>,</w:t>
      </w:r>
      <w:r w:rsidRPr="006F540D">
        <w:rPr>
          <w:rFonts w:ascii="Times New Roman" w:hAnsi="Times New Roman" w:cs="Times New Roman"/>
          <w:sz w:val="24"/>
          <w:szCs w:val="24"/>
        </w:rPr>
        <w:t xml:space="preserve"> </w:t>
      </w:r>
      <w:r w:rsidR="00CB0C8E" w:rsidRPr="00703C2D">
        <w:rPr>
          <w:rFonts w:ascii="Times New Roman" w:hAnsi="Times New Roman" w:cs="Times New Roman"/>
          <w:sz w:val="24"/>
          <w:szCs w:val="24"/>
        </w:rPr>
        <w:t xml:space="preserve">Nov 2022, </w:t>
      </w:r>
      <w:hyperlink r:id="rId9" w:history="1">
        <w:r w:rsidRPr="004875DD">
          <w:rPr>
            <w:rStyle w:val="Hyperlink"/>
            <w:rFonts w:ascii="Times New Roman" w:hAnsi="Times New Roman" w:cs="Times New Roman"/>
            <w:sz w:val="24"/>
            <w:szCs w:val="24"/>
          </w:rPr>
          <w:t>https://www.ebrd.com/content/dam/ebrd_dxp/assets/pdfs/legal-reform/financial-law/access-to-finance/An-Assessment-of-the-SME-Sector-in-Turkiye.pdf</w:t>
        </w:r>
      </w:hyperlink>
      <w:r>
        <w:rPr>
          <w:rFonts w:ascii="Times New Roman" w:hAnsi="Times New Roman" w:cs="Times New Roman"/>
          <w:sz w:val="24"/>
          <w:szCs w:val="24"/>
        </w:rPr>
        <w:t xml:space="preserve"> </w:t>
      </w:r>
    </w:p>
    <w:p w14:paraId="599DAA29" w14:textId="048C2DC5" w:rsidR="00402467" w:rsidRDefault="00402467" w:rsidP="00441964">
      <w:pPr>
        <w:jc w:val="both"/>
        <w:rPr>
          <w:rFonts w:ascii="Times New Roman" w:hAnsi="Times New Roman" w:cs="Times New Roman"/>
          <w:sz w:val="24"/>
          <w:szCs w:val="24"/>
        </w:rPr>
      </w:pPr>
      <w:r>
        <w:rPr>
          <w:rFonts w:ascii="Times New Roman" w:hAnsi="Times New Roman" w:cs="Times New Roman"/>
          <w:sz w:val="24"/>
          <w:szCs w:val="24"/>
        </w:rPr>
        <w:t xml:space="preserve">Nas, Çiğdem (2026), “Türkiye-AB gümrük Birliği ve Serbest Ticaret Anlaşmaları Sorunu (Türkiye-EU Customs Union and the Question of  Free Trade Agreements)”, IKV Evaluation Paper, No: 322, </w:t>
      </w:r>
      <w:hyperlink r:id="rId10" w:history="1">
        <w:r w:rsidRPr="004875DD">
          <w:rPr>
            <w:rStyle w:val="Hyperlink"/>
            <w:rFonts w:ascii="Times New Roman" w:hAnsi="Times New Roman" w:cs="Times New Roman"/>
            <w:sz w:val="24"/>
            <w:szCs w:val="24"/>
          </w:rPr>
          <w:t>https://www.ikv.org.tr/images/files/2026_DN_%C3%87N_GB.pdf</w:t>
        </w:r>
      </w:hyperlink>
      <w:r>
        <w:rPr>
          <w:rFonts w:ascii="Times New Roman" w:hAnsi="Times New Roman" w:cs="Times New Roman"/>
          <w:sz w:val="24"/>
          <w:szCs w:val="24"/>
        </w:rPr>
        <w:t xml:space="preserve"> </w:t>
      </w:r>
    </w:p>
    <w:p w14:paraId="67DAC0AD" w14:textId="1EF9361D" w:rsidR="006F540D" w:rsidRDefault="00402467" w:rsidP="00441964">
      <w:pPr>
        <w:jc w:val="both"/>
        <w:rPr>
          <w:rFonts w:ascii="Times New Roman" w:hAnsi="Times New Roman" w:cs="Times New Roman"/>
          <w:sz w:val="24"/>
          <w:szCs w:val="24"/>
        </w:rPr>
      </w:pPr>
      <w:r>
        <w:rPr>
          <w:rFonts w:ascii="Times New Roman" w:hAnsi="Times New Roman" w:cs="Times New Roman"/>
          <w:sz w:val="24"/>
          <w:szCs w:val="24"/>
        </w:rPr>
        <w:t xml:space="preserve"> </w:t>
      </w:r>
      <w:r w:rsidR="006F540D" w:rsidRPr="006F540D">
        <w:rPr>
          <w:rFonts w:ascii="Times New Roman" w:hAnsi="Times New Roman" w:cs="Times New Roman"/>
          <w:sz w:val="24"/>
          <w:szCs w:val="24"/>
        </w:rPr>
        <w:t xml:space="preserve">OECD (2026), Financing SMEs and Entrepreneurs 2026: An OECD Scoreboard, OECD Publishing, Paris, </w:t>
      </w:r>
      <w:hyperlink r:id="rId11" w:history="1">
        <w:r w:rsidR="006F540D" w:rsidRPr="004875DD">
          <w:rPr>
            <w:rStyle w:val="Hyperlink"/>
            <w:rFonts w:ascii="Times New Roman" w:hAnsi="Times New Roman" w:cs="Times New Roman"/>
            <w:sz w:val="24"/>
            <w:szCs w:val="24"/>
          </w:rPr>
          <w:t>https://doi.org/10.1787/075d8058-en</w:t>
        </w:r>
      </w:hyperlink>
      <w:r w:rsidR="006F540D" w:rsidRPr="006F540D">
        <w:rPr>
          <w:rFonts w:ascii="Times New Roman" w:hAnsi="Times New Roman" w:cs="Times New Roman"/>
          <w:sz w:val="24"/>
          <w:szCs w:val="24"/>
        </w:rPr>
        <w:t>.</w:t>
      </w:r>
    </w:p>
    <w:p w14:paraId="0AE4F7C3" w14:textId="444A4399" w:rsidR="00E60C36" w:rsidRDefault="006F540D" w:rsidP="00703C2D">
      <w:pPr>
        <w:jc w:val="both"/>
        <w:rPr>
          <w:rFonts w:ascii="Times New Roman" w:hAnsi="Times New Roman" w:cs="Times New Roman"/>
          <w:sz w:val="24"/>
          <w:szCs w:val="24"/>
        </w:rPr>
      </w:pPr>
      <w:r w:rsidRPr="006F540D">
        <w:rPr>
          <w:rFonts w:ascii="Times New Roman" w:hAnsi="Times New Roman" w:cs="Times New Roman"/>
          <w:sz w:val="24"/>
          <w:szCs w:val="24"/>
        </w:rPr>
        <w:t xml:space="preserve">OECD (2026), SME Policy Index for Western Balkans and Türkiye 2026: Regional Profile, SME Policy Index, OECD Publishing, Paris, </w:t>
      </w:r>
      <w:hyperlink r:id="rId12" w:history="1">
        <w:r w:rsidRPr="004875DD">
          <w:rPr>
            <w:rStyle w:val="Hyperlink"/>
            <w:rFonts w:ascii="Times New Roman" w:hAnsi="Times New Roman" w:cs="Times New Roman"/>
            <w:sz w:val="24"/>
            <w:szCs w:val="24"/>
          </w:rPr>
          <w:t>https://doi.org/10.1787/dc98f701-en</w:t>
        </w:r>
      </w:hyperlink>
      <w:r w:rsidRPr="006F540D">
        <w:rPr>
          <w:rFonts w:ascii="Times New Roman" w:hAnsi="Times New Roman" w:cs="Times New Roman"/>
          <w:sz w:val="24"/>
          <w:szCs w:val="24"/>
        </w:rPr>
        <w:t>.</w:t>
      </w:r>
      <w:r>
        <w:rPr>
          <w:rFonts w:ascii="Times New Roman" w:hAnsi="Times New Roman" w:cs="Times New Roman"/>
          <w:sz w:val="24"/>
          <w:szCs w:val="24"/>
        </w:rPr>
        <w:t xml:space="preserve"> </w:t>
      </w:r>
    </w:p>
    <w:p w14:paraId="595FFF49" w14:textId="3B74CCE3" w:rsidR="00A5737A" w:rsidRDefault="00A5737A" w:rsidP="00703C2D">
      <w:pPr>
        <w:jc w:val="both"/>
        <w:rPr>
          <w:rFonts w:ascii="Times New Roman" w:hAnsi="Times New Roman" w:cs="Times New Roman"/>
          <w:sz w:val="24"/>
          <w:szCs w:val="24"/>
        </w:rPr>
      </w:pPr>
      <w:r>
        <w:rPr>
          <w:rFonts w:ascii="Times New Roman" w:hAnsi="Times New Roman" w:cs="Times New Roman"/>
          <w:sz w:val="24"/>
          <w:szCs w:val="24"/>
        </w:rPr>
        <w:t>Official Journal of the Republic of Türkiye, No: 32979, 07.08.2025</w:t>
      </w:r>
    </w:p>
    <w:p w14:paraId="1E37C949" w14:textId="77777777" w:rsidR="00321A92" w:rsidRDefault="00321A92" w:rsidP="00321A92">
      <w:pPr>
        <w:jc w:val="both"/>
        <w:rPr>
          <w:rFonts w:ascii="Times New Roman" w:hAnsi="Times New Roman" w:cs="Times New Roman"/>
          <w:sz w:val="24"/>
          <w:szCs w:val="24"/>
        </w:rPr>
      </w:pPr>
      <w:r w:rsidRPr="00E22D19">
        <w:rPr>
          <w:rFonts w:ascii="Times New Roman" w:hAnsi="Times New Roman" w:cs="Times New Roman"/>
          <w:sz w:val="24"/>
          <w:szCs w:val="24"/>
        </w:rPr>
        <w:t xml:space="preserve">Özdamarlar, D. &amp; Wigley, A. A. (2025). Determinants of participation in global value chains: The case of Türkiye, </w:t>
      </w:r>
      <w:r w:rsidRPr="00321A92">
        <w:rPr>
          <w:rFonts w:ascii="Times New Roman" w:hAnsi="Times New Roman" w:cs="Times New Roman"/>
          <w:i/>
          <w:iCs/>
          <w:sz w:val="24"/>
          <w:szCs w:val="24"/>
        </w:rPr>
        <w:t>Fiscaoeconomia</w:t>
      </w:r>
      <w:r w:rsidRPr="00E22D19">
        <w:rPr>
          <w:rFonts w:ascii="Times New Roman" w:hAnsi="Times New Roman" w:cs="Times New Roman"/>
          <w:sz w:val="24"/>
          <w:szCs w:val="24"/>
        </w:rPr>
        <w:t xml:space="preserve">, 9(3), 1506-1524.  </w:t>
      </w:r>
    </w:p>
    <w:p w14:paraId="6E426075" w14:textId="67D55310" w:rsidR="00F133A2" w:rsidRPr="00703C2D" w:rsidRDefault="006F540D" w:rsidP="00F133A2">
      <w:pPr>
        <w:jc w:val="both"/>
        <w:rPr>
          <w:rFonts w:ascii="Times New Roman" w:hAnsi="Times New Roman" w:cs="Times New Roman"/>
          <w:sz w:val="24"/>
          <w:szCs w:val="24"/>
        </w:rPr>
      </w:pPr>
      <w:r w:rsidRPr="00703C2D">
        <w:rPr>
          <w:rFonts w:ascii="Times New Roman" w:hAnsi="Times New Roman" w:cs="Times New Roman"/>
          <w:sz w:val="24"/>
          <w:szCs w:val="24"/>
        </w:rPr>
        <w:t>Pal</w:t>
      </w:r>
      <w:r>
        <w:rPr>
          <w:rFonts w:ascii="Times New Roman" w:hAnsi="Times New Roman" w:cs="Times New Roman"/>
          <w:sz w:val="24"/>
          <w:szCs w:val="24"/>
        </w:rPr>
        <w:t>, Priyanshu, R. Bhansali, R. Vel</w:t>
      </w:r>
      <w:r w:rsidR="00321A92">
        <w:rPr>
          <w:rFonts w:ascii="Times New Roman" w:hAnsi="Times New Roman" w:cs="Times New Roman"/>
          <w:sz w:val="24"/>
          <w:szCs w:val="24"/>
        </w:rPr>
        <w:t xml:space="preserve"> (2026)</w:t>
      </w:r>
      <w:r>
        <w:rPr>
          <w:rFonts w:ascii="Times New Roman" w:hAnsi="Times New Roman" w:cs="Times New Roman"/>
          <w:sz w:val="24"/>
          <w:szCs w:val="24"/>
        </w:rPr>
        <w:t xml:space="preserve">, </w:t>
      </w:r>
      <w:r w:rsidRPr="00703C2D">
        <w:rPr>
          <w:rFonts w:ascii="Times New Roman" w:hAnsi="Times New Roman" w:cs="Times New Roman"/>
          <w:sz w:val="24"/>
          <w:szCs w:val="24"/>
        </w:rPr>
        <w:t xml:space="preserve"> </w:t>
      </w:r>
      <w:r>
        <w:rPr>
          <w:rFonts w:ascii="Times New Roman" w:hAnsi="Times New Roman" w:cs="Times New Roman"/>
          <w:sz w:val="24"/>
          <w:szCs w:val="24"/>
        </w:rPr>
        <w:t>“</w:t>
      </w:r>
      <w:r w:rsidR="00F133A2" w:rsidRPr="00703C2D">
        <w:rPr>
          <w:rFonts w:ascii="Times New Roman" w:hAnsi="Times New Roman" w:cs="Times New Roman"/>
          <w:sz w:val="24"/>
          <w:szCs w:val="24"/>
        </w:rPr>
        <w:t>Integration of Artificial Intelligence in SMEs</w:t>
      </w:r>
      <w:r>
        <w:rPr>
          <w:rFonts w:ascii="Times New Roman" w:hAnsi="Times New Roman" w:cs="Times New Roman"/>
          <w:sz w:val="24"/>
          <w:szCs w:val="24"/>
        </w:rPr>
        <w:t xml:space="preserve">”, </w:t>
      </w:r>
      <w:r w:rsidR="00F133A2" w:rsidRPr="00321A92">
        <w:rPr>
          <w:rFonts w:ascii="Times New Roman" w:hAnsi="Times New Roman" w:cs="Times New Roman"/>
          <w:i/>
          <w:iCs/>
          <w:sz w:val="24"/>
          <w:szCs w:val="24"/>
        </w:rPr>
        <w:t>International Journal of Innovative Science and Research Technology</w:t>
      </w:r>
      <w:r w:rsidR="00F133A2" w:rsidRPr="00703C2D">
        <w:rPr>
          <w:rFonts w:ascii="Times New Roman" w:hAnsi="Times New Roman" w:cs="Times New Roman"/>
          <w:sz w:val="24"/>
          <w:szCs w:val="24"/>
        </w:rPr>
        <w:t xml:space="preserve">, </w:t>
      </w:r>
      <w:r w:rsidR="00321A92">
        <w:rPr>
          <w:rFonts w:ascii="Times New Roman" w:hAnsi="Times New Roman" w:cs="Times New Roman"/>
          <w:sz w:val="24"/>
          <w:szCs w:val="24"/>
        </w:rPr>
        <w:t xml:space="preserve"> 11(4). </w:t>
      </w:r>
    </w:p>
    <w:p w14:paraId="332B2087" w14:textId="77777777" w:rsidR="00321A92" w:rsidRPr="00703C2D" w:rsidRDefault="00321A92" w:rsidP="00321A92">
      <w:pPr>
        <w:jc w:val="both"/>
        <w:rPr>
          <w:rFonts w:ascii="Times New Roman" w:hAnsi="Times New Roman" w:cs="Times New Roman"/>
          <w:sz w:val="24"/>
          <w:szCs w:val="24"/>
        </w:rPr>
      </w:pPr>
      <w:r>
        <w:rPr>
          <w:rFonts w:ascii="Times New Roman" w:hAnsi="Times New Roman" w:cs="Times New Roman"/>
          <w:sz w:val="24"/>
          <w:szCs w:val="24"/>
        </w:rPr>
        <w:t xml:space="preserve">TOBB, SME Research and Consultancy Center, </w:t>
      </w:r>
      <w:r w:rsidRPr="00703C2D">
        <w:rPr>
          <w:rFonts w:ascii="Times New Roman" w:hAnsi="Times New Roman" w:cs="Times New Roman"/>
          <w:sz w:val="24"/>
          <w:szCs w:val="24"/>
        </w:rPr>
        <w:t>(</w:t>
      </w:r>
      <w:hyperlink r:id="rId13" w:history="1">
        <w:r w:rsidRPr="00703C2D">
          <w:rPr>
            <w:rStyle w:val="Hyperlink"/>
            <w:rFonts w:ascii="Times New Roman" w:hAnsi="Times New Roman" w:cs="Times New Roman"/>
            <w:sz w:val="24"/>
            <w:szCs w:val="24"/>
          </w:rPr>
          <w:t>https://www.tobb.org.tr/KobiArastirma/Sayfalar/Eng/SMEsinTurkey.php</w:t>
        </w:r>
      </w:hyperlink>
      <w:r w:rsidRPr="00703C2D">
        <w:rPr>
          <w:rFonts w:ascii="Times New Roman" w:hAnsi="Times New Roman" w:cs="Times New Roman"/>
          <w:sz w:val="24"/>
          <w:szCs w:val="24"/>
        </w:rPr>
        <w:t xml:space="preserve"> )</w:t>
      </w:r>
    </w:p>
    <w:p w14:paraId="57CFE2C7" w14:textId="5D31C996" w:rsidR="00321A92" w:rsidRDefault="00321A92" w:rsidP="00321A92">
      <w:pPr>
        <w:jc w:val="both"/>
        <w:rPr>
          <w:rFonts w:ascii="Times New Roman" w:hAnsi="Times New Roman" w:cs="Times New Roman"/>
          <w:sz w:val="24"/>
          <w:szCs w:val="24"/>
        </w:rPr>
      </w:pPr>
      <w:r>
        <w:rPr>
          <w:rFonts w:ascii="Times New Roman" w:hAnsi="Times New Roman" w:cs="Times New Roman"/>
          <w:sz w:val="24"/>
          <w:szCs w:val="24"/>
        </w:rPr>
        <w:t xml:space="preserve">Turkish Statistical Institute,  SME Statistics 2024, Press Release by TÜİK, KOSGEB and TOBB, , 24.12.2025, No: 54054, </w:t>
      </w:r>
      <w:hyperlink r:id="rId14" w:history="1">
        <w:r w:rsidRPr="00F77ADD">
          <w:rPr>
            <w:rStyle w:val="Hyperlink"/>
            <w:rFonts w:ascii="Times New Roman" w:hAnsi="Times New Roman" w:cs="Times New Roman"/>
            <w:sz w:val="24"/>
            <w:szCs w:val="24"/>
          </w:rPr>
          <w:t>https://veriportali.tuik.gov.tr/en/press/54054</w:t>
        </w:r>
      </w:hyperlink>
    </w:p>
    <w:p w14:paraId="4A235186" w14:textId="57099953" w:rsidR="00513662" w:rsidRDefault="00513662" w:rsidP="00321A92">
      <w:pPr>
        <w:jc w:val="both"/>
        <w:rPr>
          <w:rFonts w:ascii="Times New Roman" w:hAnsi="Times New Roman" w:cs="Times New Roman"/>
          <w:sz w:val="24"/>
          <w:szCs w:val="24"/>
        </w:rPr>
      </w:pPr>
      <w:r>
        <w:rPr>
          <w:rFonts w:ascii="Times New Roman" w:hAnsi="Times New Roman" w:cs="Times New Roman"/>
          <w:sz w:val="24"/>
          <w:szCs w:val="24"/>
        </w:rPr>
        <w:t xml:space="preserve">Usta, Ahmet Emre (2022), “Modernizing the EU-Türkiye Customs Union, </w:t>
      </w:r>
      <w:r w:rsidRPr="00513662">
        <w:rPr>
          <w:rFonts w:ascii="Times New Roman" w:hAnsi="Times New Roman" w:cs="Times New Roman"/>
          <w:i/>
          <w:iCs/>
          <w:sz w:val="24"/>
          <w:szCs w:val="24"/>
        </w:rPr>
        <w:t>IKV Brief</w:t>
      </w:r>
      <w:r>
        <w:rPr>
          <w:rFonts w:ascii="Times New Roman" w:hAnsi="Times New Roman" w:cs="Times New Roman"/>
          <w:sz w:val="24"/>
          <w:szCs w:val="24"/>
        </w:rPr>
        <w:t xml:space="preserve">, No:68, </w:t>
      </w:r>
      <w:hyperlink r:id="rId15" w:history="1">
        <w:r w:rsidRPr="004875DD">
          <w:rPr>
            <w:rStyle w:val="Hyperlink"/>
            <w:rFonts w:ascii="Times New Roman" w:hAnsi="Times New Roman" w:cs="Times New Roman"/>
            <w:sz w:val="24"/>
            <w:szCs w:val="24"/>
          </w:rPr>
          <w:t>https://www.ikv.org.tr/images/files/Modernizing_the_EU_Turkey_Customs_Union.pdf</w:t>
        </w:r>
      </w:hyperlink>
      <w:r>
        <w:rPr>
          <w:rFonts w:ascii="Times New Roman" w:hAnsi="Times New Roman" w:cs="Times New Roman"/>
          <w:sz w:val="24"/>
          <w:szCs w:val="24"/>
        </w:rPr>
        <w:t xml:space="preserve"> </w:t>
      </w:r>
    </w:p>
    <w:p w14:paraId="2EA77825" w14:textId="693C5204" w:rsidR="00321A92" w:rsidRPr="00321A92" w:rsidRDefault="00321A92" w:rsidP="00321A92">
      <w:pPr>
        <w:jc w:val="both"/>
        <w:rPr>
          <w:rFonts w:ascii="Times New Roman" w:hAnsi="Times New Roman" w:cs="Times New Roman"/>
          <w:sz w:val="24"/>
          <w:szCs w:val="24"/>
        </w:rPr>
      </w:pPr>
      <w:r w:rsidRPr="00321A92">
        <w:rPr>
          <w:rFonts w:ascii="Times New Roman" w:hAnsi="Times New Roman" w:cs="Times New Roman"/>
          <w:sz w:val="24"/>
          <w:szCs w:val="24"/>
        </w:rPr>
        <w:t>Zhumagulova</w:t>
      </w:r>
      <w:r>
        <w:rPr>
          <w:rFonts w:ascii="Times New Roman" w:hAnsi="Times New Roman" w:cs="Times New Roman"/>
          <w:sz w:val="24"/>
          <w:szCs w:val="24"/>
        </w:rPr>
        <w:t>, Kamshat (2026), “</w:t>
      </w:r>
      <w:r w:rsidRPr="00321A92">
        <w:rPr>
          <w:rFonts w:ascii="Times New Roman" w:hAnsi="Times New Roman" w:cs="Times New Roman"/>
          <w:sz w:val="24"/>
          <w:szCs w:val="24"/>
        </w:rPr>
        <w:t>Türkiye as a Regional Hub: Logistics, Investment Regimes, and U.S. Trade Policy Impacts</w:t>
      </w:r>
      <w:r>
        <w:rPr>
          <w:rFonts w:ascii="Times New Roman" w:hAnsi="Times New Roman" w:cs="Times New Roman"/>
          <w:sz w:val="24"/>
          <w:szCs w:val="24"/>
        </w:rPr>
        <w:t xml:space="preserve">”, World Economic Journal, 17 February, </w:t>
      </w:r>
      <w:hyperlink r:id="rId16" w:history="1">
        <w:r w:rsidRPr="004875DD">
          <w:rPr>
            <w:rStyle w:val="Hyperlink"/>
            <w:rFonts w:ascii="Times New Roman" w:hAnsi="Times New Roman" w:cs="Times New Roman"/>
            <w:sz w:val="24"/>
            <w:szCs w:val="24"/>
          </w:rPr>
          <w:t>https://world-economic.com/turkiye-as-a-regional-hub-logistics-investment-regimes-and-u-s-trade-policy-impacts.html</w:t>
        </w:r>
      </w:hyperlink>
      <w:r>
        <w:rPr>
          <w:rFonts w:ascii="Times New Roman" w:hAnsi="Times New Roman" w:cs="Times New Roman"/>
          <w:sz w:val="24"/>
          <w:szCs w:val="24"/>
        </w:rPr>
        <w:t xml:space="preserve"> </w:t>
      </w:r>
    </w:p>
    <w:p w14:paraId="492551A4" w14:textId="77777777" w:rsidR="00F133A2" w:rsidRPr="00703C2D" w:rsidRDefault="00F133A2" w:rsidP="00703C2D">
      <w:pPr>
        <w:jc w:val="both"/>
        <w:rPr>
          <w:rFonts w:ascii="Times New Roman" w:hAnsi="Times New Roman" w:cs="Times New Roman"/>
          <w:sz w:val="24"/>
          <w:szCs w:val="24"/>
        </w:rPr>
      </w:pPr>
    </w:p>
    <w:sectPr w:rsidR="00F133A2" w:rsidRPr="00703C2D">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F5EE" w14:textId="77777777" w:rsidR="004B1E1B" w:rsidRDefault="004B1E1B" w:rsidP="00206ACC">
      <w:pPr>
        <w:spacing w:after="0" w:line="240" w:lineRule="auto"/>
      </w:pPr>
      <w:r>
        <w:separator/>
      </w:r>
    </w:p>
  </w:endnote>
  <w:endnote w:type="continuationSeparator" w:id="0">
    <w:p w14:paraId="47A70C72" w14:textId="77777777" w:rsidR="004B1E1B" w:rsidRDefault="004B1E1B" w:rsidP="0020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4535"/>
      <w:docPartObj>
        <w:docPartGallery w:val="Page Numbers (Bottom of Page)"/>
        <w:docPartUnique/>
      </w:docPartObj>
    </w:sdtPr>
    <w:sdtEndPr>
      <w:rPr>
        <w:noProof/>
      </w:rPr>
    </w:sdtEndPr>
    <w:sdtContent>
      <w:p w14:paraId="34B491F8" w14:textId="59B6007C" w:rsidR="00206ACC" w:rsidRDefault="00206A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D5E1D" w14:textId="77777777" w:rsidR="00206ACC" w:rsidRDefault="00206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336D" w14:textId="77777777" w:rsidR="004B1E1B" w:rsidRDefault="004B1E1B" w:rsidP="00206ACC">
      <w:pPr>
        <w:spacing w:after="0" w:line="240" w:lineRule="auto"/>
      </w:pPr>
      <w:r>
        <w:separator/>
      </w:r>
    </w:p>
  </w:footnote>
  <w:footnote w:type="continuationSeparator" w:id="0">
    <w:p w14:paraId="000671E6" w14:textId="77777777" w:rsidR="004B1E1B" w:rsidRDefault="004B1E1B" w:rsidP="00206A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60C"/>
    <w:multiLevelType w:val="multilevel"/>
    <w:tmpl w:val="692A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E0CB4"/>
    <w:multiLevelType w:val="multilevel"/>
    <w:tmpl w:val="2F14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67220"/>
    <w:multiLevelType w:val="multilevel"/>
    <w:tmpl w:val="2F14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5628F"/>
    <w:multiLevelType w:val="hybridMultilevel"/>
    <w:tmpl w:val="CB18F3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2E4313"/>
    <w:multiLevelType w:val="multilevel"/>
    <w:tmpl w:val="C1CE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E77C7"/>
    <w:multiLevelType w:val="multilevel"/>
    <w:tmpl w:val="B43A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B791B"/>
    <w:multiLevelType w:val="multilevel"/>
    <w:tmpl w:val="B8BC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257BC"/>
    <w:multiLevelType w:val="multilevel"/>
    <w:tmpl w:val="23F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24435">
    <w:abstractNumId w:val="6"/>
  </w:num>
  <w:num w:numId="2" w16cid:durableId="141195555">
    <w:abstractNumId w:val="4"/>
  </w:num>
  <w:num w:numId="3" w16cid:durableId="536426683">
    <w:abstractNumId w:val="5"/>
  </w:num>
  <w:num w:numId="4" w16cid:durableId="1197044428">
    <w:abstractNumId w:val="0"/>
  </w:num>
  <w:num w:numId="5" w16cid:durableId="1815758470">
    <w:abstractNumId w:val="3"/>
  </w:num>
  <w:num w:numId="6" w16cid:durableId="62874574">
    <w:abstractNumId w:val="7"/>
  </w:num>
  <w:num w:numId="7" w16cid:durableId="816193549">
    <w:abstractNumId w:val="2"/>
  </w:num>
  <w:num w:numId="8" w16cid:durableId="33942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FE"/>
    <w:rsid w:val="000204FB"/>
    <w:rsid w:val="000453CF"/>
    <w:rsid w:val="0005411F"/>
    <w:rsid w:val="00061051"/>
    <w:rsid w:val="00067E4F"/>
    <w:rsid w:val="000C0BF8"/>
    <w:rsid w:val="00123AE0"/>
    <w:rsid w:val="00127C12"/>
    <w:rsid w:val="001543FE"/>
    <w:rsid w:val="001B0404"/>
    <w:rsid w:val="001C483E"/>
    <w:rsid w:val="001D46B9"/>
    <w:rsid w:val="001E3C7E"/>
    <w:rsid w:val="00206ACC"/>
    <w:rsid w:val="00251645"/>
    <w:rsid w:val="002527D5"/>
    <w:rsid w:val="00264552"/>
    <w:rsid w:val="0029405A"/>
    <w:rsid w:val="002E0173"/>
    <w:rsid w:val="00321A92"/>
    <w:rsid w:val="00325BEA"/>
    <w:rsid w:val="00332F53"/>
    <w:rsid w:val="003B2A14"/>
    <w:rsid w:val="003C6A21"/>
    <w:rsid w:val="003D7654"/>
    <w:rsid w:val="003E64C4"/>
    <w:rsid w:val="003E7AF6"/>
    <w:rsid w:val="00402467"/>
    <w:rsid w:val="00441964"/>
    <w:rsid w:val="00446838"/>
    <w:rsid w:val="00451143"/>
    <w:rsid w:val="00463912"/>
    <w:rsid w:val="00486F8C"/>
    <w:rsid w:val="00496B88"/>
    <w:rsid w:val="004B1E1B"/>
    <w:rsid w:val="004C6435"/>
    <w:rsid w:val="00513662"/>
    <w:rsid w:val="00527A00"/>
    <w:rsid w:val="0053601D"/>
    <w:rsid w:val="005417B5"/>
    <w:rsid w:val="006245BE"/>
    <w:rsid w:val="00630C33"/>
    <w:rsid w:val="006867AE"/>
    <w:rsid w:val="0069222A"/>
    <w:rsid w:val="006C4452"/>
    <w:rsid w:val="006D101C"/>
    <w:rsid w:val="006F540D"/>
    <w:rsid w:val="00703C2D"/>
    <w:rsid w:val="0075120F"/>
    <w:rsid w:val="00783FE2"/>
    <w:rsid w:val="007935B8"/>
    <w:rsid w:val="007D3BC4"/>
    <w:rsid w:val="00827106"/>
    <w:rsid w:val="008E0D9A"/>
    <w:rsid w:val="008F178B"/>
    <w:rsid w:val="009551CF"/>
    <w:rsid w:val="00957A30"/>
    <w:rsid w:val="009924B0"/>
    <w:rsid w:val="00A409B3"/>
    <w:rsid w:val="00A4313F"/>
    <w:rsid w:val="00A5737A"/>
    <w:rsid w:val="00A6503B"/>
    <w:rsid w:val="00AD2AC4"/>
    <w:rsid w:val="00B06AE9"/>
    <w:rsid w:val="00B54118"/>
    <w:rsid w:val="00B60F1C"/>
    <w:rsid w:val="00B96055"/>
    <w:rsid w:val="00BD6E3A"/>
    <w:rsid w:val="00C11D8E"/>
    <w:rsid w:val="00C311C5"/>
    <w:rsid w:val="00C35037"/>
    <w:rsid w:val="00C60513"/>
    <w:rsid w:val="00CB0C8E"/>
    <w:rsid w:val="00CC277D"/>
    <w:rsid w:val="00D02689"/>
    <w:rsid w:val="00D05DE7"/>
    <w:rsid w:val="00D4226A"/>
    <w:rsid w:val="00D43191"/>
    <w:rsid w:val="00D50E62"/>
    <w:rsid w:val="00D60058"/>
    <w:rsid w:val="00D828FC"/>
    <w:rsid w:val="00D8711E"/>
    <w:rsid w:val="00DA5792"/>
    <w:rsid w:val="00E11199"/>
    <w:rsid w:val="00E170C2"/>
    <w:rsid w:val="00E22D19"/>
    <w:rsid w:val="00E31720"/>
    <w:rsid w:val="00E60C36"/>
    <w:rsid w:val="00E843C7"/>
    <w:rsid w:val="00ED0577"/>
    <w:rsid w:val="00ED7521"/>
    <w:rsid w:val="00EE04A2"/>
    <w:rsid w:val="00EE1712"/>
    <w:rsid w:val="00F133A2"/>
    <w:rsid w:val="00F3264B"/>
    <w:rsid w:val="00F83E3E"/>
    <w:rsid w:val="00F86993"/>
    <w:rsid w:val="00FB1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B8BE"/>
  <w15:chartTrackingRefBased/>
  <w15:docId w15:val="{13BA86DC-2C8D-4ED0-BC24-F134E79B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3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543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43F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543F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543F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54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3F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543F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43F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543F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543F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54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3FE"/>
    <w:rPr>
      <w:rFonts w:eastAsiaTheme="majorEastAsia" w:cstheme="majorBidi"/>
      <w:color w:val="272727" w:themeColor="text1" w:themeTint="D8"/>
    </w:rPr>
  </w:style>
  <w:style w:type="paragraph" w:styleId="Title">
    <w:name w:val="Title"/>
    <w:basedOn w:val="Normal"/>
    <w:next w:val="Normal"/>
    <w:link w:val="TitleChar"/>
    <w:uiPriority w:val="10"/>
    <w:qFormat/>
    <w:rsid w:val="00154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3FE"/>
    <w:pPr>
      <w:spacing w:before="160"/>
      <w:jc w:val="center"/>
    </w:pPr>
    <w:rPr>
      <w:i/>
      <w:iCs/>
      <w:color w:val="404040" w:themeColor="text1" w:themeTint="BF"/>
    </w:rPr>
  </w:style>
  <w:style w:type="character" w:customStyle="1" w:styleId="QuoteChar">
    <w:name w:val="Quote Char"/>
    <w:basedOn w:val="DefaultParagraphFont"/>
    <w:link w:val="Quote"/>
    <w:uiPriority w:val="29"/>
    <w:rsid w:val="001543FE"/>
    <w:rPr>
      <w:i/>
      <w:iCs/>
      <w:color w:val="404040" w:themeColor="text1" w:themeTint="BF"/>
    </w:rPr>
  </w:style>
  <w:style w:type="paragraph" w:styleId="ListParagraph">
    <w:name w:val="List Paragraph"/>
    <w:basedOn w:val="Normal"/>
    <w:uiPriority w:val="34"/>
    <w:qFormat/>
    <w:rsid w:val="001543FE"/>
    <w:pPr>
      <w:ind w:left="720"/>
      <w:contextualSpacing/>
    </w:pPr>
  </w:style>
  <w:style w:type="character" w:styleId="IntenseEmphasis">
    <w:name w:val="Intense Emphasis"/>
    <w:basedOn w:val="DefaultParagraphFont"/>
    <w:uiPriority w:val="21"/>
    <w:qFormat/>
    <w:rsid w:val="001543FE"/>
    <w:rPr>
      <w:i/>
      <w:iCs/>
      <w:color w:val="2E74B5" w:themeColor="accent1" w:themeShade="BF"/>
    </w:rPr>
  </w:style>
  <w:style w:type="paragraph" w:styleId="IntenseQuote">
    <w:name w:val="Intense Quote"/>
    <w:basedOn w:val="Normal"/>
    <w:next w:val="Normal"/>
    <w:link w:val="IntenseQuoteChar"/>
    <w:uiPriority w:val="30"/>
    <w:qFormat/>
    <w:rsid w:val="001543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543FE"/>
    <w:rPr>
      <w:i/>
      <w:iCs/>
      <w:color w:val="2E74B5" w:themeColor="accent1" w:themeShade="BF"/>
    </w:rPr>
  </w:style>
  <w:style w:type="character" w:styleId="IntenseReference">
    <w:name w:val="Intense Reference"/>
    <w:basedOn w:val="DefaultParagraphFont"/>
    <w:uiPriority w:val="32"/>
    <w:qFormat/>
    <w:rsid w:val="001543FE"/>
    <w:rPr>
      <w:b/>
      <w:bCs/>
      <w:smallCaps/>
      <w:color w:val="2E74B5" w:themeColor="accent1" w:themeShade="BF"/>
      <w:spacing w:val="5"/>
    </w:rPr>
  </w:style>
  <w:style w:type="character" w:styleId="Hyperlink">
    <w:name w:val="Hyperlink"/>
    <w:basedOn w:val="DefaultParagraphFont"/>
    <w:uiPriority w:val="99"/>
    <w:unhideWhenUsed/>
    <w:rsid w:val="001543FE"/>
    <w:rPr>
      <w:color w:val="0563C1" w:themeColor="hyperlink"/>
      <w:u w:val="single"/>
    </w:rPr>
  </w:style>
  <w:style w:type="character" w:styleId="UnresolvedMention">
    <w:name w:val="Unresolved Mention"/>
    <w:basedOn w:val="DefaultParagraphFont"/>
    <w:uiPriority w:val="99"/>
    <w:semiHidden/>
    <w:unhideWhenUsed/>
    <w:rsid w:val="001543FE"/>
    <w:rPr>
      <w:color w:val="605E5C"/>
      <w:shd w:val="clear" w:color="auto" w:fill="E1DFDD"/>
    </w:rPr>
  </w:style>
  <w:style w:type="table" w:styleId="TableGrid">
    <w:name w:val="Table Grid"/>
    <w:basedOn w:val="TableNormal"/>
    <w:uiPriority w:val="39"/>
    <w:rsid w:val="00FB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6A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6ACC"/>
  </w:style>
  <w:style w:type="paragraph" w:styleId="Footer">
    <w:name w:val="footer"/>
    <w:basedOn w:val="Normal"/>
    <w:link w:val="FooterChar"/>
    <w:uiPriority w:val="99"/>
    <w:unhideWhenUsed/>
    <w:rsid w:val="00206A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6ACC"/>
  </w:style>
  <w:style w:type="paragraph" w:styleId="NormalWeb">
    <w:name w:val="Normal (Web)"/>
    <w:basedOn w:val="Normal"/>
    <w:uiPriority w:val="99"/>
    <w:semiHidden/>
    <w:unhideWhenUsed/>
    <w:rsid w:val="002516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economic.com/turkiye-as-a-regional-hub-logistics-investment-regimes-and-u-s-trade-policy-impacts.html" TargetMode="External"/><Relationship Id="rId13" Type="http://schemas.openxmlformats.org/officeDocument/2006/relationships/hyperlink" Target="https://www.tobb.org.tr/KobiArastirma/Sayfalar/Eng/SMEsinTurkey.php"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doi.org/10.1787/dc98f701-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orld-economic.com/turkiye-as-a-regional-hub-logistics-investment-regimes-and-u-s-trade-policy-impacts.html"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87/075d8058-en" TargetMode="External"/><Relationship Id="rId5" Type="http://schemas.openxmlformats.org/officeDocument/2006/relationships/webSettings" Target="webSettings.xml"/><Relationship Id="rId15" Type="http://schemas.openxmlformats.org/officeDocument/2006/relationships/hyperlink" Target="https://www.ikv.org.tr/images/files/Modernizing_the_EU_Turkey_Customs_Union.pdf" TargetMode="External"/><Relationship Id="rId10" Type="http://schemas.openxmlformats.org/officeDocument/2006/relationships/hyperlink" Target="https://www.ikv.org.tr/images/files/2026_DN_%C3%87N_GB.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brd.com/content/dam/ebrd_dxp/assets/pdfs/legal-reform/financial-law/access-to-finance/An-Assessment-of-the-SME-Sector-in-Turkiye.pdf" TargetMode="External"/><Relationship Id="rId14" Type="http://schemas.openxmlformats.org/officeDocument/2006/relationships/hyperlink" Target="https://veriportali.tuik.gov.tr/en/press/54054"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0627BB8F0D2847BA4583DA3CAF1233" ma:contentTypeVersion="14" ma:contentTypeDescription="Crée un document." ma:contentTypeScope="" ma:versionID="a2c1ca8c724c895d3e74e59b6a879e88">
  <xsd:schema xmlns:xsd="http://www.w3.org/2001/XMLSchema" xmlns:xs="http://www.w3.org/2001/XMLSchema" xmlns:p="http://schemas.microsoft.com/office/2006/metadata/properties" xmlns:ns2="c7a06915-057a-4af1-abb7-a9083d05536c" xmlns:ns3="139408b5-cd95-41a2-b442-2b289d59f97f" targetNamespace="http://schemas.microsoft.com/office/2006/metadata/properties" ma:root="true" ma:fieldsID="56284b65b339bca899917909a6d5e3a2" ns2:_="" ns3:_="">
    <xsd:import namespace="c7a06915-057a-4af1-abb7-a9083d05536c"/>
    <xsd:import namespace="139408b5-cd95-41a2-b442-2b289d59f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DanieleVital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06915-057a-4af1-abb7-a9083d055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DanieleVitali" ma:index="21" nillable="true" ma:displayName="Daniele Vitali" ma:format="Dropdown" ma:list="UserInfo" ma:SharePointGroup="0" ma:internalName="DanieleVital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9408b5-cd95-41a2-b442-2b289d59f9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bf9e637-f00f-455f-af10-83e37406edba}" ma:internalName="TaxCatchAll" ma:showField="CatchAllData" ma:web="139408b5-cd95-41a2-b442-2b289d59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a06915-057a-4af1-abb7-a9083d05536c">
      <Terms xmlns="http://schemas.microsoft.com/office/infopath/2007/PartnerControls"/>
    </lcf76f155ced4ddcb4097134ff3c332f>
    <DanieleVitali xmlns="c7a06915-057a-4af1-abb7-a9083d05536c">
      <UserInfo>
        <DisplayName/>
        <AccountId xsi:nil="true"/>
        <AccountType/>
      </UserInfo>
    </DanieleVitali>
    <TaxCatchAll xmlns="139408b5-cd95-41a2-b442-2b289d59f97f" xsi:nil="true"/>
  </documentManagement>
</p:properties>
</file>

<file path=customXml/itemProps1.xml><?xml version="1.0" encoding="utf-8"?>
<ds:datastoreItem xmlns:ds="http://schemas.openxmlformats.org/officeDocument/2006/customXml" ds:itemID="{1F004B23-1765-4332-B235-21FA1D78AE6F}">
  <ds:schemaRefs>
    <ds:schemaRef ds:uri="http://schemas.openxmlformats.org/officeDocument/2006/bibliography"/>
  </ds:schemaRefs>
</ds:datastoreItem>
</file>

<file path=customXml/itemProps2.xml><?xml version="1.0" encoding="utf-8"?>
<ds:datastoreItem xmlns:ds="http://schemas.openxmlformats.org/officeDocument/2006/customXml" ds:itemID="{E9D205A3-E93A-4466-A047-48632E6D860B}"/>
</file>

<file path=customXml/itemProps3.xml><?xml version="1.0" encoding="utf-8"?>
<ds:datastoreItem xmlns:ds="http://schemas.openxmlformats.org/officeDocument/2006/customXml" ds:itemID="{983E1D25-74A4-494C-8099-C757342DB631}"/>
</file>

<file path=customXml/itemProps4.xml><?xml version="1.0" encoding="utf-8"?>
<ds:datastoreItem xmlns:ds="http://schemas.openxmlformats.org/officeDocument/2006/customXml" ds:itemID="{79B6F08A-D10D-4954-9B14-E9C105F44327}"/>
</file>

<file path=docProps/app.xml><?xml version="1.0" encoding="utf-8"?>
<Properties xmlns="http://schemas.openxmlformats.org/officeDocument/2006/extended-properties" xmlns:vt="http://schemas.openxmlformats.org/officeDocument/2006/docPropsVTypes">
  <Template>Normal</Template>
  <TotalTime>479</TotalTime>
  <Pages>11</Pages>
  <Words>4858</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Nas</dc:creator>
  <cp:keywords/>
  <dc:description/>
  <cp:lastModifiedBy>Çiğdem Nas</cp:lastModifiedBy>
  <cp:revision>66</cp:revision>
  <dcterms:created xsi:type="dcterms:W3CDTF">2026-06-16T08:24:00Z</dcterms:created>
  <dcterms:modified xsi:type="dcterms:W3CDTF">2026-06-17T10:11:00Z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0x010100BF0627BB8F0D2847BA4583DA3CAF1233</vt:lpwstr>
  </property>
</Properties>
</file>