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a:extLst xmlns:a="http://schemas.openxmlformats.org/drawingml/2006/main">
                <a:ext uri="{FF2B5EF4-FFF2-40B4-BE49-F238E27FC236}">
                  <a16:creationId xmlns:a16="http://schemas.microsoft.com/office/drawing/2014/main" id="{4108308B-2C02-4013-9B74-44A6969BC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8240"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a:extLst xmlns:a="http://schemas.openxmlformats.org/drawingml/2006/main">
                    <a:ext uri="{FF2B5EF4-FFF2-40B4-BE49-F238E27FC236}">
                      <a16:creationId xmlns:a16="http://schemas.microsoft.com/office/drawing/2014/main" id="{A44D1324-5AB3-4594-AEB0-A40F5CBF9F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nyjTNxMDAACVBgAADgAAAAAAAAAAAAAAAAAuAgAA&#10;ZHJzL2Uyb0RvYy54bWxQSwECLQAUAAYACAAAACEA61QxWt4AAAAPAQAADwAAAAAAAAAAAAAAAABt&#10;BQAAZHJzL2Rvd25yZXYueG1sUEsFBgAAAAAEAAQA8wAAAHgG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15330A" w14:paraId="02555730" w14:textId="427A30FF">
      <w:pPr>
        <w:jc w:val="right"/>
      </w:pPr>
    </w:p>
    <w:p w:rsidR="00BB4FA5" w:rsidP="0015330A" w:rsidRDefault="00BB4FA5" w14:paraId="34A70FC2" w14:textId="77777777">
      <w:pPr>
        <w:jc w:val="right"/>
        <w:rPr>
          <w:b/>
        </w:rPr>
      </w:pPr>
      <w:r>
        <w:rPr>
          <w:b/>
        </w:rPr>
        <w:t xml:space="preserve">Resolution on the European Economic and Social Committee's </w:t>
      </w:r>
    </w:p>
    <w:p w:rsidRPr="00A67235" w:rsidR="000E4B6B" w:rsidP="0015330A" w:rsidRDefault="006D6317" w14:paraId="1EFE7F2B" w14:textId="0324C505">
      <w:pPr>
        <w:jc w:val="right"/>
      </w:pPr>
      <w:r w:rsidRPr="006D6317">
        <w:rPr>
          <w:b/>
        </w:rPr>
        <w:t>Contribution to the European Commission’s 2027 work programme</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2E762157">
      <w:pPr>
        <w:jc w:val="right"/>
      </w:pPr>
      <w:r w:rsidRPr="00A67235">
        <w:t xml:space="preserve">Brussels, </w:t>
      </w:r>
      <w:r w:rsidR="00F6627C">
        <w:t>18</w:t>
      </w:r>
      <w:r w:rsidR="001366CB">
        <w:t xml:space="preserve"> June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BB4FA5" w:rsidR="00BB4FA5" w:rsidP="00BB4FA5" w:rsidRDefault="00964A13" w14:paraId="5BDD0740"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BB4FA5" w:rsidR="00BB4FA5">
        <w:rPr>
          <w:b/>
          <w:bCs/>
        </w:rPr>
        <w:t xml:space="preserve">Resolution on the European Economic and Social Committee's </w:t>
      </w:r>
    </w:p>
    <w:p w:rsidRPr="00A67235" w:rsidR="00964A13" w:rsidP="00BB4FA5" w:rsidRDefault="00BB4FA5" w14:paraId="1CA7DBC6" w14:textId="6A90F72F">
      <w:pPr>
        <w:jc w:val="center"/>
      </w:pPr>
      <w:r w:rsidRPr="00BB4FA5">
        <w:rPr>
          <w:b/>
          <w:bCs/>
        </w:rPr>
        <w:t>Contribution to the European Commission’s 2027 work programme</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D6317" w14:paraId="0FA745B1" w14:textId="69F0C69D">
      <w:pPr>
        <w:jc w:val="center"/>
        <w:rPr>
          <w:bCs/>
        </w:rPr>
      </w:pPr>
      <w:r>
        <w:t>606</w:t>
      </w:r>
      <w:r w:rsidRPr="006D6317">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17</w:t>
      </w:r>
      <w:r w:rsidR="0015330A">
        <w:rPr>
          <w:bCs/>
        </w:rPr>
        <w:t>-</w:t>
      </w:r>
      <w:r w:rsidR="00DC7C35">
        <w:rPr>
          <w:bCs/>
        </w:rPr>
        <w:t>18 June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C513C08">
      <w:pPr>
        <w:jc w:val="center"/>
      </w:pPr>
      <w:r w:rsidRPr="00A67235">
        <w:t xml:space="preserve">Meeting of </w:t>
      </w:r>
      <w:r w:rsidR="00DC7C35">
        <w:t>18 June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C9EF72F">
      <w:pPr>
        <w:pStyle w:val="Footer"/>
        <w:jc w:val="center"/>
      </w:pPr>
      <w:r w:rsidRPr="00A67235">
        <w:t>Agenda item</w:t>
      </w:r>
      <w:r w:rsidR="00177DAC">
        <w:t xml:space="preserve"> </w:t>
      </w:r>
      <w:r w:rsidR="00DC7C35">
        <w:t>14</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7F275974">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DC7C35">
        <w:t>14</w:t>
      </w:r>
      <w:r w:rsidRPr="00A67235" w:rsidR="000E4B6B">
        <w:t xml:space="preserve"> - adoption of the</w:t>
      </w:r>
    </w:p>
    <w:p w:rsidRPr="00A67235" w:rsidR="000E4B6B" w:rsidP="00EC0F0F" w:rsidRDefault="000E4B6B" w14:paraId="037DAC87" w14:textId="77777777"/>
    <w:p w:rsidRPr="00DC7C35" w:rsidR="000E4B6B" w:rsidP="00134E96" w:rsidRDefault="00134E96" w14:paraId="305301AD" w14:textId="594B82B0">
      <w:pPr>
        <w:ind w:left="1430"/>
        <w:rPr>
          <w:i/>
          <w:iCs/>
        </w:rPr>
      </w:pPr>
      <w:r w:rsidRPr="00134E96">
        <w:rPr>
          <w:i/>
          <w:iCs/>
        </w:rPr>
        <w:t xml:space="preserve">Resolution on the European Economic and Social Committee's Contribution to the European Commission’s 2027 work programme </w:t>
      </w:r>
      <w:r w:rsidRPr="00DC7C35" w:rsidR="00DC7C35">
        <w:rPr>
          <w:i/>
          <w:iCs/>
        </w:rPr>
        <w:t>Contribution to the European Commission’s 2027 work programme</w:t>
      </w:r>
      <w:r w:rsidR="00DC7C35">
        <w:rPr>
          <w:i/>
          <w:iCs/>
        </w:rPr>
        <w:t>.</w:t>
      </w:r>
    </w:p>
    <w:p w:rsidRPr="00A67235" w:rsidR="000E4B6B" w:rsidP="00EC0F0F" w:rsidRDefault="000E4B6B" w14:paraId="7B740915" w14:textId="77777777"/>
    <w:p w:rsidRPr="00A67235" w:rsidR="000E4B6B" w:rsidP="00EC0F0F" w:rsidRDefault="2D3C7EE0" w14:paraId="2D8D7685" w14:textId="688C94DF">
      <w:r>
        <w:t xml:space="preserve">The preliminary work had been carried out by </w:t>
      </w:r>
      <w:r w:rsidR="42491E5E">
        <w:t>the Ad</w:t>
      </w:r>
      <w:r w:rsidR="26E4DD79">
        <w:t xml:space="preserve"> </w:t>
      </w:r>
      <w:r w:rsidR="42491E5E">
        <w:t xml:space="preserve">Hoc Group </w:t>
      </w:r>
      <w:r w:rsidR="3E6D5381">
        <w:t xml:space="preserve">(AHG) </w:t>
      </w:r>
      <w:r w:rsidR="42491E5E">
        <w:t xml:space="preserve">under the coordination of </w:t>
      </w:r>
      <w:r>
        <w:t xml:space="preserve">the Section </w:t>
      </w:r>
      <w:r w:rsidR="138BFE08">
        <w:t xml:space="preserve">for Transport, Energy, Infrastructure and the Information Society (president: </w:t>
      </w:r>
      <w:r w:rsidRPr="788AEF87" w:rsidR="138BFE08">
        <w:rPr>
          <w:b/>
          <w:bCs/>
        </w:rPr>
        <w:t>Mr Nowacki</w:t>
      </w:r>
      <w:r w:rsidR="138BFE08">
        <w:t xml:space="preserve">). </w:t>
      </w:r>
      <w:r>
        <w:t xml:space="preserve"> The rapporteur</w:t>
      </w:r>
      <w:r w:rsidR="1A865146">
        <w:t>s</w:t>
      </w:r>
      <w:r>
        <w:t xml:space="preserve"> </w:t>
      </w:r>
      <w:r w:rsidR="1A865146">
        <w:t xml:space="preserve">were </w:t>
      </w:r>
      <w:r w:rsidRPr="788AEF87" w:rsidR="1A865146">
        <w:rPr>
          <w:b/>
          <w:bCs/>
        </w:rPr>
        <w:t>Mr Nowacki</w:t>
      </w:r>
      <w:r w:rsidR="1A865146">
        <w:t xml:space="preserve">, </w:t>
      </w:r>
      <w:r w:rsidRPr="788AEF87" w:rsidR="1A865146">
        <w:rPr>
          <w:b/>
          <w:bCs/>
        </w:rPr>
        <w:t>Mr Trindade</w:t>
      </w:r>
      <w:r w:rsidR="1A865146">
        <w:t xml:space="preserve"> and </w:t>
      </w:r>
      <w:r w:rsidRPr="788AEF87" w:rsidR="1A865146">
        <w:rPr>
          <w:b/>
          <w:bCs/>
        </w:rPr>
        <w:t>Ms Murafa Benga</w:t>
      </w:r>
      <w:r w:rsidR="1A865146">
        <w:t>.</w:t>
      </w:r>
    </w:p>
    <w:p w:rsidRPr="00A67235" w:rsidR="000E4B6B" w:rsidP="00EC0F0F" w:rsidRDefault="000E4B6B" w14:paraId="2708AAF4" w14:textId="77777777"/>
    <w:p w:rsidR="005460CF" w:rsidP="00EC0F0F" w:rsidRDefault="3C3B78F4" w14:paraId="61E19EA2" w14:textId="15A3850F">
      <w:r w:rsidRPr="788AEF87">
        <w:rPr>
          <w:b/>
          <w:bCs/>
        </w:rPr>
        <w:t xml:space="preserve">Mr Boland </w:t>
      </w:r>
      <w:r>
        <w:t xml:space="preserve">gives the floor to the rapporteurs </w:t>
      </w:r>
      <w:r w:rsidRPr="788AEF87">
        <w:rPr>
          <w:b/>
          <w:bCs/>
        </w:rPr>
        <w:t xml:space="preserve">Mr Nowacki, Mr. Trindade and Ms </w:t>
      </w:r>
      <w:r w:rsidRPr="788AEF87" w:rsidR="65E6B7DF">
        <w:rPr>
          <w:b/>
          <w:bCs/>
        </w:rPr>
        <w:t xml:space="preserve">Pavić-Rogošić </w:t>
      </w:r>
      <w:r w:rsidRPr="001366CB" w:rsidR="65E6B7DF">
        <w:t>(replacing</w:t>
      </w:r>
      <w:r w:rsidRPr="788AEF87" w:rsidR="65E6B7DF">
        <w:rPr>
          <w:b/>
          <w:bCs/>
        </w:rPr>
        <w:t xml:space="preserve"> Ms Murafa Benga</w:t>
      </w:r>
      <w:r w:rsidRPr="001366CB" w:rsidR="65E6B7DF">
        <w:t>)</w:t>
      </w:r>
      <w:r>
        <w:t xml:space="preserve">, who introduce the </w:t>
      </w:r>
      <w:r w:rsidR="65E6B7DF">
        <w:t>resolution.</w:t>
      </w:r>
    </w:p>
    <w:p w:rsidR="007566DC" w:rsidP="00EC0F0F" w:rsidRDefault="007566DC" w14:paraId="5BD67220" w14:textId="77777777"/>
    <w:p w:rsidR="52DA63C2" w:rsidP="788AEF87" w:rsidRDefault="52DA63C2" w14:paraId="01005CBF" w14:textId="36CA7277">
      <w:pPr>
        <w:spacing w:after="160" w:line="276" w:lineRule="auto"/>
      </w:pPr>
      <w:r w:rsidRPr="788AEF87">
        <w:rPr>
          <w:b/>
          <w:bCs/>
        </w:rPr>
        <w:t>Mr Nowacki</w:t>
      </w:r>
      <w:r w:rsidRPr="788AEF87">
        <w:t xml:space="preserve"> starts by</w:t>
      </w:r>
      <w:r w:rsidRPr="788AEF87" w:rsidDel="52DA63C2">
        <w:t xml:space="preserve"> </w:t>
      </w:r>
      <w:r w:rsidRPr="788AEF87" w:rsidR="390C86D4">
        <w:t>stating</w:t>
      </w:r>
      <w:r w:rsidRPr="788AEF87">
        <w:t xml:space="preserve"> that, if Europe is to remain prosperous, secure and competitive, it has to move from diagnosis to implementation. After the Draghi and Letta reports</w:t>
      </w:r>
      <w:r w:rsidRPr="788AEF87" w:rsidR="75378A25">
        <w:t>, which</w:t>
      </w:r>
      <w:r w:rsidRPr="788AEF87">
        <w:t xml:space="preserve"> have already provided clear guidance</w:t>
      </w:r>
      <w:r w:rsidRPr="788AEF87" w:rsidR="6D14D456">
        <w:t>,</w:t>
      </w:r>
      <w:r w:rsidRPr="788AEF87">
        <w:t xml:space="preserve"> the challenge now l</w:t>
      </w:r>
      <w:r w:rsidRPr="788AEF87" w:rsidR="2D2B8C9A">
        <w:t>ie</w:t>
      </w:r>
      <w:r w:rsidRPr="788AEF87">
        <w:t>s in delivering concrete results and this is what the EESC expects from the European Commission’s 2027 Work Programme. Mr Nowacki stresses, first, the need to complete and modernise the Single Market by reducing fragmentation in services, accelerating simplification, adopting market-oriented sectoral regulations such as the EU Delivery Act and the Digital Networks Act, and ultimately creating a genuinely integrated Capital Markets Union, ensuring that cross-border market activities remain open. Secondly, competitiveness requires affordable and secure energy. Electrification, modern energy infrastructure and a realistic approach to hydrogen deployment have to go hand in hand with reducing dependencies on critical raw materials, clean technologies and batteries, while strengthening Europe’s supply chains. Finally, he underlines the need to invest in growth, transport networks, digital infrastructure, innovation and health technologies. As competitiveness and security are now closely interconnected, Europe has to strengthen its defence technological and industrial base, accelerate flagship defence projects, improve military mobility and protect critical infrastructure.</w:t>
      </w:r>
    </w:p>
    <w:p w:rsidR="52DA63C2" w:rsidP="788AEF87" w:rsidRDefault="52DA63C2" w14:paraId="0861BD42" w14:textId="0F96018C">
      <w:pPr>
        <w:spacing w:after="160" w:line="276" w:lineRule="auto"/>
      </w:pPr>
    </w:p>
    <w:p w:rsidR="52DA63C2" w:rsidP="788AEF87" w:rsidRDefault="52DA63C2" w14:paraId="625189F1" w14:textId="35376B55">
      <w:pPr>
        <w:spacing w:after="160" w:line="276" w:lineRule="auto"/>
      </w:pPr>
      <w:r w:rsidRPr="788AEF87">
        <w:rPr>
          <w:b/>
          <w:bCs/>
        </w:rPr>
        <w:t>Mr. Trindade</w:t>
      </w:r>
      <w:r w:rsidRPr="788AEF87">
        <w:t xml:space="preserve"> stresse</w:t>
      </w:r>
      <w:r w:rsidRPr="788AEF87" w:rsidR="345A4E8F">
        <w:t xml:space="preserve">s </w:t>
      </w:r>
      <w:r w:rsidRPr="788AEF87">
        <w:t xml:space="preserve">first the need to tackle poverty, noting that around 90 million people are </w:t>
      </w:r>
      <w:r w:rsidRPr="788AEF87" w:rsidR="68733159">
        <w:t>living in poverty</w:t>
      </w:r>
      <w:r w:rsidRPr="788AEF87">
        <w:t xml:space="preserve"> or </w:t>
      </w:r>
      <w:r w:rsidRPr="788AEF87" w:rsidR="0861000D">
        <w:t xml:space="preserve">are </w:t>
      </w:r>
      <w:r w:rsidRPr="788AEF87">
        <w:t xml:space="preserve">at risk of poverty and arguing that addressing this issue </w:t>
      </w:r>
      <w:r w:rsidRPr="788AEF87" w:rsidR="3116623D">
        <w:t>must</w:t>
      </w:r>
      <w:r w:rsidRPr="788AEF87">
        <w:t xml:space="preserve"> be at the heart of the European Union’s agenda. He then refer</w:t>
      </w:r>
      <w:r w:rsidRPr="788AEF87" w:rsidR="101E747C">
        <w:t xml:space="preserve">s </w:t>
      </w:r>
      <w:r w:rsidRPr="788AEF87">
        <w:t>to peace as the next major challenge, stressing that the Union’s values and principles m</w:t>
      </w:r>
      <w:r w:rsidRPr="788AEF87" w:rsidR="19F3DC31">
        <w:t>ake</w:t>
      </w:r>
      <w:r w:rsidRPr="788AEF87">
        <w:t xml:space="preserve"> that preserv</w:t>
      </w:r>
      <w:r w:rsidRPr="788AEF87" w:rsidR="5FD3A190">
        <w:t>ation of</w:t>
      </w:r>
      <w:r w:rsidRPr="788AEF87">
        <w:t xml:space="preserve"> peace</w:t>
      </w:r>
      <w:r w:rsidRPr="788AEF87" w:rsidDel="52DA63C2">
        <w:t xml:space="preserve"> </w:t>
      </w:r>
      <w:r w:rsidRPr="788AEF87">
        <w:t xml:space="preserve">fundamental. He underscores solidarity with Ukraine and the Palestinian people, and states that multilateralism, the UN Charter and human rights </w:t>
      </w:r>
      <w:r w:rsidRPr="788AEF87" w:rsidR="22789E6D">
        <w:t>form</w:t>
      </w:r>
      <w:r w:rsidRPr="788AEF87">
        <w:t xml:space="preserve"> the basis for achieving peace.</w:t>
      </w:r>
    </w:p>
    <w:p w:rsidR="52DA63C2" w:rsidP="788AEF87" w:rsidRDefault="52DA63C2" w14:paraId="018ED092" w14:textId="58E3B172">
      <w:pPr>
        <w:spacing w:after="160" w:line="276" w:lineRule="auto"/>
      </w:pPr>
      <w:r w:rsidRPr="788AEF87">
        <w:rPr>
          <w:b/>
          <w:bCs/>
        </w:rPr>
        <w:t>Ms Pavić-Rogošić</w:t>
      </w:r>
      <w:r w:rsidRPr="788AEF87">
        <w:t xml:space="preserve"> </w:t>
      </w:r>
      <w:r w:rsidRPr="001366CB" w:rsidR="5975A3A9">
        <w:t>states</w:t>
      </w:r>
      <w:r w:rsidRPr="788AEF87">
        <w:t xml:space="preserve"> that quality of life has to be placed at the centre of the Union’s policy focus. If the EU wishes to move towards a model of progress that goes beyond GDP, as it should, then clean water, nature, affordable housing and affordable energy </w:t>
      </w:r>
      <w:r w:rsidRPr="001366CB" w:rsidR="3AB44AFE">
        <w:t>must</w:t>
      </w:r>
      <w:r w:rsidRPr="788AEF87">
        <w:t xml:space="preserve"> become the foundation of European policies. This requires adapting to climate change, promoting nature-based solutions, supporting agricultural systems and ensuring protection for vulnerable households, young people and older persons. She also underlines the need to address all forms of poverty, including energy poverty, mobility poverty, housing poverty and in-work poverty, stressing that these </w:t>
      </w:r>
      <w:r w:rsidRPr="001366CB" w:rsidR="5236E3A1">
        <w:t>are</w:t>
      </w:r>
      <w:r w:rsidRPr="788AEF87">
        <w:t xml:space="preserve"> also democratic challenges. Ms Pavić-Rogošić argues that NGOs, local initiatives and independent media have to be included in these efforts, as they are essential to safeguarding the principles that the EU must uphold, calling for a fully implemented the Civil Society Strategy, supported by relevant early warning and risk-monitoring systems</w:t>
      </w:r>
      <w:r w:rsidRPr="788AEF87" w:rsidR="289E8A1E">
        <w:t>, as well as</w:t>
      </w:r>
      <w:r w:rsidRPr="788AEF87">
        <w:t xml:space="preserve">  adequate support at both national and local level. The protection of democratic values requires not only social dialogue, but also political dialogue, participatory tools, media literacy, protection for journalists and the closing of legal gaps in the area of political financing. She stresses that the new multiannual financial framework needs to reflect this level of ambition, ensure that all priorities are treated as equally important and guarantee equal benefits for all regions.</w:t>
      </w:r>
    </w:p>
    <w:p w:rsidR="52DA63C2" w:rsidP="788AEF87" w:rsidRDefault="52DA63C2" w14:paraId="5E151C70" w14:textId="00F29448">
      <w:pPr>
        <w:spacing w:after="160" w:line="276" w:lineRule="auto"/>
      </w:pPr>
      <w:r w:rsidRPr="788AEF87">
        <w:rPr>
          <w:b/>
          <w:bCs/>
        </w:rPr>
        <w:t>Mr Boland</w:t>
      </w:r>
      <w:r w:rsidRPr="788AEF87">
        <w:t xml:space="preserve"> then opens debate and gives floor to </w:t>
      </w:r>
      <w:r w:rsidRPr="788AEF87">
        <w:rPr>
          <w:b/>
          <w:bCs/>
        </w:rPr>
        <w:t>Ms Del Rio</w:t>
      </w:r>
      <w:r w:rsidRPr="788AEF87">
        <w:t>.</w:t>
      </w:r>
    </w:p>
    <w:p w:rsidR="52DA63C2" w:rsidP="788AEF87" w:rsidRDefault="52DA63C2" w14:paraId="0B63C033" w14:textId="48E2AFBB">
      <w:pPr>
        <w:spacing w:after="160" w:line="276" w:lineRule="auto"/>
      </w:pPr>
      <w:r w:rsidRPr="788AEF87">
        <w:rPr>
          <w:b/>
          <w:bCs/>
        </w:rPr>
        <w:t>Ms Del Rio</w:t>
      </w:r>
      <w:r w:rsidRPr="788AEF87">
        <w:t xml:space="preserve"> (IT-II) considers that, although the resolution refers to peace, the aspirations of civil society are not fully reflected. In her view, the current approach appears to redefine the European economy around defence and security, whereas security should instead be built collectively on the basis of dialogue and steadfast diplomacy</w:t>
      </w:r>
      <w:r w:rsidRPr="788AEF87" w:rsidR="678C6A3E">
        <w:t xml:space="preserve">. </w:t>
      </w:r>
      <w:r w:rsidRPr="788AEF87" w:rsidR="200B37C3">
        <w:t>She</w:t>
      </w:r>
      <w:r w:rsidRPr="788AEF87">
        <w:t xml:space="preserve"> raises </w:t>
      </w:r>
      <w:r w:rsidRPr="788AEF87" w:rsidR="02F9D9F9">
        <w:t>the</w:t>
      </w:r>
      <w:r w:rsidRPr="788AEF87">
        <w:t xml:space="preserve"> question </w:t>
      </w:r>
      <w:r w:rsidRPr="788AEF87" w:rsidR="77D7EDEC">
        <w:t xml:space="preserve">of </w:t>
      </w:r>
      <w:r w:rsidRPr="788AEF87">
        <w:t xml:space="preserve">what role the European Union should play and what form of political action it can undertake, </w:t>
      </w:r>
      <w:r w:rsidRPr="788AEF87" w:rsidR="1C2D7120">
        <w:t xml:space="preserve">while </w:t>
      </w:r>
      <w:r w:rsidRPr="788AEF87">
        <w:t xml:space="preserve">at the same time </w:t>
      </w:r>
      <w:r w:rsidRPr="788AEF87" w:rsidR="7BEBED1C">
        <w:t xml:space="preserve">requesting </w:t>
      </w:r>
      <w:r w:rsidRPr="788AEF87">
        <w:t xml:space="preserve">that the Commission places building peace as </w:t>
      </w:r>
      <w:r w:rsidRPr="788AEF87" w:rsidR="34DEFB06">
        <w:t>an</w:t>
      </w:r>
      <w:r w:rsidRPr="788AEF87">
        <w:t xml:space="preserve"> absolute priority on its agenda.</w:t>
      </w:r>
    </w:p>
    <w:p w:rsidR="52DA63C2" w:rsidP="788AEF87" w:rsidRDefault="52DA63C2" w14:paraId="145B0DBF" w14:textId="4406391A">
      <w:pPr>
        <w:spacing w:after="160" w:line="276" w:lineRule="auto"/>
      </w:pPr>
      <w:r w:rsidRPr="788AEF87">
        <w:t>The EESC President gives the floor back to the rapporteurs for their replies and concluding remarks.</w:t>
      </w:r>
    </w:p>
    <w:p w:rsidR="52DA63C2" w:rsidP="788AEF87" w:rsidRDefault="52DA63C2" w14:paraId="2A195DA4" w14:textId="4912FE91">
      <w:pPr>
        <w:spacing w:after="160" w:line="276" w:lineRule="auto"/>
      </w:pPr>
      <w:r w:rsidRPr="001366CB">
        <w:rPr>
          <w:b/>
          <w:bCs/>
        </w:rPr>
        <w:t xml:space="preserve">Mr Nowacki </w:t>
      </w:r>
      <w:r w:rsidRPr="788AEF87">
        <w:t xml:space="preserve">fully agrees that peace is of critical importance. He considers that it stems from Europe’s strength, emanating from an integrated Single Market: </w:t>
      </w:r>
      <w:r w:rsidRPr="788AEF87" w:rsidR="65D2A4F4">
        <w:t>i</w:t>
      </w:r>
      <w:r w:rsidRPr="788AEF87">
        <w:t xml:space="preserve">f the European economy is genuinely strong at global level, the Union will have the means and tools to contribute effectively to international peace agreements. Another </w:t>
      </w:r>
      <w:r w:rsidRPr="788AEF87" w:rsidR="2E58C3B2">
        <w:t xml:space="preserve">key </w:t>
      </w:r>
      <w:r w:rsidRPr="788AEF87">
        <w:t>component are security and the defence coordination. The resolution does</w:t>
      </w:r>
      <w:r w:rsidRPr="788AEF87" w:rsidR="3A713864">
        <w:t xml:space="preserve"> </w:t>
      </w:r>
      <w:r w:rsidRPr="788AEF87" w:rsidR="74094196">
        <w:t>not</w:t>
      </w:r>
      <w:r w:rsidRPr="788AEF87">
        <w:t xml:space="preserve"> call for an integrated European army or military structure, but rather for coordination, financing and the building of industrial capacity so that Europe is in a position to defend itself if necessary. Finally, he refers to the Union’s international </w:t>
      </w:r>
      <w:r w:rsidRPr="788AEF87" w:rsidR="4D4D2B82">
        <w:t>role</w:t>
      </w:r>
      <w:r w:rsidRPr="788AEF87">
        <w:t xml:space="preserve"> in relation to conflicts such as Ukraine, where the EU  demonstrate</w:t>
      </w:r>
      <w:r w:rsidRPr="788AEF87" w:rsidR="1870AE3D">
        <w:t xml:space="preserve">s </w:t>
      </w:r>
      <w:r w:rsidRPr="788AEF87">
        <w:t>its capacity to provide financing and to put forward proposals aimed at reaching agreements. He concludes by reiterating that peace remains essential, but that Europe’s ability to promote it depends on its economic and strategic strength.</w:t>
      </w:r>
    </w:p>
    <w:p w:rsidR="52DA63C2" w:rsidP="788AEF87" w:rsidRDefault="52DA63C2" w14:paraId="622AD0CF" w14:textId="463F7542">
      <w:pPr>
        <w:spacing w:after="160" w:line="276" w:lineRule="auto"/>
      </w:pPr>
      <w:r w:rsidRPr="001366CB">
        <w:rPr>
          <w:b/>
          <w:bCs/>
        </w:rPr>
        <w:t>Mr Trindade</w:t>
      </w:r>
      <w:r w:rsidRPr="788AEF87">
        <w:t xml:space="preserve"> </w:t>
      </w:r>
      <w:r w:rsidRPr="788AEF87" w:rsidR="3612A77B">
        <w:t>states</w:t>
      </w:r>
      <w:r w:rsidRPr="788AEF87">
        <w:t xml:space="preserve"> that he is convinced that, both inside and outside the Committee, the principal shared objective is to defend security, as this is central to Europe’s interests. In a world in which multilateralism </w:t>
      </w:r>
      <w:r w:rsidRPr="788AEF87" w:rsidR="3DA81C0F">
        <w:t>is</w:t>
      </w:r>
      <w:r w:rsidRPr="788AEF87">
        <w:t xml:space="preserve"> in crisis, Europe has to ensure its strategic autonomy. At the same time, a social economy requires an effectively functioning social system. The Union cannot continue to tolerate the various forms of exclusion, inequality and social hardship that still persist</w:t>
      </w:r>
      <w:r w:rsidRPr="788AEF87" w:rsidR="2BDD1B24">
        <w:t>s</w:t>
      </w:r>
      <w:r w:rsidRPr="788AEF87">
        <w:t xml:space="preserve"> in European society</w:t>
      </w:r>
      <w:r w:rsidRPr="788AEF87" w:rsidR="6646908C">
        <w:t>.</w:t>
      </w:r>
      <w:r w:rsidRPr="788AEF87">
        <w:t xml:space="preserve"> </w:t>
      </w:r>
      <w:r w:rsidRPr="788AEF87" w:rsidR="6A8E4CEA">
        <w:t>T</w:t>
      </w:r>
      <w:r w:rsidRPr="788AEF87">
        <w:t>herefore</w:t>
      </w:r>
      <w:r w:rsidRPr="788AEF87" w:rsidR="09F75EBE">
        <w:t>,</w:t>
      </w:r>
      <w:r w:rsidRPr="788AEF87">
        <w:t xml:space="preserve"> the resolution reflects this balance and </w:t>
      </w:r>
      <w:r w:rsidRPr="788AEF87" w:rsidR="0915E2E4">
        <w:t>calls for</w:t>
      </w:r>
      <w:r w:rsidRPr="788AEF87">
        <w:t xml:space="preserve"> the right balance between social issues and defence and security</w:t>
      </w:r>
      <w:r w:rsidRPr="788AEF87" w:rsidR="2786F35A">
        <w:t>, while promoting</w:t>
      </w:r>
      <w:r w:rsidRPr="788AEF87">
        <w:t xml:space="preserve"> a comprehensive vision combining strategic autonomy with social justice, well-being and welfare.</w:t>
      </w:r>
    </w:p>
    <w:p w:rsidR="52DA63C2" w:rsidP="788AEF87" w:rsidRDefault="52DA63C2" w14:paraId="342154C0" w14:textId="5F33D7DD">
      <w:r w:rsidRPr="001366CB">
        <w:rPr>
          <w:b/>
          <w:bCs/>
        </w:rPr>
        <w:t>Ms Pavić-Rogošić</w:t>
      </w:r>
      <w:r w:rsidRPr="788AEF87">
        <w:t xml:space="preserve"> adds that the world </w:t>
      </w:r>
      <w:r w:rsidRPr="788AEF87" w:rsidR="5F6F58EA">
        <w:t>i</w:t>
      </w:r>
      <w:r w:rsidRPr="788AEF87">
        <w:t>s changing rapidly and generating new challenges, which means that joint action and preparedness are essential</w:t>
      </w:r>
      <w:r w:rsidRPr="788AEF87" w:rsidR="6E1BEBA3">
        <w:t xml:space="preserve">. </w:t>
      </w:r>
      <w:r w:rsidRPr="788AEF87" w:rsidR="4ABC8DF4">
        <w:t>I</w:t>
      </w:r>
      <w:r w:rsidRPr="788AEF87">
        <w:t>ndividual positions cannot lead to meaningful results</w:t>
      </w:r>
      <w:r w:rsidRPr="788AEF87" w:rsidR="59424ACD">
        <w:t>; only</w:t>
      </w:r>
      <w:r w:rsidRPr="788AEF87">
        <w:t xml:space="preserve"> a common path that leave</w:t>
      </w:r>
      <w:r w:rsidRPr="788AEF87" w:rsidR="25BE08EC">
        <w:t>s</w:t>
      </w:r>
      <w:r w:rsidRPr="788AEF87">
        <w:t xml:space="preserve"> no one behind. In this sense,  building relations with other like-minded countries is </w:t>
      </w:r>
      <w:r w:rsidRPr="788AEF87" w:rsidR="31B87C05">
        <w:t xml:space="preserve">also </w:t>
      </w:r>
      <w:r w:rsidRPr="788AEF87">
        <w:t xml:space="preserve">essential. She </w:t>
      </w:r>
      <w:r w:rsidRPr="788AEF87" w:rsidR="7A3F21BA">
        <w:t>further</w:t>
      </w:r>
      <w:r w:rsidRPr="788AEF87">
        <w:t xml:space="preserve"> stresses the importance of readiness, adding that preparedness is not to be understood solely in terms of weapons production, but also in terms of preparing citizens for potential conflicts and </w:t>
      </w:r>
      <w:r w:rsidRPr="788AEF87" w:rsidR="365F442F">
        <w:t>appropriate responses</w:t>
      </w:r>
      <w:r w:rsidRPr="788AEF87">
        <w:t>. She acknowledges that finding common solutions is difficult</w:t>
      </w:r>
      <w:r w:rsidRPr="788AEF87" w:rsidR="5171EFE8">
        <w:t>,</w:t>
      </w:r>
      <w:r w:rsidRPr="788AEF87">
        <w:t xml:space="preserve"> but highlights that this is precisely the task the Committee faces.</w:t>
      </w:r>
    </w:p>
    <w:p w:rsidRPr="00A67235" w:rsidR="000E4B6B" w:rsidP="00EC0F0F" w:rsidRDefault="000E4B6B" w14:paraId="2FBD0349" w14:textId="77777777"/>
    <w:p w:rsidRPr="00A67235" w:rsidR="000E4B6B" w:rsidP="00EC0F0F" w:rsidRDefault="2D3C7EE0" w14:paraId="3A73E4F8" w14:textId="67BA181F">
      <w:r>
        <w:t xml:space="preserve">The </w:t>
      </w:r>
      <w:r w:rsidR="5E7EA711">
        <w:t>resolution</w:t>
      </w:r>
      <w:r>
        <w:t xml:space="preserve"> was adopted by</w:t>
      </w:r>
      <w:r w:rsidR="657B794B">
        <w:t xml:space="preserve"> </w:t>
      </w:r>
      <w:r w:rsidR="5E7EA711">
        <w:t>174 votes to 5 and 6 abstentions</w:t>
      </w:r>
      <w:r>
        <w:t>.</w:t>
      </w:r>
    </w:p>
    <w:p w:rsidRPr="00A67235" w:rsidR="000E4B6B" w:rsidP="00EC0F0F" w:rsidRDefault="000E4B6B" w14:paraId="0B23E20E" w14:textId="77777777">
      <w:pPr>
        <w:jc w:val="center"/>
      </w:pPr>
      <w:r w:rsidRPr="00A67235">
        <w:t>_____________</w:t>
      </w:r>
    </w:p>
    <w:sectPr w:rsidRPr="00A67235" w:rsidR="000E4B6B" w:rsidSect="00EC0F0F">
      <w:footerReference w:type="default" r:id="rId11"/>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61AB" w14:textId="77777777" w:rsidR="00CE7520" w:rsidRDefault="00CE7520">
      <w:r>
        <w:separator/>
      </w:r>
    </w:p>
  </w:endnote>
  <w:endnote w:type="continuationSeparator" w:id="0">
    <w:p w14:paraId="5D46090B" w14:textId="77777777" w:rsidR="00CE7520" w:rsidRDefault="00C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62AE" w14:textId="1C9A1AE2" w:rsidR="00964A13" w:rsidRPr="00964A13" w:rsidRDefault="00964A13" w:rsidP="00964A13">
    <w:pPr>
      <w:pStyle w:val="Footer"/>
    </w:pPr>
    <w:r>
      <w:t>EESC-</w:t>
    </w:r>
    <w:r w:rsidR="00DC7C35">
      <w:t>2026</w:t>
    </w:r>
    <w:r>
      <w:t>-</w:t>
    </w:r>
    <w:r w:rsidR="00DC7C35">
      <w:t>00530</w:t>
    </w:r>
    <w:r>
      <w:t>-</w:t>
    </w:r>
    <w:r w:rsidR="00DC7C35">
      <w:t>00</w:t>
    </w:r>
    <w:r>
      <w:t>-</w:t>
    </w:r>
    <w:r w:rsidR="00DC7C35">
      <w:t>00</w:t>
    </w:r>
    <w:r>
      <w:t>-CR-REF (</w:t>
    </w:r>
    <w:r w:rsidR="00DC7C35">
      <w:t>EN</w:t>
    </w:r>
    <w:r>
      <w:t xml:space="preserve">) </w:t>
    </w:r>
    <w:r>
      <w:fldChar w:fldCharType="begin"/>
    </w:r>
    <w:r>
      <w:instrText xml:space="preserve"> PAGE  \* Arabic  \* MERGEFORMAT </w:instrText>
    </w:r>
    <w:r>
      <w:fldChar w:fldCharType="separate"/>
    </w:r>
    <w:r w:rsidR="00461D34">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461D34">
      <w:rPr>
        <w:noProof/>
      </w:rPr>
      <w:instrText>1</w:instrText>
    </w:r>
    <w:r>
      <w:fldChar w:fldCharType="end"/>
    </w:r>
    <w:r>
      <w:instrText xml:space="preserve"> -0 </w:instrText>
    </w:r>
    <w:r>
      <w:fldChar w:fldCharType="separate"/>
    </w:r>
    <w:r w:rsidR="00461D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CABA" w14:textId="77777777" w:rsidR="00CE7520" w:rsidRDefault="00CE7520">
      <w:r>
        <w:separator/>
      </w:r>
    </w:p>
  </w:footnote>
  <w:footnote w:type="continuationSeparator" w:id="0">
    <w:p w14:paraId="23F7F83C" w14:textId="77777777" w:rsidR="00CE7520" w:rsidRDefault="00CE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12B64"/>
    <w:rsid w:val="00036097"/>
    <w:rsid w:val="000918FA"/>
    <w:rsid w:val="000B0E50"/>
    <w:rsid w:val="000B3441"/>
    <w:rsid w:val="000B52CC"/>
    <w:rsid w:val="000D6AA3"/>
    <w:rsid w:val="000E4B6B"/>
    <w:rsid w:val="000F03D6"/>
    <w:rsid w:val="00134E96"/>
    <w:rsid w:val="001366CB"/>
    <w:rsid w:val="00143A71"/>
    <w:rsid w:val="0015330A"/>
    <w:rsid w:val="00165632"/>
    <w:rsid w:val="001766AB"/>
    <w:rsid w:val="00177DAC"/>
    <w:rsid w:val="001C7254"/>
    <w:rsid w:val="002120A6"/>
    <w:rsid w:val="002346F9"/>
    <w:rsid w:val="002601CF"/>
    <w:rsid w:val="00273FDB"/>
    <w:rsid w:val="002925F3"/>
    <w:rsid w:val="00297572"/>
    <w:rsid w:val="00320C0B"/>
    <w:rsid w:val="00320EFB"/>
    <w:rsid w:val="003439B0"/>
    <w:rsid w:val="003876B5"/>
    <w:rsid w:val="00392924"/>
    <w:rsid w:val="003C15D7"/>
    <w:rsid w:val="003C1B33"/>
    <w:rsid w:val="003C2604"/>
    <w:rsid w:val="003D7378"/>
    <w:rsid w:val="003E1619"/>
    <w:rsid w:val="00423299"/>
    <w:rsid w:val="00460CC5"/>
    <w:rsid w:val="00461D34"/>
    <w:rsid w:val="004A0843"/>
    <w:rsid w:val="004A75DC"/>
    <w:rsid w:val="005460CF"/>
    <w:rsid w:val="00564B0D"/>
    <w:rsid w:val="00590164"/>
    <w:rsid w:val="00590C1E"/>
    <w:rsid w:val="005C0B84"/>
    <w:rsid w:val="005E1A79"/>
    <w:rsid w:val="00646E27"/>
    <w:rsid w:val="00664808"/>
    <w:rsid w:val="006D6317"/>
    <w:rsid w:val="00715DD6"/>
    <w:rsid w:val="0073571F"/>
    <w:rsid w:val="007522A9"/>
    <w:rsid w:val="0075230C"/>
    <w:rsid w:val="007566DC"/>
    <w:rsid w:val="007749A5"/>
    <w:rsid w:val="007A05B9"/>
    <w:rsid w:val="007C4984"/>
    <w:rsid w:val="007C6A55"/>
    <w:rsid w:val="007D06DE"/>
    <w:rsid w:val="007DE8D9"/>
    <w:rsid w:val="00805AB9"/>
    <w:rsid w:val="00815851"/>
    <w:rsid w:val="00826375"/>
    <w:rsid w:val="00862EFF"/>
    <w:rsid w:val="00895D7F"/>
    <w:rsid w:val="008A371F"/>
    <w:rsid w:val="008E0097"/>
    <w:rsid w:val="008E7DBE"/>
    <w:rsid w:val="008F2211"/>
    <w:rsid w:val="00911202"/>
    <w:rsid w:val="009326E3"/>
    <w:rsid w:val="00960810"/>
    <w:rsid w:val="00960E3B"/>
    <w:rsid w:val="00961F04"/>
    <w:rsid w:val="00964A13"/>
    <w:rsid w:val="009E138D"/>
    <w:rsid w:val="00A14D3A"/>
    <w:rsid w:val="00A53158"/>
    <w:rsid w:val="00A64D59"/>
    <w:rsid w:val="00A67235"/>
    <w:rsid w:val="00A8751A"/>
    <w:rsid w:val="00AF611B"/>
    <w:rsid w:val="00B0469C"/>
    <w:rsid w:val="00B74A51"/>
    <w:rsid w:val="00BB4FA5"/>
    <w:rsid w:val="00BE7410"/>
    <w:rsid w:val="00C05B64"/>
    <w:rsid w:val="00C4683E"/>
    <w:rsid w:val="00C87758"/>
    <w:rsid w:val="00CE7520"/>
    <w:rsid w:val="00D1286B"/>
    <w:rsid w:val="00D54F5F"/>
    <w:rsid w:val="00D806A2"/>
    <w:rsid w:val="00DC7C35"/>
    <w:rsid w:val="00DD05A8"/>
    <w:rsid w:val="00E05A9A"/>
    <w:rsid w:val="00E24886"/>
    <w:rsid w:val="00E55BBF"/>
    <w:rsid w:val="00E70261"/>
    <w:rsid w:val="00E92217"/>
    <w:rsid w:val="00EC0F0F"/>
    <w:rsid w:val="00EC298F"/>
    <w:rsid w:val="00ED6BB4"/>
    <w:rsid w:val="00F01EB5"/>
    <w:rsid w:val="00F6627C"/>
    <w:rsid w:val="00F90F55"/>
    <w:rsid w:val="00F97610"/>
    <w:rsid w:val="00FC13E0"/>
    <w:rsid w:val="01DFB2AD"/>
    <w:rsid w:val="01E156B4"/>
    <w:rsid w:val="02990878"/>
    <w:rsid w:val="02F9D9F9"/>
    <w:rsid w:val="0861000D"/>
    <w:rsid w:val="0915E2E4"/>
    <w:rsid w:val="09F75EBE"/>
    <w:rsid w:val="0E50D3E9"/>
    <w:rsid w:val="0EE9CDE7"/>
    <w:rsid w:val="101E747C"/>
    <w:rsid w:val="10D55E66"/>
    <w:rsid w:val="10FF85B0"/>
    <w:rsid w:val="1185A90C"/>
    <w:rsid w:val="138BFE08"/>
    <w:rsid w:val="1870AE3D"/>
    <w:rsid w:val="19F3DC31"/>
    <w:rsid w:val="1A865146"/>
    <w:rsid w:val="1C2D7120"/>
    <w:rsid w:val="200B37C3"/>
    <w:rsid w:val="225E5264"/>
    <w:rsid w:val="22789E6D"/>
    <w:rsid w:val="227F14AB"/>
    <w:rsid w:val="251F620C"/>
    <w:rsid w:val="25BE08EC"/>
    <w:rsid w:val="26E4DD79"/>
    <w:rsid w:val="2786F35A"/>
    <w:rsid w:val="289E8A1E"/>
    <w:rsid w:val="28F77253"/>
    <w:rsid w:val="2B086124"/>
    <w:rsid w:val="2BDD1B24"/>
    <w:rsid w:val="2C12BAA3"/>
    <w:rsid w:val="2CC3483F"/>
    <w:rsid w:val="2D2B8C9A"/>
    <w:rsid w:val="2D3C7EE0"/>
    <w:rsid w:val="2E58C3B2"/>
    <w:rsid w:val="30C5BF5F"/>
    <w:rsid w:val="3116623D"/>
    <w:rsid w:val="31B87C05"/>
    <w:rsid w:val="345A4E8F"/>
    <w:rsid w:val="34DEFB06"/>
    <w:rsid w:val="3612A77B"/>
    <w:rsid w:val="365F442F"/>
    <w:rsid w:val="390C86D4"/>
    <w:rsid w:val="3929F431"/>
    <w:rsid w:val="3A713864"/>
    <w:rsid w:val="3AB44AFE"/>
    <w:rsid w:val="3AB57293"/>
    <w:rsid w:val="3B686B9E"/>
    <w:rsid w:val="3C3B78F4"/>
    <w:rsid w:val="3DA81C0F"/>
    <w:rsid w:val="3DC70232"/>
    <w:rsid w:val="3E6D5381"/>
    <w:rsid w:val="42491E5E"/>
    <w:rsid w:val="472B8F89"/>
    <w:rsid w:val="472D9402"/>
    <w:rsid w:val="477FEE25"/>
    <w:rsid w:val="495AD962"/>
    <w:rsid w:val="4ABC8DF4"/>
    <w:rsid w:val="4C30E14D"/>
    <w:rsid w:val="4D4D2B82"/>
    <w:rsid w:val="4EC6A275"/>
    <w:rsid w:val="505F0784"/>
    <w:rsid w:val="5171EFE8"/>
    <w:rsid w:val="5236E3A1"/>
    <w:rsid w:val="52DA63C2"/>
    <w:rsid w:val="558265FD"/>
    <w:rsid w:val="5633AA70"/>
    <w:rsid w:val="59424ACD"/>
    <w:rsid w:val="5975A3A9"/>
    <w:rsid w:val="5A182B3E"/>
    <w:rsid w:val="5BB26DBD"/>
    <w:rsid w:val="5BE5F671"/>
    <w:rsid w:val="5E7EA711"/>
    <w:rsid w:val="5F6F58EA"/>
    <w:rsid w:val="5FD3A190"/>
    <w:rsid w:val="63B52BA9"/>
    <w:rsid w:val="657B794B"/>
    <w:rsid w:val="65D2A4F4"/>
    <w:rsid w:val="65E6B7DF"/>
    <w:rsid w:val="6646908C"/>
    <w:rsid w:val="678C6A3E"/>
    <w:rsid w:val="68733159"/>
    <w:rsid w:val="699BACA7"/>
    <w:rsid w:val="6A8E4CEA"/>
    <w:rsid w:val="6D14D456"/>
    <w:rsid w:val="6E1BEBA3"/>
    <w:rsid w:val="74094196"/>
    <w:rsid w:val="7463E947"/>
    <w:rsid w:val="75378A25"/>
    <w:rsid w:val="75DE6BF1"/>
    <w:rsid w:val="77D7EDEC"/>
    <w:rsid w:val="788AEF87"/>
    <w:rsid w:val="7A3F21BA"/>
    <w:rsid w:val="7BEBED1C"/>
    <w:rsid w:val="7D3174D5"/>
    <w:rsid w:val="7E12FB49"/>
    <w:rsid w:val="7EA3B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7CC2BDC2-E25F-4C82-809C-C4994D3E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2"/>
      </w:numPr>
      <w:ind w:left="567" w:hanging="567"/>
      <w:outlineLvl w:val="0"/>
    </w:pPr>
    <w:rPr>
      <w:kern w:val="28"/>
    </w:rPr>
  </w:style>
  <w:style w:type="paragraph" w:styleId="Heading2">
    <w:name w:val="heading 2"/>
    <w:basedOn w:val="Normal"/>
    <w:next w:val="Normal"/>
    <w:link w:val="Heading2Char"/>
    <w:qFormat/>
    <w:rsid w:val="00A67235"/>
    <w:pPr>
      <w:numPr>
        <w:ilvl w:val="1"/>
        <w:numId w:val="2"/>
      </w:numPr>
      <w:ind w:left="567" w:hanging="567"/>
      <w:outlineLvl w:val="1"/>
    </w:pPr>
  </w:style>
  <w:style w:type="paragraph" w:styleId="Heading3">
    <w:name w:val="heading 3"/>
    <w:basedOn w:val="Normal"/>
    <w:next w:val="Normal"/>
    <w:link w:val="Heading3Char"/>
    <w:qFormat/>
    <w:rsid w:val="00A67235"/>
    <w:pPr>
      <w:numPr>
        <w:ilvl w:val="2"/>
        <w:numId w:val="2"/>
      </w:numPr>
      <w:ind w:left="567" w:hanging="567"/>
      <w:outlineLvl w:val="2"/>
    </w:pPr>
  </w:style>
  <w:style w:type="paragraph" w:styleId="Heading4">
    <w:name w:val="heading 4"/>
    <w:basedOn w:val="Normal"/>
    <w:next w:val="Normal"/>
    <w:link w:val="Heading4Char"/>
    <w:qFormat/>
    <w:rsid w:val="00A67235"/>
    <w:pPr>
      <w:numPr>
        <w:ilvl w:val="3"/>
        <w:numId w:val="2"/>
      </w:numPr>
      <w:ind w:left="567" w:hanging="567"/>
      <w:outlineLvl w:val="3"/>
    </w:pPr>
  </w:style>
  <w:style w:type="paragraph" w:styleId="Heading5">
    <w:name w:val="heading 5"/>
    <w:basedOn w:val="Normal"/>
    <w:next w:val="Normal"/>
    <w:link w:val="Heading5Char"/>
    <w:qFormat/>
    <w:rsid w:val="00A67235"/>
    <w:pPr>
      <w:numPr>
        <w:ilvl w:val="4"/>
        <w:numId w:val="2"/>
      </w:numPr>
      <w:ind w:left="567" w:hanging="567"/>
      <w:outlineLvl w:val="4"/>
    </w:pPr>
  </w:style>
  <w:style w:type="paragraph" w:styleId="Heading6">
    <w:name w:val="heading 6"/>
    <w:basedOn w:val="Normal"/>
    <w:next w:val="Normal"/>
    <w:link w:val="Heading6Char"/>
    <w:qFormat/>
    <w:rsid w:val="00A67235"/>
    <w:pPr>
      <w:numPr>
        <w:ilvl w:val="5"/>
        <w:numId w:val="2"/>
      </w:numPr>
      <w:ind w:left="567" w:hanging="567"/>
      <w:outlineLvl w:val="5"/>
    </w:pPr>
  </w:style>
  <w:style w:type="paragraph" w:styleId="Heading7">
    <w:name w:val="heading 7"/>
    <w:basedOn w:val="Normal"/>
    <w:next w:val="Normal"/>
    <w:link w:val="Heading7Char"/>
    <w:qFormat/>
    <w:rsid w:val="00A67235"/>
    <w:pPr>
      <w:numPr>
        <w:ilvl w:val="6"/>
        <w:numId w:val="2"/>
      </w:numPr>
      <w:ind w:left="567" w:hanging="567"/>
      <w:outlineLvl w:val="6"/>
    </w:pPr>
  </w:style>
  <w:style w:type="paragraph" w:styleId="Heading8">
    <w:name w:val="heading 8"/>
    <w:basedOn w:val="Normal"/>
    <w:next w:val="Normal"/>
    <w:link w:val="Heading8Char"/>
    <w:qFormat/>
    <w:rsid w:val="00A67235"/>
    <w:pPr>
      <w:numPr>
        <w:ilvl w:val="7"/>
        <w:numId w:val="2"/>
      </w:numPr>
      <w:ind w:left="567" w:hanging="567"/>
      <w:outlineLvl w:val="7"/>
    </w:pPr>
  </w:style>
  <w:style w:type="paragraph" w:styleId="Heading9">
    <w:name w:val="heading 9"/>
    <w:basedOn w:val="Normal"/>
    <w:next w:val="Normal"/>
    <w:link w:val="Heading9Char"/>
    <w:qFormat/>
    <w:rsid w:val="00A67235"/>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3D7378"/>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VP3JK3XSEPRV-2087481956-11061</_dlc_DocId>
    <_dlc_DocIdUrl xmlns="7d640e6d-779c-472f-a269-6b546787f1c9">
      <Url>http://dm/eesc/2026/_layouts/15/DocIdRedir.aspx?ID=VP3JK3XSEPRV-2087481956-11061</Url>
      <Description>VP3JK3XSEPRV-2087481956-11061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2026-06-19T12:00:00+00:00</ProductionDate>
    <FicheYear xmlns="7d640e6d-779c-472f-a269-6b546787f1c9">2026</FicheYear>
    <DocumentNumber xmlns="a95533f8-59af-4217-bc7a-c1167744adb0">530</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79</Value>
      <Value>7</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TRINDADE &amp; NOWACKI &amp; MURAFA BENGA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6594</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2026-06-18T12:00:00+00:00</AdoptionDate>
    <RequestingService xmlns="7d640e6d-779c-472f-a269-6b546787f1c9">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01EE99ED-B326-47AD-90B7-CF3DD0EFCFE5}"/>
</file>

<file path=customXml/itemProps2.xml><?xml version="1.0" encoding="utf-8"?>
<ds:datastoreItem xmlns:ds="http://schemas.openxmlformats.org/officeDocument/2006/customXml" ds:itemID="{881B76C3-20CF-470F-AD19-87CDAF990EFA}"/>
</file>

<file path=customXml/itemProps3.xml><?xml version="1.0" encoding="utf-8"?>
<ds:datastoreItem xmlns:ds="http://schemas.openxmlformats.org/officeDocument/2006/customXml" ds:itemID="{FE5A920C-8195-40A2-9791-291701B6D01C}"/>
</file>

<file path=customXml/itemProps4.xml><?xml version="1.0" encoding="utf-8"?>
<ds:datastoreItem xmlns:ds="http://schemas.openxmlformats.org/officeDocument/2006/customXml" ds:itemID="{BD910123-34E4-4AA7-B26D-B841D760FAC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6715</Characters>
  <Application>Microsoft Office Word</Application>
  <DocSecurity>0</DocSecurity>
  <Lines>55</Lines>
  <Paragraphs>15</Paragraphs>
  <ScaleCrop>false</ScaleCrop>
  <Company>CESE-CdR</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Resolution on the Committee's contribution to the European Commission's 2027 Work Programme</dc:title>
  <dc:subject>Record of proceedings</dc:subject>
  <dc:creator>Hilary Morris</dc:creator>
  <cp:keywords>EESC-2026-00530-00-00-CR-TRA-EN</cp:keywords>
  <dc:description>Rapporteur: - TRINDADE &amp; NOWACKI &amp; MURAFA BENGA Original language: - EN Date of document: - 19/06/2026 Date of meeting: -  External documents: -  Administrator responsible: -  RADMAN Maja</dc:description>
  <cp:lastModifiedBy>TDriveSVCUserProd</cp:lastModifiedBy>
  <cp:revision>24</cp:revision>
  <cp:lastPrinted>2004-02-16T15:16:00Z</cp:lastPrinted>
  <dcterms:created xsi:type="dcterms:W3CDTF">2026-06-18T08:35:00Z</dcterms:created>
  <dcterms:modified xsi:type="dcterms:W3CDTF">2026-06-19T15:34:00Z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edaa3cf4-99d9-4cb2-9530-8bc65299bc91</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530</vt:i4>
  </property>
  <property fmtid="{D5CDD505-2E9C-101B-9397-08002B2CF9AE}" pid="14" name="FicheYear">
    <vt:i4>2026</vt:i4>
  </property>
  <property fmtid="{D5CDD505-2E9C-101B-9397-08002B2CF9AE}" pid="15" name="DocumentVersion">
    <vt:i4>0</vt:i4>
  </property>
  <property fmtid="{D5CDD505-2E9C-101B-9397-08002B2CF9AE}" pid="16" name="DocumentStatus">
    <vt:lpwstr>17;#REF|722611fd-7eaf-44e3-8780-a3226646f5f0</vt:lpwstr>
  </property>
  <property fmtid="{D5CDD505-2E9C-101B-9397-08002B2CF9AE}" pid="17" name="DossierName">
    <vt:lpwstr/>
  </property>
  <property fmtid="{D5CDD505-2E9C-101B-9397-08002B2CF9AE}" pid="18" name="RequestingService">
    <vt:lpwstr>Transports, énergie, infrastructures et société de l'information</vt:lpwstr>
  </property>
  <property fmtid="{D5CDD505-2E9C-101B-9397-08002B2CF9AE}" pid="19" name="Confidentiality">
    <vt:lpwstr>19;#Unrestricted|826e22d7-d029-4ec0-a450-0c28ff673572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4;#EN|f2175f21-25d7-44a3-96da-d6a61b075e1b</vt:lpwstr>
  </property>
  <property fmtid="{D5CDD505-2E9C-101B-9397-08002B2CF9AE}" pid="23" name="MeetingName">
    <vt:lpwstr/>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79;#CR|3d8a0a7b-557a-49c4-997f-22056dbd9ff4;#7;#Final|ea5e6674-7b27-4bac-b091-73adbb394efe;#4;#EN|f2175f21-25d7-44a3-96da-d6a61b075e1b;#19;#Unrestricted|826e22d7-d029-4ec0-a450-0c28ff673572;#1;#EESC|422833ec-8d7e-4e65-8e4e-8bed07ffb729;#17;#REF|722611fd-7eaf-44e3-8780-a3226646f5f0</vt:lpwstr>
  </property>
  <property fmtid="{D5CDD505-2E9C-101B-9397-08002B2CF9AE}" pid="29" name="Rapporteur">
    <vt:lpwstr>TRINDADE &amp; NOWACKI &amp; MURAFA BENGA</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6594</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2026-06-18T12:00:00Z</vt:filetime>
  </property>
  <property fmtid="{D5CDD505-2E9C-101B-9397-08002B2CF9AE}" pid="37" name="DocumentType">
    <vt:lpwstr>79;#CR|3d8a0a7b-557a-49c4-997f-22056dbd9ff4</vt:lpwstr>
  </property>
  <property fmtid="{D5CDD505-2E9C-101B-9397-08002B2CF9AE}" pid="38" name="DocumentLanguage">
    <vt:lpwstr>4;#EN|f2175f21-25d7-44a3-96da-d6a61b075e1b</vt:lpwstr>
  </property>
  <property fmtid="{D5CDD505-2E9C-101B-9397-08002B2CF9AE}" pid="39" name="_docset_NoMedatataSyncRequired">
    <vt:lpwstr>False</vt:lpwstr>
  </property>
</Properties>
</file>