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E080" w14:textId="056C54AF" w:rsidR="00A23722" w:rsidRPr="00B3117E" w:rsidRDefault="00A23722" w:rsidP="00A23722">
      <w:pPr>
        <w:spacing w:line="360" w:lineRule="auto"/>
        <w:rPr>
          <w:rFonts w:ascii="Verdana" w:hAnsi="Verdana"/>
          <w:b/>
          <w:bCs/>
          <w:sz w:val="28"/>
          <w:szCs w:val="28"/>
          <w:lang w:val="en-GB"/>
        </w:rPr>
      </w:pPr>
      <w:r w:rsidRPr="00B3117E">
        <w:rPr>
          <w:rFonts w:ascii="Verdana" w:hAnsi="Verdana"/>
          <w:b/>
          <w:bCs/>
          <w:sz w:val="28"/>
          <w:szCs w:val="28"/>
          <w:lang w:val="en-GB"/>
        </w:rPr>
        <w:t xml:space="preserve">Europe </w:t>
      </w:r>
      <w:r w:rsidR="00C94453" w:rsidRPr="00B3117E">
        <w:rPr>
          <w:rFonts w:ascii="Verdana" w:hAnsi="Verdana"/>
          <w:b/>
          <w:bCs/>
          <w:sz w:val="28"/>
          <w:szCs w:val="28"/>
          <w:lang w:val="en-GB"/>
        </w:rPr>
        <w:t>m</w:t>
      </w:r>
      <w:r w:rsidRPr="00B3117E">
        <w:rPr>
          <w:rFonts w:ascii="Verdana" w:hAnsi="Verdana"/>
          <w:b/>
          <w:bCs/>
          <w:sz w:val="28"/>
          <w:szCs w:val="28"/>
          <w:lang w:val="en-GB"/>
        </w:rPr>
        <w:t xml:space="preserve">ust </w:t>
      </w:r>
      <w:r w:rsidR="00C94453" w:rsidRPr="00B3117E">
        <w:rPr>
          <w:rFonts w:ascii="Verdana" w:hAnsi="Verdana"/>
          <w:b/>
          <w:bCs/>
          <w:sz w:val="28"/>
          <w:szCs w:val="28"/>
          <w:lang w:val="en-GB"/>
        </w:rPr>
        <w:t>s</w:t>
      </w:r>
      <w:r w:rsidRPr="00B3117E">
        <w:rPr>
          <w:rFonts w:ascii="Verdana" w:hAnsi="Verdana"/>
          <w:b/>
          <w:bCs/>
          <w:sz w:val="28"/>
          <w:szCs w:val="28"/>
          <w:lang w:val="en-GB"/>
        </w:rPr>
        <w:t xml:space="preserve">eize the </w:t>
      </w:r>
      <w:r w:rsidR="00C94453" w:rsidRPr="00B3117E">
        <w:rPr>
          <w:rFonts w:ascii="Verdana" w:hAnsi="Verdana"/>
          <w:b/>
          <w:bCs/>
          <w:sz w:val="28"/>
          <w:szCs w:val="28"/>
          <w:lang w:val="en-GB"/>
        </w:rPr>
        <w:t>o</w:t>
      </w:r>
      <w:r w:rsidRPr="00B3117E">
        <w:rPr>
          <w:rFonts w:ascii="Verdana" w:hAnsi="Verdana"/>
          <w:b/>
          <w:bCs/>
          <w:sz w:val="28"/>
          <w:szCs w:val="28"/>
          <w:lang w:val="en-GB"/>
        </w:rPr>
        <w:t xml:space="preserve">pportunity to </w:t>
      </w:r>
      <w:r w:rsidR="00C94453" w:rsidRPr="00B3117E">
        <w:rPr>
          <w:rFonts w:ascii="Verdana" w:hAnsi="Verdana"/>
          <w:b/>
          <w:bCs/>
          <w:sz w:val="28"/>
          <w:szCs w:val="28"/>
          <w:lang w:val="en-GB"/>
        </w:rPr>
        <w:t>b</w:t>
      </w:r>
      <w:r w:rsidRPr="00B3117E">
        <w:rPr>
          <w:rFonts w:ascii="Verdana" w:hAnsi="Verdana"/>
          <w:b/>
          <w:bCs/>
          <w:sz w:val="28"/>
          <w:szCs w:val="28"/>
          <w:lang w:val="en-GB"/>
        </w:rPr>
        <w:t xml:space="preserve">uild a </w:t>
      </w:r>
      <w:r w:rsidR="00C94453" w:rsidRPr="00B3117E">
        <w:rPr>
          <w:rFonts w:ascii="Verdana" w:hAnsi="Verdana"/>
          <w:b/>
          <w:bCs/>
          <w:sz w:val="28"/>
          <w:szCs w:val="28"/>
          <w:lang w:val="en-GB"/>
        </w:rPr>
        <w:t>c</w:t>
      </w:r>
      <w:r w:rsidRPr="00B3117E">
        <w:rPr>
          <w:rFonts w:ascii="Verdana" w:hAnsi="Verdana"/>
          <w:b/>
          <w:bCs/>
          <w:sz w:val="28"/>
          <w:szCs w:val="28"/>
          <w:lang w:val="en-GB"/>
        </w:rPr>
        <w:t xml:space="preserve">ompetitive </w:t>
      </w:r>
      <w:r w:rsidR="00C94453" w:rsidRPr="00B3117E">
        <w:rPr>
          <w:rFonts w:ascii="Verdana" w:hAnsi="Verdana"/>
          <w:b/>
          <w:bCs/>
          <w:sz w:val="28"/>
          <w:szCs w:val="28"/>
          <w:lang w:val="en-GB"/>
        </w:rPr>
        <w:t>b</w:t>
      </w:r>
      <w:r w:rsidRPr="00B3117E">
        <w:rPr>
          <w:rFonts w:ascii="Verdana" w:hAnsi="Verdana"/>
          <w:b/>
          <w:bCs/>
          <w:sz w:val="28"/>
          <w:szCs w:val="28"/>
          <w:lang w:val="en-GB"/>
        </w:rPr>
        <w:t xml:space="preserve">attery </w:t>
      </w:r>
      <w:r w:rsidR="00C94453" w:rsidRPr="00B3117E">
        <w:rPr>
          <w:rFonts w:ascii="Verdana" w:hAnsi="Verdana"/>
          <w:b/>
          <w:bCs/>
          <w:sz w:val="28"/>
          <w:szCs w:val="28"/>
          <w:lang w:val="en-GB"/>
        </w:rPr>
        <w:t>i</w:t>
      </w:r>
      <w:r w:rsidRPr="00B3117E">
        <w:rPr>
          <w:rFonts w:ascii="Verdana" w:hAnsi="Verdana"/>
          <w:b/>
          <w:bCs/>
          <w:sz w:val="28"/>
          <w:szCs w:val="28"/>
          <w:lang w:val="en-GB"/>
        </w:rPr>
        <w:t>ndustry</w:t>
      </w:r>
    </w:p>
    <w:p w14:paraId="28049D29" w14:textId="77777777" w:rsidR="00A23722" w:rsidRPr="00B3117E" w:rsidRDefault="00A23722" w:rsidP="00A23722">
      <w:pPr>
        <w:spacing w:line="360" w:lineRule="auto"/>
        <w:rPr>
          <w:rFonts w:ascii="Verdana" w:hAnsi="Verdana"/>
          <w:sz w:val="18"/>
          <w:szCs w:val="18"/>
          <w:lang w:val="en-GB"/>
        </w:rPr>
      </w:pPr>
    </w:p>
    <w:p w14:paraId="44E31537" w14:textId="523784A2" w:rsidR="00A23722" w:rsidRPr="00B3117E" w:rsidRDefault="00A23722" w:rsidP="00A23722">
      <w:pPr>
        <w:spacing w:line="360" w:lineRule="auto"/>
        <w:rPr>
          <w:rFonts w:ascii="Verdana" w:hAnsi="Verdana"/>
          <w:b/>
          <w:bCs/>
          <w:sz w:val="18"/>
          <w:szCs w:val="18"/>
          <w:lang w:val="en-GB"/>
        </w:rPr>
      </w:pPr>
      <w:r w:rsidRPr="00B3117E">
        <w:rPr>
          <w:rFonts w:ascii="Verdana" w:hAnsi="Verdana"/>
          <w:b/>
          <w:bCs/>
          <w:sz w:val="18"/>
          <w:szCs w:val="18"/>
          <w:lang w:val="en-GB"/>
        </w:rPr>
        <w:t>The European Economic and Social Committee (EESC) held a</w:t>
      </w:r>
      <w:r w:rsidR="00C94453" w:rsidRPr="00B3117E">
        <w:rPr>
          <w:rFonts w:ascii="Verdana" w:hAnsi="Verdana"/>
          <w:b/>
          <w:bCs/>
          <w:sz w:val="18"/>
          <w:szCs w:val="18"/>
          <w:lang w:val="en-GB"/>
        </w:rPr>
        <w:t xml:space="preserve"> high-level</w:t>
      </w:r>
      <w:r w:rsidRPr="00B3117E">
        <w:rPr>
          <w:rFonts w:ascii="Verdana" w:hAnsi="Verdana"/>
          <w:b/>
          <w:bCs/>
          <w:sz w:val="18"/>
          <w:szCs w:val="18"/>
          <w:lang w:val="en-GB"/>
        </w:rPr>
        <w:t xml:space="preserve"> experts</w:t>
      </w:r>
      <w:r w:rsidR="00B3048A">
        <w:rPr>
          <w:rFonts w:ascii="Verdana" w:hAnsi="Verdana"/>
          <w:b/>
          <w:bCs/>
          <w:sz w:val="18"/>
          <w:szCs w:val="18"/>
          <w:lang w:val="en-GB"/>
        </w:rPr>
        <w:t>’</w:t>
      </w:r>
      <w:r w:rsidRPr="00B3117E">
        <w:rPr>
          <w:rFonts w:ascii="Verdana" w:hAnsi="Verdana"/>
          <w:b/>
          <w:bCs/>
          <w:sz w:val="18"/>
          <w:szCs w:val="18"/>
          <w:lang w:val="en-GB"/>
        </w:rPr>
        <w:t xml:space="preserve"> debate </w:t>
      </w:r>
      <w:r w:rsidR="00B3117E">
        <w:rPr>
          <w:rFonts w:ascii="Verdana" w:hAnsi="Verdana"/>
          <w:b/>
          <w:bCs/>
          <w:sz w:val="18"/>
          <w:szCs w:val="18"/>
          <w:lang w:val="en-GB"/>
        </w:rPr>
        <w:t xml:space="preserve">on the </w:t>
      </w:r>
      <w:r w:rsidR="00B3117E" w:rsidRPr="00B3117E">
        <w:rPr>
          <w:rFonts w:ascii="Verdana" w:hAnsi="Verdana"/>
          <w:b/>
          <w:bCs/>
          <w:sz w:val="18"/>
          <w:szCs w:val="18"/>
          <w:lang w:val="en-GB"/>
        </w:rPr>
        <w:t>European battery industry</w:t>
      </w:r>
      <w:r w:rsidR="00B3117E">
        <w:rPr>
          <w:rFonts w:ascii="Verdana" w:hAnsi="Verdana"/>
          <w:b/>
          <w:bCs/>
          <w:sz w:val="18"/>
          <w:szCs w:val="18"/>
          <w:lang w:val="en-GB"/>
        </w:rPr>
        <w:t xml:space="preserve"> which </w:t>
      </w:r>
      <w:r w:rsidR="00B3117E" w:rsidRPr="00B3117E">
        <w:rPr>
          <w:rFonts w:ascii="Verdana" w:hAnsi="Verdana"/>
          <w:b/>
          <w:bCs/>
          <w:sz w:val="18"/>
          <w:szCs w:val="18"/>
          <w:lang w:val="en-GB"/>
        </w:rPr>
        <w:t>call</w:t>
      </w:r>
      <w:r w:rsidR="00B3117E">
        <w:rPr>
          <w:rFonts w:ascii="Verdana" w:hAnsi="Verdana"/>
          <w:b/>
          <w:bCs/>
          <w:sz w:val="18"/>
          <w:szCs w:val="18"/>
          <w:lang w:val="en-GB"/>
        </w:rPr>
        <w:t>ed</w:t>
      </w:r>
      <w:r w:rsidR="00B3117E" w:rsidRPr="00B3117E">
        <w:rPr>
          <w:rFonts w:ascii="Verdana" w:hAnsi="Verdana"/>
          <w:b/>
          <w:bCs/>
          <w:sz w:val="18"/>
          <w:szCs w:val="18"/>
          <w:lang w:val="en-GB"/>
        </w:rPr>
        <w:t xml:space="preserve"> </w:t>
      </w:r>
      <w:r w:rsidRPr="00B3117E">
        <w:rPr>
          <w:rFonts w:ascii="Verdana" w:hAnsi="Verdana"/>
          <w:b/>
          <w:bCs/>
          <w:sz w:val="18"/>
          <w:szCs w:val="18"/>
          <w:lang w:val="en-GB"/>
        </w:rPr>
        <w:t>for urgent and coordinated action to strengthen Europe's battery ecosystem and secure its industrial future. By combining strategic investment, innovation, industrial capacity and social responsibility, the battery transition can become a genuine European success story.</w:t>
      </w:r>
    </w:p>
    <w:p w14:paraId="08918C4F" w14:textId="56B1C089" w:rsidR="00A23722" w:rsidRPr="00B3117E" w:rsidRDefault="00A23722" w:rsidP="00A23722">
      <w:pPr>
        <w:spacing w:line="360" w:lineRule="auto"/>
        <w:rPr>
          <w:rFonts w:ascii="Verdana" w:hAnsi="Verdana"/>
          <w:b/>
          <w:bCs/>
          <w:sz w:val="18"/>
          <w:szCs w:val="18"/>
          <w:lang w:val="en-GB"/>
        </w:rPr>
      </w:pPr>
    </w:p>
    <w:p w14:paraId="7BDCF08C" w14:textId="74E932AB" w:rsidR="00A23722" w:rsidRPr="00B3117E" w:rsidRDefault="00A23722" w:rsidP="00A23722">
      <w:pPr>
        <w:spacing w:line="360" w:lineRule="auto"/>
        <w:rPr>
          <w:rFonts w:ascii="Verdana" w:hAnsi="Verdana"/>
          <w:sz w:val="18"/>
          <w:szCs w:val="18"/>
          <w:lang w:val="en-GB"/>
        </w:rPr>
      </w:pPr>
      <w:r w:rsidRPr="00B3117E">
        <w:rPr>
          <w:rFonts w:ascii="Verdana" w:hAnsi="Verdana"/>
          <w:sz w:val="18"/>
          <w:szCs w:val="18"/>
          <w:lang w:val="en-GB"/>
        </w:rPr>
        <w:t>On 11 June, the Consultative Commission on Industrial Change (CCMI) of the European Economic and Social Committee (EESC) held a high-level debate</w:t>
      </w:r>
      <w:r w:rsidR="00B3117E">
        <w:rPr>
          <w:rFonts w:ascii="Verdana" w:hAnsi="Verdana"/>
          <w:sz w:val="18"/>
          <w:szCs w:val="18"/>
          <w:lang w:val="en-GB"/>
        </w:rPr>
        <w:t xml:space="preserve"> on </w:t>
      </w:r>
      <w:r w:rsidRPr="00B3117E">
        <w:rPr>
          <w:rFonts w:ascii="Verdana" w:hAnsi="Verdana"/>
          <w:i/>
          <w:iCs/>
          <w:sz w:val="18"/>
          <w:szCs w:val="18"/>
          <w:lang w:val="en-GB"/>
        </w:rPr>
        <w:t xml:space="preserve">The Future of the European battery </w:t>
      </w:r>
      <w:r w:rsidR="00B3117E">
        <w:rPr>
          <w:rFonts w:ascii="Verdana" w:hAnsi="Verdana"/>
          <w:i/>
          <w:iCs/>
          <w:sz w:val="18"/>
          <w:szCs w:val="18"/>
          <w:lang w:val="en-GB"/>
        </w:rPr>
        <w:t>i</w:t>
      </w:r>
      <w:r w:rsidRPr="00B3117E">
        <w:rPr>
          <w:rFonts w:ascii="Verdana" w:hAnsi="Verdana"/>
          <w:i/>
          <w:iCs/>
          <w:sz w:val="18"/>
          <w:szCs w:val="18"/>
          <w:lang w:val="en-GB"/>
        </w:rPr>
        <w:t>ndustry</w:t>
      </w:r>
      <w:r w:rsidR="00B3117E">
        <w:rPr>
          <w:rFonts w:ascii="Verdana" w:hAnsi="Verdana"/>
          <w:sz w:val="18"/>
          <w:szCs w:val="18"/>
          <w:lang w:val="en-GB"/>
        </w:rPr>
        <w:t>. The goal was</w:t>
      </w:r>
      <w:r w:rsidR="00B3117E" w:rsidRPr="00B3117E">
        <w:rPr>
          <w:rFonts w:ascii="Verdana" w:hAnsi="Verdana"/>
          <w:sz w:val="18"/>
          <w:szCs w:val="18"/>
          <w:lang w:val="en-GB"/>
        </w:rPr>
        <w:t xml:space="preserve"> </w:t>
      </w:r>
      <w:r w:rsidRPr="00B3117E">
        <w:rPr>
          <w:rFonts w:ascii="Verdana" w:hAnsi="Verdana"/>
          <w:sz w:val="18"/>
          <w:szCs w:val="18"/>
          <w:lang w:val="en-GB"/>
        </w:rPr>
        <w:t xml:space="preserve">to </w:t>
      </w:r>
      <w:r w:rsidR="00B3117E">
        <w:rPr>
          <w:rFonts w:ascii="Verdana" w:hAnsi="Verdana"/>
          <w:sz w:val="18"/>
          <w:szCs w:val="18"/>
          <w:lang w:val="en-GB"/>
        </w:rPr>
        <w:t>advance</w:t>
      </w:r>
      <w:r w:rsidR="00B3117E" w:rsidRPr="00B3117E">
        <w:rPr>
          <w:rFonts w:ascii="Verdana" w:hAnsi="Verdana"/>
          <w:sz w:val="18"/>
          <w:szCs w:val="18"/>
          <w:lang w:val="en-GB"/>
        </w:rPr>
        <w:t xml:space="preserve"> </w:t>
      </w:r>
      <w:r w:rsidRPr="00B3117E">
        <w:rPr>
          <w:rFonts w:ascii="Verdana" w:hAnsi="Verdana"/>
          <w:sz w:val="18"/>
          <w:szCs w:val="18"/>
          <w:lang w:val="en-GB"/>
        </w:rPr>
        <w:t>policy discussions on making Europe</w:t>
      </w:r>
      <w:r w:rsidR="00B3117E">
        <w:rPr>
          <w:rFonts w:ascii="Verdana" w:hAnsi="Verdana"/>
          <w:sz w:val="18"/>
          <w:szCs w:val="18"/>
          <w:lang w:val="en-GB"/>
        </w:rPr>
        <w:t>’</w:t>
      </w:r>
      <w:r w:rsidRPr="00B3117E">
        <w:rPr>
          <w:rFonts w:ascii="Verdana" w:hAnsi="Verdana"/>
          <w:sz w:val="18"/>
          <w:szCs w:val="18"/>
          <w:lang w:val="en-GB"/>
        </w:rPr>
        <w:t xml:space="preserve">s battery manufacturing industry stronger, with a focus on the strategic potential of sodium batteries. </w:t>
      </w:r>
    </w:p>
    <w:p w14:paraId="6CF071F9" w14:textId="77777777" w:rsidR="00A23722" w:rsidRPr="00B3117E" w:rsidRDefault="00A23722" w:rsidP="00A23722">
      <w:pPr>
        <w:spacing w:line="360" w:lineRule="auto"/>
        <w:rPr>
          <w:rFonts w:ascii="Verdana" w:hAnsi="Verdana"/>
          <w:sz w:val="18"/>
          <w:szCs w:val="18"/>
          <w:lang w:val="en-GB"/>
        </w:rPr>
      </w:pPr>
    </w:p>
    <w:p w14:paraId="4F2F91F7" w14:textId="7372089E" w:rsidR="00A23722" w:rsidRPr="00B3117E" w:rsidRDefault="00B3117E" w:rsidP="00A23722">
      <w:pPr>
        <w:spacing w:line="360" w:lineRule="auto"/>
        <w:rPr>
          <w:rFonts w:ascii="Verdana" w:hAnsi="Verdana"/>
          <w:sz w:val="18"/>
          <w:szCs w:val="18"/>
          <w:lang w:val="en-GB"/>
        </w:rPr>
      </w:pPr>
      <w:r w:rsidRPr="00B3117E">
        <w:rPr>
          <w:rFonts w:ascii="Verdana" w:hAnsi="Verdana"/>
          <w:b/>
          <w:bCs/>
          <w:sz w:val="18"/>
          <w:szCs w:val="18"/>
          <w:lang w:val="en-GB"/>
        </w:rPr>
        <w:t>Alain Coheur</w:t>
      </w:r>
      <w:r w:rsidRPr="00B3117E">
        <w:rPr>
          <w:rFonts w:ascii="Verdana" w:hAnsi="Verdana"/>
          <w:sz w:val="18"/>
          <w:szCs w:val="18"/>
          <w:lang w:val="en-GB"/>
        </w:rPr>
        <w:t>, President of the CCMI</w:t>
      </w:r>
      <w:r>
        <w:rPr>
          <w:rFonts w:ascii="Verdana" w:hAnsi="Verdana"/>
          <w:sz w:val="18"/>
          <w:szCs w:val="18"/>
          <w:lang w:val="en-GB"/>
        </w:rPr>
        <w:t>, pointed out that</w:t>
      </w:r>
      <w:r w:rsidRPr="00B3117E" w:rsidDel="00B3117E">
        <w:rPr>
          <w:rFonts w:ascii="Verdana" w:hAnsi="Verdana"/>
          <w:sz w:val="18"/>
          <w:szCs w:val="18"/>
          <w:lang w:val="en-GB"/>
        </w:rPr>
        <w:t xml:space="preserve"> </w:t>
      </w:r>
      <w:r>
        <w:rPr>
          <w:rFonts w:ascii="Verdana" w:hAnsi="Verdana"/>
          <w:sz w:val="18"/>
          <w:szCs w:val="18"/>
          <w:lang w:val="en-GB"/>
        </w:rPr>
        <w:t>‘</w:t>
      </w:r>
      <w:r w:rsidR="00A23722" w:rsidRPr="00B3117E">
        <w:rPr>
          <w:rFonts w:ascii="Verdana" w:hAnsi="Verdana"/>
          <w:sz w:val="18"/>
          <w:szCs w:val="18"/>
          <w:lang w:val="en-GB"/>
        </w:rPr>
        <w:t>Europe’s battery industry faces significant challenges, including intense global competition, high production costs, vulnerabilities in the supply chain and growing technological rivalry. Yet batteries are not just another industrial product. They are a key enabling technology for industrial change, whether from the perspective of decarbonisation, energy security or industrial leadership</w:t>
      </w:r>
      <w:r>
        <w:rPr>
          <w:rFonts w:ascii="Verdana" w:hAnsi="Verdana"/>
          <w:sz w:val="18"/>
          <w:szCs w:val="18"/>
          <w:lang w:val="en-GB"/>
        </w:rPr>
        <w:t>.’</w:t>
      </w:r>
      <w:r w:rsidR="00A23722" w:rsidRPr="00B3117E">
        <w:rPr>
          <w:rFonts w:ascii="Verdana" w:hAnsi="Verdana"/>
          <w:sz w:val="18"/>
          <w:szCs w:val="18"/>
          <w:lang w:val="en-GB"/>
        </w:rPr>
        <w:t xml:space="preserve"> </w:t>
      </w:r>
    </w:p>
    <w:p w14:paraId="5F22D5CD" w14:textId="77777777" w:rsidR="00A23722" w:rsidRPr="00B3117E" w:rsidRDefault="00A23722" w:rsidP="00A23722">
      <w:pPr>
        <w:spacing w:line="360" w:lineRule="auto"/>
        <w:rPr>
          <w:rFonts w:ascii="Verdana" w:hAnsi="Verdana"/>
          <w:sz w:val="18"/>
          <w:szCs w:val="18"/>
          <w:lang w:val="en-GB"/>
        </w:rPr>
      </w:pPr>
    </w:p>
    <w:p w14:paraId="4A45C15C" w14:textId="6EFF9C7A" w:rsidR="00A23722" w:rsidRPr="00B3117E" w:rsidRDefault="00A23722" w:rsidP="00A23722">
      <w:pPr>
        <w:spacing w:line="360" w:lineRule="auto"/>
        <w:rPr>
          <w:rFonts w:ascii="Verdana" w:hAnsi="Verdana"/>
          <w:sz w:val="18"/>
          <w:szCs w:val="18"/>
          <w:lang w:val="en-GB"/>
        </w:rPr>
      </w:pPr>
      <w:r w:rsidRPr="00B3117E">
        <w:rPr>
          <w:rFonts w:ascii="Verdana" w:hAnsi="Verdana"/>
          <w:sz w:val="18"/>
          <w:szCs w:val="18"/>
          <w:lang w:val="en-GB"/>
        </w:rPr>
        <w:t>Therefore, Europe must simultaneously reduce its dependence on imported raw materials, compete with heavily subsidised global markets, ensure access to affordable energy for production, uphold high sustainability standards and safeguard quality industrial jobs.</w:t>
      </w:r>
    </w:p>
    <w:p w14:paraId="184D893F" w14:textId="18D45D41" w:rsidR="00A23722" w:rsidRPr="00BF7BEC" w:rsidRDefault="00A23722" w:rsidP="00A23722">
      <w:pPr>
        <w:spacing w:line="360" w:lineRule="auto"/>
        <w:rPr>
          <w:rFonts w:ascii="Verdana" w:hAnsi="Verdana"/>
          <w:sz w:val="18"/>
          <w:szCs w:val="18"/>
          <w:lang w:val="en-BE"/>
        </w:rPr>
      </w:pPr>
      <w:r w:rsidRPr="00B3117E">
        <w:rPr>
          <w:rFonts w:ascii="Verdana" w:hAnsi="Verdana"/>
          <w:sz w:val="18"/>
          <w:szCs w:val="18"/>
          <w:lang w:val="en-GB"/>
        </w:rPr>
        <w:t xml:space="preserve">As </w:t>
      </w:r>
      <w:r w:rsidRPr="00B3117E">
        <w:rPr>
          <w:rFonts w:ascii="Verdana" w:hAnsi="Verdana"/>
          <w:b/>
          <w:bCs/>
          <w:sz w:val="18"/>
          <w:szCs w:val="18"/>
          <w:lang w:val="en-GB"/>
        </w:rPr>
        <w:t>Thomas Pellerin Carlin</w:t>
      </w:r>
      <w:r w:rsidR="00B3117E">
        <w:rPr>
          <w:rFonts w:ascii="Verdana" w:hAnsi="Verdana"/>
          <w:b/>
          <w:bCs/>
          <w:sz w:val="18"/>
          <w:szCs w:val="18"/>
          <w:lang w:val="en-GB"/>
        </w:rPr>
        <w:t xml:space="preserve"> </w:t>
      </w:r>
      <w:r w:rsidR="00B3117E" w:rsidRPr="00BF7BEC">
        <w:rPr>
          <w:rFonts w:ascii="Verdana" w:hAnsi="Verdana"/>
          <w:b/>
          <w:bCs/>
          <w:sz w:val="18"/>
          <w:szCs w:val="18"/>
          <w:lang w:val="en-GB"/>
        </w:rPr>
        <w:t>MEP</w:t>
      </w:r>
      <w:r w:rsidRPr="00B3117E">
        <w:rPr>
          <w:rFonts w:ascii="Verdana" w:hAnsi="Verdana"/>
          <w:b/>
          <w:bCs/>
          <w:sz w:val="18"/>
          <w:szCs w:val="18"/>
          <w:lang w:val="en-GB"/>
        </w:rPr>
        <w:t xml:space="preserve"> </w:t>
      </w:r>
      <w:r w:rsidR="00B3117E">
        <w:rPr>
          <w:rFonts w:ascii="Verdana" w:hAnsi="Verdana"/>
          <w:sz w:val="18"/>
          <w:szCs w:val="18"/>
          <w:lang w:val="en-GB"/>
        </w:rPr>
        <w:t>said</w:t>
      </w:r>
      <w:r w:rsidRPr="00B3117E">
        <w:rPr>
          <w:rFonts w:ascii="Verdana" w:hAnsi="Verdana"/>
          <w:sz w:val="18"/>
          <w:szCs w:val="18"/>
          <w:lang w:val="en-GB"/>
        </w:rPr>
        <w:t>,</w:t>
      </w:r>
      <w:r w:rsidRPr="00B3117E">
        <w:rPr>
          <w:rFonts w:ascii="Verdana" w:hAnsi="Verdana"/>
          <w:b/>
          <w:bCs/>
          <w:sz w:val="18"/>
          <w:szCs w:val="18"/>
          <w:lang w:val="en-GB"/>
        </w:rPr>
        <w:t xml:space="preserve"> </w:t>
      </w:r>
      <w:r w:rsidR="00B3117E" w:rsidRPr="00BF7BEC">
        <w:rPr>
          <w:rFonts w:ascii="Verdana" w:hAnsi="Verdana"/>
          <w:sz w:val="18"/>
          <w:szCs w:val="18"/>
          <w:lang w:val="en-GB"/>
        </w:rPr>
        <w:t>‘</w:t>
      </w:r>
      <w:r w:rsidR="00BF7BEC" w:rsidRPr="00BF7BEC">
        <w:rPr>
          <w:rFonts w:ascii="Verdana" w:hAnsi="Verdana"/>
          <w:sz w:val="18"/>
          <w:szCs w:val="18"/>
          <w:lang w:val="en-BE"/>
        </w:rPr>
        <w:t>To ensure the emergence of an EU battery value chain, the EU must have a comprehensive and stable regulatory framework. Thanks to its CRMA, NZIA and Battery booster, it has the policy to supply batteries. But those batteries require a predictable demand, and this is where the CO2 standards for cars regulation is critical. If, as the far-right suggests it, we were to dismantle that regulation and providing zero predictability to battery manufacturers, we will see the death of this emerging strategic industry</w:t>
      </w:r>
      <w:r w:rsidR="00B3117E">
        <w:rPr>
          <w:rFonts w:ascii="Verdana" w:hAnsi="Verdana"/>
          <w:sz w:val="18"/>
          <w:szCs w:val="18"/>
          <w:lang w:val="en-GB"/>
        </w:rPr>
        <w:t>’</w:t>
      </w:r>
      <w:r w:rsidR="00BF7BEC">
        <w:rPr>
          <w:rFonts w:ascii="Verdana" w:hAnsi="Verdana"/>
          <w:sz w:val="18"/>
          <w:szCs w:val="18"/>
          <w:lang w:val="en-GB"/>
        </w:rPr>
        <w:t>.</w:t>
      </w:r>
    </w:p>
    <w:p w14:paraId="34C7D814" w14:textId="77777777" w:rsidR="00A23722" w:rsidRPr="00B3117E" w:rsidRDefault="00A23722" w:rsidP="00A23722">
      <w:pPr>
        <w:spacing w:line="360" w:lineRule="auto"/>
        <w:rPr>
          <w:rFonts w:ascii="Verdana" w:hAnsi="Verdana"/>
          <w:sz w:val="18"/>
          <w:szCs w:val="18"/>
          <w:lang w:val="en-GB"/>
        </w:rPr>
      </w:pPr>
    </w:p>
    <w:p w14:paraId="6ECB2BFE" w14:textId="3CF5469C" w:rsidR="001D44E2" w:rsidRPr="00B3117E" w:rsidRDefault="001D44E2" w:rsidP="001D44E2">
      <w:pPr>
        <w:spacing w:line="360" w:lineRule="auto"/>
        <w:rPr>
          <w:rFonts w:ascii="Verdana" w:hAnsi="Verdana"/>
          <w:sz w:val="18"/>
          <w:szCs w:val="18"/>
          <w:lang w:val="en-GB"/>
        </w:rPr>
      </w:pPr>
      <w:r w:rsidRPr="00B3117E">
        <w:rPr>
          <w:rFonts w:ascii="Verdana" w:hAnsi="Verdana"/>
          <w:b/>
          <w:bCs/>
          <w:sz w:val="18"/>
          <w:szCs w:val="18"/>
          <w:lang w:val="en-GB"/>
        </w:rPr>
        <w:t>Joanna Drake</w:t>
      </w:r>
      <w:r w:rsidRPr="00B3117E">
        <w:rPr>
          <w:rFonts w:ascii="Verdana" w:hAnsi="Verdana"/>
          <w:sz w:val="18"/>
          <w:szCs w:val="18"/>
          <w:lang w:val="en-GB"/>
        </w:rPr>
        <w:t xml:space="preserve">, Deputy Director of </w:t>
      </w:r>
      <w:r w:rsidR="00B3117E">
        <w:rPr>
          <w:rFonts w:ascii="Verdana" w:hAnsi="Verdana"/>
          <w:sz w:val="18"/>
          <w:szCs w:val="18"/>
          <w:lang w:val="en-GB"/>
        </w:rPr>
        <w:t xml:space="preserve">the European </w:t>
      </w:r>
      <w:r w:rsidRPr="00B3117E">
        <w:rPr>
          <w:rFonts w:ascii="Verdana" w:hAnsi="Verdana"/>
          <w:sz w:val="18"/>
          <w:szCs w:val="18"/>
          <w:lang w:val="en-GB"/>
        </w:rPr>
        <w:t>Commission</w:t>
      </w:r>
      <w:r w:rsidR="00B3117E">
        <w:rPr>
          <w:rFonts w:ascii="Verdana" w:hAnsi="Verdana"/>
          <w:sz w:val="18"/>
          <w:szCs w:val="18"/>
          <w:lang w:val="en-GB"/>
        </w:rPr>
        <w:t>’</w:t>
      </w:r>
      <w:r w:rsidRPr="00B3117E">
        <w:rPr>
          <w:rFonts w:ascii="Verdana" w:hAnsi="Verdana"/>
          <w:sz w:val="18"/>
          <w:szCs w:val="18"/>
          <w:lang w:val="en-GB"/>
        </w:rPr>
        <w:t>s Directorate</w:t>
      </w:r>
      <w:r w:rsidR="00B3117E">
        <w:rPr>
          <w:rFonts w:ascii="Verdana" w:hAnsi="Verdana"/>
          <w:sz w:val="18"/>
          <w:szCs w:val="18"/>
          <w:lang w:val="en-GB"/>
        </w:rPr>
        <w:t>-General for</w:t>
      </w:r>
      <w:r w:rsidRPr="00B3117E">
        <w:rPr>
          <w:rFonts w:ascii="Verdana" w:hAnsi="Verdana"/>
          <w:sz w:val="18"/>
          <w:szCs w:val="18"/>
          <w:lang w:val="en-GB"/>
        </w:rPr>
        <w:t xml:space="preserve"> Research and Innovation (DG-RTD) </w:t>
      </w:r>
      <w:r w:rsidR="00B3117E">
        <w:rPr>
          <w:rFonts w:ascii="Verdana" w:hAnsi="Verdana"/>
          <w:sz w:val="18"/>
          <w:szCs w:val="18"/>
          <w:lang w:val="en-GB"/>
        </w:rPr>
        <w:t>spoke about</w:t>
      </w:r>
      <w:r w:rsidR="00B3117E" w:rsidRPr="00B3117E">
        <w:rPr>
          <w:rFonts w:ascii="Verdana" w:hAnsi="Verdana"/>
          <w:sz w:val="18"/>
          <w:szCs w:val="18"/>
          <w:lang w:val="en-GB"/>
        </w:rPr>
        <w:t xml:space="preserve"> </w:t>
      </w:r>
      <w:r w:rsidRPr="00B3117E">
        <w:rPr>
          <w:rFonts w:ascii="Verdana" w:hAnsi="Verdana"/>
          <w:sz w:val="18"/>
          <w:szCs w:val="18"/>
          <w:lang w:val="en-GB"/>
        </w:rPr>
        <w:t xml:space="preserve">the rapidly changing geopolitical and economic landscape which Europe is facing. </w:t>
      </w:r>
      <w:r w:rsidR="00B3117E">
        <w:rPr>
          <w:rFonts w:ascii="Verdana" w:hAnsi="Verdana"/>
          <w:sz w:val="18"/>
          <w:szCs w:val="18"/>
          <w:lang w:val="en-GB"/>
        </w:rPr>
        <w:t>‘</w:t>
      </w:r>
      <w:r w:rsidRPr="00B3117E">
        <w:rPr>
          <w:rFonts w:ascii="Verdana" w:hAnsi="Verdana"/>
          <w:sz w:val="18"/>
          <w:szCs w:val="18"/>
          <w:lang w:val="en-GB"/>
        </w:rPr>
        <w:t>Tensions in the Middle East and the resulting volatility in energy markets are just a reminder that energy security, industrial competitiveness and strategic autonomy are not just buzzwords</w:t>
      </w:r>
      <w:r w:rsidR="00B3117E">
        <w:rPr>
          <w:rFonts w:ascii="Verdana" w:hAnsi="Verdana"/>
          <w:sz w:val="18"/>
          <w:szCs w:val="18"/>
          <w:lang w:val="en-GB"/>
        </w:rPr>
        <w:t>;</w:t>
      </w:r>
      <w:r w:rsidRPr="00B3117E">
        <w:rPr>
          <w:rFonts w:ascii="Verdana" w:hAnsi="Verdana"/>
          <w:sz w:val="18"/>
          <w:szCs w:val="18"/>
          <w:lang w:val="en-GB"/>
        </w:rPr>
        <w:t xml:space="preserve"> they are deeply interconnected and deeply disconcerting. In this context, batteries are much more than a technology. They are a strategic industrial asset for Europe</w:t>
      </w:r>
      <w:r w:rsidR="00B3117E">
        <w:rPr>
          <w:rFonts w:ascii="Verdana" w:hAnsi="Verdana"/>
          <w:sz w:val="18"/>
          <w:szCs w:val="18"/>
          <w:lang w:val="en-GB"/>
        </w:rPr>
        <w:t>’</w:t>
      </w:r>
      <w:r w:rsidRPr="00B3117E">
        <w:rPr>
          <w:rFonts w:ascii="Verdana" w:hAnsi="Verdana"/>
          <w:sz w:val="18"/>
          <w:szCs w:val="18"/>
          <w:lang w:val="en-GB"/>
        </w:rPr>
        <w:t>s strategic economy.</w:t>
      </w:r>
      <w:r w:rsidR="00B3117E">
        <w:rPr>
          <w:rFonts w:ascii="Verdana" w:hAnsi="Verdana"/>
          <w:sz w:val="18"/>
          <w:szCs w:val="18"/>
          <w:lang w:val="en-GB"/>
        </w:rPr>
        <w:t>’</w:t>
      </w:r>
    </w:p>
    <w:p w14:paraId="4804C0C9" w14:textId="77777777" w:rsidR="00A23722" w:rsidRDefault="00A23722" w:rsidP="00A23722">
      <w:pPr>
        <w:spacing w:line="360" w:lineRule="auto"/>
        <w:rPr>
          <w:rFonts w:ascii="Verdana" w:hAnsi="Verdana"/>
          <w:sz w:val="18"/>
          <w:szCs w:val="18"/>
          <w:lang w:val="en-GB"/>
        </w:rPr>
      </w:pPr>
    </w:p>
    <w:p w14:paraId="28494CA4" w14:textId="1741D1DD" w:rsidR="00BF7BEC" w:rsidRDefault="00BF7BEC" w:rsidP="00A23722">
      <w:pPr>
        <w:spacing w:line="360" w:lineRule="auto"/>
        <w:rPr>
          <w:rFonts w:ascii="Verdana" w:hAnsi="Verdana"/>
          <w:sz w:val="18"/>
          <w:szCs w:val="18"/>
          <w:lang w:val="en-GB"/>
        </w:rPr>
      </w:pPr>
      <w:r w:rsidRPr="00BF7BEC">
        <w:rPr>
          <w:rFonts w:ascii="Verdana" w:hAnsi="Verdana"/>
          <w:sz w:val="18"/>
          <w:szCs w:val="18"/>
        </w:rPr>
        <w:t xml:space="preserve">The key issue at the CCMI debate was sodium batteries, which the EESC addressed in its February opinion, </w:t>
      </w:r>
      <w:hyperlink r:id="rId5" w:history="1">
        <w:r w:rsidRPr="00BF7BEC">
          <w:rPr>
            <w:rStyle w:val="Hyperlink"/>
            <w:rFonts w:ascii="Verdana" w:hAnsi="Verdana"/>
            <w:sz w:val="18"/>
            <w:szCs w:val="18"/>
          </w:rPr>
          <w:t>'Enhancing EU strategic autonomy and developing a greener and bluer economy: the potential of the sodium battery manufacturing sector'</w:t>
        </w:r>
      </w:hyperlink>
      <w:r w:rsidRPr="00BF7BEC">
        <w:rPr>
          <w:rFonts w:ascii="Verdana" w:hAnsi="Verdana"/>
          <w:sz w:val="18"/>
          <w:szCs w:val="18"/>
        </w:rPr>
        <w:t xml:space="preserve">. Sodium batteries are emerging as an alternative to traditional lithium-ion systems in various strategic sectors. They are crucial for EU </w:t>
      </w:r>
      <w:r w:rsidRPr="00BF7BEC">
        <w:rPr>
          <w:rFonts w:ascii="Verdana" w:hAnsi="Verdana"/>
          <w:sz w:val="18"/>
          <w:szCs w:val="18"/>
        </w:rPr>
        <w:lastRenderedPageBreak/>
        <w:t xml:space="preserve">energy independence and competitiveness in the global market. Not only are sodium batteries a more environmentally friendly option, </w:t>
      </w:r>
      <w:r w:rsidRPr="00BF7BEC">
        <w:rPr>
          <w:rFonts w:ascii="Verdana" w:hAnsi="Verdana"/>
          <w:sz w:val="18"/>
          <w:szCs w:val="18"/>
        </w:rPr>
        <w:t>but they</w:t>
      </w:r>
      <w:r w:rsidRPr="00BF7BEC">
        <w:rPr>
          <w:rFonts w:ascii="Verdana" w:hAnsi="Verdana"/>
          <w:sz w:val="18"/>
          <w:szCs w:val="18"/>
        </w:rPr>
        <w:t xml:space="preserve"> also offer Europe the opportunity to create an ecosystem that integrates research, industry, and workforce development. However, participants in the CCMI debate cautioned against viewing sodium-ion batteries as the immediate answer to Europe’s battery needs, noting that widespread deployment is still some way off. </w:t>
      </w:r>
      <w:r w:rsidRPr="00BF7BEC">
        <w:rPr>
          <w:rFonts w:ascii="Verdana" w:hAnsi="Verdana"/>
          <w:sz w:val="18"/>
          <w:szCs w:val="18"/>
        </w:rPr>
        <w:t>Nevertheless</w:t>
      </w:r>
      <w:r w:rsidRPr="00BF7BEC">
        <w:rPr>
          <w:rFonts w:ascii="Verdana" w:hAnsi="Verdana"/>
          <w:sz w:val="18"/>
          <w:szCs w:val="18"/>
        </w:rPr>
        <w:t>, they hold significant long-term potential within Europe’s battery ecosystem through gradual and progressive scale-up.</w:t>
      </w:r>
    </w:p>
    <w:p w14:paraId="1874D21B" w14:textId="77777777" w:rsidR="00BF7BEC" w:rsidRPr="00B3117E" w:rsidRDefault="00BF7BEC" w:rsidP="00A23722">
      <w:pPr>
        <w:spacing w:line="360" w:lineRule="auto"/>
        <w:rPr>
          <w:rFonts w:ascii="Verdana" w:hAnsi="Verdana"/>
          <w:sz w:val="18"/>
          <w:szCs w:val="18"/>
          <w:lang w:val="en-GB"/>
        </w:rPr>
      </w:pPr>
    </w:p>
    <w:p w14:paraId="6AE2E2A8" w14:textId="55A3744F" w:rsidR="001D44E2" w:rsidRPr="00B3117E" w:rsidRDefault="001D44E2" w:rsidP="001D44E2">
      <w:pPr>
        <w:spacing w:line="360" w:lineRule="auto"/>
        <w:rPr>
          <w:rFonts w:ascii="Verdana" w:hAnsi="Verdana"/>
          <w:sz w:val="18"/>
          <w:szCs w:val="18"/>
          <w:lang w:val="en-GB"/>
        </w:rPr>
      </w:pPr>
      <w:r w:rsidRPr="00B3117E">
        <w:rPr>
          <w:rFonts w:ascii="Verdana" w:hAnsi="Verdana"/>
          <w:sz w:val="18"/>
          <w:szCs w:val="18"/>
          <w:lang w:val="en-GB"/>
        </w:rPr>
        <w:t xml:space="preserve">Although China is currently far ahead of its competitors, accounting for nearly 99% of global production capacity, speakers argued that the race is far from over. This is because the technology behind sodium batteries is still in </w:t>
      </w:r>
      <w:r w:rsidR="00D6305C">
        <w:rPr>
          <w:rFonts w:ascii="Verdana" w:hAnsi="Verdana"/>
          <w:sz w:val="18"/>
          <w:szCs w:val="18"/>
          <w:lang w:val="en-GB"/>
        </w:rPr>
        <w:t>the</w:t>
      </w:r>
      <w:r w:rsidR="00D6305C" w:rsidRPr="00B3117E">
        <w:rPr>
          <w:rFonts w:ascii="Verdana" w:hAnsi="Verdana"/>
          <w:sz w:val="18"/>
          <w:szCs w:val="18"/>
          <w:lang w:val="en-GB"/>
        </w:rPr>
        <w:t xml:space="preserve"> </w:t>
      </w:r>
      <w:r w:rsidRPr="00B3117E">
        <w:rPr>
          <w:rFonts w:ascii="Verdana" w:hAnsi="Verdana"/>
          <w:sz w:val="18"/>
          <w:szCs w:val="18"/>
          <w:lang w:val="en-GB"/>
        </w:rPr>
        <w:t xml:space="preserve">early stages of development and the foundations of future industrial leadership have yet to be firmly established. This leaves Europe with a rare opportunity. Unlike in the lithium-ion sector, where Asian manufacturers secured a dominant position early on, the sodium-ion industry has yet to produce a clear long-term winner. Several participants therefore argued that Europe </w:t>
      </w:r>
      <w:proofErr w:type="gramStart"/>
      <w:r w:rsidRPr="00B3117E">
        <w:rPr>
          <w:rFonts w:ascii="Verdana" w:hAnsi="Verdana"/>
          <w:sz w:val="18"/>
          <w:szCs w:val="18"/>
          <w:lang w:val="en-GB"/>
        </w:rPr>
        <w:t>is in a position to</w:t>
      </w:r>
      <w:proofErr w:type="gramEnd"/>
      <w:r w:rsidRPr="00B3117E">
        <w:rPr>
          <w:rFonts w:ascii="Verdana" w:hAnsi="Verdana"/>
          <w:sz w:val="18"/>
          <w:szCs w:val="18"/>
          <w:lang w:val="en-GB"/>
        </w:rPr>
        <w:t xml:space="preserve"> carve out a leading role if it acts decisively. However, achieving that</w:t>
      </w:r>
      <w:r w:rsidR="00C94453" w:rsidRPr="00B3117E">
        <w:rPr>
          <w:rFonts w:ascii="Verdana" w:hAnsi="Verdana"/>
          <w:sz w:val="18"/>
          <w:szCs w:val="18"/>
          <w:lang w:val="en-GB"/>
        </w:rPr>
        <w:t xml:space="preserve"> </w:t>
      </w:r>
      <w:r w:rsidRPr="00B3117E">
        <w:rPr>
          <w:rFonts w:ascii="Verdana" w:hAnsi="Verdana"/>
          <w:sz w:val="18"/>
          <w:szCs w:val="18"/>
          <w:lang w:val="en-GB"/>
        </w:rPr>
        <w:t>EU ambition on sodium batteries will depend on more than technological progress alone. Speakers emphasised the need for long-term policy support, targeted public and private investment, stable regulatory conditions and a coordinated economic and political effort</w:t>
      </w:r>
      <w:r w:rsidR="00B93734">
        <w:rPr>
          <w:rFonts w:ascii="Verdana" w:hAnsi="Verdana"/>
          <w:sz w:val="18"/>
          <w:szCs w:val="18"/>
          <w:lang w:val="en-GB"/>
        </w:rPr>
        <w:t xml:space="preserve"> </w:t>
      </w:r>
      <w:r w:rsidR="00D6305C">
        <w:rPr>
          <w:rFonts w:ascii="Verdana" w:hAnsi="Verdana"/>
          <w:sz w:val="18"/>
          <w:szCs w:val="18"/>
          <w:lang w:val="en-GB"/>
        </w:rPr>
        <w:t>if</w:t>
      </w:r>
      <w:r w:rsidRPr="00B3117E">
        <w:rPr>
          <w:rFonts w:ascii="Verdana" w:hAnsi="Verdana"/>
          <w:sz w:val="18"/>
          <w:szCs w:val="18"/>
          <w:lang w:val="en-GB"/>
        </w:rPr>
        <w:t xml:space="preserve"> competitive manufacturing capacity</w:t>
      </w:r>
      <w:r w:rsidR="00D6305C">
        <w:rPr>
          <w:rFonts w:ascii="Verdana" w:hAnsi="Verdana"/>
          <w:sz w:val="18"/>
          <w:szCs w:val="18"/>
          <w:lang w:val="en-GB"/>
        </w:rPr>
        <w:t xml:space="preserve"> is to be </w:t>
      </w:r>
      <w:r w:rsidR="00D6305C" w:rsidRPr="00B3117E">
        <w:rPr>
          <w:rFonts w:ascii="Verdana" w:hAnsi="Verdana"/>
          <w:sz w:val="18"/>
          <w:szCs w:val="18"/>
          <w:lang w:val="en-GB"/>
        </w:rPr>
        <w:t>establish</w:t>
      </w:r>
      <w:r w:rsidR="00D6305C">
        <w:rPr>
          <w:rFonts w:ascii="Verdana" w:hAnsi="Verdana"/>
          <w:sz w:val="18"/>
          <w:szCs w:val="18"/>
          <w:lang w:val="en-GB"/>
        </w:rPr>
        <w:t>ed</w:t>
      </w:r>
      <w:r w:rsidRPr="00B3117E">
        <w:rPr>
          <w:rFonts w:ascii="Verdana" w:hAnsi="Verdana"/>
          <w:sz w:val="18"/>
          <w:szCs w:val="18"/>
          <w:lang w:val="en-GB"/>
        </w:rPr>
        <w:t>.</w:t>
      </w:r>
    </w:p>
    <w:p w14:paraId="25B33D03" w14:textId="77777777" w:rsidR="00A23722" w:rsidRPr="00B3117E" w:rsidRDefault="00A23722" w:rsidP="00A23722">
      <w:pPr>
        <w:spacing w:line="360" w:lineRule="auto"/>
        <w:rPr>
          <w:rFonts w:ascii="Verdana" w:hAnsi="Verdana"/>
          <w:sz w:val="18"/>
          <w:szCs w:val="18"/>
          <w:lang w:val="en-GB"/>
        </w:rPr>
      </w:pPr>
    </w:p>
    <w:p w14:paraId="016DBC67" w14:textId="63F5504D" w:rsidR="001D44E2" w:rsidRPr="00B3117E" w:rsidRDefault="00B93734" w:rsidP="001D44E2">
      <w:pPr>
        <w:spacing w:line="360" w:lineRule="auto"/>
        <w:rPr>
          <w:rFonts w:ascii="Verdana" w:hAnsi="Verdana"/>
          <w:sz w:val="18"/>
          <w:szCs w:val="18"/>
          <w:lang w:val="en-GB"/>
        </w:rPr>
      </w:pPr>
      <w:r>
        <w:rPr>
          <w:rFonts w:ascii="Verdana" w:hAnsi="Verdana"/>
          <w:sz w:val="18"/>
          <w:szCs w:val="18"/>
          <w:lang w:val="en-GB"/>
        </w:rPr>
        <w:t>During t</w:t>
      </w:r>
      <w:r w:rsidR="001D44E2" w:rsidRPr="00B3117E">
        <w:rPr>
          <w:rFonts w:ascii="Verdana" w:hAnsi="Verdana"/>
          <w:sz w:val="18"/>
          <w:szCs w:val="18"/>
          <w:lang w:val="en-GB"/>
        </w:rPr>
        <w:t>he CCMI debate</w:t>
      </w:r>
      <w:r>
        <w:rPr>
          <w:rFonts w:ascii="Verdana" w:hAnsi="Verdana"/>
          <w:sz w:val="18"/>
          <w:szCs w:val="18"/>
          <w:lang w:val="en-GB"/>
        </w:rPr>
        <w:t>,</w:t>
      </w:r>
      <w:r w:rsidR="001D44E2" w:rsidRPr="00B3117E">
        <w:rPr>
          <w:rFonts w:ascii="Verdana" w:hAnsi="Verdana"/>
          <w:sz w:val="18"/>
          <w:szCs w:val="18"/>
          <w:lang w:val="en-GB"/>
        </w:rPr>
        <w:t xml:space="preserve"> participants place</w:t>
      </w:r>
      <w:r>
        <w:rPr>
          <w:rFonts w:ascii="Verdana" w:hAnsi="Verdana"/>
          <w:sz w:val="18"/>
          <w:szCs w:val="18"/>
          <w:lang w:val="en-GB"/>
        </w:rPr>
        <w:t>d</w:t>
      </w:r>
      <w:r w:rsidR="001D44E2" w:rsidRPr="00B3117E">
        <w:rPr>
          <w:rFonts w:ascii="Verdana" w:hAnsi="Verdana"/>
          <w:sz w:val="18"/>
          <w:szCs w:val="18"/>
          <w:lang w:val="en-GB"/>
        </w:rPr>
        <w:t xml:space="preserve"> great emphasis on the significance of developing a coherent European battery roadmap</w:t>
      </w:r>
      <w:r>
        <w:rPr>
          <w:rFonts w:ascii="Verdana" w:hAnsi="Verdana"/>
          <w:sz w:val="18"/>
          <w:szCs w:val="18"/>
          <w:lang w:val="en-GB"/>
        </w:rPr>
        <w:t>. This</w:t>
      </w:r>
      <w:r w:rsidR="001D44E2" w:rsidRPr="00B3117E">
        <w:rPr>
          <w:rFonts w:ascii="Verdana" w:hAnsi="Verdana"/>
          <w:sz w:val="18"/>
          <w:szCs w:val="18"/>
          <w:lang w:val="en-GB"/>
        </w:rPr>
        <w:t xml:space="preserve"> </w:t>
      </w:r>
      <w:r>
        <w:rPr>
          <w:rFonts w:ascii="Verdana" w:hAnsi="Verdana"/>
          <w:sz w:val="18"/>
          <w:szCs w:val="18"/>
          <w:lang w:val="en-GB"/>
        </w:rPr>
        <w:t>will</w:t>
      </w:r>
      <w:r w:rsidRPr="00B3117E">
        <w:rPr>
          <w:rFonts w:ascii="Verdana" w:hAnsi="Verdana"/>
          <w:sz w:val="18"/>
          <w:szCs w:val="18"/>
          <w:lang w:val="en-GB"/>
        </w:rPr>
        <w:t xml:space="preserve"> </w:t>
      </w:r>
      <w:r w:rsidR="001D44E2" w:rsidRPr="00B3117E">
        <w:rPr>
          <w:rFonts w:ascii="Verdana" w:hAnsi="Verdana"/>
          <w:sz w:val="18"/>
          <w:szCs w:val="18"/>
          <w:lang w:val="en-GB"/>
        </w:rPr>
        <w:t>transform the goals set out in the European Commission</w:t>
      </w:r>
      <w:r>
        <w:rPr>
          <w:rFonts w:ascii="Verdana" w:hAnsi="Verdana"/>
          <w:sz w:val="18"/>
          <w:szCs w:val="18"/>
          <w:lang w:val="en-GB"/>
        </w:rPr>
        <w:t>’</w:t>
      </w:r>
      <w:r w:rsidR="001D44E2" w:rsidRPr="00B3117E">
        <w:rPr>
          <w:rFonts w:ascii="Verdana" w:hAnsi="Verdana"/>
          <w:sz w:val="18"/>
          <w:szCs w:val="18"/>
          <w:lang w:val="en-GB"/>
        </w:rPr>
        <w:t xml:space="preserve">s Battery Booster Strategy, which the EESC addressed in </w:t>
      </w:r>
      <w:r>
        <w:rPr>
          <w:rFonts w:ascii="Verdana" w:hAnsi="Verdana"/>
          <w:sz w:val="18"/>
          <w:szCs w:val="18"/>
          <w:lang w:val="en-GB"/>
        </w:rPr>
        <w:t>an</w:t>
      </w:r>
      <w:r w:rsidRPr="00B3117E">
        <w:rPr>
          <w:rFonts w:ascii="Verdana" w:hAnsi="Verdana"/>
          <w:sz w:val="18"/>
          <w:szCs w:val="18"/>
          <w:lang w:val="en-GB"/>
        </w:rPr>
        <w:t xml:space="preserve"> </w:t>
      </w:r>
      <w:r w:rsidR="001D44E2" w:rsidRPr="00B3117E">
        <w:rPr>
          <w:rFonts w:ascii="Verdana" w:hAnsi="Verdana"/>
          <w:sz w:val="18"/>
          <w:szCs w:val="18"/>
          <w:lang w:val="en-GB"/>
        </w:rPr>
        <w:t>opinion adopted in March, into tangible measures across the entire value chain, from innovation and manufacturing to recycling and skills development.</w:t>
      </w:r>
    </w:p>
    <w:p w14:paraId="4ACDE0EB" w14:textId="77777777" w:rsidR="00A23722" w:rsidRPr="00B3117E" w:rsidRDefault="00A23722" w:rsidP="00A23722">
      <w:pPr>
        <w:spacing w:line="360" w:lineRule="auto"/>
        <w:rPr>
          <w:rFonts w:ascii="Verdana" w:hAnsi="Verdana"/>
          <w:sz w:val="18"/>
          <w:szCs w:val="18"/>
          <w:lang w:val="en-GB"/>
        </w:rPr>
      </w:pPr>
    </w:p>
    <w:p w14:paraId="02276A39" w14:textId="47412E92" w:rsidR="0076418A" w:rsidRPr="00B3117E" w:rsidRDefault="001D44E2" w:rsidP="001D44E2">
      <w:pPr>
        <w:spacing w:line="360" w:lineRule="auto"/>
        <w:rPr>
          <w:rFonts w:ascii="Verdana" w:hAnsi="Verdana"/>
          <w:sz w:val="18"/>
          <w:szCs w:val="18"/>
          <w:lang w:val="en-GB"/>
        </w:rPr>
      </w:pPr>
      <w:r w:rsidRPr="00B3117E">
        <w:rPr>
          <w:rFonts w:ascii="Verdana" w:hAnsi="Verdana"/>
          <w:sz w:val="18"/>
          <w:szCs w:val="18"/>
          <w:lang w:val="en-GB"/>
        </w:rPr>
        <w:t xml:space="preserve">The speakers also </w:t>
      </w:r>
      <w:r w:rsidR="00B93734">
        <w:rPr>
          <w:rFonts w:ascii="Verdana" w:hAnsi="Verdana"/>
          <w:sz w:val="18"/>
          <w:szCs w:val="18"/>
          <w:lang w:val="en-GB"/>
        </w:rPr>
        <w:t>felt</w:t>
      </w:r>
      <w:r w:rsidR="00B93734" w:rsidRPr="00B3117E">
        <w:rPr>
          <w:rFonts w:ascii="Verdana" w:hAnsi="Verdana"/>
          <w:sz w:val="18"/>
          <w:szCs w:val="18"/>
          <w:lang w:val="en-GB"/>
        </w:rPr>
        <w:t xml:space="preserve"> </w:t>
      </w:r>
      <w:r w:rsidRPr="00B3117E">
        <w:rPr>
          <w:rFonts w:ascii="Verdana" w:hAnsi="Verdana"/>
          <w:sz w:val="18"/>
          <w:szCs w:val="18"/>
          <w:lang w:val="en-GB"/>
        </w:rPr>
        <w:t xml:space="preserve">strongly that </w:t>
      </w:r>
      <w:r w:rsidR="00D6305C">
        <w:rPr>
          <w:rFonts w:ascii="Verdana" w:hAnsi="Verdana"/>
          <w:sz w:val="18"/>
          <w:szCs w:val="18"/>
          <w:lang w:val="en-GB"/>
        </w:rPr>
        <w:t>this</w:t>
      </w:r>
      <w:r w:rsidRPr="00B3117E">
        <w:rPr>
          <w:rFonts w:ascii="Verdana" w:hAnsi="Verdana"/>
          <w:sz w:val="18"/>
          <w:szCs w:val="18"/>
          <w:lang w:val="en-GB"/>
        </w:rPr>
        <w:t xml:space="preserve"> Strategy must be backed by a credible long-term financing plan, with stronger support from both the Commission and the Member States, including through the next Multiannual Financial Framework. Moreover, the </w:t>
      </w:r>
      <w:r w:rsidR="00B93734">
        <w:rPr>
          <w:rFonts w:ascii="Verdana" w:hAnsi="Verdana"/>
          <w:sz w:val="18"/>
          <w:szCs w:val="18"/>
          <w:lang w:val="en-GB"/>
        </w:rPr>
        <w:t>‘</w:t>
      </w:r>
      <w:r w:rsidRPr="00B3117E">
        <w:rPr>
          <w:rFonts w:ascii="Verdana" w:hAnsi="Verdana"/>
          <w:sz w:val="18"/>
          <w:szCs w:val="18"/>
          <w:lang w:val="en-GB"/>
        </w:rPr>
        <w:t>Made in Europe</w:t>
      </w:r>
      <w:r w:rsidR="00B93734">
        <w:rPr>
          <w:rFonts w:ascii="Verdana" w:hAnsi="Verdana"/>
          <w:sz w:val="18"/>
          <w:szCs w:val="18"/>
          <w:lang w:val="en-GB"/>
        </w:rPr>
        <w:t>’</w:t>
      </w:r>
      <w:r w:rsidR="00B93734" w:rsidRPr="00B3117E">
        <w:rPr>
          <w:rFonts w:ascii="Verdana" w:hAnsi="Verdana"/>
          <w:sz w:val="18"/>
          <w:szCs w:val="18"/>
          <w:lang w:val="en-GB"/>
        </w:rPr>
        <w:t xml:space="preserve"> </w:t>
      </w:r>
      <w:r w:rsidRPr="00B3117E">
        <w:rPr>
          <w:rFonts w:ascii="Verdana" w:hAnsi="Verdana"/>
          <w:sz w:val="18"/>
          <w:szCs w:val="18"/>
          <w:lang w:val="en-GB"/>
        </w:rPr>
        <w:t>label should stand for high-quality products and robust social and environmental standards</w:t>
      </w:r>
      <w:r w:rsidR="00B93734">
        <w:rPr>
          <w:rFonts w:ascii="Verdana" w:hAnsi="Verdana"/>
          <w:sz w:val="18"/>
          <w:szCs w:val="18"/>
          <w:lang w:val="en-GB"/>
        </w:rPr>
        <w:t xml:space="preserve">, as well as for </w:t>
      </w:r>
      <w:r w:rsidR="00B93734" w:rsidRPr="00B3117E">
        <w:rPr>
          <w:rFonts w:ascii="Verdana" w:hAnsi="Verdana"/>
          <w:sz w:val="18"/>
          <w:szCs w:val="18"/>
          <w:lang w:val="en-GB"/>
        </w:rPr>
        <w:t>industrial competitiveness</w:t>
      </w:r>
      <w:r w:rsidRPr="00B3117E">
        <w:rPr>
          <w:rFonts w:ascii="Verdana" w:hAnsi="Verdana"/>
          <w:sz w:val="18"/>
          <w:szCs w:val="18"/>
          <w:lang w:val="en-GB"/>
        </w:rPr>
        <w:t xml:space="preserve">. </w:t>
      </w:r>
    </w:p>
    <w:p w14:paraId="794A9BB6" w14:textId="77777777" w:rsidR="0076418A" w:rsidRPr="00B3117E" w:rsidRDefault="0076418A" w:rsidP="001D44E2">
      <w:pPr>
        <w:spacing w:line="360" w:lineRule="auto"/>
        <w:rPr>
          <w:rFonts w:ascii="Verdana" w:hAnsi="Verdana"/>
          <w:sz w:val="18"/>
          <w:szCs w:val="18"/>
          <w:lang w:val="en-GB"/>
        </w:rPr>
      </w:pPr>
    </w:p>
    <w:p w14:paraId="10D10C43" w14:textId="572A0910" w:rsidR="001D44E2" w:rsidRPr="00B3117E" w:rsidRDefault="001D44E2" w:rsidP="001D44E2">
      <w:pPr>
        <w:spacing w:line="360" w:lineRule="auto"/>
        <w:rPr>
          <w:rFonts w:ascii="Verdana" w:hAnsi="Verdana"/>
          <w:sz w:val="18"/>
          <w:szCs w:val="18"/>
          <w:lang w:val="en-GB"/>
        </w:rPr>
      </w:pPr>
      <w:r w:rsidRPr="00B3117E">
        <w:rPr>
          <w:rFonts w:ascii="Verdana" w:hAnsi="Verdana"/>
          <w:sz w:val="18"/>
          <w:szCs w:val="18"/>
          <w:lang w:val="en-GB"/>
        </w:rPr>
        <w:t xml:space="preserve">The EESC also advocates </w:t>
      </w:r>
      <w:r w:rsidR="0076418A" w:rsidRPr="00B3117E">
        <w:rPr>
          <w:rFonts w:ascii="Verdana" w:hAnsi="Verdana"/>
          <w:sz w:val="18"/>
          <w:szCs w:val="18"/>
          <w:lang w:val="en-GB"/>
        </w:rPr>
        <w:t xml:space="preserve">for </w:t>
      </w:r>
      <w:r w:rsidRPr="00B3117E">
        <w:rPr>
          <w:rFonts w:ascii="Verdana" w:hAnsi="Verdana"/>
          <w:sz w:val="18"/>
          <w:szCs w:val="18"/>
          <w:lang w:val="en-GB"/>
        </w:rPr>
        <w:t xml:space="preserve">an ecosystem-based approach that supports </w:t>
      </w:r>
      <w:r w:rsidR="00B93734" w:rsidRPr="00B3117E">
        <w:rPr>
          <w:rFonts w:ascii="Verdana" w:hAnsi="Verdana"/>
          <w:sz w:val="18"/>
          <w:szCs w:val="18"/>
          <w:lang w:val="en-GB"/>
        </w:rPr>
        <w:t xml:space="preserve">SMEs, suppliers and recycling companies </w:t>
      </w:r>
      <w:r w:rsidR="00B93734">
        <w:rPr>
          <w:rFonts w:ascii="Verdana" w:hAnsi="Verdana"/>
          <w:sz w:val="18"/>
          <w:szCs w:val="18"/>
          <w:lang w:val="en-GB"/>
        </w:rPr>
        <w:t>along with</w:t>
      </w:r>
      <w:r w:rsidRPr="00B3117E">
        <w:rPr>
          <w:rFonts w:ascii="Verdana" w:hAnsi="Verdana"/>
          <w:sz w:val="18"/>
          <w:szCs w:val="18"/>
          <w:lang w:val="en-GB"/>
        </w:rPr>
        <w:t xml:space="preserve"> large manufacturers. Public funding should be linked to the creation of quality jobs, full compliance with EU legislation and respect for the principles of the European Pillar of Social Rights. At the same time, state aid schemes, public procurement and subsidy programmes should be designed to encourage technology transfer and local content, helping build strategic expertise and industrial know-how within the EU.</w:t>
      </w:r>
    </w:p>
    <w:p w14:paraId="3ED02821" w14:textId="77777777" w:rsidR="001D44E2" w:rsidRPr="00B3117E" w:rsidRDefault="001D44E2" w:rsidP="001D44E2">
      <w:pPr>
        <w:spacing w:line="360" w:lineRule="auto"/>
        <w:rPr>
          <w:rFonts w:ascii="Verdana" w:hAnsi="Verdana"/>
          <w:b/>
          <w:bCs/>
          <w:sz w:val="18"/>
          <w:szCs w:val="18"/>
          <w:lang w:val="en-GB"/>
        </w:rPr>
      </w:pPr>
    </w:p>
    <w:sectPr w:rsidR="001D44E2" w:rsidRPr="00B3117E" w:rsidSect="00A23722">
      <w:pgSz w:w="11907" w:h="1683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544290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22"/>
    <w:rsid w:val="001D44E2"/>
    <w:rsid w:val="001E48B9"/>
    <w:rsid w:val="002B5E80"/>
    <w:rsid w:val="0076418A"/>
    <w:rsid w:val="00845C28"/>
    <w:rsid w:val="009C34A1"/>
    <w:rsid w:val="009E5A87"/>
    <w:rsid w:val="00A23722"/>
    <w:rsid w:val="00AC0D0A"/>
    <w:rsid w:val="00B3048A"/>
    <w:rsid w:val="00B3117E"/>
    <w:rsid w:val="00B93734"/>
    <w:rsid w:val="00BF7BEC"/>
    <w:rsid w:val="00C0295D"/>
    <w:rsid w:val="00C94453"/>
    <w:rsid w:val="00D6305C"/>
    <w:rsid w:val="00D66D3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D5264"/>
  <w15:chartTrackingRefBased/>
  <w15:docId w15:val="{1755695C-ED53-4913-B8FF-F313DB54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722"/>
    <w:pPr>
      <w:spacing w:after="0" w:line="288" w:lineRule="auto"/>
      <w:jc w:val="both"/>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qFormat/>
    <w:rsid w:val="00A23722"/>
    <w:pPr>
      <w:numPr>
        <w:numId w:val="1"/>
      </w:numPr>
      <w:ind w:left="567" w:hanging="567"/>
      <w:outlineLvl w:val="0"/>
    </w:pPr>
    <w:rPr>
      <w:kern w:val="28"/>
    </w:rPr>
  </w:style>
  <w:style w:type="paragraph" w:styleId="Heading2">
    <w:name w:val="heading 2"/>
    <w:basedOn w:val="Normal"/>
    <w:next w:val="Normal"/>
    <w:link w:val="Heading2Char"/>
    <w:qFormat/>
    <w:rsid w:val="00A23722"/>
    <w:pPr>
      <w:numPr>
        <w:ilvl w:val="1"/>
        <w:numId w:val="1"/>
      </w:numPr>
      <w:ind w:left="567" w:hanging="567"/>
      <w:outlineLvl w:val="1"/>
    </w:pPr>
  </w:style>
  <w:style w:type="paragraph" w:styleId="Heading3">
    <w:name w:val="heading 3"/>
    <w:basedOn w:val="Normal"/>
    <w:next w:val="Normal"/>
    <w:link w:val="Heading3Char"/>
    <w:qFormat/>
    <w:rsid w:val="00A23722"/>
    <w:pPr>
      <w:numPr>
        <w:ilvl w:val="2"/>
        <w:numId w:val="1"/>
      </w:numPr>
      <w:ind w:left="567" w:hanging="567"/>
      <w:outlineLvl w:val="2"/>
    </w:pPr>
  </w:style>
  <w:style w:type="paragraph" w:styleId="Heading4">
    <w:name w:val="heading 4"/>
    <w:basedOn w:val="Normal"/>
    <w:next w:val="Normal"/>
    <w:link w:val="Heading4Char"/>
    <w:qFormat/>
    <w:rsid w:val="00A23722"/>
    <w:pPr>
      <w:numPr>
        <w:ilvl w:val="3"/>
        <w:numId w:val="1"/>
      </w:numPr>
      <w:ind w:left="567" w:hanging="567"/>
      <w:outlineLvl w:val="3"/>
    </w:pPr>
  </w:style>
  <w:style w:type="paragraph" w:styleId="Heading5">
    <w:name w:val="heading 5"/>
    <w:basedOn w:val="Normal"/>
    <w:next w:val="Normal"/>
    <w:link w:val="Heading5Char"/>
    <w:qFormat/>
    <w:rsid w:val="00A23722"/>
    <w:pPr>
      <w:numPr>
        <w:ilvl w:val="4"/>
        <w:numId w:val="1"/>
      </w:numPr>
      <w:ind w:left="567" w:hanging="567"/>
      <w:outlineLvl w:val="4"/>
    </w:pPr>
  </w:style>
  <w:style w:type="paragraph" w:styleId="Heading6">
    <w:name w:val="heading 6"/>
    <w:basedOn w:val="Normal"/>
    <w:next w:val="Normal"/>
    <w:link w:val="Heading6Char"/>
    <w:qFormat/>
    <w:rsid w:val="00A23722"/>
    <w:pPr>
      <w:numPr>
        <w:ilvl w:val="5"/>
        <w:numId w:val="1"/>
      </w:numPr>
      <w:ind w:left="567" w:hanging="567"/>
      <w:outlineLvl w:val="5"/>
    </w:pPr>
  </w:style>
  <w:style w:type="paragraph" w:styleId="Heading7">
    <w:name w:val="heading 7"/>
    <w:basedOn w:val="Normal"/>
    <w:next w:val="Normal"/>
    <w:link w:val="Heading7Char"/>
    <w:qFormat/>
    <w:rsid w:val="00A23722"/>
    <w:pPr>
      <w:numPr>
        <w:ilvl w:val="6"/>
        <w:numId w:val="1"/>
      </w:numPr>
      <w:ind w:left="567" w:hanging="567"/>
      <w:outlineLvl w:val="6"/>
    </w:pPr>
  </w:style>
  <w:style w:type="paragraph" w:styleId="Heading8">
    <w:name w:val="heading 8"/>
    <w:basedOn w:val="Normal"/>
    <w:next w:val="Normal"/>
    <w:link w:val="Heading8Char"/>
    <w:qFormat/>
    <w:rsid w:val="00A23722"/>
    <w:pPr>
      <w:numPr>
        <w:ilvl w:val="7"/>
        <w:numId w:val="1"/>
      </w:numPr>
      <w:ind w:left="567" w:hanging="567"/>
      <w:outlineLvl w:val="7"/>
    </w:pPr>
  </w:style>
  <w:style w:type="paragraph" w:styleId="Heading9">
    <w:name w:val="heading 9"/>
    <w:basedOn w:val="Normal"/>
    <w:next w:val="Normal"/>
    <w:link w:val="Heading9Char"/>
    <w:qFormat/>
    <w:rsid w:val="00A23722"/>
    <w:pPr>
      <w:numPr>
        <w:ilvl w:val="8"/>
        <w:numId w:val="1"/>
      </w:numPr>
      <w:ind w:left="567" w:hanging="567"/>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3722"/>
    <w:rPr>
      <w:rFonts w:ascii="Times New Roman" w:eastAsia="Times New Roman" w:hAnsi="Times New Roman" w:cs="Times New Roman"/>
      <w:kern w:val="28"/>
      <w:sz w:val="22"/>
      <w:szCs w:val="22"/>
      <w:lang w:val="en-US"/>
      <w14:ligatures w14:val="none"/>
    </w:rPr>
  </w:style>
  <w:style w:type="character" w:customStyle="1" w:styleId="Heading2Char">
    <w:name w:val="Heading 2 Char"/>
    <w:basedOn w:val="DefaultParagraphFont"/>
    <w:link w:val="Heading2"/>
    <w:rsid w:val="00A23722"/>
    <w:rPr>
      <w:rFonts w:ascii="Times New Roman" w:eastAsia="Times New Roman" w:hAnsi="Times New Roman" w:cs="Times New Roman"/>
      <w:kern w:val="0"/>
      <w:sz w:val="22"/>
      <w:szCs w:val="22"/>
      <w:lang w:val="en-US"/>
      <w14:ligatures w14:val="none"/>
    </w:rPr>
  </w:style>
  <w:style w:type="character" w:customStyle="1" w:styleId="Heading3Char">
    <w:name w:val="Heading 3 Char"/>
    <w:basedOn w:val="DefaultParagraphFont"/>
    <w:link w:val="Heading3"/>
    <w:rsid w:val="00A23722"/>
    <w:rPr>
      <w:rFonts w:ascii="Times New Roman" w:eastAsia="Times New Roman" w:hAnsi="Times New Roman" w:cs="Times New Roman"/>
      <w:kern w:val="0"/>
      <w:sz w:val="22"/>
      <w:szCs w:val="22"/>
      <w:lang w:val="en-US"/>
      <w14:ligatures w14:val="none"/>
    </w:rPr>
  </w:style>
  <w:style w:type="character" w:customStyle="1" w:styleId="Heading4Char">
    <w:name w:val="Heading 4 Char"/>
    <w:basedOn w:val="DefaultParagraphFont"/>
    <w:link w:val="Heading4"/>
    <w:rsid w:val="00A23722"/>
    <w:rPr>
      <w:rFonts w:ascii="Times New Roman" w:eastAsia="Times New Roman" w:hAnsi="Times New Roman" w:cs="Times New Roman"/>
      <w:kern w:val="0"/>
      <w:sz w:val="22"/>
      <w:szCs w:val="22"/>
      <w:lang w:val="en-US"/>
      <w14:ligatures w14:val="none"/>
    </w:rPr>
  </w:style>
  <w:style w:type="character" w:customStyle="1" w:styleId="Heading5Char">
    <w:name w:val="Heading 5 Char"/>
    <w:basedOn w:val="DefaultParagraphFont"/>
    <w:link w:val="Heading5"/>
    <w:rsid w:val="00A23722"/>
    <w:rPr>
      <w:rFonts w:ascii="Times New Roman" w:eastAsia="Times New Roman" w:hAnsi="Times New Roman" w:cs="Times New Roman"/>
      <w:kern w:val="0"/>
      <w:sz w:val="22"/>
      <w:szCs w:val="22"/>
      <w:lang w:val="en-US"/>
      <w14:ligatures w14:val="none"/>
    </w:rPr>
  </w:style>
  <w:style w:type="character" w:customStyle="1" w:styleId="Heading6Char">
    <w:name w:val="Heading 6 Char"/>
    <w:basedOn w:val="DefaultParagraphFont"/>
    <w:link w:val="Heading6"/>
    <w:rsid w:val="00A23722"/>
    <w:rPr>
      <w:rFonts w:ascii="Times New Roman" w:eastAsia="Times New Roman" w:hAnsi="Times New Roman" w:cs="Times New Roman"/>
      <w:kern w:val="0"/>
      <w:sz w:val="22"/>
      <w:szCs w:val="22"/>
      <w:lang w:val="en-US"/>
      <w14:ligatures w14:val="none"/>
    </w:rPr>
  </w:style>
  <w:style w:type="character" w:customStyle="1" w:styleId="Heading7Char">
    <w:name w:val="Heading 7 Char"/>
    <w:basedOn w:val="DefaultParagraphFont"/>
    <w:link w:val="Heading7"/>
    <w:rsid w:val="00A23722"/>
    <w:rPr>
      <w:rFonts w:ascii="Times New Roman" w:eastAsia="Times New Roman" w:hAnsi="Times New Roman" w:cs="Times New Roman"/>
      <w:kern w:val="0"/>
      <w:sz w:val="22"/>
      <w:szCs w:val="22"/>
      <w:lang w:val="en-US"/>
      <w14:ligatures w14:val="none"/>
    </w:rPr>
  </w:style>
  <w:style w:type="character" w:customStyle="1" w:styleId="Heading8Char">
    <w:name w:val="Heading 8 Char"/>
    <w:basedOn w:val="DefaultParagraphFont"/>
    <w:link w:val="Heading8"/>
    <w:rsid w:val="00A23722"/>
    <w:rPr>
      <w:rFonts w:ascii="Times New Roman" w:eastAsia="Times New Roman" w:hAnsi="Times New Roman" w:cs="Times New Roman"/>
      <w:kern w:val="0"/>
      <w:sz w:val="22"/>
      <w:szCs w:val="22"/>
      <w:lang w:val="en-US"/>
      <w14:ligatures w14:val="none"/>
    </w:rPr>
  </w:style>
  <w:style w:type="character" w:customStyle="1" w:styleId="Heading9Char">
    <w:name w:val="Heading 9 Char"/>
    <w:basedOn w:val="DefaultParagraphFont"/>
    <w:link w:val="Heading9"/>
    <w:rsid w:val="00A23722"/>
    <w:rPr>
      <w:rFonts w:ascii="Times New Roman" w:eastAsia="Times New Roman" w:hAnsi="Times New Roman" w:cs="Times New Roman"/>
      <w:kern w:val="0"/>
      <w:sz w:val="22"/>
      <w:szCs w:val="22"/>
      <w:lang w:val="en-US"/>
      <w14:ligatures w14:val="none"/>
    </w:rPr>
  </w:style>
  <w:style w:type="paragraph" w:styleId="Title">
    <w:name w:val="Title"/>
    <w:basedOn w:val="Normal"/>
    <w:next w:val="Normal"/>
    <w:link w:val="TitleChar"/>
    <w:uiPriority w:val="10"/>
    <w:qFormat/>
    <w:rsid w:val="00A23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722"/>
    <w:pPr>
      <w:spacing w:before="160"/>
      <w:jc w:val="center"/>
    </w:pPr>
    <w:rPr>
      <w:i/>
      <w:iCs/>
      <w:color w:val="404040" w:themeColor="text1" w:themeTint="BF"/>
    </w:rPr>
  </w:style>
  <w:style w:type="character" w:customStyle="1" w:styleId="QuoteChar">
    <w:name w:val="Quote Char"/>
    <w:basedOn w:val="DefaultParagraphFont"/>
    <w:link w:val="Quote"/>
    <w:uiPriority w:val="29"/>
    <w:rsid w:val="00A23722"/>
    <w:rPr>
      <w:i/>
      <w:iCs/>
      <w:color w:val="404040" w:themeColor="text1" w:themeTint="BF"/>
    </w:rPr>
  </w:style>
  <w:style w:type="paragraph" w:styleId="ListParagraph">
    <w:name w:val="List Paragraph"/>
    <w:basedOn w:val="Normal"/>
    <w:uiPriority w:val="34"/>
    <w:qFormat/>
    <w:rsid w:val="00A23722"/>
    <w:pPr>
      <w:ind w:left="720"/>
      <w:contextualSpacing/>
    </w:pPr>
  </w:style>
  <w:style w:type="character" w:styleId="IntenseEmphasis">
    <w:name w:val="Intense Emphasis"/>
    <w:basedOn w:val="DefaultParagraphFont"/>
    <w:uiPriority w:val="21"/>
    <w:qFormat/>
    <w:rsid w:val="00A23722"/>
    <w:rPr>
      <w:i/>
      <w:iCs/>
      <w:color w:val="0F4761" w:themeColor="accent1" w:themeShade="BF"/>
    </w:rPr>
  </w:style>
  <w:style w:type="paragraph" w:styleId="IntenseQuote">
    <w:name w:val="Intense Quote"/>
    <w:basedOn w:val="Normal"/>
    <w:next w:val="Normal"/>
    <w:link w:val="IntenseQuoteChar"/>
    <w:uiPriority w:val="30"/>
    <w:qFormat/>
    <w:rsid w:val="00A23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722"/>
    <w:rPr>
      <w:i/>
      <w:iCs/>
      <w:color w:val="0F4761" w:themeColor="accent1" w:themeShade="BF"/>
    </w:rPr>
  </w:style>
  <w:style w:type="character" w:styleId="IntenseReference">
    <w:name w:val="Intense Reference"/>
    <w:basedOn w:val="DefaultParagraphFont"/>
    <w:uiPriority w:val="32"/>
    <w:qFormat/>
    <w:rsid w:val="00A23722"/>
    <w:rPr>
      <w:b/>
      <w:bCs/>
      <w:smallCaps/>
      <w:color w:val="0F4761" w:themeColor="accent1" w:themeShade="BF"/>
      <w:spacing w:val="5"/>
    </w:rPr>
  </w:style>
  <w:style w:type="paragraph" w:styleId="Footer">
    <w:name w:val="footer"/>
    <w:basedOn w:val="Normal"/>
    <w:link w:val="FooterChar"/>
    <w:qFormat/>
    <w:rsid w:val="00A23722"/>
  </w:style>
  <w:style w:type="character" w:customStyle="1" w:styleId="FooterChar">
    <w:name w:val="Footer Char"/>
    <w:basedOn w:val="DefaultParagraphFont"/>
    <w:link w:val="Footer"/>
    <w:rsid w:val="00A23722"/>
    <w:rPr>
      <w:rFonts w:ascii="Times New Roman" w:eastAsia="Times New Roman" w:hAnsi="Times New Roman" w:cs="Times New Roman"/>
      <w:kern w:val="0"/>
      <w:sz w:val="22"/>
      <w:szCs w:val="22"/>
      <w:lang w:val="en-US"/>
      <w14:ligatures w14:val="none"/>
    </w:rPr>
  </w:style>
  <w:style w:type="paragraph" w:styleId="FootnoteText">
    <w:name w:val="footnote text"/>
    <w:basedOn w:val="Normal"/>
    <w:link w:val="FootnoteTextChar"/>
    <w:qFormat/>
    <w:rsid w:val="00A23722"/>
    <w:pPr>
      <w:keepLines/>
      <w:spacing w:after="60" w:line="240" w:lineRule="auto"/>
      <w:ind w:left="567" w:hanging="567"/>
    </w:pPr>
    <w:rPr>
      <w:sz w:val="16"/>
    </w:rPr>
  </w:style>
  <w:style w:type="character" w:customStyle="1" w:styleId="FootnoteTextChar">
    <w:name w:val="Footnote Text Char"/>
    <w:basedOn w:val="DefaultParagraphFont"/>
    <w:link w:val="FootnoteText"/>
    <w:rsid w:val="00A23722"/>
    <w:rPr>
      <w:rFonts w:ascii="Times New Roman" w:eastAsia="Times New Roman" w:hAnsi="Times New Roman" w:cs="Times New Roman"/>
      <w:kern w:val="0"/>
      <w:sz w:val="16"/>
      <w:szCs w:val="22"/>
      <w:lang w:val="en-US"/>
      <w14:ligatures w14:val="none"/>
    </w:rPr>
  </w:style>
  <w:style w:type="paragraph" w:styleId="Header">
    <w:name w:val="header"/>
    <w:basedOn w:val="Normal"/>
    <w:link w:val="HeaderChar"/>
    <w:qFormat/>
    <w:rsid w:val="00A23722"/>
  </w:style>
  <w:style w:type="character" w:customStyle="1" w:styleId="HeaderChar">
    <w:name w:val="Header Char"/>
    <w:basedOn w:val="DefaultParagraphFont"/>
    <w:link w:val="Header"/>
    <w:rsid w:val="00A23722"/>
    <w:rPr>
      <w:rFonts w:ascii="Times New Roman" w:eastAsia="Times New Roman" w:hAnsi="Times New Roman" w:cs="Times New Roman"/>
      <w:kern w:val="0"/>
      <w:sz w:val="22"/>
      <w:szCs w:val="22"/>
      <w:lang w:val="en-US"/>
      <w14:ligatures w14:val="none"/>
    </w:rPr>
  </w:style>
  <w:style w:type="paragraph" w:customStyle="1" w:styleId="quotes">
    <w:name w:val="quotes"/>
    <w:basedOn w:val="Normal"/>
    <w:next w:val="Normal"/>
    <w:rsid w:val="00A23722"/>
    <w:pPr>
      <w:ind w:left="720"/>
    </w:pPr>
    <w:rPr>
      <w:i/>
    </w:rPr>
  </w:style>
  <w:style w:type="character" w:styleId="FootnoteReference">
    <w:name w:val="footnote reference"/>
    <w:basedOn w:val="DefaultParagraphFont"/>
    <w:unhideWhenUsed/>
    <w:qFormat/>
    <w:rsid w:val="00A23722"/>
    <w:rPr>
      <w:sz w:val="24"/>
      <w:vertAlign w:val="superscript"/>
    </w:rPr>
  </w:style>
  <w:style w:type="character" w:styleId="Hyperlink">
    <w:name w:val="Hyperlink"/>
    <w:basedOn w:val="DefaultParagraphFont"/>
    <w:uiPriority w:val="99"/>
    <w:unhideWhenUsed/>
    <w:rsid w:val="001D44E2"/>
    <w:rPr>
      <w:color w:val="467886" w:themeColor="hyperlink"/>
      <w:u w:val="single"/>
    </w:rPr>
  </w:style>
  <w:style w:type="character" w:styleId="UnresolvedMention">
    <w:name w:val="Unresolved Mention"/>
    <w:basedOn w:val="DefaultParagraphFont"/>
    <w:uiPriority w:val="99"/>
    <w:semiHidden/>
    <w:unhideWhenUsed/>
    <w:rsid w:val="001D44E2"/>
    <w:rPr>
      <w:color w:val="605E5C"/>
      <w:shd w:val="clear" w:color="auto" w:fill="E1DFDD"/>
    </w:rPr>
  </w:style>
  <w:style w:type="paragraph" w:styleId="Revision">
    <w:name w:val="Revision"/>
    <w:hidden/>
    <w:uiPriority w:val="99"/>
    <w:semiHidden/>
    <w:rsid w:val="00B3117E"/>
    <w:pPr>
      <w:spacing w:after="0" w:line="240" w:lineRule="auto"/>
    </w:pPr>
    <w:rPr>
      <w:rFonts w:ascii="Times New Roman" w:eastAsia="Times New Roman" w:hAnsi="Times New Roman" w:cs="Times New Roman"/>
      <w:kern w:val="0"/>
      <w:sz w:val="22"/>
      <w:szCs w:val="22"/>
      <w:lang w:val="en-US"/>
      <w14:ligatures w14:val="none"/>
    </w:rPr>
  </w:style>
  <w:style w:type="character" w:styleId="CommentReference">
    <w:name w:val="annotation reference"/>
    <w:basedOn w:val="DefaultParagraphFont"/>
    <w:uiPriority w:val="99"/>
    <w:semiHidden/>
    <w:unhideWhenUsed/>
    <w:rsid w:val="00B3117E"/>
    <w:rPr>
      <w:sz w:val="16"/>
      <w:szCs w:val="16"/>
    </w:rPr>
  </w:style>
  <w:style w:type="paragraph" w:styleId="CommentText">
    <w:name w:val="annotation text"/>
    <w:basedOn w:val="Normal"/>
    <w:link w:val="CommentTextChar"/>
    <w:uiPriority w:val="99"/>
    <w:unhideWhenUsed/>
    <w:rsid w:val="00B3117E"/>
    <w:pPr>
      <w:spacing w:line="240" w:lineRule="auto"/>
    </w:pPr>
    <w:rPr>
      <w:sz w:val="20"/>
      <w:szCs w:val="20"/>
    </w:rPr>
  </w:style>
  <w:style w:type="character" w:customStyle="1" w:styleId="CommentTextChar">
    <w:name w:val="Comment Text Char"/>
    <w:basedOn w:val="DefaultParagraphFont"/>
    <w:link w:val="CommentText"/>
    <w:uiPriority w:val="99"/>
    <w:rsid w:val="00B3117E"/>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3117E"/>
    <w:rPr>
      <w:b/>
      <w:bCs/>
    </w:rPr>
  </w:style>
  <w:style w:type="character" w:customStyle="1" w:styleId="CommentSubjectChar">
    <w:name w:val="Comment Subject Char"/>
    <w:basedOn w:val="CommentTextChar"/>
    <w:link w:val="CommentSubject"/>
    <w:uiPriority w:val="99"/>
    <w:semiHidden/>
    <w:rsid w:val="00B3117E"/>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esc.europa.eu/en/our-work/opinions-information-reports/opinions/enhancing-eu-strategic-autonomy-and-developing-greener-and-bluer-economy-potential-sodium-battery-manufacturing-sector"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Y:\word365\Templates\Styles\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Styles</Template>
  <TotalTime>2</TotalTime>
  <Pages>2</Pages>
  <Words>902</Words>
  <Characters>5344</Characters>
  <Application>Microsoft Office Word</Application>
  <DocSecurity>0</DocSecurity>
  <Lines>92</Lines>
  <Paragraphs>15</Paragraphs>
  <ScaleCrop>false</ScaleCrop>
  <HeadingPairs>
    <vt:vector size="2" baseType="variant">
      <vt:variant>
        <vt:lpstr>Title</vt:lpstr>
      </vt:variant>
      <vt:variant>
        <vt:i4>1</vt:i4>
      </vt:variant>
    </vt:vector>
  </HeadingPairs>
  <TitlesOfParts>
    <vt:vector size="1" baseType="lpstr">
      <vt:lpstr/>
    </vt:vector>
  </TitlesOfParts>
  <Company>CESE-CdR</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Tsoumani Amalia</dc:creator>
  <cp:keywords/>
  <dc:description/>
  <cp:lastModifiedBy>Tsoumani Amalia</cp:lastModifiedBy>
  <cp:revision>2</cp:revision>
  <dcterms:created xsi:type="dcterms:W3CDTF">2026-06-12T07:48:00Z</dcterms:created>
  <dcterms:modified xsi:type="dcterms:W3CDTF">2026-06-12T07:48:00Z</dcterms:modified>
</cp:coreProperties>
</file>